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EC75B" w14:textId="5229225C" w:rsidR="0067284C" w:rsidRPr="0067284C" w:rsidRDefault="0067284C" w:rsidP="0067284C">
      <w:pPr>
        <w:pStyle w:val="Title"/>
      </w:pPr>
      <w:r w:rsidRPr="0067284C">
        <w:t xml:space="preserve">Utilizing Gaps and Performance </w:t>
      </w:r>
      <w:r w:rsidR="00A355E0">
        <w:t>Measures</w:t>
      </w:r>
      <w:r w:rsidR="00A355E0" w:rsidRPr="0067284C">
        <w:t xml:space="preserve"> to</w:t>
      </w:r>
      <w:r w:rsidRPr="0067284C">
        <w:t xml:space="preserve"> Inform NASA Environmental Control and Life Support Systems and Human Health and Performance Capability Technology Decisions </w:t>
      </w:r>
    </w:p>
    <w:p w14:paraId="78858E21" w14:textId="1BFA1864" w:rsidR="00112093" w:rsidRDefault="001F6C45">
      <w:pPr>
        <w:pStyle w:val="AuthorNames"/>
      </w:pPr>
      <w:r>
        <w:t>James L. Broyan, Jr.</w:t>
      </w:r>
      <w:r w:rsidR="00112093">
        <w:rPr>
          <w:rStyle w:val="FootnoteReference"/>
        </w:rPr>
        <w:footnoteReference w:id="1"/>
      </w:r>
    </w:p>
    <w:p w14:paraId="36AA8C16" w14:textId="3B22B4ED" w:rsidR="00112093" w:rsidRDefault="00B5693C">
      <w:pPr>
        <w:pStyle w:val="AuthorAffiliations"/>
      </w:pPr>
      <w:r>
        <w:t>NASA Headquarters</w:t>
      </w:r>
      <w:r w:rsidR="00112093">
        <w:t xml:space="preserve">, </w:t>
      </w:r>
      <w:r w:rsidR="00246798">
        <w:t>Washington, D.C. 20546</w:t>
      </w:r>
    </w:p>
    <w:p w14:paraId="47CD0AD3" w14:textId="36C0E821" w:rsidR="00112093" w:rsidRDefault="001F6C45">
      <w:pPr>
        <w:pStyle w:val="AuthorNames"/>
      </w:pPr>
      <w:r>
        <w:t>Andrew Abercromby</w:t>
      </w:r>
      <w:r w:rsidR="00112093">
        <w:rPr>
          <w:rStyle w:val="FootnoteReference"/>
        </w:rPr>
        <w:footnoteReference w:id="2"/>
      </w:r>
    </w:p>
    <w:p w14:paraId="20250A89" w14:textId="5AA38134" w:rsidR="00112093" w:rsidRDefault="00B5693C">
      <w:pPr>
        <w:pStyle w:val="AuthorAffiliations"/>
      </w:pPr>
      <w:r>
        <w:t>NASA, Johnson Space Center</w:t>
      </w:r>
      <w:r w:rsidR="00112093">
        <w:t xml:space="preserve">, </w:t>
      </w:r>
      <w:r>
        <w:t>Houston</w:t>
      </w:r>
      <w:r w:rsidR="00112093">
        <w:t>,</w:t>
      </w:r>
      <w:r>
        <w:t xml:space="preserve"> TX, 77058</w:t>
      </w:r>
    </w:p>
    <w:p w14:paraId="4811E0FE" w14:textId="77777777" w:rsidR="00112093" w:rsidRDefault="00112093">
      <w:pPr>
        <w:pStyle w:val="AuthorAffiliations"/>
      </w:pPr>
      <w:r>
        <w:t>and</w:t>
      </w:r>
    </w:p>
    <w:p w14:paraId="70F14517" w14:textId="6622F851" w:rsidR="00112093" w:rsidRDefault="006E596F">
      <w:pPr>
        <w:pStyle w:val="AuthorNames"/>
      </w:pPr>
      <w:r>
        <w:t>Alexander</w:t>
      </w:r>
      <w:r w:rsidR="001F6C45">
        <w:t xml:space="preserve"> Burg</w:t>
      </w:r>
      <w:r w:rsidR="00112093">
        <w:rPr>
          <w:rStyle w:val="FootnoteReference"/>
        </w:rPr>
        <w:footnoteReference w:id="3"/>
      </w:r>
    </w:p>
    <w:p w14:paraId="72F474DE" w14:textId="09DB42D4" w:rsidR="00112093" w:rsidRDefault="00B5693C">
      <w:pPr>
        <w:pStyle w:val="AuthorAffiliations"/>
      </w:pPr>
      <w:r>
        <w:t>Bryce Space and Technology</w:t>
      </w:r>
      <w:r w:rsidR="00112093">
        <w:t xml:space="preserve">, </w:t>
      </w:r>
      <w:r>
        <w:t>Alexandria, VA, 22314</w:t>
      </w:r>
    </w:p>
    <w:p w14:paraId="60DC9C72" w14:textId="1144FE5B" w:rsidR="001F6C45" w:rsidRDefault="001F6C45" w:rsidP="001F6C45">
      <w:pPr>
        <w:rPr>
          <w:rFonts w:ascii="Helvetica" w:hAnsi="Helvetica"/>
          <w:color w:val="333333"/>
          <w:sz w:val="21"/>
          <w:szCs w:val="21"/>
          <w:shd w:val="clear" w:color="auto" w:fill="FFFFFF"/>
        </w:rPr>
      </w:pPr>
      <w:bookmarkStart w:id="0" w:name="_Hlk86762239"/>
      <w:r w:rsidRPr="000A1723">
        <w:rPr>
          <w:bCs/>
        </w:rPr>
        <w:t xml:space="preserve">Human spaceflight is a complex endeavor requiring multiple capabilities for transportation, crew health, scientific goals, and safe return to Earth.  The difference between spaceflight proven capabilities and those needed for </w:t>
      </w:r>
      <w:r>
        <w:rPr>
          <w:bCs/>
        </w:rPr>
        <w:t xml:space="preserve">future exploration architectures </w:t>
      </w:r>
      <w:r w:rsidRPr="000A1723">
        <w:rPr>
          <w:bCs/>
        </w:rPr>
        <w:t xml:space="preserve">is defined as a capability gap.  Capability gaps are not technology specific.  Each capability gap </w:t>
      </w:r>
      <w:r>
        <w:rPr>
          <w:bCs/>
        </w:rPr>
        <w:t xml:space="preserve">may be closed </w:t>
      </w:r>
      <w:r w:rsidRPr="000A1723">
        <w:rPr>
          <w:bCs/>
        </w:rPr>
        <w:t xml:space="preserve">with a wide array of technologies that have unique benefits and challenges.  Determining what a capability’s relevant and distinguishing key performance parameters (KPPs) are for a mission is critical.  Mass, power, and volume are always constrained and important, but defining these in a way normalized by performance is </w:t>
      </w:r>
      <w:r>
        <w:rPr>
          <w:bCs/>
        </w:rPr>
        <w:t>very important</w:t>
      </w:r>
      <w:r w:rsidRPr="000A1723">
        <w:rPr>
          <w:bCs/>
        </w:rPr>
        <w:t xml:space="preserve">.  KPP definition for reliability, dormancy, and integration needs are </w:t>
      </w:r>
      <w:r>
        <w:rPr>
          <w:bCs/>
        </w:rPr>
        <w:t>hard to define but critical</w:t>
      </w:r>
      <w:r w:rsidRPr="000A1723">
        <w:rPr>
          <w:bCs/>
        </w:rPr>
        <w:t>.</w:t>
      </w:r>
      <w:r>
        <w:rPr>
          <w:bCs/>
        </w:rPr>
        <w:t xml:space="preserve"> Outside of technical considerations, the programmatic factors of the estimated time to develop the technology</w:t>
      </w:r>
      <w:r w:rsidR="006D140B">
        <w:rPr>
          <w:bCs/>
        </w:rPr>
        <w:t xml:space="preserve"> and how the </w:t>
      </w:r>
      <w:r w:rsidR="00393B80">
        <w:rPr>
          <w:bCs/>
        </w:rPr>
        <w:t>technology</w:t>
      </w:r>
      <w:r w:rsidR="006D140B">
        <w:rPr>
          <w:bCs/>
        </w:rPr>
        <w:t xml:space="preserve"> validation </w:t>
      </w:r>
      <w:r w:rsidR="00C6151C">
        <w:rPr>
          <w:bCs/>
        </w:rPr>
        <w:t xml:space="preserve">objectives </w:t>
      </w:r>
      <w:r w:rsidR="00393B80">
        <w:rPr>
          <w:bCs/>
        </w:rPr>
        <w:t>are</w:t>
      </w:r>
      <w:r w:rsidR="006D140B">
        <w:rPr>
          <w:bCs/>
        </w:rPr>
        <w:t xml:space="preserve"> matured are</w:t>
      </w:r>
      <w:r>
        <w:rPr>
          <w:bCs/>
        </w:rPr>
        <w:t xml:space="preserve"> strong consideration</w:t>
      </w:r>
      <w:r w:rsidR="006D140B">
        <w:rPr>
          <w:bCs/>
        </w:rPr>
        <w:t>s</w:t>
      </w:r>
      <w:r>
        <w:rPr>
          <w:bCs/>
        </w:rPr>
        <w:t xml:space="preserve"> in which technologies should be pursued</w:t>
      </w:r>
      <w:r w:rsidR="006D140B">
        <w:rPr>
          <w:bCs/>
        </w:rPr>
        <w:t xml:space="preserve"> and how they should leverage </w:t>
      </w:r>
      <w:r w:rsidR="00C6151C">
        <w:rPr>
          <w:bCs/>
        </w:rPr>
        <w:t>earlier mission elements</w:t>
      </w:r>
      <w:r>
        <w:rPr>
          <w:bCs/>
        </w:rPr>
        <w:t>.</w:t>
      </w:r>
      <w:r w:rsidRPr="000A1723">
        <w:rPr>
          <w:bCs/>
        </w:rPr>
        <w:t xml:space="preserve"> </w:t>
      </w:r>
      <w:r>
        <w:rPr>
          <w:bCs/>
        </w:rPr>
        <w:t xml:space="preserve"> </w:t>
      </w:r>
      <w:r w:rsidRPr="000A1723">
        <w:rPr>
          <w:bCs/>
        </w:rPr>
        <w:t>The</w:t>
      </w:r>
      <w:r>
        <w:rPr>
          <w:bCs/>
        </w:rPr>
        <w:t xml:space="preserve"> Environmental Control and Life Support (ECLSS) </w:t>
      </w:r>
      <w:r w:rsidR="006D140B">
        <w:rPr>
          <w:bCs/>
        </w:rPr>
        <w:t xml:space="preserve">and Crew Health and Performance (CHP) </w:t>
      </w:r>
      <w:r>
        <w:rPr>
          <w:bCs/>
        </w:rPr>
        <w:t xml:space="preserve">capability </w:t>
      </w:r>
      <w:r w:rsidR="00393B80">
        <w:rPr>
          <w:bCs/>
        </w:rPr>
        <w:t>areas</w:t>
      </w:r>
      <w:r w:rsidR="00393B80" w:rsidRPr="000A1723">
        <w:rPr>
          <w:bCs/>
        </w:rPr>
        <w:t xml:space="preserve"> are</w:t>
      </w:r>
      <w:r w:rsidRPr="000A1723">
        <w:rPr>
          <w:bCs/>
        </w:rPr>
        <w:t xml:space="preserve"> decomposed to </w:t>
      </w:r>
      <w:r>
        <w:rPr>
          <w:bCs/>
        </w:rPr>
        <w:t>high level gaps.</w:t>
      </w:r>
      <w:r w:rsidRPr="000A1723">
        <w:rPr>
          <w:bCs/>
        </w:rPr>
        <w:t xml:space="preserve"> </w:t>
      </w:r>
      <w:r>
        <w:rPr>
          <w:bCs/>
        </w:rPr>
        <w:t>While KPPs</w:t>
      </w:r>
      <w:r w:rsidRPr="000A1723">
        <w:rPr>
          <w:bCs/>
        </w:rPr>
        <w:t xml:space="preserve"> </w:t>
      </w:r>
      <w:r>
        <w:rPr>
          <w:bCs/>
        </w:rPr>
        <w:t xml:space="preserve">should </w:t>
      </w:r>
      <w:r w:rsidRPr="000A1723">
        <w:rPr>
          <w:bCs/>
        </w:rPr>
        <w:t xml:space="preserve"> be technology agnostic</w:t>
      </w:r>
      <w:r>
        <w:rPr>
          <w:bCs/>
        </w:rPr>
        <w:t>, they can be used to</w:t>
      </w:r>
      <w:r w:rsidRPr="000A1723">
        <w:rPr>
          <w:bCs/>
        </w:rPr>
        <w:t xml:space="preserve"> both compare technologies and measure progress </w:t>
      </w:r>
      <w:r>
        <w:rPr>
          <w:bCs/>
        </w:rPr>
        <w:t>of</w:t>
      </w:r>
      <w:r w:rsidRPr="000A1723">
        <w:rPr>
          <w:bCs/>
        </w:rPr>
        <w:t xml:space="preserve"> technology</w:t>
      </w:r>
      <w:r>
        <w:rPr>
          <w:bCs/>
        </w:rPr>
        <w:t xml:space="preserve"> development</w:t>
      </w:r>
      <w:r w:rsidRPr="000A1723">
        <w:rPr>
          <w:bCs/>
        </w:rPr>
        <w:t xml:space="preserve"> over time.  KPPs help define when the gap is closed, and the core mission objectives can be accomplished.  </w:t>
      </w:r>
      <w:r>
        <w:rPr>
          <w:bCs/>
        </w:rPr>
        <w:t>Proposed</w:t>
      </w:r>
      <w:r w:rsidRPr="000A1723">
        <w:rPr>
          <w:bCs/>
        </w:rPr>
        <w:t xml:space="preserve"> technology improvements to enhance </w:t>
      </w:r>
      <w:r>
        <w:rPr>
          <w:bCs/>
        </w:rPr>
        <w:t>a</w:t>
      </w:r>
      <w:r w:rsidRPr="000A1723">
        <w:rPr>
          <w:bCs/>
        </w:rPr>
        <w:t xml:space="preserve"> capability</w:t>
      </w:r>
      <w:r>
        <w:rPr>
          <w:bCs/>
        </w:rPr>
        <w:t xml:space="preserve"> should balance </w:t>
      </w:r>
      <w:r w:rsidRPr="000A1723">
        <w:rPr>
          <w:bCs/>
        </w:rPr>
        <w:t>improved KPPs</w:t>
      </w:r>
      <w:r>
        <w:rPr>
          <w:bCs/>
        </w:rPr>
        <w:t xml:space="preserve"> and </w:t>
      </w:r>
      <w:r w:rsidRPr="000A1723">
        <w:rPr>
          <w:bCs/>
        </w:rPr>
        <w:t xml:space="preserve">against investments in </w:t>
      </w:r>
      <w:r>
        <w:rPr>
          <w:bCs/>
        </w:rPr>
        <w:t xml:space="preserve">other </w:t>
      </w:r>
      <w:r w:rsidRPr="000A1723">
        <w:rPr>
          <w:bCs/>
        </w:rPr>
        <w:t>capabilit</w:t>
      </w:r>
      <w:r>
        <w:rPr>
          <w:bCs/>
        </w:rPr>
        <w:t>ies that are not yet closed.</w:t>
      </w:r>
      <w:r w:rsidRPr="000A1723">
        <w:rPr>
          <w:bCs/>
        </w:rPr>
        <w:t xml:space="preserve">  A selection of gaps</w:t>
      </w:r>
      <w:r w:rsidR="00C6151C">
        <w:rPr>
          <w:bCs/>
        </w:rPr>
        <w:t>,</w:t>
      </w:r>
      <w:r w:rsidRPr="000A1723">
        <w:rPr>
          <w:bCs/>
        </w:rPr>
        <w:t xml:space="preserve"> KPPs</w:t>
      </w:r>
      <w:r w:rsidR="00C6151C">
        <w:rPr>
          <w:bCs/>
        </w:rPr>
        <w:t>, and validation objectives</w:t>
      </w:r>
      <w:r w:rsidRPr="000A1723">
        <w:rPr>
          <w:bCs/>
        </w:rPr>
        <w:t xml:space="preserve"> and their formulation, current state, and how they inform capability roadmap planning are discussed.</w:t>
      </w:r>
      <w:r>
        <w:rPr>
          <w:rFonts w:ascii="Helvetica" w:hAnsi="Helvetica"/>
          <w:color w:val="333333"/>
          <w:sz w:val="21"/>
          <w:szCs w:val="21"/>
          <w:shd w:val="clear" w:color="auto" w:fill="FFFFFF"/>
        </w:rPr>
        <w:t xml:space="preserve">  </w:t>
      </w:r>
    </w:p>
    <w:bookmarkEnd w:id="0"/>
    <w:p w14:paraId="21BB3887" w14:textId="68CB6627" w:rsidR="00112093" w:rsidRDefault="00112093">
      <w:pPr>
        <w:pStyle w:val="Heading1"/>
      </w:pPr>
      <w:r>
        <w:t>Nomenclature</w:t>
      </w:r>
    </w:p>
    <w:p w14:paraId="1B74805D" w14:textId="32D48328" w:rsidR="00C6151C" w:rsidRDefault="00C6151C" w:rsidP="00C6151C">
      <w:pPr>
        <w:pStyle w:val="Nomenclature"/>
      </w:pPr>
      <w:r w:rsidRPr="00E7394D">
        <w:t>CHP</w:t>
      </w:r>
      <w:r w:rsidRPr="00B04E8F">
        <w:rPr>
          <w:i/>
          <w:iCs/>
        </w:rPr>
        <w:t xml:space="preserve"> </w:t>
      </w:r>
      <w:r>
        <w:rPr>
          <w:i/>
          <w:iCs/>
        </w:rPr>
        <w:tab/>
      </w:r>
      <w:r w:rsidRPr="00B04E8F">
        <w:rPr>
          <w:i/>
          <w:iCs/>
        </w:rPr>
        <w:t xml:space="preserve">= </w:t>
      </w:r>
      <w:r w:rsidRPr="00B04E8F">
        <w:t xml:space="preserve">Crew Health and Performance </w:t>
      </w:r>
    </w:p>
    <w:p w14:paraId="1DB8730B" w14:textId="032C639E" w:rsidR="009F4B5F" w:rsidRDefault="009F4B5F" w:rsidP="00C6151C">
      <w:pPr>
        <w:pStyle w:val="Nomenclature"/>
      </w:pPr>
      <w:r>
        <w:t>CIT</w:t>
      </w:r>
      <w:r>
        <w:tab/>
        <w:t>= Capabilit</w:t>
      </w:r>
      <w:r w:rsidR="009614AB">
        <w:t>ies</w:t>
      </w:r>
      <w:r>
        <w:t xml:space="preserve"> Integration Team</w:t>
      </w:r>
    </w:p>
    <w:p w14:paraId="5F6D237C" w14:textId="77777777" w:rsidR="00C6151C" w:rsidRPr="00B04E8F" w:rsidRDefault="00C6151C" w:rsidP="00C6151C">
      <w:pPr>
        <w:pStyle w:val="Nomenclature"/>
      </w:pPr>
      <w:r>
        <w:t>CLPS</w:t>
      </w:r>
      <w:r>
        <w:tab/>
        <w:t>= Commercial Lander Payload Services</w:t>
      </w:r>
    </w:p>
    <w:p w14:paraId="2269820E" w14:textId="77777777" w:rsidR="009F4B5F" w:rsidRDefault="00C6151C" w:rsidP="00C6151C">
      <w:pPr>
        <w:pStyle w:val="Nomenclature"/>
      </w:pPr>
      <w:r w:rsidRPr="00E7394D">
        <w:t>ECLSS</w:t>
      </w:r>
      <w:r w:rsidRPr="00B04E8F">
        <w:rPr>
          <w:i/>
          <w:iCs/>
        </w:rPr>
        <w:t xml:space="preserve"> </w:t>
      </w:r>
      <w:r>
        <w:rPr>
          <w:i/>
          <w:iCs/>
        </w:rPr>
        <w:tab/>
      </w:r>
      <w:r w:rsidRPr="00B04E8F">
        <w:t>= Environmental Control and Life Support System</w:t>
      </w:r>
    </w:p>
    <w:p w14:paraId="78F7329F" w14:textId="76555A90" w:rsidR="00C6151C" w:rsidRDefault="009F4B5F" w:rsidP="00C6151C">
      <w:pPr>
        <w:pStyle w:val="Nomenclature"/>
      </w:pPr>
      <w:r>
        <w:t>ESDMD</w:t>
      </w:r>
      <w:r>
        <w:tab/>
        <w:t>= Exploration Systems Development Mission Directorate</w:t>
      </w:r>
      <w:r w:rsidR="00C6151C" w:rsidRPr="00B04E8F">
        <w:t xml:space="preserve"> </w:t>
      </w:r>
    </w:p>
    <w:p w14:paraId="2B3B95E4" w14:textId="72DD49B1" w:rsidR="00EB519E" w:rsidRDefault="00EB519E" w:rsidP="00C6151C">
      <w:pPr>
        <w:pStyle w:val="Nomenclature"/>
      </w:pPr>
      <w:r>
        <w:t>HILT</w:t>
      </w:r>
      <w:r>
        <w:tab/>
        <w:t xml:space="preserve">= Human in the loop testing </w:t>
      </w:r>
    </w:p>
    <w:p w14:paraId="019A2BAB" w14:textId="1D92FE89" w:rsidR="005A4CF8" w:rsidRDefault="005A4CF8" w:rsidP="00C6151C">
      <w:pPr>
        <w:pStyle w:val="Nomenclature"/>
      </w:pPr>
      <w:r>
        <w:t>HRP</w:t>
      </w:r>
      <w:r>
        <w:tab/>
        <w:t>= Human Research Program</w:t>
      </w:r>
    </w:p>
    <w:p w14:paraId="68BB5A9D" w14:textId="5EBFDD50" w:rsidR="005A4CF8" w:rsidRPr="00B04E8F" w:rsidRDefault="005A4CF8" w:rsidP="00C6151C">
      <w:pPr>
        <w:pStyle w:val="Nomenclature"/>
      </w:pPr>
      <w:r>
        <w:t>HSRB</w:t>
      </w:r>
      <w:r>
        <w:tab/>
        <w:t>= Human Systems Risk Board</w:t>
      </w:r>
    </w:p>
    <w:p w14:paraId="3E5DF127" w14:textId="77777777" w:rsidR="00C6151C" w:rsidRDefault="00C6151C" w:rsidP="00C6151C">
      <w:pPr>
        <w:pStyle w:val="Nomenclature"/>
      </w:pPr>
      <w:r w:rsidRPr="00E7394D">
        <w:t>ISS</w:t>
      </w:r>
      <w:r>
        <w:rPr>
          <w:i/>
          <w:iCs/>
        </w:rPr>
        <w:tab/>
      </w:r>
      <w:r w:rsidRPr="00B04E8F">
        <w:t xml:space="preserve">= International Space Station </w:t>
      </w:r>
    </w:p>
    <w:p w14:paraId="3D0EBCAE" w14:textId="77777777" w:rsidR="000074C7" w:rsidRDefault="000074C7" w:rsidP="00C6151C">
      <w:pPr>
        <w:pStyle w:val="Nomenclature"/>
      </w:pPr>
      <w:r>
        <w:t>KKP</w:t>
      </w:r>
      <w:r>
        <w:tab/>
        <w:t>= Key Performance Parameter</w:t>
      </w:r>
    </w:p>
    <w:p w14:paraId="514C2F81" w14:textId="7C0A523D" w:rsidR="00DD2E97" w:rsidRDefault="00DD2E97" w:rsidP="00C6151C">
      <w:pPr>
        <w:pStyle w:val="Nomenclature"/>
      </w:pPr>
      <w:r>
        <w:t>MTBF</w:t>
      </w:r>
      <w:r>
        <w:tab/>
        <w:t>= Mean Time between Failure</w:t>
      </w:r>
    </w:p>
    <w:p w14:paraId="614AAD61" w14:textId="664DCA06" w:rsidR="00C6151C" w:rsidRDefault="00C6151C" w:rsidP="00C6151C">
      <w:pPr>
        <w:pStyle w:val="Nomenclature"/>
      </w:pPr>
      <w:r w:rsidRPr="00E7394D">
        <w:lastRenderedPageBreak/>
        <w:t>NASA</w:t>
      </w:r>
      <w:r w:rsidRPr="00B04E8F">
        <w:rPr>
          <w:i/>
          <w:iCs/>
        </w:rPr>
        <w:t xml:space="preserve"> </w:t>
      </w:r>
      <w:r>
        <w:rPr>
          <w:i/>
          <w:iCs/>
        </w:rPr>
        <w:tab/>
      </w:r>
      <w:r w:rsidRPr="00B04E8F">
        <w:rPr>
          <w:i/>
          <w:iCs/>
        </w:rPr>
        <w:t xml:space="preserve">= </w:t>
      </w:r>
      <w:r w:rsidRPr="00B04E8F">
        <w:t xml:space="preserve">National Aeronautics and Space Administration </w:t>
      </w:r>
    </w:p>
    <w:p w14:paraId="1B7C3B2E" w14:textId="0BC5FC31" w:rsidR="009F4B5F" w:rsidRDefault="009F4B5F" w:rsidP="00C6151C">
      <w:pPr>
        <w:pStyle w:val="Nomenclature"/>
      </w:pPr>
      <w:r>
        <w:t>NESC</w:t>
      </w:r>
      <w:r>
        <w:tab/>
        <w:t>= NASA Engineering and Safety Center</w:t>
      </w:r>
    </w:p>
    <w:p w14:paraId="45689AA6" w14:textId="6B3F63E8" w:rsidR="002D3D14" w:rsidRDefault="002D3D14" w:rsidP="00C6151C">
      <w:pPr>
        <w:pStyle w:val="Nomenclature"/>
      </w:pPr>
      <w:r>
        <w:t>OCHMO</w:t>
      </w:r>
      <w:r>
        <w:tab/>
        <w:t xml:space="preserve">= Office of </w:t>
      </w:r>
      <w:r w:rsidR="005A4CF8">
        <w:t xml:space="preserve">the Chief Health and Medical </w:t>
      </w:r>
      <w:r w:rsidR="00393B80">
        <w:t>Officer</w:t>
      </w:r>
    </w:p>
    <w:p w14:paraId="2D24C558" w14:textId="46A6EBDE" w:rsidR="009F4B5F" w:rsidRDefault="009F4B5F" w:rsidP="00C6151C">
      <w:pPr>
        <w:pStyle w:val="Nomenclature"/>
      </w:pPr>
      <w:r>
        <w:t>OSMA</w:t>
      </w:r>
      <w:r>
        <w:tab/>
        <w:t>= Office of Safety and Mission Assurance</w:t>
      </w:r>
    </w:p>
    <w:p w14:paraId="08EA3C9B" w14:textId="5F6A2A9E" w:rsidR="00C6151C" w:rsidRDefault="00C6151C" w:rsidP="00C6151C">
      <w:pPr>
        <w:pStyle w:val="Nomenclature"/>
      </w:pPr>
      <w:r>
        <w:t>POS</w:t>
      </w:r>
      <w:r>
        <w:tab/>
        <w:t>= Probability of Sufficiency</w:t>
      </w:r>
    </w:p>
    <w:p w14:paraId="06F1E81D" w14:textId="405AAAD3" w:rsidR="002D3D14" w:rsidRDefault="002D3D14" w:rsidP="00C6151C">
      <w:pPr>
        <w:pStyle w:val="Nomenclature"/>
      </w:pPr>
      <w:r>
        <w:t>PPBE</w:t>
      </w:r>
      <w:r>
        <w:tab/>
        <w:t>= Planning, Programming, Budgeting, and Execution</w:t>
      </w:r>
    </w:p>
    <w:p w14:paraId="58E952FE" w14:textId="0F46D7A6" w:rsidR="009F4B5F" w:rsidRDefault="009F4B5F" w:rsidP="00C6151C">
      <w:pPr>
        <w:pStyle w:val="Nomenclature"/>
      </w:pPr>
      <w:r>
        <w:t>PT</w:t>
      </w:r>
      <w:r>
        <w:tab/>
        <w:t>= Principal Technologist</w:t>
      </w:r>
    </w:p>
    <w:p w14:paraId="40A14AAF" w14:textId="07ADDA75" w:rsidR="00C6151C" w:rsidRDefault="00C6151C" w:rsidP="00C6151C">
      <w:pPr>
        <w:pStyle w:val="Nomenclature"/>
      </w:pPr>
      <w:r w:rsidRPr="00E7394D">
        <w:t>SCLT</w:t>
      </w:r>
      <w:r w:rsidRPr="00B04E8F">
        <w:rPr>
          <w:i/>
          <w:iCs/>
        </w:rPr>
        <w:t xml:space="preserve"> </w:t>
      </w:r>
      <w:r>
        <w:rPr>
          <w:i/>
          <w:iCs/>
        </w:rPr>
        <w:tab/>
      </w:r>
      <w:r w:rsidRPr="00B04E8F">
        <w:t xml:space="preserve">= System Capability Leadership Team </w:t>
      </w:r>
    </w:p>
    <w:p w14:paraId="33A25D92" w14:textId="62DD6B42" w:rsidR="000074C7" w:rsidRDefault="000074C7" w:rsidP="00C6151C">
      <w:pPr>
        <w:pStyle w:val="Nomenclature"/>
      </w:pPr>
      <w:r>
        <w:t>SOA</w:t>
      </w:r>
      <w:r>
        <w:tab/>
        <w:t>= State of the Art</w:t>
      </w:r>
    </w:p>
    <w:p w14:paraId="165E8AEA" w14:textId="280E54ED" w:rsidR="009F4B5F" w:rsidRPr="00B04E8F" w:rsidRDefault="009F4B5F" w:rsidP="00C6151C">
      <w:pPr>
        <w:pStyle w:val="Nomenclature"/>
      </w:pPr>
      <w:r>
        <w:t>STMD</w:t>
      </w:r>
      <w:r>
        <w:tab/>
        <w:t>= Space Technology Mission Directorate</w:t>
      </w:r>
    </w:p>
    <w:p w14:paraId="78A29939" w14:textId="259ED784" w:rsidR="009F4B5F" w:rsidRDefault="009F4B5F" w:rsidP="00C6151C">
      <w:pPr>
        <w:pStyle w:val="Nomenclature"/>
      </w:pPr>
      <w:r>
        <w:t>TRL</w:t>
      </w:r>
      <w:r>
        <w:tab/>
        <w:t xml:space="preserve">= Technology </w:t>
      </w:r>
      <w:r w:rsidR="00393B80">
        <w:t>Readiness</w:t>
      </w:r>
      <w:r>
        <w:t xml:space="preserve"> Level</w:t>
      </w:r>
    </w:p>
    <w:p w14:paraId="75EDCFA5" w14:textId="0CB598C0" w:rsidR="00DD330F" w:rsidRDefault="0004700C" w:rsidP="00C6151C">
      <w:pPr>
        <w:pStyle w:val="Nomenclature"/>
      </w:pPr>
      <w:r>
        <w:t>VMO</w:t>
      </w:r>
      <w:r>
        <w:tab/>
        <w:t>= Validation Maturation Objective</w:t>
      </w:r>
    </w:p>
    <w:p w14:paraId="461450D3" w14:textId="77777777" w:rsidR="00112093" w:rsidRDefault="00112093" w:rsidP="00D6075F">
      <w:pPr>
        <w:pStyle w:val="Heading1"/>
        <w:numPr>
          <w:ilvl w:val="0"/>
          <w:numId w:val="1"/>
        </w:numPr>
      </w:pPr>
      <w:r>
        <w:t>Introduction</w:t>
      </w:r>
    </w:p>
    <w:p w14:paraId="146D9887" w14:textId="59105D27" w:rsidR="00112093" w:rsidRDefault="00683AFC">
      <w:pPr>
        <w:pStyle w:val="Text"/>
        <w:keepNext/>
        <w:framePr w:dropCap="drop" w:lines="2" w:wrap="around" w:vAnchor="text" w:hAnchor="text"/>
        <w:spacing w:line="459" w:lineRule="exact"/>
        <w:ind w:firstLine="0"/>
        <w:rPr>
          <w:position w:val="-5"/>
          <w:sz w:val="58"/>
        </w:rPr>
      </w:pPr>
      <w:r>
        <w:rPr>
          <w:position w:val="-5"/>
          <w:sz w:val="58"/>
        </w:rPr>
        <w:t>E</w:t>
      </w:r>
    </w:p>
    <w:p w14:paraId="1EBAF7B5" w14:textId="2EC53ACF" w:rsidR="00C6151C" w:rsidRDefault="00683AFC" w:rsidP="00683AFC">
      <w:pPr>
        <w:pStyle w:val="Text"/>
        <w:ind w:firstLine="0"/>
      </w:pPr>
      <w:r>
        <w:t>NVIRONMENTAL</w:t>
      </w:r>
      <w:r w:rsidR="00112093">
        <w:t xml:space="preserve"> </w:t>
      </w:r>
      <w:r w:rsidR="00C6151C">
        <w:t>C</w:t>
      </w:r>
      <w:r w:rsidR="00C6151C" w:rsidRPr="00724319">
        <w:t xml:space="preserve">ontrol and Life Support System (ECLSS) technologies </w:t>
      </w:r>
      <w:r w:rsidR="00C6151C">
        <w:t xml:space="preserve">are combined with Crew Health and Performance (CHP) technologies under the ECLSS-CHP </w:t>
      </w:r>
      <w:r w:rsidR="00C6151C" w:rsidRPr="00724319">
        <w:t>System Capability Leadership Team (SCLT)</w:t>
      </w:r>
      <w:r w:rsidR="00C6151C">
        <w:t xml:space="preserve">. </w:t>
      </w:r>
      <w:r w:rsidR="009614AB">
        <w:t xml:space="preserve"> </w:t>
      </w:r>
      <w:r w:rsidR="00C6151C">
        <w:t xml:space="preserve">The SCLT </w:t>
      </w:r>
      <w:r>
        <w:t>provide</w:t>
      </w:r>
      <w:r w:rsidR="000D0B36">
        <w:t>s</w:t>
      </w:r>
      <w:r>
        <w:t xml:space="preserve"> strategic advisement across NASA </w:t>
      </w:r>
      <w:r w:rsidR="00C6151C">
        <w:t>between evolving exploration mission</w:t>
      </w:r>
      <w:r>
        <w:t>s</w:t>
      </w:r>
      <w:r w:rsidR="00C6151C">
        <w:t xml:space="preserve"> </w:t>
      </w:r>
      <w:r>
        <w:t>and</w:t>
      </w:r>
      <w:r w:rsidR="00C6151C">
        <w:t xml:space="preserve"> technology development programs.  The intent is </w:t>
      </w:r>
      <w:r w:rsidR="00C6151C" w:rsidRPr="00724319">
        <w:t>to ensure safe</w:t>
      </w:r>
      <w:r w:rsidR="00C6151C">
        <w:t xml:space="preserve">, reliable, and </w:t>
      </w:r>
      <w:r w:rsidR="00C6151C" w:rsidRPr="00724319">
        <w:t>habitable environment</w:t>
      </w:r>
      <w:r>
        <w:t>s</w:t>
      </w:r>
      <w:r w:rsidR="00C6151C" w:rsidRPr="00724319">
        <w:t xml:space="preserve"> and </w:t>
      </w:r>
      <w:r w:rsidR="00C6151C">
        <w:t>provide technologies to allow</w:t>
      </w:r>
      <w:r w:rsidR="00C6151C" w:rsidRPr="00724319">
        <w:t xml:space="preserve"> </w:t>
      </w:r>
      <w:r w:rsidR="00C6151C">
        <w:t xml:space="preserve">the </w:t>
      </w:r>
      <w:r w:rsidR="00C6151C" w:rsidRPr="00724319">
        <w:t xml:space="preserve">crew </w:t>
      </w:r>
      <w:r w:rsidR="00C6151C">
        <w:t>to maintain their health</w:t>
      </w:r>
      <w:r w:rsidR="008F6FB3">
        <w:t xml:space="preserve"> and productivity</w:t>
      </w:r>
      <w:r w:rsidR="00C6151C">
        <w:t xml:space="preserve"> so they can accomplish </w:t>
      </w:r>
      <w:r>
        <w:t>future</w:t>
      </w:r>
      <w:r w:rsidR="00C6151C">
        <w:t xml:space="preserve"> </w:t>
      </w:r>
      <w:r w:rsidR="00C6151C" w:rsidRPr="00724319">
        <w:t xml:space="preserve">mission objectives. The SCLT capability areas are broadly grouped into ECLSS and CHP, see Figure 1.  Each ‘Capability Area’ (e.g., ‘Life Support’) is composed of ‘Capabilities’ (e.g., ‘Atmosphere Management’).  </w:t>
      </w:r>
      <w:r w:rsidR="00E64AD6">
        <w:t xml:space="preserve">The SCLT is in </w:t>
      </w:r>
      <w:r w:rsidR="005D4125">
        <w:t xml:space="preserve">the </w:t>
      </w:r>
      <w:r w:rsidR="00E64AD6">
        <w:t>process of formulating the Human Systems Integration capability area so the gaps and measures will not be detailed here.  Overviews of technology development progress in the past year for ECLSS</w:t>
      </w:r>
      <w:r w:rsidR="00E64AD6" w:rsidRPr="00E64AD6">
        <w:rPr>
          <w:vertAlign w:val="superscript"/>
        </w:rPr>
        <w:t>1</w:t>
      </w:r>
      <w:r w:rsidR="00E64AD6">
        <w:t xml:space="preserve"> and CHP</w:t>
      </w:r>
      <w:r w:rsidR="00E64AD6" w:rsidRPr="00E64AD6">
        <w:rPr>
          <w:vertAlign w:val="superscript"/>
        </w:rPr>
        <w:t>2</w:t>
      </w:r>
      <w:r w:rsidR="00E64AD6">
        <w:t xml:space="preserve"> are covered in separate papers.  </w:t>
      </w:r>
      <w:r w:rsidR="00C6151C">
        <w:t xml:space="preserve">This paper will </w:t>
      </w:r>
      <w:r w:rsidR="00502AB6">
        <w:t xml:space="preserve">address how various NASA objectives, processes, and measures are used to inform technology strategy. </w:t>
      </w:r>
      <w:r w:rsidR="00D31FB7">
        <w:t xml:space="preserve"> Specifically the paper will show how exploration objectives, mission architectures, capabilities, gaps, Human System Risks, technology validation maturation, and SCLT technology roadmaps are being aligned.</w:t>
      </w:r>
    </w:p>
    <w:p w14:paraId="728D4433" w14:textId="6C777480" w:rsidR="00502AB6" w:rsidRDefault="00502AB6" w:rsidP="00502AB6">
      <w:pPr>
        <w:pStyle w:val="Text"/>
      </w:pPr>
      <w:r>
        <w:t>NASA released the Moon to Mars Objectives</w:t>
      </w:r>
      <w:r w:rsidRPr="00D31FB7">
        <w:rPr>
          <w:vertAlign w:val="superscript"/>
        </w:rPr>
        <w:t>3</w:t>
      </w:r>
      <w:r>
        <w:t xml:space="preserve"> to define big picture “what” and “why” objectives</w:t>
      </w:r>
      <w:r w:rsidR="00D31FB7">
        <w:t xml:space="preserve"> of what NASA should be doing for deep space exploration</w:t>
      </w:r>
      <w:r>
        <w:t xml:space="preserve">. </w:t>
      </w:r>
      <w:r w:rsidR="00D31FB7">
        <w:t xml:space="preserve">Of the 63 high-level objectives, approximately </w:t>
      </w:r>
      <w:r w:rsidR="009F4B5F">
        <w:t>27</w:t>
      </w:r>
      <w:r w:rsidR="00D31FB7">
        <w:t xml:space="preserve"> are related to ECLSS-CHP capability areas and allow NASA to “architect from the right” </w:t>
      </w:r>
      <w:r w:rsidR="009F4B5F">
        <w:t>and</w:t>
      </w:r>
      <w:r w:rsidR="00D31FB7">
        <w:t xml:space="preserve"> work</w:t>
      </w:r>
      <w:r w:rsidR="009F4B5F">
        <w:t xml:space="preserve"> development logic</w:t>
      </w:r>
      <w:r w:rsidR="00D31FB7">
        <w:t xml:space="preserve"> backwards so that technology can be “executed from the left” in a manner that supports </w:t>
      </w:r>
      <w:r w:rsidR="00446D31">
        <w:t xml:space="preserve">the big picture objective.  For example, </w:t>
      </w:r>
      <w:r w:rsidR="00393B80">
        <w:t>Transportation</w:t>
      </w:r>
      <w:r w:rsidR="00446D31">
        <w:t xml:space="preserve"> &amp; Habitation objective 4 is “Develop in-space and surface habitation system(s) for crew to live in deep space for </w:t>
      </w:r>
      <w:r w:rsidR="00393B80">
        <w:t>extended</w:t>
      </w:r>
      <w:r w:rsidR="00446D31">
        <w:t xml:space="preserve"> durations, enabling future missions to Mars.”</w:t>
      </w:r>
    </w:p>
    <w:p w14:paraId="38784268" w14:textId="3908C980" w:rsidR="00112093" w:rsidRDefault="001A3EB5">
      <w:pPr>
        <w:pStyle w:val="Text"/>
      </w:pPr>
      <w:r>
        <w:t xml:space="preserve">While objective 4 seems straight forward to achieve, NASA mission architects need to consider how best to achieve all the objectives with a range of architecture elements.  </w:t>
      </w:r>
      <w:r w:rsidR="00F75B6A">
        <w:t xml:space="preserve">Mission </w:t>
      </w:r>
      <w:r w:rsidR="00393B80">
        <w:t>architects</w:t>
      </w:r>
      <w:r w:rsidR="00F75B6A">
        <w:t xml:space="preserve"> are in the process of reviewing the moon and Mars a</w:t>
      </w:r>
      <w:r w:rsidR="009F2DF7">
        <w:t>r</w:t>
      </w:r>
      <w:r w:rsidR="00F75B6A">
        <w:t xml:space="preserve">chitecture to better address the objectives.  An updated plan is expected later in 2023, but previously identified ECLSS-CHP capability needs are likely to largely remain.  The lunar surface missions and elements may change, but the initial duration of </w:t>
      </w:r>
      <w:r w:rsidR="009F4B5F">
        <w:t>~</w:t>
      </w:r>
      <w:r w:rsidR="00F75B6A">
        <w:t xml:space="preserve">30 days and high EVA rates are likely to remain. The travel duration to Mars may change modestly but remain in the </w:t>
      </w:r>
      <w:r w:rsidR="00393B80">
        <w:t>800–1200-day</w:t>
      </w:r>
      <w:r w:rsidR="00F75B6A">
        <w:t xml:space="preserve"> range.  Hence</w:t>
      </w:r>
      <w:r w:rsidR="009F4B5F">
        <w:t>,</w:t>
      </w:r>
      <w:r w:rsidR="00F75B6A">
        <w:t xml:space="preserve"> the high level ECLSS-CHP capability assumptions for moon and Mars are still relevant for supporting technology development.</w:t>
      </w:r>
      <w:r w:rsidR="00B5693C">
        <w:rPr>
          <w:noProof/>
        </w:rPr>
        <mc:AlternateContent>
          <mc:Choice Requires="wps">
            <w:drawing>
              <wp:anchor distT="0" distB="0" distL="114300" distR="114300" simplePos="0" relativeHeight="251673600" behindDoc="0" locked="0" layoutInCell="1" allowOverlap="1" wp14:anchorId="68AF6BB7" wp14:editId="2CC445D7">
                <wp:simplePos x="0" y="0"/>
                <wp:positionH relativeFrom="margin">
                  <wp:posOffset>0</wp:posOffset>
                </wp:positionH>
                <wp:positionV relativeFrom="margin">
                  <wp:posOffset>6193155</wp:posOffset>
                </wp:positionV>
                <wp:extent cx="5934075" cy="2448560"/>
                <wp:effectExtent l="0" t="0" r="9525" b="8890"/>
                <wp:wrapSquare wrapText="bothSides"/>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4490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87D35" w14:textId="77777777" w:rsidR="00B5693C" w:rsidRDefault="00B5693C" w:rsidP="00B5693C">
                            <w:pPr>
                              <w:pStyle w:val="Figure"/>
                              <w:keepNext/>
                            </w:pPr>
                            <w:r>
                              <w:rPr>
                                <w:noProof/>
                              </w:rPr>
                              <w:drawing>
                                <wp:inline distT="0" distB="0" distL="0" distR="0" wp14:anchorId="1B07A14E" wp14:editId="0EC400A9">
                                  <wp:extent cx="5934075" cy="200279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4075" cy="2002790"/>
                                          </a:xfrm>
                                          <a:prstGeom prst="rect">
                                            <a:avLst/>
                                          </a:prstGeom>
                                        </pic:spPr>
                                      </pic:pic>
                                    </a:graphicData>
                                  </a:graphic>
                                </wp:inline>
                              </w:drawing>
                            </w:r>
                          </w:p>
                          <w:p w14:paraId="0A683A77" w14:textId="4AF2406D" w:rsidR="00B5693C" w:rsidRPr="00261A27" w:rsidRDefault="00B5693C" w:rsidP="00B5693C">
                            <w:pPr>
                              <w:pStyle w:val="Figure"/>
                            </w:pPr>
                            <w:r w:rsidRPr="00261A27">
                              <w:t>Figure 1.</w:t>
                            </w:r>
                            <w:r>
                              <w:tab/>
                            </w:r>
                            <w:r w:rsidRPr="00261A27">
                              <w:t>ECLSS-CHP Capability Areas</w:t>
                            </w:r>
                            <w:r w:rsidRPr="00261A27">
                              <w:rPr>
                                <w:i/>
                              </w:rPr>
                              <w:t>.</w:t>
                            </w:r>
                            <w:r>
                              <w:rPr>
                                <w:i/>
                              </w:rPr>
                              <w:t xml:space="preserve"> </w:t>
                            </w:r>
                          </w:p>
                          <w:p w14:paraId="5B97A366" w14:textId="77777777" w:rsidR="00B5693C" w:rsidRDefault="00B5693C" w:rsidP="00B5693C">
                            <w:pPr>
                              <w:pStyle w:val="Text"/>
                              <w:ind w:firstLine="0"/>
                            </w:pPr>
                          </w:p>
                          <w:p w14:paraId="6364546C" w14:textId="77777777" w:rsidR="00B5693C" w:rsidRDefault="00B5693C" w:rsidP="00B5693C">
                            <w:pPr>
                              <w:pStyle w:val="Text"/>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F6BB7" id="_x0000_t202" coordsize="21600,21600" o:spt="202" path="m,l,21600r21600,l21600,xe">
                <v:stroke joinstyle="miter"/>
                <v:path gradientshapeok="t" o:connecttype="rect"/>
              </v:shapetype>
              <v:shape id="Text Box 4" o:spid="_x0000_s1026" type="#_x0000_t202" style="position:absolute;left:0;text-align:left;margin-left:0;margin-top:487.65pt;width:467.25pt;height:192.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" stroked="f">
                <v:textbox inset="0,0,0,0">
                  <w:txbxContent>
                    <w:p w14:paraId="55787D35" w14:textId="77777777" w:rsidR="00B5693C" w:rsidRDefault="00B5693C" w:rsidP="00B5693C">
                      <w:pPr>
                        <w:pStyle w:val="Figure"/>
                        <w:keepNext/>
                      </w:pPr>
                      <w:r>
                        <w:rPr>
                          <w:noProof/>
                        </w:rPr>
                        <w:drawing>
                          <wp:inline distT="0" distB="0" distL="0" distR="0" wp14:anchorId="1B07A14E" wp14:editId="0EC400A9">
                            <wp:extent cx="5934075" cy="200279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4075" cy="2002790"/>
                                    </a:xfrm>
                                    <a:prstGeom prst="rect">
                                      <a:avLst/>
                                    </a:prstGeom>
                                  </pic:spPr>
                                </pic:pic>
                              </a:graphicData>
                            </a:graphic>
                          </wp:inline>
                        </w:drawing>
                      </w:r>
                    </w:p>
                    <w:p w14:paraId="0A683A77" w14:textId="4AF2406D" w:rsidR="00B5693C" w:rsidRPr="00261A27" w:rsidRDefault="00B5693C" w:rsidP="00B5693C">
                      <w:pPr>
                        <w:pStyle w:val="Figure"/>
                      </w:pPr>
                      <w:r w:rsidRPr="00261A27">
                        <w:t>Figure 1.</w:t>
                      </w:r>
                      <w:r>
                        <w:tab/>
                      </w:r>
                      <w:r w:rsidRPr="00261A27">
                        <w:t>ECLSS-CHP Capability Areas</w:t>
                      </w:r>
                      <w:r w:rsidRPr="00261A27">
                        <w:rPr>
                          <w:i/>
                        </w:rPr>
                        <w:t>.</w:t>
                      </w:r>
                      <w:r>
                        <w:rPr>
                          <w:i/>
                        </w:rPr>
                        <w:t xml:space="preserve"> </w:t>
                      </w:r>
                    </w:p>
                    <w:p w14:paraId="5B97A366" w14:textId="77777777" w:rsidR="00B5693C" w:rsidRDefault="00B5693C" w:rsidP="00B5693C">
                      <w:pPr>
                        <w:pStyle w:val="Text"/>
                        <w:ind w:firstLine="0"/>
                      </w:pPr>
                    </w:p>
                    <w:p w14:paraId="6364546C" w14:textId="77777777" w:rsidR="00B5693C" w:rsidRDefault="00B5693C" w:rsidP="00B5693C">
                      <w:pPr>
                        <w:pStyle w:val="Text"/>
                        <w:ind w:firstLine="0"/>
                      </w:pPr>
                    </w:p>
                  </w:txbxContent>
                </v:textbox>
                <w10:wrap type="square" anchorx="margin" anchory="margin"/>
              </v:shape>
            </w:pict>
          </mc:Fallback>
        </mc:AlternateContent>
      </w:r>
      <w:r w:rsidR="009F4B5F">
        <w:t xml:space="preserve">  The current architecture is used to identify the capability gaps through a structured NASA process.</w:t>
      </w:r>
    </w:p>
    <w:p w14:paraId="338693CF" w14:textId="0882A580" w:rsidR="0067284C" w:rsidRDefault="0067284C" w:rsidP="00D6075F">
      <w:pPr>
        <w:pStyle w:val="Heading1"/>
        <w:numPr>
          <w:ilvl w:val="0"/>
          <w:numId w:val="1"/>
        </w:numPr>
      </w:pPr>
      <w:r>
        <w:lastRenderedPageBreak/>
        <w:t xml:space="preserve">NASA </w:t>
      </w:r>
      <w:r w:rsidR="00082AE7">
        <w:t xml:space="preserve">Capability </w:t>
      </w:r>
      <w:r>
        <w:t>Gap Process</w:t>
      </w:r>
    </w:p>
    <w:p w14:paraId="04C1A77A" w14:textId="77777777" w:rsidR="00DD330F" w:rsidRPr="00590DDC" w:rsidRDefault="00DD330F" w:rsidP="001236F3">
      <w:pPr>
        <w:pStyle w:val="Heading2"/>
      </w:pPr>
      <w:r w:rsidRPr="00590DDC">
        <w:t>Data Collection</w:t>
      </w:r>
    </w:p>
    <w:p w14:paraId="1442A3BA" w14:textId="58F6662F" w:rsidR="00DD330F" w:rsidRPr="00590DDC" w:rsidRDefault="009F4B5F" w:rsidP="001236F3">
      <w:pPr>
        <w:pStyle w:val="Text"/>
      </w:pPr>
      <w:r>
        <w:t>NASA’s Exploration Systems Development Mission Directorate (</w:t>
      </w:r>
      <w:r w:rsidR="00DD330F" w:rsidRPr="00590DDC">
        <w:t>ESDMD</w:t>
      </w:r>
      <w:r>
        <w:t>),</w:t>
      </w:r>
      <w:r w:rsidR="00DD330F" w:rsidRPr="00590DDC">
        <w:t xml:space="preserve"> </w:t>
      </w:r>
      <w:r w:rsidR="009614AB" w:rsidRPr="00590DDC">
        <w:t>Capabilit</w:t>
      </w:r>
      <w:r w:rsidR="009614AB">
        <w:t>ies</w:t>
      </w:r>
      <w:r w:rsidR="009614AB" w:rsidRPr="00590DDC">
        <w:t xml:space="preserve"> </w:t>
      </w:r>
      <w:r w:rsidR="00DD330F" w:rsidRPr="00590DDC">
        <w:t xml:space="preserve">Integration Team (CIT) conducts an annual data call to </w:t>
      </w:r>
      <w:r>
        <w:t>NASA</w:t>
      </w:r>
      <w:r w:rsidR="00DD330F" w:rsidRPr="00590DDC">
        <w:t xml:space="preserve">-designated subject matter experts in all technical disciplines associated with human exploration plans to update capability gap data based on the current set of architecture assumptions. Those subject matter experts consist of Systems Capability Leadership Teams (SCLTs), </w:t>
      </w:r>
      <w:r>
        <w:t>Space Technology Mission Directorate (</w:t>
      </w:r>
      <w:r w:rsidR="00DD330F" w:rsidRPr="00590DDC">
        <w:t>STMD</w:t>
      </w:r>
      <w:r>
        <w:t>)</w:t>
      </w:r>
      <w:r w:rsidR="00DD330F" w:rsidRPr="00590DDC">
        <w:t xml:space="preserve"> Principal Technologists (PTs), </w:t>
      </w:r>
      <w:r w:rsidR="00DD330F">
        <w:t>ESD</w:t>
      </w:r>
      <w:r w:rsidR="00DD330F" w:rsidRPr="00590DDC">
        <w:t>MD program managers and executives, center experts, Office of Safety and Mission Assurance (OSMA) planetary protection experts, and NASA Engineering and Safety Center (NESC) Technical Fellows</w:t>
      </w:r>
      <w:r w:rsidR="002D3D14" w:rsidRPr="002D3D14">
        <w:rPr>
          <w:vertAlign w:val="superscript"/>
        </w:rPr>
        <w:t>4</w:t>
      </w:r>
      <w:r w:rsidR="00DD330F" w:rsidRPr="00590DDC">
        <w:t xml:space="preserve">. </w:t>
      </w:r>
    </w:p>
    <w:p w14:paraId="383B2988" w14:textId="729F0F9E" w:rsidR="00DD330F" w:rsidRPr="00590DDC" w:rsidRDefault="00DD330F" w:rsidP="001236F3">
      <w:pPr>
        <w:pStyle w:val="Text"/>
      </w:pPr>
      <w:r w:rsidRPr="00590DDC">
        <w:t xml:space="preserve">Capability gaps are defined simply as the difference between the current state of the art capabilities and the anticipated needs of future human spaceflight architectures. High-level missions are derived by the human spaceflight architecture which </w:t>
      </w:r>
      <w:r w:rsidR="00393B80" w:rsidRPr="00590DDC">
        <w:t>considers</w:t>
      </w:r>
      <w:r w:rsidRPr="00590DDC">
        <w:t xml:space="preserve"> national space policy, stakeholder considerations, and NASA strategic guidance. Teams of discipline experts from across NASA review these missions and identify capability needs within their capability area. They then articulate the gaps between the current state of the art and the capability needs of the proposed exploration missions.</w:t>
      </w:r>
    </w:p>
    <w:p w14:paraId="4B98111E" w14:textId="77777777" w:rsidR="00DD330F" w:rsidRPr="00590DDC" w:rsidRDefault="00DD330F" w:rsidP="001236F3">
      <w:pPr>
        <w:pStyle w:val="Text"/>
      </w:pPr>
      <w:r w:rsidRPr="00590DDC">
        <w:t>Once the capability gaps have been determined, the discipline experts further characterize by type, indicating possible closure via new technology development, engineering development, acquisition of new knowledge/science, operations processes, or policy definition. These gap types are further defined, below:</w:t>
      </w:r>
    </w:p>
    <w:p w14:paraId="23D578B4" w14:textId="76E62511" w:rsidR="00DD330F" w:rsidRPr="00590DDC" w:rsidRDefault="00DD330F" w:rsidP="00D6075F">
      <w:pPr>
        <w:pStyle w:val="ListParagraph"/>
        <w:numPr>
          <w:ilvl w:val="0"/>
          <w:numId w:val="8"/>
        </w:numPr>
        <w:spacing w:after="0" w:line="240" w:lineRule="auto"/>
        <w:rPr>
          <w:rFonts w:ascii="Times New Roman" w:hAnsi="Times New Roman" w:cs="Times New Roman"/>
          <w:sz w:val="20"/>
          <w:szCs w:val="20"/>
        </w:rPr>
      </w:pPr>
      <w:r w:rsidRPr="00590DDC">
        <w:rPr>
          <w:rFonts w:ascii="Times New Roman" w:hAnsi="Times New Roman" w:cs="Times New Roman"/>
          <w:b/>
          <w:sz w:val="20"/>
          <w:szCs w:val="20"/>
        </w:rPr>
        <w:t>Technology Gap</w:t>
      </w:r>
      <w:r w:rsidRPr="00590DDC">
        <w:rPr>
          <w:rFonts w:ascii="Times New Roman" w:hAnsi="Times New Roman" w:cs="Times New Roman"/>
          <w:sz w:val="20"/>
          <w:szCs w:val="20"/>
        </w:rPr>
        <w:t>: new and/or novel performance or function that has not been demonstrated (solutions to this gap type are generally T</w:t>
      </w:r>
      <w:r w:rsidR="009F4B5F">
        <w:rPr>
          <w:rFonts w:ascii="Times New Roman" w:hAnsi="Times New Roman" w:cs="Times New Roman"/>
          <w:sz w:val="20"/>
          <w:szCs w:val="20"/>
        </w:rPr>
        <w:t xml:space="preserve">echnology </w:t>
      </w:r>
      <w:r w:rsidRPr="00590DDC">
        <w:rPr>
          <w:rFonts w:ascii="Times New Roman" w:hAnsi="Times New Roman" w:cs="Times New Roman"/>
          <w:sz w:val="20"/>
          <w:szCs w:val="20"/>
        </w:rPr>
        <w:t>RL 1-4); this gap type aligns with the</w:t>
      </w:r>
      <w:r w:rsidR="002D3D14">
        <w:rPr>
          <w:rFonts w:ascii="Times New Roman" w:hAnsi="Times New Roman" w:cs="Times New Roman"/>
          <w:sz w:val="20"/>
          <w:szCs w:val="20"/>
        </w:rPr>
        <w:t xml:space="preserve"> </w:t>
      </w:r>
      <w:r w:rsidRPr="00590DDC">
        <w:rPr>
          <w:rFonts w:ascii="Times New Roman" w:hAnsi="Times New Roman" w:cs="Times New Roman"/>
          <w:sz w:val="20"/>
          <w:szCs w:val="20"/>
        </w:rPr>
        <w:t xml:space="preserve">Technology </w:t>
      </w:r>
      <w:r w:rsidR="002D3D14">
        <w:rPr>
          <w:rFonts w:ascii="Times New Roman" w:hAnsi="Times New Roman" w:cs="Times New Roman"/>
          <w:sz w:val="20"/>
          <w:szCs w:val="20"/>
        </w:rPr>
        <w:t>Readiness Levels (</w:t>
      </w:r>
      <w:r w:rsidRPr="00590DDC">
        <w:rPr>
          <w:rFonts w:ascii="Times New Roman" w:hAnsi="Times New Roman" w:cs="Times New Roman"/>
          <w:sz w:val="20"/>
          <w:szCs w:val="20"/>
        </w:rPr>
        <w:t>TRL</w:t>
      </w:r>
      <w:r w:rsidR="002D3D14">
        <w:rPr>
          <w:rFonts w:ascii="Times New Roman" w:hAnsi="Times New Roman" w:cs="Times New Roman"/>
          <w:sz w:val="20"/>
          <w:szCs w:val="20"/>
        </w:rPr>
        <w:t>)</w:t>
      </w:r>
      <w:r w:rsidRPr="00590DDC">
        <w:rPr>
          <w:rFonts w:ascii="Times New Roman" w:hAnsi="Times New Roman" w:cs="Times New Roman"/>
          <w:sz w:val="20"/>
          <w:szCs w:val="20"/>
        </w:rPr>
        <w:t xml:space="preserve"> 1-4 definition within the NASA Technology Readiness Assessment Report (2016)</w:t>
      </w:r>
      <w:r w:rsidR="002D3D14">
        <w:rPr>
          <w:rFonts w:ascii="Times New Roman" w:hAnsi="Times New Roman" w:cs="Times New Roman"/>
          <w:sz w:val="20"/>
          <w:szCs w:val="20"/>
          <w:vertAlign w:val="superscript"/>
        </w:rPr>
        <w:t>5</w:t>
      </w:r>
      <w:r w:rsidRPr="00590DDC">
        <w:rPr>
          <w:rFonts w:ascii="Times New Roman" w:hAnsi="Times New Roman" w:cs="Times New Roman"/>
          <w:sz w:val="20"/>
          <w:szCs w:val="20"/>
        </w:rPr>
        <w:t>.</w:t>
      </w:r>
    </w:p>
    <w:p w14:paraId="4F844BD6" w14:textId="1292DB05" w:rsidR="00DD330F" w:rsidRPr="00590DDC" w:rsidRDefault="00DD330F" w:rsidP="00D6075F">
      <w:pPr>
        <w:pStyle w:val="ListParagraph"/>
        <w:numPr>
          <w:ilvl w:val="0"/>
          <w:numId w:val="8"/>
        </w:numPr>
        <w:spacing w:after="0" w:line="240" w:lineRule="auto"/>
        <w:rPr>
          <w:rFonts w:ascii="Times New Roman" w:hAnsi="Times New Roman" w:cs="Times New Roman"/>
          <w:sz w:val="20"/>
          <w:szCs w:val="20"/>
        </w:rPr>
      </w:pPr>
      <w:r w:rsidRPr="00590DDC">
        <w:rPr>
          <w:rFonts w:ascii="Times New Roman" w:hAnsi="Times New Roman" w:cs="Times New Roman"/>
          <w:b/>
          <w:sz w:val="20"/>
          <w:szCs w:val="20"/>
        </w:rPr>
        <w:t>Development Gap</w:t>
      </w:r>
      <w:r w:rsidRPr="00590DDC">
        <w:rPr>
          <w:rFonts w:ascii="Times New Roman" w:hAnsi="Times New Roman" w:cs="Times New Roman"/>
          <w:sz w:val="20"/>
          <w:szCs w:val="20"/>
        </w:rPr>
        <w:t>: at least one potential solution has been identified, but additional work is required to ensure feasibility of the new and/or novel performance or function in a specific operational application (solutions to this gap type are generally TRL 5-9); this gap type aligns with TRL</w:t>
      </w:r>
      <w:r w:rsidR="002D3D14">
        <w:rPr>
          <w:rFonts w:ascii="Times New Roman" w:hAnsi="Times New Roman" w:cs="Times New Roman"/>
          <w:sz w:val="20"/>
          <w:szCs w:val="20"/>
        </w:rPr>
        <w:t>s</w:t>
      </w:r>
      <w:r w:rsidRPr="00590DDC">
        <w:rPr>
          <w:rFonts w:ascii="Times New Roman" w:hAnsi="Times New Roman" w:cs="Times New Roman"/>
          <w:sz w:val="20"/>
          <w:szCs w:val="20"/>
        </w:rPr>
        <w:t xml:space="preserve"> 5-9 definition within the NASA Technology Readiness Assessment Report (2016).</w:t>
      </w:r>
    </w:p>
    <w:p w14:paraId="215E1E4C" w14:textId="77777777" w:rsidR="00DD330F" w:rsidRPr="00590DDC" w:rsidRDefault="00DD330F" w:rsidP="00D6075F">
      <w:pPr>
        <w:pStyle w:val="ListParagraph"/>
        <w:numPr>
          <w:ilvl w:val="0"/>
          <w:numId w:val="8"/>
        </w:numPr>
        <w:spacing w:after="0" w:line="240" w:lineRule="auto"/>
        <w:rPr>
          <w:rFonts w:ascii="Times New Roman" w:hAnsi="Times New Roman" w:cs="Times New Roman"/>
          <w:sz w:val="20"/>
          <w:szCs w:val="20"/>
        </w:rPr>
      </w:pPr>
      <w:r w:rsidRPr="00590DDC">
        <w:rPr>
          <w:rFonts w:ascii="Times New Roman" w:hAnsi="Times New Roman" w:cs="Times New Roman"/>
          <w:b/>
          <w:sz w:val="20"/>
          <w:szCs w:val="20"/>
        </w:rPr>
        <w:t>Engineering Gap</w:t>
      </w:r>
      <w:r w:rsidRPr="00590DDC">
        <w:rPr>
          <w:rFonts w:ascii="Times New Roman" w:hAnsi="Times New Roman" w:cs="Times New Roman"/>
          <w:sz w:val="20"/>
          <w:szCs w:val="20"/>
        </w:rPr>
        <w:t>: performance or function is well accepted (not new or novel), but requires engineering development for a specific mission (solutions to this gap type are generally TRL 5-9).</w:t>
      </w:r>
    </w:p>
    <w:p w14:paraId="32BCFD03" w14:textId="54955CE1" w:rsidR="00DD330F" w:rsidRPr="00590DDC" w:rsidRDefault="00DD330F" w:rsidP="00D6075F">
      <w:pPr>
        <w:pStyle w:val="ListParagraph"/>
        <w:numPr>
          <w:ilvl w:val="0"/>
          <w:numId w:val="8"/>
        </w:numPr>
        <w:spacing w:after="0" w:line="240" w:lineRule="auto"/>
        <w:rPr>
          <w:rFonts w:ascii="Times New Roman" w:hAnsi="Times New Roman" w:cs="Times New Roman"/>
          <w:sz w:val="20"/>
          <w:szCs w:val="20"/>
        </w:rPr>
      </w:pPr>
      <w:r w:rsidRPr="00590DDC">
        <w:rPr>
          <w:rFonts w:ascii="Times New Roman" w:hAnsi="Times New Roman" w:cs="Times New Roman"/>
          <w:b/>
          <w:sz w:val="20"/>
          <w:szCs w:val="20"/>
        </w:rPr>
        <w:t>Knowledge Gap</w:t>
      </w:r>
      <w:r w:rsidRPr="00590DDC">
        <w:rPr>
          <w:rFonts w:ascii="Times New Roman" w:hAnsi="Times New Roman" w:cs="Times New Roman"/>
          <w:sz w:val="20"/>
          <w:szCs w:val="20"/>
        </w:rPr>
        <w:t xml:space="preserve">: unknown data (e.g., </w:t>
      </w:r>
      <w:r w:rsidR="00393B80" w:rsidRPr="00590DDC">
        <w:rPr>
          <w:rFonts w:ascii="Times New Roman" w:hAnsi="Times New Roman" w:cs="Times New Roman"/>
          <w:sz w:val="20"/>
          <w:szCs w:val="20"/>
        </w:rPr>
        <w:t>chemical,</w:t>
      </w:r>
      <w:r w:rsidRPr="00590DDC">
        <w:rPr>
          <w:rFonts w:ascii="Times New Roman" w:hAnsi="Times New Roman" w:cs="Times New Roman"/>
          <w:sz w:val="20"/>
          <w:szCs w:val="20"/>
        </w:rPr>
        <w:t xml:space="preserve"> and physical properties) that will ultimately drive hardware requirements; these gaps typically require additional scientific research in order to close.</w:t>
      </w:r>
    </w:p>
    <w:p w14:paraId="174326CC" w14:textId="77777777" w:rsidR="00DD330F" w:rsidRPr="00590DDC" w:rsidRDefault="00DD330F" w:rsidP="00D6075F">
      <w:pPr>
        <w:pStyle w:val="ListParagraph"/>
        <w:numPr>
          <w:ilvl w:val="0"/>
          <w:numId w:val="8"/>
        </w:numPr>
        <w:spacing w:after="0" w:line="240" w:lineRule="auto"/>
        <w:rPr>
          <w:rFonts w:ascii="Times New Roman" w:hAnsi="Times New Roman" w:cs="Times New Roman"/>
          <w:sz w:val="20"/>
          <w:szCs w:val="20"/>
        </w:rPr>
      </w:pPr>
      <w:r w:rsidRPr="00590DDC">
        <w:rPr>
          <w:rFonts w:ascii="Times New Roman" w:hAnsi="Times New Roman" w:cs="Times New Roman"/>
          <w:b/>
          <w:bCs/>
          <w:sz w:val="20"/>
          <w:szCs w:val="20"/>
        </w:rPr>
        <w:t>Operations Gap</w:t>
      </w:r>
      <w:r w:rsidRPr="00590DDC">
        <w:rPr>
          <w:rFonts w:ascii="Times New Roman" w:hAnsi="Times New Roman" w:cs="Times New Roman"/>
          <w:sz w:val="20"/>
          <w:szCs w:val="20"/>
        </w:rPr>
        <w:t>: crewed and uncrewed mission operations considerations, including training and flight operations, that differ from current standards of practice and need to be defined and/or tested in order to enable the mission.</w:t>
      </w:r>
    </w:p>
    <w:p w14:paraId="06341743" w14:textId="77777777" w:rsidR="00DD330F" w:rsidRPr="00590DDC" w:rsidRDefault="00DD330F" w:rsidP="00D6075F">
      <w:pPr>
        <w:pStyle w:val="ListParagraph"/>
        <w:numPr>
          <w:ilvl w:val="0"/>
          <w:numId w:val="8"/>
        </w:numPr>
        <w:spacing w:after="0" w:line="240" w:lineRule="auto"/>
        <w:rPr>
          <w:rFonts w:ascii="Times New Roman" w:hAnsi="Times New Roman" w:cs="Times New Roman"/>
          <w:sz w:val="20"/>
          <w:szCs w:val="20"/>
        </w:rPr>
      </w:pPr>
      <w:r w:rsidRPr="00590DDC">
        <w:rPr>
          <w:rFonts w:ascii="Times New Roman" w:hAnsi="Times New Roman" w:cs="Times New Roman"/>
          <w:b/>
          <w:bCs/>
          <w:sz w:val="20"/>
          <w:szCs w:val="20"/>
        </w:rPr>
        <w:t>Policy Gap</w:t>
      </w:r>
      <w:r w:rsidRPr="00590DDC">
        <w:rPr>
          <w:rFonts w:ascii="Times New Roman" w:hAnsi="Times New Roman" w:cs="Times New Roman"/>
          <w:sz w:val="20"/>
          <w:szCs w:val="20"/>
        </w:rPr>
        <w:t>: policy or management issues that are needed to define closure of other gap types (e.g., risk postures, planetary protection policies, strategic mission objectives, etc.).</w:t>
      </w:r>
    </w:p>
    <w:p w14:paraId="4D91F04A" w14:textId="77777777" w:rsidR="00DD330F" w:rsidRPr="00590DDC" w:rsidRDefault="00DD330F" w:rsidP="001236F3">
      <w:pPr>
        <w:pStyle w:val="Heading2"/>
      </w:pPr>
      <w:r w:rsidRPr="00590DDC">
        <w:t>Data Integration</w:t>
      </w:r>
    </w:p>
    <w:p w14:paraId="72BC2776" w14:textId="4E974725" w:rsidR="00DD330F" w:rsidRPr="00590DDC" w:rsidRDefault="00DD330F" w:rsidP="001236F3">
      <w:pPr>
        <w:pStyle w:val="Text"/>
      </w:pPr>
      <w:r w:rsidRPr="00590DDC">
        <w:t xml:space="preserve">Gaps are </w:t>
      </w:r>
      <w:r w:rsidR="002D3D14">
        <w:t>distributed</w:t>
      </w:r>
      <w:r w:rsidRPr="00590DDC">
        <w:t xml:space="preserve"> to the respective human spaceflight architecture element leads to validate </w:t>
      </w:r>
      <w:r w:rsidR="00393B80" w:rsidRPr="00590DDC">
        <w:t>those gaps</w:t>
      </w:r>
      <w:r w:rsidRPr="00590DDC">
        <w:t xml:space="preserve"> are mapped appropriately to selected campaign elements and are characterized as enabling or enhancing, which are further defined, below: </w:t>
      </w:r>
    </w:p>
    <w:p w14:paraId="3742DF3E" w14:textId="77777777" w:rsidR="00DD330F" w:rsidRPr="00590DDC" w:rsidRDefault="00DD330F" w:rsidP="00D6075F">
      <w:pPr>
        <w:pStyle w:val="ListParagraph"/>
        <w:numPr>
          <w:ilvl w:val="0"/>
          <w:numId w:val="7"/>
        </w:numPr>
        <w:spacing w:after="0" w:line="240" w:lineRule="auto"/>
        <w:rPr>
          <w:rFonts w:ascii="Times New Roman" w:hAnsi="Times New Roman" w:cs="Times New Roman"/>
          <w:sz w:val="20"/>
          <w:szCs w:val="20"/>
        </w:rPr>
      </w:pPr>
      <w:r w:rsidRPr="00590DDC">
        <w:rPr>
          <w:rFonts w:ascii="Times New Roman" w:hAnsi="Times New Roman" w:cs="Times New Roman"/>
          <w:b/>
          <w:sz w:val="20"/>
          <w:szCs w:val="20"/>
        </w:rPr>
        <w:t>Enabling</w:t>
      </w:r>
      <w:r w:rsidRPr="00590DDC">
        <w:rPr>
          <w:rFonts w:ascii="Times New Roman" w:hAnsi="Times New Roman" w:cs="Times New Roman"/>
          <w:sz w:val="20"/>
          <w:szCs w:val="20"/>
        </w:rPr>
        <w:t>: System/architecture cannot function or achieve mission success without closing this gap; there may be alternatives such as different operational approaches or accepting more risk, but usually at additional cost/resources.</w:t>
      </w:r>
    </w:p>
    <w:p w14:paraId="1B7B0D4A" w14:textId="77777777" w:rsidR="00DD330F" w:rsidRPr="00590DDC" w:rsidRDefault="00DD330F" w:rsidP="00D6075F">
      <w:pPr>
        <w:pStyle w:val="ListParagraph"/>
        <w:numPr>
          <w:ilvl w:val="0"/>
          <w:numId w:val="7"/>
        </w:numPr>
        <w:spacing w:after="0" w:line="240" w:lineRule="auto"/>
        <w:rPr>
          <w:rFonts w:ascii="Times New Roman" w:hAnsi="Times New Roman" w:cs="Times New Roman"/>
          <w:sz w:val="20"/>
          <w:szCs w:val="20"/>
        </w:rPr>
      </w:pPr>
      <w:r w:rsidRPr="00590DDC">
        <w:rPr>
          <w:rFonts w:ascii="Times New Roman" w:hAnsi="Times New Roman" w:cs="Times New Roman"/>
          <w:b/>
          <w:sz w:val="20"/>
          <w:szCs w:val="20"/>
        </w:rPr>
        <w:t>Enhancing</w:t>
      </w:r>
      <w:r w:rsidRPr="00590DDC">
        <w:rPr>
          <w:rFonts w:ascii="Times New Roman" w:hAnsi="Times New Roman" w:cs="Times New Roman"/>
          <w:sz w:val="20"/>
          <w:szCs w:val="20"/>
        </w:rPr>
        <w:t>: Not strictly required to function or achieve mission success, but closing this gap (potentially in combination with other gaps) improves the architecture by adding functionality or resiliency.</w:t>
      </w:r>
    </w:p>
    <w:p w14:paraId="5AB99976" w14:textId="77777777" w:rsidR="00DD330F" w:rsidRPr="00590DDC" w:rsidRDefault="00DD330F" w:rsidP="001236F3">
      <w:pPr>
        <w:pStyle w:val="Text"/>
      </w:pPr>
      <w:r w:rsidRPr="00590DDC">
        <w:t xml:space="preserve">The resultant integrated gap list represents a set of accepted enabling or enhancing gaps that have been validated and agreed upon by stakeholders across multiple technical communities. </w:t>
      </w:r>
    </w:p>
    <w:p w14:paraId="683FA1DA" w14:textId="77777777" w:rsidR="00DD330F" w:rsidRPr="00590DDC" w:rsidRDefault="00DD330F" w:rsidP="001236F3">
      <w:pPr>
        <w:pStyle w:val="Heading2"/>
      </w:pPr>
      <w:r w:rsidRPr="00590DDC">
        <w:t>Data Categorization</w:t>
      </w:r>
    </w:p>
    <w:p w14:paraId="6C311836" w14:textId="6D227EDF" w:rsidR="00DD330F" w:rsidRPr="00590DDC" w:rsidRDefault="00DD330F" w:rsidP="001236F3">
      <w:pPr>
        <w:pStyle w:val="Text"/>
      </w:pPr>
      <w:r w:rsidRPr="00590DDC">
        <w:t>The data call culminates with the categorization of the integrated gap list based upon the following factors: 1. Whether the gap is enabling or enhancing, and 2. Investment need date based upon current campaign manifest and projected design development test and evaluation schedules. The investment need date thresholds are intended to inform the current Planning, Programming, Budgeting, and Execution (PPBE) cycle and provided, as follows:</w:t>
      </w:r>
    </w:p>
    <w:p w14:paraId="327ABEA9" w14:textId="77777777" w:rsidR="00DD330F" w:rsidRPr="00590DDC" w:rsidRDefault="00DD330F" w:rsidP="00D6075F">
      <w:pPr>
        <w:pStyle w:val="ListParagraph"/>
        <w:numPr>
          <w:ilvl w:val="0"/>
          <w:numId w:val="6"/>
        </w:numPr>
        <w:spacing w:after="0" w:line="240" w:lineRule="auto"/>
        <w:rPr>
          <w:rFonts w:ascii="Times New Roman" w:hAnsi="Times New Roman" w:cs="Times New Roman"/>
          <w:sz w:val="20"/>
          <w:szCs w:val="20"/>
        </w:rPr>
      </w:pPr>
      <w:r w:rsidRPr="00590DDC">
        <w:rPr>
          <w:rFonts w:ascii="Times New Roman" w:hAnsi="Times New Roman" w:cs="Times New Roman"/>
          <w:b/>
          <w:sz w:val="20"/>
          <w:szCs w:val="20"/>
        </w:rPr>
        <w:lastRenderedPageBreak/>
        <w:t>Near-Term</w:t>
      </w:r>
      <w:r w:rsidRPr="00590DDC">
        <w:rPr>
          <w:rFonts w:ascii="Times New Roman" w:hAnsi="Times New Roman" w:cs="Times New Roman"/>
          <w:sz w:val="20"/>
          <w:szCs w:val="20"/>
        </w:rPr>
        <w:t>: present – 2 years; investment in this category is required presently through the execution phase of the current PPBE cycle.</w:t>
      </w:r>
    </w:p>
    <w:p w14:paraId="29F13ABA" w14:textId="77777777" w:rsidR="00DD330F" w:rsidRPr="00590DDC" w:rsidRDefault="00DD330F" w:rsidP="00D6075F">
      <w:pPr>
        <w:pStyle w:val="ListParagraph"/>
        <w:numPr>
          <w:ilvl w:val="0"/>
          <w:numId w:val="6"/>
        </w:numPr>
        <w:spacing w:after="0" w:line="240" w:lineRule="auto"/>
        <w:rPr>
          <w:rFonts w:ascii="Times New Roman" w:hAnsi="Times New Roman" w:cs="Times New Roman"/>
          <w:sz w:val="20"/>
          <w:szCs w:val="20"/>
        </w:rPr>
      </w:pPr>
      <w:r w:rsidRPr="00590DDC">
        <w:rPr>
          <w:rFonts w:ascii="Times New Roman" w:hAnsi="Times New Roman" w:cs="Times New Roman"/>
          <w:b/>
          <w:sz w:val="20"/>
          <w:szCs w:val="20"/>
        </w:rPr>
        <w:t>Mid-Term</w:t>
      </w:r>
      <w:r w:rsidRPr="00590DDC">
        <w:rPr>
          <w:rFonts w:ascii="Times New Roman" w:hAnsi="Times New Roman" w:cs="Times New Roman"/>
          <w:sz w:val="20"/>
          <w:szCs w:val="20"/>
        </w:rPr>
        <w:t>: 3 – 6 years; investment in this category is required during the formulation and advocacy phases of the current PPBE cycle.</w:t>
      </w:r>
    </w:p>
    <w:p w14:paraId="2666C98A" w14:textId="77777777" w:rsidR="00DD330F" w:rsidRPr="007C7E69" w:rsidRDefault="00DD330F" w:rsidP="00D6075F">
      <w:pPr>
        <w:pStyle w:val="ListParagraph"/>
        <w:numPr>
          <w:ilvl w:val="0"/>
          <w:numId w:val="6"/>
        </w:numPr>
        <w:spacing w:after="0" w:line="240" w:lineRule="auto"/>
        <w:contextualSpacing w:val="0"/>
        <w:rPr>
          <w:rFonts w:ascii="Times New Roman" w:hAnsi="Times New Roman" w:cs="Times New Roman"/>
          <w:sz w:val="20"/>
          <w:szCs w:val="20"/>
        </w:rPr>
      </w:pPr>
      <w:r w:rsidRPr="00590DDC">
        <w:rPr>
          <w:rFonts w:ascii="Times New Roman" w:hAnsi="Times New Roman" w:cs="Times New Roman"/>
          <w:b/>
          <w:sz w:val="20"/>
          <w:szCs w:val="20"/>
        </w:rPr>
        <w:t>Long-Term</w:t>
      </w:r>
      <w:r w:rsidRPr="00590DDC">
        <w:rPr>
          <w:rFonts w:ascii="Times New Roman" w:hAnsi="Times New Roman" w:cs="Times New Roman"/>
          <w:sz w:val="20"/>
          <w:szCs w:val="20"/>
        </w:rPr>
        <w:t>: greater than 6 years; investment in this category is beyond the current PPBE budget horizon.</w:t>
      </w:r>
    </w:p>
    <w:p w14:paraId="6C2D700C" w14:textId="7FBB0558" w:rsidR="00DD330F" w:rsidRDefault="00DD330F" w:rsidP="00DD330F">
      <w:pPr>
        <w:pStyle w:val="Text"/>
        <w:ind w:firstLine="0"/>
      </w:pPr>
      <w:r>
        <w:t xml:space="preserve">These categorizations influence senior management decision making regarding funding strategy. The gap process allows for better integration across all relevant stakeholders by </w:t>
      </w:r>
      <w:r w:rsidR="009614AB">
        <w:t xml:space="preserve">enabling creation of </w:t>
      </w:r>
      <w:r>
        <w:t>gap closure roadmaps with element development timelines. In total, there are nearly 500 gaps, of which around 100 pertain to Human Health, Life Support, and Habitation Systems</w:t>
      </w:r>
      <w:r w:rsidR="002D3D14">
        <w:t xml:space="preserve"> and approximately 76 directly relate to the ECLSS-CHP SCLT capability areas.</w:t>
      </w:r>
    </w:p>
    <w:p w14:paraId="4C200089" w14:textId="03C364B5" w:rsidR="009B2E09" w:rsidRDefault="009B2E09" w:rsidP="00D6075F">
      <w:pPr>
        <w:pStyle w:val="Heading1"/>
        <w:numPr>
          <w:ilvl w:val="0"/>
          <w:numId w:val="1"/>
        </w:numPr>
      </w:pPr>
      <w:r>
        <w:t xml:space="preserve">NASA </w:t>
      </w:r>
      <w:r w:rsidR="00B5693C">
        <w:t>Human Risk Alignment</w:t>
      </w:r>
      <w:r>
        <w:t xml:space="preserve"> </w:t>
      </w:r>
    </w:p>
    <w:p w14:paraId="395644BA" w14:textId="670BF138" w:rsidR="00386F4F" w:rsidRDefault="005A4CF8" w:rsidP="00BA4FA9">
      <w:pPr>
        <w:pStyle w:val="Text"/>
        <w:rPr>
          <w:color w:val="000000" w:themeColor="text1"/>
        </w:rPr>
      </w:pPr>
      <w:r>
        <w:rPr>
          <w:color w:val="000000" w:themeColor="text1"/>
        </w:rPr>
        <w:t xml:space="preserve">While the gap process directly aligns with mission architectures and vehicle elements, the astronauts are considered additional as part of the human “system” and additional gap alignments need to be considered. </w:t>
      </w:r>
      <w:r w:rsidR="00386F4F" w:rsidRPr="00BA4FA9">
        <w:rPr>
          <w:color w:val="000000" w:themeColor="text1"/>
        </w:rPr>
        <w:t>The Human System Risk Board (HSRB) is chartered by NASA’s Office of the Chief Health and Medical Officer (OCHMO) and maintains a set of twenty-nine Human System Risks to aid in identifying and prioritizing human research needs</w:t>
      </w:r>
      <w:r w:rsidR="00CA55A6" w:rsidRPr="005A4CF8">
        <w:rPr>
          <w:color w:val="000000" w:themeColor="text1"/>
          <w:vertAlign w:val="superscript"/>
        </w:rPr>
        <w:t>6</w:t>
      </w:r>
      <w:r w:rsidR="00386F4F" w:rsidRPr="00BA4FA9">
        <w:rPr>
          <w:color w:val="000000" w:themeColor="text1"/>
        </w:rPr>
        <w:t xml:space="preserve">. Discipline experts provide </w:t>
      </w:r>
      <w:r w:rsidR="00BA4FA9" w:rsidRPr="00BA4FA9">
        <w:rPr>
          <w:color w:val="000000" w:themeColor="text1"/>
        </w:rPr>
        <w:t xml:space="preserve">periodic </w:t>
      </w:r>
      <w:r w:rsidR="00386F4F" w:rsidRPr="00BA4FA9">
        <w:rPr>
          <w:color w:val="000000" w:themeColor="text1"/>
        </w:rPr>
        <w:t xml:space="preserve">updates to the estimated likelihood and consequence associated with each risk </w:t>
      </w:r>
      <w:r w:rsidR="00BA4FA9" w:rsidRPr="00BA4FA9">
        <w:rPr>
          <w:color w:val="000000" w:themeColor="text1"/>
        </w:rPr>
        <w:t xml:space="preserve">based on </w:t>
      </w:r>
      <w:r w:rsidR="00386F4F" w:rsidRPr="00BA4FA9">
        <w:rPr>
          <w:color w:val="000000" w:themeColor="text1"/>
        </w:rPr>
        <w:t xml:space="preserve">a set of generic design reference missions. </w:t>
      </w:r>
      <w:r w:rsidR="00BA4FA9" w:rsidRPr="00BA4FA9">
        <w:rPr>
          <w:color w:val="000000" w:themeColor="text1"/>
        </w:rPr>
        <w:t xml:space="preserve">While the HSRB does not direct agency investments, the Human System Risks are valuable tools in </w:t>
      </w:r>
      <w:r w:rsidR="00386F4F" w:rsidRPr="00BA4FA9">
        <w:rPr>
          <w:color w:val="000000" w:themeColor="text1"/>
        </w:rPr>
        <w:t xml:space="preserve">identifying and prioritizing </w:t>
      </w:r>
      <w:r w:rsidR="00BA4FA9" w:rsidRPr="00BA4FA9">
        <w:rPr>
          <w:color w:val="000000" w:themeColor="text1"/>
        </w:rPr>
        <w:t xml:space="preserve">human-centered </w:t>
      </w:r>
      <w:r w:rsidR="00386F4F" w:rsidRPr="00BA4FA9">
        <w:rPr>
          <w:color w:val="000000" w:themeColor="text1"/>
        </w:rPr>
        <w:t>research investments</w:t>
      </w:r>
      <w:r w:rsidR="00BA4FA9" w:rsidRPr="00BA4FA9">
        <w:rPr>
          <w:color w:val="000000" w:themeColor="text1"/>
        </w:rPr>
        <w:t>. For example, the Human Research Program (HRP)</w:t>
      </w:r>
      <w:r w:rsidR="00386F4F" w:rsidRPr="00BA4FA9">
        <w:rPr>
          <w:color w:val="000000" w:themeColor="text1"/>
        </w:rPr>
        <w:t xml:space="preserve"> maintain</w:t>
      </w:r>
      <w:r w:rsidR="00BA4FA9" w:rsidRPr="00BA4FA9">
        <w:rPr>
          <w:color w:val="000000" w:themeColor="text1"/>
        </w:rPr>
        <w:t>s</w:t>
      </w:r>
      <w:r w:rsidR="00386F4F" w:rsidRPr="00BA4FA9">
        <w:rPr>
          <w:color w:val="000000" w:themeColor="text1"/>
        </w:rPr>
        <w:t xml:space="preserve"> a Human Research Roadmap</w:t>
      </w:r>
      <w:r w:rsidR="00CA55A6">
        <w:rPr>
          <w:rStyle w:val="FootnoteReference"/>
          <w:color w:val="000000" w:themeColor="text1"/>
        </w:rPr>
        <w:t>7</w:t>
      </w:r>
      <w:r w:rsidR="00CA55A6">
        <w:rPr>
          <w:color w:val="000000" w:themeColor="text1"/>
        </w:rPr>
        <w:t xml:space="preserve"> </w:t>
      </w:r>
      <w:r w:rsidR="00386F4F" w:rsidRPr="00BA4FA9">
        <w:rPr>
          <w:color w:val="000000" w:themeColor="text1"/>
        </w:rPr>
        <w:t xml:space="preserve">which is a strategic plan that identifies research activities aimed at improving NASA’s ability to characterize and/or mitigate the respective human system risks. </w:t>
      </w:r>
    </w:p>
    <w:p w14:paraId="203239A7" w14:textId="00385501" w:rsidR="00515A66" w:rsidRPr="00DD330F" w:rsidRDefault="008B704B" w:rsidP="00DD330F">
      <w:pPr>
        <w:pStyle w:val="Text"/>
        <w:rPr>
          <w:color w:val="000000" w:themeColor="text1"/>
        </w:rPr>
      </w:pPr>
      <w:r>
        <w:rPr>
          <w:color w:val="000000" w:themeColor="text1"/>
        </w:rPr>
        <w:t xml:space="preserve">In many cases, </w:t>
      </w:r>
      <w:r w:rsidR="00117DAD">
        <w:rPr>
          <w:color w:val="000000" w:themeColor="text1"/>
        </w:rPr>
        <w:t xml:space="preserve">research must be accompanied by </w:t>
      </w:r>
      <w:r>
        <w:rPr>
          <w:color w:val="000000" w:themeColor="text1"/>
        </w:rPr>
        <w:t xml:space="preserve">technology development </w:t>
      </w:r>
      <w:r w:rsidR="00386F4F" w:rsidRPr="00DD330F">
        <w:rPr>
          <w:color w:val="000000" w:themeColor="text1"/>
        </w:rPr>
        <w:t xml:space="preserve">to mature required countermeasures or other capabilities. </w:t>
      </w:r>
      <w:r w:rsidR="00AE2D56" w:rsidRPr="00DD330F">
        <w:rPr>
          <w:color w:val="000000" w:themeColor="text1"/>
        </w:rPr>
        <w:t xml:space="preserve">While the HRP conducts technology development in some instances, it is primarily a research program, and </w:t>
      </w:r>
      <w:r w:rsidR="004F36BE" w:rsidRPr="00DD330F">
        <w:rPr>
          <w:color w:val="000000" w:themeColor="text1"/>
        </w:rPr>
        <w:t xml:space="preserve">thus the “Path to Risk Reduction” </w:t>
      </w:r>
      <w:r w:rsidR="00AE2D56" w:rsidRPr="00DD330F">
        <w:rPr>
          <w:color w:val="000000" w:themeColor="text1"/>
        </w:rPr>
        <w:t xml:space="preserve">roadmaps </w:t>
      </w:r>
      <w:r w:rsidR="004F36BE" w:rsidRPr="00DD330F">
        <w:rPr>
          <w:color w:val="000000" w:themeColor="text1"/>
        </w:rPr>
        <w:t xml:space="preserve">used by HRP have </w:t>
      </w:r>
      <w:r w:rsidR="00AE2D56" w:rsidRPr="00DD330F">
        <w:rPr>
          <w:color w:val="000000" w:themeColor="text1"/>
        </w:rPr>
        <w:t>typically focused on HRP-funded research and development activities</w:t>
      </w:r>
      <w:r w:rsidR="004F36BE" w:rsidRPr="00DD330F">
        <w:rPr>
          <w:color w:val="000000" w:themeColor="text1"/>
        </w:rPr>
        <w:t xml:space="preserve"> aligned with HSRB Risks</w:t>
      </w:r>
      <w:r w:rsidR="00AE2D56" w:rsidRPr="00DD330F">
        <w:rPr>
          <w:color w:val="000000" w:themeColor="text1"/>
        </w:rPr>
        <w:t>.</w:t>
      </w:r>
      <w:r w:rsidR="004E559D" w:rsidRPr="00DD330F">
        <w:rPr>
          <w:color w:val="000000" w:themeColor="text1"/>
        </w:rPr>
        <w:t xml:space="preserve"> </w:t>
      </w:r>
      <w:r w:rsidR="005A4CF8">
        <w:rPr>
          <w:color w:val="000000" w:themeColor="text1"/>
        </w:rPr>
        <w:t xml:space="preserve"> The HRP research supports closure of some of the CIT knowledge and operation gaps in addition to other gap types.</w:t>
      </w:r>
    </w:p>
    <w:p w14:paraId="09AB2E3A" w14:textId="260399FC" w:rsidR="004361DA" w:rsidRPr="00DD330F" w:rsidRDefault="00A5687B" w:rsidP="00DD330F">
      <w:pPr>
        <w:pStyle w:val="Text"/>
        <w:rPr>
          <w:color w:val="000000" w:themeColor="text1"/>
        </w:rPr>
      </w:pPr>
      <w:r w:rsidRPr="00DD330F">
        <w:rPr>
          <w:color w:val="000000" w:themeColor="text1"/>
        </w:rPr>
        <w:t xml:space="preserve">Where </w:t>
      </w:r>
      <w:r w:rsidR="00140EA5" w:rsidRPr="00DD330F">
        <w:rPr>
          <w:color w:val="000000" w:themeColor="text1"/>
        </w:rPr>
        <w:t xml:space="preserve">the need for a new </w:t>
      </w:r>
      <w:r w:rsidR="0038292A" w:rsidRPr="00DD330F">
        <w:rPr>
          <w:color w:val="000000" w:themeColor="text1"/>
        </w:rPr>
        <w:t xml:space="preserve">capability </w:t>
      </w:r>
      <w:r w:rsidRPr="00DD330F">
        <w:rPr>
          <w:color w:val="000000" w:themeColor="text1"/>
        </w:rPr>
        <w:t>is identified for a future mission, these are referred to as capability gaps</w:t>
      </w:r>
      <w:r w:rsidR="009D654A" w:rsidRPr="00DD330F">
        <w:rPr>
          <w:color w:val="000000" w:themeColor="text1"/>
        </w:rPr>
        <w:t>, and a</w:t>
      </w:r>
      <w:r w:rsidRPr="00DD330F">
        <w:rPr>
          <w:color w:val="000000" w:themeColor="text1"/>
        </w:rPr>
        <w:t xml:space="preserve"> primary function of the ECLSS-CHP SCLT is to continually </w:t>
      </w:r>
      <w:r w:rsidR="008F5721" w:rsidRPr="00DD330F">
        <w:rPr>
          <w:color w:val="000000" w:themeColor="text1"/>
        </w:rPr>
        <w:t xml:space="preserve">monitor and </w:t>
      </w:r>
      <w:r w:rsidRPr="00DD330F">
        <w:rPr>
          <w:color w:val="000000" w:themeColor="text1"/>
        </w:rPr>
        <w:t xml:space="preserve">update </w:t>
      </w:r>
      <w:r w:rsidR="008F5721" w:rsidRPr="00DD330F">
        <w:rPr>
          <w:color w:val="000000" w:themeColor="text1"/>
        </w:rPr>
        <w:t xml:space="preserve">the </w:t>
      </w:r>
      <w:r w:rsidRPr="00DD330F">
        <w:rPr>
          <w:color w:val="000000" w:themeColor="text1"/>
        </w:rPr>
        <w:t>capability gaps relevant to ECLSS-CHP</w:t>
      </w:r>
      <w:r w:rsidR="008F5721" w:rsidRPr="00DD330F">
        <w:rPr>
          <w:color w:val="000000" w:themeColor="text1"/>
        </w:rPr>
        <w:t>,</w:t>
      </w:r>
      <w:r w:rsidRPr="00DD330F">
        <w:rPr>
          <w:color w:val="000000" w:themeColor="text1"/>
        </w:rPr>
        <w:t xml:space="preserve"> and to establish and oversee multiyear strategic roadmaps aimed at guiding NASA’s technology development priorities in these areas. </w:t>
      </w:r>
      <w:r w:rsidR="00157904" w:rsidRPr="00DD330F">
        <w:rPr>
          <w:color w:val="000000" w:themeColor="text1"/>
        </w:rPr>
        <w:t>Close coordination between the SCLT and HRP is therefore essential to ensure appropriate alignment and prioritization of CHP-related research and technology development to enable NASA’s future exploration missions.</w:t>
      </w:r>
    </w:p>
    <w:p w14:paraId="4089D135" w14:textId="40EF47EE" w:rsidR="009C3EDA" w:rsidRPr="00DD330F" w:rsidRDefault="00480A16" w:rsidP="00386F4F">
      <w:pPr>
        <w:pStyle w:val="Text"/>
        <w:rPr>
          <w:color w:val="000000" w:themeColor="text1"/>
        </w:rPr>
      </w:pPr>
      <w:r w:rsidRPr="00DD330F">
        <w:rPr>
          <w:color w:val="000000" w:themeColor="text1"/>
        </w:rPr>
        <w:t>To this end</w:t>
      </w:r>
      <w:r w:rsidR="00386F4F" w:rsidRPr="00DD330F">
        <w:rPr>
          <w:color w:val="000000" w:themeColor="text1"/>
        </w:rPr>
        <w:t>, the SCLT and HRP collaborated to establish a set of Human System Capability Gaps</w:t>
      </w:r>
      <w:r w:rsidR="00CA55A6" w:rsidRPr="00CA55A6">
        <w:rPr>
          <w:color w:val="000000" w:themeColor="text1"/>
          <w:vertAlign w:val="superscript"/>
        </w:rPr>
        <w:t>8</w:t>
      </w:r>
      <w:r w:rsidR="00386F4F" w:rsidRPr="00DD330F">
        <w:rPr>
          <w:color w:val="000000" w:themeColor="text1"/>
        </w:rPr>
        <w:t>, which establish</w:t>
      </w:r>
      <w:r w:rsidRPr="00DD330F">
        <w:rPr>
          <w:color w:val="000000" w:themeColor="text1"/>
        </w:rPr>
        <w:t>ed</w:t>
      </w:r>
      <w:r w:rsidR="00386F4F" w:rsidRPr="00DD330F">
        <w:rPr>
          <w:color w:val="000000" w:themeColor="text1"/>
        </w:rPr>
        <w:t xml:space="preserve"> a formal linkage between the capability gaps used to prioritize investments across much of NASA, and the Human System Risks that are primarily used to inform and prioritize human research. This set of twenty-eight gaps was developed by subject matter experts, </w:t>
      </w:r>
      <w:r w:rsidR="009C3EDA" w:rsidRPr="00DD330F">
        <w:rPr>
          <w:color w:val="000000" w:themeColor="text1"/>
        </w:rPr>
        <w:t xml:space="preserve">and </w:t>
      </w:r>
      <w:r w:rsidR="00386F4F" w:rsidRPr="00DD330F">
        <w:rPr>
          <w:color w:val="000000" w:themeColor="text1"/>
        </w:rPr>
        <w:t xml:space="preserve">each gap </w:t>
      </w:r>
      <w:r w:rsidR="009C3EDA" w:rsidRPr="00DD330F">
        <w:rPr>
          <w:color w:val="000000" w:themeColor="text1"/>
        </w:rPr>
        <w:t xml:space="preserve">was </w:t>
      </w:r>
      <w:r w:rsidR="00386F4F" w:rsidRPr="00DD330F">
        <w:rPr>
          <w:color w:val="000000" w:themeColor="text1"/>
        </w:rPr>
        <w:t xml:space="preserve">mapped to the primary associated Human System Risks. The gaps and risk mapping were then formally reviewed and approved via the HSRB </w:t>
      </w:r>
      <w:r w:rsidR="00F6783A" w:rsidRPr="00DD330F">
        <w:rPr>
          <w:color w:val="000000" w:themeColor="text1"/>
        </w:rPr>
        <w:t>in 2021</w:t>
      </w:r>
      <w:r w:rsidR="00B01CBF" w:rsidRPr="00DD330F">
        <w:rPr>
          <w:color w:val="000000" w:themeColor="text1"/>
        </w:rPr>
        <w:t xml:space="preserve"> </w:t>
      </w:r>
      <w:r w:rsidR="00386F4F" w:rsidRPr="00DD330F">
        <w:rPr>
          <w:color w:val="000000" w:themeColor="text1"/>
        </w:rPr>
        <w:t xml:space="preserve">and submitted via the agency-level capability gap update process. </w:t>
      </w:r>
      <w:r w:rsidR="00B01CBF" w:rsidRPr="00DD330F">
        <w:rPr>
          <w:color w:val="000000" w:themeColor="text1"/>
        </w:rPr>
        <w:t>This process is now repeated annually with the most recent updates described in a companion paper</w:t>
      </w:r>
      <w:r w:rsidR="00CA55A6" w:rsidRPr="00CA55A6">
        <w:rPr>
          <w:color w:val="000000" w:themeColor="text1"/>
          <w:vertAlign w:val="superscript"/>
        </w:rPr>
        <w:t>2</w:t>
      </w:r>
      <w:r w:rsidR="00B01CBF" w:rsidRPr="00DD330F">
        <w:rPr>
          <w:color w:val="000000" w:themeColor="text1"/>
        </w:rPr>
        <w:t xml:space="preserve">. </w:t>
      </w:r>
    </w:p>
    <w:p w14:paraId="490EE83D" w14:textId="49D44E29" w:rsidR="004A1F60" w:rsidRPr="00DD330F" w:rsidRDefault="00EF5569" w:rsidP="009B2E09">
      <w:pPr>
        <w:pStyle w:val="Text"/>
        <w:rPr>
          <w:color w:val="000000" w:themeColor="text1"/>
        </w:rPr>
      </w:pPr>
      <w:r w:rsidRPr="00CA55A6">
        <w:rPr>
          <w:noProof/>
        </w:rPr>
        <w:lastRenderedPageBreak/>
        <mc:AlternateContent>
          <mc:Choice Requires="wps">
            <w:drawing>
              <wp:anchor distT="0" distB="0" distL="114300" distR="114300" simplePos="0" relativeHeight="251679744" behindDoc="0" locked="0" layoutInCell="1" allowOverlap="1" wp14:anchorId="595CCEEA" wp14:editId="57DD89D9">
                <wp:simplePos x="0" y="0"/>
                <wp:positionH relativeFrom="margin">
                  <wp:align>right</wp:align>
                </wp:positionH>
                <wp:positionV relativeFrom="margin">
                  <wp:posOffset>1320800</wp:posOffset>
                </wp:positionV>
                <wp:extent cx="5947410" cy="3092450"/>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3092450"/>
                        </a:xfrm>
                        <a:prstGeom prst="rect">
                          <a:avLst/>
                        </a:prstGeom>
                        <a:solidFill>
                          <a:srgbClr val="FFFFFF"/>
                        </a:solidFill>
                        <a:ln w="9525">
                          <a:noFill/>
                          <a:miter lim="800000"/>
                          <a:headEnd/>
                          <a:tailEnd/>
                        </a:ln>
                      </wps:spPr>
                      <wps:txbx>
                        <w:txbxContent>
                          <w:p w14:paraId="3A52D5F7" w14:textId="165A0BDD" w:rsidR="00EF5569" w:rsidRPr="005C5B10" w:rsidRDefault="00B62F46" w:rsidP="00DD330F">
                            <w:pPr>
                              <w:pStyle w:val="Text"/>
                            </w:pPr>
                            <w:r w:rsidRPr="00B62F46">
                              <w:rPr>
                                <w:noProof/>
                              </w:rPr>
                              <w:drawing>
                                <wp:inline distT="0" distB="0" distL="0" distR="0" wp14:anchorId="5A529068" wp14:editId="6CFCD06D">
                                  <wp:extent cx="5470498" cy="27153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4959" cy="2722538"/>
                                          </a:xfrm>
                                          <a:prstGeom prst="rect">
                                            <a:avLst/>
                                          </a:prstGeom>
                                        </pic:spPr>
                                      </pic:pic>
                                    </a:graphicData>
                                  </a:graphic>
                                </wp:inline>
                              </w:drawing>
                            </w:r>
                          </w:p>
                          <w:p w14:paraId="0CE4A0B9" w14:textId="5DB3E857" w:rsidR="00EF5569" w:rsidRPr="00261A27" w:rsidRDefault="00EF5569" w:rsidP="00EF5569">
                            <w:pPr>
                              <w:pStyle w:val="Figure"/>
                            </w:pPr>
                            <w:r w:rsidRPr="00CA55A6">
                              <w:t xml:space="preserve">Figure </w:t>
                            </w:r>
                            <w:r w:rsidR="00CA55A6" w:rsidRPr="00CA55A6">
                              <w:t>2</w:t>
                            </w:r>
                            <w:r w:rsidRPr="00CA55A6">
                              <w:t>.</w:t>
                            </w:r>
                            <w:r w:rsidRPr="00CA55A6">
                              <w:tab/>
                              <w:t xml:space="preserve">ECLSS-CHP </w:t>
                            </w:r>
                            <w:r w:rsidR="002E554F" w:rsidRPr="00CA55A6">
                              <w:t xml:space="preserve">SCLT </w:t>
                            </w:r>
                            <w:r w:rsidR="00255E75" w:rsidRPr="00CA55A6">
                              <w:t>serves a program-independent strategic planning integration across NASA for ECLSS and CHP related research and development.</w:t>
                            </w:r>
                            <w:r w:rsidR="00255E75">
                              <w:t xml:space="preserve"> </w:t>
                            </w:r>
                          </w:p>
                          <w:p w14:paraId="39F68A96" w14:textId="77777777" w:rsidR="00EF5569" w:rsidRDefault="00EF5569" w:rsidP="00EF5569">
                            <w:pPr>
                              <w:pStyle w:val="Text"/>
                              <w:ind w:firstLine="0"/>
                            </w:pPr>
                          </w:p>
                          <w:p w14:paraId="422F6ADE" w14:textId="77777777" w:rsidR="00EF5569" w:rsidRDefault="00EF5569" w:rsidP="00EF5569">
                            <w:pPr>
                              <w:pStyle w:val="Text"/>
                              <w:ind w:firstLine="0"/>
                            </w:pPr>
                          </w:p>
                          <w:p w14:paraId="3023A057" w14:textId="77777777" w:rsidR="00EF5569" w:rsidRDefault="00EF5569" w:rsidP="00EF5569">
                            <w:pPr>
                              <w:pStyle w:val="Text"/>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CCEEA" id="_x0000_s1027" type="#_x0000_t202" style="position:absolute;left:0;text-align:left;margin-left:417.1pt;margin-top:104pt;width:468.3pt;height:243.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" stroked="f">
                <v:textbox inset="0,0,0,0">
                  <w:txbxContent>
                    <w:p w14:paraId="3A52D5F7" w14:textId="165A0BDD" w:rsidR="00EF5569" w:rsidRPr="005C5B10" w:rsidRDefault="00B62F46" w:rsidP="00DD330F">
                      <w:pPr>
                        <w:pStyle w:val="Text"/>
                      </w:pPr>
                      <w:r w:rsidRPr="00B62F46">
                        <w:rPr>
                          <w:noProof/>
                        </w:rPr>
                        <w:drawing>
                          <wp:inline distT="0" distB="0" distL="0" distR="0" wp14:anchorId="5A529068" wp14:editId="6CFCD06D">
                            <wp:extent cx="5470498" cy="27153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4959" cy="2722538"/>
                                    </a:xfrm>
                                    <a:prstGeom prst="rect">
                                      <a:avLst/>
                                    </a:prstGeom>
                                  </pic:spPr>
                                </pic:pic>
                              </a:graphicData>
                            </a:graphic>
                          </wp:inline>
                        </w:drawing>
                      </w:r>
                    </w:p>
                    <w:p w14:paraId="0CE4A0B9" w14:textId="5DB3E857" w:rsidR="00EF5569" w:rsidRPr="00261A27" w:rsidRDefault="00EF5569" w:rsidP="00EF5569">
                      <w:pPr>
                        <w:pStyle w:val="Figure"/>
                      </w:pPr>
                      <w:r w:rsidRPr="00CA55A6">
                        <w:t xml:space="preserve">Figure </w:t>
                      </w:r>
                      <w:r w:rsidR="00CA55A6" w:rsidRPr="00CA55A6">
                        <w:t>2</w:t>
                      </w:r>
                      <w:r w:rsidRPr="00CA55A6">
                        <w:t>.</w:t>
                      </w:r>
                      <w:r w:rsidRPr="00CA55A6">
                        <w:tab/>
                        <w:t xml:space="preserve">ECLSS-CHP </w:t>
                      </w:r>
                      <w:r w:rsidR="002E554F" w:rsidRPr="00CA55A6">
                        <w:t xml:space="preserve">SCLT </w:t>
                      </w:r>
                      <w:r w:rsidR="00255E75" w:rsidRPr="00CA55A6">
                        <w:t>serves a program-independent strategic planning integration across NASA for ECLSS and CHP related research and development.</w:t>
                      </w:r>
                      <w:r w:rsidR="00255E75">
                        <w:t xml:space="preserve"> </w:t>
                      </w:r>
                    </w:p>
                    <w:p w14:paraId="39F68A96" w14:textId="77777777" w:rsidR="00EF5569" w:rsidRDefault="00EF5569" w:rsidP="00EF5569">
                      <w:pPr>
                        <w:pStyle w:val="Text"/>
                        <w:ind w:firstLine="0"/>
                      </w:pPr>
                    </w:p>
                    <w:p w14:paraId="422F6ADE" w14:textId="77777777" w:rsidR="00EF5569" w:rsidRDefault="00EF5569" w:rsidP="00EF5569">
                      <w:pPr>
                        <w:pStyle w:val="Text"/>
                        <w:ind w:firstLine="0"/>
                      </w:pPr>
                    </w:p>
                    <w:p w14:paraId="3023A057" w14:textId="77777777" w:rsidR="00EF5569" w:rsidRDefault="00EF5569" w:rsidP="00EF5569">
                      <w:pPr>
                        <w:pStyle w:val="Text"/>
                        <w:ind w:firstLine="0"/>
                      </w:pPr>
                    </w:p>
                  </w:txbxContent>
                </v:textbox>
                <w10:wrap type="square" anchorx="margin" anchory="margin"/>
              </v:shape>
            </w:pict>
          </mc:Fallback>
        </mc:AlternateContent>
      </w:r>
      <w:r w:rsidR="008C166F" w:rsidRPr="00CA55A6">
        <w:rPr>
          <w:color w:val="000000" w:themeColor="text1"/>
        </w:rPr>
        <w:t xml:space="preserve">The over-arching purpose of this </w:t>
      </w:r>
      <w:r w:rsidR="00386F4F" w:rsidRPr="00CA55A6">
        <w:rPr>
          <w:color w:val="000000" w:themeColor="text1"/>
        </w:rPr>
        <w:t xml:space="preserve">integration effort </w:t>
      </w:r>
      <w:r w:rsidR="008C166F" w:rsidRPr="00CA55A6">
        <w:rPr>
          <w:color w:val="000000" w:themeColor="text1"/>
        </w:rPr>
        <w:t xml:space="preserve">is to </w:t>
      </w:r>
      <w:r w:rsidR="00386F4F" w:rsidRPr="00CA55A6">
        <w:rPr>
          <w:color w:val="000000" w:themeColor="text1"/>
        </w:rPr>
        <w:t xml:space="preserve">enable development of fully integrated </w:t>
      </w:r>
      <w:r w:rsidR="00161B07" w:rsidRPr="00CA55A6">
        <w:rPr>
          <w:color w:val="000000" w:themeColor="text1"/>
        </w:rPr>
        <w:t xml:space="preserve">research and technology development </w:t>
      </w:r>
      <w:r w:rsidR="00386F4F" w:rsidRPr="00CA55A6">
        <w:rPr>
          <w:color w:val="000000" w:themeColor="text1"/>
        </w:rPr>
        <w:t xml:space="preserve">roadmaps with activities that are formally linked to agency-recognized capability gaps and Human System Risks. </w:t>
      </w:r>
      <w:r w:rsidR="00161B07" w:rsidRPr="00CA55A6">
        <w:rPr>
          <w:color w:val="000000" w:themeColor="text1"/>
        </w:rPr>
        <w:t>These roadmaps, like the SCLT itself, are intended to be agency-wide and independent of any program, directorate, or other organization within NASA.</w:t>
      </w:r>
      <w:r w:rsidR="008C2F7B" w:rsidRPr="00CA55A6">
        <w:rPr>
          <w:color w:val="000000" w:themeColor="text1"/>
        </w:rPr>
        <w:t xml:space="preserve"> Figure </w:t>
      </w:r>
      <w:r w:rsidR="00CA55A6" w:rsidRPr="00CA55A6">
        <w:rPr>
          <w:color w:val="000000" w:themeColor="text1"/>
        </w:rPr>
        <w:t>2</w:t>
      </w:r>
      <w:r w:rsidR="008C2F7B" w:rsidRPr="00CA55A6">
        <w:rPr>
          <w:color w:val="000000" w:themeColor="text1"/>
        </w:rPr>
        <w:t xml:space="preserve"> </w:t>
      </w:r>
      <w:r w:rsidR="00142101" w:rsidRPr="00CA55A6">
        <w:rPr>
          <w:color w:val="000000" w:themeColor="text1"/>
        </w:rPr>
        <w:t xml:space="preserve">is a simplified visualization of the relationship between the program-independent SCLT and </w:t>
      </w:r>
      <w:r w:rsidR="000107E7" w:rsidRPr="00CA55A6">
        <w:rPr>
          <w:color w:val="000000" w:themeColor="text1"/>
        </w:rPr>
        <w:t xml:space="preserve">different research </w:t>
      </w:r>
      <w:r w:rsidR="003D3CE8" w:rsidRPr="00CA55A6">
        <w:rPr>
          <w:color w:val="000000" w:themeColor="text1"/>
        </w:rPr>
        <w:t>and technology development organizations within NASA.</w:t>
      </w:r>
      <w:r w:rsidR="003D3CE8">
        <w:rPr>
          <w:color w:val="000000" w:themeColor="text1"/>
        </w:rPr>
        <w:t xml:space="preserve"> </w:t>
      </w:r>
    </w:p>
    <w:p w14:paraId="78986173" w14:textId="61F74D6F" w:rsidR="00112093" w:rsidRDefault="0067284C" w:rsidP="00D6075F">
      <w:pPr>
        <w:pStyle w:val="Heading1"/>
        <w:numPr>
          <w:ilvl w:val="0"/>
          <w:numId w:val="1"/>
        </w:numPr>
      </w:pPr>
      <w:r>
        <w:t xml:space="preserve">ECLSS-CHP </w:t>
      </w:r>
      <w:r w:rsidR="001F6C45">
        <w:t>Technology Gap</w:t>
      </w:r>
      <w:r w:rsidR="00485429">
        <w:t>s and Key Performance Parameters</w:t>
      </w:r>
    </w:p>
    <w:p w14:paraId="646061E7" w14:textId="2AFF7350" w:rsidR="00B5693C" w:rsidRPr="00137CE1" w:rsidRDefault="00CA55A6" w:rsidP="00137CE1">
      <w:pPr>
        <w:pStyle w:val="Text"/>
      </w:pPr>
      <w:r>
        <w:t>As described in the previous section, t</w:t>
      </w:r>
      <w:r w:rsidR="00617981">
        <w:t>he ECLSS-CHP SCLT reviews the current exploration mission concepts and compares the state of the art to capabilities required to reduce mass, power, volume, crew time, and other mission drivers</w:t>
      </w:r>
      <w:r w:rsidRPr="00CA55A6">
        <w:rPr>
          <w:vertAlign w:val="superscript"/>
        </w:rPr>
        <w:t>9</w:t>
      </w:r>
      <w:r w:rsidR="00617981">
        <w:t>.</w:t>
      </w:r>
      <w:r w:rsidR="00617981" w:rsidRPr="00617981">
        <w:rPr>
          <w:vertAlign w:val="superscript"/>
        </w:rPr>
        <w:t xml:space="preserve"> </w:t>
      </w:r>
      <w:r w:rsidR="00617981">
        <w:t xml:space="preserve">Gaps in capability are identified at a high to medium level to allow flexibility how the gap is closed.  It is important that gaps are not at too low of a level where they inadvertently centered around a single technology solution. </w:t>
      </w:r>
      <w:r w:rsidR="005117FE">
        <w:t xml:space="preserve">The ECLSS-CHP gaps are fairly well developed but still evolving more detailed key performance </w:t>
      </w:r>
      <w:r w:rsidR="00393B80">
        <w:t>parameters</w:t>
      </w:r>
      <w:r w:rsidR="005117FE">
        <w:t xml:space="preserve"> (KPPs).  NASA plans to release a public version of gaps later this year.  Until that occurs specific gaps may be found in </w:t>
      </w:r>
      <w:r w:rsidR="00C47201">
        <w:t xml:space="preserve">specific </w:t>
      </w:r>
      <w:r w:rsidR="005117FE">
        <w:t>ECLSS-CHP technology papers</w:t>
      </w:r>
      <w:r w:rsidR="00C47201">
        <w:t xml:space="preserve"> referenced in previous overview papers</w:t>
      </w:r>
      <w:r w:rsidR="00C47201" w:rsidRPr="00C47201">
        <w:rPr>
          <w:vertAlign w:val="superscript"/>
        </w:rPr>
        <w:t>1,2,8,9</w:t>
      </w:r>
      <w:r w:rsidR="005117FE">
        <w:t xml:space="preserve">.  </w:t>
      </w:r>
      <w:r w:rsidR="00393B80">
        <w:t>Additionally</w:t>
      </w:r>
      <w:r w:rsidR="005117FE">
        <w:t xml:space="preserve"> the Space Technology Mission Directorate has published a strategic framework that captures a summary of many of the ECLSS-CHP gaps </w:t>
      </w:r>
      <w:r w:rsidR="000749F0">
        <w:t xml:space="preserve">in a short-hand format </w:t>
      </w:r>
      <w:r w:rsidR="005117FE">
        <w:t xml:space="preserve">under the ‘Live’ thrust’s </w:t>
      </w:r>
      <w:r w:rsidR="00C47201">
        <w:t>‘</w:t>
      </w:r>
      <w:r w:rsidR="005117FE">
        <w:t>Advanced Habitation</w:t>
      </w:r>
      <w:r w:rsidR="00C47201">
        <w:t>’</w:t>
      </w:r>
      <w:r w:rsidR="005117FE">
        <w:t xml:space="preserve"> area</w:t>
      </w:r>
      <w:r w:rsidR="00C47201" w:rsidRPr="00C47201">
        <w:rPr>
          <w:vertAlign w:val="superscript"/>
        </w:rPr>
        <w:t>10</w:t>
      </w:r>
      <w:r w:rsidR="005117FE">
        <w:t xml:space="preserve">.  </w:t>
      </w:r>
      <w:r w:rsidR="000749F0">
        <w:t xml:space="preserve">There are </w:t>
      </w:r>
      <w:r w:rsidR="00C47201">
        <w:t>76</w:t>
      </w:r>
      <w:r w:rsidR="000749F0">
        <w:t xml:space="preserve"> </w:t>
      </w:r>
      <w:r w:rsidR="00C47201">
        <w:t xml:space="preserve">direct </w:t>
      </w:r>
      <w:r w:rsidR="000749F0">
        <w:t xml:space="preserve">ECLSS-CHP gaps distributed across the 10 domain areas as indicated in Figure </w:t>
      </w:r>
      <w:r w:rsidR="00C47201">
        <w:t>3</w:t>
      </w:r>
      <w:r w:rsidR="000749F0">
        <w:t xml:space="preserve">.  This </w:t>
      </w:r>
      <w:r w:rsidR="00393B80">
        <w:t>graphic</w:t>
      </w:r>
      <w:r w:rsidR="000749F0">
        <w:t xml:space="preserve"> shows where gaps have matured and where they are still evolving.  Examples of two ECLSS and two CHP gaps </w:t>
      </w:r>
      <w:r w:rsidR="00137CE1">
        <w:t xml:space="preserve">are included in Appendix Table 1 to </w:t>
      </w:r>
      <w:r w:rsidR="000749F0">
        <w:t xml:space="preserve">illustrate the range of gaps and KPPs. </w:t>
      </w:r>
    </w:p>
    <w:p w14:paraId="5F32B2F0" w14:textId="37078944" w:rsidR="00B5693C" w:rsidRDefault="00B5693C">
      <w:pPr>
        <w:pStyle w:val="Text"/>
        <w:rPr>
          <w:b/>
          <w:bCs/>
        </w:rPr>
      </w:pPr>
    </w:p>
    <w:p w14:paraId="3729B4A5" w14:textId="77777777" w:rsidR="00B5693C" w:rsidRDefault="00B5693C">
      <w:pPr>
        <w:pStyle w:val="Text"/>
        <w:rPr>
          <w:b/>
          <w:bCs/>
        </w:rPr>
      </w:pPr>
    </w:p>
    <w:p w14:paraId="7021DC2C" w14:textId="2ECA0421" w:rsidR="00F75B6A" w:rsidRDefault="00F75B6A">
      <w:pPr>
        <w:pStyle w:val="Text"/>
      </w:pPr>
    </w:p>
    <w:p w14:paraId="170D2A40" w14:textId="6F1A9EEE" w:rsidR="00B5693C" w:rsidRDefault="00B5693C">
      <w:pPr>
        <w:pStyle w:val="Text"/>
      </w:pPr>
    </w:p>
    <w:p w14:paraId="48D57B52" w14:textId="77777777" w:rsidR="003155D7" w:rsidRDefault="003155D7">
      <w:pPr>
        <w:pStyle w:val="Text"/>
      </w:pPr>
    </w:p>
    <w:p w14:paraId="3E63E1FB" w14:textId="77777777" w:rsidR="003155D7" w:rsidRDefault="003155D7">
      <w:pPr>
        <w:pStyle w:val="Text"/>
      </w:pPr>
    </w:p>
    <w:p w14:paraId="119007A0" w14:textId="77777777" w:rsidR="003155D7" w:rsidRDefault="003155D7">
      <w:pPr>
        <w:pStyle w:val="Text"/>
      </w:pPr>
    </w:p>
    <w:p w14:paraId="40096D44" w14:textId="77777777" w:rsidR="003155D7" w:rsidRDefault="003155D7">
      <w:pPr>
        <w:pStyle w:val="Text"/>
      </w:pPr>
    </w:p>
    <w:p w14:paraId="6DC7BE12" w14:textId="77777777" w:rsidR="003155D7" w:rsidRDefault="003155D7">
      <w:pPr>
        <w:pStyle w:val="Text"/>
      </w:pPr>
    </w:p>
    <w:p w14:paraId="2DE4D40C" w14:textId="77777777" w:rsidR="003155D7" w:rsidRDefault="003155D7">
      <w:pPr>
        <w:pStyle w:val="Text"/>
      </w:pPr>
    </w:p>
    <w:p w14:paraId="3F257020" w14:textId="77777777" w:rsidR="003155D7" w:rsidRDefault="003155D7">
      <w:pPr>
        <w:pStyle w:val="Text"/>
      </w:pPr>
    </w:p>
    <w:p w14:paraId="564E7115" w14:textId="77777777" w:rsidR="003155D7" w:rsidRDefault="003155D7">
      <w:pPr>
        <w:pStyle w:val="Text"/>
      </w:pPr>
    </w:p>
    <w:p w14:paraId="4F55A087" w14:textId="77777777" w:rsidR="003155D7" w:rsidRDefault="003155D7">
      <w:pPr>
        <w:pStyle w:val="Text"/>
      </w:pPr>
    </w:p>
    <w:p w14:paraId="4162E9D1" w14:textId="77777777" w:rsidR="003155D7" w:rsidRDefault="003155D7">
      <w:pPr>
        <w:pStyle w:val="Text"/>
      </w:pPr>
    </w:p>
    <w:p w14:paraId="3AA4F3A1" w14:textId="77777777" w:rsidR="003155D7" w:rsidRDefault="003155D7">
      <w:pPr>
        <w:pStyle w:val="Text"/>
      </w:pPr>
    </w:p>
    <w:p w14:paraId="120D0208" w14:textId="77777777" w:rsidR="003155D7" w:rsidRDefault="003155D7">
      <w:pPr>
        <w:pStyle w:val="Text"/>
      </w:pPr>
    </w:p>
    <w:p w14:paraId="43A94506" w14:textId="77777777" w:rsidR="003155D7" w:rsidRDefault="003155D7">
      <w:pPr>
        <w:pStyle w:val="Text"/>
      </w:pPr>
    </w:p>
    <w:p w14:paraId="0CFCD7A3" w14:textId="77777777" w:rsidR="003155D7" w:rsidRDefault="003155D7">
      <w:pPr>
        <w:pStyle w:val="Text"/>
      </w:pPr>
    </w:p>
    <w:p w14:paraId="4255D372" w14:textId="77777777" w:rsidR="003155D7" w:rsidRDefault="003155D7">
      <w:pPr>
        <w:pStyle w:val="Text"/>
      </w:pPr>
    </w:p>
    <w:p w14:paraId="4443FCAD" w14:textId="77777777" w:rsidR="003155D7" w:rsidRDefault="003155D7">
      <w:pPr>
        <w:pStyle w:val="Text"/>
      </w:pPr>
    </w:p>
    <w:p w14:paraId="06C08A9D" w14:textId="77777777" w:rsidR="003155D7" w:rsidRDefault="003155D7">
      <w:pPr>
        <w:pStyle w:val="Text"/>
      </w:pPr>
    </w:p>
    <w:p w14:paraId="438EC142" w14:textId="77777777" w:rsidR="003155D7" w:rsidRDefault="003155D7">
      <w:pPr>
        <w:pStyle w:val="Text"/>
      </w:pPr>
    </w:p>
    <w:p w14:paraId="6B500DD0" w14:textId="23926DE5" w:rsidR="00B5693C" w:rsidRDefault="003155D7">
      <w:pPr>
        <w:pStyle w:val="Text"/>
      </w:pPr>
      <w:r>
        <w:rPr>
          <w:noProof/>
        </w:rPr>
        <mc:AlternateContent>
          <mc:Choice Requires="wps">
            <w:drawing>
              <wp:anchor distT="0" distB="0" distL="114300" distR="114300" simplePos="0" relativeHeight="251677696" behindDoc="0" locked="0" layoutInCell="1" allowOverlap="1" wp14:anchorId="1B1183A6" wp14:editId="09F4417D">
                <wp:simplePos x="0" y="0"/>
                <wp:positionH relativeFrom="margin">
                  <wp:posOffset>0</wp:posOffset>
                </wp:positionH>
                <wp:positionV relativeFrom="margin">
                  <wp:posOffset>146685</wp:posOffset>
                </wp:positionV>
                <wp:extent cx="5528945" cy="301752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45" cy="301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4CAEA" w14:textId="77777777" w:rsidR="003155D7" w:rsidRDefault="003155D7" w:rsidP="003155D7">
                            <w:pPr>
                              <w:pStyle w:val="Figure"/>
                              <w:keepNext/>
                            </w:pPr>
                            <w:r w:rsidRPr="0063219B">
                              <w:rPr>
                                <w:noProof/>
                              </w:rPr>
                              <w:drawing>
                                <wp:inline distT="0" distB="0" distL="0" distR="0" wp14:anchorId="07B3141E" wp14:editId="7C1772C6">
                                  <wp:extent cx="3899140" cy="2758731"/>
                                  <wp:effectExtent l="0" t="0" r="6350" b="3810"/>
                                  <wp:docPr id="8" name="Picture 8">
                                    <a:extLst xmlns:a="http://schemas.openxmlformats.org/drawingml/2006/main">
                                      <a:ext uri="{FF2B5EF4-FFF2-40B4-BE49-F238E27FC236}">
                                        <a16:creationId xmlns:a16="http://schemas.microsoft.com/office/drawing/2014/main" id="{3A502968-06CA-463F-A97E-AB1C675CC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A502968-06CA-463F-A97E-AB1C675CCAEF}"/>
                                              </a:ext>
                                            </a:extLst>
                                          </pic:cNvPr>
                                          <pic:cNvPicPr>
                                            <a:picLocks noChangeAspect="1"/>
                                          </pic:cNvPicPr>
                                        </pic:nvPicPr>
                                        <pic:blipFill>
                                          <a:blip r:embed="rId15"/>
                                          <a:stretch>
                                            <a:fillRect/>
                                          </a:stretch>
                                        </pic:blipFill>
                                        <pic:spPr>
                                          <a:xfrm>
                                            <a:off x="0" y="0"/>
                                            <a:ext cx="3919493" cy="2773132"/>
                                          </a:xfrm>
                                          <a:prstGeom prst="rect">
                                            <a:avLst/>
                                          </a:prstGeom>
                                        </pic:spPr>
                                      </pic:pic>
                                    </a:graphicData>
                                  </a:graphic>
                                </wp:inline>
                              </w:drawing>
                            </w:r>
                          </w:p>
                          <w:p w14:paraId="1F3925BD" w14:textId="27871CA2" w:rsidR="003155D7" w:rsidRPr="00261A27" w:rsidRDefault="003155D7" w:rsidP="003155D7">
                            <w:pPr>
                              <w:pStyle w:val="Figure"/>
                            </w:pPr>
                            <w:r w:rsidRPr="00261A27">
                              <w:t xml:space="preserve">Figure </w:t>
                            </w:r>
                            <w:r>
                              <w:t>3</w:t>
                            </w:r>
                            <w:r w:rsidRPr="00261A27">
                              <w:t>.</w:t>
                            </w:r>
                            <w:r>
                              <w:tab/>
                            </w:r>
                            <w:r w:rsidR="00137CE1">
                              <w:t xml:space="preserve">Gap distribution across the </w:t>
                            </w:r>
                            <w:r w:rsidRPr="00261A27">
                              <w:t>ECLSS-CHP Capability Areas</w:t>
                            </w:r>
                            <w:r w:rsidR="00137CE1">
                              <w:t xml:space="preserve"> in 2022 update</w:t>
                            </w:r>
                            <w:r w:rsidRPr="00261A27">
                              <w:rPr>
                                <w:i/>
                              </w:rPr>
                              <w:t>.</w:t>
                            </w:r>
                          </w:p>
                          <w:p w14:paraId="6E697602" w14:textId="77777777" w:rsidR="003155D7" w:rsidRDefault="003155D7" w:rsidP="003155D7">
                            <w:pPr>
                              <w:pStyle w:val="Text"/>
                              <w:ind w:firstLine="0"/>
                            </w:pPr>
                          </w:p>
                          <w:p w14:paraId="5EE12D53" w14:textId="77777777" w:rsidR="003155D7" w:rsidRDefault="003155D7" w:rsidP="003155D7">
                            <w:pPr>
                              <w:pStyle w:val="Text"/>
                              <w:ind w:firstLine="0"/>
                            </w:pPr>
                          </w:p>
                          <w:p w14:paraId="7F94BA11" w14:textId="77777777" w:rsidR="003155D7" w:rsidRDefault="003155D7" w:rsidP="003155D7">
                            <w:pPr>
                              <w:pStyle w:val="Text"/>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183A6" id="_x0000_s1028" type="#_x0000_t202" style="position:absolute;left:0;text-align:left;margin-left:0;margin-top:11.55pt;width:435.35pt;height:237.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" stroked="f">
                <v:textbox inset="0,0,0,0">
                  <w:txbxContent>
                    <w:p w14:paraId="1894CAEA" w14:textId="77777777" w:rsidR="003155D7" w:rsidRDefault="003155D7" w:rsidP="003155D7">
                      <w:pPr>
                        <w:pStyle w:val="Figure"/>
                        <w:keepNext/>
                      </w:pPr>
                      <w:r w:rsidRPr="0063219B">
                        <w:rPr>
                          <w:noProof/>
                        </w:rPr>
                        <w:drawing>
                          <wp:inline distT="0" distB="0" distL="0" distR="0" wp14:anchorId="07B3141E" wp14:editId="7C1772C6">
                            <wp:extent cx="3899140" cy="2758731"/>
                            <wp:effectExtent l="0" t="0" r="6350" b="3810"/>
                            <wp:docPr id="8" name="Picture 8">
                              <a:extLst xmlns:a="http://schemas.openxmlformats.org/drawingml/2006/main">
                                <a:ext uri="{FF2B5EF4-FFF2-40B4-BE49-F238E27FC236}">
                                  <a16:creationId xmlns:a16="http://schemas.microsoft.com/office/drawing/2014/main" id="{3A502968-06CA-463F-A97E-AB1C675CC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A502968-06CA-463F-A97E-AB1C675CCAEF}"/>
                                        </a:ext>
                                      </a:extLst>
                                    </pic:cNvPr>
                                    <pic:cNvPicPr>
                                      <a:picLocks noChangeAspect="1"/>
                                    </pic:cNvPicPr>
                                  </pic:nvPicPr>
                                  <pic:blipFill>
                                    <a:blip r:embed="rId16"/>
                                    <a:stretch>
                                      <a:fillRect/>
                                    </a:stretch>
                                  </pic:blipFill>
                                  <pic:spPr>
                                    <a:xfrm>
                                      <a:off x="0" y="0"/>
                                      <a:ext cx="3919493" cy="2773132"/>
                                    </a:xfrm>
                                    <a:prstGeom prst="rect">
                                      <a:avLst/>
                                    </a:prstGeom>
                                  </pic:spPr>
                                </pic:pic>
                              </a:graphicData>
                            </a:graphic>
                          </wp:inline>
                        </w:drawing>
                      </w:r>
                    </w:p>
                    <w:p w14:paraId="1F3925BD" w14:textId="27871CA2" w:rsidR="003155D7" w:rsidRPr="00261A27" w:rsidRDefault="003155D7" w:rsidP="003155D7">
                      <w:pPr>
                        <w:pStyle w:val="Figure"/>
                      </w:pPr>
                      <w:r w:rsidRPr="00261A27">
                        <w:t xml:space="preserve">Figure </w:t>
                      </w:r>
                      <w:r>
                        <w:t>3</w:t>
                      </w:r>
                      <w:r w:rsidRPr="00261A27">
                        <w:t>.</w:t>
                      </w:r>
                      <w:r>
                        <w:tab/>
                      </w:r>
                      <w:r w:rsidR="00137CE1">
                        <w:t xml:space="preserve">Gap distribution across the </w:t>
                      </w:r>
                      <w:r w:rsidRPr="00261A27">
                        <w:t>ECLSS-CHP Capability Areas</w:t>
                      </w:r>
                      <w:r w:rsidR="00137CE1">
                        <w:t xml:space="preserve"> in 2022 update</w:t>
                      </w:r>
                      <w:r w:rsidRPr="00261A27">
                        <w:rPr>
                          <w:i/>
                        </w:rPr>
                        <w:t>.</w:t>
                      </w:r>
                    </w:p>
                    <w:p w14:paraId="6E697602" w14:textId="77777777" w:rsidR="003155D7" w:rsidRDefault="003155D7" w:rsidP="003155D7">
                      <w:pPr>
                        <w:pStyle w:val="Text"/>
                        <w:ind w:firstLine="0"/>
                      </w:pPr>
                    </w:p>
                    <w:p w14:paraId="5EE12D53" w14:textId="77777777" w:rsidR="003155D7" w:rsidRDefault="003155D7" w:rsidP="003155D7">
                      <w:pPr>
                        <w:pStyle w:val="Text"/>
                        <w:ind w:firstLine="0"/>
                      </w:pPr>
                    </w:p>
                    <w:p w14:paraId="7F94BA11" w14:textId="77777777" w:rsidR="003155D7" w:rsidRDefault="003155D7" w:rsidP="003155D7">
                      <w:pPr>
                        <w:pStyle w:val="Text"/>
                        <w:ind w:firstLine="0"/>
                      </w:pPr>
                    </w:p>
                  </w:txbxContent>
                </v:textbox>
                <w10:wrap type="square" anchorx="margin" anchory="margin"/>
              </v:shape>
            </w:pict>
          </mc:Fallback>
        </mc:AlternateContent>
      </w:r>
    </w:p>
    <w:p w14:paraId="106EB60C" w14:textId="024A9872" w:rsidR="00B5693C" w:rsidRDefault="00B5693C">
      <w:pPr>
        <w:pStyle w:val="Text"/>
      </w:pPr>
    </w:p>
    <w:p w14:paraId="5EDD092D" w14:textId="38C7DB3E" w:rsidR="00B5693C" w:rsidRDefault="00B5693C">
      <w:pPr>
        <w:pStyle w:val="Text"/>
      </w:pPr>
    </w:p>
    <w:p w14:paraId="001FC7B6" w14:textId="3CF8141E" w:rsidR="00112093" w:rsidRDefault="00485429" w:rsidP="00D6075F">
      <w:pPr>
        <w:pStyle w:val="Heading1"/>
        <w:numPr>
          <w:ilvl w:val="0"/>
          <w:numId w:val="1"/>
        </w:numPr>
      </w:pPr>
      <w:r>
        <w:t>Technology Validation Maturation Objectives</w:t>
      </w:r>
    </w:p>
    <w:p w14:paraId="78B82146" w14:textId="44C903DE" w:rsidR="008C3D5F" w:rsidRDefault="00137CE1" w:rsidP="008C3D5F">
      <w:pPr>
        <w:pStyle w:val="Text"/>
      </w:pPr>
      <w:r>
        <w:t>As described in the CIT gap process, t</w:t>
      </w:r>
      <w:r w:rsidR="008C3D5F">
        <w:t>he NASA Technology Readiness Level (TRL)</w:t>
      </w:r>
      <w:r w:rsidR="000074C7">
        <w:rPr>
          <w:vertAlign w:val="superscript"/>
        </w:rPr>
        <w:t>5</w:t>
      </w:r>
      <w:r w:rsidR="000C283E">
        <w:t xml:space="preserve"> is used to </w:t>
      </w:r>
      <w:r w:rsidR="000C7481">
        <w:t xml:space="preserve">broadly characterize a technology or system across a wide range from basic principals observed (TRL 1) to system is ‘flight proven’ (TRL 9).  TLR does </w:t>
      </w:r>
      <w:r w:rsidR="000074C7">
        <w:t xml:space="preserve">not </w:t>
      </w:r>
      <w:r w:rsidR="00393B80">
        <w:t>describe</w:t>
      </w:r>
      <w:r w:rsidR="000C7481">
        <w:t xml:space="preserve"> what functions a system should</w:t>
      </w:r>
      <w:r w:rsidR="000C283E">
        <w:t xml:space="preserve"> </w:t>
      </w:r>
      <w:r w:rsidR="000C7481">
        <w:t>perform or measure how it compares to other technological solutions that may provide a similar capability.  Key Performance Parameters</w:t>
      </w:r>
      <w:r w:rsidR="001B7407">
        <w:t xml:space="preserve"> (KPPs) are measurable engineering parameters that are used to compare the benefits between technologies and measure technical </w:t>
      </w:r>
      <w:r w:rsidR="00393B80">
        <w:t>progress</w:t>
      </w:r>
      <w:r w:rsidR="001B7407">
        <w:t xml:space="preserve"> during development, operation, and in planning technology upgrades</w:t>
      </w:r>
      <w:r w:rsidR="000074C7" w:rsidRPr="000074C7">
        <w:rPr>
          <w:vertAlign w:val="superscript"/>
        </w:rPr>
        <w:t>11</w:t>
      </w:r>
      <w:r w:rsidR="001B7407">
        <w:t xml:space="preserve">.  Gaps use KPPs to characterize the </w:t>
      </w:r>
      <w:r w:rsidR="000074C7">
        <w:t>state of the art (</w:t>
      </w:r>
      <w:r w:rsidR="001B7407">
        <w:t>SOA</w:t>
      </w:r>
      <w:r w:rsidR="000074C7">
        <w:t>)</w:t>
      </w:r>
      <w:r w:rsidR="001B7407">
        <w:t xml:space="preserve"> and establish targets for exploration missions, </w:t>
      </w:r>
      <w:r w:rsidR="009614AB">
        <w:t xml:space="preserve">Table </w:t>
      </w:r>
      <w:r w:rsidR="001B7407">
        <w:t>1 illustrates an example of gaps and KPPs. Examples of SOA KPPs can also be found in the</w:t>
      </w:r>
      <w:r w:rsidR="000074C7">
        <w:t xml:space="preserve"> </w:t>
      </w:r>
      <w:r w:rsidR="0004700C">
        <w:t xml:space="preserve">NASA </w:t>
      </w:r>
      <w:r w:rsidR="000074C7">
        <w:t>Life Support Baseline Values and Assumptions Document (</w:t>
      </w:r>
      <w:r w:rsidR="001B7407">
        <w:t>BVAD</w:t>
      </w:r>
      <w:r w:rsidR="000074C7">
        <w:t>)</w:t>
      </w:r>
      <w:r w:rsidR="000074C7" w:rsidRPr="000074C7">
        <w:rPr>
          <w:vertAlign w:val="superscript"/>
        </w:rPr>
        <w:t>12</w:t>
      </w:r>
      <w:r w:rsidR="001B7407">
        <w:t xml:space="preserve">.  </w:t>
      </w:r>
      <w:r w:rsidR="00CD3756">
        <w:t xml:space="preserve">KPPs (along with test verified reliability data) are a major input top mission planners for predicting the total earth departure mass.  </w:t>
      </w:r>
      <w:r w:rsidR="001B7407">
        <w:t xml:space="preserve">TRLs or KPPs generally do not characterize how much validation is required of a particular function or KPP.  Technology validation maturation objectives (VMOs) are being formulated to help establish and communicate progress on a technology or system maturation is to reduce risk and improve crew </w:t>
      </w:r>
      <w:r w:rsidR="00393B80">
        <w:t>survivability</w:t>
      </w:r>
      <w:r w:rsidR="001B7407">
        <w:t xml:space="preserve"> for long endurance missions</w:t>
      </w:r>
      <w:r w:rsidR="0004700C" w:rsidRPr="0004700C">
        <w:rPr>
          <w:vertAlign w:val="superscript"/>
        </w:rPr>
        <w:t>13</w:t>
      </w:r>
      <w:r w:rsidR="001B7407">
        <w:t>.  Gaps, TRLs, KPPs, and VMOs all have a place in helping inform technology development.</w:t>
      </w:r>
    </w:p>
    <w:p w14:paraId="5E3D3D79" w14:textId="11118F79" w:rsidR="00112093" w:rsidRDefault="00343E80" w:rsidP="009C4402">
      <w:pPr>
        <w:pStyle w:val="Text"/>
      </w:pPr>
      <w:r>
        <w:t xml:space="preserve">There are a wide range of performance objectives for exploration that are beneficial to establish validation objectives. </w:t>
      </w:r>
      <w:r w:rsidR="008C3D5F">
        <w:t>The SCLT identified six validation objectives</w:t>
      </w:r>
      <w:r>
        <w:t xml:space="preserve"> that apply to a large number of technologies</w:t>
      </w:r>
      <w:r w:rsidR="008C3D5F">
        <w:t xml:space="preserve"> that should be matured to ensure technologies are sufficiently robust and reliable before departing on long duration missions to improve crew safety and </w:t>
      </w:r>
      <w:r w:rsidR="00393B80">
        <w:t>survivability</w:t>
      </w:r>
      <w:r w:rsidR="008C3D5F">
        <w:t>.</w:t>
      </w:r>
      <w:r>
        <w:t xml:space="preserve">  Typically the most demanding mission is Mars transit missions with an endurance of 800-1200 days.  VMOs for Mars Transit were established for each.  Long duration surface mission VMOs were established similarly.  For each VMO, the suggested ‘requirement’ is defined </w:t>
      </w:r>
      <w:r w:rsidR="00393B80">
        <w:t>along</w:t>
      </w:r>
      <w:r>
        <w:t xml:space="preserve"> with the rationale behind it for both Mars transit and </w:t>
      </w:r>
      <w:r w:rsidR="00393B80">
        <w:t>long-term</w:t>
      </w:r>
      <w:r>
        <w:t xml:space="preserve"> lunar surface.  </w:t>
      </w:r>
      <w:r w:rsidR="00CD3756">
        <w:t xml:space="preserve">In practice the SCLT has established a </w:t>
      </w:r>
      <w:r w:rsidR="00393B80">
        <w:t>five-color</w:t>
      </w:r>
      <w:r w:rsidR="00CD3756">
        <w:t xml:space="preserve"> scale of gradation (red, orange, yellow, green, blue) to help describe the technology maturation.  Green is the suggested ‘requirement’ and blue is the goal.  </w:t>
      </w:r>
      <w:r w:rsidR="00F327E7">
        <w:t>A table of all of the VMOs gradated across the colors appears in the appendix.</w:t>
      </w:r>
      <w:r>
        <w:t xml:space="preserve"> </w:t>
      </w:r>
      <w:r w:rsidR="0004700C">
        <w:t xml:space="preserve"> While it is desired to use the six identified VMOs, there is an option of a unique VMO that can be defined for a particular system.  </w:t>
      </w:r>
      <w:r w:rsidR="00CD3756">
        <w:t xml:space="preserve">This is an initial description of the </w:t>
      </w:r>
      <w:r w:rsidR="001236F3">
        <w:t xml:space="preserve">VMOs and they are expected to evolve over the coming year as </w:t>
      </w:r>
      <w:r w:rsidR="00393B80">
        <w:t>their</w:t>
      </w:r>
      <w:r w:rsidR="001236F3">
        <w:t xml:space="preserve"> greater input from the technical community.</w:t>
      </w:r>
      <w:r w:rsidR="00CD3756">
        <w:t xml:space="preserve"> </w:t>
      </w:r>
    </w:p>
    <w:p w14:paraId="6AB99944" w14:textId="1B3F97B2" w:rsidR="00A7305F" w:rsidRDefault="00B46D98" w:rsidP="00D6075F">
      <w:pPr>
        <w:pStyle w:val="Heading2"/>
        <w:numPr>
          <w:ilvl w:val="0"/>
          <w:numId w:val="4"/>
        </w:numPr>
      </w:pPr>
      <w:r>
        <w:t>Integrated System Operation</w:t>
      </w:r>
      <w:r w:rsidR="00B5693C">
        <w:t xml:space="preserve"> Objective</w:t>
      </w:r>
    </w:p>
    <w:p w14:paraId="6D39BD5C" w14:textId="537EE011" w:rsidR="00A7305F" w:rsidRDefault="008C3D5F" w:rsidP="00A7305F">
      <w:pPr>
        <w:pStyle w:val="Text"/>
      </w:pPr>
      <w:r w:rsidRPr="00E20BD1">
        <w:rPr>
          <w:i/>
          <w:iCs/>
        </w:rPr>
        <w:t>Validating</w:t>
      </w:r>
      <w:r>
        <w:t xml:space="preserve"> basic technology functionality in microgravity, or other relevant environment</w:t>
      </w:r>
      <w:r w:rsidR="00E20BD1">
        <w:t>s</w:t>
      </w:r>
      <w:r>
        <w:t>, is a key initial step to technology validation.</w:t>
      </w:r>
      <w:r w:rsidR="00E20BD1">
        <w:t xml:space="preserve"> Validation is the establishment that the system will meet the customer’s (astronauts, ground support) expectations.</w:t>
      </w:r>
      <w:r>
        <w:t xml:space="preserve">  </w:t>
      </w:r>
      <w:r w:rsidR="00563BF9">
        <w:t xml:space="preserve">Systems are often tested and </w:t>
      </w:r>
      <w:r w:rsidR="00563BF9" w:rsidRPr="00E20BD1">
        <w:rPr>
          <w:i/>
          <w:iCs/>
        </w:rPr>
        <w:t>verified</w:t>
      </w:r>
      <w:r w:rsidR="00563BF9">
        <w:t xml:space="preserve"> independently so that performance can be evaluated as input parameters can be varied across their expected ranges.</w:t>
      </w:r>
      <w:r w:rsidR="00E20BD1">
        <w:t xml:space="preserve"> Verification is </w:t>
      </w:r>
      <w:r w:rsidR="00393B80">
        <w:t>establishment</w:t>
      </w:r>
      <w:r w:rsidR="00E20BD1">
        <w:t xml:space="preserve"> specific requirements were </w:t>
      </w:r>
      <w:r w:rsidR="00E20BD1">
        <w:lastRenderedPageBreak/>
        <w:t>met.</w:t>
      </w:r>
      <w:r w:rsidR="00563BF9">
        <w:t xml:space="preserve"> This is necessary to gain confidence the system is </w:t>
      </w:r>
      <w:r w:rsidR="00A60BB5">
        <w:t>functioning</w:t>
      </w:r>
      <w:r w:rsidR="00563BF9">
        <w:t xml:space="preserve"> as intended</w:t>
      </w:r>
      <w:r>
        <w:t xml:space="preserve"> on ground or initial in-flight demonstrations.</w:t>
      </w:r>
      <w:r w:rsidR="00A60BB5">
        <w:t xml:space="preserve">  However, even weeks of operation are insufficient to understand </w:t>
      </w:r>
      <w:r w:rsidR="00E20BD1">
        <w:t xml:space="preserve">and validate </w:t>
      </w:r>
      <w:r w:rsidR="00A60BB5">
        <w:t>the long-term cumulative complexities of repeated transitions into and out of operational cycles with variable loading in a closed loop space habitat with crew generated waste products. Systems may deter</w:t>
      </w:r>
      <w:r w:rsidR="009614AB">
        <w:t>ior</w:t>
      </w:r>
      <w:r w:rsidR="00A60BB5">
        <w:t>ate from cumulative exposure and decrease the capacity, selectivity, or sensitivity of catalysts, adsorbers, coatings, and detection sensitivities.</w:t>
      </w:r>
      <w:r>
        <w:t xml:space="preserve"> </w:t>
      </w:r>
      <w:r w:rsidR="00563BF9">
        <w:t xml:space="preserve"> </w:t>
      </w:r>
      <w:r w:rsidR="00E20BD1">
        <w:t xml:space="preserve">The following </w:t>
      </w:r>
      <w:r w:rsidR="00023A2C">
        <w:t>VMOs</w:t>
      </w:r>
      <w:r w:rsidR="00E20BD1">
        <w:t xml:space="preserve"> are recommended for the Integrated System Operation Objective.</w:t>
      </w:r>
    </w:p>
    <w:p w14:paraId="0E07CEF4" w14:textId="31C84E65" w:rsidR="00A60BB5" w:rsidRDefault="00A60BB5" w:rsidP="00D6075F">
      <w:pPr>
        <w:pStyle w:val="Text"/>
        <w:numPr>
          <w:ilvl w:val="0"/>
          <w:numId w:val="5"/>
        </w:numPr>
      </w:pPr>
      <w:r w:rsidRPr="001236F3">
        <w:rPr>
          <w:i/>
          <w:iCs/>
        </w:rPr>
        <w:t>Mars transit objective</w:t>
      </w:r>
      <w:r>
        <w:t xml:space="preserve">: &gt;5 years of </w:t>
      </w:r>
      <w:r w:rsidR="00BC02D9">
        <w:rPr>
          <w:rFonts w:ascii="Symbol" w:hAnsi="Symbol"/>
        </w:rPr>
        <w:t>m</w:t>
      </w:r>
      <w:r>
        <w:t xml:space="preserve">g operation or &gt;9 years of full-scale integrated ground testing.  </w:t>
      </w:r>
      <w:r w:rsidRPr="009C4402">
        <w:rPr>
          <w:i/>
          <w:iCs/>
        </w:rPr>
        <w:t>Rationale</w:t>
      </w:r>
      <w:r w:rsidR="00CD3756">
        <w:t>:</w:t>
      </w:r>
      <w:r w:rsidR="00E5575B">
        <w:t xml:space="preserve"> </w:t>
      </w:r>
      <w:r w:rsidR="00F572F4">
        <w:t xml:space="preserve">Round trip Mars duration is likely between 2 and 3.3 years depending on propulsion capability, vehicle mass, and year of departure.  Five years cumulation of integrated system testing in </w:t>
      </w:r>
      <w:r w:rsidR="00BC02D9">
        <w:rPr>
          <w:rFonts w:ascii="Symbol" w:hAnsi="Symbol"/>
        </w:rPr>
        <w:t>m</w:t>
      </w:r>
      <w:r w:rsidR="00F572F4">
        <w:t xml:space="preserve">g provides </w:t>
      </w:r>
      <w:r w:rsidR="00393B80">
        <w:t>approximately</w:t>
      </w:r>
      <w:r w:rsidR="00F572F4">
        <w:t xml:space="preserve"> a factor of 2 in determining if low level of trace contaminants or system interactions will result in unexpected failures </w:t>
      </w:r>
      <w:r w:rsidR="00EB519E">
        <w:t>over the course of the mission</w:t>
      </w:r>
      <w:r w:rsidR="00F572F4">
        <w:t xml:space="preserve">.  It is important that human in the loop testing (HILT) be included if human loads are a substantial aspect of the performance (e.g. exercise countermeasures, or chemical catalysts).  If only ground testing is </w:t>
      </w:r>
      <w:r w:rsidR="00023A2C">
        <w:t>utilized</w:t>
      </w:r>
      <w:r w:rsidR="00F572F4">
        <w:t xml:space="preserve">, it is recommended that twice the duration be used to be </w:t>
      </w:r>
      <w:r w:rsidR="00393B80">
        <w:t>conservative</w:t>
      </w:r>
      <w:r w:rsidR="00F572F4">
        <w:t xml:space="preserve"> since its unlikely to fully replicate the </w:t>
      </w:r>
      <w:r w:rsidR="00BC02D9">
        <w:rPr>
          <w:rFonts w:ascii="Symbol" w:hAnsi="Symbol"/>
        </w:rPr>
        <w:t>m</w:t>
      </w:r>
      <w:r w:rsidR="00F572F4">
        <w:t xml:space="preserve">g environment. </w:t>
      </w:r>
      <w:r w:rsidR="009C4402">
        <w:t xml:space="preserve">If there are </w:t>
      </w:r>
      <w:r w:rsidR="001236F3">
        <w:t>clearly</w:t>
      </w:r>
      <w:r w:rsidR="009C4402">
        <w:t xml:space="preserve"> no </w:t>
      </w:r>
      <w:r w:rsidR="00BC02D9">
        <w:rPr>
          <w:rFonts w:ascii="Symbol" w:hAnsi="Symbol"/>
        </w:rPr>
        <w:t>m</w:t>
      </w:r>
      <w:r w:rsidR="009C4402">
        <w:t>g sensitivities or features sensitive to contamination then only 1.2</w:t>
      </w:r>
      <w:r w:rsidR="00023A2C">
        <w:t>x the</w:t>
      </w:r>
      <w:r w:rsidR="009C4402">
        <w:t xml:space="preserve"> </w:t>
      </w:r>
      <w:r w:rsidR="00BC02D9">
        <w:rPr>
          <w:rFonts w:ascii="Symbol" w:hAnsi="Symbol"/>
        </w:rPr>
        <w:t>m</w:t>
      </w:r>
      <w:r w:rsidR="009C4402">
        <w:t>g duration is recommended.</w:t>
      </w:r>
      <w:r w:rsidR="00F572F4">
        <w:t xml:space="preserve"> </w:t>
      </w:r>
      <w:r w:rsidR="009C4402">
        <w:t>The</w:t>
      </w:r>
      <w:r w:rsidR="00F572F4">
        <w:t xml:space="preserve"> 2x</w:t>
      </w:r>
      <w:r w:rsidR="009C4402">
        <w:t xml:space="preserve"> and 1.2</w:t>
      </w:r>
      <w:r w:rsidR="00023A2C">
        <w:t>x</w:t>
      </w:r>
      <w:r w:rsidR="00F572F4">
        <w:t xml:space="preserve"> factor</w:t>
      </w:r>
      <w:r w:rsidR="009C4402">
        <w:t>s are</w:t>
      </w:r>
      <w:r w:rsidR="00F572F4">
        <w:t xml:space="preserve"> </w:t>
      </w:r>
      <w:r w:rsidR="00023A2C">
        <w:t xml:space="preserve">engineering </w:t>
      </w:r>
      <w:r w:rsidR="00F572F4">
        <w:t>a</w:t>
      </w:r>
      <w:r w:rsidR="009C4402">
        <w:t>ssumptions and not yet supported with data.</w:t>
      </w:r>
    </w:p>
    <w:p w14:paraId="0D626B66" w14:textId="6C743874" w:rsidR="00B46D98" w:rsidRDefault="009C4402" w:rsidP="00D6075F">
      <w:pPr>
        <w:pStyle w:val="Text"/>
        <w:numPr>
          <w:ilvl w:val="0"/>
          <w:numId w:val="5"/>
        </w:numPr>
      </w:pPr>
      <w:r w:rsidRPr="001236F3">
        <w:rPr>
          <w:i/>
          <w:iCs/>
        </w:rPr>
        <w:t>Long duration lunar surface objective</w:t>
      </w:r>
      <w:r w:rsidR="00F327E7">
        <w:rPr>
          <w:i/>
          <w:iCs/>
        </w:rPr>
        <w:t>:</w:t>
      </w:r>
      <w:r>
        <w:t xml:space="preserve">  </w:t>
      </w:r>
      <w:r w:rsidR="001550E2">
        <w:t xml:space="preserve">&gt;12 months of </w:t>
      </w:r>
      <w:r w:rsidR="00BC02D9">
        <w:rPr>
          <w:rFonts w:ascii="Symbol" w:hAnsi="Symbol"/>
        </w:rPr>
        <w:t>m</w:t>
      </w:r>
      <w:r w:rsidR="001550E2">
        <w:t xml:space="preserve">g or ground full-scale integrated ground testing depending on the system. </w:t>
      </w:r>
      <w:r>
        <w:t xml:space="preserve">In addition to integrated system testing, with HILT where appropriate, testing must include reduced pressure (~8.2 psia) and elevated oxygen (~34%) and if applicable representative dust exposure tolerance/filterating.  Ground testing may be sufficient for most systems unless fine particle or capillary liquid separation is required.  </w:t>
      </w:r>
      <w:r w:rsidRPr="009C4402">
        <w:rPr>
          <w:i/>
          <w:iCs/>
        </w:rPr>
        <w:t>Rationale</w:t>
      </w:r>
      <w:r>
        <w:t xml:space="preserve">: </w:t>
      </w:r>
      <w:r w:rsidR="001550E2">
        <w:t xml:space="preserve">The first several lunar missions will be of the order of </w:t>
      </w:r>
      <w:r w:rsidR="001236F3">
        <w:t xml:space="preserve">30 days and assume a goal that systems should support at least </w:t>
      </w:r>
      <w:r w:rsidR="008B17F4">
        <w:t>six</w:t>
      </w:r>
      <w:r w:rsidR="001236F3">
        <w:t xml:space="preserve"> repeat missions for a total of 180 day</w:t>
      </w:r>
      <w:r w:rsidR="008B17F4">
        <w:t>s</w:t>
      </w:r>
      <w:r w:rsidR="001236F3">
        <w:t>.  Appling the same factor of 2</w:t>
      </w:r>
      <w:r w:rsidR="00023A2C">
        <w:t>x</w:t>
      </w:r>
      <w:r w:rsidR="001236F3">
        <w:t xml:space="preserve"> to account for low levels of trace contaminants or system interactions results in 12 months.</w:t>
      </w:r>
    </w:p>
    <w:p w14:paraId="13F8470F" w14:textId="043A71D8" w:rsidR="00B46D98" w:rsidRDefault="001236F3" w:rsidP="00D6075F">
      <w:pPr>
        <w:pStyle w:val="Heading2"/>
        <w:numPr>
          <w:ilvl w:val="0"/>
          <w:numId w:val="4"/>
        </w:numPr>
      </w:pPr>
      <w:r>
        <w:t>Reliability</w:t>
      </w:r>
      <w:r w:rsidR="00B5693C">
        <w:t xml:space="preserve"> Objective</w:t>
      </w:r>
    </w:p>
    <w:p w14:paraId="6F7C2BA0" w14:textId="49EA5EAB" w:rsidR="008C6592" w:rsidRDefault="00393B80" w:rsidP="008C6592">
      <w:pPr>
        <w:pStyle w:val="Text"/>
      </w:pPr>
      <w:r>
        <w:t>Reliability</w:t>
      </w:r>
      <w:r w:rsidR="001236F3">
        <w:t xml:space="preserve"> testing is related to integrated system operations but the focus is on longer term operation with </w:t>
      </w:r>
      <w:r w:rsidR="009162F7">
        <w:t xml:space="preserve">a focus on reducing the life time or capacity uncertainty in components, assemblies, and the system. </w:t>
      </w:r>
      <w:r w:rsidR="00F86BEB">
        <w:t>.</w:t>
      </w:r>
      <w:r w:rsidR="009162F7">
        <w:t xml:space="preserve"> Reducing the </w:t>
      </w:r>
      <w:r>
        <w:t>uncertainty</w:t>
      </w:r>
      <w:r w:rsidR="009162F7">
        <w:t xml:space="preserve"> is used to reduce the overall spares mass required for a given mission duration and probability of sufficiency</w:t>
      </w:r>
      <w:r w:rsidR="00023A2C" w:rsidRPr="00023A2C">
        <w:rPr>
          <w:vertAlign w:val="superscript"/>
        </w:rPr>
        <w:t>14,15</w:t>
      </w:r>
      <w:r w:rsidR="009162F7">
        <w:t>.  Spares mass is</w:t>
      </w:r>
      <w:r w:rsidR="00F327E7">
        <w:t xml:space="preserve"> calculated to be</w:t>
      </w:r>
      <w:r w:rsidR="009162F7">
        <w:t xml:space="preserve"> the second largest </w:t>
      </w:r>
      <w:r w:rsidR="00F327E7">
        <w:t>Mars transit habitat mass after propellant</w:t>
      </w:r>
      <w:r w:rsidR="00023A2C" w:rsidRPr="00023A2C">
        <w:rPr>
          <w:vertAlign w:val="superscript"/>
        </w:rPr>
        <w:t>16</w:t>
      </w:r>
      <w:r w:rsidR="00F327E7">
        <w:t>.  Since spares mass allocation for  future mission</w:t>
      </w:r>
      <w:r w:rsidR="00023A2C">
        <w:t>s</w:t>
      </w:r>
      <w:r w:rsidR="00F327E7">
        <w:t xml:space="preserve"> will be limited, it is important the best spares distribution be taken to improve crew </w:t>
      </w:r>
      <w:r>
        <w:t>survivability</w:t>
      </w:r>
      <w:r w:rsidR="00F327E7">
        <w:t xml:space="preserve">. </w:t>
      </w:r>
      <w:r w:rsidR="009162F7">
        <w:t xml:space="preserve">Testing time in integrated systems operation (above objective) can be used as part of total reliability test time.  </w:t>
      </w:r>
      <w:r w:rsidR="00023A2C">
        <w:t>However,</w:t>
      </w:r>
      <w:r w:rsidR="009162F7">
        <w:t xml:space="preserve"> longer cumulative test time </w:t>
      </w:r>
      <w:r w:rsidR="00023A2C">
        <w:t xml:space="preserve">beyond understanding system interactions, </w:t>
      </w:r>
      <w:r w:rsidR="009162F7">
        <w:t xml:space="preserve">is </w:t>
      </w:r>
      <w:r w:rsidR="00F327E7">
        <w:t xml:space="preserve">generally </w:t>
      </w:r>
      <w:r w:rsidR="009162F7">
        <w:t>required</w:t>
      </w:r>
      <w:r w:rsidR="00FC088C">
        <w:t>,</w:t>
      </w:r>
      <w:r w:rsidR="009162F7">
        <w:t xml:space="preserve"> </w:t>
      </w:r>
      <w:r w:rsidR="00F327E7">
        <w:t xml:space="preserve">and focus is primarily on operational wear and tear and </w:t>
      </w:r>
      <w:r>
        <w:t>manufacturing</w:t>
      </w:r>
      <w:r w:rsidR="00F327E7">
        <w:t xml:space="preserve"> variability impacts.  Additional units on the ground may be required to </w:t>
      </w:r>
      <w:r>
        <w:t>augment</w:t>
      </w:r>
      <w:r w:rsidR="00F327E7">
        <w:t xml:space="preserve"> integrated testing and loading with representative major </w:t>
      </w:r>
      <w:r>
        <w:t>constituents</w:t>
      </w:r>
      <w:r w:rsidR="00DD2E97">
        <w:t>. This</w:t>
      </w:r>
      <w:r w:rsidR="00F327E7">
        <w:t xml:space="preserve"> is considered a reasonable trade over a more complicated</w:t>
      </w:r>
      <w:r w:rsidR="00023A2C">
        <w:t xml:space="preserve"> and expensive</w:t>
      </w:r>
      <w:r w:rsidR="00F327E7">
        <w:t xml:space="preserve"> attempt</w:t>
      </w:r>
      <w:r w:rsidR="00023A2C">
        <w:t>s</w:t>
      </w:r>
      <w:r w:rsidR="00F327E7">
        <w:t xml:space="preserve"> to replicate all the possible trace contaminants. The VMO for reliability run time depends on the system mass.  Larger </w:t>
      </w:r>
      <w:r w:rsidR="00023A2C">
        <w:t xml:space="preserve">system </w:t>
      </w:r>
      <w:r w:rsidR="00F327E7">
        <w:t xml:space="preserve">masses have potentially greater savings benefit from a reduction in </w:t>
      </w:r>
      <w:r>
        <w:t>uncertainty</w:t>
      </w:r>
      <w:r w:rsidR="00F327E7">
        <w:t xml:space="preserve"> and warrant longer testing. </w:t>
      </w:r>
      <w:r w:rsidR="007B1695">
        <w:t xml:space="preserve"> Of course</w:t>
      </w:r>
      <w:r w:rsidR="00023A2C">
        <w:t>,</w:t>
      </w:r>
      <w:r w:rsidR="007B1695">
        <w:t xml:space="preserve"> actual savings will depend on the test results</w:t>
      </w:r>
      <w:r w:rsidR="00DD2E97">
        <w:t>,</w:t>
      </w:r>
      <w:r w:rsidR="007B1695">
        <w:t xml:space="preserve"> but in all cases reduces uncertainty and allows better spares quantity distribution for a given mass target.  If the system’s duty cycle is intermittent</w:t>
      </w:r>
      <w:r w:rsidR="00DD2E97">
        <w:t>, it</w:t>
      </w:r>
      <w:r w:rsidR="007B1695">
        <w:t xml:space="preserve"> is reasonable to reduce the combined testing </w:t>
      </w:r>
      <w:r>
        <w:t>proportionally</w:t>
      </w:r>
      <w:r w:rsidR="007B1695">
        <w:t>.</w:t>
      </w:r>
      <w:r w:rsidR="00F327E7">
        <w:t xml:space="preserve"> </w:t>
      </w:r>
      <w:r w:rsidR="00023A2C">
        <w:t>R</w:t>
      </w:r>
      <w:r w:rsidR="007B1695">
        <w:t xml:space="preserve">eplacing </w:t>
      </w:r>
      <w:r w:rsidR="00F327E7">
        <w:t xml:space="preserve">combined testing time </w:t>
      </w:r>
      <w:r w:rsidR="007B1695">
        <w:t xml:space="preserve">with a multiple </w:t>
      </w:r>
      <w:r w:rsidR="008E1E7D">
        <w:t xml:space="preserve">of </w:t>
      </w:r>
      <w:r w:rsidR="00DD2E97">
        <w:t>Mean Time between Failur</w:t>
      </w:r>
      <w:r w:rsidR="00A83D32">
        <w:t>e</w:t>
      </w:r>
      <w:r w:rsidR="00DD2E97">
        <w:t xml:space="preserve"> (</w:t>
      </w:r>
      <w:r w:rsidR="008E1E7D">
        <w:t>MTBF</w:t>
      </w:r>
      <w:r w:rsidR="00DD2E97">
        <w:t>)</w:t>
      </w:r>
      <w:r w:rsidR="007B1695">
        <w:t xml:space="preserve"> is being considered</w:t>
      </w:r>
      <w:r w:rsidR="00023A2C">
        <w:t xml:space="preserve"> and </w:t>
      </w:r>
      <w:r w:rsidR="00A83D32">
        <w:t xml:space="preserve">may appear </w:t>
      </w:r>
      <w:r w:rsidR="00023A2C">
        <w:t>in a future evolution of VMOs</w:t>
      </w:r>
      <w:r w:rsidR="007B1695">
        <w:t>.</w:t>
      </w:r>
      <w:r w:rsidR="008C6592">
        <w:t xml:space="preserve"> The following </w:t>
      </w:r>
      <w:r w:rsidR="00023A2C">
        <w:t>VMOs</w:t>
      </w:r>
      <w:r w:rsidR="008C6592">
        <w:t xml:space="preserve"> are recommended for the </w:t>
      </w:r>
      <w:r>
        <w:t>Reliability</w:t>
      </w:r>
      <w:r w:rsidR="008C6592">
        <w:t xml:space="preserve"> Objective.</w:t>
      </w:r>
    </w:p>
    <w:p w14:paraId="10FDEE3A" w14:textId="0F9F4D05" w:rsidR="008E1E7D" w:rsidRDefault="00F327E7" w:rsidP="00D6075F">
      <w:pPr>
        <w:pStyle w:val="Text"/>
        <w:numPr>
          <w:ilvl w:val="0"/>
          <w:numId w:val="9"/>
        </w:numPr>
      </w:pPr>
      <w:r w:rsidRPr="001236F3">
        <w:rPr>
          <w:i/>
          <w:iCs/>
        </w:rPr>
        <w:t>Mars transit objective</w:t>
      </w:r>
      <w:r>
        <w:t xml:space="preserve">: </w:t>
      </w:r>
      <w:r w:rsidR="008B17F4">
        <w:t>S</w:t>
      </w:r>
      <w:r w:rsidR="008E1E7D">
        <w:t xml:space="preserve">ystem mass &gt;300kg, &gt;12 years combined testing.  System mass 50-300 kg, &gt;9 yrs combined testing.  System mass&lt;50 kg, &gt;4 years combined testing.  </w:t>
      </w:r>
      <w:r w:rsidR="008E1E7D" w:rsidRPr="009C4402">
        <w:rPr>
          <w:i/>
          <w:iCs/>
        </w:rPr>
        <w:t>Rationale</w:t>
      </w:r>
      <w:r w:rsidR="008E1E7D">
        <w:t xml:space="preserve">: </w:t>
      </w:r>
      <w:r w:rsidR="00393B80">
        <w:t>Cumulative</w:t>
      </w:r>
      <w:r w:rsidR="008E1E7D">
        <w:t xml:space="preserve"> spares mass reliability testing analysis indicates that about 15 years (~5x the Mars transit duration) has provided ~80% of the likely benefit</w:t>
      </w:r>
      <w:r w:rsidR="00023A2C" w:rsidRPr="00023A2C">
        <w:rPr>
          <w:vertAlign w:val="superscript"/>
        </w:rPr>
        <w:t>17</w:t>
      </w:r>
      <w:r w:rsidR="008E1E7D">
        <w:t>.  If the system’s duty cycle is intermittent is reasonable to reduce the combined testing by a proportional amount.</w:t>
      </w:r>
    </w:p>
    <w:p w14:paraId="0E1B0F8C" w14:textId="13A9A4CB" w:rsidR="00F327E7" w:rsidRDefault="00F327E7" w:rsidP="00D6075F">
      <w:pPr>
        <w:pStyle w:val="Text"/>
        <w:numPr>
          <w:ilvl w:val="0"/>
          <w:numId w:val="9"/>
        </w:numPr>
      </w:pPr>
      <w:r w:rsidRPr="007B1695">
        <w:rPr>
          <w:i/>
          <w:iCs/>
        </w:rPr>
        <w:t>Long duration lunar surface objective:</w:t>
      </w:r>
      <w:r>
        <w:t xml:space="preserve">  </w:t>
      </w:r>
      <w:r w:rsidR="008B17F4">
        <w:t>System mass &gt;300kg, &gt;30 months combined testing.  System mass 50-300 kg, &gt;9 20 months combined testing.  System mass</w:t>
      </w:r>
      <w:r w:rsidR="00A83D32">
        <w:t xml:space="preserve"> </w:t>
      </w:r>
      <w:r w:rsidR="008B17F4">
        <w:t xml:space="preserve">&lt;50 kg, &gt;10 months combined testing.  </w:t>
      </w:r>
      <w:r w:rsidR="008B17F4" w:rsidRPr="007B1695">
        <w:rPr>
          <w:i/>
          <w:iCs/>
        </w:rPr>
        <w:t>Rationale</w:t>
      </w:r>
      <w:r w:rsidR="008B17F4">
        <w:t xml:space="preserve">: Similar to integrated system testing, systems should support at least six </w:t>
      </w:r>
      <w:r w:rsidR="00393B80">
        <w:t>repeats</w:t>
      </w:r>
      <w:r w:rsidR="008B17F4">
        <w:t xml:space="preserve"> </w:t>
      </w:r>
      <w:r w:rsidR="00393B80">
        <w:t>30-day</w:t>
      </w:r>
      <w:r w:rsidR="008B17F4">
        <w:t xml:space="preserve"> missions for a total of 180 days.  Appling the same factor for </w:t>
      </w:r>
      <w:r w:rsidR="00DE72D9">
        <w:t>Mars transit</w:t>
      </w:r>
      <w:r w:rsidR="008B17F4">
        <w:t xml:space="preserve"> of 5x results in 30 months.  </w:t>
      </w:r>
    </w:p>
    <w:p w14:paraId="7B54615B" w14:textId="6430C6A8" w:rsidR="00B46D98" w:rsidRDefault="00B46D98" w:rsidP="00D6075F">
      <w:pPr>
        <w:pStyle w:val="Heading2"/>
        <w:numPr>
          <w:ilvl w:val="0"/>
          <w:numId w:val="4"/>
        </w:numPr>
      </w:pPr>
      <w:r>
        <w:lastRenderedPageBreak/>
        <w:t>Dormancy</w:t>
      </w:r>
      <w:r w:rsidR="00B5693C">
        <w:t xml:space="preserve"> Objective</w:t>
      </w:r>
    </w:p>
    <w:p w14:paraId="74579FDA" w14:textId="31D7CFDB" w:rsidR="008C6592" w:rsidRDefault="00D936E9" w:rsidP="008C6592">
      <w:pPr>
        <w:pStyle w:val="Text"/>
      </w:pPr>
      <w:r>
        <w:t>Human systems for Mars transit and lunar surface are expected to be built up over several missions.  During a mission</w:t>
      </w:r>
      <w:r w:rsidR="00DE72D9">
        <w:t>,</w:t>
      </w:r>
      <w:r>
        <w:t xml:space="preserve"> systems are operated and contaminated with microorganisms and chemicals from humans, the vehicle </w:t>
      </w:r>
      <w:r w:rsidR="00393B80">
        <w:t>off gassing</w:t>
      </w:r>
      <w:r w:rsidR="00DE72D9">
        <w:t xml:space="preserve"> </w:t>
      </w:r>
      <w:r>
        <w:t>environment, and materials that enter the habitat.  During uncrewed periods</w:t>
      </w:r>
      <w:r w:rsidR="00E46027">
        <w:t xml:space="preserve"> (referred to as dormancy even if some vehicle systems are still active)</w:t>
      </w:r>
      <w:r>
        <w:t xml:space="preserve">, these contaminants can microbially </w:t>
      </w:r>
      <w:r w:rsidR="00BC02D9">
        <w:t>proliferate</w:t>
      </w:r>
      <w:r>
        <w:t xml:space="preserve">, precipitate, cause corrosion, or increase seal friction. </w:t>
      </w:r>
      <w:r w:rsidR="00E46027">
        <w:t xml:space="preserve">Systems that are wetted with water or high humidity are particularly susceptible to microbial upset.  While ISS regenerative </w:t>
      </w:r>
      <w:r w:rsidR="00393B80">
        <w:t>life-support</w:t>
      </w:r>
      <w:r w:rsidR="00E46027">
        <w:t xml:space="preserve"> has operated since 2008, the system has not </w:t>
      </w:r>
      <w:r w:rsidR="00DE72D9">
        <w:t>been</w:t>
      </w:r>
      <w:r w:rsidR="00E46027">
        <w:t xml:space="preserve"> placed in a dormant mode as ISS has been continually crewed.  </w:t>
      </w:r>
      <w:r>
        <w:t>Procedures and operations to enter dormancy, tolerate d</w:t>
      </w:r>
      <w:r w:rsidR="00E46027">
        <w:t xml:space="preserve">ormancy, and recover and operate after dormancy need to be validated over representative timescales.  Systems must be representatively operated in a relevant environment sufficiently long to establish contamination before testing dormancy countermeasures. </w:t>
      </w:r>
      <w:r w:rsidR="008C6592">
        <w:t xml:space="preserve"> The following objectives are recommended for the Dormancy Objective.</w:t>
      </w:r>
    </w:p>
    <w:p w14:paraId="4C74F344" w14:textId="43F21084" w:rsidR="00F327E7" w:rsidRDefault="00F327E7" w:rsidP="00D6075F">
      <w:pPr>
        <w:pStyle w:val="Text"/>
        <w:numPr>
          <w:ilvl w:val="0"/>
          <w:numId w:val="10"/>
        </w:numPr>
      </w:pPr>
      <w:r w:rsidRPr="001236F3">
        <w:rPr>
          <w:i/>
          <w:iCs/>
        </w:rPr>
        <w:t>Mars transit objective</w:t>
      </w:r>
      <w:r>
        <w:t xml:space="preserve">: </w:t>
      </w:r>
      <w:r w:rsidR="00E46027">
        <w:t xml:space="preserve">Operate a system for &gt;60 days </w:t>
      </w:r>
      <w:r w:rsidR="00712302">
        <w:t xml:space="preserve">in </w:t>
      </w:r>
      <w:r w:rsidR="00BC02D9">
        <w:rPr>
          <w:rFonts w:ascii="Symbol" w:hAnsi="Symbol"/>
        </w:rPr>
        <w:t>m</w:t>
      </w:r>
      <w:r w:rsidR="00712302">
        <w:t xml:space="preserve">g </w:t>
      </w:r>
      <w:r w:rsidR="00E46027">
        <w:t xml:space="preserve">to sufficiently contaminate it, perform dormancy procedures, remain dormant for &gt;270 days, perform dormancy recovery/exit procedures, and operate nominally for &gt;30 days in </w:t>
      </w:r>
      <w:r w:rsidR="00BC02D9">
        <w:rPr>
          <w:rFonts w:ascii="Symbol" w:hAnsi="Symbol"/>
        </w:rPr>
        <w:t>m</w:t>
      </w:r>
      <w:r w:rsidR="00E46027">
        <w:t xml:space="preserve">g.  </w:t>
      </w:r>
      <w:r w:rsidR="00E46027" w:rsidRPr="007B1695">
        <w:rPr>
          <w:i/>
          <w:iCs/>
        </w:rPr>
        <w:t>Rationale</w:t>
      </w:r>
      <w:r w:rsidR="00E46027">
        <w:t>:</w:t>
      </w:r>
      <w:r w:rsidR="00712302">
        <w:t xml:space="preserve"> While the actual transit to Mars will not have a dormant period (if 2 crew remain in orbit and 2 </w:t>
      </w:r>
      <w:r w:rsidR="00393B80">
        <w:t>descend</w:t>
      </w:r>
      <w:r w:rsidR="00712302">
        <w:t xml:space="preserve"> to the surface), the outfitting of the transit vehicle over several years will have typical dormancy periods of 9-11months.  60 days of operation is a reasonable timeframe for </w:t>
      </w:r>
      <w:r w:rsidR="00393B80">
        <w:t>microbial</w:t>
      </w:r>
      <w:r w:rsidR="00712302">
        <w:t xml:space="preserve"> biofilms to establish themselves. Fluid distributes itself differently in </w:t>
      </w:r>
      <w:r w:rsidR="00BC02D9">
        <w:rPr>
          <w:rFonts w:ascii="Symbol" w:hAnsi="Symbol"/>
        </w:rPr>
        <w:t>m</w:t>
      </w:r>
      <w:r w:rsidR="00712302">
        <w:t xml:space="preserve">g during operational transitions so dormancy is best demonstrated in </w:t>
      </w:r>
      <w:r w:rsidR="00BC02D9">
        <w:rPr>
          <w:rFonts w:ascii="Symbol" w:hAnsi="Symbol"/>
        </w:rPr>
        <w:t>m</w:t>
      </w:r>
      <w:r w:rsidR="00712302">
        <w:t xml:space="preserve">g unless it can be reasonable replicated on the ground (where humidity is the predominant wetting mechanism). 270 days of dormancy is a reasonable period for fungi or biofilms to have replicated after adapting to challenging conditions of limited nutrients imposed by dormancy preparation procedures.  Post dormancy, it may take time (30 days is reasonable) for the biomass or chemical </w:t>
      </w:r>
      <w:r w:rsidR="00393B80">
        <w:t>precipitation</w:t>
      </w:r>
      <w:r w:rsidR="00712302">
        <w:t xml:space="preserve"> to detach and accumulate and fail a component. </w:t>
      </w:r>
    </w:p>
    <w:p w14:paraId="20C9DDF2" w14:textId="6940A60A" w:rsidR="00B46D98" w:rsidRDefault="00F327E7" w:rsidP="00D6075F">
      <w:pPr>
        <w:pStyle w:val="Text"/>
        <w:numPr>
          <w:ilvl w:val="0"/>
          <w:numId w:val="9"/>
        </w:numPr>
      </w:pPr>
      <w:r w:rsidRPr="00712302">
        <w:rPr>
          <w:i/>
          <w:iCs/>
        </w:rPr>
        <w:t>Long duration lunar surface objective:</w:t>
      </w:r>
      <w:r>
        <w:t xml:space="preserve">  </w:t>
      </w:r>
      <w:r w:rsidR="00712302">
        <w:t xml:space="preserve">The same requirement as Mars transit with 1-g testing likely sufficient except for systems with fine fluid mists or light-weight and small diameter particles.  </w:t>
      </w:r>
      <w:r w:rsidR="00712302" w:rsidRPr="00712302">
        <w:rPr>
          <w:i/>
          <w:iCs/>
        </w:rPr>
        <w:t>Rationale</w:t>
      </w:r>
      <w:r w:rsidR="00712302">
        <w:t xml:space="preserve">: Lunar surface missions notionally have a </w:t>
      </w:r>
      <w:r w:rsidR="00A355E0">
        <w:t>one-year</w:t>
      </w:r>
      <w:r w:rsidR="00712302">
        <w:t xml:space="preserve"> cadence but may have to tolerate a skip cycle due to lost launch opportunity so the dormancy period may be 11-23 months.  270 days of demonstrated dormancy tolerance is considered reasonable to determine dormancy countermeasures adequacy.</w:t>
      </w:r>
    </w:p>
    <w:p w14:paraId="1586FA5A" w14:textId="67D9B403" w:rsidR="00B46D98" w:rsidRDefault="00B46D98" w:rsidP="00D6075F">
      <w:pPr>
        <w:pStyle w:val="Heading2"/>
        <w:numPr>
          <w:ilvl w:val="0"/>
          <w:numId w:val="4"/>
        </w:numPr>
      </w:pPr>
      <w:r>
        <w:t>Understanding Crew Time for Operations and Maintenance</w:t>
      </w:r>
    </w:p>
    <w:p w14:paraId="5116F49F" w14:textId="38705F36" w:rsidR="008C6592" w:rsidRDefault="00B65ECC" w:rsidP="008C6592">
      <w:pPr>
        <w:pStyle w:val="Text"/>
      </w:pPr>
      <w:r>
        <w:t>It is important that systems are operated long enough for components to reach their life, wear out, or fail and then be maintained</w:t>
      </w:r>
      <w:r w:rsidR="00DE72D9">
        <w:t xml:space="preserve"> by the crew to reestablish normal functionality</w:t>
      </w:r>
      <w:r>
        <w:t xml:space="preserve">.  </w:t>
      </w:r>
      <w:r w:rsidR="00DE72D9">
        <w:t>The act of maintenance of the entire system</w:t>
      </w:r>
      <w:r>
        <w:t xml:space="preserve"> is important for understanding the crew time required, unexpected difficulty, and the complexity of the task to reduce the risk of overscheduling the crew in the future.  Equally important is to understand if hardware was damaged, unexpected releases of fluids or particles occurred, or if additional contingency supplies are required</w:t>
      </w:r>
      <w:r w:rsidR="00DE72D9">
        <w:t xml:space="preserve"> during maintenance</w:t>
      </w:r>
      <w:r>
        <w:t xml:space="preserve">.  </w:t>
      </w:r>
      <w:r w:rsidR="00E146F4">
        <w:t xml:space="preserve">It is </w:t>
      </w:r>
      <w:r w:rsidR="00A355E0">
        <w:t>imperative</w:t>
      </w:r>
      <w:r w:rsidR="00E146F4">
        <w:t xml:space="preserve"> that these operations be demonstrated in a relevant envir</w:t>
      </w:r>
      <w:r w:rsidR="00A355E0">
        <w:t>on</w:t>
      </w:r>
      <w:r w:rsidR="00E146F4">
        <w:t xml:space="preserve">ment where fluids, particles, and small parts may float away or be </w:t>
      </w:r>
      <w:r w:rsidR="00A355E0">
        <w:t>contaminated</w:t>
      </w:r>
      <w:r w:rsidR="00E146F4">
        <w:t xml:space="preserve"> with lunar/Mars dust.  For simple non-fluid, non-particle containing, or portable equipment ground validation may be sufficient, but</w:t>
      </w:r>
      <w:r w:rsidR="00E04995">
        <w:t>,</w:t>
      </w:r>
      <w:r w:rsidR="00E146F4">
        <w:t xml:space="preserve"> in general</w:t>
      </w:r>
      <w:r w:rsidR="00E04995">
        <w:t>,</w:t>
      </w:r>
      <w:r w:rsidR="00E146F4">
        <w:t xml:space="preserve"> </w:t>
      </w:r>
      <w:r w:rsidR="00BC02D9">
        <w:rPr>
          <w:rFonts w:ascii="Symbol" w:hAnsi="Symbol"/>
        </w:rPr>
        <w:t>m</w:t>
      </w:r>
      <w:r w:rsidR="00E146F4">
        <w:t>g operations are recommended.</w:t>
      </w:r>
      <w:r w:rsidR="008C6592">
        <w:t xml:space="preserve"> The following </w:t>
      </w:r>
      <w:r w:rsidR="00023A2C">
        <w:t>VMOs</w:t>
      </w:r>
      <w:r w:rsidR="008C6592">
        <w:t xml:space="preserve"> are recommended for the Crew Time for Operations and Maintenance Objective.</w:t>
      </w:r>
    </w:p>
    <w:p w14:paraId="6E59839B" w14:textId="4A016A7E" w:rsidR="00F327E7" w:rsidRDefault="00F327E7" w:rsidP="00D6075F">
      <w:pPr>
        <w:pStyle w:val="Text"/>
        <w:numPr>
          <w:ilvl w:val="0"/>
          <w:numId w:val="9"/>
        </w:numPr>
      </w:pPr>
      <w:r w:rsidRPr="001236F3">
        <w:rPr>
          <w:i/>
          <w:iCs/>
        </w:rPr>
        <w:t>Mars transit objective</w:t>
      </w:r>
      <w:r>
        <w:t xml:space="preserve">: </w:t>
      </w:r>
      <w:r w:rsidR="00E146F4">
        <w:t xml:space="preserve">Demonstration of </w:t>
      </w:r>
      <w:r w:rsidR="00A355E0">
        <w:t>lower-level</w:t>
      </w:r>
      <w:r w:rsidR="00E146F4">
        <w:t xml:space="preserve"> maintenance (component level) operations in a relevant environment.  The relevant environment is generally </w:t>
      </w:r>
      <w:r w:rsidR="00BC02D9">
        <w:rPr>
          <w:rFonts w:ascii="Symbol" w:hAnsi="Symbol"/>
        </w:rPr>
        <w:t>m</w:t>
      </w:r>
      <w:r w:rsidR="00E146F4">
        <w:t xml:space="preserve">g unless the hardware is simple.  </w:t>
      </w:r>
      <w:r w:rsidR="00E146F4" w:rsidRPr="007B1695">
        <w:rPr>
          <w:i/>
          <w:iCs/>
        </w:rPr>
        <w:t>Rationale</w:t>
      </w:r>
      <w:r w:rsidR="00E146F4">
        <w:t xml:space="preserve">: To keep the spares mass </w:t>
      </w:r>
      <w:r w:rsidR="00A355E0">
        <w:t>manageable</w:t>
      </w:r>
      <w:r w:rsidR="00E146F4">
        <w:t xml:space="preserve"> or </w:t>
      </w:r>
      <w:r w:rsidR="00116223">
        <w:t xml:space="preserve">to </w:t>
      </w:r>
      <w:r w:rsidR="00E146F4">
        <w:t xml:space="preserve">allow a greater number of faults to be addressed for a given spares mass, it is strongly recommended that most systems be maintainable at the component level or small assembly level.  ISS generally maintains systems at the on-orbit replaceable unit which are often </w:t>
      </w:r>
      <w:r w:rsidR="00A355E0">
        <w:t>relatively</w:t>
      </w:r>
      <w:r w:rsidR="00E146F4">
        <w:t xml:space="preserve"> large assemblies with many components of which only one has failed. </w:t>
      </w:r>
      <w:r w:rsidR="00116223">
        <w:t>This is not viable when resupply is infeasible.</w:t>
      </w:r>
    </w:p>
    <w:p w14:paraId="7B1AD64E" w14:textId="335F2F61" w:rsidR="00F327E7" w:rsidRDefault="00F327E7" w:rsidP="00D6075F">
      <w:pPr>
        <w:pStyle w:val="Text"/>
        <w:numPr>
          <w:ilvl w:val="0"/>
          <w:numId w:val="9"/>
        </w:numPr>
      </w:pPr>
      <w:r w:rsidRPr="001236F3">
        <w:rPr>
          <w:i/>
          <w:iCs/>
        </w:rPr>
        <w:t>Long duration lunar surface objective</w:t>
      </w:r>
      <w:r>
        <w:rPr>
          <w:i/>
          <w:iCs/>
        </w:rPr>
        <w:t>:</w:t>
      </w:r>
      <w:r>
        <w:t xml:space="preserve">  </w:t>
      </w:r>
      <w:r w:rsidR="00E146F4">
        <w:t xml:space="preserve">The same requirement as Mars transit with 1-g testing likely sufficient except for systems with fine fluid mists or light-weight and small diameter particles or where pressure differentials are an important consideration in maintenance.  </w:t>
      </w:r>
      <w:r w:rsidR="00E146F4" w:rsidRPr="00712302">
        <w:rPr>
          <w:i/>
          <w:iCs/>
        </w:rPr>
        <w:t>Rationale</w:t>
      </w:r>
      <w:r w:rsidR="00E146F4">
        <w:t xml:space="preserve">: Partial gravity will likely </w:t>
      </w:r>
      <w:r w:rsidR="00A36301">
        <w:t xml:space="preserve">make releases of material, hardware </w:t>
      </w:r>
      <w:r w:rsidR="00A355E0">
        <w:t>restraints</w:t>
      </w:r>
      <w:r w:rsidR="00A36301">
        <w:t xml:space="preserve">, and equipment cool downs more similar to ground operations than </w:t>
      </w:r>
      <w:r w:rsidR="00BC02D9">
        <w:rPr>
          <w:rFonts w:ascii="Symbol" w:hAnsi="Symbol"/>
        </w:rPr>
        <w:t>m</w:t>
      </w:r>
      <w:r w:rsidR="00A36301">
        <w:t>g.</w:t>
      </w:r>
    </w:p>
    <w:p w14:paraId="37F8BDCC" w14:textId="2850F79A" w:rsidR="00B46D98" w:rsidRDefault="00B46D98" w:rsidP="00D6075F">
      <w:pPr>
        <w:pStyle w:val="Heading2"/>
        <w:numPr>
          <w:ilvl w:val="0"/>
          <w:numId w:val="4"/>
        </w:numPr>
      </w:pPr>
      <w:r>
        <w:lastRenderedPageBreak/>
        <w:t>Consumables and Spares Shelf-life</w:t>
      </w:r>
    </w:p>
    <w:p w14:paraId="3BA72232" w14:textId="7D6CE0B1" w:rsidR="008C6592" w:rsidRDefault="00A36301" w:rsidP="008C6592">
      <w:pPr>
        <w:pStyle w:val="Text"/>
      </w:pPr>
      <w:r>
        <w:t>Spares are only needed when the installed equipment performance decreases or fails</w:t>
      </w:r>
      <w:r w:rsidR="00116223">
        <w:t xml:space="preserve"> so by intent they generally are stored for substantial periods of time before use</w:t>
      </w:r>
      <w:r>
        <w:t>.  It is essential that spare works as intended</w:t>
      </w:r>
      <w:r w:rsidR="00116223">
        <w:t>.</w:t>
      </w:r>
      <w:r>
        <w:t xml:space="preserve">  Spares</w:t>
      </w:r>
      <w:r w:rsidR="008210E1">
        <w:t xml:space="preserve"> may be stored on the ground or on the space vehicle for substantial periods before the mission starts and still need to be viable at the end of the mission.  Even when stored in controlled and uncontamin</w:t>
      </w:r>
      <w:r w:rsidR="00A355E0">
        <w:t>at</w:t>
      </w:r>
      <w:r w:rsidR="008210E1">
        <w:t xml:space="preserve">ed conditions (unlike the dormancy objective), corrosion between dissimilar materials, coatings can break down, seals and bearings may develop increased friction, and gas </w:t>
      </w:r>
      <w:r w:rsidR="00A355E0">
        <w:t>permeability</w:t>
      </w:r>
      <w:r w:rsidR="008210E1">
        <w:t xml:space="preserve"> may change the chemical makeup of calibration fluids, and chemical compounds/adsorbers.  These can all contribute to an item not working when needed.  The inoperable spare has occurred multiple times on ISS.</w:t>
      </w:r>
      <w:r w:rsidR="008C6592">
        <w:t xml:space="preserve"> The following </w:t>
      </w:r>
      <w:r w:rsidR="00023A2C">
        <w:t>VMOs</w:t>
      </w:r>
      <w:r w:rsidR="008C6592">
        <w:t xml:space="preserve"> are recommended for the Consumables and Spares Life Objective.</w:t>
      </w:r>
    </w:p>
    <w:p w14:paraId="45B801E6" w14:textId="295E6805" w:rsidR="00F327E7" w:rsidRDefault="00F327E7" w:rsidP="00D6075F">
      <w:pPr>
        <w:pStyle w:val="Text"/>
        <w:numPr>
          <w:ilvl w:val="0"/>
          <w:numId w:val="9"/>
        </w:numPr>
      </w:pPr>
      <w:r w:rsidRPr="001236F3">
        <w:rPr>
          <w:i/>
          <w:iCs/>
        </w:rPr>
        <w:t>Mars transit objective</w:t>
      </w:r>
      <w:r>
        <w:t>: &gt;</w:t>
      </w:r>
      <w:r w:rsidR="00A355E0">
        <w:t>5-year</w:t>
      </w:r>
      <w:r w:rsidR="008210E1">
        <w:t xml:space="preserve"> storage of the spare and then operate nominally.  </w:t>
      </w:r>
      <w:r w:rsidR="008210E1" w:rsidRPr="00712302">
        <w:rPr>
          <w:i/>
          <w:iCs/>
        </w:rPr>
        <w:t>Rationale</w:t>
      </w:r>
      <w:r w:rsidR="008210E1">
        <w:t xml:space="preserve">: The </w:t>
      </w:r>
      <w:r w:rsidR="00A355E0">
        <w:t>five-year</w:t>
      </w:r>
      <w:r w:rsidR="008210E1">
        <w:t xml:space="preserve"> assumption assumes 0.5 years prelaunch storage, 2 years of Mars transit vehicle spares build-up at Gateway, and 2.5 years Mars transit round trip mission duration.</w:t>
      </w:r>
    </w:p>
    <w:p w14:paraId="24A3B8E4" w14:textId="1E2D04D5" w:rsidR="00B46D98" w:rsidRDefault="00F327E7" w:rsidP="00A7305F">
      <w:pPr>
        <w:pStyle w:val="Text"/>
        <w:numPr>
          <w:ilvl w:val="0"/>
          <w:numId w:val="9"/>
        </w:numPr>
      </w:pPr>
      <w:r w:rsidRPr="007F2BFC">
        <w:rPr>
          <w:i/>
          <w:iCs/>
        </w:rPr>
        <w:t>Long duration lunar surface objective:</w:t>
      </w:r>
      <w:r>
        <w:t xml:space="preserve">  &gt;</w:t>
      </w:r>
      <w:r w:rsidR="00A355E0">
        <w:t>3-year</w:t>
      </w:r>
      <w:r w:rsidR="007F2BFC">
        <w:t xml:space="preserve"> storage of spare and then operate nominally. </w:t>
      </w:r>
      <w:r w:rsidR="007F2BFC" w:rsidRPr="007F2BFC">
        <w:rPr>
          <w:i/>
          <w:iCs/>
        </w:rPr>
        <w:t>Rationale</w:t>
      </w:r>
      <w:r w:rsidR="007F2BFC">
        <w:t xml:space="preserve">: The </w:t>
      </w:r>
      <w:r w:rsidR="00A355E0">
        <w:t>three-year</w:t>
      </w:r>
      <w:r w:rsidR="007F2BFC">
        <w:t xml:space="preserve"> assumption assumes 0.5 years prelaunch storage, 1 year of skip mission incase a launch opportunity is lost, and &gt;1.5 years storage on the surface to allow the spare to support at least two crewed surface missions.</w:t>
      </w:r>
    </w:p>
    <w:p w14:paraId="3B4EA747" w14:textId="39AD2C47" w:rsidR="00B46D98" w:rsidRDefault="00B46D98" w:rsidP="00D6075F">
      <w:pPr>
        <w:pStyle w:val="Heading2"/>
        <w:numPr>
          <w:ilvl w:val="0"/>
          <w:numId w:val="4"/>
        </w:numPr>
      </w:pPr>
      <w:r>
        <w:t>Human Systems Integration</w:t>
      </w:r>
    </w:p>
    <w:p w14:paraId="5CD78C91" w14:textId="65A95A47" w:rsidR="008C6592" w:rsidRDefault="00427A2E" w:rsidP="008C6592">
      <w:pPr>
        <w:pStyle w:val="Text"/>
      </w:pPr>
      <w:r>
        <w:t xml:space="preserve">Human Systems Integration (HSI) </w:t>
      </w:r>
      <w:r w:rsidR="00EB50C4">
        <w:t>applied to ECLSS</w:t>
      </w:r>
      <w:r w:rsidR="00E04995">
        <w:t>-</w:t>
      </w:r>
      <w:r w:rsidR="00EB50C4">
        <w:t xml:space="preserve">CHP </w:t>
      </w:r>
      <w:r>
        <w:t xml:space="preserve">is a recently added capability area and </w:t>
      </w:r>
      <w:r w:rsidR="00EB50C4">
        <w:t xml:space="preserve">the gaps objectives are </w:t>
      </w:r>
      <w:r>
        <w:t xml:space="preserve">still </w:t>
      </w:r>
      <w:r w:rsidR="00EB50C4">
        <w:t xml:space="preserve">being </w:t>
      </w:r>
      <w:r>
        <w:t>formulating</w:t>
      </w:r>
      <w:r w:rsidR="00EB50C4">
        <w:t xml:space="preserve"> in coordinating with the larger HSI community</w:t>
      </w:r>
      <w:r>
        <w:t xml:space="preserve">. </w:t>
      </w:r>
      <w:r w:rsidR="00EB50C4">
        <w:t xml:space="preserve">There are general vehicle </w:t>
      </w:r>
      <w:r w:rsidR="00A355E0">
        <w:t>autotomy</w:t>
      </w:r>
      <w:r w:rsidR="00EB50C4">
        <w:t xml:space="preserve"> aspects that our outside of ECLSS-CHP H</w:t>
      </w:r>
      <w:r w:rsidR="00F2371A">
        <w:t>SI.  The ECLSS-CHP HSI focus is to reduce the risk that systems do not have sufficient features/sensors to provide information directly to the crew (and time delayed to ground) and the crew has sufficient proficiency for key operations independent or with limited time delay ground assistance.</w:t>
      </w:r>
      <w:r w:rsidR="008C6592">
        <w:t xml:space="preserve"> The following initial </w:t>
      </w:r>
      <w:r w:rsidR="00023A2C">
        <w:t>VMOs</w:t>
      </w:r>
      <w:r w:rsidR="008C6592">
        <w:t xml:space="preserve"> are recommended for the Human Systems Integration Objective.</w:t>
      </w:r>
    </w:p>
    <w:p w14:paraId="7DB1084A" w14:textId="5BC13065" w:rsidR="00F327E7" w:rsidRDefault="00F327E7" w:rsidP="00D6075F">
      <w:pPr>
        <w:pStyle w:val="Text"/>
        <w:numPr>
          <w:ilvl w:val="0"/>
          <w:numId w:val="9"/>
        </w:numPr>
      </w:pPr>
      <w:r w:rsidRPr="001236F3">
        <w:rPr>
          <w:i/>
          <w:iCs/>
        </w:rPr>
        <w:t>Mars transit objective</w:t>
      </w:r>
      <w:r>
        <w:t xml:space="preserve">: </w:t>
      </w:r>
      <w:r w:rsidR="00A355E0">
        <w:t>Independent</w:t>
      </w:r>
      <w:r w:rsidR="00F2371A">
        <w:t xml:space="preserve"> in-mission HSI troubleshooting, with limited time delay ground assistance demonstrated in a relevant environment.  Rationale: Time delay for Mars transit may be up to 20-min one way and may include solar conjunction that prohibit communication for 10-20 days.  The crew needs to be able to independently respond to critical time to effect events that can occur in those timeframes.</w:t>
      </w:r>
    </w:p>
    <w:p w14:paraId="708F0F66" w14:textId="19143516" w:rsidR="00B46D98" w:rsidRPr="00BB3E6E" w:rsidRDefault="00F327E7" w:rsidP="00A7305F">
      <w:pPr>
        <w:pStyle w:val="Text"/>
        <w:numPr>
          <w:ilvl w:val="0"/>
          <w:numId w:val="9"/>
        </w:numPr>
      </w:pPr>
      <w:r w:rsidRPr="00F2371A">
        <w:rPr>
          <w:i/>
          <w:iCs/>
        </w:rPr>
        <w:t>Long duration lunar surface objective:</w:t>
      </w:r>
      <w:r>
        <w:t xml:space="preserve">  </w:t>
      </w:r>
      <w:r w:rsidR="00F2371A">
        <w:t xml:space="preserve">The same requirement as Mars transit but the relevant operations to target will be different </w:t>
      </w:r>
      <w:r w:rsidR="00A355E0">
        <w:t>because</w:t>
      </w:r>
      <w:r w:rsidR="00F2371A">
        <w:t xml:space="preserve"> time delay is less.</w:t>
      </w:r>
    </w:p>
    <w:p w14:paraId="6E6C392D" w14:textId="4F6B3D6E" w:rsidR="00112093" w:rsidRDefault="00DD6354" w:rsidP="00D6075F">
      <w:pPr>
        <w:pStyle w:val="Heading1"/>
        <w:numPr>
          <w:ilvl w:val="0"/>
          <w:numId w:val="1"/>
        </w:numPr>
      </w:pPr>
      <w:r>
        <w:t xml:space="preserve">Closing Comments on Supporting </w:t>
      </w:r>
      <w:r w:rsidR="003155D7">
        <w:t xml:space="preserve">Technology </w:t>
      </w:r>
      <w:r>
        <w:t>Decisions</w:t>
      </w:r>
      <w:r w:rsidR="000B012B">
        <w:t xml:space="preserve"> </w:t>
      </w:r>
    </w:p>
    <w:p w14:paraId="7614E198" w14:textId="2CF93EEB" w:rsidR="00E4758C" w:rsidRDefault="00DD6354">
      <w:pPr>
        <w:pStyle w:val="Text"/>
      </w:pPr>
      <w:r>
        <w:t xml:space="preserve">A single technology measure for the full range of decisions necessary from technology ideation to full spaceflight </w:t>
      </w:r>
      <w:r w:rsidR="00A355E0">
        <w:t>supportability</w:t>
      </w:r>
      <w:r>
        <w:t xml:space="preserve"> is not practical.  M2M objectives define broadly what NASA seeks to achieve at a very high level.  Mission architects and planners </w:t>
      </w:r>
      <w:r w:rsidR="00A355E0">
        <w:t>parametrically</w:t>
      </w:r>
      <w:r>
        <w:t xml:space="preserve"> formulate a range of possible mission elements and campaigns to achieve the M2M objectives.  These architecture </w:t>
      </w:r>
      <w:r w:rsidR="00A355E0">
        <w:t>trade studies</w:t>
      </w:r>
      <w:r>
        <w:t xml:space="preserve"> highlight driving mass, power, volume, crew time, propulsion, thermal, and many other constraints and driving factors.  From these</w:t>
      </w:r>
      <w:r w:rsidR="00E04995">
        <w:t>,</w:t>
      </w:r>
      <w:r>
        <w:t xml:space="preserve"> capability gaps are defined.  </w:t>
      </w:r>
      <w:r w:rsidR="00A355E0">
        <w:t>Critically</w:t>
      </w:r>
      <w:r>
        <w:t xml:space="preserve"> the gaps should define KPPs for the SOA and </w:t>
      </w:r>
      <w:r w:rsidR="00A355E0">
        <w:t>what</w:t>
      </w:r>
      <w:r>
        <w:t xml:space="preserve"> is </w:t>
      </w:r>
      <w:r w:rsidR="00A355E0">
        <w:t>minimally</w:t>
      </w:r>
      <w:r>
        <w:t xml:space="preserve"> required to be sufficiently enhancing or enable the mission.</w:t>
      </w:r>
      <w:r w:rsidR="00E4758C">
        <w:t xml:space="preserve">  These KPPs should be used identify possible </w:t>
      </w:r>
      <w:r w:rsidR="00A355E0">
        <w:t>technology</w:t>
      </w:r>
      <w:r w:rsidR="00E4758C">
        <w:t xml:space="preserve"> canidates and where their performance should be improved.  Development testing and prototypes should target improving these basic KPP technology characteristics of key components first rather than jumping to developing the balance of system components.  Significant financial resources are consumed developing non-critical system components before it is understood how much the critical KPP can be improved so it can be compared to competing technologies.  Often a single TRL is used for the entire system and there is a push to elevate the entire TRL level.  It would be more useful if the key components contributing to the </w:t>
      </w:r>
      <w:r w:rsidR="00E04995">
        <w:t xml:space="preserve">KPPs </w:t>
      </w:r>
      <w:r w:rsidR="00E4758C">
        <w:t xml:space="preserve">were measured with TRL separate from the entire system TRL.  This would better focus both the developer and be more informative to NASA decision makers.  </w:t>
      </w:r>
    </w:p>
    <w:p w14:paraId="48DA62FE" w14:textId="1EFA1BFE" w:rsidR="00112093" w:rsidRDefault="00E4758C">
      <w:pPr>
        <w:pStyle w:val="Text"/>
      </w:pPr>
      <w:r>
        <w:t xml:space="preserve">Technology development proposals should clearly communicate they understand the SOA and relevant KPPs.  How their proposal specifically </w:t>
      </w:r>
      <w:r w:rsidR="00A355E0">
        <w:t>addresses</w:t>
      </w:r>
      <w:r>
        <w:t xml:space="preserve"> and seeks to improve on the SOA KPPs is critical to helping NASA understand </w:t>
      </w:r>
      <w:r w:rsidR="008B2A8B">
        <w:t>the potential benefits over general statements of benefits.  The later often comes across as it is just different than the SOA.</w:t>
      </w:r>
    </w:p>
    <w:p w14:paraId="3120C016" w14:textId="319FEEC4" w:rsidR="008B2A8B" w:rsidRDefault="008B2A8B">
      <w:pPr>
        <w:pStyle w:val="Text"/>
      </w:pPr>
      <w:r>
        <w:t>TRLs are very useful in combination with a systematic process</w:t>
      </w:r>
      <w:r w:rsidRPr="008B2A8B">
        <w:rPr>
          <w:vertAlign w:val="superscript"/>
        </w:rPr>
        <w:t>11</w:t>
      </w:r>
      <w:r>
        <w:t xml:space="preserve"> in determin</w:t>
      </w:r>
      <w:r w:rsidR="00A355E0">
        <w:t>in</w:t>
      </w:r>
      <w:r>
        <w:t xml:space="preserve">g when a </w:t>
      </w:r>
      <w:r w:rsidR="00A355E0">
        <w:t>technology</w:t>
      </w:r>
      <w:r>
        <w:t xml:space="preserve"> is ready for a </w:t>
      </w:r>
      <w:r w:rsidR="00BC02D9">
        <w:rPr>
          <w:rFonts w:ascii="Symbol" w:hAnsi="Symbol"/>
        </w:rPr>
        <w:t>m</w:t>
      </w:r>
      <w:r>
        <w:t>g flight experiment.  Again, TRLs can be applied to the crit</w:t>
      </w:r>
      <w:r w:rsidR="00A355E0">
        <w:t>ic</w:t>
      </w:r>
      <w:r>
        <w:t xml:space="preserve">al KPP or the whole system.  The International Space Station (ISS) and its follow-on commercial replacement are increasingly being fully utilized.  So using KPPs to explain </w:t>
      </w:r>
      <w:r>
        <w:lastRenderedPageBreak/>
        <w:t>the ‘why’ it is important and ‘what’ potential quantitative benefit for exp</w:t>
      </w:r>
      <w:r w:rsidR="00A355E0">
        <w:t>l</w:t>
      </w:r>
      <w:r>
        <w:t xml:space="preserve">oration exists is very useful in NASA decision makers in prioritizing what payloads and systems can best use the limited </w:t>
      </w:r>
      <w:r w:rsidR="00E04995">
        <w:rPr>
          <w:rFonts w:ascii="Symbol" w:hAnsi="Symbol"/>
        </w:rPr>
        <w:t>m</w:t>
      </w:r>
      <w:r>
        <w:t>g test platforms.</w:t>
      </w:r>
    </w:p>
    <w:p w14:paraId="3F096B9B" w14:textId="7DC757C8" w:rsidR="00464746" w:rsidRDefault="00464746">
      <w:pPr>
        <w:pStyle w:val="Text"/>
      </w:pPr>
      <w:r>
        <w:t xml:space="preserve">Validation Maturation Objectives (VMOs) are useful after a successful </w:t>
      </w:r>
      <w:r w:rsidR="00E04995">
        <w:rPr>
          <w:rFonts w:ascii="Symbol" w:hAnsi="Symbol"/>
        </w:rPr>
        <w:t>m</w:t>
      </w:r>
      <w:r>
        <w:t xml:space="preserve">g technology demonstration to measure how mature a </w:t>
      </w:r>
      <w:r w:rsidR="00A355E0">
        <w:t>technology</w:t>
      </w:r>
      <w:r>
        <w:t xml:space="preserve"> is compared to where it needs to be for a long endurance mission.  Using the six VMOs can help identify and communicate ‘why’ additional investment in ground testing or extended ug testing is required.  It also allows CIT, the SCLT, and NASA Project Managers </w:t>
      </w:r>
      <w:r w:rsidR="000E5853">
        <w:t xml:space="preserve">to identify which vehicle and ground platforms might be used to </w:t>
      </w:r>
      <w:r w:rsidR="00A355E0">
        <w:t>achieve</w:t>
      </w:r>
      <w:r w:rsidR="000E5853">
        <w:t xml:space="preserve"> the VMOs over time.  For example</w:t>
      </w:r>
      <w:r w:rsidR="00E04995">
        <w:t>,</w:t>
      </w:r>
      <w:r w:rsidR="000E5853">
        <w:t xml:space="preserve"> maybe only the procedures for dormancy can be demonstrated on ISS</w:t>
      </w:r>
      <w:r w:rsidR="00E04995">
        <w:t>,</w:t>
      </w:r>
      <w:r w:rsidR="000E5853">
        <w:t xml:space="preserve"> but the systems effluent needed for nominal operations </w:t>
      </w:r>
      <w:r w:rsidR="00E04995">
        <w:t>cannot</w:t>
      </w:r>
      <w:r w:rsidR="000E5853">
        <w:t xml:space="preserve"> be allowed be dormant, so the dormancy VMO remains orange.  But that communicates</w:t>
      </w:r>
      <w:r w:rsidR="00E04995">
        <w:t xml:space="preserve"> the following:</w:t>
      </w:r>
      <w:r w:rsidR="000E5853">
        <w:t xml:space="preserve"> </w:t>
      </w:r>
      <w:r w:rsidR="00E04995">
        <w:t xml:space="preserve">Should </w:t>
      </w:r>
      <w:r w:rsidR="000E5853">
        <w:t xml:space="preserve">the commercial replacement for ISS be targeted as a payload rather than a system, or can part of it be achieved on the ground with higher fidelity </w:t>
      </w:r>
      <w:r w:rsidR="00A355E0">
        <w:t>representative</w:t>
      </w:r>
      <w:r w:rsidR="000E5853">
        <w:t xml:space="preserve"> testing</w:t>
      </w:r>
      <w:r w:rsidR="00E04995">
        <w:t xml:space="preserve">? </w:t>
      </w:r>
      <w:proofErr w:type="gramStart"/>
      <w:r w:rsidR="00E04995">
        <w:t>Or</w:t>
      </w:r>
      <w:r w:rsidR="008776DE">
        <w:t>,</w:t>
      </w:r>
      <w:proofErr w:type="gramEnd"/>
      <w:r w:rsidR="00E04995">
        <w:t xml:space="preserve"> </w:t>
      </w:r>
      <w:r w:rsidR="000E5853">
        <w:t xml:space="preserve">should the system launch early in the multiple year outfitting of the Mars transit vehicle so that it can have dormancy durations validated between outfitting missions and allow time for modifications if needed?  The value of all measures is in quantitatively communicating what remains to reduce risk and improve crew </w:t>
      </w:r>
      <w:r w:rsidR="00A355E0">
        <w:t>survivability</w:t>
      </w:r>
      <w:r w:rsidR="000E5853">
        <w:t xml:space="preserve"> to NASA decision makers so informed decisions can be made.</w:t>
      </w:r>
    </w:p>
    <w:p w14:paraId="7D8A4D11" w14:textId="77777777" w:rsidR="00112093" w:rsidRDefault="00112093">
      <w:pPr>
        <w:pStyle w:val="Heading1"/>
      </w:pPr>
      <w:r>
        <w:t>Acknowledgments</w:t>
      </w:r>
    </w:p>
    <w:p w14:paraId="6D22E2D1" w14:textId="164DCC7E" w:rsidR="00F736C4" w:rsidRDefault="00F736C4" w:rsidP="00F736C4">
      <w:pPr>
        <w:pStyle w:val="Text"/>
        <w:rPr>
          <w:i/>
        </w:rPr>
      </w:pPr>
      <w:r w:rsidRPr="00434C00">
        <w:rPr>
          <w:rFonts w:eastAsia="Batang"/>
          <w:color w:val="000000" w:themeColor="text1"/>
        </w:rPr>
        <w:t xml:space="preserve">This paper </w:t>
      </w:r>
      <w:r>
        <w:rPr>
          <w:rFonts w:eastAsia="Batang"/>
          <w:color w:val="000000" w:themeColor="text1"/>
        </w:rPr>
        <w:t xml:space="preserve">provides a summary of discussions with numerous </w:t>
      </w:r>
      <w:r w:rsidRPr="00434C00">
        <w:rPr>
          <w:rFonts w:eastAsia="Batang"/>
          <w:color w:val="000000" w:themeColor="text1"/>
        </w:rPr>
        <w:t>NASA</w:t>
      </w:r>
      <w:r>
        <w:rPr>
          <w:rFonts w:eastAsia="Batang"/>
        </w:rPr>
        <w:t xml:space="preserve"> and contractor</w:t>
      </w:r>
      <w:r w:rsidRPr="00125F29">
        <w:rPr>
          <w:rFonts w:eastAsia="Batang"/>
        </w:rPr>
        <w:t xml:space="preserve"> </w:t>
      </w:r>
      <w:r>
        <w:rPr>
          <w:rFonts w:eastAsia="Batang"/>
        </w:rPr>
        <w:t>analysts, subject mater experts, and technology roadmap leads</w:t>
      </w:r>
      <w:r w:rsidRPr="00125F29">
        <w:rPr>
          <w:rFonts w:eastAsia="Batang"/>
        </w:rPr>
        <w:t>.</w:t>
      </w:r>
      <w:r>
        <w:rPr>
          <w:rFonts w:eastAsia="Batang"/>
        </w:rPr>
        <w:t xml:space="preserve"> These discussions help shape this initial development of initial technology validation objectives that will continued to be refined.  In particular specific contributions from Marlon Cox, Andrew Owens, Alesha Ridley, and Walt Schneider</w:t>
      </w:r>
      <w:r>
        <w:t>.</w:t>
      </w:r>
      <w:r>
        <w:rPr>
          <w:i/>
        </w:rPr>
        <w:t xml:space="preserve"> </w:t>
      </w:r>
    </w:p>
    <w:p w14:paraId="5E3DA8E1" w14:textId="48C166DA" w:rsidR="00112093" w:rsidRDefault="00112093">
      <w:pPr>
        <w:pStyle w:val="Heading1"/>
      </w:pPr>
      <w:r>
        <w:t>References</w:t>
      </w:r>
    </w:p>
    <w:p w14:paraId="186E77FD" w14:textId="77777777" w:rsidR="009F4B5F" w:rsidRDefault="00E64AD6" w:rsidP="009F4B5F">
      <w:pPr>
        <w:pStyle w:val="References"/>
        <w:rPr>
          <w:szCs w:val="18"/>
        </w:rPr>
      </w:pPr>
      <w:r w:rsidRPr="006926DE">
        <w:rPr>
          <w:color w:val="000000" w:themeColor="text1"/>
          <w:szCs w:val="18"/>
          <w:vertAlign w:val="superscript"/>
        </w:rPr>
        <w:t xml:space="preserve">1 </w:t>
      </w:r>
      <w:r w:rsidR="009F4B5F">
        <w:rPr>
          <w:color w:val="000000" w:themeColor="text1"/>
          <w:szCs w:val="18"/>
        </w:rPr>
        <w:t>Schneider, W. F., …”</w:t>
      </w:r>
      <w:r w:rsidR="009F4B5F" w:rsidRPr="009F4B5F">
        <w:rPr>
          <w:noProof/>
        </w:rPr>
        <w:t xml:space="preserve"> </w:t>
      </w:r>
      <w:r w:rsidR="009F4B5F">
        <w:rPr>
          <w:noProof/>
        </w:rPr>
        <w:t>NASA Environmental Control and Life Support Technology Development for Exploration: 2022 to 2023 Overview,</w:t>
      </w:r>
      <w:r w:rsidR="009F4B5F">
        <w:rPr>
          <w:color w:val="000000" w:themeColor="text1"/>
          <w:szCs w:val="18"/>
        </w:rPr>
        <w:t>”</w:t>
      </w:r>
      <w:r w:rsidR="009F4B5F">
        <w:rPr>
          <w:i/>
          <w:color w:val="000000" w:themeColor="text1"/>
          <w:szCs w:val="18"/>
        </w:rPr>
        <w:t>52</w:t>
      </w:r>
      <w:r w:rsidR="009F4B5F">
        <w:rPr>
          <w:i/>
          <w:color w:val="000000" w:themeColor="text1"/>
          <w:szCs w:val="18"/>
          <w:vertAlign w:val="superscript"/>
        </w:rPr>
        <w:t>nd</w:t>
      </w:r>
      <w:r w:rsidR="009F4B5F" w:rsidRPr="006926DE">
        <w:rPr>
          <w:i/>
          <w:color w:val="000000" w:themeColor="text1"/>
          <w:szCs w:val="18"/>
        </w:rPr>
        <w:t xml:space="preserve"> International Conference on Environmental Systems</w:t>
      </w:r>
      <w:r w:rsidR="009F4B5F" w:rsidRPr="006926DE">
        <w:rPr>
          <w:color w:val="000000" w:themeColor="text1"/>
          <w:szCs w:val="18"/>
        </w:rPr>
        <w:t xml:space="preserve">, </w:t>
      </w:r>
      <w:r w:rsidR="009F4B5F">
        <w:rPr>
          <w:color w:val="000000" w:themeColor="text1"/>
          <w:szCs w:val="18"/>
        </w:rPr>
        <w:t>Calgary, Canada</w:t>
      </w:r>
      <w:r w:rsidR="009F4B5F" w:rsidRPr="006926DE">
        <w:rPr>
          <w:color w:val="000000" w:themeColor="text1"/>
          <w:szCs w:val="18"/>
        </w:rPr>
        <w:t>, ICES-202</w:t>
      </w:r>
      <w:r w:rsidR="009F4B5F">
        <w:rPr>
          <w:color w:val="000000" w:themeColor="text1"/>
          <w:szCs w:val="18"/>
        </w:rPr>
        <w:t>3</w:t>
      </w:r>
      <w:r w:rsidR="009F4B5F" w:rsidRPr="006926DE">
        <w:rPr>
          <w:color w:val="000000" w:themeColor="text1"/>
          <w:szCs w:val="18"/>
        </w:rPr>
        <w:t>-</w:t>
      </w:r>
      <w:r w:rsidR="009F4B5F">
        <w:rPr>
          <w:color w:val="000000" w:themeColor="text1"/>
          <w:szCs w:val="18"/>
        </w:rPr>
        <w:t>xxx</w:t>
      </w:r>
      <w:r w:rsidR="009F4B5F" w:rsidRPr="006926DE">
        <w:rPr>
          <w:color w:val="000000" w:themeColor="text1"/>
          <w:szCs w:val="18"/>
        </w:rPr>
        <w:t xml:space="preserve">, </w:t>
      </w:r>
      <w:r w:rsidR="009F4B5F" w:rsidRPr="006926DE">
        <w:rPr>
          <w:szCs w:val="18"/>
        </w:rPr>
        <w:t>July 1</w:t>
      </w:r>
      <w:r w:rsidR="009F4B5F">
        <w:rPr>
          <w:szCs w:val="18"/>
        </w:rPr>
        <w:t>6-20</w:t>
      </w:r>
      <w:r w:rsidR="009F4B5F" w:rsidRPr="006926DE">
        <w:rPr>
          <w:szCs w:val="18"/>
        </w:rPr>
        <w:t>, 202</w:t>
      </w:r>
      <w:r w:rsidR="009F4B5F">
        <w:rPr>
          <w:szCs w:val="18"/>
        </w:rPr>
        <w:t>3</w:t>
      </w:r>
      <w:r w:rsidR="009F4B5F" w:rsidRPr="006926DE">
        <w:rPr>
          <w:szCs w:val="18"/>
        </w:rPr>
        <w:t>.</w:t>
      </w:r>
    </w:p>
    <w:p w14:paraId="4C794691" w14:textId="24968D49" w:rsidR="00F736C4" w:rsidRDefault="00E64AD6" w:rsidP="009F4B5F">
      <w:pPr>
        <w:pStyle w:val="References"/>
        <w:rPr>
          <w:szCs w:val="18"/>
        </w:rPr>
      </w:pPr>
      <w:r>
        <w:rPr>
          <w:color w:val="000000" w:themeColor="text1"/>
          <w:szCs w:val="18"/>
          <w:vertAlign w:val="superscript"/>
        </w:rPr>
        <w:t>2</w:t>
      </w:r>
      <w:r w:rsidR="00F736C4" w:rsidRPr="006926DE">
        <w:rPr>
          <w:color w:val="000000" w:themeColor="text1"/>
          <w:szCs w:val="18"/>
          <w:vertAlign w:val="superscript"/>
        </w:rPr>
        <w:t xml:space="preserve"> </w:t>
      </w:r>
      <w:r w:rsidR="00F736C4" w:rsidRPr="006926DE">
        <w:rPr>
          <w:color w:val="000000" w:themeColor="text1"/>
          <w:szCs w:val="18"/>
        </w:rPr>
        <w:t xml:space="preserve">Abercromby A., F.,J., Douglas, G., Kalogera, K.L., </w:t>
      </w:r>
      <w:r w:rsidR="009F4B5F">
        <w:rPr>
          <w:color w:val="000000" w:themeColor="text1"/>
          <w:szCs w:val="18"/>
        </w:rPr>
        <w:t xml:space="preserve">Marshall-Goebel, K., </w:t>
      </w:r>
      <w:r w:rsidR="00F736C4" w:rsidRPr="006926DE">
        <w:rPr>
          <w:color w:val="000000" w:themeColor="text1"/>
          <w:szCs w:val="18"/>
        </w:rPr>
        <w:t xml:space="preserve">Somers, </w:t>
      </w:r>
      <w:r w:rsidR="009F4B5F">
        <w:rPr>
          <w:color w:val="000000" w:themeColor="text1"/>
          <w:szCs w:val="18"/>
        </w:rPr>
        <w:t xml:space="preserve">Stephenson, J., </w:t>
      </w:r>
      <w:r w:rsidR="00F736C4" w:rsidRPr="006926DE">
        <w:rPr>
          <w:color w:val="000000" w:themeColor="text1"/>
          <w:szCs w:val="18"/>
        </w:rPr>
        <w:t>J.T., S</w:t>
      </w:r>
      <w:r w:rsidR="00F736C4" w:rsidRPr="006926DE">
        <w:rPr>
          <w:szCs w:val="18"/>
        </w:rPr>
        <w:t>uresh, R., Thompson, M. S., Wood, S., J.,</w:t>
      </w:r>
      <w:r w:rsidR="009F4B5F">
        <w:rPr>
          <w:szCs w:val="18"/>
        </w:rPr>
        <w:t xml:space="preserve"> Broyan, J.L., </w:t>
      </w:r>
      <w:r w:rsidR="00F736C4" w:rsidRPr="006926DE">
        <w:rPr>
          <w:color w:val="FF0000"/>
          <w:szCs w:val="18"/>
        </w:rPr>
        <w:t xml:space="preserve"> </w:t>
      </w:r>
      <w:r w:rsidR="00F736C4" w:rsidRPr="006926DE">
        <w:rPr>
          <w:szCs w:val="18"/>
        </w:rPr>
        <w:t xml:space="preserve">“NASA Crew Health and Performance Capability Development or </w:t>
      </w:r>
      <w:r w:rsidR="00F736C4" w:rsidRPr="006926DE">
        <w:rPr>
          <w:color w:val="000000" w:themeColor="text1"/>
          <w:szCs w:val="18"/>
        </w:rPr>
        <w:t>Exploration: 202</w:t>
      </w:r>
      <w:r w:rsidR="009F4B5F">
        <w:rPr>
          <w:color w:val="000000" w:themeColor="text1"/>
          <w:szCs w:val="18"/>
        </w:rPr>
        <w:t>2</w:t>
      </w:r>
      <w:r w:rsidR="00F736C4" w:rsidRPr="006926DE">
        <w:rPr>
          <w:color w:val="000000" w:themeColor="text1"/>
          <w:szCs w:val="18"/>
        </w:rPr>
        <w:t xml:space="preserve"> to 202</w:t>
      </w:r>
      <w:r w:rsidR="009F4B5F">
        <w:rPr>
          <w:color w:val="000000" w:themeColor="text1"/>
          <w:szCs w:val="18"/>
        </w:rPr>
        <w:t>3</w:t>
      </w:r>
      <w:r w:rsidR="00F736C4" w:rsidRPr="006926DE">
        <w:rPr>
          <w:color w:val="000000" w:themeColor="text1"/>
          <w:szCs w:val="18"/>
        </w:rPr>
        <w:t xml:space="preserve"> Overview,”</w:t>
      </w:r>
      <w:r w:rsidR="00F736C4" w:rsidRPr="006926DE">
        <w:rPr>
          <w:i/>
          <w:color w:val="000000" w:themeColor="text1"/>
          <w:szCs w:val="18"/>
        </w:rPr>
        <w:t xml:space="preserve"> 5</w:t>
      </w:r>
      <w:r w:rsidR="009F4B5F">
        <w:rPr>
          <w:i/>
          <w:color w:val="000000" w:themeColor="text1"/>
          <w:szCs w:val="18"/>
        </w:rPr>
        <w:t>2</w:t>
      </w:r>
      <w:r w:rsidR="009F4B5F">
        <w:rPr>
          <w:i/>
          <w:color w:val="000000" w:themeColor="text1"/>
          <w:szCs w:val="18"/>
          <w:vertAlign w:val="superscript"/>
        </w:rPr>
        <w:t>nd</w:t>
      </w:r>
      <w:r w:rsidR="00F736C4" w:rsidRPr="006926DE">
        <w:rPr>
          <w:i/>
          <w:color w:val="000000" w:themeColor="text1"/>
          <w:szCs w:val="18"/>
        </w:rPr>
        <w:t xml:space="preserve"> International Conference on Environmental Systems</w:t>
      </w:r>
      <w:r w:rsidR="00F736C4" w:rsidRPr="006926DE">
        <w:rPr>
          <w:color w:val="000000" w:themeColor="text1"/>
          <w:szCs w:val="18"/>
        </w:rPr>
        <w:t xml:space="preserve">, </w:t>
      </w:r>
      <w:r w:rsidR="009F4B5F">
        <w:rPr>
          <w:color w:val="000000" w:themeColor="text1"/>
          <w:szCs w:val="18"/>
        </w:rPr>
        <w:t>Calgary, Canada</w:t>
      </w:r>
      <w:r w:rsidR="009F4B5F" w:rsidRPr="006926DE">
        <w:rPr>
          <w:color w:val="000000" w:themeColor="text1"/>
          <w:szCs w:val="18"/>
        </w:rPr>
        <w:t>, ICES-202</w:t>
      </w:r>
      <w:r w:rsidR="009F4B5F">
        <w:rPr>
          <w:color w:val="000000" w:themeColor="text1"/>
          <w:szCs w:val="18"/>
        </w:rPr>
        <w:t>3</w:t>
      </w:r>
      <w:r w:rsidR="009F4B5F" w:rsidRPr="006926DE">
        <w:rPr>
          <w:color w:val="000000" w:themeColor="text1"/>
          <w:szCs w:val="18"/>
        </w:rPr>
        <w:t>-</w:t>
      </w:r>
      <w:r w:rsidR="009F4B5F">
        <w:rPr>
          <w:color w:val="000000" w:themeColor="text1"/>
          <w:szCs w:val="18"/>
        </w:rPr>
        <w:t>299</w:t>
      </w:r>
      <w:r w:rsidR="009F4B5F" w:rsidRPr="006926DE">
        <w:rPr>
          <w:color w:val="000000" w:themeColor="text1"/>
          <w:szCs w:val="18"/>
        </w:rPr>
        <w:t xml:space="preserve">, </w:t>
      </w:r>
      <w:r w:rsidR="009F4B5F" w:rsidRPr="006926DE">
        <w:rPr>
          <w:szCs w:val="18"/>
        </w:rPr>
        <w:t>July 1</w:t>
      </w:r>
      <w:r w:rsidR="009F4B5F">
        <w:rPr>
          <w:szCs w:val="18"/>
        </w:rPr>
        <w:t>6-20</w:t>
      </w:r>
      <w:r w:rsidR="009F4B5F" w:rsidRPr="006926DE">
        <w:rPr>
          <w:szCs w:val="18"/>
        </w:rPr>
        <w:t>, 202</w:t>
      </w:r>
      <w:r w:rsidR="009F4B5F">
        <w:rPr>
          <w:szCs w:val="18"/>
        </w:rPr>
        <w:t>3</w:t>
      </w:r>
      <w:r w:rsidR="00F736C4" w:rsidRPr="006926DE">
        <w:rPr>
          <w:szCs w:val="18"/>
        </w:rPr>
        <w:t>.</w:t>
      </w:r>
    </w:p>
    <w:p w14:paraId="37B4BB85" w14:textId="7D73E649" w:rsidR="00502AB6" w:rsidRDefault="00502AB6" w:rsidP="00F736C4">
      <w:pPr>
        <w:pStyle w:val="References"/>
        <w:rPr>
          <w:szCs w:val="18"/>
        </w:rPr>
      </w:pPr>
      <w:r w:rsidRPr="00502AB6">
        <w:rPr>
          <w:szCs w:val="18"/>
          <w:vertAlign w:val="superscript"/>
        </w:rPr>
        <w:t>3</w:t>
      </w:r>
      <w:r>
        <w:rPr>
          <w:szCs w:val="18"/>
        </w:rPr>
        <w:t xml:space="preserve"> </w:t>
      </w:r>
      <w:hyperlink r:id="rId17" w:history="1">
        <w:r w:rsidR="002D3D14" w:rsidRPr="00916A82">
          <w:rPr>
            <w:rStyle w:val="Hyperlink"/>
            <w:sz w:val="18"/>
            <w:szCs w:val="18"/>
          </w:rPr>
          <w:t>https://www.nasa.gov/sites/default/files/atoms/files/m2m-objectives-exec-summary.pdf</w:t>
        </w:r>
      </w:hyperlink>
    </w:p>
    <w:p w14:paraId="05113AA7" w14:textId="393DBE04" w:rsidR="00502AB6" w:rsidRDefault="006E596F" w:rsidP="00F736C4">
      <w:pPr>
        <w:pStyle w:val="References"/>
        <w:rPr>
          <w:szCs w:val="18"/>
        </w:rPr>
      </w:pPr>
      <w:r w:rsidRPr="006E596F">
        <w:rPr>
          <w:szCs w:val="18"/>
          <w:vertAlign w:val="superscript"/>
        </w:rPr>
        <w:t>4</w:t>
      </w:r>
      <w:r>
        <w:rPr>
          <w:szCs w:val="18"/>
        </w:rPr>
        <w:t xml:space="preserve"> 2022 or 2023 IEEE Paper, </w:t>
      </w:r>
      <w:r w:rsidRPr="006E596F">
        <w:rPr>
          <w:i/>
          <w:iCs/>
          <w:szCs w:val="18"/>
        </w:rPr>
        <w:t>Architecture Robustness in NASA’s Moon to Mars Capability Development</w:t>
      </w:r>
      <w:r>
        <w:rPr>
          <w:szCs w:val="18"/>
        </w:rPr>
        <w:t>,….</w:t>
      </w:r>
    </w:p>
    <w:p w14:paraId="44DFF2A9" w14:textId="09AEF382" w:rsidR="002D3D14" w:rsidRDefault="002D3D14" w:rsidP="002D3D14">
      <w:pPr>
        <w:pStyle w:val="References"/>
        <w:rPr>
          <w:szCs w:val="18"/>
        </w:rPr>
      </w:pPr>
      <w:r>
        <w:rPr>
          <w:szCs w:val="18"/>
          <w:vertAlign w:val="superscript"/>
        </w:rPr>
        <w:t>5</w:t>
      </w:r>
      <w:r>
        <w:rPr>
          <w:szCs w:val="18"/>
        </w:rPr>
        <w:t xml:space="preserve"> </w:t>
      </w:r>
      <w:hyperlink r:id="rId18" w:history="1">
        <w:r w:rsidR="005A4CF8" w:rsidRPr="00916A82">
          <w:rPr>
            <w:rStyle w:val="Hyperlink"/>
            <w:sz w:val="18"/>
            <w:szCs w:val="18"/>
          </w:rPr>
          <w:t>https://ntrs.nasa.gov/citations/20170005794</w:t>
        </w:r>
      </w:hyperlink>
    </w:p>
    <w:p w14:paraId="23842E90" w14:textId="7F48FC35" w:rsidR="005A4CF8" w:rsidRDefault="005A4CF8" w:rsidP="002D3D14">
      <w:pPr>
        <w:pStyle w:val="References"/>
        <w:rPr>
          <w:szCs w:val="18"/>
        </w:rPr>
      </w:pPr>
      <w:r w:rsidRPr="005A4CF8">
        <w:rPr>
          <w:szCs w:val="18"/>
          <w:vertAlign w:val="superscript"/>
        </w:rPr>
        <w:t>6</w:t>
      </w:r>
      <w:r>
        <w:rPr>
          <w:szCs w:val="18"/>
        </w:rPr>
        <w:t xml:space="preserve"> </w:t>
      </w:r>
      <w:hyperlink r:id="rId19" w:history="1">
        <w:r w:rsidRPr="00916A82">
          <w:rPr>
            <w:rStyle w:val="Hyperlink"/>
            <w:sz w:val="18"/>
            <w:szCs w:val="18"/>
          </w:rPr>
          <w:t>https://humanresearchroadmap.nasa.gov/Risks/</w:t>
        </w:r>
      </w:hyperlink>
    </w:p>
    <w:p w14:paraId="2E0069D4" w14:textId="7AD6ED66" w:rsidR="00CA55A6" w:rsidRDefault="00CA55A6" w:rsidP="002D3D14">
      <w:pPr>
        <w:pStyle w:val="References"/>
        <w:rPr>
          <w:szCs w:val="18"/>
        </w:rPr>
      </w:pPr>
      <w:r>
        <w:rPr>
          <w:color w:val="000000" w:themeColor="text1"/>
          <w:szCs w:val="18"/>
          <w:vertAlign w:val="superscript"/>
        </w:rPr>
        <w:t>7</w:t>
      </w:r>
      <w:r w:rsidRPr="006926DE">
        <w:rPr>
          <w:color w:val="000000" w:themeColor="text1"/>
          <w:szCs w:val="18"/>
          <w:vertAlign w:val="superscript"/>
        </w:rPr>
        <w:t xml:space="preserve"> </w:t>
      </w:r>
      <w:r>
        <w:t>https://humanresearchroadmap.nasa.gov</w:t>
      </w:r>
    </w:p>
    <w:p w14:paraId="56624510" w14:textId="0FCE6BA8" w:rsidR="005A4CF8" w:rsidRPr="006926DE" w:rsidRDefault="00CA55A6" w:rsidP="005A4CF8">
      <w:pPr>
        <w:pStyle w:val="References"/>
        <w:rPr>
          <w:szCs w:val="18"/>
        </w:rPr>
      </w:pPr>
      <w:r>
        <w:rPr>
          <w:color w:val="000000" w:themeColor="text1"/>
          <w:szCs w:val="18"/>
          <w:vertAlign w:val="superscript"/>
        </w:rPr>
        <w:t>8</w:t>
      </w:r>
      <w:r w:rsidR="005A4CF8" w:rsidRPr="006926DE">
        <w:rPr>
          <w:color w:val="000000" w:themeColor="text1"/>
          <w:szCs w:val="18"/>
          <w:vertAlign w:val="superscript"/>
        </w:rPr>
        <w:t xml:space="preserve"> </w:t>
      </w:r>
      <w:r w:rsidR="005A4CF8" w:rsidRPr="006926DE">
        <w:rPr>
          <w:color w:val="000000" w:themeColor="text1"/>
          <w:szCs w:val="18"/>
        </w:rPr>
        <w:t>Abercromby A., F.,J., Douglas, G., Kalogera, K.L., Somers, J.T., S</w:t>
      </w:r>
      <w:r w:rsidR="005A4CF8" w:rsidRPr="006926DE">
        <w:rPr>
          <w:szCs w:val="18"/>
        </w:rPr>
        <w:t>uresh, R., Thompson, M. S., Wood, S., J.,</w:t>
      </w:r>
      <w:r w:rsidR="005A4CF8" w:rsidRPr="006926DE">
        <w:rPr>
          <w:color w:val="FF0000"/>
          <w:szCs w:val="18"/>
        </w:rPr>
        <w:t xml:space="preserve"> </w:t>
      </w:r>
      <w:r w:rsidR="005A4CF8" w:rsidRPr="006926DE">
        <w:rPr>
          <w:szCs w:val="18"/>
        </w:rPr>
        <w:t xml:space="preserve">“NASA Crew Health and Performance Capability Development or </w:t>
      </w:r>
      <w:r w:rsidR="005A4CF8" w:rsidRPr="006926DE">
        <w:rPr>
          <w:color w:val="000000" w:themeColor="text1"/>
          <w:szCs w:val="18"/>
        </w:rPr>
        <w:t>Exploration: 2021 to 2022 Overview,”</w:t>
      </w:r>
      <w:r w:rsidR="005A4CF8" w:rsidRPr="006926DE">
        <w:rPr>
          <w:i/>
          <w:color w:val="000000" w:themeColor="text1"/>
          <w:szCs w:val="18"/>
        </w:rPr>
        <w:t xml:space="preserve"> 51</w:t>
      </w:r>
      <w:r w:rsidR="005A4CF8" w:rsidRPr="006926DE">
        <w:rPr>
          <w:i/>
          <w:color w:val="000000" w:themeColor="text1"/>
          <w:szCs w:val="18"/>
          <w:vertAlign w:val="superscript"/>
        </w:rPr>
        <w:t>st</w:t>
      </w:r>
      <w:r w:rsidR="005A4CF8" w:rsidRPr="006926DE">
        <w:rPr>
          <w:i/>
          <w:color w:val="000000" w:themeColor="text1"/>
          <w:szCs w:val="18"/>
        </w:rPr>
        <w:t xml:space="preserve"> International Conference on Environmental Systems</w:t>
      </w:r>
      <w:r w:rsidR="005A4CF8" w:rsidRPr="006926DE">
        <w:rPr>
          <w:color w:val="000000" w:themeColor="text1"/>
          <w:szCs w:val="18"/>
        </w:rPr>
        <w:t xml:space="preserve">, St. Paul, Minnesota, ICES-2022-299, </w:t>
      </w:r>
      <w:r w:rsidR="005A4CF8" w:rsidRPr="006926DE">
        <w:rPr>
          <w:szCs w:val="18"/>
        </w:rPr>
        <w:t>July 10-14, 2022.</w:t>
      </w:r>
    </w:p>
    <w:p w14:paraId="7326945B" w14:textId="6AEEB649" w:rsidR="00CA55A6" w:rsidRPr="006926DE" w:rsidRDefault="00CA55A6" w:rsidP="00CA55A6">
      <w:pPr>
        <w:pStyle w:val="References"/>
        <w:rPr>
          <w:szCs w:val="18"/>
        </w:rPr>
      </w:pPr>
      <w:r>
        <w:rPr>
          <w:szCs w:val="18"/>
          <w:vertAlign w:val="superscript"/>
        </w:rPr>
        <w:t>9</w:t>
      </w:r>
      <w:r w:rsidRPr="006926DE">
        <w:rPr>
          <w:szCs w:val="18"/>
          <w:vertAlign w:val="superscript"/>
        </w:rPr>
        <w:t xml:space="preserve"> </w:t>
      </w:r>
      <w:r w:rsidRPr="006926DE">
        <w:rPr>
          <w:szCs w:val="18"/>
        </w:rPr>
        <w:t>Broyan, J. L.,</w:t>
      </w:r>
      <w:r>
        <w:rPr>
          <w:szCs w:val="18"/>
        </w:rPr>
        <w:t xml:space="preserve"> </w:t>
      </w:r>
      <w:r w:rsidRPr="006926DE">
        <w:rPr>
          <w:szCs w:val="18"/>
        </w:rPr>
        <w:t>McKinley,</w:t>
      </w:r>
      <w:r>
        <w:rPr>
          <w:szCs w:val="18"/>
        </w:rPr>
        <w:t xml:space="preserve"> M., Stambaugh, I.,</w:t>
      </w:r>
      <w:r w:rsidRPr="006926DE">
        <w:rPr>
          <w:szCs w:val="18"/>
        </w:rPr>
        <w:t xml:space="preserve"> Ruff, G.A., Owens, A. C., “NASA Environmental Control and Life Support Technology Development and Maturation for Exploration: 202</w:t>
      </w:r>
      <w:r>
        <w:rPr>
          <w:szCs w:val="18"/>
        </w:rPr>
        <w:t>1</w:t>
      </w:r>
      <w:r w:rsidRPr="006926DE">
        <w:rPr>
          <w:szCs w:val="18"/>
        </w:rPr>
        <w:t xml:space="preserve"> to 202</w:t>
      </w:r>
      <w:r>
        <w:rPr>
          <w:szCs w:val="18"/>
        </w:rPr>
        <w:t>2</w:t>
      </w:r>
      <w:r w:rsidRPr="006926DE">
        <w:rPr>
          <w:szCs w:val="18"/>
        </w:rPr>
        <w:t xml:space="preserve"> Overview,”</w:t>
      </w:r>
      <w:r w:rsidRPr="00EF7E4A">
        <w:rPr>
          <w:i/>
          <w:iCs/>
          <w:szCs w:val="18"/>
        </w:rPr>
        <w:t xml:space="preserve"> </w:t>
      </w:r>
      <w:r w:rsidRPr="006926DE">
        <w:rPr>
          <w:i/>
          <w:color w:val="000000" w:themeColor="text1"/>
          <w:szCs w:val="18"/>
        </w:rPr>
        <w:t>51</w:t>
      </w:r>
      <w:r w:rsidRPr="006926DE">
        <w:rPr>
          <w:i/>
          <w:color w:val="000000" w:themeColor="text1"/>
          <w:szCs w:val="18"/>
          <w:vertAlign w:val="superscript"/>
        </w:rPr>
        <w:t>st</w:t>
      </w:r>
      <w:r w:rsidRPr="006926DE">
        <w:rPr>
          <w:i/>
          <w:color w:val="000000" w:themeColor="text1"/>
          <w:szCs w:val="18"/>
        </w:rPr>
        <w:t xml:space="preserve"> International Conference on Environmental Systems</w:t>
      </w:r>
      <w:r w:rsidRPr="006926DE">
        <w:rPr>
          <w:color w:val="000000" w:themeColor="text1"/>
          <w:szCs w:val="18"/>
        </w:rPr>
        <w:t>, St. Paul, Minnesota, ICES-2022-2</w:t>
      </w:r>
      <w:r>
        <w:rPr>
          <w:color w:val="000000" w:themeColor="text1"/>
          <w:szCs w:val="18"/>
        </w:rPr>
        <w:t>81</w:t>
      </w:r>
      <w:r w:rsidRPr="006926DE">
        <w:rPr>
          <w:color w:val="000000" w:themeColor="text1"/>
          <w:szCs w:val="18"/>
        </w:rPr>
        <w:t xml:space="preserve">, </w:t>
      </w:r>
      <w:r w:rsidRPr="006926DE">
        <w:rPr>
          <w:szCs w:val="18"/>
        </w:rPr>
        <w:t>July 10-14, 2022.</w:t>
      </w:r>
    </w:p>
    <w:p w14:paraId="10AF72B4" w14:textId="130674DB" w:rsidR="008C3D5F" w:rsidRDefault="00C47201" w:rsidP="00F736C4">
      <w:pPr>
        <w:pStyle w:val="References"/>
        <w:rPr>
          <w:szCs w:val="18"/>
        </w:rPr>
      </w:pPr>
      <w:r>
        <w:rPr>
          <w:szCs w:val="18"/>
          <w:vertAlign w:val="superscript"/>
        </w:rPr>
        <w:t>10</w:t>
      </w:r>
      <w:r w:rsidRPr="006926DE">
        <w:rPr>
          <w:szCs w:val="18"/>
          <w:vertAlign w:val="superscript"/>
        </w:rPr>
        <w:t xml:space="preserve"> </w:t>
      </w:r>
      <w:r w:rsidRPr="00C47201">
        <w:rPr>
          <w:szCs w:val="18"/>
        </w:rPr>
        <w:t>https://techport.nasa.gov/framework</w:t>
      </w:r>
    </w:p>
    <w:p w14:paraId="31AC6001" w14:textId="18CC8D27" w:rsidR="000074C7" w:rsidRDefault="000074C7" w:rsidP="000074C7">
      <w:pPr>
        <w:pStyle w:val="References"/>
        <w:rPr>
          <w:szCs w:val="18"/>
        </w:rPr>
      </w:pPr>
      <w:r>
        <w:rPr>
          <w:szCs w:val="18"/>
          <w:vertAlign w:val="superscript"/>
        </w:rPr>
        <w:t>11</w:t>
      </w:r>
      <w:r w:rsidRPr="006926DE">
        <w:rPr>
          <w:szCs w:val="18"/>
          <w:vertAlign w:val="superscript"/>
        </w:rPr>
        <w:t xml:space="preserve"> </w:t>
      </w:r>
      <w:r>
        <w:rPr>
          <w:szCs w:val="18"/>
        </w:rPr>
        <w:t>Cowan, D.T., B</w:t>
      </w:r>
      <w:r w:rsidRPr="006926DE">
        <w:rPr>
          <w:szCs w:val="18"/>
        </w:rPr>
        <w:t>royan, J. L.,</w:t>
      </w:r>
      <w:r>
        <w:rPr>
          <w:szCs w:val="18"/>
        </w:rPr>
        <w:t xml:space="preserve"> Williams, D.E., Abney, M.B., Perry, J.L., Melendez, O., Delzeit, L.D., Meyer, M.E.,</w:t>
      </w:r>
      <w:r w:rsidRPr="006926DE">
        <w:rPr>
          <w:szCs w:val="18"/>
        </w:rPr>
        <w:t xml:space="preserve"> “</w:t>
      </w:r>
      <w:r>
        <w:rPr>
          <w:szCs w:val="18"/>
        </w:rPr>
        <w:t>A Guide for Evaluating Spacecraft Environmental Control &amp; Life Support Systems (ECLSS) Technology Developments</w:t>
      </w:r>
      <w:r w:rsidRPr="006926DE">
        <w:rPr>
          <w:szCs w:val="18"/>
        </w:rPr>
        <w:t>,”</w:t>
      </w:r>
      <w:r w:rsidRPr="00EF7E4A">
        <w:rPr>
          <w:i/>
          <w:iCs/>
          <w:szCs w:val="18"/>
        </w:rPr>
        <w:t xml:space="preserve"> </w:t>
      </w:r>
      <w:r w:rsidRPr="006926DE">
        <w:rPr>
          <w:i/>
          <w:color w:val="000000" w:themeColor="text1"/>
          <w:szCs w:val="18"/>
        </w:rPr>
        <w:t>51</w:t>
      </w:r>
      <w:r w:rsidRPr="006926DE">
        <w:rPr>
          <w:i/>
          <w:color w:val="000000" w:themeColor="text1"/>
          <w:szCs w:val="18"/>
          <w:vertAlign w:val="superscript"/>
        </w:rPr>
        <w:t>st</w:t>
      </w:r>
      <w:r w:rsidRPr="006926DE">
        <w:rPr>
          <w:i/>
          <w:color w:val="000000" w:themeColor="text1"/>
          <w:szCs w:val="18"/>
        </w:rPr>
        <w:t xml:space="preserve"> International Conference on Environmental Systems</w:t>
      </w:r>
      <w:r w:rsidRPr="006926DE">
        <w:rPr>
          <w:color w:val="000000" w:themeColor="text1"/>
          <w:szCs w:val="18"/>
        </w:rPr>
        <w:t>, St. Paul, Minnesota, ICES-2022-</w:t>
      </w:r>
      <w:r>
        <w:rPr>
          <w:color w:val="000000" w:themeColor="text1"/>
          <w:szCs w:val="18"/>
        </w:rPr>
        <w:t>71</w:t>
      </w:r>
      <w:r w:rsidRPr="006926DE">
        <w:rPr>
          <w:color w:val="000000" w:themeColor="text1"/>
          <w:szCs w:val="18"/>
        </w:rPr>
        <w:t xml:space="preserve">, </w:t>
      </w:r>
      <w:r w:rsidRPr="006926DE">
        <w:rPr>
          <w:szCs w:val="18"/>
        </w:rPr>
        <w:t>July 10-14, 2022.</w:t>
      </w:r>
    </w:p>
    <w:p w14:paraId="7A4FC996" w14:textId="579DBDE7" w:rsidR="0004700C" w:rsidRDefault="0004700C" w:rsidP="000074C7">
      <w:pPr>
        <w:pStyle w:val="References"/>
        <w:rPr>
          <w:szCs w:val="18"/>
        </w:rPr>
      </w:pPr>
      <w:r>
        <w:rPr>
          <w:szCs w:val="18"/>
          <w:vertAlign w:val="superscript"/>
        </w:rPr>
        <w:t>12</w:t>
      </w:r>
      <w:r w:rsidRPr="006926DE">
        <w:rPr>
          <w:szCs w:val="18"/>
          <w:vertAlign w:val="superscript"/>
        </w:rPr>
        <w:t xml:space="preserve"> </w:t>
      </w:r>
      <w:r w:rsidRPr="0004700C">
        <w:rPr>
          <w:szCs w:val="18"/>
        </w:rPr>
        <w:t xml:space="preserve">NASA Baseline Values and Assumptions Document NASA/TP-2015–218570/REV2, </w:t>
      </w:r>
      <w:hyperlink r:id="rId20" w:history="1">
        <w:r w:rsidRPr="00916A82">
          <w:rPr>
            <w:rStyle w:val="Hyperlink"/>
            <w:sz w:val="18"/>
            <w:szCs w:val="18"/>
          </w:rPr>
          <w:t>https://ntrs.nasa.gov/api/citations/20210024855/downloads/BVAD_2.15.22-final.pdf</w:t>
        </w:r>
      </w:hyperlink>
    </w:p>
    <w:p w14:paraId="5B5998B7" w14:textId="0F01BE88" w:rsidR="0004700C" w:rsidRDefault="0004700C" w:rsidP="0004700C">
      <w:pPr>
        <w:pStyle w:val="References"/>
        <w:rPr>
          <w:szCs w:val="18"/>
        </w:rPr>
      </w:pPr>
      <w:r>
        <w:rPr>
          <w:szCs w:val="18"/>
          <w:vertAlign w:val="superscript"/>
        </w:rPr>
        <w:t>13</w:t>
      </w:r>
      <w:r w:rsidRPr="006926DE">
        <w:rPr>
          <w:szCs w:val="18"/>
          <w:vertAlign w:val="superscript"/>
        </w:rPr>
        <w:t xml:space="preserve"> </w:t>
      </w:r>
      <w:r w:rsidRPr="006926DE">
        <w:rPr>
          <w:szCs w:val="18"/>
        </w:rPr>
        <w:t xml:space="preserve">Owens, A., Cirillo, W. M., Piontek, N., Stromgren, C., and Cho, J. “Analysis and Optimization of Test Plans for Advanced Exploration Systems Reliability&amp; Supportability,” </w:t>
      </w:r>
      <w:r w:rsidRPr="006926DE">
        <w:rPr>
          <w:i/>
          <w:iCs/>
          <w:noProof/>
          <w:szCs w:val="18"/>
        </w:rPr>
        <w:t>(</w:t>
      </w:r>
      <w:r w:rsidRPr="006926DE">
        <w:rPr>
          <w:i/>
          <w:szCs w:val="18"/>
        </w:rPr>
        <w:t>virtual)</w:t>
      </w:r>
      <w:r w:rsidRPr="006926DE">
        <w:rPr>
          <w:szCs w:val="18"/>
        </w:rPr>
        <w:t xml:space="preserve"> </w:t>
      </w:r>
      <w:r w:rsidRPr="006926DE">
        <w:rPr>
          <w:i/>
          <w:iCs/>
          <w:szCs w:val="18"/>
        </w:rPr>
        <w:t>50</w:t>
      </w:r>
      <w:r w:rsidRPr="006926DE">
        <w:rPr>
          <w:i/>
          <w:iCs/>
          <w:szCs w:val="18"/>
          <w:vertAlign w:val="superscript"/>
        </w:rPr>
        <w:t>th</w:t>
      </w:r>
      <w:r w:rsidRPr="006926DE">
        <w:rPr>
          <w:i/>
          <w:iCs/>
          <w:szCs w:val="18"/>
        </w:rPr>
        <w:t xml:space="preserve"> International Conference on Environmental Systems</w:t>
      </w:r>
      <w:r w:rsidRPr="006926DE">
        <w:rPr>
          <w:szCs w:val="18"/>
        </w:rPr>
        <w:t>, ICES-2021-199, July 12-15, 2021.</w:t>
      </w:r>
    </w:p>
    <w:p w14:paraId="343391BD" w14:textId="07435B79" w:rsidR="00023A2C" w:rsidRPr="006926DE" w:rsidRDefault="00023A2C" w:rsidP="00023A2C">
      <w:pPr>
        <w:pStyle w:val="References"/>
        <w:rPr>
          <w:szCs w:val="18"/>
        </w:rPr>
      </w:pPr>
      <w:r w:rsidRPr="00023A2C">
        <w:rPr>
          <w:szCs w:val="18"/>
          <w:vertAlign w:val="superscript"/>
        </w:rPr>
        <w:t>14</w:t>
      </w:r>
      <w:r>
        <w:rPr>
          <w:szCs w:val="18"/>
        </w:rPr>
        <w:t xml:space="preserve"> </w:t>
      </w:r>
      <w:r w:rsidRPr="006926DE">
        <w:rPr>
          <w:szCs w:val="18"/>
        </w:rPr>
        <w:t>Owens, A., and de Weck, O. “International Space Station Operational Experience and Its Impacts on Future Mission Supportability</w:t>
      </w:r>
      <w:r>
        <w:rPr>
          <w:szCs w:val="18"/>
        </w:rPr>
        <w:t>,</w:t>
      </w:r>
      <w:r w:rsidRPr="006926DE">
        <w:rPr>
          <w:szCs w:val="18"/>
        </w:rPr>
        <w:t xml:space="preserve">” </w:t>
      </w:r>
      <w:r w:rsidRPr="00846A59">
        <w:rPr>
          <w:szCs w:val="18"/>
        </w:rPr>
        <w:t>48th International Conference on Environmental Systems</w:t>
      </w:r>
      <w:r w:rsidRPr="006926DE">
        <w:rPr>
          <w:szCs w:val="18"/>
        </w:rPr>
        <w:t>, Albuquerque, NM, 2018. ICES-2018-198.</w:t>
      </w:r>
    </w:p>
    <w:p w14:paraId="513E2B28" w14:textId="722FF535" w:rsidR="00023A2C" w:rsidRDefault="00023A2C" w:rsidP="00023A2C">
      <w:pPr>
        <w:pStyle w:val="References"/>
        <w:rPr>
          <w:szCs w:val="18"/>
        </w:rPr>
      </w:pPr>
      <w:r>
        <w:rPr>
          <w:szCs w:val="18"/>
          <w:vertAlign w:val="superscript"/>
        </w:rPr>
        <w:t>15</w:t>
      </w:r>
      <w:r w:rsidRPr="00174221">
        <w:rPr>
          <w:szCs w:val="18"/>
          <w:vertAlign w:val="superscript"/>
        </w:rPr>
        <w:t xml:space="preserve"> </w:t>
      </w:r>
      <w:r w:rsidRPr="006926DE">
        <w:rPr>
          <w:szCs w:val="18"/>
        </w:rPr>
        <w:t>Owens, A. C., Cirillo, W. M., Piontek, N., Stromgren, C., and Cho, J. “More Data Needed for Failure Rate Estimation, Validation, and Uncertainty Reduction</w:t>
      </w:r>
      <w:r>
        <w:rPr>
          <w:szCs w:val="18"/>
        </w:rPr>
        <w:t>,</w:t>
      </w:r>
      <w:r w:rsidRPr="006926DE">
        <w:rPr>
          <w:szCs w:val="18"/>
        </w:rPr>
        <w:t xml:space="preserve">” </w:t>
      </w:r>
      <w:r w:rsidRPr="00846A59">
        <w:rPr>
          <w:szCs w:val="18"/>
        </w:rPr>
        <w:t>50th International Conference on Environmental Systems</w:t>
      </w:r>
      <w:r w:rsidRPr="006926DE">
        <w:rPr>
          <w:szCs w:val="18"/>
        </w:rPr>
        <w:t>, Virtual Event, 2021. ICES-2021-370.</w:t>
      </w:r>
    </w:p>
    <w:p w14:paraId="59D8F20F" w14:textId="6492EC15" w:rsidR="00023A2C" w:rsidRPr="006926DE" w:rsidRDefault="00023A2C" w:rsidP="00023A2C">
      <w:pPr>
        <w:pStyle w:val="References"/>
        <w:rPr>
          <w:szCs w:val="18"/>
        </w:rPr>
      </w:pPr>
      <w:r>
        <w:rPr>
          <w:szCs w:val="18"/>
          <w:vertAlign w:val="superscript"/>
        </w:rPr>
        <w:t>16</w:t>
      </w:r>
      <w:r w:rsidRPr="00174221">
        <w:rPr>
          <w:szCs w:val="18"/>
          <w:vertAlign w:val="superscript"/>
        </w:rPr>
        <w:t xml:space="preserve"> </w:t>
      </w:r>
      <w:r w:rsidRPr="006926DE">
        <w:rPr>
          <w:szCs w:val="18"/>
        </w:rPr>
        <w:t xml:space="preserve">Owens, A., and de Weck, O. “How Much Testing Is Needed to Manage Supportability Risks for Beyond-LEO Missions?” </w:t>
      </w:r>
      <w:r w:rsidRPr="00846A59">
        <w:rPr>
          <w:szCs w:val="18"/>
        </w:rPr>
        <w:t>49th International Conference on Environmental Systems</w:t>
      </w:r>
      <w:r w:rsidRPr="006926DE">
        <w:rPr>
          <w:szCs w:val="18"/>
        </w:rPr>
        <w:t>, Boston, MA, 2019. ICES-2019-66.</w:t>
      </w:r>
    </w:p>
    <w:p w14:paraId="50F7242C" w14:textId="0FDC9EF3" w:rsidR="00023A2C" w:rsidRPr="006926DE" w:rsidRDefault="00023A2C" w:rsidP="0004700C">
      <w:pPr>
        <w:pStyle w:val="References"/>
        <w:rPr>
          <w:szCs w:val="18"/>
        </w:rPr>
      </w:pPr>
      <w:r>
        <w:rPr>
          <w:szCs w:val="18"/>
          <w:vertAlign w:val="superscript"/>
        </w:rPr>
        <w:t>1</w:t>
      </w:r>
      <w:r w:rsidR="009206CA">
        <w:rPr>
          <w:szCs w:val="18"/>
          <w:vertAlign w:val="superscript"/>
        </w:rPr>
        <w:t>7</w:t>
      </w:r>
      <w:r w:rsidRPr="00174221">
        <w:rPr>
          <w:szCs w:val="18"/>
          <w:vertAlign w:val="superscript"/>
        </w:rPr>
        <w:t xml:space="preserve"> </w:t>
      </w:r>
      <w:r w:rsidRPr="006926DE">
        <w:rPr>
          <w:szCs w:val="18"/>
        </w:rPr>
        <w:t>Owens,</w:t>
      </w:r>
      <w:r w:rsidR="00DE72D9">
        <w:rPr>
          <w:szCs w:val="18"/>
        </w:rPr>
        <w:t xml:space="preserve"> or Stromgren &lt;need to </w:t>
      </w:r>
      <w:r w:rsidR="00F86BEB">
        <w:rPr>
          <w:szCs w:val="18"/>
        </w:rPr>
        <w:t>re-</w:t>
      </w:r>
      <w:r w:rsidR="00DE72D9">
        <w:rPr>
          <w:szCs w:val="18"/>
        </w:rPr>
        <w:t>read papers to find the correct figure to reference.&gt;</w:t>
      </w:r>
    </w:p>
    <w:p w14:paraId="7CA0C21C" w14:textId="77777777" w:rsidR="0004700C" w:rsidRPr="0004700C" w:rsidRDefault="0004700C" w:rsidP="000074C7">
      <w:pPr>
        <w:pStyle w:val="References"/>
        <w:rPr>
          <w:szCs w:val="18"/>
        </w:rPr>
      </w:pPr>
    </w:p>
    <w:p w14:paraId="5CE27547" w14:textId="67572383" w:rsidR="00137CE1" w:rsidRDefault="00137CE1">
      <w:pPr>
        <w:jc w:val="left"/>
        <w:rPr>
          <w:sz w:val="18"/>
        </w:rPr>
      </w:pPr>
      <w:r>
        <w:br w:type="page"/>
      </w:r>
    </w:p>
    <w:p w14:paraId="5CB15FD0" w14:textId="5845FB92" w:rsidR="00137CE1" w:rsidRDefault="00137CE1" w:rsidP="00137CE1">
      <w:pPr>
        <w:pStyle w:val="Heading1"/>
      </w:pPr>
      <w:r>
        <w:lastRenderedPageBreak/>
        <w:t>Appendix</w:t>
      </w:r>
    </w:p>
    <w:p w14:paraId="0FD0F8DE" w14:textId="5EE8148B" w:rsidR="00137CE1" w:rsidRDefault="00137CE1" w:rsidP="00137CE1">
      <w:pPr>
        <w:pStyle w:val="Text"/>
      </w:pPr>
    </w:p>
    <w:p w14:paraId="086905AC" w14:textId="0420DEA0" w:rsidR="00137CE1" w:rsidRPr="00137CE1" w:rsidRDefault="00137CE1" w:rsidP="00137CE1">
      <w:pPr>
        <w:pStyle w:val="Text"/>
      </w:pPr>
      <w:r>
        <w:rPr>
          <w:noProof/>
        </w:rPr>
        <mc:AlternateContent>
          <mc:Choice Requires="wps">
            <w:drawing>
              <wp:anchor distT="0" distB="0" distL="114300" distR="114300" simplePos="0" relativeHeight="251681792" behindDoc="0" locked="0" layoutInCell="1" allowOverlap="1" wp14:anchorId="7C095459" wp14:editId="06FFE924">
                <wp:simplePos x="0" y="0"/>
                <wp:positionH relativeFrom="margin">
                  <wp:align>left</wp:align>
                </wp:positionH>
                <wp:positionV relativeFrom="margin">
                  <wp:posOffset>492760</wp:posOffset>
                </wp:positionV>
                <wp:extent cx="6067425" cy="6066790"/>
                <wp:effectExtent l="0" t="0" r="28575" b="10160"/>
                <wp:wrapSquare wrapText="bothSides"/>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6066790"/>
                        </a:xfrm>
                        <a:prstGeom prst="rect">
                          <a:avLst/>
                        </a:prstGeom>
                        <a:solidFill>
                          <a:srgbClr val="FFFFFF"/>
                        </a:solidFill>
                        <a:ln w="9525">
                          <a:solidFill>
                            <a:srgbClr val="000000"/>
                          </a:solidFill>
                          <a:miter lim="800000"/>
                          <a:headEnd/>
                          <a:tailEnd/>
                        </a:ln>
                      </wps:spPr>
                      <wps:txbx>
                        <w:txbxContent>
                          <w:p w14:paraId="400B3D8C" w14:textId="4C954FA3" w:rsidR="00137CE1" w:rsidRPr="00B5693C" w:rsidRDefault="00137CE1" w:rsidP="00137CE1">
                            <w:pPr>
                              <w:pStyle w:val="Text"/>
                            </w:pPr>
                          </w:p>
                          <w:p w14:paraId="0A450831" w14:textId="0AF1B3C5" w:rsidR="00137CE1" w:rsidRPr="00261A27" w:rsidRDefault="00137CE1" w:rsidP="00137CE1">
                            <w:pPr>
                              <w:pStyle w:val="Figure"/>
                            </w:pPr>
                            <w:r>
                              <w:t>Table 1</w:t>
                            </w:r>
                            <w:r w:rsidRPr="00261A27">
                              <w:t>.</w:t>
                            </w:r>
                            <w:r>
                              <w:tab/>
                              <w:t>Examples of ECLSS and CHP gaps and KPPs.</w:t>
                            </w:r>
                          </w:p>
                          <w:p w14:paraId="1557FB99" w14:textId="250B281A" w:rsidR="00137CE1" w:rsidRDefault="00137CE1" w:rsidP="00137CE1">
                            <w:pPr>
                              <w:pStyle w:val="Text"/>
                              <w:ind w:firstLine="0"/>
                            </w:pPr>
                            <w:r w:rsidRPr="00137CE1">
                              <w:rPr>
                                <w:noProof/>
                              </w:rPr>
                              <w:drawing>
                                <wp:inline distT="0" distB="0" distL="0" distR="0" wp14:anchorId="2D44A7D7" wp14:editId="6173EEDF">
                                  <wp:extent cx="6058535" cy="4637405"/>
                                  <wp:effectExtent l="19050" t="19050" r="18415" b="107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58535" cy="4637405"/>
                                          </a:xfrm>
                                          <a:prstGeom prst="rect">
                                            <a:avLst/>
                                          </a:prstGeom>
                                          <a:noFill/>
                                          <a:ln w="12700">
                                            <a:solidFill>
                                              <a:schemeClr val="tx1"/>
                                            </a:solidFill>
                                          </a:ln>
                                        </pic:spPr>
                                      </pic:pic>
                                    </a:graphicData>
                                  </a:graphic>
                                </wp:inline>
                              </w:drawing>
                            </w:r>
                          </w:p>
                          <w:p w14:paraId="6B5BCE1B" w14:textId="77777777" w:rsidR="00137CE1" w:rsidRDefault="00137CE1" w:rsidP="00137CE1">
                            <w:pPr>
                              <w:pStyle w:val="Text"/>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95459" id="_x0000_s1029" type="#_x0000_t202" style="position:absolute;left:0;text-align:left;margin-left:0;margin-top:38.8pt;width:477.75pt;height:477.7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">
                <v:textbox inset="0,0,0,0">
                  <w:txbxContent>
                    <w:p w14:paraId="400B3D8C" w14:textId="4C954FA3" w:rsidR="00137CE1" w:rsidRPr="00B5693C" w:rsidRDefault="00137CE1" w:rsidP="00137CE1">
                      <w:pPr>
                        <w:pStyle w:val="Text"/>
                      </w:pPr>
                    </w:p>
                    <w:p w14:paraId="0A450831" w14:textId="0AF1B3C5" w:rsidR="00137CE1" w:rsidRPr="00261A27" w:rsidRDefault="00137CE1" w:rsidP="00137CE1">
                      <w:pPr>
                        <w:pStyle w:val="Figure"/>
                      </w:pPr>
                      <w:r>
                        <w:t>Table 1</w:t>
                      </w:r>
                      <w:r w:rsidRPr="00261A27">
                        <w:t>.</w:t>
                      </w:r>
                      <w:r>
                        <w:tab/>
                        <w:t>Examples of ECLSS and CHP gaps and KPPs.</w:t>
                      </w:r>
                    </w:p>
                    <w:p w14:paraId="1557FB99" w14:textId="250B281A" w:rsidR="00137CE1" w:rsidRDefault="00137CE1" w:rsidP="00137CE1">
                      <w:pPr>
                        <w:pStyle w:val="Text"/>
                        <w:ind w:firstLine="0"/>
                      </w:pPr>
                      <w:r w:rsidRPr="00137CE1">
                        <w:rPr>
                          <w:noProof/>
                        </w:rPr>
                        <w:drawing>
                          <wp:inline distT="0" distB="0" distL="0" distR="0" wp14:anchorId="2D44A7D7" wp14:editId="6173EEDF">
                            <wp:extent cx="6058535" cy="4637405"/>
                            <wp:effectExtent l="19050" t="19050" r="18415" b="107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58535" cy="4637405"/>
                                    </a:xfrm>
                                    <a:prstGeom prst="rect">
                                      <a:avLst/>
                                    </a:prstGeom>
                                    <a:noFill/>
                                    <a:ln w="12700">
                                      <a:solidFill>
                                        <a:schemeClr val="tx1"/>
                                      </a:solidFill>
                                    </a:ln>
                                  </pic:spPr>
                                </pic:pic>
                              </a:graphicData>
                            </a:graphic>
                          </wp:inline>
                        </w:drawing>
                      </w:r>
                    </w:p>
                    <w:p w14:paraId="6B5BCE1B" w14:textId="77777777" w:rsidR="00137CE1" w:rsidRDefault="00137CE1" w:rsidP="00137CE1">
                      <w:pPr>
                        <w:pStyle w:val="Text"/>
                        <w:ind w:firstLine="0"/>
                      </w:pPr>
                    </w:p>
                  </w:txbxContent>
                </v:textbox>
                <w10:wrap type="square" anchorx="margin" anchory="margin"/>
              </v:shape>
            </w:pict>
          </mc:Fallback>
        </mc:AlternateContent>
      </w:r>
    </w:p>
    <w:p w14:paraId="14FA4AB5" w14:textId="77777777" w:rsidR="00137CE1" w:rsidRDefault="00137CE1">
      <w:pPr>
        <w:pStyle w:val="References"/>
        <w:ind w:firstLine="0"/>
      </w:pPr>
    </w:p>
    <w:p w14:paraId="40401410" w14:textId="77777777" w:rsidR="009206CA" w:rsidRDefault="009206CA">
      <w:pPr>
        <w:jc w:val="left"/>
      </w:pPr>
    </w:p>
    <w:p w14:paraId="27EDC183" w14:textId="369654CD" w:rsidR="009206CA" w:rsidRDefault="009206CA">
      <w:pPr>
        <w:jc w:val="left"/>
        <w:rPr>
          <w:sz w:val="18"/>
        </w:rPr>
      </w:pPr>
      <w:r>
        <w:br w:type="page"/>
      </w:r>
    </w:p>
    <w:p w14:paraId="03FDA267" w14:textId="28A31CC3" w:rsidR="009206CA" w:rsidRDefault="009206CA" w:rsidP="009206CA">
      <w:pPr>
        <w:pStyle w:val="Figure"/>
        <w:framePr w:hSpace="0" w:vSpace="0" w:wrap="auto" w:vAnchor="margin" w:yAlign="inline"/>
      </w:pPr>
      <w:r>
        <w:lastRenderedPageBreak/>
        <w:t>Table 2</w:t>
      </w:r>
      <w:r w:rsidRPr="00261A27">
        <w:t>.</w:t>
      </w:r>
      <w:r>
        <w:tab/>
        <w:t>ECLSS-CHP System Validation Maturation Objectives Rubric.</w:t>
      </w:r>
    </w:p>
    <w:p w14:paraId="14932A3A" w14:textId="6CC7AE30" w:rsidR="009206CA" w:rsidRPr="009206CA" w:rsidRDefault="009206CA" w:rsidP="009206CA">
      <w:pPr>
        <w:pStyle w:val="Text"/>
      </w:pPr>
      <w:r w:rsidRPr="009206CA">
        <w:rPr>
          <w:noProof/>
        </w:rPr>
        <w:drawing>
          <wp:inline distT="0" distB="0" distL="0" distR="0" wp14:anchorId="43724D57" wp14:editId="141603AC">
            <wp:extent cx="5943600" cy="4209415"/>
            <wp:effectExtent l="19050" t="19050" r="19050" b="196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4209415"/>
                    </a:xfrm>
                    <a:prstGeom prst="rect">
                      <a:avLst/>
                    </a:prstGeom>
                    <a:noFill/>
                    <a:ln w="12700">
                      <a:solidFill>
                        <a:schemeClr val="tx1"/>
                      </a:solidFill>
                    </a:ln>
                  </pic:spPr>
                </pic:pic>
              </a:graphicData>
            </a:graphic>
          </wp:inline>
        </w:drawing>
      </w:r>
    </w:p>
    <w:p w14:paraId="20F8CDD8" w14:textId="77777777" w:rsidR="009206CA" w:rsidRDefault="009206CA">
      <w:pPr>
        <w:pStyle w:val="References"/>
        <w:ind w:firstLine="0"/>
      </w:pPr>
    </w:p>
    <w:sectPr w:rsidR="009206CA" w:rsidSect="003431E0">
      <w:footerReference w:type="even" r:id="rId24"/>
      <w:footerReference w:type="default" r:id="rId25"/>
      <w:headerReference w:type="first" r:id="rId26"/>
      <w:pgSz w:w="12240" w:h="15840"/>
      <w:pgMar w:top="1440" w:right="1440" w:bottom="1440" w:left="1440" w:header="360" w:footer="85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D4E9" w14:textId="77777777" w:rsidR="00B716D3" w:rsidRDefault="00B716D3">
      <w:r>
        <w:separator/>
      </w:r>
    </w:p>
  </w:endnote>
  <w:endnote w:type="continuationSeparator" w:id="0">
    <w:p w14:paraId="597E84C7" w14:textId="77777777" w:rsidR="00B716D3" w:rsidRDefault="00B7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0D2B" w14:textId="77777777" w:rsidR="00CD2566" w:rsidRDefault="009005CC">
    <w:pPr>
      <w:pStyle w:val="Footer"/>
      <w:framePr w:wrap="around" w:vAnchor="text" w:hAnchor="margin" w:xAlign="center" w:y="1"/>
      <w:rPr>
        <w:rStyle w:val="PageNumber"/>
      </w:rPr>
    </w:pPr>
    <w:r>
      <w:rPr>
        <w:rStyle w:val="PageNumber"/>
      </w:rPr>
      <w:fldChar w:fldCharType="begin"/>
    </w:r>
    <w:r w:rsidR="00CD2566">
      <w:rPr>
        <w:rStyle w:val="PageNumber"/>
      </w:rPr>
      <w:instrText xml:space="preserve">PAGE  </w:instrText>
    </w:r>
    <w:r>
      <w:rPr>
        <w:rStyle w:val="PageNumber"/>
      </w:rPr>
      <w:fldChar w:fldCharType="end"/>
    </w:r>
  </w:p>
  <w:p w14:paraId="7ABDDC5F" w14:textId="77777777" w:rsidR="00CD2566" w:rsidRDefault="00CD2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C54D" w14:textId="5C4BE19B" w:rsidR="00CD2566" w:rsidRDefault="00AD7DA8">
    <w:pPr>
      <w:pStyle w:val="Footer"/>
      <w:jc w:val="center"/>
    </w:pPr>
    <w:r>
      <w:fldChar w:fldCharType="begin"/>
    </w:r>
    <w:r>
      <w:instrText xml:space="preserve"> PAGE  \* MERGEFORMAT </w:instrText>
    </w:r>
    <w:r>
      <w:fldChar w:fldCharType="separate"/>
    </w:r>
    <w:r>
      <w:rPr>
        <w:noProof/>
      </w:rPr>
      <w:t>2</w:t>
    </w:r>
    <w:r>
      <w:fldChar w:fldCharType="end"/>
    </w:r>
  </w:p>
  <w:p w14:paraId="3725C083" w14:textId="77777777" w:rsidR="00CD2566" w:rsidRDefault="00896620">
    <w:pPr>
      <w:pStyle w:val="Footer"/>
      <w:jc w:val="center"/>
    </w:pPr>
    <w:r>
      <w:t>International Conference on Environmental Systems</w:t>
    </w:r>
  </w:p>
  <w:p w14:paraId="3E573B81" w14:textId="77777777" w:rsidR="00CD2566" w:rsidRPr="006933E9" w:rsidRDefault="00CD2566">
    <w:pPr>
      <w:pStyle w:val="Footer"/>
      <w:jc w:val="center"/>
      <w:rPr>
        <w:sz w:val="14"/>
      </w:rPr>
    </w:pPr>
  </w:p>
  <w:p w14:paraId="3392AAE4" w14:textId="77777777" w:rsidR="00CD2566" w:rsidRDefault="00CD25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CC3E3" w14:textId="77777777" w:rsidR="00B716D3" w:rsidRDefault="00B716D3">
      <w:r>
        <w:separator/>
      </w:r>
    </w:p>
  </w:footnote>
  <w:footnote w:type="continuationSeparator" w:id="0">
    <w:p w14:paraId="2F2E03C9" w14:textId="77777777" w:rsidR="00B716D3" w:rsidRDefault="00B716D3">
      <w:r>
        <w:continuationSeparator/>
      </w:r>
    </w:p>
  </w:footnote>
  <w:footnote w:id="1">
    <w:p w14:paraId="71C4AEEA" w14:textId="79522A9C" w:rsidR="00CD2566" w:rsidRDefault="00CD2566" w:rsidP="00BB4AFF">
      <w:pPr>
        <w:pStyle w:val="FootnoteText"/>
      </w:pPr>
      <w:r w:rsidRPr="00BB4AFF">
        <w:rPr>
          <w:rStyle w:val="FootnoteReference"/>
        </w:rPr>
        <w:footnoteRef/>
      </w:r>
      <w:r>
        <w:t xml:space="preserve"> </w:t>
      </w:r>
      <w:r w:rsidR="006D140B" w:rsidRPr="00246798">
        <w:rPr>
          <w:sz w:val="18"/>
          <w:szCs w:val="18"/>
        </w:rPr>
        <w:t>ECLSS-CHP Systems Capability Lead, Crew &amp; Thermal Systems Division, 2101 NASA Parkway, Mail Stop EC7, Houston, TX, 77058.</w:t>
      </w:r>
    </w:p>
  </w:footnote>
  <w:footnote w:id="2">
    <w:p w14:paraId="74F15705" w14:textId="67B12383" w:rsidR="00CD2566" w:rsidRDefault="00CD2566">
      <w:pPr>
        <w:pStyle w:val="FootnoteText"/>
      </w:pPr>
      <w:r>
        <w:rPr>
          <w:rStyle w:val="FootnoteReference"/>
        </w:rPr>
        <w:footnoteRef/>
      </w:r>
      <w:r>
        <w:t xml:space="preserve"> </w:t>
      </w:r>
      <w:r w:rsidR="00246798" w:rsidRPr="00C762DC">
        <w:rPr>
          <w:sz w:val="18"/>
          <w:szCs w:val="18"/>
        </w:rPr>
        <w:t>Deputy Lead, ECLSS-CHP System Capability Leadership Team, Biomedical Research &amp; Environmental Sciences Division, Mail Stop SK3.</w:t>
      </w:r>
    </w:p>
  </w:footnote>
  <w:footnote w:id="3">
    <w:p w14:paraId="69A45971" w14:textId="637F9E59" w:rsidR="00CD2566" w:rsidRDefault="00CD2566" w:rsidP="00BB4AFF">
      <w:pPr>
        <w:pStyle w:val="FootnoteText"/>
      </w:pPr>
      <w:r>
        <w:rPr>
          <w:rStyle w:val="FootnoteReference"/>
        </w:rPr>
        <w:footnoteRef/>
      </w:r>
      <w:r>
        <w:t xml:space="preserve"> </w:t>
      </w:r>
      <w:r w:rsidR="009614AB">
        <w:rPr>
          <w:sz w:val="18"/>
          <w:szCs w:val="18"/>
        </w:rPr>
        <w:t>Capabilities Integration Analyst</w:t>
      </w:r>
      <w:r w:rsidR="00246798" w:rsidRPr="00246798">
        <w:rPr>
          <w:sz w:val="18"/>
          <w:szCs w:val="18"/>
        </w:rPr>
        <w:t>, Bryce Space and Technology, 1199 N. Fairfax St., Suite 800, Alexandria, VA, 22314.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0FF6" w14:textId="1C257AF0" w:rsidR="009135D2" w:rsidRPr="009135D2" w:rsidRDefault="00BC6E23" w:rsidP="009135D2">
    <w:pPr>
      <w:pStyle w:val="Header"/>
    </w:pPr>
    <w:r>
      <w:t>5</w:t>
    </w:r>
    <w:r w:rsidR="001B2406">
      <w:t>2nd</w:t>
    </w:r>
    <w:r w:rsidR="009135D2" w:rsidRPr="009135D2">
      <w:t xml:space="preserve"> International Conference on Environmental Systems</w:t>
    </w:r>
    <w:r w:rsidR="009135D2" w:rsidRPr="009135D2">
      <w:tab/>
    </w:r>
    <w:r w:rsidR="00FD423A">
      <w:t>ICES-20</w:t>
    </w:r>
    <w:r>
      <w:t>2</w:t>
    </w:r>
    <w:r w:rsidR="001B2406">
      <w:t>3</w:t>
    </w:r>
    <w:r w:rsidR="00FD423A">
      <w:t>-</w:t>
    </w:r>
    <w:r w:rsidR="001B6197">
      <w:t>368</w:t>
    </w:r>
  </w:p>
  <w:p w14:paraId="131213CE" w14:textId="730BEF9C" w:rsidR="009135D2" w:rsidRPr="009135D2" w:rsidRDefault="00BC6E23" w:rsidP="009135D2">
    <w:pPr>
      <w:pStyle w:val="Header"/>
    </w:pPr>
    <w:r>
      <w:t>1</w:t>
    </w:r>
    <w:r w:rsidR="001B2406">
      <w:t>6-20</w:t>
    </w:r>
    <w:r w:rsidR="009135D2" w:rsidRPr="009135D2">
      <w:t xml:space="preserve"> July 20</w:t>
    </w:r>
    <w:r>
      <w:t>2</w:t>
    </w:r>
    <w:r w:rsidR="001B2406">
      <w:t>3</w:t>
    </w:r>
    <w:r w:rsidR="00BA5E2C">
      <w:t xml:space="preserve">, </w:t>
    </w:r>
    <w:r w:rsidR="001B2406">
      <w:t>Calgary, Canada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54227"/>
    <w:multiLevelType w:val="hybridMultilevel"/>
    <w:tmpl w:val="4E9C4646"/>
    <w:lvl w:ilvl="0" w:tplc="C35C325E">
      <w:start w:val="1"/>
      <w:numFmt w:val="decimal"/>
      <w:pStyle w:val="Heading3"/>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555D9E"/>
    <w:multiLevelType w:val="hybridMultilevel"/>
    <w:tmpl w:val="A6220EDE"/>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3CD4ACF"/>
    <w:multiLevelType w:val="hybridMultilevel"/>
    <w:tmpl w:val="C76AA214"/>
    <w:lvl w:ilvl="0" w:tplc="606803D6">
      <w:start w:val="1"/>
      <w:numFmt w:val="upperLetter"/>
      <w:pStyle w:val="Heading2"/>
      <w:lvlText w:val="%1."/>
      <w:lvlJc w:val="left"/>
      <w:pPr>
        <w:tabs>
          <w:tab w:val="num" w:pos="360"/>
        </w:tabs>
        <w:ind w:left="0" w:firstLine="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910B67"/>
    <w:multiLevelType w:val="hybridMultilevel"/>
    <w:tmpl w:val="4A44862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8C02E8E"/>
    <w:multiLevelType w:val="hybridMultilevel"/>
    <w:tmpl w:val="96D296A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FD704F2"/>
    <w:multiLevelType w:val="hybridMultilevel"/>
    <w:tmpl w:val="72605AFA"/>
    <w:lvl w:ilvl="0" w:tplc="00130409">
      <w:start w:val="1"/>
      <w:numFmt w:val="upperRoman"/>
      <w:lvlText w:val="%1."/>
      <w:lvlJc w:val="right"/>
      <w:pPr>
        <w:tabs>
          <w:tab w:val="num" w:pos="180"/>
        </w:tabs>
        <w:ind w:left="180" w:hanging="180"/>
      </w:pPr>
      <w:rPr>
        <w:rFonts w:hint="default"/>
      </w:rPr>
    </w:lvl>
    <w:lvl w:ilvl="1" w:tplc="497607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C223C0"/>
    <w:multiLevelType w:val="hybridMultilevel"/>
    <w:tmpl w:val="4C0CDAD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56BB0E5E"/>
    <w:multiLevelType w:val="hybridMultilevel"/>
    <w:tmpl w:val="9C5879B4"/>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76F56737"/>
    <w:multiLevelType w:val="hybridMultilevel"/>
    <w:tmpl w:val="05366CD0"/>
    <w:lvl w:ilvl="0" w:tplc="0409000F">
      <w:start w:val="1"/>
      <w:numFmt w:val="decimal"/>
      <w:lvlText w:val="%1."/>
      <w:lvlJc w:val="left"/>
      <w:pPr>
        <w:ind w:left="1080" w:hanging="360"/>
      </w:pPr>
    </w:lvl>
    <w:lvl w:ilvl="1" w:tplc="FFFFFFFF">
      <w:start w:val="1"/>
      <w:numFmt w:val="upp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2"/>
    <w:lvlOverride w:ilvl="0">
      <w:startOverride w:val="1"/>
    </w:lvlOverride>
  </w:num>
  <w:num w:numId="5">
    <w:abstractNumId w:val="4"/>
  </w:num>
  <w:num w:numId="6">
    <w:abstractNumId w:val="1"/>
  </w:num>
  <w:num w:numId="7">
    <w:abstractNumId w:val="8"/>
  </w:num>
  <w:num w:numId="8">
    <w:abstractNumId w:val="7"/>
  </w:num>
  <w:num w:numId="9">
    <w:abstractNumId w:val="6"/>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288"/>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58"/>
    <w:rsid w:val="00003B7A"/>
    <w:rsid w:val="00005EBC"/>
    <w:rsid w:val="000074C7"/>
    <w:rsid w:val="000107E7"/>
    <w:rsid w:val="00023A2C"/>
    <w:rsid w:val="000277D8"/>
    <w:rsid w:val="00043166"/>
    <w:rsid w:val="0004700C"/>
    <w:rsid w:val="000530D8"/>
    <w:rsid w:val="000749F0"/>
    <w:rsid w:val="00082AE7"/>
    <w:rsid w:val="000857D1"/>
    <w:rsid w:val="000B012B"/>
    <w:rsid w:val="000C283E"/>
    <w:rsid w:val="000C7481"/>
    <w:rsid w:val="000D0B36"/>
    <w:rsid w:val="000D40C6"/>
    <w:rsid w:val="000D48E9"/>
    <w:rsid w:val="000E5853"/>
    <w:rsid w:val="00112093"/>
    <w:rsid w:val="00116223"/>
    <w:rsid w:val="00117DAD"/>
    <w:rsid w:val="001236F3"/>
    <w:rsid w:val="00124FB9"/>
    <w:rsid w:val="00137CE1"/>
    <w:rsid w:val="00140EA5"/>
    <w:rsid w:val="00142101"/>
    <w:rsid w:val="001550E2"/>
    <w:rsid w:val="00157904"/>
    <w:rsid w:val="00161B07"/>
    <w:rsid w:val="00173B90"/>
    <w:rsid w:val="00180A4F"/>
    <w:rsid w:val="00195F23"/>
    <w:rsid w:val="001A3EB5"/>
    <w:rsid w:val="001B2406"/>
    <w:rsid w:val="001B6197"/>
    <w:rsid w:val="001B7407"/>
    <w:rsid w:val="001D7139"/>
    <w:rsid w:val="001F6C45"/>
    <w:rsid w:val="002073D3"/>
    <w:rsid w:val="0022619A"/>
    <w:rsid w:val="00226721"/>
    <w:rsid w:val="00233B58"/>
    <w:rsid w:val="00246798"/>
    <w:rsid w:val="00255E75"/>
    <w:rsid w:val="002574E2"/>
    <w:rsid w:val="0026428B"/>
    <w:rsid w:val="00266EC8"/>
    <w:rsid w:val="002A43EB"/>
    <w:rsid w:val="002B4AC0"/>
    <w:rsid w:val="002D3D14"/>
    <w:rsid w:val="002E554F"/>
    <w:rsid w:val="00305EC5"/>
    <w:rsid w:val="00310B3B"/>
    <w:rsid w:val="003123A5"/>
    <w:rsid w:val="003155D7"/>
    <w:rsid w:val="003177E5"/>
    <w:rsid w:val="0031791F"/>
    <w:rsid w:val="00335EDD"/>
    <w:rsid w:val="003431E0"/>
    <w:rsid w:val="00343E80"/>
    <w:rsid w:val="0038292A"/>
    <w:rsid w:val="00386F4F"/>
    <w:rsid w:val="00390ABC"/>
    <w:rsid w:val="00393B80"/>
    <w:rsid w:val="003A25B0"/>
    <w:rsid w:val="003B36D5"/>
    <w:rsid w:val="003C04F5"/>
    <w:rsid w:val="003C478A"/>
    <w:rsid w:val="003D3CE8"/>
    <w:rsid w:val="00414D96"/>
    <w:rsid w:val="0042116D"/>
    <w:rsid w:val="00422D32"/>
    <w:rsid w:val="004249CD"/>
    <w:rsid w:val="00427A2E"/>
    <w:rsid w:val="004361DA"/>
    <w:rsid w:val="00444540"/>
    <w:rsid w:val="00446D31"/>
    <w:rsid w:val="0046088D"/>
    <w:rsid w:val="00464746"/>
    <w:rsid w:val="00480A16"/>
    <w:rsid w:val="00484507"/>
    <w:rsid w:val="0048504E"/>
    <w:rsid w:val="00485429"/>
    <w:rsid w:val="00492AAE"/>
    <w:rsid w:val="004A1F60"/>
    <w:rsid w:val="004A39C5"/>
    <w:rsid w:val="004E3C34"/>
    <w:rsid w:val="004E559D"/>
    <w:rsid w:val="004E7B59"/>
    <w:rsid w:val="004F0055"/>
    <w:rsid w:val="004F36BE"/>
    <w:rsid w:val="00502AB6"/>
    <w:rsid w:val="00503E4C"/>
    <w:rsid w:val="00507D6B"/>
    <w:rsid w:val="005117FE"/>
    <w:rsid w:val="00515A66"/>
    <w:rsid w:val="00517EBF"/>
    <w:rsid w:val="00521E6D"/>
    <w:rsid w:val="005244CB"/>
    <w:rsid w:val="00526C85"/>
    <w:rsid w:val="0056133E"/>
    <w:rsid w:val="00563BF9"/>
    <w:rsid w:val="00594321"/>
    <w:rsid w:val="005A4CF8"/>
    <w:rsid w:val="005A7AB6"/>
    <w:rsid w:val="005B0772"/>
    <w:rsid w:val="005C5B10"/>
    <w:rsid w:val="005D4125"/>
    <w:rsid w:val="005F5715"/>
    <w:rsid w:val="00606F0A"/>
    <w:rsid w:val="0061586C"/>
    <w:rsid w:val="00617981"/>
    <w:rsid w:val="0063219B"/>
    <w:rsid w:val="0067284C"/>
    <w:rsid w:val="00683AFC"/>
    <w:rsid w:val="006A185B"/>
    <w:rsid w:val="006A370B"/>
    <w:rsid w:val="006B25D3"/>
    <w:rsid w:val="006B7B2B"/>
    <w:rsid w:val="006C607F"/>
    <w:rsid w:val="006C7550"/>
    <w:rsid w:val="006D140B"/>
    <w:rsid w:val="006D34A6"/>
    <w:rsid w:val="006E596F"/>
    <w:rsid w:val="00710BD2"/>
    <w:rsid w:val="00712302"/>
    <w:rsid w:val="007600A1"/>
    <w:rsid w:val="00785311"/>
    <w:rsid w:val="00791F7F"/>
    <w:rsid w:val="007A0CE4"/>
    <w:rsid w:val="007B1695"/>
    <w:rsid w:val="007B3582"/>
    <w:rsid w:val="007C55DA"/>
    <w:rsid w:val="007C5BF8"/>
    <w:rsid w:val="007D7CAB"/>
    <w:rsid w:val="007E0FC0"/>
    <w:rsid w:val="007F2BFC"/>
    <w:rsid w:val="007F71BB"/>
    <w:rsid w:val="007F73D3"/>
    <w:rsid w:val="007F7792"/>
    <w:rsid w:val="00816CFB"/>
    <w:rsid w:val="008210E1"/>
    <w:rsid w:val="0082553E"/>
    <w:rsid w:val="00826134"/>
    <w:rsid w:val="00832C8A"/>
    <w:rsid w:val="00851664"/>
    <w:rsid w:val="0086636D"/>
    <w:rsid w:val="00867D20"/>
    <w:rsid w:val="008776DE"/>
    <w:rsid w:val="00887F77"/>
    <w:rsid w:val="00896620"/>
    <w:rsid w:val="008A488A"/>
    <w:rsid w:val="008B17F4"/>
    <w:rsid w:val="008B2A8B"/>
    <w:rsid w:val="008B6B3A"/>
    <w:rsid w:val="008B704B"/>
    <w:rsid w:val="008C166F"/>
    <w:rsid w:val="008C2F7B"/>
    <w:rsid w:val="008C3D5F"/>
    <w:rsid w:val="008C6592"/>
    <w:rsid w:val="008E0840"/>
    <w:rsid w:val="008E1E7D"/>
    <w:rsid w:val="008F1935"/>
    <w:rsid w:val="008F5721"/>
    <w:rsid w:val="008F6FB3"/>
    <w:rsid w:val="009005CC"/>
    <w:rsid w:val="009135D2"/>
    <w:rsid w:val="009162F7"/>
    <w:rsid w:val="009206CA"/>
    <w:rsid w:val="00920A14"/>
    <w:rsid w:val="009563AD"/>
    <w:rsid w:val="009614AB"/>
    <w:rsid w:val="0097712A"/>
    <w:rsid w:val="00991C9F"/>
    <w:rsid w:val="009B2E09"/>
    <w:rsid w:val="009B7BEB"/>
    <w:rsid w:val="009C3EDA"/>
    <w:rsid w:val="009C4402"/>
    <w:rsid w:val="009C4479"/>
    <w:rsid w:val="009D2DAF"/>
    <w:rsid w:val="009D654A"/>
    <w:rsid w:val="009F2DF7"/>
    <w:rsid w:val="009F46A5"/>
    <w:rsid w:val="009F4B5F"/>
    <w:rsid w:val="00A1264B"/>
    <w:rsid w:val="00A1355C"/>
    <w:rsid w:val="00A165E3"/>
    <w:rsid w:val="00A22828"/>
    <w:rsid w:val="00A23ECC"/>
    <w:rsid w:val="00A355E0"/>
    <w:rsid w:val="00A36301"/>
    <w:rsid w:val="00A45B23"/>
    <w:rsid w:val="00A5687B"/>
    <w:rsid w:val="00A576F4"/>
    <w:rsid w:val="00A60BB5"/>
    <w:rsid w:val="00A7305F"/>
    <w:rsid w:val="00A83216"/>
    <w:rsid w:val="00A83D32"/>
    <w:rsid w:val="00A914C2"/>
    <w:rsid w:val="00AD7DA8"/>
    <w:rsid w:val="00AE10BB"/>
    <w:rsid w:val="00AE2D56"/>
    <w:rsid w:val="00B01CBF"/>
    <w:rsid w:val="00B01D10"/>
    <w:rsid w:val="00B115BA"/>
    <w:rsid w:val="00B23377"/>
    <w:rsid w:val="00B31F82"/>
    <w:rsid w:val="00B376C6"/>
    <w:rsid w:val="00B46D98"/>
    <w:rsid w:val="00B54A09"/>
    <w:rsid w:val="00B5693C"/>
    <w:rsid w:val="00B61D05"/>
    <w:rsid w:val="00B62F46"/>
    <w:rsid w:val="00B65ECC"/>
    <w:rsid w:val="00B716D3"/>
    <w:rsid w:val="00B8198E"/>
    <w:rsid w:val="00BA4FA9"/>
    <w:rsid w:val="00BA5E2C"/>
    <w:rsid w:val="00BB13CA"/>
    <w:rsid w:val="00BB3E6E"/>
    <w:rsid w:val="00BB4AFF"/>
    <w:rsid w:val="00BC02D9"/>
    <w:rsid w:val="00BC6E23"/>
    <w:rsid w:val="00BD4E90"/>
    <w:rsid w:val="00BE16BE"/>
    <w:rsid w:val="00BE452D"/>
    <w:rsid w:val="00C14C11"/>
    <w:rsid w:val="00C23D98"/>
    <w:rsid w:val="00C32AB8"/>
    <w:rsid w:val="00C3315F"/>
    <w:rsid w:val="00C4056F"/>
    <w:rsid w:val="00C47201"/>
    <w:rsid w:val="00C54ECD"/>
    <w:rsid w:val="00C6151C"/>
    <w:rsid w:val="00C84C54"/>
    <w:rsid w:val="00CA55A6"/>
    <w:rsid w:val="00CB3530"/>
    <w:rsid w:val="00CD2566"/>
    <w:rsid w:val="00CD29F4"/>
    <w:rsid w:val="00CD3756"/>
    <w:rsid w:val="00CE0891"/>
    <w:rsid w:val="00D03BC2"/>
    <w:rsid w:val="00D31FB7"/>
    <w:rsid w:val="00D44A97"/>
    <w:rsid w:val="00D47569"/>
    <w:rsid w:val="00D526A1"/>
    <w:rsid w:val="00D57C34"/>
    <w:rsid w:val="00D6075F"/>
    <w:rsid w:val="00D70F65"/>
    <w:rsid w:val="00D90B27"/>
    <w:rsid w:val="00D936E9"/>
    <w:rsid w:val="00DA5E4F"/>
    <w:rsid w:val="00DD2E97"/>
    <w:rsid w:val="00DD330F"/>
    <w:rsid w:val="00DD6354"/>
    <w:rsid w:val="00DD783C"/>
    <w:rsid w:val="00DE72D9"/>
    <w:rsid w:val="00E04995"/>
    <w:rsid w:val="00E1023A"/>
    <w:rsid w:val="00E146F4"/>
    <w:rsid w:val="00E17400"/>
    <w:rsid w:val="00E20BD1"/>
    <w:rsid w:val="00E27BD3"/>
    <w:rsid w:val="00E30442"/>
    <w:rsid w:val="00E40BBE"/>
    <w:rsid w:val="00E42173"/>
    <w:rsid w:val="00E4401B"/>
    <w:rsid w:val="00E46027"/>
    <w:rsid w:val="00E4758C"/>
    <w:rsid w:val="00E5575B"/>
    <w:rsid w:val="00E64AD6"/>
    <w:rsid w:val="00E66224"/>
    <w:rsid w:val="00E747AA"/>
    <w:rsid w:val="00E748BF"/>
    <w:rsid w:val="00EB0947"/>
    <w:rsid w:val="00EB50C4"/>
    <w:rsid w:val="00EB519E"/>
    <w:rsid w:val="00EC57E2"/>
    <w:rsid w:val="00EF5569"/>
    <w:rsid w:val="00F1334A"/>
    <w:rsid w:val="00F2371A"/>
    <w:rsid w:val="00F327E7"/>
    <w:rsid w:val="00F572F4"/>
    <w:rsid w:val="00F6783A"/>
    <w:rsid w:val="00F72243"/>
    <w:rsid w:val="00F736C4"/>
    <w:rsid w:val="00F75B6A"/>
    <w:rsid w:val="00F86BEB"/>
    <w:rsid w:val="00FB205F"/>
    <w:rsid w:val="00FB42FE"/>
    <w:rsid w:val="00FC088C"/>
    <w:rsid w:val="00FC0CDB"/>
    <w:rsid w:val="00FC380E"/>
    <w:rsid w:val="00FD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oNotEmbedSmartTags/>
  <w:decimalSymbol w:val="."/>
  <w:listSeparator w:val=","/>
  <w14:docId w14:val="6171BA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16BE"/>
    <w:pPr>
      <w:jc w:val="both"/>
    </w:pPr>
  </w:style>
  <w:style w:type="paragraph" w:styleId="Heading1">
    <w:name w:val="heading 1"/>
    <w:basedOn w:val="Normal"/>
    <w:next w:val="Text"/>
    <w:qFormat/>
    <w:rsid w:val="000A01E9"/>
    <w:pPr>
      <w:keepNext/>
      <w:spacing w:before="240" w:after="60"/>
      <w:jc w:val="center"/>
      <w:outlineLvl w:val="0"/>
    </w:pPr>
    <w:rPr>
      <w:b/>
      <w:kern w:val="32"/>
      <w:sz w:val="22"/>
    </w:rPr>
  </w:style>
  <w:style w:type="paragraph" w:styleId="Heading2">
    <w:name w:val="heading 2"/>
    <w:basedOn w:val="Normal"/>
    <w:next w:val="Text"/>
    <w:qFormat/>
    <w:rsid w:val="00BE16BE"/>
    <w:pPr>
      <w:keepNext/>
      <w:numPr>
        <w:numId w:val="3"/>
      </w:numPr>
      <w:tabs>
        <w:tab w:val="left" w:pos="288"/>
      </w:tabs>
      <w:spacing w:before="240"/>
      <w:outlineLvl w:val="1"/>
    </w:pPr>
    <w:rPr>
      <w:b/>
    </w:rPr>
  </w:style>
  <w:style w:type="paragraph" w:styleId="Heading3">
    <w:name w:val="heading 3"/>
    <w:basedOn w:val="Normal"/>
    <w:next w:val="Text"/>
    <w:qFormat/>
    <w:rsid w:val="009005CC"/>
    <w:pPr>
      <w:keepNext/>
      <w:numPr>
        <w:numId w:val="2"/>
      </w:numPr>
      <w:tabs>
        <w:tab w:val="clear" w:pos="648"/>
        <w:tab w:val="left" w:pos="288"/>
      </w:tabs>
      <w:ind w:left="0" w:firstLine="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9005CC"/>
    <w:pPr>
      <w:tabs>
        <w:tab w:val="center" w:pos="4320"/>
        <w:tab w:val="right" w:pos="8640"/>
      </w:tabs>
      <w:autoSpaceDE w:val="0"/>
      <w:autoSpaceDN w:val="0"/>
    </w:pPr>
  </w:style>
  <w:style w:type="paragraph" w:styleId="Title">
    <w:name w:val="Title"/>
    <w:basedOn w:val="Normal"/>
    <w:next w:val="AuthorNames"/>
    <w:qFormat/>
    <w:rsid w:val="009005CC"/>
    <w:pPr>
      <w:spacing w:after="480"/>
      <w:jc w:val="center"/>
      <w:outlineLvl w:val="0"/>
    </w:pPr>
    <w:rPr>
      <w:b/>
      <w:kern w:val="28"/>
      <w:sz w:val="36"/>
    </w:rPr>
  </w:style>
  <w:style w:type="paragraph" w:customStyle="1" w:styleId="AuthorNames">
    <w:name w:val="Author Names"/>
    <w:basedOn w:val="Normal"/>
    <w:next w:val="AuthorAffiliations"/>
    <w:qFormat/>
    <w:rsid w:val="009005CC"/>
    <w:pPr>
      <w:jc w:val="center"/>
    </w:pPr>
  </w:style>
  <w:style w:type="paragraph" w:customStyle="1" w:styleId="Abstract">
    <w:name w:val="Abstract"/>
    <w:basedOn w:val="Normal"/>
    <w:next w:val="Heading1"/>
    <w:qFormat/>
    <w:rsid w:val="009005CC"/>
    <w:pPr>
      <w:spacing w:before="480" w:after="480"/>
      <w:ind w:left="720" w:right="720" w:firstLine="288"/>
    </w:pPr>
    <w:rPr>
      <w:b/>
    </w:rPr>
  </w:style>
  <w:style w:type="character" w:styleId="FootnoteReference">
    <w:name w:val="footnote reference"/>
    <w:qFormat/>
    <w:rsid w:val="009005CC"/>
    <w:rPr>
      <w:sz w:val="20"/>
      <w:vertAlign w:val="superscript"/>
    </w:rPr>
  </w:style>
  <w:style w:type="paragraph" w:customStyle="1" w:styleId="Nomenclature">
    <w:name w:val="Nomenclature"/>
    <w:basedOn w:val="Normal"/>
    <w:qFormat/>
    <w:rsid w:val="009005CC"/>
    <w:pPr>
      <w:widowControl w:val="0"/>
      <w:tabs>
        <w:tab w:val="left" w:pos="864"/>
        <w:tab w:val="left" w:pos="1152"/>
      </w:tabs>
    </w:pPr>
  </w:style>
  <w:style w:type="paragraph" w:customStyle="1" w:styleId="AuthorAffiliations">
    <w:name w:val="Author Affiliations"/>
    <w:basedOn w:val="Normal"/>
    <w:next w:val="AuthorNames"/>
    <w:qFormat/>
    <w:rsid w:val="009005CC"/>
    <w:pPr>
      <w:spacing w:after="240"/>
      <w:jc w:val="center"/>
    </w:pPr>
    <w:rPr>
      <w:i/>
    </w:rPr>
  </w:style>
  <w:style w:type="character" w:styleId="Hyperlink">
    <w:name w:val="Hyperlink"/>
    <w:qFormat/>
    <w:rsid w:val="009005CC"/>
    <w:rPr>
      <w:rFonts w:ascii="Times New Roman" w:hAnsi="Times New Roman"/>
      <w:color w:val="auto"/>
      <w:sz w:val="20"/>
      <w:u w:val="single"/>
    </w:rPr>
  </w:style>
  <w:style w:type="paragraph" w:customStyle="1" w:styleId="Text">
    <w:name w:val="Text"/>
    <w:basedOn w:val="Normal"/>
    <w:link w:val="TextChar"/>
    <w:qFormat/>
    <w:rsid w:val="009005CC"/>
    <w:pPr>
      <w:tabs>
        <w:tab w:val="left" w:pos="288"/>
      </w:tabs>
      <w:ind w:firstLine="288"/>
    </w:pPr>
  </w:style>
  <w:style w:type="paragraph" w:customStyle="1" w:styleId="Equation">
    <w:name w:val="Equation"/>
    <w:basedOn w:val="Normal"/>
    <w:next w:val="Text"/>
    <w:autoRedefine/>
    <w:qFormat/>
    <w:rsid w:val="009005CC"/>
    <w:pPr>
      <w:tabs>
        <w:tab w:val="center" w:pos="4680"/>
        <w:tab w:val="right" w:pos="9360"/>
      </w:tabs>
      <w:spacing w:before="240" w:after="240"/>
    </w:pPr>
  </w:style>
  <w:style w:type="paragraph" w:customStyle="1" w:styleId="BibliographicalReferenceNumbers">
    <w:name w:val="Bibliographical Reference Numbers"/>
    <w:basedOn w:val="Normal"/>
    <w:next w:val="Text"/>
    <w:rsid w:val="009005CC"/>
    <w:rPr>
      <w:vertAlign w:val="superscript"/>
    </w:rPr>
  </w:style>
  <w:style w:type="paragraph" w:customStyle="1" w:styleId="Figure">
    <w:name w:val="Figure"/>
    <w:basedOn w:val="Normal"/>
    <w:next w:val="Text"/>
    <w:qFormat/>
    <w:rsid w:val="009005CC"/>
    <w:pPr>
      <w:framePr w:hSpace="187" w:vSpace="187" w:wrap="around" w:vAnchor="text" w:hAnchor="text" w:y="1"/>
    </w:pPr>
    <w:rPr>
      <w:b/>
    </w:rPr>
  </w:style>
  <w:style w:type="paragraph" w:customStyle="1" w:styleId="References">
    <w:name w:val="References"/>
    <w:basedOn w:val="Normal"/>
    <w:qFormat/>
    <w:rsid w:val="009005CC"/>
    <w:pPr>
      <w:ind w:firstLine="288"/>
    </w:pPr>
    <w:rPr>
      <w:sz w:val="18"/>
    </w:rPr>
  </w:style>
  <w:style w:type="paragraph" w:styleId="FootnoteText">
    <w:name w:val="footnote text"/>
    <w:basedOn w:val="Normal"/>
    <w:link w:val="FootnoteTextChar"/>
    <w:qFormat/>
    <w:rsid w:val="009005CC"/>
  </w:style>
  <w:style w:type="paragraph" w:customStyle="1" w:styleId="Footnote">
    <w:name w:val="Footnote"/>
    <w:basedOn w:val="Normal"/>
    <w:rsid w:val="009005CC"/>
  </w:style>
  <w:style w:type="character" w:styleId="PageNumber">
    <w:name w:val="page number"/>
    <w:basedOn w:val="DefaultParagraphFont"/>
    <w:rsid w:val="009005CC"/>
  </w:style>
  <w:style w:type="paragraph" w:styleId="Header">
    <w:name w:val="header"/>
    <w:basedOn w:val="Normal"/>
    <w:qFormat/>
    <w:rsid w:val="009135D2"/>
    <w:pPr>
      <w:tabs>
        <w:tab w:val="right" w:pos="10080"/>
      </w:tabs>
      <w:ind w:left="-720" w:right="-720"/>
    </w:pPr>
    <w:rPr>
      <w:rFonts w:ascii="Arial" w:hAnsi="Arial" w:cs="Arial"/>
      <w:sz w:val="18"/>
      <w:szCs w:val="18"/>
    </w:rPr>
  </w:style>
  <w:style w:type="character" w:styleId="FollowedHyperlink">
    <w:name w:val="FollowedHyperlink"/>
    <w:rsid w:val="009005CC"/>
    <w:rPr>
      <w:color w:val="800080"/>
      <w:u w:val="single"/>
    </w:rPr>
  </w:style>
  <w:style w:type="paragraph" w:customStyle="1" w:styleId="ExtendedQuote">
    <w:name w:val="Extended Quote"/>
    <w:basedOn w:val="Text"/>
    <w:qFormat/>
    <w:rsid w:val="009005CC"/>
    <w:pPr>
      <w:ind w:left="576" w:firstLine="0"/>
    </w:pPr>
    <w:rPr>
      <w:sz w:val="18"/>
    </w:rPr>
  </w:style>
  <w:style w:type="paragraph" w:styleId="NoSpacing">
    <w:name w:val="No Spacing"/>
    <w:uiPriority w:val="1"/>
    <w:rsid w:val="00BB4AFF"/>
    <w:pPr>
      <w:jc w:val="both"/>
    </w:pPr>
  </w:style>
  <w:style w:type="paragraph" w:styleId="Subtitle">
    <w:name w:val="Subtitle"/>
    <w:basedOn w:val="Normal"/>
    <w:next w:val="Normal"/>
    <w:link w:val="SubtitleChar"/>
    <w:uiPriority w:val="11"/>
    <w:rsid w:val="00BB4AFF"/>
    <w:pPr>
      <w:spacing w:after="60"/>
      <w:jc w:val="center"/>
      <w:outlineLvl w:val="1"/>
    </w:pPr>
    <w:rPr>
      <w:rFonts w:ascii="Cambria" w:hAnsi="Cambria"/>
      <w:sz w:val="24"/>
      <w:szCs w:val="24"/>
    </w:rPr>
  </w:style>
  <w:style w:type="character" w:customStyle="1" w:styleId="SubtitleChar">
    <w:name w:val="Subtitle Char"/>
    <w:link w:val="Subtitle"/>
    <w:uiPriority w:val="11"/>
    <w:rsid w:val="00BB4AFF"/>
    <w:rPr>
      <w:rFonts w:ascii="Cambria" w:eastAsia="Times New Roman" w:hAnsi="Cambria" w:cs="Times New Roman"/>
      <w:sz w:val="24"/>
      <w:szCs w:val="24"/>
    </w:rPr>
  </w:style>
  <w:style w:type="paragraph" w:styleId="Caption">
    <w:name w:val="caption"/>
    <w:basedOn w:val="Normal"/>
    <w:next w:val="Normal"/>
    <w:uiPriority w:val="35"/>
    <w:unhideWhenUsed/>
    <w:qFormat/>
    <w:rsid w:val="006D34A6"/>
    <w:rPr>
      <w:b/>
      <w:bCs/>
    </w:rPr>
  </w:style>
  <w:style w:type="paragraph" w:styleId="BalloonText">
    <w:name w:val="Balloon Text"/>
    <w:basedOn w:val="Normal"/>
    <w:link w:val="BalloonTextChar"/>
    <w:uiPriority w:val="99"/>
    <w:semiHidden/>
    <w:unhideWhenUsed/>
    <w:rsid w:val="00C14C11"/>
    <w:rPr>
      <w:rFonts w:ascii="Tahoma" w:hAnsi="Tahoma" w:cs="Tahoma"/>
      <w:sz w:val="16"/>
      <w:szCs w:val="16"/>
    </w:rPr>
  </w:style>
  <w:style w:type="character" w:customStyle="1" w:styleId="BalloonTextChar">
    <w:name w:val="Balloon Text Char"/>
    <w:link w:val="BalloonText"/>
    <w:uiPriority w:val="99"/>
    <w:semiHidden/>
    <w:rsid w:val="00C14C11"/>
    <w:rPr>
      <w:rFonts w:ascii="Tahoma" w:hAnsi="Tahoma" w:cs="Tahoma"/>
      <w:sz w:val="16"/>
      <w:szCs w:val="16"/>
    </w:rPr>
  </w:style>
  <w:style w:type="paragraph" w:styleId="NormalWeb">
    <w:name w:val="Normal (Web)"/>
    <w:basedOn w:val="Normal"/>
    <w:uiPriority w:val="99"/>
    <w:unhideWhenUsed/>
    <w:rsid w:val="001F6C45"/>
    <w:pPr>
      <w:spacing w:before="100" w:beforeAutospacing="1" w:after="100" w:afterAutospacing="1"/>
      <w:jc w:val="left"/>
    </w:pPr>
    <w:rPr>
      <w:sz w:val="24"/>
      <w:szCs w:val="24"/>
    </w:rPr>
  </w:style>
  <w:style w:type="character" w:styleId="CommentReference">
    <w:name w:val="annotation reference"/>
    <w:basedOn w:val="DefaultParagraphFont"/>
    <w:uiPriority w:val="99"/>
    <w:semiHidden/>
    <w:unhideWhenUsed/>
    <w:rsid w:val="001F6C45"/>
    <w:rPr>
      <w:sz w:val="16"/>
      <w:szCs w:val="16"/>
    </w:rPr>
  </w:style>
  <w:style w:type="paragraph" w:styleId="CommentText">
    <w:name w:val="annotation text"/>
    <w:basedOn w:val="Normal"/>
    <w:link w:val="CommentTextChar"/>
    <w:uiPriority w:val="99"/>
    <w:semiHidden/>
    <w:unhideWhenUsed/>
    <w:rsid w:val="001F6C45"/>
    <w:pPr>
      <w:spacing w:after="160"/>
      <w:jc w:val="left"/>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1F6C45"/>
    <w:rPr>
      <w:rFonts w:asciiTheme="minorHAnsi" w:eastAsiaTheme="minorHAnsi" w:hAnsiTheme="minorHAnsi" w:cstheme="minorBidi"/>
    </w:rPr>
  </w:style>
  <w:style w:type="paragraph" w:customStyle="1" w:styleId="Default">
    <w:name w:val="Default"/>
    <w:rsid w:val="0067284C"/>
    <w:pPr>
      <w:autoSpaceDE w:val="0"/>
      <w:autoSpaceDN w:val="0"/>
      <w:adjustRightInd w:val="0"/>
    </w:pPr>
    <w:rPr>
      <w:rFonts w:eastAsiaTheme="minorHAnsi"/>
      <w:color w:val="000000"/>
      <w:sz w:val="24"/>
      <w:szCs w:val="24"/>
    </w:rPr>
  </w:style>
  <w:style w:type="character" w:customStyle="1" w:styleId="TextChar">
    <w:name w:val="Text Char"/>
    <w:basedOn w:val="DefaultParagraphFont"/>
    <w:link w:val="Text"/>
    <w:rsid w:val="00386F4F"/>
  </w:style>
  <w:style w:type="character" w:customStyle="1" w:styleId="FootnoteTextChar">
    <w:name w:val="Footnote Text Char"/>
    <w:basedOn w:val="DefaultParagraphFont"/>
    <w:link w:val="FootnoteText"/>
    <w:rsid w:val="00386F4F"/>
  </w:style>
  <w:style w:type="paragraph" w:styleId="CommentSubject">
    <w:name w:val="annotation subject"/>
    <w:basedOn w:val="CommentText"/>
    <w:next w:val="CommentText"/>
    <w:link w:val="CommentSubjectChar"/>
    <w:uiPriority w:val="99"/>
    <w:semiHidden/>
    <w:unhideWhenUsed/>
    <w:rsid w:val="00386F4F"/>
    <w:pPr>
      <w:spacing w:after="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86F4F"/>
    <w:rPr>
      <w:rFonts w:asciiTheme="minorHAnsi" w:eastAsiaTheme="minorHAnsi" w:hAnsiTheme="minorHAnsi" w:cstheme="minorBidi"/>
      <w:b/>
      <w:bCs/>
    </w:rPr>
  </w:style>
  <w:style w:type="paragraph" w:styleId="ListParagraph">
    <w:name w:val="List Paragraph"/>
    <w:basedOn w:val="Normal"/>
    <w:uiPriority w:val="34"/>
    <w:qFormat/>
    <w:rsid w:val="00DD330F"/>
    <w:pPr>
      <w:spacing w:after="200" w:line="276" w:lineRule="auto"/>
      <w:ind w:left="720"/>
      <w:contextualSpacing/>
      <w:jc w:val="lef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D3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185320">
      <w:bodyDiv w:val="1"/>
      <w:marLeft w:val="0"/>
      <w:marRight w:val="0"/>
      <w:marTop w:val="0"/>
      <w:marBottom w:val="0"/>
      <w:divBdr>
        <w:top w:val="none" w:sz="0" w:space="0" w:color="auto"/>
        <w:left w:val="none" w:sz="0" w:space="0" w:color="auto"/>
        <w:bottom w:val="none" w:sz="0" w:space="0" w:color="auto"/>
        <w:right w:val="none" w:sz="0" w:space="0" w:color="auto"/>
      </w:divBdr>
    </w:div>
    <w:div w:id="185711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ntrs.nasa.gov/citations/20170005794"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nasa.gov/sites/default/files/atoms/files/m2m-objectives-exec-summary.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hyperlink" Target="https://ntrs.nasa.gov/api/citations/20210024855/downloads/BVAD_2.15.22-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umanresearchroadmap.nasa.gov/Ris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image" Target="media/image40.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AFEADA79E6643BCB5CC5824EEDFFB" ma:contentTypeVersion="14" ma:contentTypeDescription="Create a new document." ma:contentTypeScope="" ma:versionID="30879eeee5cd4b4444cd0b1bf5090504">
  <xsd:schema xmlns:xsd="http://www.w3.org/2001/XMLSchema" xmlns:xs="http://www.w3.org/2001/XMLSchema" xmlns:p="http://schemas.microsoft.com/office/2006/metadata/properties" xmlns:ns2="0d5859cf-ac6d-4b5a-80c5-20bd0f75026c" xmlns:ns3="a9e13ebb-2e63-4374-a952-7ec22842e957" xmlns:ns4="d900e117-17a0-4b24-9e47-511ef1d02c43" targetNamespace="http://schemas.microsoft.com/office/2006/metadata/properties" ma:root="true" ma:fieldsID="902e069d0dc6dce80b84faf9618d8333" ns2:_="" ns3:_="" ns4:_="">
    <xsd:import namespace="0d5859cf-ac6d-4b5a-80c5-20bd0f75026c"/>
    <xsd:import namespace="a9e13ebb-2e63-4374-a952-7ec22842e957"/>
    <xsd:import namespace="d900e117-17a0-4b24-9e47-511ef1d02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859cf-ac6d-4b5a-80c5-20bd0f7502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e13ebb-2e63-4374-a952-7ec22842e9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b1b383d-2488-4ac3-aa41-87b86e325a1f}" ma:internalName="TaxCatchAll" ma:showField="CatchAllData" ma:web="0d5859cf-ac6d-4b5a-80c5-20bd0f750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a9e13ebb-2e63-4374-a952-7ec22842e95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b:Source>
    <b:Tag>Val22</b:Tag>
    <b:SourceType>Report</b:SourceType>
    <b:Guid>{5895D408-3889-4005-814D-98D88732F9B6}</b:Guid>
    <b:Title>Safe Human Expeditions Beyond Low Earth Orbit (LEO)</b:Title>
    <b:Year>2022</b:Year>
    <b:Publisher>NASA TM-20220002905</b:Publisher>
    <b:Author>
      <b:Author>
        <b:Corporate>Valinia, A. Allen, J. R., Francisco, D. R., Minow, J. I., Pellish, J. A., Vera, A. H</b:Corporate>
      </b:Author>
    </b:Author>
    <b:RefOrder>2</b:RefOrder>
  </b:Source>
  <b:Source>
    <b:Tag>Bur21</b:Tag>
    <b:SourceType>ConferenceProceedings</b:SourceType>
    <b:Guid>{ACF0F458-924C-446F-AD56-67D2C8EED8F0}</b:Guid>
    <b:Author>
      <b:Author>
        <b:Corporate>Burg A, Boggs KG, Goodliff K, McVay E, Benjamin G, Elburn D.</b:Corporate>
      </b:Author>
    </b:Author>
    <b:Title>rchitecture robustness in NASA's Moon to Mars capability development</b:Title>
    <b:Year>2021</b:Year>
    <b:Publisher>IEEE</b:Publisher>
    <b:Pages>1-12</b:Pages>
    <b:ConferenceName>2021 IEEE Aerospace Conference</b:ConferenceName>
    <b:RefOrder>3</b:RefOrder>
  </b:Source>
</b:Sources>
</file>

<file path=customXml/itemProps1.xml><?xml version="1.0" encoding="utf-8"?>
<ds:datastoreItem xmlns:ds="http://schemas.openxmlformats.org/officeDocument/2006/customXml" ds:itemID="{1BF559B0-D63B-4EE1-9950-9672056AB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859cf-ac6d-4b5a-80c5-20bd0f75026c"/>
    <ds:schemaRef ds:uri="a9e13ebb-2e63-4374-a952-7ec22842e957"/>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CD2DC-0C69-432F-81E3-671EE69A6750}">
  <ds:schemaRefs>
    <ds:schemaRef ds:uri="http://schemas.microsoft.com/sharepoint/v3/contenttype/forms"/>
  </ds:schemaRefs>
</ds:datastoreItem>
</file>

<file path=customXml/itemProps3.xml><?xml version="1.0" encoding="utf-8"?>
<ds:datastoreItem xmlns:ds="http://schemas.openxmlformats.org/officeDocument/2006/customXml" ds:itemID="{E626D943-1B38-4F92-871A-555EE9C4AB9C}">
  <ds:schemaRefs>
    <ds:schemaRef ds:uri="http://schemas.microsoft.com/office/2006/metadata/properties"/>
    <ds:schemaRef ds:uri="http://schemas.microsoft.com/office/infopath/2007/PartnerControls"/>
    <ds:schemaRef ds:uri="d900e117-17a0-4b24-9e47-511ef1d02c43"/>
    <ds:schemaRef ds:uri="a9e13ebb-2e63-4374-a952-7ec22842e957"/>
  </ds:schemaRefs>
</ds:datastoreItem>
</file>

<file path=customXml/itemProps4.xml><?xml version="1.0" encoding="utf-8"?>
<ds:datastoreItem xmlns:ds="http://schemas.openxmlformats.org/officeDocument/2006/customXml" ds:itemID="{00E21761-A900-44C5-A207-72086D78AC13}">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5950</Words>
  <Characters>33915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39786</CharactersWithSpaces>
  <SharedDoc>false</SharedDoc>
  <HLinks>
    <vt:vector size="36" baseType="variant">
      <vt:variant>
        <vt:i4>4718671</vt:i4>
      </vt:variant>
      <vt:variant>
        <vt:i4>24</vt:i4>
      </vt:variant>
      <vt:variant>
        <vt:i4>0</vt:i4>
      </vt:variant>
      <vt:variant>
        <vt:i4>5</vt:i4>
      </vt:variant>
      <vt:variant>
        <vt:lpwstr>http://www.geog.le.ac.uk/bgrg/lab.htm</vt:lpwstr>
      </vt:variant>
      <vt:variant>
        <vt:lpwstr/>
      </vt:variant>
      <vt:variant>
        <vt:i4>393284</vt:i4>
      </vt:variant>
      <vt:variant>
        <vt:i4>21</vt:i4>
      </vt:variant>
      <vt:variant>
        <vt:i4>0</vt:i4>
      </vt:variant>
      <vt:variant>
        <vt:i4>5</vt:i4>
      </vt:variant>
      <vt:variant>
        <vt:lpwstr>http://www.cp/umist.ac.uk/JCSE/vol1/vol1.html</vt:lpwstr>
      </vt:variant>
      <vt:variant>
        <vt:lpwstr/>
      </vt:variant>
      <vt:variant>
        <vt:i4>5767243</vt:i4>
      </vt:variant>
      <vt:variant>
        <vt:i4>15</vt:i4>
      </vt:variant>
      <vt:variant>
        <vt:i4>0</vt:i4>
      </vt:variant>
      <vt:variant>
        <vt:i4>5</vt:i4>
      </vt:variant>
      <vt:variant>
        <vt:lpwstr>http://www.mathtype.com/</vt:lpwstr>
      </vt:variant>
      <vt:variant>
        <vt:lpwstr/>
      </vt:variant>
      <vt:variant>
        <vt:i4>3080305</vt:i4>
      </vt:variant>
      <vt:variant>
        <vt:i4>3</vt:i4>
      </vt:variant>
      <vt:variant>
        <vt:i4>0</vt:i4>
      </vt:variant>
      <vt:variant>
        <vt:i4>5</vt:i4>
      </vt:variant>
      <vt:variant>
        <vt:lpwstr>https://www.ices.space/</vt:lpwstr>
      </vt:variant>
      <vt:variant>
        <vt:lpwstr/>
      </vt:variant>
      <vt:variant>
        <vt:i4>3080305</vt:i4>
      </vt:variant>
      <vt:variant>
        <vt:i4>0</vt:i4>
      </vt:variant>
      <vt:variant>
        <vt:i4>0</vt:i4>
      </vt:variant>
      <vt:variant>
        <vt:i4>5</vt:i4>
      </vt:variant>
      <vt:variant>
        <vt:lpwstr>https://www.ices.space/</vt:lpwstr>
      </vt:variant>
      <vt:variant>
        <vt:lpwstr/>
      </vt:variant>
      <vt:variant>
        <vt:i4>3080305</vt:i4>
      </vt:variant>
      <vt:variant>
        <vt:i4>5</vt:i4>
      </vt:variant>
      <vt:variant>
        <vt:i4>0</vt:i4>
      </vt:variant>
      <vt:variant>
        <vt:i4>5</vt:i4>
      </vt:variant>
      <vt:variant>
        <vt:lpwstr>https://www.ices.space/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2023-03-03T18:31:00Z</dcterms:created>
  <dcterms:modified xsi:type="dcterms:W3CDTF">2023-03-03T18:31:00Z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0x010100012AFEADA79E6643BCB5CC5824EEDFFB</vt:lpwstr>
  </property>
  <property fmtid="{D5CDD505-2E9C-101B-9397-08002B2CF9AE}" pid="3" name="MediaServiceImageTags">
    <vt:lpwstr/>
  </property>
</Properties>
</file>