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54E31F" w14:textId="534A74B5" w:rsidR="003158BF" w:rsidRPr="00373EA3" w:rsidRDefault="00111651" w:rsidP="00E84EFE">
      <w:pPr>
        <w:spacing w:after="120" w:line="240" w:lineRule="auto"/>
        <w:jc w:val="center"/>
      </w:pPr>
      <w:r>
        <w:rPr>
          <w:noProof/>
        </w:rPr>
        <w:drawing>
          <wp:inline distT="0" distB="0" distL="0" distR="0" wp14:anchorId="6A6C1426" wp14:editId="7C50E2FE">
            <wp:extent cx="2482850" cy="10414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23_Logo.png"/>
                    <pic:cNvPicPr/>
                  </pic:nvPicPr>
                  <pic:blipFill>
                    <a:blip r:embed="rId8">
                      <a:extLst>
                        <a:ext uri="{28A0092B-C50C-407E-A947-70E740481C1C}">
                          <a14:useLocalDpi xmlns:a14="http://schemas.microsoft.com/office/drawing/2010/main"/>
                        </a:ext>
                      </a:extLst>
                    </a:blip>
                    <a:stretch>
                      <a:fillRect/>
                    </a:stretch>
                  </pic:blipFill>
                  <pic:spPr>
                    <a:xfrm>
                      <a:off x="0" y="0"/>
                      <a:ext cx="2482850" cy="1041400"/>
                    </a:xfrm>
                    <a:prstGeom prst="rect">
                      <a:avLst/>
                    </a:prstGeom>
                  </pic:spPr>
                </pic:pic>
              </a:graphicData>
            </a:graphic>
          </wp:inline>
        </w:drawing>
      </w:r>
    </w:p>
    <w:p w14:paraId="2D00BE11" w14:textId="580BD88A" w:rsidR="003158BF" w:rsidRPr="00373EA3" w:rsidRDefault="003E40EF" w:rsidP="00E84EFE">
      <w:pPr>
        <w:spacing w:after="120" w:line="160" w:lineRule="exact"/>
        <w:jc w:val="center"/>
        <w:rPr>
          <w:rFonts w:ascii="Arial Narrow" w:hAnsi="Arial Narrow"/>
          <w:color w:val="0060C0"/>
          <w:sz w:val="20"/>
          <w:szCs w:val="20"/>
          <w:u w:color="0060C0"/>
        </w:rPr>
      </w:pPr>
      <w:r>
        <w:rPr>
          <w:rFonts w:ascii="Arial Narrow" w:hAnsi="Arial Narrow"/>
          <w:color w:val="0060C0"/>
          <w:sz w:val="20"/>
          <w:szCs w:val="20"/>
          <w:u w:color="0060C0"/>
        </w:rPr>
        <w:t xml:space="preserve">                    </w:t>
      </w:r>
      <w:r w:rsidR="00373EA3">
        <w:rPr>
          <w:rFonts w:ascii="Arial Narrow" w:hAnsi="Arial Narrow"/>
          <w:color w:val="0060C0"/>
          <w:sz w:val="20"/>
          <w:szCs w:val="20"/>
          <w:u w:color="0060C0"/>
        </w:rPr>
        <w:t xml:space="preserve">                             </w:t>
      </w:r>
    </w:p>
    <w:p w14:paraId="202AF2F3" w14:textId="278700C0" w:rsidR="003158BF" w:rsidRPr="009F3CD7" w:rsidRDefault="00114332" w:rsidP="00114332">
      <w:pPr>
        <w:rPr>
          <w:b/>
          <w:bCs/>
          <w:sz w:val="32"/>
          <w:szCs w:val="32"/>
        </w:rPr>
      </w:pPr>
      <w:r w:rsidRPr="00114332">
        <w:rPr>
          <w:b/>
          <w:bCs/>
          <w:sz w:val="32"/>
          <w:szCs w:val="32"/>
        </w:rPr>
        <w:t>Quiet Spacecraft Cabin Ventilation Fan Development: Motivation and Context</w:t>
      </w:r>
      <w:r w:rsidR="00373EA3">
        <w:rPr>
          <w:b/>
          <w:bCs/>
          <w:sz w:val="32"/>
          <w:szCs w:val="32"/>
        </w:rPr>
        <w:t xml:space="preserve"> </w:t>
      </w:r>
    </w:p>
    <w:p w14:paraId="2AB72367" w14:textId="77777777" w:rsidR="003158BF" w:rsidRDefault="003158BF" w:rsidP="00E84EFE">
      <w:pPr>
        <w:spacing w:line="160" w:lineRule="atLeast"/>
      </w:pPr>
    </w:p>
    <w:p w14:paraId="4ED5F910" w14:textId="7766E447" w:rsidR="003158BF" w:rsidRDefault="0010192F" w:rsidP="00E84EFE">
      <w:pPr>
        <w:spacing w:line="240" w:lineRule="auto"/>
      </w:pPr>
      <w:r w:rsidRPr="0010192F">
        <w:t xml:space="preserve">Christopher S. Allen </w:t>
      </w:r>
      <w:r w:rsidR="003E40EF">
        <w:rPr>
          <w:vertAlign w:val="superscript"/>
        </w:rPr>
        <w:footnoteReference w:id="2"/>
      </w:r>
    </w:p>
    <w:p w14:paraId="01C0C211" w14:textId="2FB5AA7A" w:rsidR="003158BF" w:rsidRDefault="008B2478" w:rsidP="00E84EFE">
      <w:pPr>
        <w:spacing w:line="240" w:lineRule="auto"/>
      </w:pPr>
      <w:r>
        <w:t>NASA Johnson Space Center</w:t>
      </w:r>
    </w:p>
    <w:p w14:paraId="5AE1C530" w14:textId="1B76F4E7" w:rsidR="003158BF" w:rsidRDefault="008B2478" w:rsidP="00E84EFE">
      <w:pPr>
        <w:spacing w:line="160" w:lineRule="atLeast"/>
      </w:pPr>
      <w:r>
        <w:t>2101 NASA Road 1, Mail Code SF3</w:t>
      </w:r>
    </w:p>
    <w:p w14:paraId="6547D605" w14:textId="2FD1335A" w:rsidR="008B2478" w:rsidRDefault="008B2478" w:rsidP="00E84EFE">
      <w:pPr>
        <w:spacing w:line="160" w:lineRule="atLeast"/>
      </w:pPr>
      <w:r>
        <w:t>Houston, TX, 77058</w:t>
      </w:r>
    </w:p>
    <w:p w14:paraId="2256B96E" w14:textId="77777777" w:rsidR="003158BF" w:rsidRDefault="003158BF" w:rsidP="00E84EFE">
      <w:pPr>
        <w:spacing w:line="160" w:lineRule="atLeast"/>
      </w:pPr>
    </w:p>
    <w:p w14:paraId="5D38C652" w14:textId="77777777" w:rsidR="003158BF" w:rsidRDefault="003E40EF" w:rsidP="00E84EFE">
      <w:pPr>
        <w:spacing w:line="300" w:lineRule="atLeast"/>
        <w:jc w:val="center"/>
        <w:rPr>
          <w:b/>
          <w:bCs/>
        </w:rPr>
      </w:pPr>
      <w:r>
        <w:rPr>
          <w:b/>
          <w:bCs/>
        </w:rPr>
        <w:t>ABSTRACT</w:t>
      </w:r>
    </w:p>
    <w:p w14:paraId="661D2183" w14:textId="582BA41E" w:rsidR="003158BF" w:rsidRDefault="00114332" w:rsidP="00E84EFE">
      <w:pPr>
        <w:spacing w:line="240" w:lineRule="auto"/>
        <w:rPr>
          <w:i/>
          <w:iCs/>
        </w:rPr>
      </w:pPr>
      <w:r w:rsidRPr="00114332">
        <w:rPr>
          <w:i/>
          <w:iCs/>
        </w:rPr>
        <w:t xml:space="preserve">It is important to control acoustical noise aboard crewed space vehicles and space habitats to provide a satisfactory environment for voice communications, alarm audibility, and restful sleep, and to minimize the risk for hearing loss and annoyance. As with most noise control efforts, it is best to control the noise at the source, and for spaceflight vehicles these are typically the fans associated with the Environmental Control and Life Support system. These include cabin ventilation fans and </w:t>
      </w:r>
      <w:proofErr w:type="spellStart"/>
      <w:r w:rsidRPr="00114332">
        <w:rPr>
          <w:i/>
          <w:iCs/>
        </w:rPr>
        <w:t>intermodule</w:t>
      </w:r>
      <w:proofErr w:type="spellEnd"/>
      <w:r w:rsidRPr="00114332">
        <w:rPr>
          <w:i/>
          <w:iCs/>
        </w:rPr>
        <w:t xml:space="preserve"> ventilation fans, among others. Throughout the history of crewed spaceflight, there have been issues with noise from ventilation fans, going back to Apollo. And, with the spaceflight vehicles and habitats currently being developed, there are again concerns with noise from ventilation fans. To address this problem, NASA is working to leverage the technology developed in its Aeronautics Research Mission Directorate, specifically at the Glenn Research Center, to design highly efficient and quiet fans for reducing community noise levels from civilian aircraft. This paper will discuss the need for transfer of this technology to spaceflight use, and will discuss the potential benefits, which are significant and will be crucial for the successful development and operations of future spaceflight vehicles, space suits, and habitats</w:t>
      </w:r>
      <w:r w:rsidR="003E40EF">
        <w:rPr>
          <w:i/>
          <w:iCs/>
        </w:rPr>
        <w:t xml:space="preserve">. </w:t>
      </w:r>
    </w:p>
    <w:p w14:paraId="069B83BF" w14:textId="77777777" w:rsidR="003158BF" w:rsidRDefault="003158BF" w:rsidP="00E84EFE">
      <w:pPr>
        <w:spacing w:line="240" w:lineRule="auto"/>
        <w:jc w:val="center"/>
        <w:rPr>
          <w:b/>
          <w:bCs/>
        </w:rPr>
      </w:pPr>
    </w:p>
    <w:p w14:paraId="1719F21B" w14:textId="77777777" w:rsidR="003158BF" w:rsidRDefault="003E40EF" w:rsidP="007675CE">
      <w:pPr>
        <w:pStyle w:val="Heading1"/>
      </w:pPr>
      <w:r>
        <w:t>1.    INTRODUCTION</w:t>
      </w:r>
    </w:p>
    <w:p w14:paraId="67F59569" w14:textId="42CDB802" w:rsidR="00FE53AC" w:rsidRDefault="00FE53AC" w:rsidP="00FE53AC">
      <w:r>
        <w:t xml:space="preserve">It is important to control acoustical noise aboard crewed space vehicles and space habitats to provide a satisfactory environment for voice communications, alarm audibility, and restful sleep, and to minimize the risk for hearing loss and annoyance. As with most noise control efforts, it is best to control the noise at the source, and for spaceflight vehicles these are typically the fans associated with the Environmental Control and Life Support (ECLS) system. These include air ventilation fans, such as the main air conditioning fan (the ‘cabin fan’), </w:t>
      </w:r>
      <w:proofErr w:type="spellStart"/>
      <w:r>
        <w:t>intermodule</w:t>
      </w:r>
      <w:proofErr w:type="spellEnd"/>
      <w:r>
        <w:t xml:space="preserve"> ventilation (IMV) fans, air revitalization fans (for removal of carbon dioxide and trace contaminates), and thermal cooling fans. Thermal cooling pumps that circulate cooling fluid are another significant noise source in spaceflight vehicles, but these are outside of the scope of this paper.</w:t>
      </w:r>
    </w:p>
    <w:p w14:paraId="6918F25A" w14:textId="77777777" w:rsidR="005F557F" w:rsidRDefault="005F557F" w:rsidP="00FE53AC"/>
    <w:p w14:paraId="5ABF0D8B" w14:textId="1EAEB577" w:rsidR="005F557F" w:rsidRPr="003B3914" w:rsidRDefault="00FE53AC" w:rsidP="00FE53AC">
      <w:pPr>
        <w:rPr>
          <w:vertAlign w:val="superscript"/>
        </w:rPr>
      </w:pPr>
      <w:r>
        <w:t xml:space="preserve">Throughout the history of crewed spaceflight, there have been issues with noise from ECLS ventilation fans. In the Apollo Command Module (CM) the crew would turn off the CM cabin fan once in orbit and </w:t>
      </w:r>
      <w:r>
        <w:lastRenderedPageBreak/>
        <w:t>use the backup suit-loop fan for ventilation because noise from the cabin fan interfered with communications and was an annoyance</w:t>
      </w:r>
      <w:r w:rsidR="005F557F">
        <w:t>.</w:t>
      </w:r>
      <w:r w:rsidR="005F557F" w:rsidRPr="005F557F">
        <w:rPr>
          <w:vertAlign w:val="superscript"/>
        </w:rPr>
        <w:t>1</w:t>
      </w:r>
      <w:r>
        <w:t xml:space="preserve">  On the Space Shuttle the ventilation system underwent significant redesign, including the addition of ventilation system mufflers, with resulting noise levels that were still too-high for long-duration missions</w:t>
      </w:r>
      <w:r w:rsidR="005F557F">
        <w:t>.</w:t>
      </w:r>
      <w:r w:rsidR="00CD0166">
        <w:rPr>
          <w:vertAlign w:val="superscript"/>
        </w:rPr>
        <w:t>1</w:t>
      </w:r>
      <w:r>
        <w:t xml:space="preserve">  In the early years of International Space Station (ISS) operations, acoustical noise</w:t>
      </w:r>
      <w:r w:rsidR="003B3914">
        <w:t xml:space="preserve"> in the Russian Segment</w:t>
      </w:r>
      <w:r>
        <w:t xml:space="preserve"> was one of the top two habitability issues, resulting in significant noise controls being implemented</w:t>
      </w:r>
      <w:r w:rsidR="005F557F">
        <w:t xml:space="preserve"> </w:t>
      </w:r>
      <w:r>
        <w:t xml:space="preserve">on-orbit </w:t>
      </w:r>
      <w:r w:rsidR="005F557F">
        <w:t xml:space="preserve">(along with significant cost and crew-time impacts) </w:t>
      </w:r>
      <w:r>
        <w:t>on many fans</w:t>
      </w:r>
      <w:r w:rsidR="00CD0166">
        <w:t>.</w:t>
      </w:r>
      <w:r w:rsidR="00CD0166">
        <w:rPr>
          <w:vertAlign w:val="superscript"/>
        </w:rPr>
        <w:t>2</w:t>
      </w:r>
      <w:r>
        <w:t xml:space="preserve"> </w:t>
      </w:r>
      <w:r w:rsidR="00CD0166">
        <w:t>S</w:t>
      </w:r>
      <w:r>
        <w:t>ignificant noise reductions</w:t>
      </w:r>
      <w:r w:rsidR="00CD0166">
        <w:t xml:space="preserve"> were only</w:t>
      </w:r>
      <w:r>
        <w:t xml:space="preserve"> realized after replacing noisy fans with fans of a quieter design, funded by the ISS Program.</w:t>
      </w:r>
      <w:r w:rsidR="00CD0166">
        <w:rPr>
          <w:vertAlign w:val="superscript"/>
        </w:rPr>
        <w:t>3</w:t>
      </w:r>
      <w:r w:rsidR="003B3914">
        <w:rPr>
          <w:vertAlign w:val="superscript"/>
        </w:rPr>
        <w:t xml:space="preserve"> </w:t>
      </w:r>
      <w:r w:rsidR="003B3914">
        <w:t xml:space="preserve"> Noise levels in the ISS U.S. Segment were well-controlled, mostly meeting requirements, though significant mass and volume were allocated for noise controls</w:t>
      </w:r>
      <w:r w:rsidR="00CD0166">
        <w:t>, including mufflers/silencers and acoustically treated duct-lining</w:t>
      </w:r>
      <w:r w:rsidR="003B3914">
        <w:t>.</w:t>
      </w:r>
    </w:p>
    <w:p w14:paraId="3D6A0EDE" w14:textId="77777777" w:rsidR="003B3914" w:rsidRDefault="003B3914" w:rsidP="00FE53AC"/>
    <w:p w14:paraId="4D5A69A6" w14:textId="2161CC28" w:rsidR="00FE53AC" w:rsidRDefault="007814F6" w:rsidP="00FE53AC">
      <w:r>
        <w:t>W</w:t>
      </w:r>
      <w:r w:rsidR="00FE53AC">
        <w:t>ith the spaceflight vehicles and habitats currently being developed, there are again concerns with noise levels from ventilation fans. In the Orion vehicle, additional duct mufflers needed to be added to address the cabin fan noise.</w:t>
      </w:r>
      <w:r w:rsidR="00274909">
        <w:rPr>
          <w:vertAlign w:val="superscript"/>
        </w:rPr>
        <w:t>4</w:t>
      </w:r>
      <w:r w:rsidR="00FE53AC">
        <w:t xml:space="preserve"> The Gateway’s Habitation and Logistics Outpost (HALO) module and low-Earth orbit (LEO) </w:t>
      </w:r>
      <w:proofErr w:type="spellStart"/>
      <w:r w:rsidR="00FE53AC">
        <w:t>Freeflyer</w:t>
      </w:r>
      <w:proofErr w:type="spellEnd"/>
      <w:r w:rsidR="00FE53AC">
        <w:t xml:space="preserve"> habitats are currently working to solve this problem.  This will also be an issue for lunar and Mars spaceflight vehicles, space suits, and surface habitats.</w:t>
      </w:r>
    </w:p>
    <w:p w14:paraId="0E7BFD56" w14:textId="77777777" w:rsidR="005F557F" w:rsidRDefault="005F557F" w:rsidP="00FE53AC"/>
    <w:p w14:paraId="2093E0A5" w14:textId="3FE1EA2E" w:rsidR="00FE53AC" w:rsidRDefault="00FE53AC" w:rsidP="00FE53AC">
      <w:r>
        <w:t>In an effort to address this problem, NASA is working to leverage the technology developed in its Aeronautics Research Mission Directorate (ARMD), specifically at the Glenn Research Center (GRC), to design highly efficient and quiet fans for reducing community noise levels from civilian aircraft.  This technology was created over decades of research and development, and was proven to be effective at reducing aircraft noise levels.  The current collaboration across NASA Centers, including HQ, GRC, and the Johnson Space Center (JSC)</w:t>
      </w:r>
      <w:r w:rsidR="00274909">
        <w:t>,</w:t>
      </w:r>
      <w:r>
        <w:t xml:space="preserve"> in this area is the first effort at re-purposing these tools, i.e. design codes and techniques, developed for high Reynolds number fans</w:t>
      </w:r>
      <w:r w:rsidR="005F557F">
        <w:t>,</w:t>
      </w:r>
      <w:r>
        <w:t xml:space="preserve"> to spaceflight vehicle and habitat, </w:t>
      </w:r>
      <w:r w:rsidR="005F557F">
        <w:t xml:space="preserve">small, lightweight, </w:t>
      </w:r>
      <w:r>
        <w:t xml:space="preserve">low Reynolds number, fans.  </w:t>
      </w:r>
    </w:p>
    <w:p w14:paraId="766518AB" w14:textId="77777777" w:rsidR="005F557F" w:rsidRDefault="005F557F" w:rsidP="00FE53AC"/>
    <w:p w14:paraId="7A19FFD1" w14:textId="3BC858E3" w:rsidR="003158BF" w:rsidRPr="00AE2C7D" w:rsidRDefault="00FE53AC" w:rsidP="00FE53AC">
      <w:r>
        <w:t xml:space="preserve">This paper will discuss the need for transfer of aeronautics fan design technology to spaceflight use. </w:t>
      </w:r>
      <w:r w:rsidRPr="00AE2C7D">
        <w:t xml:space="preserve">This paper will also discuss the potential benefits from this, which are significant, including 1) volume and mass savings from noise controls that are no longer as large or needed at all, 2) reduced system pressure loss from mufflers and silencers (that don’t need to be as restrictive) for better ventilation, 3) reduced power draw because of the reduced system pressure loss and the highly efficient fan design, and 4) satisfying spaceflight vehicle acoustic requirements to provide a safe and habitable acoustic environment for astronaut crewmembers.  </w:t>
      </w:r>
      <w:r w:rsidR="00AE2C7D">
        <w:t>T</w:t>
      </w:r>
      <w:r w:rsidRPr="00AE2C7D">
        <w:t>hese benefits will be crucial for the successful development and operations of future spaceflight vehicles, space suits, and habitats</w:t>
      </w:r>
      <w:r w:rsidR="003E40EF" w:rsidRPr="00AE2C7D">
        <w:t xml:space="preserve">. </w:t>
      </w:r>
    </w:p>
    <w:p w14:paraId="5277DD26" w14:textId="77777777" w:rsidR="003158BF" w:rsidRPr="00AE2C7D" w:rsidRDefault="003158BF" w:rsidP="00E84EFE">
      <w:pPr>
        <w:spacing w:line="240" w:lineRule="auto"/>
        <w:ind w:firstLine="284"/>
      </w:pPr>
    </w:p>
    <w:p w14:paraId="5B6BEE1E" w14:textId="169CC125" w:rsidR="003158BF" w:rsidRPr="00AE2C7D" w:rsidRDefault="003E40EF" w:rsidP="007675CE">
      <w:pPr>
        <w:pStyle w:val="Heading1"/>
      </w:pPr>
      <w:r w:rsidRPr="00AE2C7D">
        <w:t xml:space="preserve">2.    </w:t>
      </w:r>
      <w:r w:rsidR="007814F6">
        <w:t>ventilation system overview</w:t>
      </w:r>
      <w:r w:rsidR="00F33D87">
        <w:t xml:space="preserve"> and opportunity</w:t>
      </w:r>
    </w:p>
    <w:p w14:paraId="4F65A9EC" w14:textId="543A3A79" w:rsidR="00F228B1" w:rsidRDefault="00FA793F" w:rsidP="00E84EFE">
      <w:r w:rsidRPr="00AE2C7D">
        <w:t xml:space="preserve">A representative layout for an </w:t>
      </w:r>
      <w:r w:rsidR="00AE2C7D" w:rsidRPr="00AE2C7D">
        <w:t xml:space="preserve">ISS </w:t>
      </w:r>
      <w:r w:rsidR="00AE2C7D">
        <w:t xml:space="preserve">module’s </w:t>
      </w:r>
      <w:r w:rsidR="00AE2C7D" w:rsidRPr="00AE2C7D">
        <w:t>ventilation</w:t>
      </w:r>
      <w:r w:rsidRPr="00AE2C7D">
        <w:t xml:space="preserve"> </w:t>
      </w:r>
      <w:r w:rsidR="007A638D" w:rsidRPr="00AE2C7D">
        <w:t>system, part of the overall ECLS system is shown in Figure 1.</w:t>
      </w:r>
      <w:r w:rsidR="002D187D" w:rsidRPr="00AE2C7D">
        <w:rPr>
          <w:vertAlign w:val="superscript"/>
        </w:rPr>
        <w:t>1</w:t>
      </w:r>
      <w:r w:rsidR="007A638D" w:rsidRPr="00AE2C7D">
        <w:t xml:space="preserve"> </w:t>
      </w:r>
      <w:r w:rsidR="00081912">
        <w:t xml:space="preserve"> </w:t>
      </w:r>
      <w:r w:rsidR="00F228B1" w:rsidRPr="00AE2C7D">
        <w:t>This layout is specific to the U.S. Laboratory Module</w:t>
      </w:r>
      <w:r w:rsidR="00AE2C7D">
        <w:t>, b</w:t>
      </w:r>
      <w:r w:rsidR="00F228B1" w:rsidRPr="00AE2C7D">
        <w:t xml:space="preserve">ut the other U.S. Segment modules use a similar concept.  The ventilation system is separated into two main functions, 1) the main cabin air circulation and 2) inter-module (between modules) air circulation.  </w:t>
      </w:r>
      <w:r w:rsidR="00AE2C7D">
        <w:t>T</w:t>
      </w:r>
      <w:r w:rsidR="00F228B1">
        <w:t xml:space="preserve">he fans used for these applications are generically called </w:t>
      </w:r>
      <w:r w:rsidR="00AE2C7D">
        <w:t>‘c</w:t>
      </w:r>
      <w:r w:rsidR="00F228B1">
        <w:t>abin fans</w:t>
      </w:r>
      <w:r w:rsidR="00AE2C7D">
        <w:t>’</w:t>
      </w:r>
      <w:r w:rsidR="00F228B1">
        <w:t xml:space="preserve"> and </w:t>
      </w:r>
      <w:r w:rsidR="00AE2C7D">
        <w:t>‘</w:t>
      </w:r>
      <w:r w:rsidR="00F228B1">
        <w:t>inter-module ventilation</w:t>
      </w:r>
      <w:r w:rsidR="00AE2C7D">
        <w:t xml:space="preserve"> (IMV)</w:t>
      </w:r>
      <w:r w:rsidR="00F228B1">
        <w:t xml:space="preserve"> fans,</w:t>
      </w:r>
      <w:r w:rsidR="00AE2C7D">
        <w:t>’</w:t>
      </w:r>
      <w:r w:rsidR="00F228B1">
        <w:t xml:space="preserve"> respectively. </w:t>
      </w:r>
    </w:p>
    <w:p w14:paraId="22B49F0E" w14:textId="77777777" w:rsidR="00F228B1" w:rsidRDefault="00F228B1" w:rsidP="00E84EFE"/>
    <w:p w14:paraId="6CA9A1EF" w14:textId="375A07FF" w:rsidR="00494917" w:rsidRDefault="00F228B1" w:rsidP="00E84EFE">
      <w:r>
        <w:t>For the main cabin air circulation, air is drawn-in along the bottom of the module into the return ducts, pulled by the Common Cabin Air Assembly (CCAA)</w:t>
      </w:r>
      <w:r w:rsidR="00AE2C7D">
        <w:t>, i.e. the cabin fan.  For redundancy, there are two CCAAs in each module</w:t>
      </w:r>
      <w:r w:rsidR="00081912">
        <w:t>; n</w:t>
      </w:r>
      <w:r w:rsidR="00AE2C7D">
        <w:t>ominally, one CCAA operates at a time.  The CCAA then pushes the air through the upper duct-work and out of the supply diffusers into the crew cabin.</w:t>
      </w:r>
      <w:r w:rsidR="00494917">
        <w:t xml:space="preserve">  Downstream of the CCAA are heat exchangers for cooling the air and controlling </w:t>
      </w:r>
      <w:r w:rsidR="00081912">
        <w:t>its</w:t>
      </w:r>
      <w:r w:rsidR="00494917">
        <w:t xml:space="preserve"> humidity.</w:t>
      </w:r>
    </w:p>
    <w:p w14:paraId="782DEB23" w14:textId="04B52F7B" w:rsidR="00F228B1" w:rsidRDefault="00494917" w:rsidP="00E84EFE">
      <w:r>
        <w:lastRenderedPageBreak/>
        <w:t xml:space="preserve">To control the noise from the CCAA cabin fan, there </w:t>
      </w:r>
      <w:r w:rsidR="007B5241">
        <w:t>are many noise control features.  These include a substantial acoustic enclosure around the fan</w:t>
      </w:r>
      <w:r w:rsidR="005D5337">
        <w:t xml:space="preserve"> and acoustically absorbent </w:t>
      </w:r>
      <w:r w:rsidR="00A02182">
        <w:t>baffles</w:t>
      </w:r>
      <w:r w:rsidR="001D3F9C">
        <w:t xml:space="preserve">, </w:t>
      </w:r>
      <w:r w:rsidR="00A02182">
        <w:t>surface treatments</w:t>
      </w:r>
      <w:r w:rsidR="001D3F9C">
        <w:t>, and Helmholtz resonators</w:t>
      </w:r>
      <w:r w:rsidR="005D5337">
        <w:t xml:space="preserve"> along the ventilation system ductwork.</w:t>
      </w:r>
      <w:r w:rsidR="005D5337" w:rsidRPr="005D5337">
        <w:rPr>
          <w:vertAlign w:val="superscript"/>
        </w:rPr>
        <w:t>1</w:t>
      </w:r>
      <w:r>
        <w:t xml:space="preserve"> </w:t>
      </w:r>
      <w:r w:rsidR="005D5337">
        <w:t>There is also additional absorptive treatments and sound blocking included in the rack that houses the CCAA.</w:t>
      </w:r>
      <w:r w:rsidR="005D5337" w:rsidRPr="005D5337">
        <w:rPr>
          <w:vertAlign w:val="superscript"/>
        </w:rPr>
        <w:t>1</w:t>
      </w:r>
      <w:r>
        <w:t xml:space="preserve"> </w:t>
      </w:r>
      <w:r w:rsidR="00F228B1">
        <w:t xml:space="preserve"> </w:t>
      </w:r>
      <w:r w:rsidR="001D3F9C" w:rsidRPr="006E0C92">
        <w:t>Th</w:t>
      </w:r>
      <w:r w:rsidR="006E0C92">
        <w:t>is noise control hardware</w:t>
      </w:r>
      <w:r w:rsidR="001D3F9C" w:rsidRPr="006E0C92">
        <w:t xml:space="preserve"> have worked well for ISS, but the</w:t>
      </w:r>
      <w:r w:rsidR="006E0C92">
        <w:t>i</w:t>
      </w:r>
      <w:r w:rsidR="001D3F9C" w:rsidRPr="006E0C92">
        <w:t>r high mass and volume would be problematic for small crewed vehicles or habitats outside of low Earth orbit.</w:t>
      </w:r>
    </w:p>
    <w:p w14:paraId="5E543E15" w14:textId="77777777" w:rsidR="00F228B1" w:rsidRDefault="00F228B1" w:rsidP="00E84EFE"/>
    <w:p w14:paraId="7156B481" w14:textId="77777777" w:rsidR="00FB43E3" w:rsidRDefault="00FB43E3" w:rsidP="00E84EFE"/>
    <w:p w14:paraId="0D6C5E0C" w14:textId="1C323260" w:rsidR="00FB43E3" w:rsidRDefault="00FB43E3" w:rsidP="00FB43E3">
      <w:pPr>
        <w:jc w:val="center"/>
      </w:pPr>
      <w:r w:rsidRPr="00FB43E3">
        <w:rPr>
          <w:noProof/>
        </w:rPr>
        <w:drawing>
          <wp:inline distT="0" distB="0" distL="0" distR="0" wp14:anchorId="79EA4D87" wp14:editId="1A9C04AE">
            <wp:extent cx="6309360" cy="3810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a:ext>
                      </a:extLst>
                    </a:blip>
                    <a:srcRect/>
                    <a:stretch>
                      <a:fillRect/>
                    </a:stretch>
                  </pic:blipFill>
                  <pic:spPr bwMode="auto">
                    <a:xfrm>
                      <a:off x="0" y="0"/>
                      <a:ext cx="6309360" cy="3810000"/>
                    </a:xfrm>
                    <a:prstGeom prst="rect">
                      <a:avLst/>
                    </a:prstGeom>
                    <a:noFill/>
                    <a:ln>
                      <a:noFill/>
                    </a:ln>
                  </pic:spPr>
                </pic:pic>
              </a:graphicData>
            </a:graphic>
          </wp:inline>
        </w:drawing>
      </w:r>
    </w:p>
    <w:p w14:paraId="4CC35B53" w14:textId="5511CAE2" w:rsidR="00FB43E3" w:rsidRDefault="00FB43E3" w:rsidP="00FB43E3">
      <w:pPr>
        <w:jc w:val="center"/>
      </w:pPr>
    </w:p>
    <w:p w14:paraId="26A12089" w14:textId="3457F0D0" w:rsidR="00FB43E3" w:rsidRDefault="00FB43E3" w:rsidP="00FB43E3">
      <w:pPr>
        <w:jc w:val="center"/>
      </w:pPr>
      <w:bookmarkStart w:id="0" w:name="_Hlk129083039"/>
      <w:r>
        <w:t>Figure</w:t>
      </w:r>
      <w:r w:rsidRPr="00FB43E3">
        <w:t xml:space="preserve"> </w:t>
      </w:r>
      <w:r>
        <w:t>1.</w:t>
      </w:r>
      <w:r w:rsidRPr="00FB43E3">
        <w:t xml:space="preserve"> </w:t>
      </w:r>
      <w:r>
        <w:t xml:space="preserve"> Ventilation system of ISS U.S. Laboratory Module</w:t>
      </w:r>
      <w:r w:rsidRPr="00FB43E3">
        <w:t>.</w:t>
      </w:r>
    </w:p>
    <w:bookmarkEnd w:id="0"/>
    <w:p w14:paraId="461F9963" w14:textId="77777777" w:rsidR="00FB43E3" w:rsidRDefault="00FB43E3" w:rsidP="00E84EFE"/>
    <w:p w14:paraId="3D4A1F2D" w14:textId="0A27A02B" w:rsidR="00886715" w:rsidRDefault="00886715" w:rsidP="00886715">
      <w:r>
        <w:t xml:space="preserve">The inter-module ventilation (IMV) system ensures that airflow is well-mixed along the stack of ISS modules.  </w:t>
      </w:r>
      <w:r w:rsidR="00CF3CAC">
        <w:t>Air cooling, c</w:t>
      </w:r>
      <w:r>
        <w:t xml:space="preserve">arbon dioxide (CO2) </w:t>
      </w:r>
      <w:r w:rsidR="00CF3CAC">
        <w:t xml:space="preserve">removal </w:t>
      </w:r>
      <w:r>
        <w:t>and trace contaminant removal only occurs in specific modules.  So, it is important to mix the air throughout the stack to make sure there are no regions with high CO2 concentration</w:t>
      </w:r>
      <w:r w:rsidR="00CF3CAC">
        <w:t>s</w:t>
      </w:r>
      <w:r>
        <w:t xml:space="preserve"> and to make sure all of the air is </w:t>
      </w:r>
      <w:r w:rsidR="001809A4">
        <w:t>processed</w:t>
      </w:r>
      <w:r>
        <w:t xml:space="preserve"> for contaminant removal</w:t>
      </w:r>
      <w:r w:rsidR="00CF3CAC">
        <w:t xml:space="preserve"> and cooling</w:t>
      </w:r>
      <w:r>
        <w:t>.</w:t>
      </w:r>
    </w:p>
    <w:p w14:paraId="5F9AE826" w14:textId="77777777" w:rsidR="00886715" w:rsidRDefault="00886715" w:rsidP="00886715"/>
    <w:p w14:paraId="54C8DBBC" w14:textId="34CB0A0B" w:rsidR="00886715" w:rsidRDefault="00886715" w:rsidP="00886715">
      <w:r>
        <w:t xml:space="preserve">To facilitate this mixing, IMV </w:t>
      </w:r>
      <w:r w:rsidR="00E503FB">
        <w:t xml:space="preserve">ventilation </w:t>
      </w:r>
      <w:r>
        <w:t>ducting connect</w:t>
      </w:r>
      <w:r w:rsidR="00616B69">
        <w:t xml:space="preserve">s </w:t>
      </w:r>
      <w:r w:rsidR="00E503FB">
        <w:t>the</w:t>
      </w:r>
      <w:r w:rsidR="00616B69">
        <w:t xml:space="preserve"> modules that are</w:t>
      </w:r>
      <w:r>
        <w:t xml:space="preserve"> adjacent </w:t>
      </w:r>
      <w:r w:rsidR="00616B69">
        <w:t>to each other</w:t>
      </w:r>
      <w:r w:rsidR="001809A4">
        <w:t>,</w:t>
      </w:r>
      <w:r>
        <w:t xml:space="preserve"> and IMV fans move the air between </w:t>
      </w:r>
      <w:r w:rsidR="00E503FB">
        <w:t xml:space="preserve">the </w:t>
      </w:r>
      <w:r>
        <w:t>modules</w:t>
      </w:r>
      <w:r w:rsidR="001809A4">
        <w:t xml:space="preserve"> through this ductwork</w:t>
      </w:r>
      <w:r>
        <w:t xml:space="preserve">.  There are generally two IMV ducts per module interface with air moving one direction in one duct system and in the opposite direction in the other.  </w:t>
      </w:r>
      <w:r w:rsidR="001809A4">
        <w:t>Note that in Figure 1, the duct supplying IMV airflow to Node 1 is connected directly to the main U.S. Lab cabin ventilation system.  The other three IMV systems</w:t>
      </w:r>
      <w:r w:rsidR="00616B69">
        <w:t xml:space="preserve"> shown in Figure 1</w:t>
      </w:r>
      <w:r w:rsidR="001809A4">
        <w:t xml:space="preserve"> are independent of the main ventilation system and have individual IMV fans that provide the airflow</w:t>
      </w:r>
      <w:r w:rsidR="00616B69">
        <w:t xml:space="preserve"> for each separate duct string</w:t>
      </w:r>
      <w:r w:rsidR="001809A4">
        <w:t>.</w:t>
      </w:r>
    </w:p>
    <w:p w14:paraId="0A9DB0F4" w14:textId="5E9A2F8B" w:rsidR="00054AA3" w:rsidRDefault="00054AA3" w:rsidP="00886715"/>
    <w:p w14:paraId="4A573F41" w14:textId="20E260BF" w:rsidR="00616B69" w:rsidRDefault="00616B69" w:rsidP="00886715">
      <w:r>
        <w:lastRenderedPageBreak/>
        <w:t xml:space="preserve">Case-radiated noise from the IMV fans </w:t>
      </w:r>
      <w:r w:rsidR="00780F39">
        <w:t>is</w:t>
      </w:r>
      <w:r>
        <w:t xml:space="preserve"> mitigated with sound blocking material that is integrated into the fan’s package.</w:t>
      </w:r>
      <w:r w:rsidRPr="00616B69">
        <w:rPr>
          <w:vertAlign w:val="superscript"/>
        </w:rPr>
        <w:t>1</w:t>
      </w:r>
      <w:r>
        <w:t xml:space="preserve">  Additional external treatments have also been added for some installations to </w:t>
      </w:r>
      <w:r w:rsidR="009538DE">
        <w:t xml:space="preserve">further </w:t>
      </w:r>
      <w:r>
        <w:t xml:space="preserve">mitigate </w:t>
      </w:r>
      <w:r w:rsidR="009538DE">
        <w:t xml:space="preserve">the </w:t>
      </w:r>
      <w:r>
        <w:t>case-radiated noise.</w:t>
      </w:r>
      <w:r w:rsidR="00780F39" w:rsidRPr="00780F39">
        <w:rPr>
          <w:vertAlign w:val="superscript"/>
        </w:rPr>
        <w:t>1</w:t>
      </w:r>
      <w:r>
        <w:t xml:space="preserve"> </w:t>
      </w:r>
    </w:p>
    <w:p w14:paraId="17757228" w14:textId="77777777" w:rsidR="00616B69" w:rsidRDefault="00616B69" w:rsidP="00886715"/>
    <w:p w14:paraId="5C1EDC75" w14:textId="703F433F" w:rsidR="00054AA3" w:rsidRDefault="00616B69" w:rsidP="00886715">
      <w:proofErr w:type="spellStart"/>
      <w:r>
        <w:t>Ductborne</w:t>
      </w:r>
      <w:proofErr w:type="spellEnd"/>
      <w:r>
        <w:t xml:space="preserve"> noise from</w:t>
      </w:r>
      <w:r w:rsidR="00F04C70">
        <w:t xml:space="preserve"> the IMV fans is substantial and requires significant attenuation both upstream and downstream of the fan.  Figure 2 shows a</w:t>
      </w:r>
      <w:r w:rsidR="00CF3CAC">
        <w:t xml:space="preserve">n example </w:t>
      </w:r>
      <w:r w:rsidR="00F04C70">
        <w:t>IMV fan installation with silencers included.</w:t>
      </w:r>
      <w:r>
        <w:t xml:space="preserve"> </w:t>
      </w:r>
      <w:r w:rsidR="006329FF">
        <w:t xml:space="preserve">Note the additional acoustic lagging </w:t>
      </w:r>
      <w:r w:rsidR="009538DE">
        <w:t>included</w:t>
      </w:r>
      <w:r w:rsidR="006329FF">
        <w:t xml:space="preserve"> between the fan and silencers.</w:t>
      </w:r>
    </w:p>
    <w:p w14:paraId="38A2A4A6" w14:textId="77777777" w:rsidR="00886715" w:rsidRDefault="00886715" w:rsidP="00886715"/>
    <w:p w14:paraId="364FC5DB" w14:textId="40D76807" w:rsidR="00E87D7C" w:rsidRDefault="00E87D7C" w:rsidP="00E87D7C">
      <w:pPr>
        <w:jc w:val="center"/>
      </w:pPr>
      <w:r>
        <w:rPr>
          <w:noProof/>
        </w:rPr>
        <w:drawing>
          <wp:inline distT="0" distB="0" distL="0" distR="0" wp14:anchorId="7D5DA672" wp14:editId="20971442">
            <wp:extent cx="2441951" cy="5137245"/>
            <wp:effectExtent l="4763" t="0" r="1587" b="1588"/>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28A0092B-C50C-407E-A947-70E740481C1C}">
                          <a14:useLocalDpi xmlns:a14="http://schemas.microsoft.com/office/drawing/2010/main"/>
                        </a:ext>
                      </a:extLst>
                    </a:blip>
                    <a:srcRect/>
                    <a:stretch/>
                  </pic:blipFill>
                  <pic:spPr bwMode="auto">
                    <a:xfrm rot="16200000">
                      <a:off x="0" y="0"/>
                      <a:ext cx="2456402" cy="5167647"/>
                    </a:xfrm>
                    <a:prstGeom prst="rect">
                      <a:avLst/>
                    </a:prstGeom>
                    <a:noFill/>
                    <a:ln>
                      <a:noFill/>
                    </a:ln>
                    <a:extLst>
                      <a:ext uri="{53640926-AAD7-44D8-BBD7-CCE9431645EC}">
                        <a14:shadowObscured xmlns:a14="http://schemas.microsoft.com/office/drawing/2010/main"/>
                      </a:ext>
                    </a:extLst>
                  </pic:spPr>
                </pic:pic>
              </a:graphicData>
            </a:graphic>
          </wp:inline>
        </w:drawing>
      </w:r>
    </w:p>
    <w:p w14:paraId="4FC2B4E9" w14:textId="77777777" w:rsidR="00E87D7C" w:rsidRDefault="00E87D7C" w:rsidP="00E87D7C">
      <w:pPr>
        <w:jc w:val="center"/>
      </w:pPr>
    </w:p>
    <w:p w14:paraId="1C6241E6" w14:textId="2C47EA2C" w:rsidR="00E87D7C" w:rsidRDefault="00E87D7C" w:rsidP="00E87D7C">
      <w:pPr>
        <w:jc w:val="center"/>
      </w:pPr>
      <w:bookmarkStart w:id="1" w:name="_Hlk129084561"/>
      <w:r>
        <w:t>Figure</w:t>
      </w:r>
      <w:r w:rsidRPr="00FB43E3">
        <w:t xml:space="preserve"> </w:t>
      </w:r>
      <w:r>
        <w:t>2.</w:t>
      </w:r>
      <w:r w:rsidRPr="00FB43E3">
        <w:t xml:space="preserve"> </w:t>
      </w:r>
      <w:r>
        <w:t xml:space="preserve"> Example ISS IMV fan installation with silencers upstream and downstream of </w:t>
      </w:r>
      <w:r w:rsidR="009538DE">
        <w:t xml:space="preserve">the </w:t>
      </w:r>
      <w:r>
        <w:t xml:space="preserve">fan </w:t>
      </w:r>
    </w:p>
    <w:bookmarkEnd w:id="1"/>
    <w:p w14:paraId="44421C95" w14:textId="77777777" w:rsidR="00E87D7C" w:rsidRDefault="00E87D7C" w:rsidP="00886715"/>
    <w:p w14:paraId="1DE25339" w14:textId="15A8EBC8" w:rsidR="006329FF" w:rsidRDefault="006329FF" w:rsidP="00886715">
      <w:r>
        <w:t>The needed acoustic attenuation, i.e. Insertion Loss, both upstream and downstream of the fan is shown in Figure 3.  Th</w:t>
      </w:r>
      <w:r w:rsidR="009538DE">
        <w:t>is Insertion Loss</w:t>
      </w:r>
      <w:r>
        <w:t xml:space="preserve"> exceeds 10 dB at 500 Hz </w:t>
      </w:r>
      <w:r w:rsidR="00780F39">
        <w:t>(</w:t>
      </w:r>
      <w:r>
        <w:t xml:space="preserve">and above and exceeds 25 dB at 2000 Hz </w:t>
      </w:r>
      <w:r w:rsidR="00780F39">
        <w:t>(</w:t>
      </w:r>
      <w:r>
        <w:t>and above</w:t>
      </w:r>
      <w:r w:rsidR="00780F39">
        <w:t>)</w:t>
      </w:r>
      <w:r>
        <w:t xml:space="preserve">.  </w:t>
      </w:r>
    </w:p>
    <w:p w14:paraId="64ADFD57" w14:textId="680A28B1" w:rsidR="00C343C6" w:rsidRDefault="00C343C6" w:rsidP="00C343C6">
      <w:pPr>
        <w:jc w:val="center"/>
      </w:pPr>
      <w:r w:rsidRPr="00C343C6">
        <w:rPr>
          <w:noProof/>
        </w:rPr>
        <w:drawing>
          <wp:inline distT="0" distB="0" distL="0" distR="0" wp14:anchorId="66E1D701" wp14:editId="2341DC0B">
            <wp:extent cx="4032598" cy="3289300"/>
            <wp:effectExtent l="0" t="0" r="635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4047527" cy="3301477"/>
                    </a:xfrm>
                    <a:prstGeom prst="rect">
                      <a:avLst/>
                    </a:prstGeom>
                    <a:noFill/>
                    <a:ln>
                      <a:noFill/>
                    </a:ln>
                  </pic:spPr>
                </pic:pic>
              </a:graphicData>
            </a:graphic>
          </wp:inline>
        </w:drawing>
      </w:r>
    </w:p>
    <w:p w14:paraId="08B2542E" w14:textId="77777777" w:rsidR="00D851E2" w:rsidRDefault="00D851E2" w:rsidP="00D851E2">
      <w:pPr>
        <w:jc w:val="center"/>
      </w:pPr>
    </w:p>
    <w:p w14:paraId="018C8CE4" w14:textId="1248AA1A" w:rsidR="00D851E2" w:rsidRDefault="00D851E2" w:rsidP="00D851E2">
      <w:pPr>
        <w:jc w:val="center"/>
      </w:pPr>
      <w:r>
        <w:t>Figure</w:t>
      </w:r>
      <w:r w:rsidRPr="00FB43E3">
        <w:t xml:space="preserve"> </w:t>
      </w:r>
      <w:r>
        <w:t>3.</w:t>
      </w:r>
      <w:r w:rsidRPr="00FB43E3">
        <w:t xml:space="preserve"> </w:t>
      </w:r>
      <w:r>
        <w:t xml:space="preserve"> Acoustic attenuation provided by ISS IMV Silencers .</w:t>
      </w:r>
      <w:r w:rsidRPr="00D851E2">
        <w:rPr>
          <w:vertAlign w:val="superscript"/>
        </w:rPr>
        <w:t>1</w:t>
      </w:r>
      <w:r>
        <w:t xml:space="preserve"> </w:t>
      </w:r>
    </w:p>
    <w:p w14:paraId="103FB035" w14:textId="77777777" w:rsidR="00C343C6" w:rsidRDefault="00C343C6" w:rsidP="00E84EFE"/>
    <w:p w14:paraId="1AB21E70" w14:textId="649452AE" w:rsidR="00C343C6" w:rsidRDefault="004E0B67" w:rsidP="00E84EFE">
      <w:r>
        <w:t xml:space="preserve">In order to obtain the necessary attenuation, </w:t>
      </w:r>
      <w:r w:rsidR="005866BF">
        <w:t>the IMV Silencer needs a</w:t>
      </w:r>
      <w:r>
        <w:t xml:space="preserve"> tortuous flow path to </w:t>
      </w:r>
      <w:r w:rsidR="00D851E2">
        <w:t>block ‘line-of-sight’ within the duct, provide a large surface area for acoustic absorption, and reduce passage heights to attenuate the high frequency (small wave-length) noise.  See Figure 4.  This lossy airflow path causes a pressure loss of 0.37 “H20 at 150 cfm.</w:t>
      </w:r>
      <w:r w:rsidR="005866BF">
        <w:rPr>
          <w:vertAlign w:val="superscript"/>
        </w:rPr>
        <w:t>5</w:t>
      </w:r>
    </w:p>
    <w:p w14:paraId="0E723599" w14:textId="77777777" w:rsidR="00D851E2" w:rsidRDefault="00D851E2" w:rsidP="00D851E2"/>
    <w:p w14:paraId="4E7EE907" w14:textId="77777777" w:rsidR="00D851E2" w:rsidRDefault="00D851E2" w:rsidP="00D851E2">
      <w:pPr>
        <w:jc w:val="center"/>
      </w:pPr>
      <w:r w:rsidRPr="00C343C6">
        <w:rPr>
          <w:noProof/>
        </w:rPr>
        <w:drawing>
          <wp:inline distT="0" distB="0" distL="0" distR="0" wp14:anchorId="22B709FA" wp14:editId="63068CD1">
            <wp:extent cx="3401870" cy="2667000"/>
            <wp:effectExtent l="0" t="0" r="825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a:ext>
                      </a:extLst>
                    </a:blip>
                    <a:srcRect/>
                    <a:stretch>
                      <a:fillRect/>
                    </a:stretch>
                  </pic:blipFill>
                  <pic:spPr bwMode="auto">
                    <a:xfrm>
                      <a:off x="0" y="0"/>
                      <a:ext cx="3411285" cy="2674382"/>
                    </a:xfrm>
                    <a:prstGeom prst="rect">
                      <a:avLst/>
                    </a:prstGeom>
                    <a:noFill/>
                    <a:ln>
                      <a:noFill/>
                    </a:ln>
                  </pic:spPr>
                </pic:pic>
              </a:graphicData>
            </a:graphic>
          </wp:inline>
        </w:drawing>
      </w:r>
    </w:p>
    <w:p w14:paraId="75BE7F17" w14:textId="51D409B8" w:rsidR="00D851E2" w:rsidRDefault="00D851E2" w:rsidP="00D851E2">
      <w:pPr>
        <w:jc w:val="center"/>
      </w:pPr>
      <w:bookmarkStart w:id="2" w:name="_Hlk129084776"/>
      <w:r>
        <w:t>Figure</w:t>
      </w:r>
      <w:r w:rsidRPr="00FB43E3">
        <w:t xml:space="preserve"> </w:t>
      </w:r>
      <w:r>
        <w:t>4.</w:t>
      </w:r>
      <w:r w:rsidRPr="00FB43E3">
        <w:t xml:space="preserve"> </w:t>
      </w:r>
      <w:r>
        <w:t xml:space="preserve"> Tort</w:t>
      </w:r>
      <w:r w:rsidR="009538DE">
        <w:t>u</w:t>
      </w:r>
      <w:r>
        <w:t>ous IMV Silencer air flow passage. Airflow can be in either direction (symmetric).</w:t>
      </w:r>
      <w:r w:rsidRPr="00D851E2">
        <w:rPr>
          <w:vertAlign w:val="superscript"/>
        </w:rPr>
        <w:t>1</w:t>
      </w:r>
      <w:r>
        <w:t xml:space="preserve"> </w:t>
      </w:r>
    </w:p>
    <w:bookmarkEnd w:id="2"/>
    <w:p w14:paraId="5CB2E300" w14:textId="77777777" w:rsidR="00D851E2" w:rsidRDefault="00D851E2" w:rsidP="00D851E2"/>
    <w:p w14:paraId="22AD94E9" w14:textId="6D93BF13" w:rsidR="00A60E1B" w:rsidRDefault="00A60E1B" w:rsidP="004E0B67">
      <w:r>
        <w:t>While the IMV fan noise has been successfully controlled on ISS,</w:t>
      </w:r>
      <w:r w:rsidRPr="00A60E1B">
        <w:rPr>
          <w:vertAlign w:val="superscript"/>
        </w:rPr>
        <w:t>2,3</w:t>
      </w:r>
      <w:r>
        <w:t xml:space="preserve"> it is clear that a significant amount of mass, volume, and flow loss is attributable to the IMV </w:t>
      </w:r>
      <w:r w:rsidR="005866BF">
        <w:t>S</w:t>
      </w:r>
      <w:r>
        <w:t xml:space="preserve">ilencers.  With </w:t>
      </w:r>
      <w:r w:rsidR="005866BF">
        <w:t xml:space="preserve">potentially </w:t>
      </w:r>
      <w:r>
        <w:t xml:space="preserve">four silencers at each module interface, there are 20 or more of these silencers on ISS. </w:t>
      </w:r>
    </w:p>
    <w:p w14:paraId="5C44AF91" w14:textId="77777777" w:rsidR="00A60E1B" w:rsidRDefault="00A60E1B" w:rsidP="004E0B67"/>
    <w:p w14:paraId="190BA949" w14:textId="50B7C1A1" w:rsidR="004E0B67" w:rsidRDefault="00A60E1B" w:rsidP="004E0B67">
      <w:r>
        <w:t xml:space="preserve">However, if the fan’s </w:t>
      </w:r>
      <w:proofErr w:type="spellStart"/>
      <w:r>
        <w:t>ductborne</w:t>
      </w:r>
      <w:proofErr w:type="spellEnd"/>
      <w:r>
        <w:t xml:space="preserve"> source-noise were significantly less, then a less restrictive, less massive silencer could be designed </w:t>
      </w:r>
      <w:r w:rsidR="00E13AE8">
        <w:t xml:space="preserve">to </w:t>
      </w:r>
      <w:r>
        <w:t>meet the IMV noise requirement</w:t>
      </w:r>
      <w:r w:rsidR="00E13AE8" w:rsidRPr="00E13AE8">
        <w:rPr>
          <w:vertAlign w:val="superscript"/>
        </w:rPr>
        <w:t>7</w:t>
      </w:r>
      <w:r w:rsidR="00E13AE8">
        <w:t xml:space="preserve"> without sacrificing airflow.</w:t>
      </w:r>
      <w:r w:rsidR="005866BF">
        <w:t xml:space="preserve">  It is possible that a silencer would not be needed at all, and that duct-lining may suffice.</w:t>
      </w:r>
      <w:r w:rsidR="00E13AE8">
        <w:t xml:space="preserve">  </w:t>
      </w:r>
      <w:r w:rsidR="005866BF">
        <w:t>And without such a tortuous path</w:t>
      </w:r>
      <w:r w:rsidR="00E13AE8">
        <w:t>, the system’s pressure losses would be less, allowing for more airflow and requiring less electrical power to drive the fan.  And, if the fan were designed to be significantly more efficient, that would reduce the electrical power required even further.</w:t>
      </w:r>
      <w:r w:rsidR="005866BF">
        <w:t xml:space="preserve">  </w:t>
      </w:r>
      <w:r w:rsidR="00E13AE8">
        <w:t>And this is the goal of current research at NASA.  To use the tools</w:t>
      </w:r>
      <w:r w:rsidR="00F33D87">
        <w:t>,</w:t>
      </w:r>
      <w:r w:rsidR="00E13AE8">
        <w:t xml:space="preserve"> techniques and </w:t>
      </w:r>
      <w:r w:rsidR="00F33D87">
        <w:t xml:space="preserve">testing </w:t>
      </w:r>
      <w:r w:rsidR="00E13AE8">
        <w:t>validation methods developed over decades of research and investment, made to reduce the environmental noise from aircraft engine fans</w:t>
      </w:r>
      <w:r w:rsidR="00F33D87">
        <w:t>,</w:t>
      </w:r>
      <w:r w:rsidR="00E13AE8">
        <w:t xml:space="preserve"> to bring substantial improvements to human spacecraft ventilation and other ECLS systems.  </w:t>
      </w:r>
    </w:p>
    <w:p w14:paraId="1501A4FD" w14:textId="77777777" w:rsidR="00A54578" w:rsidRDefault="00A54578" w:rsidP="00150555">
      <w:pPr>
        <w:pStyle w:val="Heading1"/>
      </w:pPr>
    </w:p>
    <w:p w14:paraId="3AA32F95" w14:textId="153A475A" w:rsidR="00A54578" w:rsidRDefault="00150555" w:rsidP="008758C6">
      <w:pPr>
        <w:pStyle w:val="Heading1"/>
      </w:pPr>
      <w:r>
        <w:t xml:space="preserve">3.    </w:t>
      </w:r>
      <w:r w:rsidR="008758C6" w:rsidRPr="008758C6">
        <w:t>Quiet Spacecraft Cabin Ventilation Fan Noise Research at NASA</w:t>
      </w:r>
    </w:p>
    <w:p w14:paraId="6E938661" w14:textId="77777777" w:rsidR="00B247FB" w:rsidRDefault="00B247FB" w:rsidP="00A54578"/>
    <w:p w14:paraId="624FBDC4" w14:textId="1F600DF4" w:rsidR="006F1664" w:rsidRDefault="00B247FB" w:rsidP="00B247FB">
      <w:r>
        <w:t xml:space="preserve">For the reasons outlined above, a </w:t>
      </w:r>
      <w:r w:rsidR="006F1664">
        <w:t>project to design a quiet</w:t>
      </w:r>
      <w:r w:rsidR="001E3F0D">
        <w:t xml:space="preserve"> and efficient</w:t>
      </w:r>
      <w:r w:rsidR="006F1664">
        <w:t xml:space="preserve"> spaceflight vehicle ventilation fan, utilizing the design techniques developed at Glenn Research Center (GRC) for</w:t>
      </w:r>
      <w:r>
        <w:t xml:space="preserve"> </w:t>
      </w:r>
      <w:r w:rsidR="006F1664">
        <w:t xml:space="preserve">airplane </w:t>
      </w:r>
      <w:r>
        <w:t>engine noise reduction</w:t>
      </w:r>
      <w:r w:rsidR="001E3F0D">
        <w:t>,</w:t>
      </w:r>
      <w:r>
        <w:t xml:space="preserve"> </w:t>
      </w:r>
      <w:r w:rsidR="006F1664">
        <w:t xml:space="preserve">was </w:t>
      </w:r>
      <w:r w:rsidR="001E3F0D">
        <w:t>initiated</w:t>
      </w:r>
      <w:r w:rsidR="006F1664">
        <w:t xml:space="preserve"> </w:t>
      </w:r>
      <w:r w:rsidR="006F1664" w:rsidRPr="000948E7">
        <w:t>in 20</w:t>
      </w:r>
      <w:r w:rsidR="001E3F0D" w:rsidRPr="000948E7">
        <w:t>09</w:t>
      </w:r>
      <w:r w:rsidR="006F1664">
        <w:t>.</w:t>
      </w:r>
      <w:r w:rsidR="000948E7">
        <w:rPr>
          <w:vertAlign w:val="superscript"/>
        </w:rPr>
        <w:t>6</w:t>
      </w:r>
      <w:r w:rsidR="006F1664">
        <w:t xml:space="preserve">  The design point chosen was to be the same as for the Orion cabin fan, </w:t>
      </w:r>
      <w:r w:rsidR="001E3F0D">
        <w:t xml:space="preserve">with a flow rate of 150 cfm at a pressure rise of 3.84 inches H2O.  The plan was to compare the resulting fan’s aerodynamic performance and acoustic emissions to that of the Orion cabin fan. </w:t>
      </w:r>
      <w:r w:rsidR="001D5D61">
        <w:t>And, once the design was completed and proven to be beneficial, it would be released to the public to be used as a baseline for further noise reduction development, or so that spaceflight hardware developers could use the design in their own vehicles.</w:t>
      </w:r>
    </w:p>
    <w:p w14:paraId="54609F3B" w14:textId="77777777" w:rsidR="006F1664" w:rsidRDefault="006F1664" w:rsidP="00B247FB"/>
    <w:p w14:paraId="7399DAFF" w14:textId="01ADDCC3" w:rsidR="006A1F20" w:rsidRDefault="001E3F0D" w:rsidP="00B247FB">
      <w:r>
        <w:t xml:space="preserve">The GRC </w:t>
      </w:r>
      <w:r w:rsidR="006042EA">
        <w:t>q</w:t>
      </w:r>
      <w:r>
        <w:t>uiet</w:t>
      </w:r>
      <w:r w:rsidR="006042EA">
        <w:t xml:space="preserve"> and efficient</w:t>
      </w:r>
      <w:r>
        <w:t xml:space="preserve"> ‘</w:t>
      </w:r>
      <w:proofErr w:type="spellStart"/>
      <w:r>
        <w:t>Spacefan</w:t>
      </w:r>
      <w:proofErr w:type="spellEnd"/>
      <w:r>
        <w:t>’ was designed, and its performance was computationally analyzed by Dan Tweedt</w:t>
      </w:r>
      <w:r w:rsidR="006A1F20">
        <w:t>.</w:t>
      </w:r>
      <w:r w:rsidR="000948E7">
        <w:rPr>
          <w:vertAlign w:val="superscript"/>
        </w:rPr>
        <w:t>7</w:t>
      </w:r>
      <w:r w:rsidR="006A1F20" w:rsidRPr="006A1F20">
        <w:rPr>
          <w:vertAlign w:val="superscript"/>
        </w:rPr>
        <w:t xml:space="preserve">, </w:t>
      </w:r>
      <w:r w:rsidR="000948E7">
        <w:rPr>
          <w:vertAlign w:val="superscript"/>
        </w:rPr>
        <w:t>8</w:t>
      </w:r>
      <w:r>
        <w:t xml:space="preserve"> </w:t>
      </w:r>
      <w:r w:rsidR="006A1F20">
        <w:t>In 2011, a 3-D printed plastic prototype was developed and tested</w:t>
      </w:r>
      <w:r w:rsidR="000974A1">
        <w:t xml:space="preserve"> </w:t>
      </w:r>
      <w:r w:rsidR="000948E7">
        <w:t>at GRC</w:t>
      </w:r>
      <w:r w:rsidR="000948E7">
        <w:t xml:space="preserve"> </w:t>
      </w:r>
      <w:r w:rsidR="000974A1">
        <w:t xml:space="preserve">by </w:t>
      </w:r>
      <w:r w:rsidR="000948E7">
        <w:t>Danielle Koch, et. al..</w:t>
      </w:r>
      <w:r w:rsidR="000948E7">
        <w:rPr>
          <w:vertAlign w:val="superscript"/>
        </w:rPr>
        <w:t>9</w:t>
      </w:r>
      <w:r w:rsidR="006A1F20">
        <w:t xml:space="preserve"> </w:t>
      </w:r>
      <w:r w:rsidR="000948E7">
        <w:t>At the conclusion of this testing,</w:t>
      </w:r>
      <w:r w:rsidR="006A1F20">
        <w:t xml:space="preserve"> it was </w:t>
      </w:r>
      <w:r w:rsidR="000948E7">
        <w:t>decided</w:t>
      </w:r>
      <w:r w:rsidR="006A1F20">
        <w:t xml:space="preserve"> that a metal fan prototype was needed to properly document aerodynamic and acoustic performance.</w:t>
      </w:r>
    </w:p>
    <w:p w14:paraId="12B87DD3" w14:textId="77777777" w:rsidR="006A1F20" w:rsidRDefault="006A1F20" w:rsidP="00B247FB"/>
    <w:p w14:paraId="3C7A049F" w14:textId="525AD88B" w:rsidR="006A1F20" w:rsidRDefault="006042EA" w:rsidP="00B247FB">
      <w:r>
        <w:t xml:space="preserve">The project experienced some funding delays, but in 2020 was granted funding to proceed with fabrication and testing of a metal </w:t>
      </w:r>
      <w:proofErr w:type="spellStart"/>
      <w:r>
        <w:t>Spacefan</w:t>
      </w:r>
      <w:proofErr w:type="spellEnd"/>
      <w:r>
        <w:t xml:space="preserve"> prototype.  Operating conditions and design of the Orion cabin fan had evolved by that time to higher pressure-rise needs, as the Orion ECLS system matured.  But it was decided to proceed</w:t>
      </w:r>
      <w:r w:rsidR="000974A1">
        <w:t xml:space="preserve"> with</w:t>
      </w:r>
      <w:r>
        <w:t xml:space="preserve"> </w:t>
      </w:r>
      <w:proofErr w:type="spellStart"/>
      <w:r>
        <w:t>Spacefan</w:t>
      </w:r>
      <w:proofErr w:type="spellEnd"/>
      <w:r>
        <w:t xml:space="preserve"> at its original design point, knowing that comparisons to other spaceflig</w:t>
      </w:r>
      <w:r w:rsidR="000974A1">
        <w:t>h</w:t>
      </w:r>
      <w:r w:rsidR="0088532A">
        <w:t>t</w:t>
      </w:r>
      <w:r>
        <w:t xml:space="preserve"> ventilation fans</w:t>
      </w:r>
      <w:r w:rsidR="0088532A">
        <w:t xml:space="preserve"> could be made.  Figure 5 shows</w:t>
      </w:r>
      <w:r w:rsidR="0088532A" w:rsidRPr="0088532A">
        <w:t xml:space="preserve"> </w:t>
      </w:r>
      <w:r w:rsidR="0088532A">
        <w:t>d</w:t>
      </w:r>
      <w:r w:rsidR="0088532A" w:rsidRPr="0088532A">
        <w:t>esign</w:t>
      </w:r>
      <w:r w:rsidR="0088532A">
        <w:t xml:space="preserve"> or </w:t>
      </w:r>
      <w:r w:rsidR="0088532A" w:rsidRPr="0088532A">
        <w:t>operating points</w:t>
      </w:r>
      <w:r w:rsidR="0009637D">
        <w:t>, at that time,</w:t>
      </w:r>
      <w:r w:rsidR="0088532A" w:rsidRPr="0088532A">
        <w:t xml:space="preserve"> for various spaceflight ventilation fans</w:t>
      </w:r>
      <w:r w:rsidR="000974A1">
        <w:t xml:space="preserve">, with the GRC </w:t>
      </w:r>
      <w:proofErr w:type="spellStart"/>
      <w:r w:rsidR="000974A1">
        <w:t>Spacefan</w:t>
      </w:r>
      <w:proofErr w:type="spellEnd"/>
      <w:r w:rsidR="000974A1">
        <w:t xml:space="preserve"> </w:t>
      </w:r>
      <w:r w:rsidR="00017CE1">
        <w:t>also included</w:t>
      </w:r>
      <w:r w:rsidR="0088532A">
        <w:t>.</w:t>
      </w:r>
      <w:r w:rsidR="00037463">
        <w:t xml:space="preserve">  The Avionics Air Assembly (AAA) fan is a cooling fan used in the ISS’s Expedite the Processing to Space Station (ExPRESS) experiment racks.  The Rocket Space Corporation -Energia (RSC-E) quiet fan is the fan designed to reduce noise levels in the ISS Russian Segment.</w:t>
      </w:r>
      <w:r w:rsidR="00037463" w:rsidRPr="00037463">
        <w:rPr>
          <w:vertAlign w:val="superscript"/>
        </w:rPr>
        <w:t>3</w:t>
      </w:r>
      <w:r w:rsidR="0088532A">
        <w:t xml:space="preserve">  </w:t>
      </w:r>
      <w:r>
        <w:t xml:space="preserve">   </w:t>
      </w:r>
    </w:p>
    <w:p w14:paraId="589DAB7F" w14:textId="33C913C9" w:rsidR="00A57927" w:rsidRDefault="00A57927" w:rsidP="00B247FB"/>
    <w:p w14:paraId="4408C808" w14:textId="643C735E" w:rsidR="00A57927" w:rsidRDefault="00A57927" w:rsidP="00A57927">
      <w:pPr>
        <w:jc w:val="center"/>
      </w:pPr>
      <w:r>
        <w:rPr>
          <w:noProof/>
        </w:rPr>
        <w:drawing>
          <wp:inline distT="0" distB="0" distL="0" distR="0" wp14:anchorId="7E22C871" wp14:editId="2C2F1FCD">
            <wp:extent cx="6309360" cy="4288155"/>
            <wp:effectExtent l="0" t="0" r="15240" b="17145"/>
            <wp:docPr id="9" name="Chart 9">
              <a:extLst xmlns:a="http://schemas.openxmlformats.org/drawingml/2006/main">
                <a:ext uri="{FF2B5EF4-FFF2-40B4-BE49-F238E27FC236}">
                  <a16:creationId xmlns:a16="http://schemas.microsoft.com/office/drawing/2014/main" id="{00000000-0008-0000-06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FFC98A1" w14:textId="77777777" w:rsidR="006A1F20" w:rsidRDefault="006A1F20" w:rsidP="00B247FB"/>
    <w:p w14:paraId="704B40AF" w14:textId="0A63F1E7" w:rsidR="006042EA" w:rsidRDefault="006042EA" w:rsidP="006042EA">
      <w:pPr>
        <w:jc w:val="center"/>
      </w:pPr>
      <w:bookmarkStart w:id="3" w:name="_Hlk129101079"/>
      <w:r>
        <w:t>Figure</w:t>
      </w:r>
      <w:r w:rsidRPr="00FB43E3">
        <w:t xml:space="preserve"> </w:t>
      </w:r>
      <w:r>
        <w:t>5.</w:t>
      </w:r>
      <w:r w:rsidRPr="00FB43E3">
        <w:t xml:space="preserve"> </w:t>
      </w:r>
      <w:r>
        <w:t xml:space="preserve"> </w:t>
      </w:r>
      <w:bookmarkStart w:id="4" w:name="_Hlk129100150"/>
      <w:r>
        <w:t>Design/operating points for various spaceflight ventilation fans</w:t>
      </w:r>
      <w:bookmarkEnd w:id="4"/>
      <w:r w:rsidR="0009637D">
        <w:t xml:space="preserve"> at the time of </w:t>
      </w:r>
      <w:proofErr w:type="spellStart"/>
      <w:r w:rsidR="0009637D">
        <w:t>Spacefan</w:t>
      </w:r>
      <w:proofErr w:type="spellEnd"/>
      <w:r w:rsidR="0009637D">
        <w:t xml:space="preserve"> development</w:t>
      </w:r>
    </w:p>
    <w:bookmarkEnd w:id="3"/>
    <w:p w14:paraId="254F5C47" w14:textId="77777777" w:rsidR="006A1F20" w:rsidRDefault="006A1F20" w:rsidP="00B247FB"/>
    <w:p w14:paraId="3EBA9B33" w14:textId="2C3D3627" w:rsidR="00AE6B90" w:rsidRDefault="000974A1" w:rsidP="00490697">
      <w:r>
        <w:t xml:space="preserve">Even though fabrication and testing of the </w:t>
      </w:r>
      <w:proofErr w:type="spellStart"/>
      <w:r>
        <w:t>Spacefan</w:t>
      </w:r>
      <w:proofErr w:type="spellEnd"/>
      <w:r>
        <w:t xml:space="preserve"> was done during the height of the COVID pandemic, </w:t>
      </w:r>
      <w:r w:rsidR="007347D8">
        <w:t xml:space="preserve">two working units were developed.  One of the </w:t>
      </w:r>
      <w:proofErr w:type="spellStart"/>
      <w:r w:rsidR="007347D8">
        <w:t>Spacefan</w:t>
      </w:r>
      <w:proofErr w:type="spellEnd"/>
      <w:r w:rsidR="007347D8">
        <w:t xml:space="preserve"> units was used for </w:t>
      </w:r>
      <w:r w:rsidR="00490697">
        <w:t>aerody</w:t>
      </w:r>
      <w:r w:rsidR="00037463">
        <w:t>n</w:t>
      </w:r>
      <w:r w:rsidR="00490697">
        <w:t>a</w:t>
      </w:r>
      <w:r w:rsidR="00037463">
        <w:t>m</w:t>
      </w:r>
      <w:r w:rsidR="00490697">
        <w:t xml:space="preserve">ic performance and acoustic </w:t>
      </w:r>
      <w:r w:rsidR="007347D8">
        <w:t>validation testing at GRC and the other unit was used for sound power level evaluation</w:t>
      </w:r>
      <w:r w:rsidR="00490697">
        <w:t>s</w:t>
      </w:r>
      <w:r w:rsidR="007347D8">
        <w:t xml:space="preserve"> at Johnson Space Center (JSC).  </w:t>
      </w:r>
      <w:r w:rsidR="00AE6B90" w:rsidRPr="00490697">
        <w:t>Measured and predicted aerodynamic and acoustic performance w</w:t>
      </w:r>
      <w:r w:rsidR="00AE6B90">
        <w:t>ere</w:t>
      </w:r>
      <w:r w:rsidR="00AE6B90" w:rsidRPr="00490697">
        <w:t xml:space="preserve"> in </w:t>
      </w:r>
      <w:r w:rsidR="00AE6B90" w:rsidRPr="00490697">
        <w:lastRenderedPageBreak/>
        <w:t>good agreement with predictions</w:t>
      </w:r>
      <w:r w:rsidR="00AE6B90">
        <w:t>.</w:t>
      </w:r>
      <w:r w:rsidR="00037463" w:rsidRPr="00037463">
        <w:rPr>
          <w:vertAlign w:val="superscript"/>
        </w:rPr>
        <w:t>10</w:t>
      </w:r>
      <w:r w:rsidR="00AE6B90" w:rsidRPr="00AE6B90">
        <w:t xml:space="preserve"> </w:t>
      </w:r>
      <w:r w:rsidR="00AE6B90">
        <w:t>A n</w:t>
      </w:r>
      <w:r w:rsidR="00AE6B90" w:rsidRPr="00490697">
        <w:t>ovel 3-D printed structure</w:t>
      </w:r>
      <w:r w:rsidR="00AE6B90">
        <w:t xml:space="preserve"> was developed</w:t>
      </w:r>
      <w:r w:rsidR="00AE6B90" w:rsidRPr="00490697">
        <w:t xml:space="preserve"> for light-weighting</w:t>
      </w:r>
      <w:r w:rsidR="00AE6B90">
        <w:t xml:space="preserve"> with a resulting </w:t>
      </w:r>
      <w:r w:rsidR="00AE6B90" w:rsidRPr="00490697">
        <w:t>fan weigh</w:t>
      </w:r>
      <w:r w:rsidR="00AE6B90">
        <w:t>t of</w:t>
      </w:r>
      <w:r w:rsidR="00AE6B90" w:rsidRPr="00490697">
        <w:t xml:space="preserve"> 3.6 lbs</w:t>
      </w:r>
      <w:r w:rsidR="00AE6B90">
        <w:t xml:space="preserve">.  </w:t>
      </w:r>
      <w:r w:rsidR="007347D8">
        <w:t>GRC has published the resulting measured aerodynamic and acoustic performance, in comparison to predictions, with very promising results.</w:t>
      </w:r>
      <w:r w:rsidR="007347D8" w:rsidRPr="007347D8">
        <w:rPr>
          <w:vertAlign w:val="superscript"/>
        </w:rPr>
        <w:t>1</w:t>
      </w:r>
      <w:r w:rsidR="00037463">
        <w:rPr>
          <w:vertAlign w:val="superscript"/>
        </w:rPr>
        <w:t>0</w:t>
      </w:r>
      <w:r w:rsidR="007347D8">
        <w:t xml:space="preserve"> </w:t>
      </w:r>
    </w:p>
    <w:p w14:paraId="700BFB2A" w14:textId="16AF657C" w:rsidR="000974A1" w:rsidRDefault="000974A1" w:rsidP="00B247FB"/>
    <w:p w14:paraId="4501A100" w14:textId="55B955CB" w:rsidR="007347D8" w:rsidRDefault="00190F82" w:rsidP="007347D8">
      <w:proofErr w:type="spellStart"/>
      <w:r>
        <w:t>Spacefan</w:t>
      </w:r>
      <w:proofErr w:type="spellEnd"/>
      <w:r>
        <w:t xml:space="preserve"> s</w:t>
      </w:r>
      <w:r w:rsidR="007347D8">
        <w:t>ound power level measurements</w:t>
      </w:r>
      <w:r>
        <w:t xml:space="preserve"> have been made at JSC</w:t>
      </w:r>
      <w:r w:rsidR="007347D8">
        <w:t xml:space="preserve"> and comparisons to other spaceflight ventilation fan sound power levels </w:t>
      </w:r>
      <w:r>
        <w:t>are</w:t>
      </w:r>
      <w:r w:rsidR="007347D8">
        <w:t xml:space="preserve"> currently in-work.  Figure 6 shows one of the </w:t>
      </w:r>
      <w:proofErr w:type="spellStart"/>
      <w:r w:rsidR="007347D8">
        <w:t>Spacefan</w:t>
      </w:r>
      <w:proofErr w:type="spellEnd"/>
      <w:r w:rsidR="007347D8">
        <w:t xml:space="preserve"> sound power measurement set-ups in the JSC Acoustics and Noise Control Laboratory’s anechoic chamber.</w:t>
      </w:r>
    </w:p>
    <w:p w14:paraId="74F81728" w14:textId="6C9D47C0" w:rsidR="007347D8" w:rsidRDefault="007347D8" w:rsidP="007347D8"/>
    <w:p w14:paraId="32847696" w14:textId="1AF6A73A" w:rsidR="007347D8" w:rsidRDefault="007347D8" w:rsidP="007347D8">
      <w:pPr>
        <w:jc w:val="center"/>
      </w:pPr>
      <w:r>
        <w:rPr>
          <w:noProof/>
        </w:rPr>
        <w:drawing>
          <wp:inline distT="0" distB="0" distL="0" distR="0" wp14:anchorId="7C553A32" wp14:editId="21C5BB95">
            <wp:extent cx="6230974" cy="3504882"/>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a:ext>
                      </a:extLst>
                    </a:blip>
                    <a:srcRect/>
                    <a:stretch>
                      <a:fillRect/>
                    </a:stretch>
                  </pic:blipFill>
                  <pic:spPr bwMode="auto">
                    <a:xfrm>
                      <a:off x="0" y="0"/>
                      <a:ext cx="6232099" cy="3505515"/>
                    </a:xfrm>
                    <a:prstGeom prst="rect">
                      <a:avLst/>
                    </a:prstGeom>
                    <a:noFill/>
                  </pic:spPr>
                </pic:pic>
              </a:graphicData>
            </a:graphic>
          </wp:inline>
        </w:drawing>
      </w:r>
    </w:p>
    <w:p w14:paraId="32832FB4" w14:textId="77777777" w:rsidR="007347D8" w:rsidRDefault="007347D8" w:rsidP="007347D8">
      <w:pPr>
        <w:jc w:val="center"/>
      </w:pPr>
    </w:p>
    <w:p w14:paraId="7A588E77" w14:textId="15D16399" w:rsidR="007347D8" w:rsidRDefault="007347D8" w:rsidP="007347D8">
      <w:pPr>
        <w:jc w:val="center"/>
      </w:pPr>
      <w:r>
        <w:t>Figure</w:t>
      </w:r>
      <w:r w:rsidRPr="00FB43E3">
        <w:t xml:space="preserve"> </w:t>
      </w:r>
      <w:r>
        <w:t>6.</w:t>
      </w:r>
      <w:r w:rsidRPr="00FB43E3">
        <w:t xml:space="preserve"> </w:t>
      </w:r>
      <w:r>
        <w:t xml:space="preserve"> </w:t>
      </w:r>
      <w:r w:rsidR="00190F82">
        <w:t>Example sound power level measurement set up in the JSC Acoustics and Noise Control Laboratory’s anechoic chamber</w:t>
      </w:r>
    </w:p>
    <w:p w14:paraId="68D67214" w14:textId="77777777" w:rsidR="007347D8" w:rsidRDefault="007347D8" w:rsidP="007347D8"/>
    <w:p w14:paraId="6A8A5EEE" w14:textId="77777777" w:rsidR="007347D8" w:rsidRDefault="007347D8" w:rsidP="007347D8"/>
    <w:p w14:paraId="4EF25C99" w14:textId="1D9B7B85" w:rsidR="000974A1" w:rsidRDefault="00AE6B90" w:rsidP="00B247FB">
      <w:r>
        <w:t xml:space="preserve">The </w:t>
      </w:r>
      <w:proofErr w:type="spellStart"/>
      <w:r w:rsidRPr="00AE6B90">
        <w:t>Spacefan</w:t>
      </w:r>
      <w:proofErr w:type="spellEnd"/>
      <w:r w:rsidRPr="00AE6B90">
        <w:t xml:space="preserve"> fan geometry, CAD, and </w:t>
      </w:r>
      <w:r w:rsidR="00190F82">
        <w:t>f</w:t>
      </w:r>
      <w:r w:rsidRPr="00AE6B90">
        <w:t xml:space="preserve">lowlines </w:t>
      </w:r>
      <w:r>
        <w:t xml:space="preserve">have been released </w:t>
      </w:r>
      <w:r w:rsidRPr="00AE6B90">
        <w:t>to</w:t>
      </w:r>
      <w:r>
        <w:t xml:space="preserve"> the</w:t>
      </w:r>
      <w:r w:rsidRPr="00AE6B90">
        <w:t xml:space="preserve"> public through </w:t>
      </w:r>
      <w:r w:rsidR="00190F82">
        <w:t xml:space="preserve">the </w:t>
      </w:r>
      <w:r w:rsidRPr="00AE6B90">
        <w:t>NASA Technical Report Server (NTRS)</w:t>
      </w:r>
      <w:r>
        <w:t xml:space="preserve">.  This information is available at </w:t>
      </w:r>
      <w:r w:rsidR="00A76969">
        <w:t>the following link:</w:t>
      </w:r>
      <w:r>
        <w:t xml:space="preserve">  </w:t>
      </w:r>
      <w:hyperlink r:id="rId15" w:history="1">
        <w:r w:rsidRPr="00CF59D7">
          <w:rPr>
            <w:rStyle w:val="Hyperlink"/>
          </w:rPr>
          <w:t>https://ntrs.nasa.gov/citations/20220012622</w:t>
        </w:r>
      </w:hyperlink>
      <w:r>
        <w:t>.</w:t>
      </w:r>
    </w:p>
    <w:p w14:paraId="39E8693B" w14:textId="77777777" w:rsidR="00A16948" w:rsidRDefault="00A16948" w:rsidP="00B247FB"/>
    <w:p w14:paraId="64BA5754" w14:textId="094B6BA2" w:rsidR="005438B7" w:rsidRDefault="00A16948" w:rsidP="005438B7">
      <w:r>
        <w:t>Future work for</w:t>
      </w:r>
      <w:r w:rsidR="000974A1">
        <w:t xml:space="preserve"> expanded use of this technology </w:t>
      </w:r>
      <w:r>
        <w:t xml:space="preserve">has been proposed.  </w:t>
      </w:r>
      <w:r w:rsidR="005438B7">
        <w:t xml:space="preserve">With the existing </w:t>
      </w:r>
      <w:proofErr w:type="spellStart"/>
      <w:r w:rsidR="005438B7">
        <w:t>Spacefan</w:t>
      </w:r>
      <w:proofErr w:type="spellEnd"/>
      <w:r w:rsidR="005438B7">
        <w:t xml:space="preserve">, work would include </w:t>
      </w:r>
      <w:r w:rsidR="005438B7" w:rsidRPr="005438B7">
        <w:t>investigat</w:t>
      </w:r>
      <w:r w:rsidR="005438B7">
        <w:t>ing</w:t>
      </w:r>
      <w:r w:rsidR="005438B7" w:rsidRPr="005438B7">
        <w:t xml:space="preserve"> installation effects and benefits of acoustic liners to support </w:t>
      </w:r>
      <w:r w:rsidR="005438B7">
        <w:t xml:space="preserve">realistic </w:t>
      </w:r>
      <w:proofErr w:type="spellStart"/>
      <w:r w:rsidR="005438B7">
        <w:t>spacefligt</w:t>
      </w:r>
      <w:proofErr w:type="spellEnd"/>
      <w:r w:rsidR="005438B7">
        <w:t xml:space="preserve"> vehicle use scenarios.  </w:t>
      </w:r>
      <w:r>
        <w:t>Th</w:t>
      </w:r>
      <w:r w:rsidR="005438B7">
        <w:t>is could also</w:t>
      </w:r>
      <w:r>
        <w:t xml:space="preserve"> </w:t>
      </w:r>
      <w:r w:rsidR="000974A1">
        <w:t>includ</w:t>
      </w:r>
      <w:r w:rsidR="005438B7">
        <w:t>e</w:t>
      </w:r>
      <w:r w:rsidR="005438B7" w:rsidRPr="005438B7">
        <w:t xml:space="preserve"> flight certification and</w:t>
      </w:r>
      <w:r w:rsidR="005438B7">
        <w:t xml:space="preserve"> an</w:t>
      </w:r>
      <w:r w:rsidR="005438B7" w:rsidRPr="005438B7">
        <w:t xml:space="preserve"> ISS on-orbit demonstration of </w:t>
      </w:r>
      <w:r w:rsidR="005438B7">
        <w:t xml:space="preserve">the </w:t>
      </w:r>
      <w:r w:rsidR="005438B7" w:rsidRPr="005438B7">
        <w:t xml:space="preserve">existing </w:t>
      </w:r>
      <w:proofErr w:type="spellStart"/>
      <w:r w:rsidR="005438B7">
        <w:t>Space</w:t>
      </w:r>
      <w:r w:rsidR="005438B7" w:rsidRPr="005438B7">
        <w:t>fan</w:t>
      </w:r>
      <w:proofErr w:type="spellEnd"/>
      <w:r w:rsidR="005438B7" w:rsidRPr="005438B7">
        <w:t xml:space="preserve"> to provide evidence/confidence of spaceflight performance</w:t>
      </w:r>
      <w:r w:rsidR="005438B7">
        <w:t>.</w:t>
      </w:r>
      <w:r w:rsidR="000629B4" w:rsidRPr="000629B4">
        <w:t xml:space="preserve"> </w:t>
      </w:r>
      <w:r w:rsidR="00E802B2">
        <w:t>It is also p</w:t>
      </w:r>
      <w:r w:rsidR="000629B4" w:rsidRPr="000629B4">
        <w:t>ropose</w:t>
      </w:r>
      <w:r w:rsidR="00E802B2">
        <w:t>d</w:t>
      </w:r>
      <w:r w:rsidR="000629B4" w:rsidRPr="000629B4">
        <w:t xml:space="preserve"> to continue advancing </w:t>
      </w:r>
      <w:r w:rsidR="00E802B2">
        <w:t>a</w:t>
      </w:r>
      <w:r w:rsidR="000629B4" w:rsidRPr="000629B4">
        <w:t xml:space="preserve">dditive </w:t>
      </w:r>
      <w:r w:rsidR="00E802B2">
        <w:t>m</w:t>
      </w:r>
      <w:r w:rsidR="000629B4" w:rsidRPr="000629B4">
        <w:t xml:space="preserve">anufacturing, </w:t>
      </w:r>
      <w:proofErr w:type="spellStart"/>
      <w:r w:rsidR="00E802B2">
        <w:t>l</w:t>
      </w:r>
      <w:r w:rsidR="000629B4" w:rsidRPr="000629B4">
        <w:t>ightweighting</w:t>
      </w:r>
      <w:proofErr w:type="spellEnd"/>
      <w:r w:rsidR="000629B4" w:rsidRPr="000629B4">
        <w:t xml:space="preserve">, and </w:t>
      </w:r>
      <w:r w:rsidR="00E802B2">
        <w:t>p</w:t>
      </w:r>
      <w:r w:rsidR="000629B4" w:rsidRPr="000629B4">
        <w:t>olishing improvements</w:t>
      </w:r>
      <w:r w:rsidR="000629B4">
        <w:t>.</w:t>
      </w:r>
    </w:p>
    <w:p w14:paraId="3747B995" w14:textId="51E8A2CC" w:rsidR="005438B7" w:rsidRPr="005438B7" w:rsidRDefault="005438B7" w:rsidP="005438B7">
      <w:r>
        <w:t xml:space="preserve">  </w:t>
      </w:r>
    </w:p>
    <w:p w14:paraId="60A9AE52" w14:textId="2E60FB4D" w:rsidR="005438B7" w:rsidRDefault="005438B7" w:rsidP="005438B7">
      <w:r>
        <w:t>To further the capability of the current design, it is envisioned that non-dimensional analysis could be used to</w:t>
      </w:r>
      <w:r w:rsidRPr="005438B7">
        <w:t xml:space="preserve"> build and test </w:t>
      </w:r>
      <w:r>
        <w:t xml:space="preserve">a </w:t>
      </w:r>
      <w:r w:rsidRPr="005438B7">
        <w:t xml:space="preserve">scaled version of this fan to higher flow/pressure rise for wider ventilation applications, for the </w:t>
      </w:r>
      <w:r>
        <w:t xml:space="preserve">commercial low Earth orbit </w:t>
      </w:r>
      <w:proofErr w:type="spellStart"/>
      <w:r>
        <w:t>freeflyers</w:t>
      </w:r>
      <w:proofErr w:type="spellEnd"/>
      <w:r>
        <w:t xml:space="preserve"> as well as for </w:t>
      </w:r>
      <w:r w:rsidRPr="005438B7">
        <w:t>the Gateway outpost</w:t>
      </w:r>
      <w:r>
        <w:t xml:space="preserve">.  </w:t>
      </w:r>
      <w:r w:rsidRPr="005438B7">
        <w:t>Preliminary investigation</w:t>
      </w:r>
      <w:r>
        <w:t>s on scaling are</w:t>
      </w:r>
      <w:r w:rsidRPr="005438B7">
        <w:t xml:space="preserve"> favorable </w:t>
      </w:r>
      <w:r w:rsidR="00E802B2">
        <w:t xml:space="preserve">to produce a </w:t>
      </w:r>
      <w:proofErr w:type="spellStart"/>
      <w:r w:rsidR="00E802B2">
        <w:t>Space</w:t>
      </w:r>
      <w:r w:rsidRPr="005438B7">
        <w:t>fan</w:t>
      </w:r>
      <w:proofErr w:type="spellEnd"/>
      <w:r w:rsidRPr="005438B7">
        <w:t xml:space="preserve"> with </w:t>
      </w:r>
      <w:r>
        <w:t>twice the</w:t>
      </w:r>
      <w:r w:rsidRPr="005438B7">
        <w:t xml:space="preserve"> flow rate and </w:t>
      </w:r>
      <w:r w:rsidR="00E802B2">
        <w:t xml:space="preserve">twice the </w:t>
      </w:r>
      <w:r w:rsidRPr="005438B7">
        <w:t>pressure</w:t>
      </w:r>
      <w:r w:rsidR="00E802B2">
        <w:t>-</w:t>
      </w:r>
      <w:r w:rsidRPr="005438B7">
        <w:t>rise capability</w:t>
      </w:r>
      <w:r>
        <w:t xml:space="preserve">, putting the design point very close to that of the </w:t>
      </w:r>
      <w:r w:rsidR="00E802B2">
        <w:t xml:space="preserve">original </w:t>
      </w:r>
      <w:r>
        <w:t xml:space="preserve">Gateway </w:t>
      </w:r>
      <w:r>
        <w:lastRenderedPageBreak/>
        <w:t>cabin fan</w:t>
      </w:r>
      <w:r w:rsidR="00E802B2">
        <w:t xml:space="preserve">. </w:t>
      </w:r>
      <w:r>
        <w:t xml:space="preserve"> </w:t>
      </w:r>
      <w:r w:rsidR="00E802B2">
        <w:t>See</w:t>
      </w:r>
      <w:r>
        <w:t xml:space="preserve"> Figure 5.</w:t>
      </w:r>
      <w:r w:rsidR="004B7F25">
        <w:t xml:space="preserve">  </w:t>
      </w:r>
      <w:r>
        <w:t xml:space="preserve">Another approach would be to use a </w:t>
      </w:r>
      <w:r w:rsidRPr="005438B7">
        <w:t>GRC workflow</w:t>
      </w:r>
      <w:r>
        <w:t>,</w:t>
      </w:r>
      <w:r w:rsidRPr="005438B7">
        <w:t xml:space="preserve"> </w:t>
      </w:r>
      <w:r>
        <w:t xml:space="preserve">similar to that used to design </w:t>
      </w:r>
      <w:r w:rsidR="00E802B2">
        <w:t xml:space="preserve">the </w:t>
      </w:r>
      <w:proofErr w:type="spellStart"/>
      <w:r>
        <w:t>Spacefan</w:t>
      </w:r>
      <w:proofErr w:type="spellEnd"/>
      <w:r>
        <w:t>,</w:t>
      </w:r>
      <w:r w:rsidRPr="005438B7">
        <w:t xml:space="preserve"> </w:t>
      </w:r>
      <w:r w:rsidR="00E802B2">
        <w:t>to</w:t>
      </w:r>
      <w:r w:rsidRPr="005438B7">
        <w:t xml:space="preserve"> design new </w:t>
      </w:r>
      <w:r>
        <w:t>q</w:t>
      </w:r>
      <w:r w:rsidRPr="005438B7">
        <w:t>uiet</w:t>
      </w:r>
      <w:r>
        <w:t xml:space="preserve"> and efficient</w:t>
      </w:r>
      <w:r w:rsidRPr="005438B7">
        <w:t xml:space="preserve"> </w:t>
      </w:r>
      <w:r>
        <w:t>f</w:t>
      </w:r>
      <w:r w:rsidRPr="005438B7">
        <w:t>ans for unique design points</w:t>
      </w:r>
      <w:r>
        <w:t>.</w:t>
      </w:r>
    </w:p>
    <w:p w14:paraId="32014649" w14:textId="77777777" w:rsidR="005438B7" w:rsidRPr="005438B7" w:rsidRDefault="005438B7" w:rsidP="005438B7"/>
    <w:p w14:paraId="7AC690CE" w14:textId="5F92C7F8" w:rsidR="004B7F25" w:rsidRDefault="004B7F25" w:rsidP="005438B7">
      <w:r>
        <w:t xml:space="preserve">In addition to the current </w:t>
      </w:r>
      <w:r w:rsidR="00E802B2">
        <w:t xml:space="preserve">ventilation </w:t>
      </w:r>
      <w:r>
        <w:t xml:space="preserve">fan design, GRC could </w:t>
      </w:r>
      <w:r w:rsidR="00E802B2">
        <w:t xml:space="preserve">also </w:t>
      </w:r>
      <w:r>
        <w:t>leverage its quiet aircraft technology in the turbomachinery area to design quiet, efficient high pressure-rise c</w:t>
      </w:r>
      <w:r w:rsidR="005438B7" w:rsidRPr="005438B7">
        <w:t>entrifugal</w:t>
      </w:r>
      <w:r>
        <w:t xml:space="preserve"> or m</w:t>
      </w:r>
      <w:r w:rsidR="005438B7" w:rsidRPr="005438B7">
        <w:t xml:space="preserve">ixed </w:t>
      </w:r>
      <w:r>
        <w:t>f</w:t>
      </w:r>
      <w:r w:rsidR="005438B7" w:rsidRPr="005438B7">
        <w:t>low blower</w:t>
      </w:r>
      <w:r>
        <w:t>s f</w:t>
      </w:r>
      <w:r w:rsidR="005438B7" w:rsidRPr="005438B7">
        <w:t xml:space="preserve">or use </w:t>
      </w:r>
      <w:r>
        <w:t>in</w:t>
      </w:r>
      <w:r w:rsidR="005438B7" w:rsidRPr="005438B7">
        <w:t xml:space="preserve"> </w:t>
      </w:r>
      <w:r w:rsidRPr="005438B7">
        <w:t>toilet</w:t>
      </w:r>
      <w:r w:rsidR="00E802B2">
        <w:t>s/</w:t>
      </w:r>
      <w:r w:rsidRPr="005438B7">
        <w:t>waste collection systems</w:t>
      </w:r>
      <w:r>
        <w:t>, CO2 and trace contaminant</w:t>
      </w:r>
      <w:r w:rsidRPr="005438B7">
        <w:t xml:space="preserve"> </w:t>
      </w:r>
      <w:r w:rsidR="005438B7" w:rsidRPr="005438B7">
        <w:t>removal systems</w:t>
      </w:r>
      <w:r>
        <w:t>, or for use in suit loops to provide life support</w:t>
      </w:r>
      <w:r w:rsidR="00E802B2">
        <w:t xml:space="preserve"> air</w:t>
      </w:r>
      <w:r>
        <w:t xml:space="preserve"> to spacesuits through an umbilical.  </w:t>
      </w:r>
      <w:r w:rsidR="005438B7" w:rsidRPr="005438B7">
        <w:t>These</w:t>
      </w:r>
      <w:r>
        <w:t xml:space="preserve"> all </w:t>
      </w:r>
      <w:r w:rsidRPr="005438B7">
        <w:t>currently have significant acoustic challenges</w:t>
      </w:r>
      <w:r>
        <w:t xml:space="preserve"> and require </w:t>
      </w:r>
      <w:r w:rsidR="00E802B2">
        <w:t xml:space="preserve">a </w:t>
      </w:r>
      <w:r>
        <w:t xml:space="preserve">significantly high pressure rise, i.e. </w:t>
      </w:r>
      <w:r w:rsidR="00E802B2">
        <w:t>up to approximately three times the largest pressure-rise shown in</w:t>
      </w:r>
      <w:r>
        <w:t xml:space="preserve"> Figure 5.</w:t>
      </w:r>
    </w:p>
    <w:p w14:paraId="7E38C567" w14:textId="6297F609" w:rsidR="005438B7" w:rsidRPr="005438B7" w:rsidRDefault="005438B7" w:rsidP="005438B7">
      <w:r w:rsidRPr="005438B7">
        <w:t xml:space="preserve"> </w:t>
      </w:r>
    </w:p>
    <w:p w14:paraId="4294719F" w14:textId="7A6E0E2F" w:rsidR="00A54578" w:rsidRDefault="004B7F25" w:rsidP="00A54578">
      <w:r>
        <w:t xml:space="preserve">Finally, it would also be advantageous </w:t>
      </w:r>
      <w:r w:rsidR="005438B7" w:rsidRPr="005438B7">
        <w:t xml:space="preserve">to </w:t>
      </w:r>
      <w:r>
        <w:t xml:space="preserve">perform aerodynamic testing of the </w:t>
      </w:r>
      <w:proofErr w:type="spellStart"/>
      <w:r>
        <w:t>Spacefan</w:t>
      </w:r>
      <w:proofErr w:type="spellEnd"/>
      <w:r>
        <w:t xml:space="preserve">, or derivatives, </w:t>
      </w:r>
      <w:r w:rsidR="005438B7" w:rsidRPr="005438B7">
        <w:t xml:space="preserve">at reduced atmospheric pressure, </w:t>
      </w:r>
      <w:r>
        <w:t>e.g. 8-10 psi. This information would be used to inform developers</w:t>
      </w:r>
      <w:r w:rsidR="00E802B2">
        <w:t xml:space="preserve"> of</w:t>
      </w:r>
      <w:r>
        <w:t xml:space="preserve"> fan performance</w:t>
      </w:r>
      <w:r w:rsidR="00E802B2">
        <w:t xml:space="preserve"> differences</w:t>
      </w:r>
      <w:r>
        <w:t xml:space="preserve"> and acoustic changes in the </w:t>
      </w:r>
      <w:r w:rsidR="00E802B2">
        <w:t>e</w:t>
      </w:r>
      <w:r w:rsidR="005438B7" w:rsidRPr="005438B7">
        <w:t xml:space="preserve">xploration </w:t>
      </w:r>
      <w:r w:rsidR="00E802B2">
        <w:t>a</w:t>
      </w:r>
      <w:r w:rsidR="005438B7" w:rsidRPr="005438B7">
        <w:t>tmospheres</w:t>
      </w:r>
      <w:r>
        <w:t xml:space="preserve"> of Gateway</w:t>
      </w:r>
      <w:r w:rsidR="000629B4">
        <w:t>, as well as lunar and Martian habitats</w:t>
      </w:r>
      <w:r w:rsidR="00A54578">
        <w:t>.</w:t>
      </w:r>
    </w:p>
    <w:p w14:paraId="0401449C" w14:textId="77777777" w:rsidR="003158BF" w:rsidRDefault="003158BF" w:rsidP="00E84EFE">
      <w:pPr>
        <w:spacing w:line="240" w:lineRule="auto"/>
        <w:ind w:left="220" w:firstLine="360"/>
      </w:pPr>
    </w:p>
    <w:p w14:paraId="20D9DCAE" w14:textId="42A97EDE" w:rsidR="003158BF" w:rsidRDefault="008758C6" w:rsidP="007675CE">
      <w:pPr>
        <w:pStyle w:val="Heading1"/>
      </w:pPr>
      <w:r>
        <w:t>4</w:t>
      </w:r>
      <w:r w:rsidR="003E40EF">
        <w:t>.    CONCLUSIONS</w:t>
      </w:r>
    </w:p>
    <w:p w14:paraId="003ED2BD" w14:textId="7BE88F48" w:rsidR="00E606DB" w:rsidRDefault="00E606DB" w:rsidP="00E84EFE">
      <w:r>
        <w:t xml:space="preserve">In order to address </w:t>
      </w:r>
      <w:r w:rsidR="00C73328">
        <w:t>the need to meet acoustic requirements in spaceflight vehicles and habitats</w:t>
      </w:r>
      <w:r>
        <w:t xml:space="preserve">, NASA is performing </w:t>
      </w:r>
      <w:r w:rsidR="00C73328">
        <w:t xml:space="preserve">ventilation fan </w:t>
      </w:r>
      <w:r>
        <w:t>research</w:t>
      </w:r>
      <w:r w:rsidR="00C73328">
        <w:t xml:space="preserve">, </w:t>
      </w:r>
      <w:r>
        <w:t>utiliz</w:t>
      </w:r>
      <w:r w:rsidR="00C73328">
        <w:t>ing</w:t>
      </w:r>
      <w:r>
        <w:t xml:space="preserve"> technology developed for aircraft engines</w:t>
      </w:r>
      <w:r w:rsidR="003314CC">
        <w:t>,</w:t>
      </w:r>
      <w:r>
        <w:t xml:space="preserve"> to design much smaller spaceflight ventilation fans that are efficient and quiet</w:t>
      </w:r>
      <w:r w:rsidR="003314CC">
        <w:t>, and to</w:t>
      </w:r>
      <w:r w:rsidR="003314CC" w:rsidRPr="003314CC">
        <w:t xml:space="preserve"> </w:t>
      </w:r>
      <w:r w:rsidR="003314CC" w:rsidRPr="002D3499">
        <w:t>confirm the applicability of GRC aircraft fan computational design codes to fans appropriate for spacecraft cabin ventilation systems</w:t>
      </w:r>
      <w:r>
        <w:t>.  Benefits from this research will include reductions in mass, volume, and system pressure</w:t>
      </w:r>
      <w:r w:rsidR="00C73328">
        <w:t>-</w:t>
      </w:r>
      <w:r>
        <w:t>loss because the quieter fans will need fewer and less restrictive mufflers and noise controls.  In addition, these fans will require less electrical power because the fan</w:t>
      </w:r>
      <w:r w:rsidR="002A5982">
        <w:t>s will be more efficient</w:t>
      </w:r>
      <w:r w:rsidR="00C73328">
        <w:t>, producing more flow for the same power input,</w:t>
      </w:r>
      <w:r w:rsidR="002A5982">
        <w:t xml:space="preserve"> and </w:t>
      </w:r>
      <w:r w:rsidR="00C73328">
        <w:t>as mentioned above, the</w:t>
      </w:r>
      <w:r w:rsidR="002A5982">
        <w:t xml:space="preserve"> system pressure losses </w:t>
      </w:r>
      <w:r w:rsidR="00C73328">
        <w:t>will be</w:t>
      </w:r>
      <w:r w:rsidR="002A5982">
        <w:t xml:space="preserve"> less.</w:t>
      </w:r>
    </w:p>
    <w:p w14:paraId="3EB834C0" w14:textId="3BCC6E4F" w:rsidR="002A5982" w:rsidRDefault="002A5982" w:rsidP="00E84EFE"/>
    <w:p w14:paraId="7845FB75" w14:textId="7D530556" w:rsidR="002A5982" w:rsidRDefault="002A5982" w:rsidP="00E84EFE">
      <w:r>
        <w:t xml:space="preserve">NASA GRC has designed, built, and tested the quiet </w:t>
      </w:r>
      <w:proofErr w:type="spellStart"/>
      <w:r>
        <w:t>Spacefan</w:t>
      </w:r>
      <w:proofErr w:type="spellEnd"/>
      <w:r>
        <w:t xml:space="preserve"> and </w:t>
      </w:r>
      <w:r w:rsidR="00C73328">
        <w:t>has</w:t>
      </w:r>
      <w:r>
        <w:t xml:space="preserve"> reported promising results, meeting aerodynamic and acoustic design goals.  Sound power level testing at JSC </w:t>
      </w:r>
      <w:r w:rsidR="00C73328">
        <w:t>has</w:t>
      </w:r>
      <w:r>
        <w:t xml:space="preserve"> be</w:t>
      </w:r>
      <w:r w:rsidR="00C73328">
        <w:t>en</w:t>
      </w:r>
      <w:r>
        <w:t xml:space="preserve"> performed and</w:t>
      </w:r>
      <w:r w:rsidR="00C73328">
        <w:t xml:space="preserve"> will be</w:t>
      </w:r>
      <w:r>
        <w:t xml:space="preserve"> compared to sound power levels of other spaceflight ventilation fans. Future work </w:t>
      </w:r>
      <w:r w:rsidR="00C73328">
        <w:t xml:space="preserve">is </w:t>
      </w:r>
      <w:r>
        <w:t>also</w:t>
      </w:r>
      <w:r w:rsidR="00C73328">
        <w:t xml:space="preserve"> hoped to include research on installation effects, integrated duct-liners, and improvements to </w:t>
      </w:r>
      <w:r w:rsidR="003314CC">
        <w:t>additive manufacturing</w:t>
      </w:r>
      <w:r w:rsidR="00C73328">
        <w:t xml:space="preserve"> methods for the </w:t>
      </w:r>
      <w:proofErr w:type="spellStart"/>
      <w:r w:rsidR="00C73328">
        <w:t>Spacefan</w:t>
      </w:r>
      <w:r w:rsidR="003314CC">
        <w:t>’s</w:t>
      </w:r>
      <w:proofErr w:type="spellEnd"/>
      <w:r w:rsidR="003314CC">
        <w:t xml:space="preserve"> design and construction</w:t>
      </w:r>
      <w:r w:rsidR="00C73328">
        <w:t xml:space="preserve">.  Future work also hopes to include expanding the operating regime of the </w:t>
      </w:r>
      <w:proofErr w:type="spellStart"/>
      <w:r w:rsidR="00C73328">
        <w:t>Spacefan</w:t>
      </w:r>
      <w:proofErr w:type="spellEnd"/>
      <w:r w:rsidR="00C73328">
        <w:t xml:space="preserve"> using scaling, or designing new quiet, effic</w:t>
      </w:r>
      <w:r w:rsidR="00CE2973">
        <w:t xml:space="preserve">ient </w:t>
      </w:r>
      <w:r w:rsidR="00C73328">
        <w:t>fans for unique design points, including high pressure-rise blowers.  Finally, testing of one or more of these fans</w:t>
      </w:r>
      <w:r w:rsidR="003314CC">
        <w:t xml:space="preserve"> as a technical demonstration on-orbit in the ISS, or</w:t>
      </w:r>
      <w:r w:rsidR="00C73328">
        <w:t xml:space="preserve"> at reduced </w:t>
      </w:r>
      <w:r w:rsidR="00CE2973">
        <w:t xml:space="preserve">air </w:t>
      </w:r>
      <w:r w:rsidR="00C73328">
        <w:t>pressures and densities</w:t>
      </w:r>
      <w:r w:rsidR="003314CC">
        <w:t>,</w:t>
      </w:r>
      <w:r w:rsidR="00C73328">
        <w:t xml:space="preserve"> </w:t>
      </w:r>
      <w:r w:rsidR="00CE2973">
        <w:t>are aimed to enhance</w:t>
      </w:r>
      <w:r w:rsidR="00C73328">
        <w:t xml:space="preserve"> ventilation design </w:t>
      </w:r>
      <w:r w:rsidR="00CE2973">
        <w:t>of</w:t>
      </w:r>
      <w:r w:rsidR="00C73328">
        <w:t xml:space="preserve"> future space  exploration vehicles and habitats.     </w:t>
      </w:r>
      <w:r>
        <w:t xml:space="preserve"> </w:t>
      </w:r>
    </w:p>
    <w:p w14:paraId="01B02961" w14:textId="77777777" w:rsidR="003158BF" w:rsidRDefault="003158BF" w:rsidP="00E84EFE">
      <w:pPr>
        <w:spacing w:line="240" w:lineRule="auto"/>
      </w:pPr>
    </w:p>
    <w:p w14:paraId="5E301BA5" w14:textId="201DD57A" w:rsidR="003158BF" w:rsidRDefault="003E40EF" w:rsidP="007675CE">
      <w:pPr>
        <w:pStyle w:val="Heading1"/>
      </w:pPr>
      <w:r>
        <w:t>ACKNOWLEDGEMENTS</w:t>
      </w:r>
    </w:p>
    <w:p w14:paraId="76A165A1" w14:textId="5EAD3F33" w:rsidR="003158BF" w:rsidRDefault="003E40EF" w:rsidP="00E84EFE">
      <w:r>
        <w:t xml:space="preserve">We gratefully acknowledge the </w:t>
      </w:r>
      <w:r w:rsidR="008758C6">
        <w:t>support from the E</w:t>
      </w:r>
      <w:r w:rsidR="00123B98">
        <w:t xml:space="preserve">nvironmental </w:t>
      </w:r>
      <w:r w:rsidR="008758C6">
        <w:t>C</w:t>
      </w:r>
      <w:r w:rsidR="00123B98">
        <w:t>ontrol and Life Support/Crew Health and Performance</w:t>
      </w:r>
      <w:r w:rsidR="008758C6">
        <w:t xml:space="preserve"> System Capabilities Leadership Team and </w:t>
      </w:r>
      <w:r w:rsidR="003314CC">
        <w:t xml:space="preserve">the </w:t>
      </w:r>
      <w:r w:rsidR="008758C6">
        <w:t>ISS Program for sponsoring</w:t>
      </w:r>
      <w:r w:rsidR="00635E4A">
        <w:t xml:space="preserve"> and supporting</w:t>
      </w:r>
      <w:r w:rsidR="008758C6">
        <w:t xml:space="preserve"> this work</w:t>
      </w:r>
      <w:r>
        <w:t>.</w:t>
      </w:r>
    </w:p>
    <w:p w14:paraId="28C4B66B" w14:textId="77777777" w:rsidR="003158BF" w:rsidRDefault="003158BF" w:rsidP="00E84EFE">
      <w:pPr>
        <w:spacing w:line="240" w:lineRule="auto"/>
      </w:pPr>
    </w:p>
    <w:p w14:paraId="1D96F420" w14:textId="1AFE12A4" w:rsidR="003158BF" w:rsidRDefault="003E40EF" w:rsidP="007675CE">
      <w:pPr>
        <w:pStyle w:val="Heading1"/>
      </w:pPr>
      <w:r>
        <w:t xml:space="preserve">REFERENCES </w:t>
      </w:r>
    </w:p>
    <w:p w14:paraId="6004DD7C" w14:textId="0C0A1E04" w:rsidR="009A428B" w:rsidRDefault="00CA5020" w:rsidP="00CA5020">
      <w:pPr>
        <w:pStyle w:val="ListParagraph"/>
        <w:numPr>
          <w:ilvl w:val="0"/>
          <w:numId w:val="5"/>
        </w:numPr>
      </w:pPr>
      <w:r>
        <w:t xml:space="preserve">Goodman, J. R., and </w:t>
      </w:r>
      <w:proofErr w:type="spellStart"/>
      <w:r>
        <w:t>Grosveld</w:t>
      </w:r>
      <w:proofErr w:type="spellEnd"/>
      <w:r>
        <w:t xml:space="preserve">, F. W., </w:t>
      </w:r>
      <w:r w:rsidR="00C80A27">
        <w:t>“</w:t>
      </w:r>
      <w:r>
        <w:t>Acoustics and Noise Control in Space Crew Compartments</w:t>
      </w:r>
      <w:r w:rsidR="00C80A27">
        <w:t>,”</w:t>
      </w:r>
      <w:r>
        <w:t xml:space="preserve"> </w:t>
      </w:r>
      <w:r w:rsidRPr="00CA5020">
        <w:t>NASA/SP—2015–624</w:t>
      </w:r>
      <w:r>
        <w:t>. 2015</w:t>
      </w:r>
      <w:r>
        <w:t>.</w:t>
      </w:r>
    </w:p>
    <w:p w14:paraId="7EA44FFC" w14:textId="4C17FD8B" w:rsidR="00A8122D" w:rsidRDefault="00A8122D" w:rsidP="00A8122D">
      <w:pPr>
        <w:pStyle w:val="Reference"/>
        <w:numPr>
          <w:ilvl w:val="0"/>
          <w:numId w:val="5"/>
        </w:numPr>
        <w:rPr>
          <w:sz w:val="24"/>
          <w:szCs w:val="24"/>
        </w:rPr>
      </w:pPr>
      <w:r>
        <w:rPr>
          <w:sz w:val="24"/>
          <w:szCs w:val="24"/>
        </w:rPr>
        <w:t>Allen, C. S.</w:t>
      </w:r>
      <w:r w:rsidRPr="009D0740">
        <w:rPr>
          <w:sz w:val="24"/>
          <w:szCs w:val="24"/>
        </w:rPr>
        <w:t xml:space="preserve"> </w:t>
      </w:r>
      <w:r w:rsidRPr="009E03B4">
        <w:rPr>
          <w:sz w:val="24"/>
          <w:szCs w:val="24"/>
        </w:rPr>
        <w:t xml:space="preserve">and Denham, S. A, “International Space Station Acoustics – A Status Report,” </w:t>
      </w:r>
      <w:r w:rsidRPr="00C80A27">
        <w:rPr>
          <w:i/>
          <w:iCs/>
          <w:sz w:val="24"/>
          <w:szCs w:val="24"/>
        </w:rPr>
        <w:t>Proceedings of International Conference on Environmental Systems</w:t>
      </w:r>
      <w:r w:rsidRPr="009E03B4">
        <w:rPr>
          <w:sz w:val="24"/>
          <w:szCs w:val="24"/>
        </w:rPr>
        <w:t>. American Institute of Aeronautics and Astronautics, AIAA 2011-5128, 2011.</w:t>
      </w:r>
    </w:p>
    <w:p w14:paraId="19337882" w14:textId="01FA44F6" w:rsidR="009A428B" w:rsidRPr="003F75C0" w:rsidRDefault="00A8122D" w:rsidP="003F75C0">
      <w:pPr>
        <w:pStyle w:val="Reference"/>
        <w:numPr>
          <w:ilvl w:val="0"/>
          <w:numId w:val="5"/>
        </w:numPr>
        <w:rPr>
          <w:sz w:val="24"/>
          <w:szCs w:val="24"/>
        </w:rPr>
      </w:pPr>
      <w:r>
        <w:rPr>
          <w:sz w:val="24"/>
          <w:szCs w:val="24"/>
        </w:rPr>
        <w:lastRenderedPageBreak/>
        <w:t>Allen, C. S.</w:t>
      </w:r>
      <w:r w:rsidRPr="009E03B4">
        <w:rPr>
          <w:sz w:val="24"/>
          <w:szCs w:val="24"/>
        </w:rPr>
        <w:t xml:space="preserve">, “International Space Station Acoustics – A Status Report,” </w:t>
      </w:r>
      <w:r w:rsidRPr="00C80A27">
        <w:rPr>
          <w:i/>
          <w:iCs/>
          <w:sz w:val="24"/>
          <w:szCs w:val="24"/>
        </w:rPr>
        <w:t>Proceedings of the 45th International Conference on Environmental Systems</w:t>
      </w:r>
      <w:r w:rsidRPr="009E03B4">
        <w:rPr>
          <w:sz w:val="24"/>
          <w:szCs w:val="24"/>
        </w:rPr>
        <w:t xml:space="preserve">, </w:t>
      </w:r>
      <w:r w:rsidRPr="00B41E50">
        <w:rPr>
          <w:sz w:val="24"/>
          <w:szCs w:val="24"/>
        </w:rPr>
        <w:t>ICES-2015-286</w:t>
      </w:r>
      <w:r>
        <w:rPr>
          <w:sz w:val="24"/>
          <w:szCs w:val="24"/>
        </w:rPr>
        <w:t>, 2015</w:t>
      </w:r>
      <w:r w:rsidRPr="009E03B4">
        <w:rPr>
          <w:sz w:val="24"/>
          <w:szCs w:val="24"/>
        </w:rPr>
        <w:t>.</w:t>
      </w:r>
    </w:p>
    <w:p w14:paraId="57820508" w14:textId="3ABA1746" w:rsidR="00551AD9" w:rsidRDefault="00593C11" w:rsidP="00551AD9">
      <w:pPr>
        <w:pStyle w:val="ListParagraph"/>
        <w:numPr>
          <w:ilvl w:val="0"/>
          <w:numId w:val="5"/>
        </w:numPr>
      </w:pPr>
      <w:r>
        <w:t>Dandaroy, I., Chu, S. R., Dornak, J., and Allen, C. S., “</w:t>
      </w:r>
      <w:r w:rsidR="00551AD9">
        <w:t>Development of Acoustic Mufflers for Cabin Noise Reduction in Orion</w:t>
      </w:r>
      <w:r>
        <w:t xml:space="preserve">,” </w:t>
      </w:r>
      <w:r w:rsidRPr="00D94C66">
        <w:rPr>
          <w:i/>
          <w:iCs/>
        </w:rPr>
        <w:t xml:space="preserve">Proceedings of </w:t>
      </w:r>
      <w:r w:rsidR="00DE4385">
        <w:rPr>
          <w:i/>
          <w:iCs/>
        </w:rPr>
        <w:t xml:space="preserve">Inter-Noise </w:t>
      </w:r>
      <w:r>
        <w:rPr>
          <w:i/>
          <w:iCs/>
        </w:rPr>
        <w:t xml:space="preserve">2021, </w:t>
      </w:r>
      <w:r w:rsidRPr="00593C11">
        <w:t>Washington, D.C., USA, 1-5 August 2021</w:t>
      </w:r>
      <w:r w:rsidR="00DE4385">
        <w:t>.</w:t>
      </w:r>
    </w:p>
    <w:p w14:paraId="22893C68" w14:textId="44D94D54" w:rsidR="00A60E1B" w:rsidRDefault="00DE4385" w:rsidP="00DE4385">
      <w:pPr>
        <w:pStyle w:val="ListParagraph"/>
        <w:numPr>
          <w:ilvl w:val="0"/>
          <w:numId w:val="5"/>
        </w:numPr>
      </w:pPr>
      <w:r>
        <w:t>Link, D. W., and Balistreri, S., “</w:t>
      </w:r>
      <w:r>
        <w:t>Inter-Module Ventilation Changes to the International Space Station Vehicle to support integration of the International Docking Adapter and Commercial Crew Vehicles</w:t>
      </w:r>
      <w:r>
        <w:t xml:space="preserve">,” </w:t>
      </w:r>
      <w:r w:rsidRPr="00DE4385">
        <w:rPr>
          <w:i/>
          <w:iCs/>
        </w:rPr>
        <w:t xml:space="preserve">Proceedings of </w:t>
      </w:r>
      <w:r w:rsidRPr="00DE4385">
        <w:rPr>
          <w:i/>
          <w:iCs/>
        </w:rPr>
        <w:t>45th International Conference on Environmental Systems</w:t>
      </w:r>
      <w:r>
        <w:t xml:space="preserve">, </w:t>
      </w:r>
      <w:r w:rsidRPr="00DE4385">
        <w:t>Bellevue, Washington</w:t>
      </w:r>
      <w:r>
        <w:t>,</w:t>
      </w:r>
      <w:r w:rsidRPr="00DE4385">
        <w:t>12-16 July 2015</w:t>
      </w:r>
      <w:r>
        <w:t>.</w:t>
      </w:r>
    </w:p>
    <w:p w14:paraId="46B8141D" w14:textId="6B406B50" w:rsidR="007A638D" w:rsidRDefault="005360E6" w:rsidP="00E84EFE">
      <w:pPr>
        <w:pStyle w:val="ListParagraph"/>
        <w:numPr>
          <w:ilvl w:val="0"/>
          <w:numId w:val="5"/>
        </w:numPr>
      </w:pPr>
      <w:r w:rsidRPr="00F6215B">
        <w:t>Koch, L. D, “Quiet, Efficient Fans for Spaceflight: An Overview of NASA’s Technology Development Plan,</w:t>
      </w:r>
      <w:r w:rsidR="00274909">
        <w:t xml:space="preserve"> </w:t>
      </w:r>
      <w:r w:rsidRPr="00F6215B">
        <w:t>“NASA/TM-2010-216238, 2010.</w:t>
      </w:r>
    </w:p>
    <w:p w14:paraId="5117B6E8" w14:textId="3AE2214A" w:rsidR="001E3F0D" w:rsidRDefault="005360E6" w:rsidP="000948E7">
      <w:pPr>
        <w:pStyle w:val="ListParagraph"/>
        <w:numPr>
          <w:ilvl w:val="0"/>
          <w:numId w:val="5"/>
        </w:numPr>
      </w:pPr>
      <w:proofErr w:type="spellStart"/>
      <w:r w:rsidRPr="00F6215B">
        <w:t>Tweedt</w:t>
      </w:r>
      <w:proofErr w:type="spellEnd"/>
      <w:r w:rsidRPr="00F6215B">
        <w:t>, D. L., "Aerodynamic Design and Computational Analysis of a Spaceflight Vehicle</w:t>
      </w:r>
      <w:r w:rsidR="000948E7">
        <w:t xml:space="preserve"> </w:t>
      </w:r>
      <w:r w:rsidRPr="00F6215B">
        <w:t>Cabin Ventilation Fan," NASA TM-2010-216329, 2010.</w:t>
      </w:r>
    </w:p>
    <w:p w14:paraId="2A17B0A3" w14:textId="7D861CB1" w:rsidR="001E3F0D" w:rsidRDefault="005360E6" w:rsidP="00E84EFE">
      <w:pPr>
        <w:pStyle w:val="ListParagraph"/>
        <w:numPr>
          <w:ilvl w:val="0"/>
          <w:numId w:val="5"/>
        </w:numPr>
      </w:pPr>
      <w:proofErr w:type="spellStart"/>
      <w:r w:rsidRPr="00F6215B">
        <w:t>Tweedt</w:t>
      </w:r>
      <w:proofErr w:type="spellEnd"/>
      <w:r w:rsidRPr="00F6215B">
        <w:t>, D. L., "Computational Aerodynamic Simulations of a Spacecraft Cabin Ventilation Fan Design," NASA TM-2010-216330, 2010.</w:t>
      </w:r>
    </w:p>
    <w:p w14:paraId="776C9496" w14:textId="60762035" w:rsidR="006A1F20" w:rsidRDefault="00AA0ABD" w:rsidP="00E84EFE">
      <w:pPr>
        <w:pStyle w:val="ListParagraph"/>
        <w:numPr>
          <w:ilvl w:val="0"/>
          <w:numId w:val="5"/>
        </w:numPr>
      </w:pPr>
      <w:r w:rsidRPr="00F6215B">
        <w:t xml:space="preserve">Koch, L. D. et. al., “Acoustic measurements of an uninstalled spacecraft cabin ventilation fan prototype, “ Proceedings of </w:t>
      </w:r>
      <w:proofErr w:type="spellStart"/>
      <w:r w:rsidRPr="00F6215B">
        <w:t>InterNOISE</w:t>
      </w:r>
      <w:proofErr w:type="spellEnd"/>
      <w:r w:rsidRPr="00F6215B">
        <w:t xml:space="preserve"> 2012, 2012.</w:t>
      </w:r>
    </w:p>
    <w:p w14:paraId="1F41EB42" w14:textId="6F46AE38" w:rsidR="003158BF" w:rsidRDefault="001D2FC8" w:rsidP="00C80A27">
      <w:pPr>
        <w:pStyle w:val="ListParagraph"/>
        <w:numPr>
          <w:ilvl w:val="0"/>
          <w:numId w:val="5"/>
        </w:numPr>
      </w:pPr>
      <w:r>
        <w:t xml:space="preserve">Stephens, D. S., Goodman, J. M., Buehrle, R. A., Mirhashemi, A., Koch, L. D., Shook, T. D., Sutliff, D. L., Allen C. S., and Matty, C. M., </w:t>
      </w:r>
      <w:r w:rsidR="00C80A27">
        <w:t>“</w:t>
      </w:r>
      <w:r>
        <w:t>Highlights of Aeroacoustic Tests of a Metal Spacecraft Cabin Ventilation Fan Prototype</w:t>
      </w:r>
      <w:r>
        <w:t>,</w:t>
      </w:r>
      <w:r w:rsidR="00C80A27">
        <w:t>”</w:t>
      </w:r>
      <w:r>
        <w:t xml:space="preserve"> </w:t>
      </w:r>
      <w:r w:rsidRPr="001D2FC8">
        <w:t>NASA/TM-20220012622</w:t>
      </w:r>
      <w:r>
        <w:t>, 2022.</w:t>
      </w:r>
    </w:p>
    <w:sectPr w:rsidR="003158BF" w:rsidSect="00150555">
      <w:headerReference w:type="default" r:id="rId16"/>
      <w:footerReference w:type="default" r:id="rId17"/>
      <w:pgSz w:w="12240" w:h="15840"/>
      <w:pgMar w:top="1152" w:right="1152" w:bottom="1152" w:left="1152" w:header="720"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A31A4A" w14:textId="77777777" w:rsidR="00B57A37" w:rsidRDefault="00B57A37">
      <w:pPr>
        <w:spacing w:line="240" w:lineRule="auto"/>
      </w:pPr>
      <w:r>
        <w:separator/>
      </w:r>
    </w:p>
  </w:endnote>
  <w:endnote w:type="continuationSeparator" w:id="0">
    <w:p w14:paraId="34681A97" w14:textId="77777777" w:rsidR="00B57A37" w:rsidRDefault="00B57A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auto"/>
    <w:pitch w:val="variable"/>
    <w:sig w:usb0="F7FFAFFF" w:usb1="E9DFFFFF" w:usb2="0000003F" w:usb3="00000000" w:csb0="003F01FF" w:csb1="00000000"/>
  </w:font>
  <w:font w:name="Helvetica Neue">
    <w:altName w:val="Sylfaen"/>
    <w:charset w:val="00"/>
    <w:family w:val="auto"/>
    <w:pitch w:val="variable"/>
    <w:sig w:usb0="E50002FF" w:usb1="500079DB" w:usb2="00000010" w:usb3="00000000" w:csb0="00000001" w:csb1="00000000"/>
  </w:font>
  <w:font w:name="Lucida Grande">
    <w:altName w:val="Segoe UI"/>
    <w:charset w:val="00"/>
    <w:family w:val="auto"/>
    <w:pitch w:val="variable"/>
    <w:sig w:usb0="E1000AEF" w:usb1="5000A1FF" w:usb2="00000000" w:usb3="00000000" w:csb0="000001BF" w:csb1="00000000"/>
  </w:font>
  <w:font w:name="Arial Narrow">
    <w:panose1 w:val="020B05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8811D" w14:textId="77777777" w:rsidR="00082772" w:rsidRDefault="00082772">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098901" w14:textId="77777777" w:rsidR="00B57A37" w:rsidRDefault="00B57A37">
      <w:r>
        <w:separator/>
      </w:r>
    </w:p>
  </w:footnote>
  <w:footnote w:type="continuationSeparator" w:id="0">
    <w:p w14:paraId="7617EC74" w14:textId="77777777" w:rsidR="00B57A37" w:rsidRDefault="00B57A37">
      <w:r>
        <w:continuationSeparator/>
      </w:r>
    </w:p>
  </w:footnote>
  <w:footnote w:type="continuationNotice" w:id="1">
    <w:p w14:paraId="6DDF05D9" w14:textId="77777777" w:rsidR="00B57A37" w:rsidRDefault="00B57A37"/>
  </w:footnote>
  <w:footnote w:id="2">
    <w:p w14:paraId="2C7302E6" w14:textId="7AC200B3" w:rsidR="00082772" w:rsidRDefault="00082772">
      <w:pPr>
        <w:spacing w:line="40" w:lineRule="atLeast"/>
      </w:pPr>
      <w:r>
        <w:rPr>
          <w:vertAlign w:val="superscript"/>
        </w:rPr>
        <w:footnoteRef/>
      </w:r>
      <w:r>
        <w:rPr>
          <w:sz w:val="20"/>
          <w:szCs w:val="20"/>
          <w:lang w:val="es-ES_tradnl"/>
        </w:rPr>
        <w:t xml:space="preserve"> </w:t>
      </w:r>
      <w:r w:rsidR="00716084" w:rsidRPr="00716084">
        <w:rPr>
          <w:sz w:val="20"/>
          <w:szCs w:val="20"/>
          <w:lang w:val="es-ES_tradnl"/>
        </w:rPr>
        <w:t xml:space="preserve">Senior </w:t>
      </w:r>
      <w:proofErr w:type="spellStart"/>
      <w:r w:rsidR="00716084" w:rsidRPr="00716084">
        <w:rPr>
          <w:sz w:val="20"/>
          <w:szCs w:val="20"/>
          <w:lang w:val="es-ES_tradnl"/>
        </w:rPr>
        <w:t>Member</w:t>
      </w:r>
      <w:proofErr w:type="spellEnd"/>
      <w:r w:rsidR="00716084" w:rsidRPr="00716084">
        <w:rPr>
          <w:sz w:val="20"/>
          <w:szCs w:val="20"/>
          <w:lang w:val="es-ES_tradnl"/>
        </w:rPr>
        <w:t xml:space="preserve">, AIAA; Manager, JSC </w:t>
      </w:r>
      <w:proofErr w:type="spellStart"/>
      <w:r w:rsidR="00716084" w:rsidRPr="00716084">
        <w:rPr>
          <w:sz w:val="20"/>
          <w:szCs w:val="20"/>
          <w:lang w:val="es-ES_tradnl"/>
        </w:rPr>
        <w:t>Acoustics</w:t>
      </w:r>
      <w:proofErr w:type="spellEnd"/>
      <w:r w:rsidR="00716084" w:rsidRPr="00716084">
        <w:rPr>
          <w:sz w:val="20"/>
          <w:szCs w:val="20"/>
          <w:lang w:val="es-ES_tradnl"/>
        </w:rPr>
        <w:t xml:space="preserve"> Office, ISS and </w:t>
      </w:r>
      <w:proofErr w:type="spellStart"/>
      <w:r w:rsidR="00716084" w:rsidRPr="00716084">
        <w:rPr>
          <w:sz w:val="20"/>
          <w:szCs w:val="20"/>
          <w:lang w:val="es-ES_tradnl"/>
        </w:rPr>
        <w:t>Orion</w:t>
      </w:r>
      <w:proofErr w:type="spellEnd"/>
      <w:r w:rsidR="00716084" w:rsidRPr="00716084">
        <w:rPr>
          <w:sz w:val="20"/>
          <w:szCs w:val="20"/>
          <w:lang w:val="es-ES_tradnl"/>
        </w:rPr>
        <w:t xml:space="preserve"> </w:t>
      </w:r>
      <w:proofErr w:type="spellStart"/>
      <w:r w:rsidR="00716084" w:rsidRPr="00716084">
        <w:rPr>
          <w:sz w:val="20"/>
          <w:szCs w:val="20"/>
          <w:lang w:val="es-ES_tradnl"/>
        </w:rPr>
        <w:t>Acoustics</w:t>
      </w:r>
      <w:proofErr w:type="spellEnd"/>
      <w:r w:rsidR="00716084" w:rsidRPr="00716084">
        <w:rPr>
          <w:sz w:val="20"/>
          <w:szCs w:val="20"/>
          <w:lang w:val="es-ES_tradnl"/>
        </w:rPr>
        <w:t xml:space="preserve"> </w:t>
      </w:r>
      <w:proofErr w:type="spellStart"/>
      <w:r w:rsidR="00716084" w:rsidRPr="00716084">
        <w:rPr>
          <w:sz w:val="20"/>
          <w:szCs w:val="20"/>
          <w:lang w:val="es-ES_tradnl"/>
        </w:rPr>
        <w:t>System</w:t>
      </w:r>
      <w:proofErr w:type="spellEnd"/>
      <w:r w:rsidR="00716084" w:rsidRPr="00716084">
        <w:rPr>
          <w:sz w:val="20"/>
          <w:szCs w:val="20"/>
          <w:lang w:val="es-ES_tradnl"/>
        </w:rPr>
        <w:t xml:space="preserve"> Manager</w:t>
      </w:r>
      <w:r w:rsidR="002072EE">
        <w:rPr>
          <w:sz w:val="20"/>
          <w:szCs w:val="20"/>
          <w:lang w:val="es-ES_tradnl"/>
        </w:rPr>
        <w:t>;</w:t>
      </w:r>
      <w:r w:rsidR="00716084" w:rsidRPr="00716084">
        <w:rPr>
          <w:sz w:val="20"/>
          <w:szCs w:val="20"/>
          <w:lang w:val="es-ES_tradnl"/>
        </w:rPr>
        <w:t xml:space="preserve"> </w:t>
      </w:r>
      <w:r w:rsidR="00716084">
        <w:rPr>
          <w:sz w:val="20"/>
          <w:szCs w:val="20"/>
          <w:lang w:val="es-ES_tradnl"/>
        </w:rPr>
        <w:t>christopher.s.allen</w:t>
      </w:r>
      <w:r>
        <w:rPr>
          <w:sz w:val="20"/>
          <w:szCs w:val="20"/>
          <w:lang w:val="es-ES_tradnl"/>
        </w:rPr>
        <w:t>@</w:t>
      </w:r>
      <w:r w:rsidR="00716084">
        <w:rPr>
          <w:sz w:val="20"/>
          <w:szCs w:val="20"/>
          <w:lang w:val="es-ES_tradnl"/>
        </w:rPr>
        <w:t>nasa.gov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85438" w14:textId="77777777" w:rsidR="00082772" w:rsidRDefault="00082772">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871A8E"/>
    <w:multiLevelType w:val="hybridMultilevel"/>
    <w:tmpl w:val="668A2706"/>
    <w:lvl w:ilvl="0" w:tplc="8E5A9C5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3E8DCCA">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26A094C">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84E6EE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14218D2">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91E4CCC">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064D38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AB85A4E">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3D8570C">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49E6389B"/>
    <w:multiLevelType w:val="hybridMultilevel"/>
    <w:tmpl w:val="B888DC5C"/>
    <w:lvl w:ilvl="0" w:tplc="6B0C4736">
      <w:start w:val="1"/>
      <w:numFmt w:val="bullet"/>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DF637EC">
      <w:start w:val="1"/>
      <w:numFmt w:val="bullet"/>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9AABA00">
      <w:start w:val="1"/>
      <w:numFmt w:val="bullet"/>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4CA16CE">
      <w:start w:val="1"/>
      <w:numFmt w:val="bullet"/>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8623BD2">
      <w:start w:val="1"/>
      <w:numFmt w:val="bullet"/>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AA40580">
      <w:start w:val="1"/>
      <w:numFmt w:val="bullet"/>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4405ABC">
      <w:start w:val="1"/>
      <w:numFmt w:val="bullet"/>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B5C759E">
      <w:start w:val="1"/>
      <w:numFmt w:val="bullet"/>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F5228F4">
      <w:start w:val="1"/>
      <w:numFmt w:val="bullet"/>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4EF41E01"/>
    <w:multiLevelType w:val="hybridMultilevel"/>
    <w:tmpl w:val="8932B58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5817286E"/>
    <w:multiLevelType w:val="hybridMultilevel"/>
    <w:tmpl w:val="668A2706"/>
    <w:lvl w:ilvl="0" w:tplc="D676FE5A">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B24D50C">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F0E905E">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66299E6">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1E608D0">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DB0800A">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0B4C0D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6D23096">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97CD0F0">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1"/>
  </w:num>
  <w:num w:numId="2">
    <w:abstractNumId w:val="1"/>
    <w:lvlOverride w:ilvl="0">
      <w:lvl w:ilvl="0" w:tplc="6B0C4736">
        <w:start w:val="1"/>
        <w:numFmt w:val="bullet"/>
        <w:lvlText w:val="•"/>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5DF637EC">
        <w:start w:val="1"/>
        <w:numFmt w:val="bullet"/>
        <w:lvlText w:val="•"/>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E9AABA00">
        <w:start w:val="1"/>
        <w:numFmt w:val="bullet"/>
        <w:lvlText w:val="•"/>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04CA16CE">
        <w:start w:val="1"/>
        <w:numFmt w:val="bullet"/>
        <w:lvlText w:val="•"/>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48623BD2">
        <w:start w:val="1"/>
        <w:numFmt w:val="bullet"/>
        <w:lvlText w:val="•"/>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3AA40580">
        <w:start w:val="1"/>
        <w:numFmt w:val="bullet"/>
        <w:lvlText w:val="•"/>
        <w:lvlJc w:val="left"/>
        <w:pPr>
          <w:ind w:left="399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64405ABC">
        <w:start w:val="1"/>
        <w:numFmt w:val="bullet"/>
        <w:lvlText w:val="•"/>
        <w:lvlJc w:val="left"/>
        <w:pPr>
          <w:ind w:left="471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4B5C759E">
        <w:start w:val="1"/>
        <w:numFmt w:val="bullet"/>
        <w:lvlText w:val="•"/>
        <w:lvlJc w:val="left"/>
        <w:pPr>
          <w:ind w:left="5433" w:hanging="39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BF5228F4">
        <w:start w:val="1"/>
        <w:numFmt w:val="bullet"/>
        <w:lvlText w:val="•"/>
        <w:lvlJc w:val="left"/>
        <w:pPr>
          <w:ind w:left="6153" w:hanging="39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6"/>
  <w:characterSpacingControl w:val="doNotCompres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8BF"/>
    <w:rsid w:val="000110AE"/>
    <w:rsid w:val="00017CE1"/>
    <w:rsid w:val="00037463"/>
    <w:rsid w:val="00041433"/>
    <w:rsid w:val="000525E0"/>
    <w:rsid w:val="00054AA3"/>
    <w:rsid w:val="000629B4"/>
    <w:rsid w:val="0007054D"/>
    <w:rsid w:val="00081165"/>
    <w:rsid w:val="00081912"/>
    <w:rsid w:val="00082772"/>
    <w:rsid w:val="000948E7"/>
    <w:rsid w:val="0009637D"/>
    <w:rsid w:val="000974A1"/>
    <w:rsid w:val="0010037C"/>
    <w:rsid w:val="0010192F"/>
    <w:rsid w:val="00111651"/>
    <w:rsid w:val="00114332"/>
    <w:rsid w:val="00123B98"/>
    <w:rsid w:val="00134E25"/>
    <w:rsid w:val="00150555"/>
    <w:rsid w:val="001809A4"/>
    <w:rsid w:val="00190F82"/>
    <w:rsid w:val="00191DD9"/>
    <w:rsid w:val="001B4CAD"/>
    <w:rsid w:val="001C696B"/>
    <w:rsid w:val="001D2FC8"/>
    <w:rsid w:val="001D3F9C"/>
    <w:rsid w:val="001D5D61"/>
    <w:rsid w:val="001E3F0D"/>
    <w:rsid w:val="002013AC"/>
    <w:rsid w:val="002072EE"/>
    <w:rsid w:val="00222B92"/>
    <w:rsid w:val="00274909"/>
    <w:rsid w:val="002A08E6"/>
    <w:rsid w:val="002A5982"/>
    <w:rsid w:val="002D187D"/>
    <w:rsid w:val="002D3499"/>
    <w:rsid w:val="003025BB"/>
    <w:rsid w:val="003158BF"/>
    <w:rsid w:val="003314CC"/>
    <w:rsid w:val="00373EA3"/>
    <w:rsid w:val="00376F60"/>
    <w:rsid w:val="00393350"/>
    <w:rsid w:val="003B1C4E"/>
    <w:rsid w:val="003B3914"/>
    <w:rsid w:val="003E40EF"/>
    <w:rsid w:val="003F75C0"/>
    <w:rsid w:val="00431EFA"/>
    <w:rsid w:val="00467E3C"/>
    <w:rsid w:val="00490697"/>
    <w:rsid w:val="00494917"/>
    <w:rsid w:val="00494ECD"/>
    <w:rsid w:val="004B7F25"/>
    <w:rsid w:val="004E0B67"/>
    <w:rsid w:val="005360E6"/>
    <w:rsid w:val="005438B7"/>
    <w:rsid w:val="00551AD9"/>
    <w:rsid w:val="005562C8"/>
    <w:rsid w:val="0056082F"/>
    <w:rsid w:val="0057792B"/>
    <w:rsid w:val="00583013"/>
    <w:rsid w:val="00584621"/>
    <w:rsid w:val="005866BF"/>
    <w:rsid w:val="00593C11"/>
    <w:rsid w:val="005C6191"/>
    <w:rsid w:val="005D5337"/>
    <w:rsid w:val="005F0EB4"/>
    <w:rsid w:val="005F557F"/>
    <w:rsid w:val="006042EA"/>
    <w:rsid w:val="00616B69"/>
    <w:rsid w:val="00625231"/>
    <w:rsid w:val="006329FF"/>
    <w:rsid w:val="00635E4A"/>
    <w:rsid w:val="0069061F"/>
    <w:rsid w:val="00693EE6"/>
    <w:rsid w:val="006A1F20"/>
    <w:rsid w:val="006B561F"/>
    <w:rsid w:val="006E0C92"/>
    <w:rsid w:val="006E3FE9"/>
    <w:rsid w:val="006F1664"/>
    <w:rsid w:val="00716084"/>
    <w:rsid w:val="007347D8"/>
    <w:rsid w:val="0075141F"/>
    <w:rsid w:val="007675CE"/>
    <w:rsid w:val="00780F39"/>
    <w:rsid w:val="007814F6"/>
    <w:rsid w:val="007A638D"/>
    <w:rsid w:val="007B5241"/>
    <w:rsid w:val="007D62F7"/>
    <w:rsid w:val="007F4004"/>
    <w:rsid w:val="008300B4"/>
    <w:rsid w:val="008758C6"/>
    <w:rsid w:val="0088532A"/>
    <w:rsid w:val="00886715"/>
    <w:rsid w:val="008B2478"/>
    <w:rsid w:val="008B50DE"/>
    <w:rsid w:val="008B58C4"/>
    <w:rsid w:val="008D079D"/>
    <w:rsid w:val="008F602D"/>
    <w:rsid w:val="009538DE"/>
    <w:rsid w:val="009722E7"/>
    <w:rsid w:val="009A428B"/>
    <w:rsid w:val="009F3CD7"/>
    <w:rsid w:val="00A02182"/>
    <w:rsid w:val="00A16948"/>
    <w:rsid w:val="00A54578"/>
    <w:rsid w:val="00A57927"/>
    <w:rsid w:val="00A60E1B"/>
    <w:rsid w:val="00A76969"/>
    <w:rsid w:val="00A8122D"/>
    <w:rsid w:val="00AA0ABD"/>
    <w:rsid w:val="00AC640D"/>
    <w:rsid w:val="00AD64CE"/>
    <w:rsid w:val="00AE2C7D"/>
    <w:rsid w:val="00AE6B90"/>
    <w:rsid w:val="00B247FB"/>
    <w:rsid w:val="00B57A37"/>
    <w:rsid w:val="00BF368C"/>
    <w:rsid w:val="00C343C6"/>
    <w:rsid w:val="00C62285"/>
    <w:rsid w:val="00C73328"/>
    <w:rsid w:val="00C80A27"/>
    <w:rsid w:val="00CA5020"/>
    <w:rsid w:val="00CD0166"/>
    <w:rsid w:val="00CE2973"/>
    <w:rsid w:val="00CF3CAC"/>
    <w:rsid w:val="00CF4D0C"/>
    <w:rsid w:val="00D06624"/>
    <w:rsid w:val="00D32483"/>
    <w:rsid w:val="00D851E2"/>
    <w:rsid w:val="00D94C66"/>
    <w:rsid w:val="00DB268A"/>
    <w:rsid w:val="00DE4385"/>
    <w:rsid w:val="00E13AE8"/>
    <w:rsid w:val="00E503FB"/>
    <w:rsid w:val="00E606DB"/>
    <w:rsid w:val="00E61CAA"/>
    <w:rsid w:val="00E802B2"/>
    <w:rsid w:val="00E84EFE"/>
    <w:rsid w:val="00E86666"/>
    <w:rsid w:val="00E87D7C"/>
    <w:rsid w:val="00EC5C96"/>
    <w:rsid w:val="00F04C70"/>
    <w:rsid w:val="00F228B1"/>
    <w:rsid w:val="00F33D87"/>
    <w:rsid w:val="00F6215B"/>
    <w:rsid w:val="00FA793F"/>
    <w:rsid w:val="00FB43E3"/>
    <w:rsid w:val="00FC7B58"/>
    <w:rsid w:val="00FE53AC"/>
    <w:rsid w:val="00FF4C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63A295"/>
  <w15:docId w15:val="{11DFA807-57CF-4487-8769-CF02F479C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pacing w:line="240" w:lineRule="atLeast"/>
      <w:jc w:val="both"/>
    </w:pPr>
    <w:rPr>
      <w:rFonts w:cs="Arial Unicode MS"/>
      <w:color w:val="000000"/>
      <w:sz w:val="24"/>
      <w:szCs w:val="24"/>
      <w:u w:color="000000"/>
    </w:rPr>
  </w:style>
  <w:style w:type="paragraph" w:styleId="Heading1">
    <w:name w:val="heading 1"/>
    <w:basedOn w:val="Normal"/>
    <w:next w:val="Normal"/>
    <w:link w:val="Heading1Char"/>
    <w:uiPriority w:val="9"/>
    <w:qFormat/>
    <w:rsid w:val="007675CE"/>
    <w:pPr>
      <w:keepNext/>
      <w:keepLines/>
      <w:spacing w:after="120" w:line="240" w:lineRule="auto"/>
      <w:outlineLvl w:val="0"/>
    </w:pPr>
    <w:rPr>
      <w:rFonts w:eastAsiaTheme="majorEastAsia" w:cstheme="majorBidi"/>
      <w:b/>
      <w:bCs/>
      <w:caps/>
      <w:color w:val="000000" w:themeColor="text1"/>
    </w:rPr>
  </w:style>
  <w:style w:type="paragraph" w:styleId="Heading2">
    <w:name w:val="heading 2"/>
    <w:next w:val="Normal"/>
    <w:pPr>
      <w:keepNext/>
      <w:spacing w:before="120"/>
      <w:outlineLvl w:val="1"/>
    </w:pPr>
    <w:rPr>
      <w:rFonts w:cs="Arial Unicode MS"/>
      <w:b/>
      <w:bCs/>
      <w:color w:val="000000"/>
      <w:sz w:val="24"/>
      <w:szCs w:val="24"/>
      <w14:textOutline w14:w="0" w14:cap="flat" w14:cmpd="sng" w14:algn="ctr">
        <w14:noFill/>
        <w14:prstDash w14:val="solid"/>
        <w14:bevel/>
      </w14:textOutline>
    </w:rPr>
  </w:style>
  <w:style w:type="paragraph" w:styleId="Heading3">
    <w:name w:val="heading 3"/>
    <w:basedOn w:val="Normal"/>
    <w:next w:val="Normal"/>
    <w:link w:val="Heading3Char"/>
    <w:uiPriority w:val="9"/>
    <w:unhideWhenUsed/>
    <w:qFormat/>
    <w:rsid w:val="009F3CD7"/>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4C66"/>
    <w:pPr>
      <w:spacing w:line="240" w:lineRule="auto"/>
    </w:pPr>
    <w:rPr>
      <w:rFonts w:ascii="Lucida Grande" w:hAnsi="Lucida Grande"/>
      <w:sz w:val="18"/>
      <w:szCs w:val="18"/>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character" w:customStyle="1" w:styleId="BalloonTextChar">
    <w:name w:val="Balloon Text Char"/>
    <w:basedOn w:val="DefaultParagraphFont"/>
    <w:link w:val="BalloonText"/>
    <w:uiPriority w:val="99"/>
    <w:semiHidden/>
    <w:rsid w:val="00D94C66"/>
    <w:rPr>
      <w:rFonts w:ascii="Lucida Grande" w:hAnsi="Lucida Grande" w:cs="Arial Unicode MS"/>
      <w:color w:val="000000"/>
      <w:sz w:val="18"/>
      <w:szCs w:val="18"/>
      <w:u w:color="000000"/>
    </w:rPr>
  </w:style>
  <w:style w:type="paragraph" w:styleId="ListParagraph">
    <w:name w:val="List Paragraph"/>
    <w:basedOn w:val="Normal"/>
    <w:uiPriority w:val="34"/>
    <w:qFormat/>
    <w:rsid w:val="00D94C66"/>
    <w:pPr>
      <w:ind w:left="720"/>
      <w:contextualSpacing/>
    </w:pPr>
  </w:style>
  <w:style w:type="paragraph" w:customStyle="1" w:styleId="Heading">
    <w:name w:val="Heading"/>
    <w:next w:val="Normal"/>
    <w:pPr>
      <w:keepNext/>
      <w:spacing w:after="120"/>
      <w:outlineLvl w:val="0"/>
    </w:pPr>
    <w:rPr>
      <w:rFonts w:cs="Arial Unicode MS"/>
      <w:b/>
      <w:bCs/>
      <w:color w:val="000000"/>
      <w:sz w:val="24"/>
      <w:szCs w:val="24"/>
      <w14:textOutline w14:w="0" w14:cap="flat" w14:cmpd="sng" w14:algn="ctr">
        <w14:noFill/>
        <w14:prstDash w14:val="solid"/>
        <w14:bevel/>
      </w14:textOutline>
    </w:rPr>
  </w:style>
  <w:style w:type="character" w:styleId="Hyperlink">
    <w:name w:val="Hyperlink"/>
    <w:basedOn w:val="DefaultParagraphFont"/>
    <w:uiPriority w:val="99"/>
    <w:unhideWhenUsed/>
    <w:rsid w:val="00373EA3"/>
    <w:rPr>
      <w:color w:val="0000FF" w:themeColor="hyperlink"/>
      <w:u w:val="single"/>
    </w:rPr>
  </w:style>
  <w:style w:type="character" w:customStyle="1" w:styleId="Heading3Char">
    <w:name w:val="Heading 3 Char"/>
    <w:basedOn w:val="DefaultParagraphFont"/>
    <w:link w:val="Heading3"/>
    <w:uiPriority w:val="9"/>
    <w:rsid w:val="009F3CD7"/>
    <w:rPr>
      <w:rFonts w:asciiTheme="majorHAnsi" w:eastAsiaTheme="majorEastAsia" w:hAnsiTheme="majorHAnsi" w:cstheme="majorBidi"/>
      <w:b/>
      <w:bCs/>
      <w:color w:val="4F81BD" w:themeColor="accent1"/>
      <w:sz w:val="24"/>
      <w:szCs w:val="24"/>
      <w:u w:color="000000"/>
    </w:rPr>
  </w:style>
  <w:style w:type="character" w:customStyle="1" w:styleId="Heading1Char">
    <w:name w:val="Heading 1 Char"/>
    <w:basedOn w:val="DefaultParagraphFont"/>
    <w:link w:val="Heading1"/>
    <w:uiPriority w:val="9"/>
    <w:rsid w:val="007675CE"/>
    <w:rPr>
      <w:rFonts w:eastAsiaTheme="majorEastAsia" w:cstheme="majorBidi"/>
      <w:b/>
      <w:bCs/>
      <w:caps/>
      <w:color w:val="000000" w:themeColor="text1"/>
      <w:sz w:val="24"/>
      <w:szCs w:val="24"/>
      <w:u w:color="000000"/>
    </w:rPr>
  </w:style>
  <w:style w:type="character" w:styleId="UnresolvedMention">
    <w:name w:val="Unresolved Mention"/>
    <w:basedOn w:val="DefaultParagraphFont"/>
    <w:uiPriority w:val="99"/>
    <w:semiHidden/>
    <w:unhideWhenUsed/>
    <w:rsid w:val="00AE6B90"/>
    <w:rPr>
      <w:color w:val="605E5C"/>
      <w:shd w:val="clear" w:color="auto" w:fill="E1DFDD"/>
    </w:rPr>
  </w:style>
  <w:style w:type="paragraph" w:customStyle="1" w:styleId="Reference">
    <w:name w:val="Reference"/>
    <w:basedOn w:val="Normal"/>
    <w:rsid w:val="00A8122D"/>
    <w:p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line="240" w:lineRule="auto"/>
      <w:ind w:left="284" w:hanging="284"/>
    </w:pPr>
    <w:rPr>
      <w:rFonts w:eastAsia="Times New Roman" w:cs="Times New Roman"/>
      <w:color w:val="auto"/>
      <w:sz w:val="20"/>
      <w:szCs w:val="20"/>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05950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yperlink" Target="https://ntrs.nasa.gov/citations/20220012622" TargetMode="Externa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6991940399736294E-2"/>
          <c:y val="4.0783034257748881E-2"/>
          <c:w val="0.86951107228513613"/>
          <c:h val="0.85481239804241438"/>
        </c:manualLayout>
      </c:layout>
      <c:scatterChart>
        <c:scatterStyle val="lineMarker"/>
        <c:varyColors val="0"/>
        <c:ser>
          <c:idx val="5"/>
          <c:order val="0"/>
          <c:tx>
            <c:strRef>
              <c:f>'IP data'!$D$20</c:f>
              <c:strCache>
                <c:ptCount val="1"/>
                <c:pt idx="0">
                  <c:v>Pressure Rise (inches of H2O)</c:v>
                </c:pt>
              </c:strCache>
            </c:strRef>
          </c:tx>
          <c:spPr>
            <a:ln w="25400" cap="flat" cmpd="dbl" algn="ctr">
              <a:noFill/>
              <a:round/>
            </a:ln>
            <a:effectLst/>
          </c:spPr>
          <c:marker>
            <c:symbol val="circle"/>
            <c:size val="6"/>
            <c:spPr>
              <a:noFill/>
              <a:ln w="34925" cap="flat" cmpd="dbl" algn="ctr">
                <a:solidFill>
                  <a:schemeClr val="accent6">
                    <a:lumMod val="75000"/>
                    <a:alpha val="70000"/>
                  </a:schemeClr>
                </a:solidFill>
                <a:round/>
              </a:ln>
              <a:effectLst/>
            </c:spPr>
          </c:marker>
          <c:dPt>
            <c:idx val="0"/>
            <c:marker>
              <c:symbol val="circle"/>
              <c:size val="6"/>
              <c:spPr>
                <a:noFill/>
                <a:ln w="34925" cap="flat" cmpd="dbl" algn="ctr">
                  <a:solidFill>
                    <a:schemeClr val="accent6">
                      <a:lumMod val="75000"/>
                      <a:alpha val="70000"/>
                    </a:schemeClr>
                  </a:solidFill>
                  <a:round/>
                </a:ln>
                <a:effectLst/>
              </c:spPr>
            </c:marker>
            <c:bubble3D val="0"/>
            <c:extLst>
              <c:ext xmlns:c16="http://schemas.microsoft.com/office/drawing/2014/chart" uri="{C3380CC4-5D6E-409C-BE32-E72D297353CC}">
                <c16:uniqueId val="{00000000-9A4B-4BFE-B869-B86D4663B8BE}"/>
              </c:ext>
            </c:extLst>
          </c:dPt>
          <c:dPt>
            <c:idx val="1"/>
            <c:marker>
              <c:symbol val="circle"/>
              <c:size val="6"/>
              <c:spPr>
                <a:noFill/>
                <a:ln w="34925" cap="flat" cmpd="dbl" algn="ctr">
                  <a:solidFill>
                    <a:schemeClr val="accent6">
                      <a:lumMod val="75000"/>
                      <a:alpha val="70000"/>
                    </a:schemeClr>
                  </a:solidFill>
                  <a:round/>
                </a:ln>
                <a:effectLst/>
              </c:spPr>
            </c:marker>
            <c:bubble3D val="0"/>
            <c:extLst>
              <c:ext xmlns:c16="http://schemas.microsoft.com/office/drawing/2014/chart" uri="{C3380CC4-5D6E-409C-BE32-E72D297353CC}">
                <c16:uniqueId val="{00000001-9A4B-4BFE-B869-B86D4663B8BE}"/>
              </c:ext>
            </c:extLst>
          </c:dPt>
          <c:dPt>
            <c:idx val="2"/>
            <c:marker>
              <c:symbol val="circle"/>
              <c:size val="6"/>
              <c:spPr>
                <a:noFill/>
                <a:ln w="34925" cap="flat" cmpd="dbl" algn="ctr">
                  <a:solidFill>
                    <a:schemeClr val="accent6">
                      <a:lumMod val="75000"/>
                      <a:alpha val="70000"/>
                    </a:schemeClr>
                  </a:solidFill>
                  <a:round/>
                </a:ln>
                <a:effectLst/>
              </c:spPr>
            </c:marker>
            <c:bubble3D val="0"/>
            <c:extLst>
              <c:ext xmlns:c16="http://schemas.microsoft.com/office/drawing/2014/chart" uri="{C3380CC4-5D6E-409C-BE32-E72D297353CC}">
                <c16:uniqueId val="{00000002-9A4B-4BFE-B869-B86D4663B8BE}"/>
              </c:ext>
            </c:extLst>
          </c:dPt>
          <c:dPt>
            <c:idx val="3"/>
            <c:marker>
              <c:symbol val="circle"/>
              <c:size val="6"/>
              <c:spPr>
                <a:noFill/>
                <a:ln w="34925" cap="flat" cmpd="dbl" algn="ctr">
                  <a:solidFill>
                    <a:schemeClr val="accent6">
                      <a:lumMod val="75000"/>
                      <a:alpha val="70000"/>
                    </a:schemeClr>
                  </a:solidFill>
                  <a:round/>
                </a:ln>
                <a:effectLst/>
              </c:spPr>
            </c:marker>
            <c:bubble3D val="0"/>
            <c:extLst>
              <c:ext xmlns:c16="http://schemas.microsoft.com/office/drawing/2014/chart" uri="{C3380CC4-5D6E-409C-BE32-E72D297353CC}">
                <c16:uniqueId val="{00000003-9A4B-4BFE-B869-B86D4663B8BE}"/>
              </c:ext>
            </c:extLst>
          </c:dPt>
          <c:dPt>
            <c:idx val="4"/>
            <c:marker>
              <c:symbol val="circle"/>
              <c:size val="6"/>
              <c:spPr>
                <a:noFill/>
                <a:ln w="34925" cap="flat" cmpd="dbl" algn="ctr">
                  <a:solidFill>
                    <a:schemeClr val="accent6">
                      <a:lumMod val="75000"/>
                      <a:alpha val="70000"/>
                    </a:schemeClr>
                  </a:solidFill>
                  <a:round/>
                </a:ln>
                <a:effectLst/>
              </c:spPr>
            </c:marker>
            <c:bubble3D val="0"/>
            <c:extLst>
              <c:ext xmlns:c16="http://schemas.microsoft.com/office/drawing/2014/chart" uri="{C3380CC4-5D6E-409C-BE32-E72D297353CC}">
                <c16:uniqueId val="{00000004-9A4B-4BFE-B869-B86D4663B8BE}"/>
              </c:ext>
            </c:extLst>
          </c:dPt>
          <c:dPt>
            <c:idx val="5"/>
            <c:marker>
              <c:symbol val="circle"/>
              <c:size val="6"/>
              <c:spPr>
                <a:noFill/>
                <a:ln w="34925" cap="flat" cmpd="dbl" algn="ctr">
                  <a:solidFill>
                    <a:schemeClr val="accent6">
                      <a:lumMod val="75000"/>
                      <a:alpha val="70000"/>
                    </a:schemeClr>
                  </a:solidFill>
                  <a:round/>
                </a:ln>
                <a:effectLst/>
              </c:spPr>
            </c:marker>
            <c:bubble3D val="0"/>
            <c:extLst>
              <c:ext xmlns:c16="http://schemas.microsoft.com/office/drawing/2014/chart" uri="{C3380CC4-5D6E-409C-BE32-E72D297353CC}">
                <c16:uniqueId val="{00000005-9A4B-4BFE-B869-B86D4663B8BE}"/>
              </c:ext>
            </c:extLst>
          </c:dPt>
          <c:dPt>
            <c:idx val="6"/>
            <c:marker>
              <c:symbol val="circle"/>
              <c:size val="6"/>
              <c:spPr>
                <a:noFill/>
                <a:ln w="34925" cap="flat" cmpd="dbl" algn="ctr">
                  <a:solidFill>
                    <a:schemeClr val="accent6">
                      <a:lumMod val="75000"/>
                      <a:alpha val="70000"/>
                    </a:schemeClr>
                  </a:solidFill>
                  <a:round/>
                </a:ln>
                <a:effectLst/>
              </c:spPr>
            </c:marker>
            <c:bubble3D val="0"/>
            <c:extLst>
              <c:ext xmlns:c16="http://schemas.microsoft.com/office/drawing/2014/chart" uri="{C3380CC4-5D6E-409C-BE32-E72D297353CC}">
                <c16:uniqueId val="{00000006-9A4B-4BFE-B869-B86D4663B8BE}"/>
              </c:ext>
            </c:extLst>
          </c:dPt>
          <c:dPt>
            <c:idx val="7"/>
            <c:marker>
              <c:symbol val="circle"/>
              <c:size val="6"/>
              <c:spPr>
                <a:noFill/>
                <a:ln w="34925" cap="flat" cmpd="dbl" algn="ctr">
                  <a:solidFill>
                    <a:schemeClr val="accent6">
                      <a:lumMod val="75000"/>
                      <a:alpha val="70000"/>
                    </a:schemeClr>
                  </a:solidFill>
                  <a:round/>
                </a:ln>
                <a:effectLst/>
              </c:spPr>
            </c:marker>
            <c:bubble3D val="0"/>
            <c:extLst>
              <c:ext xmlns:c16="http://schemas.microsoft.com/office/drawing/2014/chart" uri="{C3380CC4-5D6E-409C-BE32-E72D297353CC}">
                <c16:uniqueId val="{00000007-9A4B-4BFE-B869-B86D4663B8BE}"/>
              </c:ext>
            </c:extLst>
          </c:dPt>
          <c:dPt>
            <c:idx val="8"/>
            <c:marker>
              <c:symbol val="circle"/>
              <c:size val="6"/>
              <c:spPr>
                <a:noFill/>
                <a:ln w="34925" cap="flat" cmpd="dbl" algn="ctr">
                  <a:solidFill>
                    <a:schemeClr val="accent6">
                      <a:lumMod val="75000"/>
                      <a:alpha val="70000"/>
                    </a:schemeClr>
                  </a:solidFill>
                  <a:round/>
                </a:ln>
                <a:effectLst/>
              </c:spPr>
            </c:marker>
            <c:bubble3D val="0"/>
            <c:extLst>
              <c:ext xmlns:c16="http://schemas.microsoft.com/office/drawing/2014/chart" uri="{C3380CC4-5D6E-409C-BE32-E72D297353CC}">
                <c16:uniqueId val="{00000008-9A4B-4BFE-B869-B86D4663B8BE}"/>
              </c:ext>
            </c:extLst>
          </c:dPt>
          <c:dPt>
            <c:idx val="9"/>
            <c:marker>
              <c:symbol val="circle"/>
              <c:size val="6"/>
              <c:spPr>
                <a:noFill/>
                <a:ln w="34925" cap="flat" cmpd="dbl" algn="ctr">
                  <a:solidFill>
                    <a:schemeClr val="accent6">
                      <a:lumMod val="75000"/>
                      <a:alpha val="70000"/>
                    </a:schemeClr>
                  </a:solidFill>
                  <a:round/>
                </a:ln>
                <a:effectLst/>
              </c:spPr>
            </c:marker>
            <c:bubble3D val="0"/>
            <c:extLst>
              <c:ext xmlns:c16="http://schemas.microsoft.com/office/drawing/2014/chart" uri="{C3380CC4-5D6E-409C-BE32-E72D297353CC}">
                <c16:uniqueId val="{00000009-9A4B-4BFE-B869-B86D4663B8BE}"/>
              </c:ext>
            </c:extLst>
          </c:dPt>
          <c:dPt>
            <c:idx val="10"/>
            <c:marker>
              <c:symbol val="circle"/>
              <c:size val="6"/>
              <c:spPr>
                <a:noFill/>
                <a:ln w="34925" cap="flat" cmpd="dbl" algn="ctr">
                  <a:solidFill>
                    <a:schemeClr val="accent6">
                      <a:lumMod val="75000"/>
                      <a:alpha val="70000"/>
                    </a:schemeClr>
                  </a:solidFill>
                  <a:round/>
                </a:ln>
                <a:effectLst/>
              </c:spPr>
            </c:marker>
            <c:bubble3D val="0"/>
            <c:extLst>
              <c:ext xmlns:c16="http://schemas.microsoft.com/office/drawing/2014/chart" uri="{C3380CC4-5D6E-409C-BE32-E72D297353CC}">
                <c16:uniqueId val="{0000000A-9A4B-4BFE-B869-B86D4663B8BE}"/>
              </c:ext>
            </c:extLst>
          </c:dPt>
          <c:dPt>
            <c:idx val="11"/>
            <c:marker>
              <c:symbol val="circle"/>
              <c:size val="6"/>
              <c:spPr>
                <a:noFill/>
                <a:ln w="34925" cap="flat" cmpd="dbl" algn="ctr">
                  <a:solidFill>
                    <a:schemeClr val="accent6">
                      <a:lumMod val="75000"/>
                      <a:alpha val="70000"/>
                    </a:schemeClr>
                  </a:solidFill>
                  <a:round/>
                </a:ln>
                <a:effectLst/>
              </c:spPr>
            </c:marker>
            <c:bubble3D val="0"/>
            <c:extLst>
              <c:ext xmlns:c16="http://schemas.microsoft.com/office/drawing/2014/chart" uri="{C3380CC4-5D6E-409C-BE32-E72D297353CC}">
                <c16:uniqueId val="{0000000B-9A4B-4BFE-B869-B86D4663B8BE}"/>
              </c:ext>
            </c:extLst>
          </c:dPt>
          <c:xVal>
            <c:numRef>
              <c:f>'IP data'!$C$21:$C$32</c:f>
              <c:numCache>
                <c:formatCode>General</c:formatCode>
                <c:ptCount val="12"/>
                <c:pt idx="0">
                  <c:v>150.30000000000001</c:v>
                </c:pt>
                <c:pt idx="1">
                  <c:v>122</c:v>
                </c:pt>
                <c:pt idx="2">
                  <c:v>122</c:v>
                </c:pt>
                <c:pt idx="3">
                  <c:v>122</c:v>
                </c:pt>
                <c:pt idx="4">
                  <c:v>250</c:v>
                </c:pt>
                <c:pt idx="5">
                  <c:v>140</c:v>
                </c:pt>
                <c:pt idx="6">
                  <c:v>150</c:v>
                </c:pt>
                <c:pt idx="7">
                  <c:v>300</c:v>
                </c:pt>
                <c:pt idx="8">
                  <c:v>500</c:v>
                </c:pt>
                <c:pt idx="9">
                  <c:v>40</c:v>
                </c:pt>
                <c:pt idx="10">
                  <c:v>120</c:v>
                </c:pt>
                <c:pt idx="11">
                  <c:v>176</c:v>
                </c:pt>
              </c:numCache>
            </c:numRef>
          </c:xVal>
          <c:yVal>
            <c:numRef>
              <c:f>'IP data'!$D$21:$D$32</c:f>
              <c:numCache>
                <c:formatCode>General</c:formatCode>
                <c:ptCount val="12"/>
                <c:pt idx="0">
                  <c:v>3.64</c:v>
                </c:pt>
                <c:pt idx="1">
                  <c:v>7.5</c:v>
                </c:pt>
                <c:pt idx="2">
                  <c:v>6.8</c:v>
                </c:pt>
                <c:pt idx="3">
                  <c:v>9.3000000000000007</c:v>
                </c:pt>
                <c:pt idx="4">
                  <c:v>7</c:v>
                </c:pt>
                <c:pt idx="5">
                  <c:v>1</c:v>
                </c:pt>
                <c:pt idx="6">
                  <c:v>1.8</c:v>
                </c:pt>
                <c:pt idx="7">
                  <c:v>1.8</c:v>
                </c:pt>
                <c:pt idx="8">
                  <c:v>5.0999999999999996</c:v>
                </c:pt>
                <c:pt idx="9">
                  <c:v>1.2</c:v>
                </c:pt>
                <c:pt idx="10">
                  <c:v>2</c:v>
                </c:pt>
                <c:pt idx="11">
                  <c:v>0.16</c:v>
                </c:pt>
              </c:numCache>
            </c:numRef>
          </c:yVal>
          <c:smooth val="0"/>
          <c:extLst>
            <c:ext xmlns:c16="http://schemas.microsoft.com/office/drawing/2014/chart" uri="{C3380CC4-5D6E-409C-BE32-E72D297353CC}">
              <c16:uniqueId val="{0000000C-9A4B-4BFE-B869-B86D4663B8BE}"/>
            </c:ext>
          </c:extLst>
        </c:ser>
        <c:dLbls>
          <c:showLegendKey val="0"/>
          <c:showVal val="0"/>
          <c:showCatName val="0"/>
          <c:showSerName val="0"/>
          <c:showPercent val="0"/>
          <c:showBubbleSize val="0"/>
        </c:dLbls>
        <c:axId val="211625544"/>
        <c:axId val="211625152"/>
        <c:extLst>
          <c:ext xmlns:c15="http://schemas.microsoft.com/office/drawing/2012/chart" uri="{02D57815-91ED-43cb-92C2-25804820EDAC}">
            <c15:filteredScatterSeries>
              <c15:ser>
                <c:idx val="6"/>
                <c:order val="1"/>
                <c:tx>
                  <c:strRef>
                    <c:extLst>
                      <c:ext uri="{02D57815-91ED-43cb-92C2-25804820EDAC}">
                        <c15:formulaRef>
                          <c15:sqref>'IP data'!$C$3</c15:sqref>
                        </c15:formulaRef>
                      </c:ext>
                    </c:extLst>
                    <c:strCache>
                      <c:ptCount val="1"/>
                      <c:pt idx="0">
                        <c:v>JPM</c:v>
                      </c:pt>
                    </c:strCache>
                  </c:strRef>
                </c:tx>
                <c:spPr>
                  <a:ln w="25400" cap="flat" cmpd="dbl" algn="ctr">
                    <a:noFill/>
                    <a:round/>
                  </a:ln>
                  <a:effectLst/>
                </c:spPr>
                <c:marker>
                  <c:symbol val="circle"/>
                  <c:size val="6"/>
                  <c:spPr>
                    <a:noFill/>
                    <a:ln w="34925" cap="flat" cmpd="dbl" algn="ctr">
                      <a:solidFill>
                        <a:schemeClr val="accent1">
                          <a:lumMod val="60000"/>
                          <a:lumMod val="75000"/>
                          <a:alpha val="70000"/>
                        </a:schemeClr>
                      </a:solidFill>
                      <a:round/>
                    </a:ln>
                    <a:effectLst/>
                  </c:spPr>
                </c:marker>
                <c:dPt>
                  <c:idx val="8"/>
                  <c:marker>
                    <c:symbol val="circle"/>
                    <c:size val="6"/>
                    <c:spPr>
                      <a:noFill/>
                      <a:ln w="34925" cap="flat" cmpd="dbl" algn="ctr">
                        <a:solidFill>
                          <a:schemeClr val="accent1">
                            <a:lumMod val="60000"/>
                            <a:lumMod val="75000"/>
                            <a:alpha val="70000"/>
                          </a:schemeClr>
                        </a:solidFill>
                        <a:round/>
                      </a:ln>
                      <a:effectLst/>
                    </c:spPr>
                  </c:marker>
                  <c:bubble3D val="0"/>
                  <c:extLst>
                    <c:ext xmlns:c16="http://schemas.microsoft.com/office/drawing/2014/chart" uri="{C3380CC4-5D6E-409C-BE32-E72D297353CC}">
                      <c16:uniqueId val="{0000000D-9A4B-4BFE-B869-B86D4663B8BE}"/>
                    </c:ext>
                  </c:extLst>
                </c:dPt>
                <c:dPt>
                  <c:idx val="9"/>
                  <c:marker>
                    <c:symbol val="circle"/>
                    <c:size val="6"/>
                    <c:spPr>
                      <a:noFill/>
                      <a:ln w="34925" cap="flat" cmpd="dbl" algn="ctr">
                        <a:solidFill>
                          <a:schemeClr val="accent1">
                            <a:lumMod val="60000"/>
                            <a:lumMod val="75000"/>
                            <a:alpha val="70000"/>
                          </a:schemeClr>
                        </a:solidFill>
                        <a:round/>
                      </a:ln>
                      <a:effectLst/>
                    </c:spPr>
                  </c:marker>
                  <c:bubble3D val="0"/>
                  <c:extLst>
                    <c:ext xmlns:c16="http://schemas.microsoft.com/office/drawing/2014/chart" uri="{C3380CC4-5D6E-409C-BE32-E72D297353CC}">
                      <c16:uniqueId val="{0000000E-9A4B-4BFE-B869-B86D4663B8BE}"/>
                    </c:ext>
                  </c:extLst>
                </c:dPt>
                <c:xVal>
                  <c:numRef>
                    <c:extLst>
                      <c:ext uri="{02D57815-91ED-43cb-92C2-25804820EDAC}">
                        <c15:formulaRef>
                          <c15:sqref>'IP data'!$C$21:$C$32</c15:sqref>
                        </c15:formulaRef>
                      </c:ext>
                    </c:extLst>
                    <c:numCache>
                      <c:formatCode>General</c:formatCode>
                      <c:ptCount val="12"/>
                      <c:pt idx="0">
                        <c:v>150.30000000000001</c:v>
                      </c:pt>
                      <c:pt idx="1">
                        <c:v>122</c:v>
                      </c:pt>
                      <c:pt idx="2">
                        <c:v>122</c:v>
                      </c:pt>
                      <c:pt idx="3">
                        <c:v>122</c:v>
                      </c:pt>
                      <c:pt idx="4">
                        <c:v>250</c:v>
                      </c:pt>
                      <c:pt idx="5">
                        <c:v>140</c:v>
                      </c:pt>
                      <c:pt idx="6">
                        <c:v>150</c:v>
                      </c:pt>
                      <c:pt idx="7">
                        <c:v>300</c:v>
                      </c:pt>
                      <c:pt idx="8">
                        <c:v>500</c:v>
                      </c:pt>
                      <c:pt idx="9">
                        <c:v>40</c:v>
                      </c:pt>
                      <c:pt idx="10">
                        <c:v>120</c:v>
                      </c:pt>
                      <c:pt idx="11">
                        <c:v>176</c:v>
                      </c:pt>
                    </c:numCache>
                  </c:numRef>
                </c:xVal>
                <c:yVal>
                  <c:numRef>
                    <c:extLst>
                      <c:ext uri="{02D57815-91ED-43cb-92C2-25804820EDAC}">
                        <c15:formulaRef>
                          <c15:sqref>'IP data'!$C$7:$C$16</c15:sqref>
                        </c15:formulaRef>
                      </c:ext>
                    </c:extLst>
                    <c:numCache>
                      <c:formatCode>0.0</c:formatCode>
                      <c:ptCount val="10"/>
                      <c:pt idx="0">
                        <c:v>56.1</c:v>
                      </c:pt>
                      <c:pt idx="1">
                        <c:v>54.8</c:v>
                      </c:pt>
                      <c:pt idx="2">
                        <c:v>49.8</c:v>
                      </c:pt>
                      <c:pt idx="3">
                        <c:v>49.3</c:v>
                      </c:pt>
                      <c:pt idx="4">
                        <c:v>46.8</c:v>
                      </c:pt>
                      <c:pt idx="5">
                        <c:v>44</c:v>
                      </c:pt>
                      <c:pt idx="6">
                        <c:v>43.8</c:v>
                      </c:pt>
                      <c:pt idx="7">
                        <c:v>41.8</c:v>
                      </c:pt>
                      <c:pt idx="8" formatCode="0.0&quot;dBA&quot;">
                        <c:v>52.677243366887311</c:v>
                      </c:pt>
                      <c:pt idx="9">
                        <c:v>46</c:v>
                      </c:pt>
                    </c:numCache>
                  </c:numRef>
                </c:yVal>
                <c:smooth val="0"/>
                <c:extLst>
                  <c:ext xmlns:c16="http://schemas.microsoft.com/office/drawing/2014/chart" uri="{C3380CC4-5D6E-409C-BE32-E72D297353CC}">
                    <c16:uniqueId val="{0000000F-9A4B-4BFE-B869-B86D4663B8BE}"/>
                  </c:ext>
                </c:extLst>
              </c15:ser>
            </c15:filteredScatterSeries>
            <c15:filteredScatterSeries>
              <c15:ser>
                <c:idx val="11"/>
                <c:order val="2"/>
                <c:tx>
                  <c:strRef>
                    <c:extLst xmlns:c15="http://schemas.microsoft.com/office/drawing/2012/chart">
                      <c:ext xmlns:c15="http://schemas.microsoft.com/office/drawing/2012/chart" uri="{02D57815-91ED-43cb-92C2-25804820EDAC}">
                        <c15:formulaRef>
                          <c15:sqref>'IP data'!$D$3</c15:sqref>
                        </c15:formulaRef>
                      </c:ext>
                    </c:extLst>
                    <c:strCache>
                      <c:ptCount val="1"/>
                      <c:pt idx="0">
                        <c:v>JLP</c:v>
                      </c:pt>
                    </c:strCache>
                  </c:strRef>
                </c:tx>
                <c:spPr>
                  <a:ln w="25400" cap="flat" cmpd="dbl" algn="ctr">
                    <a:noFill/>
                    <a:round/>
                  </a:ln>
                  <a:effectLst/>
                </c:spPr>
                <c:marker>
                  <c:symbol val="circle"/>
                  <c:size val="6"/>
                  <c:spPr>
                    <a:noFill/>
                    <a:ln w="34925" cap="flat" cmpd="dbl" algn="ctr">
                      <a:solidFill>
                        <a:schemeClr val="accent6">
                          <a:lumMod val="60000"/>
                          <a:lumMod val="75000"/>
                          <a:alpha val="70000"/>
                        </a:schemeClr>
                      </a:solidFill>
                      <a:round/>
                    </a:ln>
                    <a:effectLst/>
                  </c:spPr>
                </c:marker>
                <c:dPt>
                  <c:idx val="8"/>
                  <c:marker>
                    <c:symbol val="circle"/>
                    <c:size val="6"/>
                    <c:spPr>
                      <a:noFill/>
                      <a:ln w="34925" cap="flat" cmpd="dbl" algn="ctr">
                        <a:solidFill>
                          <a:schemeClr val="accent6">
                            <a:lumMod val="60000"/>
                            <a:lumMod val="75000"/>
                            <a:alpha val="70000"/>
                          </a:schemeClr>
                        </a:solidFill>
                        <a:round/>
                      </a:ln>
                      <a:effectLst/>
                    </c:spPr>
                  </c:marker>
                  <c:bubble3D val="0"/>
                  <c:extLst xmlns:c15="http://schemas.microsoft.com/office/drawing/2012/chart">
                    <c:ext xmlns:c16="http://schemas.microsoft.com/office/drawing/2014/chart" uri="{C3380CC4-5D6E-409C-BE32-E72D297353CC}">
                      <c16:uniqueId val="{00000010-9A4B-4BFE-B869-B86D4663B8BE}"/>
                    </c:ext>
                  </c:extLst>
                </c:dPt>
                <c:dPt>
                  <c:idx val="9"/>
                  <c:marker>
                    <c:symbol val="circle"/>
                    <c:size val="6"/>
                    <c:spPr>
                      <a:noFill/>
                      <a:ln w="34925" cap="flat" cmpd="dbl" algn="ctr">
                        <a:solidFill>
                          <a:schemeClr val="accent6">
                            <a:lumMod val="60000"/>
                            <a:lumMod val="75000"/>
                            <a:alpha val="70000"/>
                          </a:schemeClr>
                        </a:solidFill>
                        <a:round/>
                      </a:ln>
                      <a:effectLst/>
                    </c:spPr>
                  </c:marker>
                  <c:bubble3D val="0"/>
                  <c:extLst xmlns:c15="http://schemas.microsoft.com/office/drawing/2012/chart">
                    <c:ext xmlns:c16="http://schemas.microsoft.com/office/drawing/2014/chart" uri="{C3380CC4-5D6E-409C-BE32-E72D297353CC}">
                      <c16:uniqueId val="{00000011-9A4B-4BFE-B869-B86D4663B8BE}"/>
                    </c:ext>
                  </c:extLst>
                </c:dPt>
                <c:xVal>
                  <c:numRef>
                    <c:extLst xmlns:c15="http://schemas.microsoft.com/office/drawing/2012/chart">
                      <c:ext xmlns:c15="http://schemas.microsoft.com/office/drawing/2012/chart" uri="{02D57815-91ED-43cb-92C2-25804820EDAC}">
                        <c15:formulaRef>
                          <c15:sqref>'IP data'!$C$21:$C$32</c15:sqref>
                        </c15:formulaRef>
                      </c:ext>
                    </c:extLst>
                    <c:numCache>
                      <c:formatCode>General</c:formatCode>
                      <c:ptCount val="12"/>
                      <c:pt idx="0">
                        <c:v>150.30000000000001</c:v>
                      </c:pt>
                      <c:pt idx="1">
                        <c:v>122</c:v>
                      </c:pt>
                      <c:pt idx="2">
                        <c:v>122</c:v>
                      </c:pt>
                      <c:pt idx="3">
                        <c:v>122</c:v>
                      </c:pt>
                      <c:pt idx="4">
                        <c:v>250</c:v>
                      </c:pt>
                      <c:pt idx="5">
                        <c:v>140</c:v>
                      </c:pt>
                      <c:pt idx="6">
                        <c:v>150</c:v>
                      </c:pt>
                      <c:pt idx="7">
                        <c:v>300</c:v>
                      </c:pt>
                      <c:pt idx="8">
                        <c:v>500</c:v>
                      </c:pt>
                      <c:pt idx="9">
                        <c:v>40</c:v>
                      </c:pt>
                      <c:pt idx="10">
                        <c:v>120</c:v>
                      </c:pt>
                      <c:pt idx="11">
                        <c:v>176</c:v>
                      </c:pt>
                    </c:numCache>
                  </c:numRef>
                </c:xVal>
                <c:yVal>
                  <c:numRef>
                    <c:extLst xmlns:c15="http://schemas.microsoft.com/office/drawing/2012/chart">
                      <c:ext xmlns:c15="http://schemas.microsoft.com/office/drawing/2012/chart" uri="{02D57815-91ED-43cb-92C2-25804820EDAC}">
                        <c15:formulaRef>
                          <c15:sqref>'IP data'!$D$7:$D$16</c15:sqref>
                        </c15:formulaRef>
                      </c:ext>
                    </c:extLst>
                    <c:numCache>
                      <c:formatCode>0.0</c:formatCode>
                      <c:ptCount val="10"/>
                      <c:pt idx="0">
                        <c:v>53.5</c:v>
                      </c:pt>
                      <c:pt idx="1">
                        <c:v>49</c:v>
                      </c:pt>
                      <c:pt idx="2">
                        <c:v>45.7</c:v>
                      </c:pt>
                      <c:pt idx="3">
                        <c:v>45.4</c:v>
                      </c:pt>
                      <c:pt idx="4">
                        <c:v>38.799999999999997</c:v>
                      </c:pt>
                      <c:pt idx="5">
                        <c:v>37</c:v>
                      </c:pt>
                      <c:pt idx="6">
                        <c:v>37.1</c:v>
                      </c:pt>
                      <c:pt idx="7">
                        <c:v>39.1</c:v>
                      </c:pt>
                      <c:pt idx="8" formatCode="0.0&quot;dBA&quot;">
                        <c:v>47.090169894593174</c:v>
                      </c:pt>
                      <c:pt idx="9">
                        <c:v>39.574999999999996</c:v>
                      </c:pt>
                    </c:numCache>
                  </c:numRef>
                </c:yVal>
                <c:smooth val="0"/>
                <c:extLst xmlns:c15="http://schemas.microsoft.com/office/drawing/2012/chart">
                  <c:ext xmlns:c16="http://schemas.microsoft.com/office/drawing/2014/chart" uri="{C3380CC4-5D6E-409C-BE32-E72D297353CC}">
                    <c16:uniqueId val="{00000012-9A4B-4BFE-B869-B86D4663B8BE}"/>
                  </c:ext>
                </c:extLst>
              </c15:ser>
            </c15:filteredScatterSeries>
            <c15:filteredScatterSeries>
              <c15:ser>
                <c:idx val="3"/>
                <c:order val="3"/>
                <c:tx>
                  <c:strRef>
                    <c:extLst xmlns:c15="http://schemas.microsoft.com/office/drawing/2012/chart">
                      <c:ext xmlns:c15="http://schemas.microsoft.com/office/drawing/2012/chart" uri="{02D57815-91ED-43cb-92C2-25804820EDAC}">
                        <c15:formulaRef>
                          <c15:sqref>'IP data'!$F$3</c15:sqref>
                        </c15:formulaRef>
                      </c:ext>
                    </c:extLst>
                    <c:strCache>
                      <c:ptCount val="1"/>
                      <c:pt idx="0">
                        <c:v>Cupola</c:v>
                      </c:pt>
                    </c:strCache>
                  </c:strRef>
                </c:tx>
                <c:spPr>
                  <a:ln w="25400" cap="flat" cmpd="dbl" algn="ctr">
                    <a:noFill/>
                    <a:round/>
                  </a:ln>
                  <a:effectLst/>
                </c:spPr>
                <c:marker>
                  <c:symbol val="circle"/>
                  <c:size val="6"/>
                  <c:spPr>
                    <a:noFill/>
                    <a:ln w="34925" cap="flat" cmpd="dbl" algn="ctr">
                      <a:solidFill>
                        <a:schemeClr val="accent4">
                          <a:lumMod val="75000"/>
                          <a:alpha val="70000"/>
                        </a:schemeClr>
                      </a:solidFill>
                      <a:round/>
                    </a:ln>
                    <a:effectLst/>
                  </c:spPr>
                </c:marker>
                <c:dPt>
                  <c:idx val="8"/>
                  <c:marker>
                    <c:symbol val="circle"/>
                    <c:size val="6"/>
                    <c:spPr>
                      <a:noFill/>
                      <a:ln w="34925" cap="flat" cmpd="dbl" algn="ctr">
                        <a:solidFill>
                          <a:schemeClr val="accent4">
                            <a:lumMod val="75000"/>
                            <a:alpha val="70000"/>
                          </a:schemeClr>
                        </a:solidFill>
                        <a:round/>
                      </a:ln>
                      <a:effectLst/>
                    </c:spPr>
                  </c:marker>
                  <c:bubble3D val="0"/>
                  <c:extLst xmlns:c15="http://schemas.microsoft.com/office/drawing/2012/chart">
                    <c:ext xmlns:c16="http://schemas.microsoft.com/office/drawing/2014/chart" uri="{C3380CC4-5D6E-409C-BE32-E72D297353CC}">
                      <c16:uniqueId val="{00000013-9A4B-4BFE-B869-B86D4663B8BE}"/>
                    </c:ext>
                  </c:extLst>
                </c:dPt>
                <c:dPt>
                  <c:idx val="9"/>
                  <c:marker>
                    <c:symbol val="circle"/>
                    <c:size val="6"/>
                    <c:spPr>
                      <a:noFill/>
                      <a:ln w="34925" cap="flat" cmpd="dbl" algn="ctr">
                        <a:solidFill>
                          <a:schemeClr val="accent4">
                            <a:lumMod val="75000"/>
                            <a:alpha val="70000"/>
                          </a:schemeClr>
                        </a:solidFill>
                        <a:round/>
                      </a:ln>
                      <a:effectLst/>
                    </c:spPr>
                  </c:marker>
                  <c:bubble3D val="0"/>
                  <c:extLst xmlns:c15="http://schemas.microsoft.com/office/drawing/2012/chart">
                    <c:ext xmlns:c16="http://schemas.microsoft.com/office/drawing/2014/chart" uri="{C3380CC4-5D6E-409C-BE32-E72D297353CC}">
                      <c16:uniqueId val="{00000014-9A4B-4BFE-B869-B86D4663B8BE}"/>
                    </c:ext>
                  </c:extLst>
                </c:dPt>
                <c:xVal>
                  <c:numRef>
                    <c:extLst xmlns:c15="http://schemas.microsoft.com/office/drawing/2012/chart">
                      <c:ext xmlns:c15="http://schemas.microsoft.com/office/drawing/2012/chart" uri="{02D57815-91ED-43cb-92C2-25804820EDAC}">
                        <c15:formulaRef>
                          <c15:sqref>'IP data'!$C$21:$C$32</c15:sqref>
                        </c15:formulaRef>
                      </c:ext>
                    </c:extLst>
                    <c:numCache>
                      <c:formatCode>General</c:formatCode>
                      <c:ptCount val="12"/>
                      <c:pt idx="0">
                        <c:v>150.30000000000001</c:v>
                      </c:pt>
                      <c:pt idx="1">
                        <c:v>122</c:v>
                      </c:pt>
                      <c:pt idx="2">
                        <c:v>122</c:v>
                      </c:pt>
                      <c:pt idx="3">
                        <c:v>122</c:v>
                      </c:pt>
                      <c:pt idx="4">
                        <c:v>250</c:v>
                      </c:pt>
                      <c:pt idx="5">
                        <c:v>140</c:v>
                      </c:pt>
                      <c:pt idx="6">
                        <c:v>150</c:v>
                      </c:pt>
                      <c:pt idx="7">
                        <c:v>300</c:v>
                      </c:pt>
                      <c:pt idx="8">
                        <c:v>500</c:v>
                      </c:pt>
                      <c:pt idx="9">
                        <c:v>40</c:v>
                      </c:pt>
                      <c:pt idx="10">
                        <c:v>120</c:v>
                      </c:pt>
                      <c:pt idx="11">
                        <c:v>176</c:v>
                      </c:pt>
                    </c:numCache>
                  </c:numRef>
                </c:xVal>
                <c:yVal>
                  <c:numRef>
                    <c:extLst xmlns:c15="http://schemas.microsoft.com/office/drawing/2012/chart">
                      <c:ext xmlns:c15="http://schemas.microsoft.com/office/drawing/2012/chart" uri="{02D57815-91ED-43cb-92C2-25804820EDAC}">
                        <c15:formulaRef>
                          <c15:sqref>'IP data'!$F$7:$F$16</c15:sqref>
                        </c15:formulaRef>
                      </c:ext>
                    </c:extLst>
                    <c:numCache>
                      <c:formatCode>0.0</c:formatCode>
                      <c:ptCount val="10"/>
                      <c:pt idx="0">
                        <c:v>59.2</c:v>
                      </c:pt>
                      <c:pt idx="1">
                        <c:v>54.6</c:v>
                      </c:pt>
                      <c:pt idx="2">
                        <c:v>51.4</c:v>
                      </c:pt>
                      <c:pt idx="3">
                        <c:v>49.5</c:v>
                      </c:pt>
                      <c:pt idx="4">
                        <c:v>47</c:v>
                      </c:pt>
                      <c:pt idx="5">
                        <c:v>38.799999999999997</c:v>
                      </c:pt>
                      <c:pt idx="6">
                        <c:v>33.1</c:v>
                      </c:pt>
                      <c:pt idx="7">
                        <c:v>29</c:v>
                      </c:pt>
                      <c:pt idx="8" formatCode="0.0&quot;dBA&quot;">
                        <c:v>51.274060856666694</c:v>
                      </c:pt>
                      <c:pt idx="9">
                        <c:v>42.1</c:v>
                      </c:pt>
                    </c:numCache>
                  </c:numRef>
                </c:yVal>
                <c:smooth val="0"/>
                <c:extLst xmlns:c15="http://schemas.microsoft.com/office/drawing/2012/chart">
                  <c:ext xmlns:c16="http://schemas.microsoft.com/office/drawing/2014/chart" uri="{C3380CC4-5D6E-409C-BE32-E72D297353CC}">
                    <c16:uniqueId val="{00000015-9A4B-4BFE-B869-B86D4663B8BE}"/>
                  </c:ext>
                </c:extLst>
              </c15:ser>
            </c15:filteredScatterSeries>
            <c15:filteredScatterSeries>
              <c15:ser>
                <c:idx val="0"/>
                <c:order val="4"/>
                <c:tx>
                  <c:strRef>
                    <c:extLst xmlns:c15="http://schemas.microsoft.com/office/drawing/2012/chart">
                      <c:ext xmlns:c15="http://schemas.microsoft.com/office/drawing/2012/chart" uri="{02D57815-91ED-43cb-92C2-25804820EDAC}">
                        <c15:formulaRef>
                          <c15:sqref>'IP data'!$E$3</c15:sqref>
                        </c15:formulaRef>
                      </c:ext>
                    </c:extLst>
                    <c:strCache>
                      <c:ptCount val="1"/>
                      <c:pt idx="0">
                        <c:v>PMM</c:v>
                      </c:pt>
                    </c:strCache>
                  </c:strRef>
                </c:tx>
                <c:spPr>
                  <a:ln w="25400" cap="flat" cmpd="dbl" algn="ctr">
                    <a:noFill/>
                    <a:round/>
                  </a:ln>
                  <a:effectLst/>
                </c:spPr>
                <c:marker>
                  <c:symbol val="circle"/>
                  <c:size val="6"/>
                  <c:spPr>
                    <a:noFill/>
                    <a:ln w="34925" cap="flat" cmpd="dbl" algn="ctr">
                      <a:solidFill>
                        <a:schemeClr val="accent1">
                          <a:lumMod val="75000"/>
                          <a:alpha val="70000"/>
                        </a:schemeClr>
                      </a:solidFill>
                      <a:round/>
                    </a:ln>
                    <a:effectLst/>
                  </c:spPr>
                </c:marker>
                <c:dPt>
                  <c:idx val="8"/>
                  <c:marker>
                    <c:symbol val="circle"/>
                    <c:size val="6"/>
                    <c:spPr>
                      <a:noFill/>
                      <a:ln w="34925" cap="flat" cmpd="dbl" algn="ctr">
                        <a:solidFill>
                          <a:schemeClr val="accent1">
                            <a:lumMod val="75000"/>
                            <a:alpha val="70000"/>
                          </a:schemeClr>
                        </a:solidFill>
                        <a:round/>
                      </a:ln>
                      <a:effectLst/>
                    </c:spPr>
                  </c:marker>
                  <c:bubble3D val="0"/>
                  <c:extLst xmlns:c15="http://schemas.microsoft.com/office/drawing/2012/chart">
                    <c:ext xmlns:c16="http://schemas.microsoft.com/office/drawing/2014/chart" uri="{C3380CC4-5D6E-409C-BE32-E72D297353CC}">
                      <c16:uniqueId val="{00000016-9A4B-4BFE-B869-B86D4663B8BE}"/>
                    </c:ext>
                  </c:extLst>
                </c:dPt>
                <c:dPt>
                  <c:idx val="9"/>
                  <c:marker>
                    <c:symbol val="circle"/>
                    <c:size val="6"/>
                    <c:spPr>
                      <a:noFill/>
                      <a:ln w="34925" cap="flat" cmpd="dbl" algn="ctr">
                        <a:solidFill>
                          <a:schemeClr val="accent1">
                            <a:lumMod val="75000"/>
                            <a:alpha val="70000"/>
                          </a:schemeClr>
                        </a:solidFill>
                        <a:round/>
                      </a:ln>
                      <a:effectLst/>
                    </c:spPr>
                  </c:marker>
                  <c:bubble3D val="0"/>
                  <c:extLst xmlns:c15="http://schemas.microsoft.com/office/drawing/2012/chart">
                    <c:ext xmlns:c16="http://schemas.microsoft.com/office/drawing/2014/chart" uri="{C3380CC4-5D6E-409C-BE32-E72D297353CC}">
                      <c16:uniqueId val="{00000017-9A4B-4BFE-B869-B86D4663B8BE}"/>
                    </c:ext>
                  </c:extLst>
                </c:dPt>
                <c:xVal>
                  <c:numRef>
                    <c:extLst xmlns:c15="http://schemas.microsoft.com/office/drawing/2012/chart">
                      <c:ext xmlns:c15="http://schemas.microsoft.com/office/drawing/2012/chart" uri="{02D57815-91ED-43cb-92C2-25804820EDAC}">
                        <c15:formulaRef>
                          <c15:sqref>'IP data'!$C$21:$C$32</c15:sqref>
                        </c15:formulaRef>
                      </c:ext>
                    </c:extLst>
                    <c:numCache>
                      <c:formatCode>General</c:formatCode>
                      <c:ptCount val="12"/>
                      <c:pt idx="0">
                        <c:v>150.30000000000001</c:v>
                      </c:pt>
                      <c:pt idx="1">
                        <c:v>122</c:v>
                      </c:pt>
                      <c:pt idx="2">
                        <c:v>122</c:v>
                      </c:pt>
                      <c:pt idx="3">
                        <c:v>122</c:v>
                      </c:pt>
                      <c:pt idx="4">
                        <c:v>250</c:v>
                      </c:pt>
                      <c:pt idx="5">
                        <c:v>140</c:v>
                      </c:pt>
                      <c:pt idx="6">
                        <c:v>150</c:v>
                      </c:pt>
                      <c:pt idx="7">
                        <c:v>300</c:v>
                      </c:pt>
                      <c:pt idx="8">
                        <c:v>500</c:v>
                      </c:pt>
                      <c:pt idx="9">
                        <c:v>40</c:v>
                      </c:pt>
                      <c:pt idx="10">
                        <c:v>120</c:v>
                      </c:pt>
                      <c:pt idx="11">
                        <c:v>176</c:v>
                      </c:pt>
                    </c:numCache>
                  </c:numRef>
                </c:xVal>
                <c:yVal>
                  <c:numRef>
                    <c:extLst xmlns:c15="http://schemas.microsoft.com/office/drawing/2012/chart">
                      <c:ext xmlns:c15="http://schemas.microsoft.com/office/drawing/2012/chart" uri="{02D57815-91ED-43cb-92C2-25804820EDAC}">
                        <c15:formulaRef>
                          <c15:sqref>'IP data'!$E$7:$E$16</c15:sqref>
                        </c15:formulaRef>
                      </c:ext>
                    </c:extLst>
                    <c:numCache>
                      <c:formatCode>0.0</c:formatCode>
                      <c:ptCount val="10"/>
                      <c:pt idx="0">
                        <c:v>50.3</c:v>
                      </c:pt>
                      <c:pt idx="1">
                        <c:v>46.1</c:v>
                      </c:pt>
                      <c:pt idx="2">
                        <c:v>45.3</c:v>
                      </c:pt>
                      <c:pt idx="3">
                        <c:v>50.8</c:v>
                      </c:pt>
                      <c:pt idx="4">
                        <c:v>46.2</c:v>
                      </c:pt>
                      <c:pt idx="5">
                        <c:v>42.5</c:v>
                      </c:pt>
                      <c:pt idx="6">
                        <c:v>37.9</c:v>
                      </c:pt>
                      <c:pt idx="7">
                        <c:v>31.5</c:v>
                      </c:pt>
                      <c:pt idx="8" formatCode="0.0&quot;dBA&quot;">
                        <c:v>51.381970667589172</c:v>
                      </c:pt>
                      <c:pt idx="9">
                        <c:v>44.35</c:v>
                      </c:pt>
                    </c:numCache>
                  </c:numRef>
                </c:yVal>
                <c:smooth val="0"/>
                <c:extLst xmlns:c15="http://schemas.microsoft.com/office/drawing/2012/chart">
                  <c:ext xmlns:c16="http://schemas.microsoft.com/office/drawing/2014/chart" uri="{C3380CC4-5D6E-409C-BE32-E72D297353CC}">
                    <c16:uniqueId val="{00000018-9A4B-4BFE-B869-B86D4663B8BE}"/>
                  </c:ext>
                </c:extLst>
              </c15:ser>
            </c15:filteredScatterSeries>
            <c15:filteredScatterSeries>
              <c15:ser>
                <c:idx val="1"/>
                <c:order val="5"/>
                <c:tx>
                  <c:strRef>
                    <c:extLst xmlns:c15="http://schemas.microsoft.com/office/drawing/2012/chart">
                      <c:ext xmlns:c15="http://schemas.microsoft.com/office/drawing/2012/chart" uri="{02D57815-91ED-43cb-92C2-25804820EDAC}">
                        <c15:formulaRef>
                          <c15:sqref>'IP data'!$J$5</c15:sqref>
                        </c15:formulaRef>
                      </c:ext>
                    </c:extLst>
                    <c:strCache>
                      <c:ptCount val="1"/>
                      <c:pt idx="0">
                        <c:v>US Cont. Noise Reqt. (NC-50, Module Only)</c:v>
                      </c:pt>
                    </c:strCache>
                  </c:strRef>
                </c:tx>
                <c:spPr>
                  <a:ln w="25400" cap="flat" cmpd="dbl" algn="ctr">
                    <a:noFill/>
                    <a:round/>
                  </a:ln>
                  <a:effectLst/>
                </c:spPr>
                <c:marker>
                  <c:symbol val="circle"/>
                  <c:size val="6"/>
                  <c:spPr>
                    <a:noFill/>
                    <a:ln w="34925" cap="flat" cmpd="dbl" algn="ctr">
                      <a:solidFill>
                        <a:schemeClr val="accent2">
                          <a:lumMod val="75000"/>
                          <a:alpha val="70000"/>
                        </a:schemeClr>
                      </a:solidFill>
                      <a:round/>
                    </a:ln>
                    <a:effectLst/>
                  </c:spPr>
                </c:marker>
                <c:dPt>
                  <c:idx val="8"/>
                  <c:marker>
                    <c:symbol val="circle"/>
                    <c:size val="6"/>
                    <c:spPr>
                      <a:noFill/>
                      <a:ln w="34925" cap="flat" cmpd="dbl" algn="ctr">
                        <a:solidFill>
                          <a:schemeClr val="accent2">
                            <a:lumMod val="75000"/>
                            <a:alpha val="70000"/>
                          </a:schemeClr>
                        </a:solidFill>
                        <a:round/>
                      </a:ln>
                      <a:effectLst/>
                    </c:spPr>
                  </c:marker>
                  <c:bubble3D val="0"/>
                  <c:extLst xmlns:c15="http://schemas.microsoft.com/office/drawing/2012/chart">
                    <c:ext xmlns:c16="http://schemas.microsoft.com/office/drawing/2014/chart" uri="{C3380CC4-5D6E-409C-BE32-E72D297353CC}">
                      <c16:uniqueId val="{00000019-9A4B-4BFE-B869-B86D4663B8BE}"/>
                    </c:ext>
                  </c:extLst>
                </c:dPt>
                <c:dPt>
                  <c:idx val="9"/>
                  <c:marker>
                    <c:symbol val="circle"/>
                    <c:size val="6"/>
                    <c:spPr>
                      <a:noFill/>
                      <a:ln w="34925" cap="flat" cmpd="dbl" algn="ctr">
                        <a:solidFill>
                          <a:schemeClr val="accent2">
                            <a:lumMod val="75000"/>
                            <a:alpha val="70000"/>
                          </a:schemeClr>
                        </a:solidFill>
                        <a:round/>
                      </a:ln>
                      <a:effectLst/>
                    </c:spPr>
                  </c:marker>
                  <c:bubble3D val="0"/>
                  <c:extLst xmlns:c15="http://schemas.microsoft.com/office/drawing/2012/chart">
                    <c:ext xmlns:c16="http://schemas.microsoft.com/office/drawing/2014/chart" uri="{C3380CC4-5D6E-409C-BE32-E72D297353CC}">
                      <c16:uniqueId val="{0000001A-9A4B-4BFE-B869-B86D4663B8BE}"/>
                    </c:ext>
                  </c:extLst>
                </c:dPt>
                <c:xVal>
                  <c:numRef>
                    <c:extLst xmlns:c15="http://schemas.microsoft.com/office/drawing/2012/chart">
                      <c:ext xmlns:c15="http://schemas.microsoft.com/office/drawing/2012/chart" uri="{02D57815-91ED-43cb-92C2-25804820EDAC}">
                        <c15:formulaRef>
                          <c15:sqref>'IP data'!$C$21:$C$32</c15:sqref>
                        </c15:formulaRef>
                      </c:ext>
                    </c:extLst>
                    <c:numCache>
                      <c:formatCode>General</c:formatCode>
                      <c:ptCount val="12"/>
                      <c:pt idx="0">
                        <c:v>150.30000000000001</c:v>
                      </c:pt>
                      <c:pt idx="1">
                        <c:v>122</c:v>
                      </c:pt>
                      <c:pt idx="2">
                        <c:v>122</c:v>
                      </c:pt>
                      <c:pt idx="3">
                        <c:v>122</c:v>
                      </c:pt>
                      <c:pt idx="4">
                        <c:v>250</c:v>
                      </c:pt>
                      <c:pt idx="5">
                        <c:v>140</c:v>
                      </c:pt>
                      <c:pt idx="6">
                        <c:v>150</c:v>
                      </c:pt>
                      <c:pt idx="7">
                        <c:v>300</c:v>
                      </c:pt>
                      <c:pt idx="8">
                        <c:v>500</c:v>
                      </c:pt>
                      <c:pt idx="9">
                        <c:v>40</c:v>
                      </c:pt>
                      <c:pt idx="10">
                        <c:v>120</c:v>
                      </c:pt>
                      <c:pt idx="11">
                        <c:v>176</c:v>
                      </c:pt>
                    </c:numCache>
                  </c:numRef>
                </c:xVal>
                <c:yVal>
                  <c:numRef>
                    <c:extLst xmlns:c15="http://schemas.microsoft.com/office/drawing/2012/chart">
                      <c:ext xmlns:c15="http://schemas.microsoft.com/office/drawing/2012/chart" uri="{02D57815-91ED-43cb-92C2-25804820EDAC}">
                        <c15:formulaRef>
                          <c15:sqref>'IP data'!$J$7:$J$16</c15:sqref>
                        </c15:formulaRef>
                      </c:ext>
                    </c:extLst>
                    <c:numCache>
                      <c:formatCode>General</c:formatCode>
                      <c:ptCount val="10"/>
                      <c:pt idx="0">
                        <c:v>71</c:v>
                      </c:pt>
                      <c:pt idx="1">
                        <c:v>64</c:v>
                      </c:pt>
                      <c:pt idx="2">
                        <c:v>58</c:v>
                      </c:pt>
                      <c:pt idx="3">
                        <c:v>54</c:v>
                      </c:pt>
                      <c:pt idx="4">
                        <c:v>51</c:v>
                      </c:pt>
                      <c:pt idx="5">
                        <c:v>49</c:v>
                      </c:pt>
                      <c:pt idx="6">
                        <c:v>48</c:v>
                      </c:pt>
                      <c:pt idx="7">
                        <c:v>47</c:v>
                      </c:pt>
                      <c:pt idx="8">
                        <c:v>58.1</c:v>
                      </c:pt>
                      <c:pt idx="9">
                        <c:v>50.5</c:v>
                      </c:pt>
                    </c:numCache>
                  </c:numRef>
                </c:yVal>
                <c:smooth val="0"/>
                <c:extLst xmlns:c15="http://schemas.microsoft.com/office/drawing/2012/chart">
                  <c:ext xmlns:c16="http://schemas.microsoft.com/office/drawing/2014/chart" uri="{C3380CC4-5D6E-409C-BE32-E72D297353CC}">
                    <c16:uniqueId val="{0000001B-9A4B-4BFE-B869-B86D4663B8BE}"/>
                  </c:ext>
                </c:extLst>
              </c15:ser>
            </c15:filteredScatterSeries>
          </c:ext>
        </c:extLst>
      </c:scatterChart>
      <c:valAx>
        <c:axId val="211625544"/>
        <c:scaling>
          <c:orientation val="minMax"/>
          <c:max val="550"/>
          <c:min val="0"/>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900" b="0" i="0" u="none" strike="noStrike" kern="1200" cap="all" baseline="0">
                    <a:solidFill>
                      <a:sysClr val="windowText" lastClr="000000"/>
                    </a:solidFill>
                    <a:latin typeface="+mn-lt"/>
                    <a:ea typeface="+mn-ea"/>
                    <a:cs typeface="+mn-cs"/>
                  </a:defRPr>
                </a:pPr>
                <a:r>
                  <a:rPr lang="en-US">
                    <a:solidFill>
                      <a:sysClr val="windowText" lastClr="000000"/>
                    </a:solidFill>
                  </a:rPr>
                  <a:t>Flow Rate. CFM</a:t>
                </a:r>
              </a:p>
            </c:rich>
          </c:tx>
          <c:layout>
            <c:manualLayout>
              <c:xMode val="edge"/>
              <c:yMode val="edge"/>
              <c:x val="0.39440757405324334"/>
              <c:y val="0.94811165845648604"/>
            </c:manualLayout>
          </c:layout>
          <c:overlay val="0"/>
          <c:spPr>
            <a:noFill/>
            <a:ln>
              <a:noFill/>
            </a:ln>
            <a:effectLst/>
          </c:spPr>
          <c:txPr>
            <a:bodyPr rot="0" spcFirstLastPara="1" vertOverflow="ellipsis" vert="horz" wrap="square" anchor="ctr" anchorCtr="1"/>
            <a:lstStyle/>
            <a:p>
              <a:pPr>
                <a:defRPr sz="900" b="0" i="0" u="none" strike="noStrike" kern="1200" cap="all"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1625152"/>
        <c:crosses val="autoZero"/>
        <c:crossBetween val="midCat"/>
      </c:valAx>
      <c:valAx>
        <c:axId val="211625152"/>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900" b="0" i="0" u="none" strike="noStrike" kern="1200" cap="all" baseline="0">
                    <a:solidFill>
                      <a:sysClr val="windowText" lastClr="000000"/>
                    </a:solidFill>
                    <a:latin typeface="+mn-lt"/>
                    <a:ea typeface="+mn-ea"/>
                    <a:cs typeface="+mn-cs"/>
                  </a:defRPr>
                </a:pPr>
                <a:r>
                  <a:rPr lang="en-US">
                    <a:solidFill>
                      <a:sysClr val="windowText" lastClr="000000"/>
                    </a:solidFill>
                  </a:rPr>
                  <a:t>Pressure Rise, "H2O 
</a:t>
                </a:r>
              </a:p>
            </c:rich>
          </c:tx>
          <c:layout>
            <c:manualLayout>
              <c:xMode val="edge"/>
              <c:yMode val="edge"/>
              <c:x val="2.961309523809524E-3"/>
              <c:y val="0.27454775049670516"/>
            </c:manualLayout>
          </c:layout>
          <c:overlay val="0"/>
          <c:spPr>
            <a:noFill/>
            <a:ln>
              <a:noFill/>
            </a:ln>
            <a:effectLst/>
          </c:spPr>
          <c:txPr>
            <a:bodyPr rot="-5400000" spcFirstLastPara="1" vertOverflow="ellipsis" vert="horz" wrap="square" anchor="ctr" anchorCtr="1"/>
            <a:lstStyle/>
            <a:p>
              <a:pPr>
                <a:defRPr sz="900" b="0" i="0" u="none" strike="noStrike" kern="1200" cap="all"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162554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3">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tx1">
        <a:lumMod val="65000"/>
        <a:lumOff val="35000"/>
      </a:schemeClr>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5400" cap="flat" cmpd="dbl" algn="ctr">
        <a:solidFill>
          <a:schemeClr val="phClr">
            <a:alpha val="50000"/>
          </a:schemeClr>
        </a:solidFill>
        <a:round/>
      </a:ln>
    </cs:spPr>
  </cs:dataPointLine>
  <cs:dataPointMarker>
    <cs:lnRef idx="0">
      <cs:styleClr val="auto"/>
    </cs:lnRef>
    <cs:fillRef idx="0">
      <cs:styleClr val="auto"/>
    </cs:fillRef>
    <cs:effectRef idx="0"/>
    <cs:fontRef idx="minor">
      <a:schemeClr val="dk1"/>
    </cs:fontRef>
    <cs:spPr>
      <a:ln w="34925" cap="flat" cmpd="dbl" algn="ctr">
        <a:solidFill>
          <a:schemeClr val="phClr">
            <a:lumMod val="75000"/>
            <a:alpha val="70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kern="1200" spc="0" normalizeH="0" baseline="0"/>
  </cs:title>
  <cs:trendline>
    <cs:lnRef idx="0">
      <cs:styleClr val="0"/>
    </cs:lnRef>
    <cs:fillRef idx="0"/>
    <cs:effectRef idx="0"/>
    <cs:fontRef idx="minor">
      <a:schemeClr val="tx1"/>
    </cs:fontRef>
    <cs:spPr>
      <a:ln w="38100" cap="rnd" cmpd="sng" algn="ctr">
        <a:solidFill>
          <a:schemeClr val="phClr">
            <a:lumMod val="75000"/>
            <a:alpha val="25000"/>
          </a:scheme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b="0" kern="1200"/>
  </cs:valueAxis>
  <cs:wall>
    <cs:lnRef idx="0"/>
    <cs:fillRef idx="0"/>
    <cs:effectRef idx="0"/>
    <cs:fontRef idx="minor">
      <a:schemeClr val="dk1"/>
    </cs:fontRef>
  </cs:wall>
</cs:chartStyle>
</file>

<file path=word/drawings/drawing1.xml><?xml version="1.0" encoding="utf-8"?>
<c:userShapes xmlns:c="http://schemas.openxmlformats.org/drawingml/2006/chart">
  <cdr:relSizeAnchor xmlns:cdr="http://schemas.openxmlformats.org/drawingml/2006/chartDrawing">
    <cdr:from>
      <cdr:x>0.55022</cdr:x>
      <cdr:y>0.45813</cdr:y>
    </cdr:from>
    <cdr:to>
      <cdr:x>0.86607</cdr:x>
      <cdr:y>0.73892</cdr:y>
    </cdr:to>
    <cdr:cxnSp macro="">
      <cdr:nvCxnSpPr>
        <cdr:cNvPr id="3" name="Straight Connector 2">
          <a:extLst xmlns:a="http://schemas.openxmlformats.org/drawingml/2006/main">
            <a:ext uri="{FF2B5EF4-FFF2-40B4-BE49-F238E27FC236}">
              <a16:creationId xmlns:a16="http://schemas.microsoft.com/office/drawing/2014/main" id="{5E6DACFF-FA06-41B9-90E4-08C381D96F99}"/>
            </a:ext>
          </a:extLst>
        </cdr:cNvPr>
        <cdr:cNvCxnSpPr/>
      </cdr:nvCxnSpPr>
      <cdr:spPr>
        <a:xfrm xmlns:a="http://schemas.openxmlformats.org/drawingml/2006/main" flipV="1">
          <a:off x="4695825" y="2657475"/>
          <a:ext cx="2695575" cy="1628775"/>
        </a:xfrm>
        <a:prstGeom xmlns:a="http://schemas.openxmlformats.org/drawingml/2006/main" prst="line">
          <a:avLst/>
        </a:prstGeom>
        <a:ln xmlns:a="http://schemas.openxmlformats.org/drawingml/2006/main" w="25400" cap="rnd">
          <a:solidFill>
            <a:schemeClr val="accent2">
              <a:lumMod val="75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0.63629</cdr:x>
      <cdr:y>0.53616</cdr:y>
    </cdr:from>
    <cdr:to>
      <cdr:x>0.76196</cdr:x>
      <cdr:y>0.59317</cdr:y>
    </cdr:to>
    <cdr:sp macro="" textlink="">
      <cdr:nvSpPr>
        <cdr:cNvPr id="4" name="TextBox 3"/>
        <cdr:cNvSpPr txBox="1"/>
      </cdr:nvSpPr>
      <cdr:spPr>
        <a:xfrm xmlns:a="http://schemas.openxmlformats.org/drawingml/2006/main" rot="19687695">
          <a:off x="5430346" y="3110141"/>
          <a:ext cx="1072549" cy="330671"/>
        </a:xfrm>
        <a:prstGeom xmlns:a="http://schemas.openxmlformats.org/drawingml/2006/main" prst="rect">
          <a:avLst/>
        </a:prstGeom>
        <a:solidFill xmlns:a="http://schemas.openxmlformats.org/drawingml/2006/main">
          <a:schemeClr val="bg1"/>
        </a:solidFill>
      </cdr:spPr>
      <cdr:txBody>
        <a:bodyPr xmlns:a="http://schemas.openxmlformats.org/drawingml/2006/main" vertOverflow="clip" wrap="none" rtlCol="0"/>
        <a:lstStyle xmlns:a="http://schemas.openxmlformats.org/drawingml/2006/main"/>
        <a:p xmlns:a="http://schemas.openxmlformats.org/drawingml/2006/main">
          <a:r>
            <a:rPr lang="en-US" sz="1100" b="1"/>
            <a:t>ISS CCAA</a:t>
          </a:r>
        </a:p>
      </cdr:txBody>
    </cdr:sp>
  </cdr:relSizeAnchor>
  <cdr:relSizeAnchor xmlns:cdr="http://schemas.openxmlformats.org/drawingml/2006/chartDrawing">
    <cdr:from>
      <cdr:x>0.13839</cdr:x>
      <cdr:y>0.72578</cdr:y>
    </cdr:from>
    <cdr:to>
      <cdr:x>0.26451</cdr:x>
      <cdr:y>0.79475</cdr:y>
    </cdr:to>
    <cdr:cxnSp macro="">
      <cdr:nvCxnSpPr>
        <cdr:cNvPr id="6" name="Straight Connector 5">
          <a:extLst xmlns:a="http://schemas.openxmlformats.org/drawingml/2006/main">
            <a:ext uri="{FF2B5EF4-FFF2-40B4-BE49-F238E27FC236}">
              <a16:creationId xmlns:a16="http://schemas.microsoft.com/office/drawing/2014/main" id="{14883A0D-8BEE-46E3-8B31-EE0C5B050A3C}"/>
            </a:ext>
          </a:extLst>
        </cdr:cNvPr>
        <cdr:cNvCxnSpPr/>
      </cdr:nvCxnSpPr>
      <cdr:spPr>
        <a:xfrm xmlns:a="http://schemas.openxmlformats.org/drawingml/2006/main" flipV="1">
          <a:off x="1181100" y="4210050"/>
          <a:ext cx="1076325" cy="400050"/>
        </a:xfrm>
        <a:prstGeom xmlns:a="http://schemas.openxmlformats.org/drawingml/2006/main" prst="line">
          <a:avLst/>
        </a:prstGeom>
        <a:ln xmlns:a="http://schemas.openxmlformats.org/drawingml/2006/main" w="25400"/>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0.10012</cdr:x>
      <cdr:y>0.69108</cdr:y>
    </cdr:from>
    <cdr:to>
      <cdr:x>0.26894</cdr:x>
      <cdr:y>0.74623</cdr:y>
    </cdr:to>
    <cdr:sp macro="" textlink="">
      <cdr:nvSpPr>
        <cdr:cNvPr id="7" name="TextBox 6"/>
        <cdr:cNvSpPr txBox="1"/>
      </cdr:nvSpPr>
      <cdr:spPr>
        <a:xfrm xmlns:a="http://schemas.openxmlformats.org/drawingml/2006/main" rot="20414347">
          <a:off x="854462" y="4008751"/>
          <a:ext cx="1440792" cy="319951"/>
        </a:xfrm>
        <a:prstGeom xmlns:a="http://schemas.openxmlformats.org/drawingml/2006/main" prst="rect">
          <a:avLst/>
        </a:prstGeom>
        <a:solidFill xmlns:a="http://schemas.openxmlformats.org/drawingml/2006/main">
          <a:schemeClr val="bg1"/>
        </a:solidFill>
      </cdr:spPr>
      <cdr:txBody>
        <a:bodyPr xmlns:a="http://schemas.openxmlformats.org/drawingml/2006/main" vertOverflow="clip" wrap="none" rtlCol="0"/>
        <a:lstStyle xmlns:a="http://schemas.openxmlformats.org/drawingml/2006/main"/>
        <a:p xmlns:a="http://schemas.openxmlformats.org/drawingml/2006/main">
          <a:r>
            <a:rPr lang="en-US" sz="1100" b="1"/>
            <a:t>ExPRESS AAA</a:t>
          </a:r>
        </a:p>
      </cdr:txBody>
    </cdr:sp>
  </cdr:relSizeAnchor>
  <cdr:relSizeAnchor xmlns:cdr="http://schemas.openxmlformats.org/drawingml/2006/chartDrawing">
    <cdr:from>
      <cdr:x>0.32701</cdr:x>
      <cdr:y>0.65846</cdr:y>
    </cdr:from>
    <cdr:to>
      <cdr:x>0.47879</cdr:x>
      <cdr:y>0.77504</cdr:y>
    </cdr:to>
    <cdr:sp macro="" textlink="">
      <cdr:nvSpPr>
        <cdr:cNvPr id="8" name="TextBox 7"/>
        <cdr:cNvSpPr txBox="1"/>
      </cdr:nvSpPr>
      <cdr:spPr>
        <a:xfrm xmlns:a="http://schemas.openxmlformats.org/drawingml/2006/main">
          <a:off x="2790824" y="3819524"/>
          <a:ext cx="1295401" cy="676275"/>
        </a:xfrm>
        <a:prstGeom xmlns:a="http://schemas.openxmlformats.org/drawingml/2006/main" prst="rect">
          <a:avLst/>
        </a:prstGeom>
        <a:solidFill xmlns:a="http://schemas.openxmlformats.org/drawingml/2006/main">
          <a:schemeClr val="bg1"/>
        </a:solidFill>
      </cdr:spPr>
      <cdr:txBody>
        <a:bodyPr xmlns:a="http://schemas.openxmlformats.org/drawingml/2006/main" vertOverflow="clip" wrap="none" rtlCol="0"/>
        <a:lstStyle xmlns:a="http://schemas.openxmlformats.org/drawingml/2006/main"/>
        <a:p xmlns:a="http://schemas.openxmlformats.org/drawingml/2006/main">
          <a:r>
            <a:rPr lang="en-US" sz="1100" b="1"/>
            <a:t>High Speed</a:t>
          </a:r>
        </a:p>
        <a:p xmlns:a="http://schemas.openxmlformats.org/drawingml/2006/main">
          <a:r>
            <a:rPr lang="en-US" sz="1100" b="1"/>
            <a:t>ISS IMV</a:t>
          </a:r>
        </a:p>
      </cdr:txBody>
    </cdr:sp>
  </cdr:relSizeAnchor>
  <cdr:relSizeAnchor xmlns:cdr="http://schemas.openxmlformats.org/drawingml/2006/chartDrawing">
    <cdr:from>
      <cdr:x>0.31473</cdr:x>
      <cdr:y>0.77504</cdr:y>
    </cdr:from>
    <cdr:to>
      <cdr:x>0.42188</cdr:x>
      <cdr:y>0.83908</cdr:y>
    </cdr:to>
    <cdr:sp macro="" textlink="">
      <cdr:nvSpPr>
        <cdr:cNvPr id="9" name="TextBox 8"/>
        <cdr:cNvSpPr txBox="1"/>
      </cdr:nvSpPr>
      <cdr:spPr>
        <a:xfrm xmlns:a="http://schemas.openxmlformats.org/drawingml/2006/main">
          <a:off x="2686050" y="4495800"/>
          <a:ext cx="914400" cy="371475"/>
        </a:xfrm>
        <a:prstGeom xmlns:a="http://schemas.openxmlformats.org/drawingml/2006/main" prst="rect">
          <a:avLst/>
        </a:prstGeom>
        <a:solidFill xmlns:a="http://schemas.openxmlformats.org/drawingml/2006/main">
          <a:schemeClr val="bg1"/>
        </a:solidFill>
      </cdr:spPr>
      <cdr:txBody>
        <a:bodyPr xmlns:a="http://schemas.openxmlformats.org/drawingml/2006/main" vertOverflow="clip" wrap="none" rtlCol="0"/>
        <a:lstStyle xmlns:a="http://schemas.openxmlformats.org/drawingml/2006/main"/>
        <a:p xmlns:a="http://schemas.openxmlformats.org/drawingml/2006/main">
          <a:r>
            <a:rPr lang="en-US" sz="1100" b="1"/>
            <a:t>ISS IMV</a:t>
          </a:r>
        </a:p>
      </cdr:txBody>
    </cdr:sp>
  </cdr:relSizeAnchor>
  <cdr:relSizeAnchor xmlns:cdr="http://schemas.openxmlformats.org/drawingml/2006/chartDrawing">
    <cdr:from>
      <cdr:x>0.33371</cdr:x>
      <cdr:y>0.43842</cdr:y>
    </cdr:from>
    <cdr:to>
      <cdr:x>0.58705</cdr:x>
      <cdr:y>0.60591</cdr:y>
    </cdr:to>
    <cdr:sp macro="" textlink="">
      <cdr:nvSpPr>
        <cdr:cNvPr id="10" name="TextBox 9"/>
        <cdr:cNvSpPr txBox="1"/>
      </cdr:nvSpPr>
      <cdr:spPr>
        <a:xfrm xmlns:a="http://schemas.openxmlformats.org/drawingml/2006/main">
          <a:off x="2847974" y="2543176"/>
          <a:ext cx="2162176" cy="971550"/>
        </a:xfrm>
        <a:prstGeom xmlns:a="http://schemas.openxmlformats.org/drawingml/2006/main" prst="rect">
          <a:avLst/>
        </a:prstGeom>
        <a:solidFill xmlns:a="http://schemas.openxmlformats.org/drawingml/2006/main">
          <a:schemeClr val="bg1"/>
        </a:solidFill>
      </cdr:spPr>
      <cdr:txBody>
        <a:bodyPr xmlns:a="http://schemas.openxmlformats.org/drawingml/2006/main" vertOverflow="clip" wrap="none" rtlCol="0"/>
        <a:lstStyle xmlns:a="http://schemas.openxmlformats.org/drawingml/2006/main"/>
        <a:p xmlns:a="http://schemas.openxmlformats.org/drawingml/2006/main">
          <a:r>
            <a:rPr lang="en-US" sz="1100" b="1"/>
            <a:t>GRC Spacefan</a:t>
          </a:r>
        </a:p>
        <a:p xmlns:a="http://schemas.openxmlformats.org/drawingml/2006/main">
          <a:r>
            <a:rPr lang="en-US" sz="1100" b="1"/>
            <a:t>(Original Orion Cabin</a:t>
          </a:r>
        </a:p>
        <a:p xmlns:a="http://schemas.openxmlformats.org/drawingml/2006/main">
          <a:r>
            <a:rPr lang="en-US" sz="1100" b="1"/>
            <a:t>Fan Design Point) </a:t>
          </a:r>
        </a:p>
      </cdr:txBody>
    </cdr:sp>
  </cdr:relSizeAnchor>
  <cdr:relSizeAnchor xmlns:cdr="http://schemas.openxmlformats.org/drawingml/2006/chartDrawing">
    <cdr:from>
      <cdr:x>0.36496</cdr:x>
      <cdr:y>0.83744</cdr:y>
    </cdr:from>
    <cdr:to>
      <cdr:x>0.56585</cdr:x>
      <cdr:y>0.88998</cdr:y>
    </cdr:to>
    <cdr:sp macro="" textlink="">
      <cdr:nvSpPr>
        <cdr:cNvPr id="11" name="TextBox 10"/>
        <cdr:cNvSpPr txBox="1"/>
      </cdr:nvSpPr>
      <cdr:spPr>
        <a:xfrm xmlns:a="http://schemas.openxmlformats.org/drawingml/2006/main">
          <a:off x="3114674" y="4857750"/>
          <a:ext cx="1714501" cy="3048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100" b="1"/>
            <a:t>RSC-E Quiet Fan</a:t>
          </a:r>
        </a:p>
      </cdr:txBody>
    </cdr:sp>
  </cdr:relSizeAnchor>
  <cdr:relSizeAnchor xmlns:cdr="http://schemas.openxmlformats.org/drawingml/2006/chartDrawing">
    <cdr:from>
      <cdr:x>0.48996</cdr:x>
      <cdr:y>0.23153</cdr:y>
    </cdr:from>
    <cdr:to>
      <cdr:x>0.73103</cdr:x>
      <cdr:y>0.29064</cdr:y>
    </cdr:to>
    <cdr:sp macro="" textlink="">
      <cdr:nvSpPr>
        <cdr:cNvPr id="12" name="TextBox 11"/>
        <cdr:cNvSpPr txBox="1"/>
      </cdr:nvSpPr>
      <cdr:spPr>
        <a:xfrm xmlns:a="http://schemas.openxmlformats.org/drawingml/2006/main">
          <a:off x="4181474" y="1343026"/>
          <a:ext cx="2057401" cy="342900"/>
        </a:xfrm>
        <a:prstGeom xmlns:a="http://schemas.openxmlformats.org/drawingml/2006/main" prst="rect">
          <a:avLst/>
        </a:prstGeom>
        <a:noFill xmlns:a="http://schemas.openxmlformats.org/drawingml/2006/main"/>
      </cdr:spPr>
      <cdr:txBody>
        <a:bodyPr xmlns:a="http://schemas.openxmlformats.org/drawingml/2006/main" vertOverflow="clip" wrap="none" rtlCol="0"/>
        <a:lstStyle xmlns:a="http://schemas.openxmlformats.org/drawingml/2006/main"/>
        <a:p xmlns:a="http://schemas.openxmlformats.org/drawingml/2006/main">
          <a:r>
            <a:rPr lang="en-US" sz="1100" b="1"/>
            <a:t>Gateway Cabin Fan</a:t>
          </a:r>
        </a:p>
      </cdr:txBody>
    </cdr:sp>
  </cdr:relSizeAnchor>
  <cdr:relSizeAnchor xmlns:cdr="http://schemas.openxmlformats.org/drawingml/2006/chartDrawing">
    <cdr:from>
      <cdr:x>0.27088</cdr:x>
      <cdr:y>0.09441</cdr:y>
    </cdr:from>
    <cdr:to>
      <cdr:x>0.27088</cdr:x>
      <cdr:y>0.30623</cdr:y>
    </cdr:to>
    <cdr:cxnSp macro="">
      <cdr:nvCxnSpPr>
        <cdr:cNvPr id="14" name="Straight Connector 13">
          <a:extLst xmlns:a="http://schemas.openxmlformats.org/drawingml/2006/main">
            <a:ext uri="{FF2B5EF4-FFF2-40B4-BE49-F238E27FC236}">
              <a16:creationId xmlns:a16="http://schemas.microsoft.com/office/drawing/2014/main" id="{C387F6C4-F39D-4F19-9598-369E2978F532}"/>
            </a:ext>
          </a:extLst>
        </cdr:cNvPr>
        <cdr:cNvCxnSpPr/>
      </cdr:nvCxnSpPr>
      <cdr:spPr>
        <a:xfrm xmlns:a="http://schemas.openxmlformats.org/drawingml/2006/main" flipV="1">
          <a:off x="1709075" y="404827"/>
          <a:ext cx="0" cy="908317"/>
        </a:xfrm>
        <a:prstGeom xmlns:a="http://schemas.openxmlformats.org/drawingml/2006/main" prst="line">
          <a:avLst/>
        </a:prstGeom>
        <a:ln xmlns:a="http://schemas.openxmlformats.org/drawingml/2006/main" w="25400">
          <a:solidFill>
            <a:schemeClr val="accent6">
              <a:lumMod val="50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0.27121</cdr:x>
      <cdr:y>0.13629</cdr:y>
    </cdr:from>
    <cdr:to>
      <cdr:x>0.47098</cdr:x>
      <cdr:y>0.20033</cdr:y>
    </cdr:to>
    <cdr:sp macro="" textlink="">
      <cdr:nvSpPr>
        <cdr:cNvPr id="15" name="TextBox 14"/>
        <cdr:cNvSpPr txBox="1"/>
      </cdr:nvSpPr>
      <cdr:spPr>
        <a:xfrm xmlns:a="http://schemas.openxmlformats.org/drawingml/2006/main">
          <a:off x="2314574" y="790575"/>
          <a:ext cx="1704975" cy="371475"/>
        </a:xfrm>
        <a:prstGeom xmlns:a="http://schemas.openxmlformats.org/drawingml/2006/main" prst="rect">
          <a:avLst/>
        </a:prstGeom>
        <a:noFill xmlns:a="http://schemas.openxmlformats.org/drawingml/2006/main"/>
      </cdr:spPr>
      <cdr:txBody>
        <a:bodyPr xmlns:a="http://schemas.openxmlformats.org/drawingml/2006/main" vertOverflow="clip" wrap="none" rtlCol="0"/>
        <a:lstStyle xmlns:a="http://schemas.openxmlformats.org/drawingml/2006/main"/>
        <a:p xmlns:a="http://schemas.openxmlformats.org/drawingml/2006/main">
          <a:r>
            <a:rPr lang="en-US" sz="1100" b="1"/>
            <a:t>Orion Cabin Fan</a:t>
          </a:r>
        </a:p>
      </cdr:txBody>
    </cdr:sp>
  </cdr:relSizeAnchor>
  <cdr:relSizeAnchor xmlns:cdr="http://schemas.openxmlformats.org/drawingml/2006/chartDrawing">
    <cdr:from>
      <cdr:x>0.17188</cdr:x>
      <cdr:y>0.28571</cdr:y>
    </cdr:from>
    <cdr:to>
      <cdr:x>0.24777</cdr:x>
      <cdr:y>0.34647</cdr:y>
    </cdr:to>
    <cdr:sp macro="" textlink="">
      <cdr:nvSpPr>
        <cdr:cNvPr id="16" name="TextBox 15"/>
        <cdr:cNvSpPr txBox="1"/>
      </cdr:nvSpPr>
      <cdr:spPr>
        <a:xfrm xmlns:a="http://schemas.openxmlformats.org/drawingml/2006/main">
          <a:off x="1466850" y="1657350"/>
          <a:ext cx="647700" cy="352425"/>
        </a:xfrm>
        <a:prstGeom xmlns:a="http://schemas.openxmlformats.org/drawingml/2006/main" prst="rect">
          <a:avLst/>
        </a:prstGeom>
        <a:noFill xmlns:a="http://schemas.openxmlformats.org/drawingml/2006/main"/>
      </cdr:spPr>
      <cdr:txBody>
        <a:bodyPr xmlns:a="http://schemas.openxmlformats.org/drawingml/2006/main" vertOverflow="clip" wrap="none" rtlCol="0"/>
        <a:lstStyle xmlns:a="http://schemas.openxmlformats.org/drawingml/2006/main"/>
        <a:p xmlns:a="http://schemas.openxmlformats.org/drawingml/2006/main">
          <a:r>
            <a:rPr lang="en-US" sz="1100" b="1"/>
            <a:t>Sleep</a:t>
          </a:r>
        </a:p>
      </cdr:txBody>
    </cdr:sp>
  </cdr:relSizeAnchor>
  <cdr:relSizeAnchor xmlns:cdr="http://schemas.openxmlformats.org/drawingml/2006/chartDrawing">
    <cdr:from>
      <cdr:x>0.1596</cdr:x>
      <cdr:y>0.22003</cdr:y>
    </cdr:from>
    <cdr:to>
      <cdr:x>0.24888</cdr:x>
      <cdr:y>0.27915</cdr:y>
    </cdr:to>
    <cdr:sp macro="" textlink="">
      <cdr:nvSpPr>
        <cdr:cNvPr id="17" name="TextBox 16"/>
        <cdr:cNvSpPr txBox="1"/>
      </cdr:nvSpPr>
      <cdr:spPr>
        <a:xfrm xmlns:a="http://schemas.openxmlformats.org/drawingml/2006/main">
          <a:off x="1362075" y="1276350"/>
          <a:ext cx="762000" cy="3429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100" b="1"/>
            <a:t>Awake</a:t>
          </a:r>
        </a:p>
      </cdr:txBody>
    </cdr:sp>
  </cdr:relSizeAnchor>
  <cdr:relSizeAnchor xmlns:cdr="http://schemas.openxmlformats.org/drawingml/2006/chartDrawing">
    <cdr:from>
      <cdr:x>0.15067</cdr:x>
      <cdr:y>0.06076</cdr:y>
    </cdr:from>
    <cdr:to>
      <cdr:x>0.26004</cdr:x>
      <cdr:y>0.11823</cdr:y>
    </cdr:to>
    <cdr:sp macro="" textlink="">
      <cdr:nvSpPr>
        <cdr:cNvPr id="18" name="TextBox 17"/>
        <cdr:cNvSpPr txBox="1"/>
      </cdr:nvSpPr>
      <cdr:spPr>
        <a:xfrm xmlns:a="http://schemas.openxmlformats.org/drawingml/2006/main">
          <a:off x="1285875" y="352425"/>
          <a:ext cx="933450" cy="333375"/>
        </a:xfrm>
        <a:prstGeom xmlns:a="http://schemas.openxmlformats.org/drawingml/2006/main" prst="rect">
          <a:avLst/>
        </a:prstGeom>
        <a:noFill xmlns:a="http://schemas.openxmlformats.org/drawingml/2006/main"/>
      </cdr:spPr>
      <cdr:txBody>
        <a:bodyPr xmlns:a="http://schemas.openxmlformats.org/drawingml/2006/main" vertOverflow="clip" wrap="none" rtlCol="0"/>
        <a:lstStyle xmlns:a="http://schemas.openxmlformats.org/drawingml/2006/main"/>
        <a:p xmlns:a="http://schemas.openxmlformats.org/drawingml/2006/main">
          <a:r>
            <a:rPr lang="en-US" sz="1100" b="1"/>
            <a:t>Exercise</a:t>
          </a:r>
        </a:p>
      </cdr:txBody>
    </cdr:sp>
  </cdr:relSizeAnchor>
  <cdr:relSizeAnchor xmlns:cdr="http://schemas.openxmlformats.org/drawingml/2006/chartDrawing">
    <cdr:from>
      <cdr:x>0.27021</cdr:x>
      <cdr:y>0.10132</cdr:y>
    </cdr:from>
    <cdr:to>
      <cdr:x>0.27021</cdr:x>
      <cdr:y>0.31314</cdr:y>
    </cdr:to>
    <cdr:cxnSp macro="">
      <cdr:nvCxnSpPr>
        <cdr:cNvPr id="19" name="Straight Connector 18"/>
        <cdr:cNvCxnSpPr/>
      </cdr:nvCxnSpPr>
      <cdr:spPr>
        <a:xfrm xmlns:a="http://schemas.openxmlformats.org/drawingml/2006/main" flipV="1">
          <a:off x="1704842" y="434460"/>
          <a:ext cx="0" cy="908317"/>
        </a:xfrm>
        <a:prstGeom xmlns:a="http://schemas.openxmlformats.org/drawingml/2006/main" prst="line">
          <a:avLst/>
        </a:prstGeom>
        <a:ln xmlns:a="http://schemas.openxmlformats.org/drawingml/2006/main" w="25400">
          <a:solidFill>
            <a:schemeClr val="accent6">
              <a:lumMod val="50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Tema de Office">
  <a:themeElements>
    <a:clrScheme name="Tema de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Tema de Office">
      <a:majorFont>
        <a:latin typeface="Helvetica Neue"/>
        <a:ea typeface="Helvetica Neue"/>
        <a:cs typeface="Helvetica Neue"/>
      </a:majorFont>
      <a:minorFont>
        <a:latin typeface="Helvetica Neue"/>
        <a:ea typeface="Helvetica Neue"/>
        <a:cs typeface="Helvetica Neue"/>
      </a:minorFont>
    </a:fontScheme>
    <a:fmtScheme name="Tema d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FB2ABF-A09F-4607-9483-7CC7595A0B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266</TotalTime>
  <Pages>9</Pages>
  <Words>3060</Words>
  <Characters>17447</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Purdue University</Company>
  <LinksUpToDate>false</LinksUpToDate>
  <CharactersWithSpaces>20467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Allen, Christopher S. (JSC-SF311)</dc:creator>
  <cp:lastModifiedBy>Allen, Christopher S. (JSC-SF311)</cp:lastModifiedBy>
  <cp:revision>35</cp:revision>
  <cp:lastPrinted>2023-02-27T23:03:00Z</cp:lastPrinted>
  <dcterms:created xsi:type="dcterms:W3CDTF">2023-03-08T02:05:00Z</dcterms:created>
  <dcterms:modified xsi:type="dcterms:W3CDTF">2023-03-09T19:16:00Z</dcterms:modified>
</cp:coreProperties>
</file>