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5FD3" w14:textId="77777777" w:rsidR="000C3A47" w:rsidRPr="004A4746" w:rsidRDefault="000C3A47" w:rsidP="000C3A47">
      <w:pPr>
        <w:rPr>
          <w:rFonts w:cs="Times New Roman"/>
          <w:b/>
          <w:color w:val="000000" w:themeColor="text1"/>
          <w:szCs w:val="22"/>
        </w:rPr>
      </w:pPr>
      <w:r w:rsidRPr="004A4746">
        <w:rPr>
          <w:rFonts w:cs="Times New Roman"/>
          <w:b/>
          <w:color w:val="000000" w:themeColor="text1"/>
          <w:szCs w:val="22"/>
        </w:rPr>
        <w:t>Appendix</w:t>
      </w:r>
    </w:p>
    <w:p w14:paraId="6CD4F9EA" w14:textId="77777777" w:rsidR="000C3A47" w:rsidRPr="004A4746" w:rsidRDefault="000C3A47" w:rsidP="000C3A47">
      <w:pPr>
        <w:rPr>
          <w:rFonts w:cs="Times New Roman"/>
          <w:b/>
          <w:color w:val="000000" w:themeColor="text1"/>
          <w:szCs w:val="22"/>
        </w:rPr>
      </w:pPr>
      <w:r w:rsidRPr="004A4746">
        <w:rPr>
          <w:rFonts w:cs="Times New Roman"/>
          <w:b/>
          <w:color w:val="000000" w:themeColor="text1"/>
          <w:szCs w:val="22"/>
        </w:rPr>
        <w:t>Appendix 1. Standardized Precipitation Index (SPI) calculation</w:t>
      </w:r>
    </w:p>
    <w:p w14:paraId="41848529" w14:textId="77777777" w:rsidR="000C3A47" w:rsidRPr="004A4746" w:rsidRDefault="000C3A47" w:rsidP="000C3A47">
      <w:pPr>
        <w:rPr>
          <w:rFonts w:eastAsia="Times New Roman" w:cs="Times New Roman"/>
          <w:color w:val="000000" w:themeColor="text1"/>
          <w:szCs w:val="22"/>
        </w:rPr>
      </w:pPr>
      <w:r w:rsidRPr="004A4746">
        <w:rPr>
          <w:rFonts w:eastAsia="Times New Roman" w:cs="Times New Roman"/>
          <w:color w:val="000000" w:themeColor="text1"/>
          <w:szCs w:val="22"/>
        </w:rPr>
        <w:t xml:space="preserve">This study calculated SPI at 1-month timescales </w:t>
      </w:r>
      <w:r w:rsidRPr="004A4746">
        <w:rPr>
          <w:rFonts w:eastAsia="Times New Roman" w:cs="Times New Roman"/>
          <w:color w:val="000000" w:themeColor="text1"/>
          <w:szCs w:val="22"/>
        </w:rPr>
        <w:fldChar w:fldCharType="begin"/>
      </w:r>
      <w:r w:rsidRPr="004A4746">
        <w:rPr>
          <w:rFonts w:eastAsia="Times New Roman" w:cs="Times New Roman"/>
          <w:color w:val="000000" w:themeColor="text1"/>
          <w:szCs w:val="22"/>
        </w:rPr>
        <w:instrText xml:space="preserve"> ADDIN EN.CITE &lt;EndNote&gt;&lt;Cite&gt;&lt;Author&gt;McKee&lt;/Author&gt;&lt;Year&gt;1993&lt;/Year&gt;&lt;RecNum&gt;1411&lt;/RecNum&gt;&lt;DisplayText&gt;(McKee et al., 1993)&lt;/DisplayText&gt;&lt;record&gt;&lt;rec-number&gt;1411&lt;/rec-number&gt;&lt;foreign-keys&gt;&lt;key app="EN" db-id="fpevra09sv0wz3eeset5f92s0wtzpwr0e5sv" timestamp="1651349877" guid="b15b910b-c1c6-4e41-81df-12dfe0adbbae"&gt;1411&lt;/key&gt;&lt;/foreign-keys&gt;&lt;ref-type name="Conference Proceedings"&gt;10&lt;/ref-type&gt;&lt;contributors&gt;&lt;authors&gt;&lt;author&gt;McKee, Thomas B&lt;/author&gt;&lt;author&gt;Doesken, Nolan J&lt;/author&gt;&lt;author&gt;Kleist, John&lt;/author&gt;&lt;/authors&gt;&lt;/contributors&gt;&lt;titles&gt;&lt;title&gt;The relationship of drought frequency and duration to time scales&lt;/title&gt;&lt;secondary-title&gt;Proceedings of the 8th Conference on Applied Climatology&lt;/secondary-title&gt;&lt;/titles&gt;&lt;pages&gt;179-183&lt;/pages&gt;&lt;volume&gt;17&lt;/volume&gt;&lt;number&gt;22&lt;/number&gt;&lt;dates&gt;&lt;year&gt;1993&lt;/year&gt;&lt;/dates&gt;&lt;publisher&gt;Boston&lt;/publisher&gt;&lt;urls&gt;&lt;/urls&gt;&lt;/record&gt;&lt;/Cite&gt;&lt;/EndNote&gt;</w:instrText>
      </w:r>
      <w:r w:rsidRPr="004A4746">
        <w:rPr>
          <w:rFonts w:eastAsia="Times New Roman" w:cs="Times New Roman"/>
          <w:color w:val="000000" w:themeColor="text1"/>
          <w:szCs w:val="22"/>
        </w:rPr>
        <w:fldChar w:fldCharType="separate"/>
      </w:r>
      <w:r w:rsidRPr="004A4746">
        <w:rPr>
          <w:rFonts w:eastAsia="Times New Roman" w:cs="Times New Roman"/>
          <w:noProof/>
          <w:color w:val="000000" w:themeColor="text1"/>
          <w:szCs w:val="22"/>
        </w:rPr>
        <w:t>(McKee et al., 1993)</w:t>
      </w:r>
      <w:r w:rsidRPr="004A4746">
        <w:rPr>
          <w:rFonts w:eastAsia="Times New Roman" w:cs="Times New Roman"/>
          <w:color w:val="000000" w:themeColor="text1"/>
          <w:szCs w:val="22"/>
        </w:rPr>
        <w:fldChar w:fldCharType="end"/>
      </w:r>
      <w:r w:rsidRPr="004A4746">
        <w:rPr>
          <w:rFonts w:eastAsia="Times New Roman" w:cs="Times New Roman"/>
          <w:color w:val="000000" w:themeColor="text1"/>
          <w:szCs w:val="22"/>
        </w:rPr>
        <w:t>. The three steps to calculate SPI are described as follows.</w:t>
      </w:r>
    </w:p>
    <w:p w14:paraId="13F5592D" w14:textId="77777777" w:rsidR="000C3A47" w:rsidRPr="004A4746" w:rsidRDefault="000C3A47" w:rsidP="000C3A47">
      <w:pPr>
        <w:ind w:left="720" w:hanging="720"/>
        <w:rPr>
          <w:rFonts w:eastAsia="Times New Roman" w:cs="Times New Roman"/>
          <w:color w:val="000000" w:themeColor="text1"/>
          <w:szCs w:val="22"/>
        </w:rPr>
      </w:pPr>
      <w:r w:rsidRPr="004A4746">
        <w:rPr>
          <w:rFonts w:eastAsia="Times New Roman" w:cs="Times New Roman"/>
          <w:color w:val="000000" w:themeColor="text1"/>
          <w:szCs w:val="22"/>
        </w:rPr>
        <w:t>Step 1: Fitting distribution function for precipitation time series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4"/>
        <w:gridCol w:w="632"/>
      </w:tblGrid>
      <w:tr w:rsidR="000C3A47" w:rsidRPr="004A4746" w14:paraId="07C623D3" w14:textId="77777777" w:rsidTr="00336D2A">
        <w:trPr>
          <w:trHeight w:val="528"/>
        </w:trPr>
        <w:tc>
          <w:tcPr>
            <w:tcW w:w="8926" w:type="dxa"/>
          </w:tcPr>
          <w:p w14:paraId="466AE0AC" w14:textId="77777777" w:rsidR="000C3A47" w:rsidRPr="004A4746" w:rsidRDefault="00000000" w:rsidP="00336D2A">
            <w:pPr>
              <w:rPr>
                <w:rFonts w:eastAsia="Times New Roman" w:cs="Times New Roman"/>
                <w:color w:val="000000" w:themeColor="text1"/>
                <w:vertAlign w:val="superscript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i,m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k</m:t>
                    </m:r>
                  </m:sup>
                </m:sSubSup>
                <m:r>
                  <w:rPr>
                    <w:rFonts w:ascii="Cambria Math" w:hAnsi="Cambria Math" w:cs="Times New Roman"/>
                    <w:color w:val="000000" w:themeColor="text1"/>
                  </w:rPr>
                  <m:t>=</m:t>
                </m:r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t=13-k+m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12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i-1,t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 New Roman"/>
                    <w:color w:val="000000" w:themeColor="text1"/>
                  </w:rPr>
                  <m:t>+</m:t>
                </m:r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t=1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i,t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424" w:type="dxa"/>
          </w:tcPr>
          <w:p w14:paraId="0D3A11B6" w14:textId="77777777" w:rsidR="000C3A47" w:rsidRPr="004A4746" w:rsidRDefault="000C3A47" w:rsidP="00336D2A">
            <w:pPr>
              <w:jc w:val="right"/>
              <w:rPr>
                <w:rFonts w:eastAsia="Times New Roman" w:cs="Times New Roman"/>
                <w:color w:val="000000" w:themeColor="text1"/>
              </w:rPr>
            </w:pPr>
            <w:r w:rsidRPr="004A4746">
              <w:rPr>
                <w:rFonts w:eastAsia="Times New Roman" w:cs="Times New Roman"/>
                <w:color w:val="000000" w:themeColor="text1"/>
              </w:rPr>
              <w:t>(A1)</w:t>
            </w:r>
          </w:p>
        </w:tc>
      </w:tr>
    </w:tbl>
    <w:p w14:paraId="57590BAD" w14:textId="77777777" w:rsidR="000C3A47" w:rsidRPr="004A4746" w:rsidRDefault="000C3A47" w:rsidP="000C3A47">
      <w:pPr>
        <w:rPr>
          <w:rFonts w:eastAsia="Times New Roman" w:cs="Times New Roman"/>
          <w:color w:val="000000" w:themeColor="text1"/>
          <w:szCs w:val="22"/>
        </w:rPr>
      </w:pPr>
      <w:r w:rsidRPr="004A4746">
        <w:rPr>
          <w:rFonts w:eastAsia="Times New Roman" w:cs="Times New Roman"/>
          <w:color w:val="000000" w:themeColor="text1"/>
          <w:szCs w:val="22"/>
        </w:rPr>
        <w:t xml:space="preserve">Where: </w:t>
      </w:r>
      <m:oMath>
        <m:r>
          <w:rPr>
            <w:rFonts w:ascii="Cambria Math" w:hAnsi="Cambria Math" w:cs="Times New Roman"/>
            <w:color w:val="000000" w:themeColor="text1"/>
            <w:szCs w:val="22"/>
          </w:rPr>
          <m:t>k</m:t>
        </m:r>
      </m:oMath>
      <w:r w:rsidRPr="004A4746">
        <w:rPr>
          <w:rFonts w:eastAsia="Times New Roman" w:cs="Times New Roman"/>
          <w:color w:val="000000" w:themeColor="text1"/>
          <w:szCs w:val="22"/>
        </w:rPr>
        <w:t xml:space="preserve"> is time scale; </w:t>
      </w:r>
      <m:oMath>
        <m:r>
          <w:rPr>
            <w:rFonts w:ascii="Cambria Math" w:eastAsia="Times New Roman" w:hAnsi="Cambria Math" w:cs="Times New Roman"/>
            <w:color w:val="000000" w:themeColor="text1"/>
            <w:szCs w:val="22"/>
          </w:rPr>
          <m:t>i</m:t>
        </m:r>
      </m:oMath>
      <w:r w:rsidRPr="004A4746">
        <w:rPr>
          <w:rFonts w:eastAsia="Times New Roman" w:cs="Times New Roman"/>
          <w:color w:val="000000" w:themeColor="text1"/>
          <w:szCs w:val="22"/>
        </w:rPr>
        <w:t xml:space="preserve"> is year; </w:t>
      </w:r>
      <m:oMath>
        <m:r>
          <w:rPr>
            <w:rFonts w:ascii="Cambria Math" w:eastAsia="Times New Roman" w:hAnsi="Cambria Math" w:cs="Times New Roman"/>
            <w:color w:val="000000" w:themeColor="text1"/>
            <w:szCs w:val="22"/>
          </w:rPr>
          <m:t>m</m:t>
        </m:r>
      </m:oMath>
      <w:r w:rsidRPr="004A4746">
        <w:rPr>
          <w:rFonts w:eastAsia="Times New Roman" w:cs="Times New Roman"/>
          <w:color w:val="000000" w:themeColor="text1"/>
          <w:szCs w:val="22"/>
        </w:rPr>
        <w:t xml:space="preserve"> is month of year, </w:t>
      </w:r>
      <m:oMath>
        <m:r>
          <w:rPr>
            <w:rFonts w:ascii="Cambria Math" w:eastAsia="Times New Roman" w:hAnsi="Cambria Math" w:cs="Times New Roman"/>
            <w:color w:val="000000" w:themeColor="text1"/>
            <w:szCs w:val="22"/>
          </w:rPr>
          <m:t>P</m:t>
        </m:r>
      </m:oMath>
      <w:r w:rsidRPr="004A4746">
        <w:rPr>
          <w:rFonts w:eastAsia="Times New Roman" w:cs="Times New Roman"/>
          <w:color w:val="000000" w:themeColor="text1"/>
          <w:szCs w:val="22"/>
        </w:rPr>
        <w:t xml:space="preserve"> is precipitation.</w:t>
      </w:r>
    </w:p>
    <w:p w14:paraId="0E21C444" w14:textId="77777777" w:rsidR="000C3A47" w:rsidRPr="004A4746" w:rsidRDefault="000C3A47" w:rsidP="000C3A47">
      <w:pPr>
        <w:rPr>
          <w:rFonts w:eastAsia="Times New Roman" w:cs="Times New Roman"/>
          <w:color w:val="000000" w:themeColor="text1"/>
          <w:szCs w:val="22"/>
        </w:rPr>
      </w:pPr>
      <w:r w:rsidRPr="004A4746">
        <w:rPr>
          <w:rFonts w:eastAsia="Times New Roman" w:cs="Times New Roman"/>
          <w:color w:val="000000" w:themeColor="text1"/>
          <w:szCs w:val="22"/>
        </w:rPr>
        <w:t>The two-parameter Gamma distribution is used to fit the time series as follows.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4"/>
        <w:gridCol w:w="632"/>
      </w:tblGrid>
      <w:tr w:rsidR="000C3A47" w:rsidRPr="004A4746" w14:paraId="70ADA42F" w14:textId="77777777" w:rsidTr="00336D2A">
        <w:trPr>
          <w:trHeight w:val="528"/>
        </w:trPr>
        <w:tc>
          <w:tcPr>
            <w:tcW w:w="8926" w:type="dxa"/>
          </w:tcPr>
          <w:p w14:paraId="40732511" w14:textId="77777777" w:rsidR="000C3A47" w:rsidRPr="004A4746" w:rsidRDefault="000C3A47" w:rsidP="00336D2A">
            <w:pPr>
              <w:rPr>
                <w:rFonts w:eastAsia="Times New Roman" w:cs="Times New Roman"/>
                <w:color w:val="000000" w:themeColor="text1"/>
                <w:vertAlign w:val="superscript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vertAlign w:val="superscript"/>
                  </w:rPr>
                  <m:t>G(x)=</m:t>
                </m:r>
                <m:nary>
                  <m:nary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vertAlign w:val="superscript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vertAlign w:val="superscript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vertAlign w:val="superscript"/>
                      </w:rPr>
                      <m:t>x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vertAlign w:val="super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vertAlign w:val="superscri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vertAlign w:val="superscript"/>
                          </w:rPr>
                          <m:t>α-1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vertAlign w:val="super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vertAlign w:val="superscript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vertAlign w:val="superscript"/>
                          </w:rPr>
                          <m:t>-x/β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vertAlign w:val="superscript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424" w:type="dxa"/>
          </w:tcPr>
          <w:p w14:paraId="1C61D824" w14:textId="77777777" w:rsidR="000C3A47" w:rsidRPr="004A4746" w:rsidRDefault="000C3A47" w:rsidP="00336D2A">
            <w:pPr>
              <w:jc w:val="right"/>
              <w:rPr>
                <w:rFonts w:eastAsia="Times New Roman" w:cs="Times New Roman"/>
                <w:color w:val="000000" w:themeColor="text1"/>
              </w:rPr>
            </w:pPr>
            <w:r w:rsidRPr="004A4746">
              <w:rPr>
                <w:rFonts w:eastAsia="Times New Roman" w:cs="Times New Roman"/>
                <w:color w:val="000000" w:themeColor="text1"/>
              </w:rPr>
              <w:t>(A2)</w:t>
            </w:r>
          </w:p>
        </w:tc>
      </w:tr>
    </w:tbl>
    <w:p w14:paraId="50808760" w14:textId="77777777" w:rsidR="000C3A47" w:rsidRPr="004A4746" w:rsidRDefault="000C3A47" w:rsidP="000C3A47">
      <w:pPr>
        <w:rPr>
          <w:rFonts w:eastAsia="Times New Roman" w:cs="Times New Roman"/>
          <w:color w:val="000000" w:themeColor="text1"/>
          <w:szCs w:val="22"/>
        </w:rPr>
      </w:pPr>
      <w:r w:rsidRPr="004A4746">
        <w:rPr>
          <w:rFonts w:eastAsia="Times New Roman" w:cs="Times New Roman"/>
          <w:color w:val="000000" w:themeColor="text1"/>
          <w:szCs w:val="22"/>
        </w:rPr>
        <w:t xml:space="preserve">Where: </w:t>
      </w:r>
      <m:oMath>
        <m:r>
          <w:rPr>
            <w:rFonts w:ascii="Cambria Math" w:hAnsi="Cambria Math" w:cs="Times New Roman"/>
            <w:color w:val="000000" w:themeColor="text1"/>
            <w:szCs w:val="22"/>
          </w:rPr>
          <m:t>α</m:t>
        </m:r>
      </m:oMath>
      <w:r w:rsidRPr="004A4746">
        <w:rPr>
          <w:rFonts w:eastAsia="Times New Roman" w:cs="Times New Roman"/>
          <w:color w:val="000000" w:themeColor="text1"/>
          <w:szCs w:val="22"/>
        </w:rPr>
        <w:t xml:space="preserve"> is shape parameter, </w:t>
      </w:r>
      <m:oMath>
        <m:r>
          <w:rPr>
            <w:rFonts w:ascii="Cambria Math" w:hAnsi="Cambria Math" w:cs="Times New Roman"/>
            <w:color w:val="000000" w:themeColor="text1"/>
            <w:szCs w:val="22"/>
          </w:rPr>
          <m:t>β</m:t>
        </m:r>
      </m:oMath>
      <w:r w:rsidRPr="004A4746">
        <w:rPr>
          <w:rFonts w:eastAsia="Times New Roman" w:cs="Times New Roman"/>
          <w:color w:val="000000" w:themeColor="text1"/>
          <w:szCs w:val="22"/>
        </w:rPr>
        <w:t xml:space="preserve"> is scale parameter.</w:t>
      </w:r>
    </w:p>
    <w:p w14:paraId="6DD641B8" w14:textId="77777777" w:rsidR="000C3A47" w:rsidRPr="004A4746" w:rsidRDefault="000C3A47" w:rsidP="000C3A47">
      <w:pPr>
        <w:ind w:left="720" w:hanging="720"/>
        <w:rPr>
          <w:rFonts w:eastAsia="Times New Roman" w:cs="Times New Roman"/>
          <w:color w:val="000000" w:themeColor="text1"/>
          <w:szCs w:val="22"/>
        </w:rPr>
      </w:pPr>
      <w:r w:rsidRPr="004A4746">
        <w:rPr>
          <w:rFonts w:eastAsia="Times New Roman" w:cs="Times New Roman"/>
          <w:color w:val="000000" w:themeColor="text1"/>
          <w:szCs w:val="22"/>
        </w:rPr>
        <w:t>Step 2: Estimation of the cumulative probability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4"/>
        <w:gridCol w:w="632"/>
      </w:tblGrid>
      <w:tr w:rsidR="000C3A47" w:rsidRPr="004A4746" w14:paraId="0B6549B3" w14:textId="77777777" w:rsidTr="00336D2A">
        <w:trPr>
          <w:trHeight w:val="528"/>
        </w:trPr>
        <w:tc>
          <w:tcPr>
            <w:tcW w:w="8926" w:type="dxa"/>
          </w:tcPr>
          <w:p w14:paraId="4FA4137F" w14:textId="77777777" w:rsidR="000C3A47" w:rsidRPr="004A4746" w:rsidRDefault="000C3A47" w:rsidP="00336D2A">
            <w:pPr>
              <w:rPr>
                <w:rFonts w:eastAsia="Times New Roman" w:cs="Times New Roman"/>
                <w:color w:val="000000" w:themeColor="text1"/>
                <w:vertAlign w:val="superscript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</w:rPr>
                  <m:t>H(x)=p+(1-p)G(x)</m:t>
                </m:r>
              </m:oMath>
            </m:oMathPara>
          </w:p>
        </w:tc>
        <w:tc>
          <w:tcPr>
            <w:tcW w:w="424" w:type="dxa"/>
          </w:tcPr>
          <w:p w14:paraId="648CDF74" w14:textId="77777777" w:rsidR="000C3A47" w:rsidRPr="004A4746" w:rsidRDefault="000C3A47" w:rsidP="00336D2A">
            <w:pPr>
              <w:jc w:val="right"/>
              <w:rPr>
                <w:rFonts w:eastAsia="Times New Roman" w:cs="Times New Roman"/>
                <w:color w:val="000000" w:themeColor="text1"/>
              </w:rPr>
            </w:pPr>
            <w:r w:rsidRPr="004A4746">
              <w:rPr>
                <w:rFonts w:eastAsia="Times New Roman" w:cs="Times New Roman"/>
                <w:color w:val="000000" w:themeColor="text1"/>
              </w:rPr>
              <w:t>(A3)</w:t>
            </w:r>
          </w:p>
        </w:tc>
      </w:tr>
    </w:tbl>
    <w:p w14:paraId="47C9025D" w14:textId="77777777" w:rsidR="000C3A47" w:rsidRPr="004A4746" w:rsidRDefault="000C3A47" w:rsidP="000C3A47">
      <w:pPr>
        <w:rPr>
          <w:rFonts w:eastAsia="Times New Roman" w:cs="Times New Roman"/>
          <w:color w:val="000000" w:themeColor="text1"/>
          <w:szCs w:val="22"/>
          <w:vertAlign w:val="superscript"/>
        </w:rPr>
      </w:pPr>
      <w:r w:rsidRPr="004A4746">
        <w:rPr>
          <w:rFonts w:eastAsia="Times New Roman" w:cs="Times New Roman"/>
          <w:color w:val="000000" w:themeColor="text1"/>
          <w:szCs w:val="22"/>
        </w:rPr>
        <w:t xml:space="preserve">Where </w:t>
      </w:r>
      <m:oMath>
        <m:r>
          <w:rPr>
            <w:rFonts w:ascii="Cambria Math" w:eastAsia="Times New Roman" w:hAnsi="Cambria Math" w:cs="Times New Roman"/>
            <w:color w:val="000000" w:themeColor="text1"/>
            <w:szCs w:val="22"/>
          </w:rPr>
          <m:t>p</m:t>
        </m:r>
      </m:oMath>
      <w:r w:rsidRPr="004A4746" w:rsidDel="00CD38F8">
        <w:rPr>
          <w:rFonts w:eastAsia="Times New Roman" w:cs="Times New Roman"/>
          <w:color w:val="000000" w:themeColor="text1"/>
          <w:szCs w:val="22"/>
        </w:rPr>
        <w:t xml:space="preserve"> </w:t>
      </w:r>
      <w:r w:rsidRPr="004A4746">
        <w:rPr>
          <w:rFonts w:eastAsia="Times New Roman" w:cs="Times New Roman"/>
          <w:color w:val="000000" w:themeColor="text1"/>
          <w:szCs w:val="22"/>
        </w:rPr>
        <w:t xml:space="preserve"> is probability of no precipitation</w:t>
      </w:r>
    </w:p>
    <w:p w14:paraId="056C7551" w14:textId="77777777" w:rsidR="000C3A47" w:rsidRPr="004A4746" w:rsidRDefault="000C3A47" w:rsidP="000C3A47">
      <w:pPr>
        <w:rPr>
          <w:rFonts w:eastAsia="Times New Roman" w:cs="Times New Roman"/>
          <w:color w:val="000000" w:themeColor="text1"/>
          <w:szCs w:val="22"/>
        </w:rPr>
      </w:pPr>
      <w:r w:rsidRPr="004A4746">
        <w:rPr>
          <w:rFonts w:eastAsia="Times New Roman" w:cs="Times New Roman"/>
          <w:color w:val="000000" w:themeColor="text1"/>
          <w:szCs w:val="22"/>
        </w:rPr>
        <w:t>Step 3: Transformation of the cumulative probability to the standard normal variable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4"/>
        <w:gridCol w:w="632"/>
      </w:tblGrid>
      <w:tr w:rsidR="000C3A47" w:rsidRPr="004A4746" w14:paraId="3F10F6FF" w14:textId="77777777" w:rsidTr="00336D2A">
        <w:trPr>
          <w:trHeight w:val="528"/>
        </w:trPr>
        <w:tc>
          <w:tcPr>
            <w:tcW w:w="8877" w:type="dxa"/>
          </w:tcPr>
          <w:p w14:paraId="2CDD5B80" w14:textId="77777777" w:rsidR="000C3A47" w:rsidRPr="004A4746" w:rsidRDefault="000C3A47" w:rsidP="00336D2A">
            <w:pPr>
              <w:rPr>
                <w:rFonts w:eastAsia="Times New Roman" w:cs="Times New Roman"/>
                <w:color w:val="000000" w:themeColor="text1"/>
                <w:vertAlign w:val="superscript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</w:rPr>
                  <m:t>Z=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&amp;-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W-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W+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b>
                                </m:sSub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W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W+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b>
                                </m:sSub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W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3</m:t>
                                    </m:r>
                                  </m:sub>
                                </m:sSub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W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3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mPr>
                          <m:mr>
                            <m:e/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0&lt;H(x)≤0.5</m:t>
                              </m:r>
                            </m:e>
                          </m:mr>
                        </m:m>
                      </m:e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&amp;+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W-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W+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b>
                                </m:sSub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W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1+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W+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b>
                                </m:sSub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W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3</m:t>
                                    </m:r>
                                  </m:sub>
                                </m:sSub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W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</w:rPr>
                                      <m:t>3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mPr>
                          <m:mr>
                            <m:e/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</w:rPr>
                                <m:t>0.5&lt;H(x)≤1</m:t>
                              </m:r>
                            </m:e>
                          </m:mr>
                        </m:m>
                      </m:e>
                    </m:eqArr>
                  </m:e>
                </m:d>
              </m:oMath>
            </m:oMathPara>
          </w:p>
        </w:tc>
        <w:tc>
          <w:tcPr>
            <w:tcW w:w="473" w:type="dxa"/>
          </w:tcPr>
          <w:p w14:paraId="430C0462" w14:textId="77777777" w:rsidR="000C3A47" w:rsidRPr="004A4746" w:rsidRDefault="000C3A47" w:rsidP="00336D2A">
            <w:pPr>
              <w:jc w:val="right"/>
              <w:rPr>
                <w:rFonts w:eastAsia="Times New Roman" w:cs="Times New Roman"/>
                <w:color w:val="000000" w:themeColor="text1"/>
              </w:rPr>
            </w:pPr>
            <w:r w:rsidRPr="004A4746">
              <w:rPr>
                <w:rFonts w:eastAsia="Times New Roman" w:cs="Times New Roman"/>
                <w:color w:val="000000" w:themeColor="text1"/>
              </w:rPr>
              <w:t>(A4)</w:t>
            </w:r>
          </w:p>
        </w:tc>
      </w:tr>
    </w:tbl>
    <w:p w14:paraId="08E074D9" w14:textId="77777777" w:rsidR="000C3A47" w:rsidRPr="004A4746" w:rsidRDefault="000C3A47" w:rsidP="000C3A47">
      <w:pPr>
        <w:rPr>
          <w:rFonts w:eastAsia="Times New Roman" w:cs="Times New Roman"/>
          <w:color w:val="000000" w:themeColor="text1"/>
          <w:szCs w:val="22"/>
        </w:rPr>
      </w:pPr>
      <w:r w:rsidRPr="004A4746">
        <w:rPr>
          <w:rFonts w:eastAsia="Times New Roman" w:cs="Times New Roman"/>
          <w:color w:val="000000" w:themeColor="text1"/>
          <w:szCs w:val="22"/>
        </w:rPr>
        <w:t>Where</w:t>
      </w:r>
    </w:p>
    <w:p w14:paraId="25EF6500" w14:textId="77777777" w:rsidR="000C3A47" w:rsidRPr="004A4746" w:rsidRDefault="000C3A47" w:rsidP="000C3A47">
      <w:pPr>
        <w:rPr>
          <w:rFonts w:eastAsia="Times New Roman" w:cs="Times New Roman"/>
          <w:color w:val="000000" w:themeColor="text1"/>
          <w:szCs w:val="22"/>
          <w:vertAlign w:val="superscript"/>
        </w:rPr>
      </w:pPr>
      <w:bookmarkStart w:id="0" w:name="_Hlk59088425"/>
      <m:oMathPara>
        <m:oMath>
          <m:r>
            <w:rPr>
              <w:rFonts w:ascii="Cambria Math" w:hAnsi="Cambria Math" w:cs="Times New Roman"/>
              <w:color w:val="000000" w:themeColor="text1"/>
              <w:szCs w:val="22"/>
            </w:rPr>
            <w:lastRenderedPageBreak/>
            <m:t>W=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Cs w:val="2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2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2"/>
                    </w:rPr>
                    <m:t>&amp;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-2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Cs w:val="22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Cs w:val="22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Cs w:val="22"/>
                            </w:rPr>
                            <m:t>(</m:t>
                          </m:r>
                        </m:e>
                      </m:func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H(x))</m:t>
                      </m:r>
                    </m:e>
                  </m:rad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Cs w:val="22"/>
                        </w:rPr>
                      </m:ctrlPr>
                    </m:mPr>
                    <m:mr>
                      <m:e/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</w:rPr>
                          <m:t>0&lt;H(x)≤0.5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2"/>
                    </w:rPr>
                    <m:t>&amp;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-2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Cs w:val="22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Cs w:val="22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Cs w:val="22"/>
                            </w:rPr>
                            <m:t>(</m:t>
                          </m:r>
                        </m:e>
                      </m:func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2"/>
                        </w:rPr>
                        <m:t>1-H(x))</m:t>
                      </m:r>
                    </m:e>
                  </m:rad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Cs w:val="22"/>
                        </w:rPr>
                      </m:ctrlPr>
                    </m:mPr>
                    <m:mr>
                      <m:e/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</w:rPr>
                          <m:t>0.5&lt;H(x)≤1</m:t>
                        </m:r>
                      </m:e>
                    </m:mr>
                  </m:m>
                </m:e>
              </m:eqArr>
            </m:e>
          </m:d>
        </m:oMath>
      </m:oMathPara>
      <w:bookmarkEnd w:id="0"/>
    </w:p>
    <w:p w14:paraId="6C02855E" w14:textId="77777777" w:rsidR="000C3A47" w:rsidRPr="004A4746" w:rsidRDefault="000C3A47" w:rsidP="000C3A47">
      <w:pPr>
        <w:rPr>
          <w:rFonts w:eastAsia="Times New Roman" w:cs="Times New Roman"/>
          <w:color w:val="000000" w:themeColor="text1"/>
          <w:szCs w:val="22"/>
        </w:rPr>
      </w:pPr>
      <w:r w:rsidRPr="004A4746">
        <w:rPr>
          <w:rFonts w:eastAsia="Times New Roman" w:cs="Times New Roman"/>
          <w:color w:val="000000" w:themeColor="text1"/>
          <w:szCs w:val="22"/>
        </w:rPr>
        <w:t>And</w:t>
      </w:r>
    </w:p>
    <w:p w14:paraId="37C35538" w14:textId="77777777" w:rsidR="000C3A47" w:rsidRPr="004A4746" w:rsidRDefault="00000000" w:rsidP="000C3A47">
      <w:pPr>
        <w:tabs>
          <w:tab w:val="left" w:pos="6096"/>
        </w:tabs>
        <w:jc w:val="center"/>
        <w:rPr>
          <w:rFonts w:cs="Times New Roman"/>
          <w:color w:val="000000" w:themeColor="text1"/>
          <w:szCs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Cs w:val="22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Cs w:val="22"/>
                </w:rPr>
                <m:t>0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Cs w:val="22"/>
            </w:rPr>
            <m:t>=2.515517,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Cs w:val="22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Cs w:val="22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Cs w:val="22"/>
            </w:rPr>
            <m:t>=0.802853,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Cs w:val="22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Cs w:val="22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Cs w:val="22"/>
            </w:rPr>
            <m:t>=0.010328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Cs w:val="22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Cs w:val="22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Cs w:val="22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Cs w:val="22"/>
            </w:rPr>
            <m:t>=1.432788,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Cs w:val="22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Cs w:val="22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Cs w:val="22"/>
            </w:rPr>
            <m:t>=0.189269,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Cs w:val="22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Cs w:val="22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Cs w:val="22"/>
            </w:rPr>
            <m:t>=0.001308</m:t>
          </m:r>
        </m:oMath>
      </m:oMathPara>
    </w:p>
    <w:p w14:paraId="5BA918BD" w14:textId="77777777" w:rsidR="000C3A47" w:rsidRPr="004A4746" w:rsidRDefault="000C3A47" w:rsidP="000C3A47">
      <w:pPr>
        <w:rPr>
          <w:rFonts w:eastAsia="Times New Roman" w:cs="Times New Roman"/>
          <w:color w:val="000000" w:themeColor="text1"/>
          <w:szCs w:val="22"/>
        </w:rPr>
      </w:pPr>
      <w:r w:rsidRPr="004A4746">
        <w:rPr>
          <w:rFonts w:eastAsia="Times New Roman" w:cs="Times New Roman"/>
          <w:color w:val="000000" w:themeColor="text1"/>
          <w:szCs w:val="22"/>
        </w:rPr>
        <w:t>Value Z is representative for SPI.</w:t>
      </w:r>
    </w:p>
    <w:p w14:paraId="0126EADF" w14:textId="77777777" w:rsidR="000C3A47" w:rsidRPr="004A4746" w:rsidRDefault="000C3A47" w:rsidP="000C3A47">
      <w:pPr>
        <w:rPr>
          <w:rFonts w:eastAsia="Times New Roman" w:cs="Times New Roman"/>
          <w:color w:val="000000" w:themeColor="text1"/>
          <w:szCs w:val="22"/>
        </w:rPr>
      </w:pPr>
      <w:r w:rsidRPr="004A4746">
        <w:rPr>
          <w:rFonts w:eastAsia="Times New Roman" w:cs="Times New Roman"/>
          <w:color w:val="000000" w:themeColor="text1"/>
          <w:szCs w:val="22"/>
        </w:rPr>
        <w:br w:type="page"/>
      </w:r>
    </w:p>
    <w:p w14:paraId="4D0D292E" w14:textId="77777777" w:rsidR="000C3A47" w:rsidRPr="004A4746" w:rsidRDefault="000C3A47" w:rsidP="000C3A47">
      <w:pPr>
        <w:rPr>
          <w:rFonts w:cs="Times New Roman"/>
          <w:b/>
          <w:color w:val="000000" w:themeColor="text1"/>
          <w:szCs w:val="22"/>
        </w:rPr>
      </w:pPr>
      <w:r w:rsidRPr="004A4746">
        <w:rPr>
          <w:rFonts w:cs="Times New Roman"/>
          <w:b/>
          <w:color w:val="000000" w:themeColor="text1"/>
          <w:szCs w:val="22"/>
        </w:rPr>
        <w:lastRenderedPageBreak/>
        <w:t>Appendix 2. Standardized Streamflow Index (SSI) calculation</w:t>
      </w:r>
    </w:p>
    <w:p w14:paraId="0CF19E16" w14:textId="77777777" w:rsidR="000C3A47" w:rsidRPr="004A4746" w:rsidRDefault="000C3A47" w:rsidP="000C3A47">
      <w:pPr>
        <w:pStyle w:val="ListParagraph"/>
        <w:ind w:left="0"/>
        <w:rPr>
          <w:rFonts w:cs="Times New Roman"/>
          <w:bCs/>
          <w:color w:val="000000" w:themeColor="text1"/>
          <w:szCs w:val="22"/>
        </w:rPr>
      </w:pPr>
      <w:r w:rsidRPr="004A4746">
        <w:rPr>
          <w:rFonts w:cs="Times New Roman"/>
          <w:bCs/>
          <w:color w:val="000000" w:themeColor="text1"/>
          <w:szCs w:val="22"/>
        </w:rPr>
        <w:t xml:space="preserve">The concept of SSI calculation is very similar to that of SPI calculation. Based on the empirical probability formula </w:t>
      </w:r>
      <w:r w:rsidRPr="004A4746">
        <w:rPr>
          <w:rFonts w:cs="Times New Roman"/>
          <w:bCs/>
          <w:color w:val="000000" w:themeColor="text1"/>
          <w:szCs w:val="22"/>
        </w:rPr>
        <w:fldChar w:fldCharType="begin"/>
      </w:r>
      <w:r w:rsidRPr="004A4746">
        <w:rPr>
          <w:rFonts w:cs="Times New Roman"/>
          <w:bCs/>
          <w:color w:val="000000" w:themeColor="text1"/>
          <w:szCs w:val="22"/>
        </w:rPr>
        <w:instrText xml:space="preserve"> ADDIN EN.CITE &lt;EndNote&gt;&lt;Cite&gt;&lt;Author&gt;Gringorten&lt;/Author&gt;&lt;Year&gt;1963&lt;/Year&gt;&lt;RecNum&gt;2355&lt;/RecNum&gt;&lt;DisplayText&gt;(Gringorten, 1963)&lt;/DisplayText&gt;&lt;record&gt;&lt;rec-number&gt;2355&lt;/rec-number&gt;&lt;foreign-keys&gt;&lt;key app="EN" db-id="fpevra09sv0wz3eeset5f92s0wtzpwr0e5sv" timestamp="1662409491" guid="24ce7214-70af-44c0-a601-06d1726d18ac"&gt;2355&lt;/key&gt;&lt;/foreign-keys&gt;&lt;ref-type name="Journal Article"&gt;17&lt;/ref-type&gt;&lt;contributors&gt;&lt;authors&gt;&lt;author&gt;Gringorten, Irving I.&lt;/author&gt;&lt;/authors&gt;&lt;/contributors&gt;&lt;titles&gt;&lt;title&gt;A plotting rule for extreme probability paper&lt;/title&gt;&lt;secondary-title&gt;Journal of Geophysical Research&lt;/secondary-title&gt;&lt;/titles&gt;&lt;periodical&gt;&lt;full-title&gt;Journal of Geophysical Research&lt;/full-title&gt;&lt;/periodical&gt;&lt;pages&gt;813-814&lt;/pages&gt;&lt;volume&gt;68&lt;/volume&gt;&lt;number&gt;3&lt;/number&gt;&lt;dates&gt;&lt;year&gt;1963&lt;/year&gt;&lt;/dates&gt;&lt;publisher&gt;Wiley Online Library&lt;/publisher&gt;&lt;isbn&gt;0148-0227&lt;/isbn&gt;&lt;urls&gt;&lt;/urls&gt;&lt;/record&gt;&lt;/Cite&gt;&lt;/EndNote&gt;</w:instrText>
      </w:r>
      <w:r w:rsidRPr="004A4746">
        <w:rPr>
          <w:rFonts w:cs="Times New Roman"/>
          <w:bCs/>
          <w:color w:val="000000" w:themeColor="text1"/>
          <w:szCs w:val="22"/>
        </w:rPr>
        <w:fldChar w:fldCharType="separate"/>
      </w:r>
      <w:r w:rsidRPr="004A4746">
        <w:rPr>
          <w:rFonts w:cs="Times New Roman"/>
          <w:bCs/>
          <w:noProof/>
          <w:color w:val="000000" w:themeColor="text1"/>
          <w:szCs w:val="22"/>
        </w:rPr>
        <w:t>(Gringorten, 1963)</w:t>
      </w:r>
      <w:r w:rsidRPr="004A4746">
        <w:rPr>
          <w:rFonts w:cs="Times New Roman"/>
          <w:bCs/>
          <w:color w:val="000000" w:themeColor="text1"/>
          <w:szCs w:val="22"/>
        </w:rPr>
        <w:fldChar w:fldCharType="end"/>
      </w:r>
      <w:r w:rsidRPr="004A4746">
        <w:rPr>
          <w:rFonts w:cs="Times New Roman"/>
          <w:bCs/>
          <w:color w:val="000000" w:themeColor="text1"/>
          <w:szCs w:val="22"/>
        </w:rPr>
        <w:t>, we calculated the cumulative probability of streamflow for each month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4"/>
        <w:gridCol w:w="632"/>
      </w:tblGrid>
      <w:tr w:rsidR="000C3A47" w:rsidRPr="004A4746" w14:paraId="3F34FFD3" w14:textId="77777777" w:rsidTr="00336D2A">
        <w:trPr>
          <w:trHeight w:val="528"/>
        </w:trPr>
        <w:tc>
          <w:tcPr>
            <w:tcW w:w="8877" w:type="dxa"/>
          </w:tcPr>
          <w:p w14:paraId="2C4A5ECD" w14:textId="77777777" w:rsidR="000C3A47" w:rsidRPr="004A4746" w:rsidRDefault="000C3A47" w:rsidP="00336D2A">
            <w:pPr>
              <w:pStyle w:val="ListParagraph"/>
              <w:ind w:left="0"/>
              <w:jc w:val="center"/>
              <w:rPr>
                <w:rFonts w:cs="Times New Roman"/>
                <w:bCs/>
                <w:color w:val="000000" w:themeColor="text1"/>
              </w:rPr>
            </w:pPr>
            <w:r w:rsidRPr="004A4746">
              <w:rPr>
                <w:rFonts w:eastAsiaTheme="minorEastAsia" w:cs="Times New Roman"/>
                <w:color w:val="000000" w:themeColor="text1"/>
              </w:rPr>
              <w:t xml:space="preserve">H(x)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i - 0.44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n + 0.12</m:t>
                  </m:r>
                </m:den>
              </m:f>
            </m:oMath>
          </w:p>
        </w:tc>
        <w:tc>
          <w:tcPr>
            <w:tcW w:w="473" w:type="dxa"/>
          </w:tcPr>
          <w:p w14:paraId="3C23A9C7" w14:textId="77777777" w:rsidR="000C3A47" w:rsidRPr="004A4746" w:rsidRDefault="000C3A47" w:rsidP="00336D2A">
            <w:pPr>
              <w:jc w:val="right"/>
              <w:rPr>
                <w:rFonts w:eastAsia="Times New Roman" w:cs="Times New Roman"/>
                <w:color w:val="000000" w:themeColor="text1"/>
              </w:rPr>
            </w:pPr>
            <w:r w:rsidRPr="004A4746">
              <w:rPr>
                <w:rFonts w:eastAsia="Times New Roman" w:cs="Times New Roman"/>
                <w:color w:val="000000" w:themeColor="text1"/>
              </w:rPr>
              <w:t>(A5)</w:t>
            </w:r>
          </w:p>
        </w:tc>
      </w:tr>
    </w:tbl>
    <w:p w14:paraId="6F4714E5" w14:textId="77777777" w:rsidR="000C3A47" w:rsidRPr="004A4746" w:rsidRDefault="000C3A47" w:rsidP="000C3A47">
      <w:pPr>
        <w:pStyle w:val="ListParagraph"/>
        <w:ind w:left="0"/>
        <w:rPr>
          <w:rFonts w:cs="Times New Roman"/>
          <w:bCs/>
          <w:color w:val="000000" w:themeColor="text1"/>
          <w:szCs w:val="22"/>
        </w:rPr>
      </w:pPr>
      <w:r w:rsidRPr="004A4746">
        <w:rPr>
          <w:rFonts w:cs="Times New Roman"/>
          <w:bCs/>
          <w:color w:val="000000" w:themeColor="text1"/>
          <w:szCs w:val="22"/>
        </w:rPr>
        <w:t xml:space="preserve">Where </w:t>
      </w:r>
      <m:oMath>
        <m:r>
          <w:rPr>
            <w:rFonts w:ascii="Cambria Math" w:hAnsi="Cambria Math" w:cs="Times New Roman"/>
            <w:color w:val="000000" w:themeColor="text1"/>
            <w:szCs w:val="22"/>
          </w:rPr>
          <m:t>i</m:t>
        </m:r>
      </m:oMath>
      <w:r w:rsidRPr="004A4746">
        <w:rPr>
          <w:rFonts w:eastAsiaTheme="minorEastAsia" w:cs="Times New Roman"/>
          <w:color w:val="000000" w:themeColor="text1"/>
          <w:szCs w:val="22"/>
        </w:rPr>
        <w:t xml:space="preserve"> is the rank of the observed streamflow from the smallest and </w:t>
      </w:r>
      <m:oMath>
        <m:r>
          <w:rPr>
            <w:rFonts w:ascii="Cambria Math" w:hAnsi="Cambria Math" w:cs="Times New Roman"/>
            <w:color w:val="000000" w:themeColor="text1"/>
            <w:szCs w:val="22"/>
          </w:rPr>
          <m:t>n</m:t>
        </m:r>
      </m:oMath>
      <w:r w:rsidRPr="004A4746">
        <w:rPr>
          <w:rFonts w:eastAsiaTheme="minorEastAsia" w:cs="Times New Roman"/>
          <w:color w:val="000000" w:themeColor="text1"/>
          <w:szCs w:val="22"/>
        </w:rPr>
        <w:t xml:space="preserve"> is the number of streamflow observations.</w:t>
      </w:r>
    </w:p>
    <w:p w14:paraId="14F98DD4" w14:textId="77777777" w:rsidR="000C3A47" w:rsidRPr="004A4746" w:rsidRDefault="000C3A47" w:rsidP="000C3A47">
      <w:pPr>
        <w:pStyle w:val="ListParagraph"/>
        <w:ind w:left="0"/>
        <w:rPr>
          <w:rFonts w:cs="Times New Roman"/>
          <w:bCs/>
          <w:color w:val="000000" w:themeColor="text1"/>
          <w:szCs w:val="22"/>
        </w:rPr>
      </w:pPr>
      <w:r w:rsidRPr="004A4746">
        <w:rPr>
          <w:rFonts w:cs="Times New Roman"/>
          <w:bCs/>
          <w:color w:val="000000" w:themeColor="text1"/>
          <w:szCs w:val="22"/>
        </w:rPr>
        <w:t xml:space="preserve">Then, we convert </w:t>
      </w:r>
      <w:r w:rsidRPr="004A4746">
        <w:rPr>
          <w:rFonts w:eastAsiaTheme="minorEastAsia" w:cs="Times New Roman"/>
          <w:color w:val="000000" w:themeColor="text1"/>
          <w:szCs w:val="22"/>
        </w:rPr>
        <w:t xml:space="preserve">H(x) to a </w:t>
      </w:r>
      <w:r w:rsidRPr="004A4746">
        <w:rPr>
          <w:rFonts w:eastAsia="Times New Roman" w:cs="Times New Roman"/>
          <w:color w:val="000000" w:themeColor="text1"/>
          <w:szCs w:val="22"/>
        </w:rPr>
        <w:t>standard normal variable following equation (A4).</w:t>
      </w:r>
    </w:p>
    <w:p w14:paraId="44C2C293" w14:textId="77777777" w:rsidR="000C3A47" w:rsidRPr="004A4746" w:rsidRDefault="000C3A47" w:rsidP="000C3A47">
      <w:pPr>
        <w:pStyle w:val="ListParagraph"/>
        <w:ind w:left="0"/>
        <w:rPr>
          <w:rFonts w:cs="Times New Roman"/>
          <w:bCs/>
          <w:color w:val="000000" w:themeColor="text1"/>
          <w:szCs w:val="22"/>
        </w:rPr>
      </w:pPr>
      <w:r w:rsidRPr="004A4746">
        <w:rPr>
          <w:rFonts w:cs="Times New Roman"/>
          <w:bCs/>
          <w:color w:val="000000" w:themeColor="text1"/>
          <w:szCs w:val="22"/>
        </w:rPr>
        <w:t>The SPI and SSI drought threshold are defined as their values smaller than -1.</w:t>
      </w:r>
    </w:p>
    <w:p w14:paraId="7EAF62F5" w14:textId="77777777" w:rsidR="000C3A47" w:rsidRPr="004A4746" w:rsidRDefault="000C3A47" w:rsidP="000C3A47">
      <w:pPr>
        <w:pStyle w:val="ListParagraph"/>
        <w:ind w:left="0"/>
        <w:rPr>
          <w:rFonts w:cs="Times New Roman"/>
          <w:bCs/>
          <w:color w:val="000000" w:themeColor="text1"/>
          <w:szCs w:val="22"/>
        </w:rPr>
      </w:pPr>
      <w:r w:rsidRPr="004A4746">
        <w:rPr>
          <w:rFonts w:cs="Times New Roman"/>
          <w:bCs/>
          <w:color w:val="000000" w:themeColor="text1"/>
          <w:szCs w:val="22"/>
        </w:rPr>
        <w:br w:type="page"/>
      </w:r>
    </w:p>
    <w:p w14:paraId="29743DE0" w14:textId="77777777" w:rsidR="000C3A47" w:rsidRPr="004A4746" w:rsidRDefault="000C3A47" w:rsidP="000C3A47">
      <w:pPr>
        <w:pStyle w:val="ListParagraph"/>
        <w:ind w:left="0"/>
        <w:rPr>
          <w:rFonts w:cs="Times New Roman"/>
          <w:b/>
          <w:color w:val="000000" w:themeColor="text1"/>
          <w:szCs w:val="22"/>
        </w:rPr>
      </w:pPr>
      <w:r w:rsidRPr="004A4746">
        <w:rPr>
          <w:rFonts w:cs="Times New Roman"/>
          <w:b/>
          <w:color w:val="000000" w:themeColor="text1"/>
          <w:szCs w:val="22"/>
        </w:rPr>
        <w:lastRenderedPageBreak/>
        <w:t>Appendix 3. Normalized satellite based SMAP soil moisture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4"/>
        <w:gridCol w:w="632"/>
      </w:tblGrid>
      <w:tr w:rsidR="000C3A47" w:rsidRPr="004A4746" w14:paraId="0AF0CF37" w14:textId="77777777" w:rsidTr="00336D2A">
        <w:trPr>
          <w:trHeight w:val="528"/>
        </w:trPr>
        <w:tc>
          <w:tcPr>
            <w:tcW w:w="8877" w:type="dxa"/>
          </w:tcPr>
          <w:p w14:paraId="6B76915D" w14:textId="77777777" w:rsidR="000C3A47" w:rsidRPr="004A4746" w:rsidRDefault="00000000" w:rsidP="00336D2A">
            <w:pPr>
              <w:pStyle w:val="ListParagraph"/>
              <w:ind w:left="0"/>
              <w:jc w:val="center"/>
              <w:rPr>
                <w:rFonts w:cs="Times New Roman"/>
                <w:bCs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SMAP,normal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</w:rPr>
                          <m:t>SMAP,raw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</w:rPr>
                              <m:t>SMAP,raw</m:t>
                            </m:r>
                          </m:sub>
                        </m:sSub>
                      </m:e>
                    </m:acc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std(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</w:rPr>
                          <m:t>in-situ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std(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</w:rPr>
                          <m:t>SMAP,raw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)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in-situ</m:t>
                    </m:r>
                  </m:sub>
                </m:sSub>
              </m:oMath>
            </m:oMathPara>
          </w:p>
        </w:tc>
        <w:tc>
          <w:tcPr>
            <w:tcW w:w="473" w:type="dxa"/>
          </w:tcPr>
          <w:p w14:paraId="3EB39891" w14:textId="77777777" w:rsidR="000C3A47" w:rsidRPr="004A4746" w:rsidRDefault="000C3A47" w:rsidP="00336D2A">
            <w:pPr>
              <w:jc w:val="right"/>
              <w:rPr>
                <w:rFonts w:eastAsia="Times New Roman" w:cs="Times New Roman"/>
                <w:color w:val="000000" w:themeColor="text1"/>
              </w:rPr>
            </w:pPr>
            <w:r w:rsidRPr="004A4746">
              <w:rPr>
                <w:rFonts w:eastAsia="Times New Roman" w:cs="Times New Roman"/>
                <w:color w:val="000000" w:themeColor="text1"/>
              </w:rPr>
              <w:t>(A6)</w:t>
            </w:r>
          </w:p>
        </w:tc>
      </w:tr>
    </w:tbl>
    <w:p w14:paraId="534A30F8" w14:textId="77777777" w:rsidR="000C3A47" w:rsidRPr="004A4746" w:rsidRDefault="000C3A47" w:rsidP="000C3A47">
      <w:pPr>
        <w:spacing w:after="160"/>
        <w:rPr>
          <w:rFonts w:cs="Times New Roman"/>
          <w:color w:val="000000" w:themeColor="text1"/>
          <w:szCs w:val="22"/>
        </w:rPr>
      </w:pPr>
      <w:r w:rsidRPr="004A4746">
        <w:rPr>
          <w:rFonts w:cs="Times New Roman"/>
          <w:color w:val="000000" w:themeColor="text1"/>
          <w:szCs w:val="22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2"/>
                <w:lang w:val="en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SMAP,normal</m:t>
            </m:r>
          </m:sub>
        </m:sSub>
      </m:oMath>
      <w:r w:rsidRPr="004A4746">
        <w:rPr>
          <w:rFonts w:eastAsiaTheme="minorEastAsia" w:cs="Times New Roman"/>
          <w:color w:val="000000" w:themeColor="text1"/>
          <w:szCs w:val="22"/>
          <w:lang w:val="en"/>
        </w:rPr>
        <w:t xml:space="preserve"> is normalized SMAP soil moisture [m</w:t>
      </w:r>
      <w:r w:rsidRPr="004A4746">
        <w:rPr>
          <w:rFonts w:eastAsiaTheme="minorEastAsia" w:cs="Times New Roman"/>
          <w:color w:val="000000" w:themeColor="text1"/>
          <w:szCs w:val="22"/>
          <w:vertAlign w:val="superscript"/>
          <w:lang w:val="en"/>
        </w:rPr>
        <w:t>3</w:t>
      </w:r>
      <w:r w:rsidRPr="004A4746">
        <w:rPr>
          <w:rFonts w:eastAsiaTheme="minorEastAsia" w:cs="Times New Roman"/>
          <w:color w:val="000000" w:themeColor="text1"/>
          <w:szCs w:val="22"/>
          <w:lang w:val="en"/>
        </w:rPr>
        <w:t>/ m</w:t>
      </w:r>
      <w:r w:rsidRPr="004A4746">
        <w:rPr>
          <w:rFonts w:eastAsiaTheme="minorEastAsia" w:cs="Times New Roman"/>
          <w:color w:val="000000" w:themeColor="text1"/>
          <w:szCs w:val="22"/>
          <w:vertAlign w:val="superscript"/>
          <w:lang w:val="en"/>
        </w:rPr>
        <w:t>3</w:t>
      </w:r>
      <w:r w:rsidRPr="004A4746">
        <w:rPr>
          <w:rFonts w:eastAsiaTheme="minorEastAsia" w:cs="Times New Roman"/>
          <w:color w:val="000000" w:themeColor="text1"/>
          <w:szCs w:val="22"/>
          <w:lang w:val="en"/>
        </w:rPr>
        <w:t xml:space="preserve">],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2"/>
                <w:lang w:val="en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SMAP,raw</m:t>
            </m:r>
          </m:sub>
        </m:sSub>
      </m:oMath>
      <w:r w:rsidRPr="004A4746">
        <w:rPr>
          <w:rFonts w:eastAsiaTheme="minorEastAsia" w:cs="Times New Roman"/>
          <w:color w:val="000000" w:themeColor="text1"/>
          <w:szCs w:val="22"/>
          <w:lang w:val="en"/>
        </w:rPr>
        <w:t xml:space="preserve"> is raw SMAP soil moisture [m</w:t>
      </w:r>
      <w:r w:rsidRPr="004A4746">
        <w:rPr>
          <w:rFonts w:eastAsiaTheme="minorEastAsia" w:cs="Times New Roman"/>
          <w:color w:val="000000" w:themeColor="text1"/>
          <w:szCs w:val="22"/>
          <w:vertAlign w:val="superscript"/>
          <w:lang w:val="en"/>
        </w:rPr>
        <w:t>3</w:t>
      </w:r>
      <w:r w:rsidRPr="004A4746">
        <w:rPr>
          <w:rFonts w:eastAsiaTheme="minorEastAsia" w:cs="Times New Roman"/>
          <w:color w:val="000000" w:themeColor="text1"/>
          <w:szCs w:val="22"/>
          <w:lang w:val="en"/>
        </w:rPr>
        <w:t>/ m</w:t>
      </w:r>
      <w:r w:rsidRPr="004A4746">
        <w:rPr>
          <w:rFonts w:eastAsiaTheme="minorEastAsia" w:cs="Times New Roman"/>
          <w:color w:val="000000" w:themeColor="text1"/>
          <w:szCs w:val="22"/>
          <w:vertAlign w:val="superscript"/>
          <w:lang w:val="en"/>
        </w:rPr>
        <w:t>3</w:t>
      </w:r>
      <w:r w:rsidRPr="004A4746">
        <w:rPr>
          <w:rFonts w:eastAsiaTheme="minorEastAsia" w:cs="Times New Roman"/>
          <w:color w:val="000000" w:themeColor="text1"/>
          <w:szCs w:val="22"/>
          <w:lang w:val="en"/>
        </w:rPr>
        <w:t xml:space="preserve">],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2"/>
                <w:lang w:val="en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in-situ</m:t>
            </m:r>
          </m:sub>
        </m:sSub>
      </m:oMath>
      <w:r w:rsidRPr="004A4746">
        <w:rPr>
          <w:rFonts w:eastAsiaTheme="minorEastAsia" w:cs="Times New Roman"/>
          <w:color w:val="000000" w:themeColor="text1"/>
          <w:szCs w:val="22"/>
          <w:lang w:val="en"/>
        </w:rPr>
        <w:t xml:space="preserve"> is </w:t>
      </w:r>
      <w:r w:rsidRPr="00EB5086">
        <w:rPr>
          <w:rFonts w:eastAsiaTheme="minorEastAsia" w:cs="Times New Roman"/>
          <w:i/>
          <w:iCs/>
          <w:color w:val="000000" w:themeColor="text1"/>
          <w:szCs w:val="22"/>
          <w:lang w:val="en"/>
        </w:rPr>
        <w:t>in-situ</w:t>
      </w:r>
      <w:r w:rsidRPr="004A4746">
        <w:rPr>
          <w:rFonts w:eastAsiaTheme="minorEastAsia" w:cs="Times New Roman"/>
          <w:color w:val="000000" w:themeColor="text1"/>
          <w:szCs w:val="22"/>
          <w:lang w:val="en"/>
        </w:rPr>
        <w:t xml:space="preserve"> soil moisture [m</w:t>
      </w:r>
      <w:r w:rsidRPr="004A4746">
        <w:rPr>
          <w:rFonts w:eastAsiaTheme="minorEastAsia" w:cs="Times New Roman"/>
          <w:color w:val="000000" w:themeColor="text1"/>
          <w:szCs w:val="22"/>
          <w:vertAlign w:val="superscript"/>
          <w:lang w:val="en"/>
        </w:rPr>
        <w:t>3</w:t>
      </w:r>
      <w:r w:rsidRPr="004A4746">
        <w:rPr>
          <w:rFonts w:eastAsiaTheme="minorEastAsia" w:cs="Times New Roman"/>
          <w:color w:val="000000" w:themeColor="text1"/>
          <w:szCs w:val="22"/>
          <w:lang w:val="en"/>
        </w:rPr>
        <w:t>/ m</w:t>
      </w:r>
      <w:r w:rsidRPr="004A4746">
        <w:rPr>
          <w:rFonts w:eastAsiaTheme="minorEastAsia" w:cs="Times New Roman"/>
          <w:color w:val="000000" w:themeColor="text1"/>
          <w:szCs w:val="22"/>
          <w:vertAlign w:val="superscript"/>
          <w:lang w:val="en"/>
        </w:rPr>
        <w:t>3</w:t>
      </w:r>
      <w:r w:rsidRPr="004A4746">
        <w:rPr>
          <w:rFonts w:eastAsiaTheme="minorEastAsia" w:cs="Times New Roman"/>
          <w:color w:val="000000" w:themeColor="text1"/>
          <w:szCs w:val="22"/>
          <w:lang w:val="en"/>
        </w:rPr>
        <w:t xml:space="preserve">].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2"/>
                <w:lang w:val="en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θ</m:t>
            </m:r>
          </m:e>
        </m:acc>
      </m:oMath>
      <w:r w:rsidRPr="004A4746">
        <w:rPr>
          <w:rFonts w:eastAsiaTheme="minorEastAsia" w:cs="Times New Roman"/>
          <w:color w:val="000000" w:themeColor="text1"/>
          <w:szCs w:val="22"/>
          <w:lang w:val="en"/>
        </w:rPr>
        <w:t xml:space="preserve"> is the mean of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θ</m:t>
        </m:r>
      </m:oMath>
      <w:r w:rsidRPr="004A4746">
        <w:rPr>
          <w:rFonts w:eastAsiaTheme="minorEastAsia" w:cs="Times New Roman"/>
          <w:color w:val="000000" w:themeColor="text1"/>
        </w:rPr>
        <w:t xml:space="preserve">, and </w:t>
      </w:r>
      <m:oMath>
        <m:r>
          <w:rPr>
            <w:rFonts w:ascii="Cambria Math" w:hAnsi="Cambria Math" w:cs="Times New Roman"/>
            <w:color w:val="000000" w:themeColor="text1"/>
          </w:rPr>
          <m:t>std</m:t>
        </m:r>
      </m:oMath>
      <w:r w:rsidRPr="004A4746">
        <w:rPr>
          <w:rFonts w:eastAsiaTheme="minorEastAsia" w:cs="Times New Roman"/>
          <w:color w:val="000000" w:themeColor="text1"/>
        </w:rPr>
        <w:t xml:space="preserve"> is standard deviation.</w:t>
      </w:r>
    </w:p>
    <w:p w14:paraId="60457894" w14:textId="77777777" w:rsidR="000C3A47" w:rsidRPr="004A4746" w:rsidRDefault="000C3A47" w:rsidP="000C3A47">
      <w:pPr>
        <w:pStyle w:val="ListParagraph"/>
        <w:ind w:left="0"/>
        <w:rPr>
          <w:rFonts w:cs="Times New Roman"/>
          <w:bCs/>
          <w:color w:val="000000" w:themeColor="text1"/>
          <w:szCs w:val="22"/>
        </w:rPr>
      </w:pPr>
      <w:r w:rsidRPr="004A4746">
        <w:rPr>
          <w:rFonts w:cs="Times New Roman"/>
          <w:bCs/>
          <w:color w:val="000000" w:themeColor="text1"/>
          <w:szCs w:val="22"/>
        </w:rPr>
        <w:br w:type="page"/>
      </w:r>
    </w:p>
    <w:p w14:paraId="642FA17A" w14:textId="77777777" w:rsidR="000C3A47" w:rsidRPr="004A4746" w:rsidRDefault="000C3A47" w:rsidP="000C3A47">
      <w:pPr>
        <w:pStyle w:val="ListParagraph"/>
        <w:ind w:left="0"/>
        <w:rPr>
          <w:rFonts w:cs="Times New Roman"/>
          <w:b/>
          <w:color w:val="000000" w:themeColor="text1"/>
          <w:sz w:val="21"/>
          <w:szCs w:val="21"/>
        </w:rPr>
      </w:pPr>
      <w:r w:rsidRPr="004A4746">
        <w:rPr>
          <w:rFonts w:cs="Times New Roman"/>
          <w:b/>
          <w:color w:val="000000" w:themeColor="text1"/>
          <w:sz w:val="21"/>
          <w:szCs w:val="21"/>
        </w:rPr>
        <w:lastRenderedPageBreak/>
        <w:t xml:space="preserve">Appendix 4. </w:t>
      </w:r>
      <w:r w:rsidRPr="004A4746">
        <w:rPr>
          <w:rFonts w:cs="Times New Roman"/>
          <w:b/>
          <w:color w:val="000000" w:themeColor="text1"/>
          <w:szCs w:val="22"/>
        </w:rPr>
        <w:t xml:space="preserve">Comparison of soil moisture delta changes measured at </w:t>
      </w:r>
      <w:r w:rsidRPr="00EB5086">
        <w:rPr>
          <w:rFonts w:cs="Times New Roman"/>
          <w:b/>
          <w:i/>
          <w:iCs/>
          <w:color w:val="000000" w:themeColor="text1"/>
          <w:szCs w:val="22"/>
        </w:rPr>
        <w:t>in-situ</w:t>
      </w:r>
      <w:r w:rsidRPr="004A4746">
        <w:rPr>
          <w:rFonts w:cs="Times New Roman"/>
          <w:b/>
          <w:color w:val="000000" w:themeColor="text1"/>
          <w:szCs w:val="22"/>
        </w:rPr>
        <w:t xml:space="preserve"> sites (</w:t>
      </w:r>
      <w:proofErr w:type="spellStart"/>
      <w:r w:rsidRPr="004A4746">
        <w:rPr>
          <w:rFonts w:cs="Times New Roman"/>
          <w:b/>
          <w:color w:val="000000" w:themeColor="text1"/>
          <w:szCs w:val="22"/>
        </w:rPr>
        <w:t>MySMNet</w:t>
      </w:r>
      <w:proofErr w:type="spellEnd"/>
      <w:r w:rsidRPr="004A4746">
        <w:rPr>
          <w:rFonts w:cs="Times New Roman"/>
          <w:b/>
          <w:color w:val="000000" w:themeColor="text1"/>
          <w:szCs w:val="22"/>
        </w:rPr>
        <w:t>) with (a) SM9 soil moisture and (b) SM1 soil moisture.</w:t>
      </w:r>
    </w:p>
    <w:p w14:paraId="1252ABC0" w14:textId="77777777" w:rsidR="005D5A79" w:rsidRDefault="005D5A79"/>
    <w:sectPr w:rsidR="005D5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47"/>
    <w:rsid w:val="000C3A47"/>
    <w:rsid w:val="001D760D"/>
    <w:rsid w:val="005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46B3"/>
  <w15:docId w15:val="{EBA8CF8A-7F8A-44F4-AE68-67C0F81B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47"/>
    <w:pPr>
      <w:spacing w:after="240" w:line="480" w:lineRule="auto"/>
      <w:jc w:val="both"/>
    </w:pPr>
    <w:rPr>
      <w:rFonts w:ascii="Times New Roman" w:hAnsi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A47"/>
    <w:pPr>
      <w:ind w:left="720"/>
      <w:contextualSpacing/>
    </w:pPr>
  </w:style>
  <w:style w:type="table" w:styleId="TableGrid">
    <w:name w:val="Table Grid"/>
    <w:basedOn w:val="TableNormal"/>
    <w:uiPriority w:val="39"/>
    <w:rsid w:val="000C3A47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4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Ishad Ahmad</dc:creator>
  <cp:lastModifiedBy>Brown, Indiana A. (LARC-B713)[LAMPS 2]</cp:lastModifiedBy>
  <cp:revision>2</cp:revision>
  <dcterms:created xsi:type="dcterms:W3CDTF">2023-08-20T20:20:00Z</dcterms:created>
  <dcterms:modified xsi:type="dcterms:W3CDTF">2023-08-20T20:20:00Z</dcterms:modified>
</cp:coreProperties>
</file>