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E31F" w14:textId="5BF36C4D" w:rsidR="003158BF" w:rsidRDefault="00574C3C">
      <w:pPr>
        <w:spacing w:after="120" w:line="240" w:lineRule="auto"/>
        <w:jc w:val="center"/>
      </w:pPr>
      <w:r>
        <w:rPr>
          <w:noProof/>
        </w:rPr>
        <w:drawing>
          <wp:inline distT="0" distB="0" distL="0" distR="0" wp14:anchorId="71211ED8" wp14:editId="1EA93217">
            <wp:extent cx="3200400" cy="67752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Noise2023_logo_2.emf"/>
                    <pic:cNvPicPr/>
                  </pic:nvPicPr>
                  <pic:blipFill>
                    <a:blip r:embed="rId8"/>
                    <a:stretch>
                      <a:fillRect/>
                    </a:stretch>
                  </pic:blipFill>
                  <pic:spPr>
                    <a:xfrm>
                      <a:off x="0" y="0"/>
                      <a:ext cx="3200400" cy="677520"/>
                    </a:xfrm>
                    <a:prstGeom prst="rect">
                      <a:avLst/>
                    </a:prstGeom>
                  </pic:spPr>
                </pic:pic>
              </a:graphicData>
            </a:graphic>
          </wp:inline>
        </w:drawing>
      </w:r>
    </w:p>
    <w:p w14:paraId="10886486" w14:textId="7FA73132" w:rsidR="003158BF" w:rsidRDefault="003158BF">
      <w:pPr>
        <w:jc w:val="left"/>
        <w:rPr>
          <w:b/>
          <w:bCs/>
          <w:color w:val="FF0000"/>
          <w:sz w:val="32"/>
          <w:szCs w:val="32"/>
          <w:u w:color="FF0000"/>
        </w:rPr>
      </w:pPr>
    </w:p>
    <w:p w14:paraId="5B85340E" w14:textId="10EC0712" w:rsidR="003158BF" w:rsidRDefault="003E3D31">
      <w:pPr>
        <w:rPr>
          <w:b/>
          <w:bCs/>
          <w:sz w:val="32"/>
          <w:szCs w:val="32"/>
        </w:rPr>
      </w:pPr>
      <w:r w:rsidRPr="003E3D31">
        <w:rPr>
          <w:b/>
          <w:bCs/>
          <w:sz w:val="32"/>
          <w:szCs w:val="32"/>
        </w:rPr>
        <w:t>Dose error impacts on a collection of realistic dose-response curves based on a NASA sonic boom community noise survey</w:t>
      </w:r>
    </w:p>
    <w:p w14:paraId="202AF2F3" w14:textId="77777777" w:rsidR="003158BF" w:rsidRDefault="003158BF">
      <w:pPr>
        <w:spacing w:line="160" w:lineRule="atLeast"/>
      </w:pPr>
    </w:p>
    <w:p w14:paraId="2AB72367" w14:textId="77777777" w:rsidR="003158BF" w:rsidRDefault="003158BF">
      <w:pPr>
        <w:spacing w:line="160" w:lineRule="atLeast"/>
      </w:pPr>
    </w:p>
    <w:p w14:paraId="59D68226" w14:textId="77777777" w:rsidR="00D1618F" w:rsidRDefault="00A022D1">
      <w:pPr>
        <w:spacing w:line="240" w:lineRule="auto"/>
      </w:pPr>
      <w:r>
        <w:t>William J. Doebler</w:t>
      </w:r>
      <w:r w:rsidR="003E40EF">
        <w:rPr>
          <w:vertAlign w:val="superscript"/>
        </w:rPr>
        <w:footnoteReference w:id="2"/>
      </w:r>
      <w:r w:rsidR="00D1618F">
        <w:t>,</w:t>
      </w:r>
      <w:r w:rsidR="00D1618F" w:rsidRPr="00D1618F">
        <w:t xml:space="preserve"> </w:t>
      </w:r>
      <w:r w:rsidR="00D1618F">
        <w:t>Kathryn M. Ballard</w:t>
      </w:r>
      <w:r w:rsidR="00D1618F">
        <w:rPr>
          <w:vertAlign w:val="superscript"/>
        </w:rPr>
        <w:footnoteReference w:id="3"/>
      </w:r>
      <w:r w:rsidR="00D1618F">
        <w:t>, Aaron B. Vaughn</w:t>
      </w:r>
      <w:r w:rsidR="00D1618F">
        <w:rPr>
          <w:vertAlign w:val="superscript"/>
        </w:rPr>
        <w:footnoteReference w:id="4"/>
      </w:r>
      <w:r w:rsidR="00D1618F">
        <w:t>, and Peter A. Parker</w:t>
      </w:r>
      <w:r w:rsidR="00D1618F">
        <w:rPr>
          <w:vertAlign w:val="superscript"/>
        </w:rPr>
        <w:footnoteReference w:id="5"/>
      </w:r>
    </w:p>
    <w:p w14:paraId="136B6C05" w14:textId="77777777" w:rsidR="00CD0FEC" w:rsidRDefault="004F3C01">
      <w:pPr>
        <w:rPr>
          <w:noProof/>
        </w:rPr>
      </w:pPr>
      <w:r>
        <w:rPr>
          <w:noProof/>
        </w:rPr>
        <w:t>NASA Langley Research Center</w:t>
      </w:r>
    </w:p>
    <w:p w14:paraId="4682E2C5" w14:textId="19F97071" w:rsidR="00864B39" w:rsidRDefault="00D34DFF">
      <w:pPr>
        <w:rPr>
          <w:noProof/>
        </w:rPr>
      </w:pPr>
      <w:r>
        <w:rPr>
          <w:noProof/>
        </w:rPr>
        <w:t>2 N Dryden St.</w:t>
      </w:r>
      <w:r w:rsidR="00CD0FEC">
        <w:rPr>
          <w:noProof/>
        </w:rPr>
        <w:t xml:space="preserve">, </w:t>
      </w:r>
      <w:r w:rsidR="004F3C01">
        <w:rPr>
          <w:noProof/>
        </w:rPr>
        <w:t>MS 463</w:t>
      </w:r>
      <w:r w:rsidR="00A51131">
        <w:rPr>
          <w:noProof/>
        </w:rPr>
        <w:t xml:space="preserve">, </w:t>
      </w:r>
      <w:r w:rsidR="004F3C01">
        <w:rPr>
          <w:noProof/>
        </w:rPr>
        <w:t>Hampton, VA 23681</w:t>
      </w:r>
      <w:r w:rsidR="00A51131">
        <w:rPr>
          <w:noProof/>
        </w:rPr>
        <w:t>, USA</w:t>
      </w:r>
    </w:p>
    <w:p w14:paraId="712D2BB4" w14:textId="77777777" w:rsidR="007116D5" w:rsidRDefault="007116D5">
      <w:pPr>
        <w:spacing w:line="300" w:lineRule="atLeast"/>
      </w:pPr>
    </w:p>
    <w:p w14:paraId="5D38C652" w14:textId="77777777" w:rsidR="003158BF" w:rsidRDefault="003E40EF">
      <w:pPr>
        <w:spacing w:line="300" w:lineRule="atLeast"/>
        <w:jc w:val="center"/>
        <w:rPr>
          <w:b/>
          <w:bCs/>
        </w:rPr>
      </w:pPr>
      <w:r>
        <w:rPr>
          <w:b/>
          <w:bCs/>
        </w:rPr>
        <w:t>ABSTRACT</w:t>
      </w:r>
    </w:p>
    <w:p w14:paraId="44F21394" w14:textId="787F6AF1" w:rsidR="002D3E5E" w:rsidRPr="002D3E5E" w:rsidRDefault="007534B3">
      <w:pPr>
        <w:spacing w:line="240" w:lineRule="auto"/>
        <w:rPr>
          <w:i/>
          <w:iCs/>
        </w:rPr>
      </w:pPr>
      <w:r>
        <w:rPr>
          <w:i/>
          <w:iCs/>
        </w:rPr>
        <w:t>The National Aeronautics and Space Administration (</w:t>
      </w:r>
      <w:r w:rsidR="00E77B90" w:rsidRPr="00E77B90">
        <w:rPr>
          <w:i/>
          <w:iCs/>
        </w:rPr>
        <w:t>NASA</w:t>
      </w:r>
      <w:r>
        <w:rPr>
          <w:i/>
          <w:iCs/>
        </w:rPr>
        <w:t>)</w:t>
      </w:r>
      <w:r w:rsidR="00E77B90" w:rsidRPr="00E77B90">
        <w:rPr>
          <w:i/>
          <w:iCs/>
        </w:rPr>
        <w:t xml:space="preserve"> plans to conduct surveys of community response to quiet supersonic flight to collect dose-response data for international regulators. Previous models of noise dose versus </w:t>
      </w:r>
      <w:r w:rsidR="009F0D36">
        <w:rPr>
          <w:i/>
          <w:iCs/>
        </w:rPr>
        <w:t>annoyance</w:t>
      </w:r>
      <w:r w:rsidR="009F0D36" w:rsidRPr="00E77B90">
        <w:rPr>
          <w:i/>
          <w:iCs/>
        </w:rPr>
        <w:t xml:space="preserve"> </w:t>
      </w:r>
      <w:r w:rsidR="00E77B90" w:rsidRPr="00E77B90">
        <w:rPr>
          <w:i/>
          <w:iCs/>
        </w:rPr>
        <w:t xml:space="preserve">response ignored uncertainty in the noise </w:t>
      </w:r>
      <w:r w:rsidR="003F19F7">
        <w:rPr>
          <w:i/>
          <w:iCs/>
        </w:rPr>
        <w:t>dose</w:t>
      </w:r>
      <w:r w:rsidR="00E77B90" w:rsidRPr="00E77B90">
        <w:rPr>
          <w:i/>
          <w:iCs/>
        </w:rPr>
        <w:t xml:space="preserve"> experienced by survey respondents. This dose error causes attenuation bias and results in inaccurate dose-response relationships. The impacts of dose errors can be explored by introducing error into the </w:t>
      </w:r>
      <w:r w:rsidR="0074194B">
        <w:rPr>
          <w:i/>
          <w:iCs/>
        </w:rPr>
        <w:t xml:space="preserve">dose </w:t>
      </w:r>
      <w:r w:rsidR="005A01FD">
        <w:rPr>
          <w:i/>
          <w:iCs/>
        </w:rPr>
        <w:t>estimates</w:t>
      </w:r>
      <w:r w:rsidR="00E77B90" w:rsidRPr="00E77B90">
        <w:rPr>
          <w:i/>
          <w:iCs/>
        </w:rPr>
        <w:t xml:space="preserve"> of a simulated community </w:t>
      </w:r>
      <w:r w:rsidR="009E514B">
        <w:rPr>
          <w:i/>
          <w:iCs/>
        </w:rPr>
        <w:t>noise survey</w:t>
      </w:r>
      <w:r w:rsidR="00E77B90" w:rsidRPr="00E77B90">
        <w:rPr>
          <w:i/>
          <w:iCs/>
        </w:rPr>
        <w:t xml:space="preserve">. The simulated population </w:t>
      </w:r>
      <w:r w:rsidR="00E04F1A">
        <w:rPr>
          <w:i/>
          <w:iCs/>
        </w:rPr>
        <w:t>annoyance</w:t>
      </w:r>
      <w:r w:rsidR="00E04F1A" w:rsidRPr="00E77B90">
        <w:rPr>
          <w:i/>
          <w:iCs/>
        </w:rPr>
        <w:t xml:space="preserve"> </w:t>
      </w:r>
      <w:r w:rsidR="00E77B90" w:rsidRPr="00E77B90">
        <w:rPr>
          <w:i/>
          <w:iCs/>
        </w:rPr>
        <w:t>response is determined by specific noise response characteristics, including the onset of annoyance intercept, rate of increas</w:t>
      </w:r>
      <w:r w:rsidR="00BD18F6">
        <w:rPr>
          <w:i/>
          <w:iCs/>
        </w:rPr>
        <w:t>ing</w:t>
      </w:r>
      <w:r w:rsidR="00E77B90" w:rsidRPr="00E77B90">
        <w:rPr>
          <w:i/>
          <w:iCs/>
        </w:rPr>
        <w:t xml:space="preserve"> annoyance, participant intercept variability, and response rates. This paper explores the effects of dose errors on notional populations created by perturbing the noise response characteristics observed in participants in a recent NASA flight test, QSF18. The QSF18-based population parameters were shifted up to </w:t>
      </w:r>
      <w:r w:rsidR="002029CA">
        <w:rPr>
          <w:rFonts w:cs="Times New Roman"/>
          <w:i/>
          <w:iCs/>
        </w:rPr>
        <w:t>±</w:t>
      </w:r>
      <w:r w:rsidR="00E77B90" w:rsidRPr="00E77B90">
        <w:rPr>
          <w:i/>
          <w:iCs/>
        </w:rPr>
        <w:t>20% to create the study populations. For the anticipated dose range of</w:t>
      </w:r>
      <w:r w:rsidR="0043665F">
        <w:rPr>
          <w:i/>
          <w:iCs/>
        </w:rPr>
        <w:t xml:space="preserve"> the</w:t>
      </w:r>
      <w:r w:rsidR="00E77B90" w:rsidRPr="00E77B90">
        <w:rPr>
          <w:i/>
          <w:iCs/>
        </w:rPr>
        <w:t xml:space="preserve"> X-59, changes to </w:t>
      </w:r>
      <w:r w:rsidR="00D50FBD">
        <w:rPr>
          <w:i/>
          <w:iCs/>
        </w:rPr>
        <w:t>the onset of annoyance intercept</w:t>
      </w:r>
      <w:r w:rsidR="00E77B90" w:rsidRPr="00E77B90">
        <w:rPr>
          <w:i/>
          <w:iCs/>
        </w:rPr>
        <w:t xml:space="preserve"> have the greatest impact on erroneous model results. Quantifying point estimate errors illustrates the impact of dose error, with errors up to 14 dB observed for a fixed high annoyance percentage.</w:t>
      </w:r>
      <w:r w:rsidR="002D3E5E" w:rsidRPr="002D3E5E">
        <w:rPr>
          <w:i/>
          <w:iCs/>
        </w:rPr>
        <w:t xml:space="preserve"> </w:t>
      </w:r>
    </w:p>
    <w:p w14:paraId="069B83BF" w14:textId="77777777" w:rsidR="003158BF" w:rsidRDefault="003158BF">
      <w:pPr>
        <w:spacing w:line="240" w:lineRule="auto"/>
        <w:rPr>
          <w:b/>
          <w:bCs/>
        </w:rPr>
      </w:pPr>
    </w:p>
    <w:p w14:paraId="6FF0F69C" w14:textId="79A87343" w:rsidR="007C03C7" w:rsidRDefault="003E40EF">
      <w:pPr>
        <w:pStyle w:val="Test1"/>
        <w:spacing w:after="0"/>
      </w:pPr>
      <w:r>
        <w:t>1.</w:t>
      </w:r>
      <w:r w:rsidR="005C6FB1">
        <w:t xml:space="preserve"> </w:t>
      </w:r>
      <w:r>
        <w:t>INTRODUCTIO</w:t>
      </w:r>
      <w:r w:rsidR="004E4A64">
        <w:t>N</w:t>
      </w:r>
    </w:p>
    <w:p w14:paraId="6F6D5D9E" w14:textId="6409E5BC" w:rsidR="00B766EF" w:rsidRDefault="004E4A64">
      <w:pPr>
        <w:pStyle w:val="test2"/>
      </w:pPr>
      <w:r>
        <w:t>In community noise surveys, noise doses are paired with annoyance responses from survey participants. The noise dose</w:t>
      </w:r>
      <w:r w:rsidR="001055E4">
        <w:t>s</w:t>
      </w:r>
      <w:r>
        <w:t xml:space="preserve"> and annoyance responses are </w:t>
      </w:r>
      <w:r w:rsidR="00883635">
        <w:t xml:space="preserve">then </w:t>
      </w:r>
      <w:r>
        <w:t>modeled as a dose-response relationship.</w:t>
      </w:r>
      <w:r w:rsidR="002D1BE3">
        <w:t xml:space="preserve"> </w:t>
      </w:r>
      <w:r w:rsidR="00FC1B5C">
        <w:t>Noise dose measurements made by n</w:t>
      </w:r>
      <w:r w:rsidR="002D1BE3">
        <w:t xml:space="preserve">oise monitors </w:t>
      </w:r>
      <w:r w:rsidR="00FC1B5C">
        <w:t xml:space="preserve">placed throughout a community are </w:t>
      </w:r>
      <w:r w:rsidR="002D1BE3">
        <w:t>subject to error</w:t>
      </w:r>
      <w:r w:rsidR="007D3076">
        <w:t xml:space="preserve"> from various sources, e.g., self-noise </w:t>
      </w:r>
      <w:r w:rsidR="00EA576C">
        <w:t>and</w:t>
      </w:r>
      <w:r w:rsidR="007D3076">
        <w:t xml:space="preserve"> ambient noise.</w:t>
      </w:r>
      <w:r>
        <w:t xml:space="preserve"> The noise dose may need to be estimated for participant</w:t>
      </w:r>
      <w:r w:rsidR="001757C5">
        <w:t>s</w:t>
      </w:r>
      <w:r>
        <w:t xml:space="preserve"> as it may not be feasible to make a measurement at their location.</w:t>
      </w:r>
      <w:r w:rsidR="003F4A9A">
        <w:t xml:space="preserve"> </w:t>
      </w:r>
      <w:r w:rsidR="003C4896">
        <w:t xml:space="preserve">Thus, </w:t>
      </w:r>
      <w:r w:rsidR="00677FE3">
        <w:t xml:space="preserve">to estimate the noise doses, </w:t>
      </w:r>
      <w:r w:rsidR="003C4896">
        <w:t>t</w:t>
      </w:r>
      <w:r w:rsidR="003F4A9A">
        <w:t>he measurements may be supplemented by physics-based noise predictions</w:t>
      </w:r>
      <w:r w:rsidR="00CD7B51">
        <w:t>, which are also subject to error.</w:t>
      </w:r>
      <w:r>
        <w:t xml:space="preserve"> </w:t>
      </w:r>
    </w:p>
    <w:p w14:paraId="1F53005E" w14:textId="3D8237BE" w:rsidR="00B226C1" w:rsidRDefault="00B766EF" w:rsidP="00B226C1">
      <w:pPr>
        <w:pStyle w:val="test2"/>
        <w:ind w:firstLine="576"/>
      </w:pPr>
      <w:r>
        <w:t>Previous work has shown that m</w:t>
      </w:r>
      <w:r w:rsidR="003233F2">
        <w:t>easurement error in</w:t>
      </w:r>
      <w:r w:rsidR="004E4A64">
        <w:t xml:space="preserve"> </w:t>
      </w:r>
      <w:r w:rsidR="003F4A9A">
        <w:t xml:space="preserve">or misestimation of </w:t>
      </w:r>
      <w:r w:rsidR="004E4A64">
        <w:t xml:space="preserve">the noise dose results in </w:t>
      </w:r>
      <w:r w:rsidR="001C57BF">
        <w:t>biased</w:t>
      </w:r>
      <w:r w:rsidR="002174D5">
        <w:t xml:space="preserve"> estimated coefficients </w:t>
      </w:r>
      <w:r w:rsidR="004E4A64">
        <w:t>of the dose-response model, namely in attenuation of the slope</w:t>
      </w:r>
      <w:r w:rsidR="00542E7F">
        <w:t>, or rate of increasing annoyance</w:t>
      </w:r>
      <w:r w:rsidR="00FD219D">
        <w:t xml:space="preserve"> [</w:t>
      </w:r>
      <w:bookmarkStart w:id="0" w:name="_Ref135143476"/>
      <w:r w:rsidR="00642FEB" w:rsidRPr="007D08DD">
        <w:rPr>
          <w:rStyle w:val="EndnoteReference"/>
          <w:vertAlign w:val="baseline"/>
        </w:rPr>
        <w:endnoteReference w:id="2"/>
      </w:r>
      <w:bookmarkEnd w:id="0"/>
      <w:r w:rsidR="0043665F">
        <w:t>–</w:t>
      </w:r>
      <w:bookmarkStart w:id="1" w:name="_Ref135148088"/>
      <w:r w:rsidR="00E857C2" w:rsidRPr="0060003C">
        <w:rPr>
          <w:rStyle w:val="EndnoteReference"/>
          <w:vanish/>
          <w:vertAlign w:val="baseline"/>
        </w:rPr>
        <w:endnoteReference w:id="3"/>
      </w:r>
      <w:bookmarkStart w:id="2" w:name="_Ref135144546"/>
      <w:bookmarkEnd w:id="1"/>
      <w:r w:rsidR="00E857C2" w:rsidRPr="001E68F1">
        <w:rPr>
          <w:rStyle w:val="EndnoteReference"/>
          <w:vertAlign w:val="baseline"/>
        </w:rPr>
        <w:endnoteReference w:id="4"/>
      </w:r>
      <w:bookmarkEnd w:id="2"/>
      <w:r w:rsidR="00FD219D">
        <w:t>]</w:t>
      </w:r>
      <w:r w:rsidR="004E4A64">
        <w:t>.</w:t>
      </w:r>
      <w:r w:rsidR="001E68F1">
        <w:t xml:space="preserve"> </w:t>
      </w:r>
      <w:r w:rsidR="006E4978">
        <w:t>Erroneous dose-response models can have impactful consequences for the development of noise regulations.</w:t>
      </w:r>
    </w:p>
    <w:p w14:paraId="117E9FC5" w14:textId="145CD021" w:rsidR="004E4A64" w:rsidRDefault="00B766EF" w:rsidP="007A104B">
      <w:pPr>
        <w:pStyle w:val="test2"/>
        <w:ind w:firstLine="576"/>
      </w:pPr>
      <w:r>
        <w:t xml:space="preserve">Methods to account for dose error are available </w:t>
      </w:r>
      <w:bookmarkStart w:id="3" w:name="_Ref135143341"/>
      <w:r w:rsidR="007D08DD">
        <w:t>[</w:t>
      </w:r>
      <w:r w:rsidR="006E4978">
        <w:fldChar w:fldCharType="begin"/>
      </w:r>
      <w:r w:rsidR="006E4978">
        <w:instrText xml:space="preserve"> NOTEREF _Ref135143476 \h </w:instrText>
      </w:r>
      <w:r w:rsidR="006E4978">
        <w:fldChar w:fldCharType="separate"/>
      </w:r>
      <w:r w:rsidR="00BE1007">
        <w:t>1</w:t>
      </w:r>
      <w:r w:rsidR="006E4978">
        <w:fldChar w:fldCharType="end"/>
      </w:r>
      <w:r w:rsidR="006E4978">
        <w:t>,</w:t>
      </w:r>
      <w:r w:rsidR="00B65AD6">
        <w:t xml:space="preserve"> </w:t>
      </w:r>
      <w:r w:rsidR="00642FEB" w:rsidRPr="007D08DD">
        <w:rPr>
          <w:rStyle w:val="EndnoteReference"/>
          <w:vertAlign w:val="baseline"/>
        </w:rPr>
        <w:endnoteReference w:id="5"/>
      </w:r>
      <w:bookmarkStart w:id="4" w:name="_Ref135143330"/>
      <w:bookmarkEnd w:id="3"/>
      <w:r w:rsidR="009C73FE">
        <w:t xml:space="preserve">, </w:t>
      </w:r>
      <w:bookmarkStart w:id="5" w:name="_Ref135144553"/>
      <w:r w:rsidR="00642FEB" w:rsidRPr="007D08DD">
        <w:rPr>
          <w:rStyle w:val="EndnoteReference"/>
          <w:vertAlign w:val="baseline"/>
        </w:rPr>
        <w:endnoteReference w:id="6"/>
      </w:r>
      <w:bookmarkEnd w:id="4"/>
      <w:bookmarkEnd w:id="5"/>
      <w:r w:rsidR="007D08DD">
        <w:t>]</w:t>
      </w:r>
      <w:r>
        <w:t>, but it is of interest to understand when these methods need to be implemented for dose-response modeling.</w:t>
      </w:r>
      <w:r w:rsidR="00670EE9">
        <w:t xml:space="preserve"> </w:t>
      </w:r>
      <w:r w:rsidR="003B3BF5">
        <w:t xml:space="preserve">For its </w:t>
      </w:r>
      <w:proofErr w:type="spellStart"/>
      <w:r w:rsidR="003B3BF5">
        <w:t>Quesst</w:t>
      </w:r>
      <w:proofErr w:type="spellEnd"/>
      <w:r w:rsidR="003B3BF5">
        <w:t xml:space="preserve"> mission, NASA will provide dose-response data to regulatory agencies to inform</w:t>
      </w:r>
      <w:r w:rsidR="00670EE9">
        <w:t xml:space="preserve"> </w:t>
      </w:r>
      <w:r w:rsidR="00CD161C">
        <w:t xml:space="preserve">the development of </w:t>
      </w:r>
      <w:r w:rsidR="00211DD8">
        <w:t xml:space="preserve">potential new supersonic aircraft noise certification standards. </w:t>
      </w:r>
      <w:r w:rsidR="00EA392C">
        <w:t>Th</w:t>
      </w:r>
      <w:r w:rsidR="0043665F">
        <w:t>ese</w:t>
      </w:r>
      <w:r w:rsidR="00EA392C">
        <w:t xml:space="preserve"> dose-response data will be </w:t>
      </w:r>
      <w:r w:rsidR="00D1663F">
        <w:t>collected</w:t>
      </w:r>
      <w:r w:rsidR="00EA392C">
        <w:t xml:space="preserve"> i</w:t>
      </w:r>
      <w:r w:rsidR="002F5DAC">
        <w:t xml:space="preserve">n communities overflown by the X-59 supersonic aircraft. </w:t>
      </w:r>
      <w:r w:rsidR="00211DD8">
        <w:t xml:space="preserve">Planning for the X-59 community noise </w:t>
      </w:r>
      <w:r w:rsidR="00211DD8">
        <w:lastRenderedPageBreak/>
        <w:t>surveys is currently underway</w:t>
      </w:r>
      <w:r w:rsidR="00FD219D">
        <w:t xml:space="preserve"> [</w:t>
      </w:r>
      <w:r w:rsidR="008324AF" w:rsidRPr="008324AF">
        <w:rPr>
          <w:rStyle w:val="EndnoteReference"/>
          <w:vertAlign w:val="baseline"/>
        </w:rPr>
        <w:endnoteReference w:id="7"/>
      </w:r>
      <w:r w:rsidR="00FD219D">
        <w:t>]</w:t>
      </w:r>
      <w:r w:rsidR="00211DD8">
        <w:t>.</w:t>
      </w:r>
      <w:r w:rsidR="00322689">
        <w:t xml:space="preserve"> </w:t>
      </w:r>
      <w:r w:rsidR="00D76BF8">
        <w:t>An i</w:t>
      </w:r>
      <w:r w:rsidR="00322689">
        <w:t xml:space="preserve">nitial </w:t>
      </w:r>
      <w:r w:rsidR="00BC3DFF">
        <w:t xml:space="preserve">simulation </w:t>
      </w:r>
      <w:r w:rsidR="00322689">
        <w:t xml:space="preserve">analysis </w:t>
      </w:r>
      <w:r w:rsidR="00BC3DFF">
        <w:t xml:space="preserve">of the effects </w:t>
      </w:r>
      <w:r w:rsidR="0043665F">
        <w:t xml:space="preserve">of </w:t>
      </w:r>
      <w:r w:rsidR="00BC3DFF">
        <w:t xml:space="preserve">dose error </w:t>
      </w:r>
      <w:r w:rsidR="00322689">
        <w:t>in the context of the X-59 community noise surveys</w:t>
      </w:r>
      <w:r w:rsidR="00D76BF8">
        <w:t xml:space="preserve"> was conducted</w:t>
      </w:r>
      <w:r w:rsidR="00941E54">
        <w:t xml:space="preserve"> [</w:t>
      </w:r>
      <w:bookmarkStart w:id="6" w:name="_Ref135144583"/>
      <w:r w:rsidR="00941E54" w:rsidRPr="00FB1F6D">
        <w:rPr>
          <w:rStyle w:val="EndnoteReference"/>
          <w:vertAlign w:val="baseline"/>
        </w:rPr>
        <w:endnoteReference w:id="8"/>
      </w:r>
      <w:bookmarkEnd w:id="6"/>
      <w:r w:rsidR="00941E54">
        <w:t>].</w:t>
      </w:r>
      <w:r w:rsidR="00322689">
        <w:t xml:space="preserve"> </w:t>
      </w:r>
      <w:r w:rsidR="00941E54">
        <w:t>Simulated dose-response data enables direct comparison of estimated dose-response relationships to the true dose-response relationship of the simulation populations. In the previous work, dose-response simulations were conducted using a simulated survey participant population based on results of a previous NASA sonic boom community noise survey, QSF18 [</w:t>
      </w:r>
      <w:bookmarkStart w:id="7" w:name="_Ref134449233"/>
      <w:r w:rsidR="00941E54" w:rsidRPr="00A44A92">
        <w:rPr>
          <w:rStyle w:val="EndnoteReference"/>
          <w:vertAlign w:val="baseline"/>
        </w:rPr>
        <w:endnoteReference w:id="9"/>
      </w:r>
      <w:bookmarkEnd w:id="7"/>
      <w:r w:rsidR="00941E54">
        <w:t>], and utilized the anticipated noise dose design of the X</w:t>
      </w:r>
      <w:r w:rsidR="00E306A3">
        <w:noBreakHyphen/>
      </w:r>
      <w:r w:rsidR="00941E54">
        <w:t>59 [</w:t>
      </w:r>
      <w:bookmarkStart w:id="8" w:name="_Ref130570837"/>
      <w:r w:rsidR="00941E54" w:rsidRPr="007B3679">
        <w:rPr>
          <w:rStyle w:val="EndnoteReference"/>
          <w:vertAlign w:val="baseline"/>
        </w:rPr>
        <w:endnoteReference w:id="10"/>
      </w:r>
      <w:bookmarkEnd w:id="8"/>
      <w:r w:rsidR="00941E54">
        <w:t>]. Results suggest that for the simulated population, reasonably small sampling variability and reasonable precision in the dose-response model (</w:t>
      </w:r>
      <w:r w:rsidR="00941E54">
        <w:rPr>
          <w:rFonts w:cs="Times New Roman"/>
        </w:rPr>
        <w:t>±</w:t>
      </w:r>
      <w:r w:rsidR="00941E54">
        <w:t xml:space="preserve">2 dB around the dose that elicits 1% high annoyance or </w:t>
      </w:r>
      <w:r w:rsidR="00941E54">
        <w:rPr>
          <w:rFonts w:cs="Times New Roman"/>
        </w:rPr>
        <w:t>±</w:t>
      </w:r>
      <w:r w:rsidR="00941E54">
        <w:t xml:space="preserve">0.2% high annoyance at 75 dB) are achieved with between 500 and 2500 target survey participants. Additionally, the results demonstrated that if the dose error standard deviation is greater than 2 dB, the estimated dose-response curve begins to deviate from the true </w:t>
      </w:r>
      <w:r w:rsidR="00941E54" w:rsidRPr="00E35AFB">
        <w:t>dose-response curve</w:t>
      </w:r>
      <w:r w:rsidR="00941E54">
        <w:t xml:space="preserve"> of the underlying population due to the attenuation effect.</w:t>
      </w:r>
      <w:r w:rsidR="007A104B">
        <w:t xml:space="preserve"> </w:t>
      </w:r>
      <w:r w:rsidR="00E96111">
        <w:t>This threshold likely depends on the underlying simulation population and its interaction with the true noise dose range.</w:t>
      </w:r>
    </w:p>
    <w:p w14:paraId="0A516F74" w14:textId="2DB7E80C" w:rsidR="004E4A64" w:rsidRDefault="00CE187A">
      <w:pPr>
        <w:pStyle w:val="test2"/>
        <w:ind w:firstLine="576"/>
      </w:pPr>
      <w:r>
        <w:t>The goal of this paper is to use a broader set of underlying populations</w:t>
      </w:r>
      <w:r w:rsidR="007925F2" w:rsidRPr="007925F2">
        <w:t xml:space="preserve"> to confirm</w:t>
      </w:r>
      <w:r w:rsidR="007925F2">
        <w:t xml:space="preserve"> or refute</w:t>
      </w:r>
      <w:r w:rsidR="007925F2" w:rsidRPr="007925F2">
        <w:t xml:space="preserve"> the conclusions from </w:t>
      </w:r>
      <w:r w:rsidR="007925F2">
        <w:t>the</w:t>
      </w:r>
      <w:r w:rsidR="007925F2" w:rsidRPr="007925F2">
        <w:t xml:space="preserve"> previous study</w:t>
      </w:r>
      <w:r w:rsidR="007925F2">
        <w:t xml:space="preserve"> to </w:t>
      </w:r>
      <w:r w:rsidR="007925F2" w:rsidRPr="007925F2">
        <w:t>highlight scenarios where the mitigation techniques will</w:t>
      </w:r>
      <w:r w:rsidR="007925F2">
        <w:t xml:space="preserve"> be needed</w:t>
      </w:r>
      <w:r w:rsidR="008A5E0F" w:rsidRPr="008A5E0F">
        <w:t xml:space="preserve"> as the noise-annoyance response of communities across the country and world may differ from that of the population</w:t>
      </w:r>
      <w:r w:rsidR="004841FE">
        <w:t xml:space="preserve"> used in the previous simulation. </w:t>
      </w:r>
      <w:r w:rsidR="004E4A64">
        <w:t>In th</w:t>
      </w:r>
      <w:r w:rsidR="009364B3">
        <w:t>e current</w:t>
      </w:r>
      <w:r w:rsidR="004E4A64">
        <w:t xml:space="preserve"> paper, </w:t>
      </w:r>
      <w:r w:rsidR="009364B3">
        <w:t xml:space="preserve">the </w:t>
      </w:r>
      <w:r w:rsidR="004E3748">
        <w:t xml:space="preserve">previous dose-response </w:t>
      </w:r>
      <w:r w:rsidR="009364B3">
        <w:t xml:space="preserve">simulations are extended </w:t>
      </w:r>
      <w:r w:rsidR="00DB5355">
        <w:t>by</w:t>
      </w:r>
      <w:r w:rsidR="004E3748">
        <w:t xml:space="preserve"> shift</w:t>
      </w:r>
      <w:r w:rsidR="00056DCD">
        <w:t>ing</w:t>
      </w:r>
      <w:r w:rsidR="004E3748">
        <w:t xml:space="preserve"> </w:t>
      </w:r>
      <w:r w:rsidR="00DB5355">
        <w:t xml:space="preserve">parameters of the previous population model </w:t>
      </w:r>
      <w:r w:rsidR="004E3748">
        <w:t xml:space="preserve">by </w:t>
      </w:r>
      <w:r w:rsidR="00E714DD">
        <w:rPr>
          <w:rFonts w:cs="Times New Roman"/>
        </w:rPr>
        <w:t>±</w:t>
      </w:r>
      <w:r w:rsidR="00CD563C">
        <w:t>10</w:t>
      </w:r>
      <w:r w:rsidR="007A1CD2">
        <w:t>%</w:t>
      </w:r>
      <w:r w:rsidR="00CD563C">
        <w:t xml:space="preserve"> and </w:t>
      </w:r>
      <w:r w:rsidR="00E714DD">
        <w:rPr>
          <w:rFonts w:cs="Times New Roman"/>
        </w:rPr>
        <w:t>±</w:t>
      </w:r>
      <w:r w:rsidR="00CD563C">
        <w:t>20%</w:t>
      </w:r>
      <w:r w:rsidR="00056DCD">
        <w:t>.</w:t>
      </w:r>
      <w:r w:rsidR="00A45E6C">
        <w:t xml:space="preserve"> These values were chosen arbitrarily as it is currently not known how </w:t>
      </w:r>
      <w:r w:rsidR="00CE7C62">
        <w:t>population</w:t>
      </w:r>
      <w:r w:rsidR="00DB5B3F">
        <w:t xml:space="preserve"> responses</w:t>
      </w:r>
      <w:r w:rsidR="00A45E6C">
        <w:t xml:space="preserve"> will vary for shaped sonic booms. For reference, another NASA </w:t>
      </w:r>
      <w:r w:rsidR="00CB541E">
        <w:t xml:space="preserve">sonic boom </w:t>
      </w:r>
      <w:r w:rsidR="00A45E6C">
        <w:t>community noise survey</w:t>
      </w:r>
      <w:r w:rsidR="00353DCF">
        <w:t xml:space="preserve"> [</w:t>
      </w:r>
      <w:r w:rsidR="00353DCF" w:rsidRPr="00CE7C62">
        <w:rPr>
          <w:rStyle w:val="EndnoteReference"/>
          <w:vertAlign w:val="baseline"/>
        </w:rPr>
        <w:endnoteReference w:id="11"/>
      </w:r>
      <w:r w:rsidR="00353DCF">
        <w:t>]</w:t>
      </w:r>
      <w:r w:rsidR="00CE7C62">
        <w:t xml:space="preserve"> population </w:t>
      </w:r>
      <w:r w:rsidR="00A45E6C">
        <w:t>differed from</w:t>
      </w:r>
      <w:r w:rsidR="00CB541E">
        <w:t xml:space="preserve"> the</w:t>
      </w:r>
      <w:r w:rsidR="00A45E6C">
        <w:t xml:space="preserve"> QSF18 </w:t>
      </w:r>
      <w:r w:rsidR="00CB541E">
        <w:t xml:space="preserve">model population parameters </w:t>
      </w:r>
      <w:r w:rsidR="00A45E6C">
        <w:t>by only 3%</w:t>
      </w:r>
      <w:r w:rsidR="00252799">
        <w:t xml:space="preserve"> [</w:t>
      </w:r>
      <w:bookmarkStart w:id="9" w:name="_Ref134528343"/>
      <w:r w:rsidR="00252799" w:rsidRPr="00252799">
        <w:rPr>
          <w:rStyle w:val="EndnoteReference"/>
          <w:vertAlign w:val="baseline"/>
        </w:rPr>
        <w:endnoteReference w:id="12"/>
      </w:r>
      <w:bookmarkEnd w:id="9"/>
      <w:r w:rsidR="00252799">
        <w:t>]</w:t>
      </w:r>
      <w:r w:rsidR="00CE7C62">
        <w:t xml:space="preserve">. </w:t>
      </w:r>
      <w:r w:rsidR="00252799">
        <w:t>This contrasts a</w:t>
      </w:r>
      <w:r w:rsidR="00CE7C62">
        <w:t xml:space="preserve"> recent subsonic aircraft noise survey near 20 airports </w:t>
      </w:r>
      <w:r w:rsidR="00252799">
        <w:t>whose</w:t>
      </w:r>
      <w:r w:rsidR="00CE7C62">
        <w:t xml:space="preserve"> populations were more variable</w:t>
      </w:r>
      <w:r w:rsidR="00252799">
        <w:t xml:space="preserve"> [</w:t>
      </w:r>
      <w:r w:rsidR="00252799" w:rsidRPr="00252799">
        <w:rPr>
          <w:rStyle w:val="EndnoteReference"/>
          <w:vertAlign w:val="baseline"/>
        </w:rPr>
        <w:endnoteReference w:id="13"/>
      </w:r>
      <w:r w:rsidR="00252799">
        <w:t>]. Ten of the 20 populations varying by more than 25% from the median population parameters, though the noise source and modeling methods differ from QSF18.</w:t>
      </w:r>
    </w:p>
    <w:p w14:paraId="42F88CD1" w14:textId="2D991E32" w:rsidR="005F0A38" w:rsidRDefault="009E4B9D">
      <w:pPr>
        <w:pStyle w:val="test2"/>
        <w:ind w:firstLine="576"/>
      </w:pPr>
      <w:r>
        <w:t>The paper is formatted as follows</w:t>
      </w:r>
      <w:r w:rsidR="002201BD">
        <w:t>. Section 2 describes the baseline population model used in the previous study, which serves as the starting point for this work. Section 3 describes the 24 additional populations studied</w:t>
      </w:r>
      <w:r w:rsidR="00F27310">
        <w:t xml:space="preserve">. Section 4 describes the </w:t>
      </w:r>
      <w:r w:rsidR="00D30B74">
        <w:t xml:space="preserve">simulated </w:t>
      </w:r>
      <w:r w:rsidR="00F27310">
        <w:t>noise doses and error in the doses to which the</w:t>
      </w:r>
      <w:r w:rsidR="00D30B74">
        <w:t xml:space="preserve"> simulated</w:t>
      </w:r>
      <w:r w:rsidR="00F27310">
        <w:t xml:space="preserve"> participants were subjected. Section 5 describes the multilevel logistic regression model that was fit to simulated datasets for each population. Section 6 includes the modeling results that compare the estimated dose-response </w:t>
      </w:r>
      <w:r w:rsidR="00FA5725">
        <w:t xml:space="preserve">function to the true underlying population dose-response function. </w:t>
      </w:r>
      <w:r w:rsidR="00931EE1">
        <w:t xml:space="preserve">Finally, </w:t>
      </w:r>
      <w:r w:rsidR="009140A7">
        <w:t xml:space="preserve">Section </w:t>
      </w:r>
      <w:r w:rsidR="007E45A8">
        <w:t>7</w:t>
      </w:r>
      <w:r w:rsidR="009140A7">
        <w:t xml:space="preserve"> summarizes the conclusions, limitations, and opportunities for future work.</w:t>
      </w:r>
    </w:p>
    <w:p w14:paraId="244093A0" w14:textId="77777777" w:rsidR="00F57FEC" w:rsidRDefault="00F57FEC">
      <w:pPr>
        <w:pStyle w:val="test2"/>
      </w:pPr>
    </w:p>
    <w:p w14:paraId="4327A57D" w14:textId="27711028" w:rsidR="005639D8" w:rsidRDefault="00E42787">
      <w:pPr>
        <w:pStyle w:val="Test1"/>
        <w:spacing w:after="0"/>
      </w:pPr>
      <w:r>
        <w:t>2</w:t>
      </w:r>
      <w:r w:rsidR="00403CD5">
        <w:t>.</w:t>
      </w:r>
      <w:r w:rsidR="005639D8">
        <w:t xml:space="preserve"> </w:t>
      </w:r>
      <w:r w:rsidR="00310225">
        <w:t>Baseline</w:t>
      </w:r>
      <w:r w:rsidR="004C157C">
        <w:t xml:space="preserve"> Population </w:t>
      </w:r>
      <w:r w:rsidR="007C03C7">
        <w:t xml:space="preserve">Dose-Response </w:t>
      </w:r>
      <w:r w:rsidR="004C157C">
        <w:t>M</w:t>
      </w:r>
      <w:r w:rsidR="00A44A92">
        <w:t>o</w:t>
      </w:r>
      <w:r w:rsidR="004C157C">
        <w:t>del</w:t>
      </w:r>
    </w:p>
    <w:p w14:paraId="0F005CCF" w14:textId="47A94367" w:rsidR="00383AA7" w:rsidRDefault="00383AA7">
      <w:r>
        <w:t xml:space="preserve">This section outlines </w:t>
      </w:r>
      <w:r w:rsidR="00C55331">
        <w:t>the baseline</w:t>
      </w:r>
      <w:r w:rsidR="00341489">
        <w:t xml:space="preserve"> (BL)</w:t>
      </w:r>
      <w:r w:rsidR="00C55331">
        <w:t xml:space="preserve"> dose-response </w:t>
      </w:r>
      <w:r w:rsidR="0004662A">
        <w:t xml:space="preserve">model that is used to generate the </w:t>
      </w:r>
      <w:r w:rsidR="00C55331">
        <w:t>simulation population</w:t>
      </w:r>
      <w:r w:rsidR="00D2003A">
        <w:t xml:space="preserve"> of</w:t>
      </w:r>
      <w:r w:rsidR="007A3326">
        <w:t xml:space="preserve"> survey</w:t>
      </w:r>
      <w:r w:rsidR="00D2003A">
        <w:t xml:space="preserve"> participants</w:t>
      </w:r>
      <w:r w:rsidR="00C55331">
        <w:t xml:space="preserve">. It is based on the </w:t>
      </w:r>
      <w:r>
        <w:t xml:space="preserve">multilevel logistic regression </w:t>
      </w:r>
      <w:r w:rsidR="00931200">
        <w:t xml:space="preserve">(MLR) </w:t>
      </w:r>
      <w:r w:rsidR="00C55331">
        <w:t xml:space="preserve">results </w:t>
      </w:r>
      <w:r w:rsidR="004A304C">
        <w:t>first described in</w:t>
      </w:r>
      <w:r w:rsidR="00CD3299">
        <w:t xml:space="preserve"> </w:t>
      </w:r>
      <w:r w:rsidR="00C55331">
        <w:t>Lee et al</w:t>
      </w:r>
      <w:r w:rsidR="00D77EAA">
        <w:t>.</w:t>
      </w:r>
      <w:bookmarkStart w:id="10" w:name="_Ref129866795"/>
      <w:r w:rsidR="000C2CB0">
        <w:t xml:space="preserve"> [</w:t>
      </w:r>
      <w:bookmarkStart w:id="11" w:name="_Ref133413531"/>
      <w:r w:rsidR="00D77EAA" w:rsidRPr="000C2CB0">
        <w:rPr>
          <w:rStyle w:val="EndnoteReference"/>
          <w:vertAlign w:val="baseline"/>
        </w:rPr>
        <w:endnoteReference w:id="14"/>
      </w:r>
      <w:bookmarkEnd w:id="10"/>
      <w:bookmarkEnd w:id="11"/>
      <w:r w:rsidR="000C2CB0">
        <w:t>]</w:t>
      </w:r>
      <w:r w:rsidR="00DE24B6">
        <w:t xml:space="preserve"> for the NASA Quiet Supersonic Flights 2018 (QSF18) community noise survey risk reduction activity</w:t>
      </w:r>
      <w:r w:rsidR="000C2CB0">
        <w:t xml:space="preserve"> [</w:t>
      </w:r>
      <w:r w:rsidR="001D3916">
        <w:fldChar w:fldCharType="begin"/>
      </w:r>
      <w:r w:rsidR="001D3916">
        <w:instrText xml:space="preserve"> NOTEREF _Ref134449233 \h </w:instrText>
      </w:r>
      <w:r w:rsidR="001D3916">
        <w:fldChar w:fldCharType="separate"/>
      </w:r>
      <w:r w:rsidR="00BE1007">
        <w:t>8</w:t>
      </w:r>
      <w:r w:rsidR="001D3916">
        <w:fldChar w:fldCharType="end"/>
      </w:r>
      <w:r w:rsidR="000C2CB0">
        <w:t>]</w:t>
      </w:r>
      <w:r w:rsidR="00DE24B6">
        <w:t>.</w:t>
      </w:r>
      <w:r w:rsidR="00C55331">
        <w:t xml:space="preserve"> </w:t>
      </w:r>
      <w:r w:rsidR="00217A25">
        <w:t>Rationale for s</w:t>
      </w:r>
      <w:r w:rsidR="008E4815">
        <w:t xml:space="preserve">election of the model is </w:t>
      </w:r>
      <w:r w:rsidR="00217A25">
        <w:t xml:space="preserve">described in </w:t>
      </w:r>
      <w:r w:rsidR="00252799">
        <w:t>R</w:t>
      </w:r>
      <w:r w:rsidR="00217A25">
        <w:t>ef</w:t>
      </w:r>
      <w:r w:rsidR="00252799">
        <w:t>.</w:t>
      </w:r>
      <w:r w:rsidR="00217A25">
        <w:t xml:space="preserve"> </w:t>
      </w:r>
      <w:r w:rsidR="008E4815">
        <w:t>[</w:t>
      </w:r>
      <w:r w:rsidR="004630B5">
        <w:fldChar w:fldCharType="begin"/>
      </w:r>
      <w:r w:rsidR="004630B5">
        <w:instrText xml:space="preserve"> NOTEREF _Ref134528343 \h </w:instrText>
      </w:r>
      <w:r w:rsidR="004630B5">
        <w:fldChar w:fldCharType="separate"/>
      </w:r>
      <w:r w:rsidR="00BE1007">
        <w:t>11</w:t>
      </w:r>
      <w:r w:rsidR="004630B5">
        <w:fldChar w:fldCharType="end"/>
      </w:r>
      <w:r w:rsidR="008E4815">
        <w:t>]</w:t>
      </w:r>
      <w:r w:rsidR="00060E2E">
        <w:t xml:space="preserve">, with the assumption </w:t>
      </w:r>
      <w:r w:rsidR="001E3462">
        <w:t xml:space="preserve">of a longitudinal survey in </w:t>
      </w:r>
      <w:r w:rsidR="00E306A3">
        <w:t xml:space="preserve">which </w:t>
      </w:r>
      <w:r w:rsidR="001E3462">
        <w:t xml:space="preserve">each participant responds </w:t>
      </w:r>
      <w:r w:rsidR="00B37111">
        <w:t>to more than one survey</w:t>
      </w:r>
      <w:r w:rsidR="00273BD4">
        <w:t xml:space="preserve"> event</w:t>
      </w:r>
      <w:r w:rsidR="00B37111">
        <w:t>.</w:t>
      </w:r>
      <w:r w:rsidR="005D5995">
        <w:t xml:space="preserve"> </w:t>
      </w:r>
      <w:r>
        <w:t xml:space="preserve">The model </w:t>
      </w:r>
      <w:r w:rsidR="00C55331">
        <w:t>assumes</w:t>
      </w:r>
      <w:r>
        <w:t xml:space="preserve"> </w:t>
      </w:r>
      <w:r w:rsidR="00984459">
        <w:t xml:space="preserve">that the probability </w:t>
      </w:r>
      <m:oMath>
        <m:sSub>
          <m:sSubPr>
            <m:ctrlPr>
              <w:rPr>
                <w:rFonts w:ascii="Cambria Math" w:hAnsi="Cambria Math"/>
                <w:i/>
              </w:rPr>
            </m:ctrlPr>
          </m:sSubPr>
          <m:e>
            <m:r>
              <w:rPr>
                <w:rFonts w:ascii="Cambria Math" w:hAnsi="Cambria Math"/>
              </w:rPr>
              <m:t>p</m:t>
            </m:r>
          </m:e>
          <m:sub>
            <m:r>
              <w:rPr>
                <w:rFonts w:ascii="Cambria Math" w:hAnsi="Cambria Math"/>
              </w:rPr>
              <m:t>ij</m:t>
            </m:r>
          </m:sub>
        </m:sSub>
      </m:oMath>
      <w:r w:rsidR="00984459">
        <w:t xml:space="preserve"> that participant </w:t>
      </w:r>
      <m:oMath>
        <m:r>
          <w:rPr>
            <w:rFonts w:ascii="Cambria Math" w:hAnsi="Cambria Math"/>
          </w:rPr>
          <m:t>i</m:t>
        </m:r>
      </m:oMath>
      <w:r w:rsidR="00984459">
        <w:t xml:space="preserve"> would be highly annoyed to boom </w:t>
      </w:r>
      <m:oMath>
        <m:r>
          <w:rPr>
            <w:rFonts w:ascii="Cambria Math" w:hAnsi="Cambria Math"/>
          </w:rPr>
          <m:t>j</m:t>
        </m:r>
      </m:oMath>
      <w:r w:rsidR="00984459">
        <w:t xml:space="preserve"> whose dose was </w:t>
      </w:r>
      <m:oMath>
        <m:sSub>
          <m:sSubPr>
            <m:ctrlPr>
              <w:rPr>
                <w:rFonts w:ascii="Cambria Math" w:hAnsi="Cambria Math"/>
                <w:i/>
              </w:rPr>
            </m:ctrlPr>
          </m:sSubPr>
          <m:e>
            <m:r>
              <m:rPr>
                <m:sty m:val="p"/>
              </m:rPr>
              <w:rPr>
                <w:rFonts w:ascii="Cambria Math" w:hAnsi="Cambria Math"/>
              </w:rPr>
              <m:t>Dose</m:t>
            </m:r>
          </m:e>
          <m:sub>
            <m:r>
              <w:rPr>
                <w:rFonts w:ascii="Cambria Math" w:hAnsi="Cambria Math"/>
              </w:rPr>
              <m:t>ij</m:t>
            </m:r>
          </m:sub>
        </m:sSub>
      </m:oMath>
      <w:r w:rsidR="00984459">
        <w:t xml:space="preserve"> can be described by a logistic function. The model uses </w:t>
      </w:r>
      <w:r>
        <w:t xml:space="preserve">a shared slope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t xml:space="preserve"> describing the rate of increase of annoyance for all participants and a random intercept </w:t>
      </w:r>
      <m:oMath>
        <m:sSub>
          <m:sSubPr>
            <m:ctrlPr>
              <w:rPr>
                <w:rFonts w:ascii="Cambria Math" w:hAnsi="Cambria Math"/>
                <w:i/>
              </w:rPr>
            </m:ctrlPr>
          </m:sSubPr>
          <m:e>
            <m:r>
              <w:rPr>
                <w:rFonts w:ascii="Cambria Math" w:hAnsi="Cambria Math"/>
              </w:rPr>
              <m:t>β</m:t>
            </m:r>
          </m:e>
          <m:sub>
            <m:r>
              <w:rPr>
                <w:rFonts w:ascii="Cambria Math" w:hAnsi="Cambria Math"/>
              </w:rPr>
              <m:t>0i</m:t>
            </m:r>
          </m:sub>
        </m:sSub>
      </m:oMath>
      <w:r>
        <w:t xml:space="preserve"> for each participant describing the </w:t>
      </w:r>
      <w:r w:rsidR="00C131EA">
        <w:t>onset of annoyance intercept</w:t>
      </w:r>
      <w:r>
        <w:t xml:space="preserve">. The distribution of random intercepts was assumed to be normal with mean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t xml:space="preserve"> and standard deviation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t>:</w:t>
      </w:r>
    </w:p>
    <w:p w14:paraId="54BE0064" w14:textId="11303DE0" w:rsidR="00572F67" w:rsidRDefault="00AE0385">
      <w:pPr>
        <w:jc w:val="center"/>
      </w:pPr>
      <m:oMath>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0</m:t>
                        </m:r>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m:rPr>
                        <m:sty m:val="p"/>
                      </m:rPr>
                      <w:rPr>
                        <w:rFonts w:ascii="Cambria Math" w:hAnsi="Cambria Math"/>
                      </w:rPr>
                      <m:t>Dos</m:t>
                    </m:r>
                    <m:sSub>
                      <m:sSubPr>
                        <m:ctrlPr>
                          <w:rPr>
                            <w:rFonts w:ascii="Cambria Math" w:hAnsi="Cambria Math"/>
                            <w:i/>
                          </w:rPr>
                        </m:ctrlPr>
                      </m:sSubPr>
                      <m:e>
                        <m:r>
                          <m:rPr>
                            <m:sty m:val="p"/>
                          </m:rPr>
                          <w:rPr>
                            <w:rFonts w:ascii="Cambria Math" w:hAnsi="Cambria Math"/>
                          </w:rPr>
                          <m:t>e</m:t>
                        </m:r>
                      </m:e>
                      <m:sub>
                        <m:r>
                          <w:rPr>
                            <w:rFonts w:ascii="Cambria Math" w:hAnsi="Cambria Math"/>
                          </w:rPr>
                          <m:t>ij</m:t>
                        </m:r>
                      </m:sub>
                    </m:sSub>
                  </m:e>
                </m:d>
              </m:sup>
            </m:sSup>
          </m:den>
        </m:f>
        <m:r>
          <w:rPr>
            <w:rFonts w:ascii="Cambria Math" w:hAnsi="Cambria Math"/>
          </w:rPr>
          <m:t xml:space="preserve"> </m:t>
        </m:r>
      </m:oMath>
      <w:r w:rsidR="0030325C">
        <w:t xml:space="preserve"> </w:t>
      </w:r>
      <w:r w:rsidR="008D09D6">
        <w:t>with</w:t>
      </w:r>
      <w:r w:rsidR="00D75F59">
        <w:t xml:space="preserve"> </w:t>
      </w:r>
      <w:r w:rsidR="008D09D6">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r>
              <w:rPr>
                <w:rFonts w:ascii="Cambria Math" w:hAnsi="Cambria Math"/>
              </w:rPr>
              <m:t>i</m:t>
            </m:r>
          </m:sub>
        </m:sSub>
        <m:r>
          <w:rPr>
            <w:rFonts w:ascii="Cambria Math" w:hAnsi="Cambria Math"/>
          </w:rPr>
          <m:t xml:space="preserve"> ~ </m:t>
        </m:r>
        <m:r>
          <m:rPr>
            <m:sty m:val="p"/>
          </m:rPr>
          <w:rPr>
            <w:rFonts w:ascii="Cambria Math" w:hAnsi="Cambria Math"/>
          </w:rPr>
          <m:t>Normal</m:t>
        </m:r>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RE</m:t>
                </m:r>
              </m:sub>
            </m:sSub>
          </m:e>
        </m:d>
        <m:r>
          <w:rPr>
            <w:rFonts w:ascii="Cambria Math" w:hAnsi="Cambria Math"/>
          </w:rPr>
          <m:t>.</m:t>
        </m:r>
      </m:oMath>
      <w:r w:rsidR="00220314">
        <w:t xml:space="preserve"> </w:t>
      </w:r>
    </w:p>
    <w:p w14:paraId="45AE631C" w14:textId="643C0BA3" w:rsidR="00383AA7" w:rsidRDefault="007241CB">
      <w:pPr>
        <w:jc w:val="left"/>
      </w:pPr>
      <w:r>
        <w:t>To arrive at the population summary dose-response curve</w:t>
      </w:r>
      <w:r w:rsidR="00915FB5">
        <w:t>, which yields the percentage of the population highly annoyed</w:t>
      </w:r>
      <w:r w:rsidR="006E4E5C">
        <w:t xml:space="preserve"> %HA</w:t>
      </w:r>
      <w:r w:rsidR="00915FB5">
        <w:t xml:space="preserve"> by a given noise dose</w:t>
      </w:r>
      <w:r>
        <w:t xml:space="preserve">, one must integrate over the </w:t>
      </w:r>
      <w:r w:rsidR="00652897">
        <w:t xml:space="preserve">normally distributed </w:t>
      </w:r>
      <w:r w:rsidR="00915FB5">
        <w:t xml:space="preserve">random </w:t>
      </w:r>
      <w:r w:rsidR="00652897">
        <w:t>intercepts [</w:t>
      </w:r>
      <w:r w:rsidR="00C76236" w:rsidRPr="00400D49">
        <w:rPr>
          <w:rStyle w:val="EndnoteReference"/>
          <w:vertAlign w:val="baseline"/>
        </w:rPr>
        <w:endnoteReference w:id="15"/>
      </w:r>
      <w:r w:rsidR="00652897">
        <w:t>]</w:t>
      </w:r>
      <w:r w:rsidR="008F2B39">
        <w:t>:</w:t>
      </w:r>
    </w:p>
    <w:p w14:paraId="7DACB415" w14:textId="63C1C7E8" w:rsidR="008D56CC" w:rsidRPr="008D56CC" w:rsidRDefault="006E4E5C">
      <m:oMathPara>
        <m:oMath>
          <m:r>
            <w:rPr>
              <w:rFonts w:ascii="Cambria Math" w:hAnsi="Cambria Math"/>
            </w:rPr>
            <m:t>%HA</m:t>
          </m:r>
          <m:d>
            <m:dPr>
              <m:ctrlPr>
                <w:rPr>
                  <w:rFonts w:ascii="Cambria Math" w:hAnsi="Cambria Math"/>
                  <w:i/>
                </w:rPr>
              </m:ctrlPr>
            </m:dPr>
            <m:e>
              <m:r>
                <w:rPr>
                  <w:rFonts w:ascii="Cambria Math" w:hAnsi="Cambria Math"/>
                </w:rPr>
                <m:t>Dose</m:t>
              </m:r>
            </m:e>
          </m:d>
          <m:r>
            <w:rPr>
              <w:rFonts w:ascii="Cambria Math" w:hAnsi="Cambria Math"/>
            </w:rPr>
            <m:t>=100%</m:t>
          </m:r>
          <m:nary>
            <m:naryPr>
              <m:limLoc m:val="subSup"/>
              <m:ctrlPr>
                <w:rPr>
                  <w:rFonts w:ascii="Cambria Math" w:hAnsi="Cambria Math"/>
                  <w:i/>
                </w:rPr>
              </m:ctrlPr>
            </m:naryPr>
            <m:sub>
              <m:r>
                <w:rPr>
                  <w:rFonts w:ascii="Cambria Math" w:hAnsi="Cambria Math"/>
                </w:rPr>
                <m:t>-∞</m:t>
              </m:r>
            </m:sub>
            <m:sup>
              <m:r>
                <w:rPr>
                  <w:rFonts w:ascii="Cambria Math" w:hAnsi="Cambria Math"/>
                </w:rPr>
                <m:t>∞</m:t>
              </m:r>
            </m:sup>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 Dose</m:t>
                              </m:r>
                            </m:e>
                          </m:d>
                        </m:sup>
                      </m:sSup>
                    </m:den>
                  </m:f>
                </m:e>
              </m:d>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σ</m:t>
                          </m:r>
                        </m:e>
                        <m:sub>
                          <m:r>
                            <w:rPr>
                              <w:rFonts w:ascii="Cambria Math" w:hAnsi="Cambria Math"/>
                            </w:rPr>
                            <m:t>RE</m:t>
                          </m:r>
                        </m:sub>
                      </m:sSub>
                      <m:rad>
                        <m:radPr>
                          <m:degHide m:val="1"/>
                          <m:ctrlPr>
                            <w:rPr>
                              <w:rFonts w:ascii="Cambria Math" w:hAnsi="Cambria Math"/>
                              <w:i/>
                            </w:rPr>
                          </m:ctrlPr>
                        </m:radPr>
                        <m:deg/>
                        <m:e>
                          <m:r>
                            <w:rPr>
                              <w:rFonts w:ascii="Cambria Math" w:hAnsi="Cambria Math"/>
                            </w:rPr>
                            <m:t>2π</m:t>
                          </m:r>
                        </m:e>
                      </m:rad>
                    </m:den>
                  </m:f>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num>
                                <m:den>
                                  <m:sSub>
                                    <m:sSubPr>
                                      <m:ctrlPr>
                                        <w:rPr>
                                          <w:rFonts w:ascii="Cambria Math" w:hAnsi="Cambria Math"/>
                                          <w:i/>
                                        </w:rPr>
                                      </m:ctrlPr>
                                    </m:sSubPr>
                                    <m:e>
                                      <m:r>
                                        <w:rPr>
                                          <w:rFonts w:ascii="Cambria Math" w:hAnsi="Cambria Math"/>
                                        </w:rPr>
                                        <m:t>σ</m:t>
                                      </m:r>
                                    </m:e>
                                    <m:sub>
                                      <m:r>
                                        <w:rPr>
                                          <w:rFonts w:ascii="Cambria Math" w:hAnsi="Cambria Math"/>
                                        </w:rPr>
                                        <m:t>RE</m:t>
                                      </m:r>
                                    </m:sub>
                                  </m:sSub>
                                </m:den>
                              </m:f>
                            </m:e>
                          </m:d>
                        </m:e>
                        <m:sup>
                          <m:r>
                            <w:rPr>
                              <w:rFonts w:ascii="Cambria Math" w:hAnsi="Cambria Math"/>
                            </w:rPr>
                            <m:t>2</m:t>
                          </m:r>
                        </m:sup>
                      </m:sSup>
                    </m:sup>
                  </m:sSup>
                </m:e>
              </m:d>
            </m:e>
          </m:nary>
          <m:r>
            <w:rPr>
              <w:rFonts w:ascii="Cambria Math" w:hAnsi="Cambria Math"/>
            </w:rPr>
            <m:t>d</m:t>
          </m:r>
          <m:sSub>
            <m:sSubPr>
              <m:ctrlPr>
                <w:rPr>
                  <w:rFonts w:ascii="Cambria Math" w:hAnsi="Cambria Math"/>
                  <w:i/>
                </w:rPr>
              </m:ctrlPr>
            </m:sSubPr>
            <m:e>
              <m:r>
                <w:rPr>
                  <w:rFonts w:ascii="Cambria Math" w:hAnsi="Cambria Math"/>
                </w:rPr>
                <m:t>β</m:t>
              </m:r>
            </m:e>
            <m:sub>
              <m:r>
                <w:rPr>
                  <w:rFonts w:ascii="Cambria Math" w:hAnsi="Cambria Math"/>
                </w:rPr>
                <m:t>0i</m:t>
              </m:r>
            </m:sub>
          </m:sSub>
          <m:r>
            <w:rPr>
              <w:rFonts w:ascii="Cambria Math" w:hAnsi="Cambria Math"/>
            </w:rPr>
            <m:t xml:space="preserve"> .</m:t>
          </m:r>
        </m:oMath>
      </m:oMathPara>
    </w:p>
    <w:p w14:paraId="34DEC5D5" w14:textId="2FA285E3" w:rsidR="008D56CC" w:rsidRDefault="008D56CC"/>
    <w:p w14:paraId="440533F3" w14:textId="0CEB9512" w:rsidR="002101BB" w:rsidRDefault="003B3BF5" w:rsidP="00511DC4">
      <w:pPr>
        <w:ind w:firstLine="576"/>
      </w:pPr>
      <w:r>
        <w:lastRenderedPageBreak/>
        <w:t xml:space="preserve">Additional parameters are needed to </w:t>
      </w:r>
      <w:r w:rsidR="00D64A63">
        <w:t xml:space="preserve">simulate a realistic </w:t>
      </w:r>
      <w:r>
        <w:t>community noise survey</w:t>
      </w:r>
      <w:r w:rsidR="00212954">
        <w:t xml:space="preserve">. </w:t>
      </w:r>
      <w:r w:rsidR="007A2EF9">
        <w:t>This includes a</w:t>
      </w:r>
      <w:r w:rsidR="00212954">
        <w:t xml:space="preserve"> target number of participants </w:t>
      </w:r>
      <m:oMath>
        <m:sSub>
          <m:sSubPr>
            <m:ctrlPr>
              <w:rPr>
                <w:rFonts w:ascii="Cambria Math" w:hAnsi="Cambria Math"/>
                <w:i/>
              </w:rPr>
            </m:ctrlPr>
          </m:sSubPr>
          <m:e>
            <m:r>
              <w:rPr>
                <w:rFonts w:ascii="Cambria Math" w:hAnsi="Cambria Math"/>
              </w:rPr>
              <m:t>N</m:t>
            </m:r>
          </m:e>
          <m:sub>
            <m:r>
              <w:rPr>
                <w:rFonts w:ascii="Cambria Math" w:hAnsi="Cambria Math"/>
              </w:rPr>
              <m:t>P</m:t>
            </m:r>
          </m:sub>
        </m:sSub>
      </m:oMath>
      <w:r w:rsidR="00243FEF">
        <w:t xml:space="preserve"> and an </w:t>
      </w:r>
      <w:r w:rsidR="000E1FB6">
        <w:t>actual number of participants</w:t>
      </w:r>
      <w:r w:rsidR="00B735BC">
        <w:t xml:space="preserve"> </w:t>
      </w:r>
      <m:oMath>
        <m:sSub>
          <m:sSubPr>
            <m:ctrlPr>
              <w:rPr>
                <w:rFonts w:ascii="Cambria Math" w:hAnsi="Cambria Math"/>
                <w:i/>
              </w:rPr>
            </m:ctrlPr>
          </m:sSubPr>
          <m:e>
            <m:r>
              <w:rPr>
                <w:rFonts w:ascii="Cambria Math" w:hAnsi="Cambria Math"/>
              </w:rPr>
              <m:t>N</m:t>
            </m:r>
          </m:e>
          <m:sub>
            <m:r>
              <w:rPr>
                <w:rFonts w:ascii="Cambria Math" w:hAnsi="Cambria Math"/>
              </w:rPr>
              <m:t>P,A</m:t>
            </m:r>
          </m:sub>
        </m:sSub>
      </m:oMath>
      <w:r w:rsidR="007B74D9">
        <w:t>, which</w:t>
      </w:r>
      <w:r w:rsidR="000E1FB6">
        <w:t xml:space="preserve"> may be less than the target based on</w:t>
      </w:r>
      <w:r w:rsidR="007B74D9">
        <w:t xml:space="preserve"> a specified participant</w:t>
      </w:r>
      <w:r w:rsidR="00275513">
        <w:t xml:space="preserve"> </w:t>
      </w:r>
      <w:r w:rsidR="000E1FB6">
        <w:t xml:space="preserve">withdrawal rate </w:t>
      </w:r>
      <m:oMath>
        <m:r>
          <w:rPr>
            <w:rFonts w:ascii="Cambria Math" w:hAnsi="Cambria Math"/>
          </w:rPr>
          <m:t>W</m:t>
        </m:r>
      </m:oMath>
      <w:r w:rsidR="000E1FB6">
        <w:t>. Those that do participate</w:t>
      </w:r>
      <w:r w:rsidR="00831CCB">
        <w:t xml:space="preserve"> </w:t>
      </w:r>
      <w:r w:rsidR="000E1FB6">
        <w:t xml:space="preserve">may not respond to every survey, and </w:t>
      </w:r>
      <w:r w:rsidR="007D2EC3">
        <w:t>the probability they do respond to a noise dose is</w:t>
      </w:r>
      <w:r w:rsidR="000E1FB6">
        <w:t xml:space="preserve"> described by the participation rate </w:t>
      </w:r>
      <m:oMath>
        <m:r>
          <w:rPr>
            <w:rFonts w:ascii="Cambria Math" w:hAnsi="Cambria Math"/>
          </w:rPr>
          <m:t>P</m:t>
        </m:r>
      </m:oMath>
      <w:r w:rsidR="000E1FB6">
        <w:t>.</w:t>
      </w:r>
      <w:r w:rsidR="00614DD3">
        <w:t xml:space="preserve"> For the simulations in this </w:t>
      </w:r>
      <w:r w:rsidR="001B0217">
        <w:t xml:space="preserve">work, withdrawn participants and missing responses are </w:t>
      </w:r>
      <w:r w:rsidR="007D2EC3">
        <w:t>missing completely at random, and thus affect</w:t>
      </w:r>
      <w:r w:rsidR="00F53433">
        <w:t xml:space="preserve"> </w:t>
      </w:r>
      <w:r w:rsidR="001B0217">
        <w:t xml:space="preserve">only </w:t>
      </w:r>
      <w:r w:rsidR="00F53433">
        <w:t>the precision of the dose-response curve</w:t>
      </w:r>
      <w:r w:rsidR="00614DD3">
        <w:t xml:space="preserve"> and </w:t>
      </w:r>
      <w:r w:rsidR="007A7A73">
        <w:t xml:space="preserve">amount of </w:t>
      </w:r>
      <w:r w:rsidR="00614DD3">
        <w:t>sampling variability</w:t>
      </w:r>
      <w:r w:rsidR="003D2758">
        <w:t xml:space="preserve"> rather than bias</w:t>
      </w:r>
      <w:r w:rsidR="00C45344">
        <w:t>.</w:t>
      </w:r>
      <w:r w:rsidR="000E1FB6">
        <w:t xml:space="preserve"> </w:t>
      </w:r>
      <w:r w:rsidR="00EF51C6">
        <w:t xml:space="preserve">The values of these parameters for the </w:t>
      </w:r>
      <w:r w:rsidR="00341489">
        <w:t>BL</w:t>
      </w:r>
      <w:r w:rsidR="00EF51C6">
        <w:t xml:space="preserve"> population </w:t>
      </w:r>
      <w:r w:rsidR="004A6D32">
        <w:t xml:space="preserve">are </w:t>
      </w:r>
      <w:r w:rsidR="007D14DB">
        <w:t>denoted by the bold values</w:t>
      </w:r>
      <w:r w:rsidR="00EF51C6">
        <w:t xml:space="preserve"> in Table 1.</w:t>
      </w:r>
      <w:r w:rsidR="00297607">
        <w:t xml:space="preserve"> </w:t>
      </w:r>
      <w:r w:rsidR="009F3348">
        <w:t xml:space="preserve">The number of participants </w:t>
      </w:r>
      <w:r w:rsidR="003A3D54">
        <w:t xml:space="preserve">in the BL simulations </w:t>
      </w:r>
      <w:r w:rsidR="009F3348">
        <w:t>was varied from 50 to 10,000 with selected values shown within the [brackets] in Table 1.</w:t>
      </w:r>
    </w:p>
    <w:p w14:paraId="7A7A1767" w14:textId="736E597F" w:rsidR="00C93E51" w:rsidRDefault="00C93E51" w:rsidP="00CD302C">
      <w:r>
        <w:tab/>
      </w:r>
      <w:r w:rsidR="00176330">
        <w:t xml:space="preserve">There are two </w:t>
      </w:r>
      <w:r w:rsidR="00656475">
        <w:t xml:space="preserve">noise perception </w:t>
      </w:r>
      <w:r w:rsidR="002105F5">
        <w:t>categories</w:t>
      </w:r>
      <w:r w:rsidR="00176330">
        <w:t xml:space="preserve"> of interest</w:t>
      </w:r>
      <w:r w:rsidR="0063760A">
        <w:t xml:space="preserve"> for </w:t>
      </w:r>
      <w:r w:rsidR="00854D16">
        <w:t xml:space="preserve">supersonic aircraft </w:t>
      </w:r>
      <w:r w:rsidR="0063760A">
        <w:t>noise regulations and operational considerations</w:t>
      </w:r>
      <w:r w:rsidR="00854D16">
        <w:t xml:space="preserve">. The first is the “single event” </w:t>
      </w:r>
      <w:r w:rsidR="00A23C4B">
        <w:t xml:space="preserve">response, which corresponds to the annoyance elicited by </w:t>
      </w:r>
      <w:r w:rsidR="00467D8A">
        <w:t xml:space="preserve">the noise of a </w:t>
      </w:r>
      <w:r w:rsidR="00A23C4B">
        <w:t>single supersonic flyover.</w:t>
      </w:r>
      <w:r w:rsidR="00712C18">
        <w:t xml:space="preserve"> The second is the “cumulative” response, which corresponds to the annoyance elicited by all </w:t>
      </w:r>
      <w:r w:rsidR="00375D2A">
        <w:t>supersonic flyover</w:t>
      </w:r>
      <w:r w:rsidR="00A84E8A">
        <w:t xml:space="preserve"> exposures throughout a day. </w:t>
      </w:r>
      <w:r w:rsidR="00712C18">
        <w:t xml:space="preserve">The assumed </w:t>
      </w:r>
      <w:r w:rsidR="00341489">
        <w:t>BL</w:t>
      </w:r>
      <w:r w:rsidR="00712C18">
        <w:t xml:space="preserve"> population parameters for both response types are given as separate columns in Table 1</w:t>
      </w:r>
      <w:r w:rsidR="000F6C81">
        <w:t xml:space="preserve"> with the single event values from Lee et al.</w:t>
      </w:r>
      <w:r w:rsidR="009F70DE">
        <w:t xml:space="preserve"> [</w:t>
      </w:r>
      <w:r w:rsidR="009D2BB3">
        <w:fldChar w:fldCharType="begin"/>
      </w:r>
      <w:r w:rsidR="009D2BB3">
        <w:instrText xml:space="preserve"> NOTEREF _Ref133413531 \h </w:instrText>
      </w:r>
      <w:r w:rsidR="009D2BB3">
        <w:fldChar w:fldCharType="separate"/>
      </w:r>
      <w:r w:rsidR="00BE1007">
        <w:t>13</w:t>
      </w:r>
      <w:r w:rsidR="009D2BB3">
        <w:fldChar w:fldCharType="end"/>
      </w:r>
      <w:r w:rsidR="009F70DE">
        <w:t>]</w:t>
      </w:r>
      <w:r w:rsidR="000F6C81">
        <w:t xml:space="preserve"> and the cumulative values from Vaughn et al.</w:t>
      </w:r>
      <w:r w:rsidR="009F70DE">
        <w:t xml:space="preserve"> [</w:t>
      </w:r>
      <w:r w:rsidR="000F6C81" w:rsidRPr="00BC4B4D">
        <w:rPr>
          <w:rStyle w:val="EndnoteReference"/>
          <w:vertAlign w:val="baseline"/>
        </w:rPr>
        <w:endnoteReference w:id="16"/>
      </w:r>
      <w:r w:rsidR="009F70DE">
        <w:t>]</w:t>
      </w:r>
      <w:r w:rsidR="003917AB">
        <w:t>.</w:t>
      </w:r>
      <w:r w:rsidR="00FC1DEC">
        <w:t xml:space="preserve"> </w:t>
      </w:r>
      <w:r w:rsidR="00E22E4A">
        <w:t>These parameters result in the dose-response curves shown in Fig. 1 along with the dose range that the X-59 can produce. Figure 1a shows the dose-response curve for the single event dose metric, and Fig. 1b shows the cumulative dose-response curve. For the single event BL population, the top of the dose range elicits high annoyance (HA) in 3.1% of the population, i.e.</w:t>
      </w:r>
      <w:r w:rsidR="00FE7F2F">
        <w:t>,</w:t>
      </w:r>
      <w:r w:rsidR="00E22E4A">
        <w:t xml:space="preserve"> 3.1%HA. For the cumulative BL population, the top of the dose range elicits 2.8%HA.</w:t>
      </w:r>
      <w:r w:rsidR="00CD302C">
        <w:t xml:space="preserve"> </w:t>
      </w:r>
      <w:r w:rsidR="00302237">
        <w:t xml:space="preserve">It should be noted that the BL population parameters from the QSF18 tests are not considered generally representative of the US or global population, which is </w:t>
      </w:r>
      <w:r w:rsidR="00CD302C">
        <w:t>one reason why it is of interest to explore the additional populations in this work.</w:t>
      </w:r>
    </w:p>
    <w:p w14:paraId="38D228AB" w14:textId="77777777" w:rsidR="00E22E4A" w:rsidRDefault="00E22E4A" w:rsidP="00E22E4A">
      <w:pPr>
        <w:ind w:firstLine="576"/>
      </w:pPr>
    </w:p>
    <w:p w14:paraId="716EFB5D" w14:textId="77777777" w:rsidR="00E22E4A" w:rsidRDefault="00E22E4A" w:rsidP="00E22E4A">
      <w:pPr>
        <w:jc w:val="center"/>
      </w:pPr>
      <w:r>
        <w:rPr>
          <w:noProof/>
        </w:rPr>
        <w:drawing>
          <wp:inline distT="0" distB="0" distL="0" distR="0" wp14:anchorId="36C54ECB" wp14:editId="4A6CA34D">
            <wp:extent cx="2433684" cy="1828739"/>
            <wp:effectExtent l="0" t="0" r="5080" b="63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9">
                      <a:extLst>
                        <a:ext uri="{96DAC541-7B7A-43D3-8B79-37D633B846F1}">
                          <asvg:svgBlip xmlns:asvg="http://schemas.microsoft.com/office/drawing/2016/SVG/main" r:embed="rId10"/>
                        </a:ext>
                      </a:extLst>
                    </a:blip>
                    <a:stretch>
                      <a:fillRect/>
                    </a:stretch>
                  </pic:blipFill>
                  <pic:spPr>
                    <a:xfrm>
                      <a:off x="0" y="0"/>
                      <a:ext cx="2433684" cy="1828739"/>
                    </a:xfrm>
                    <a:prstGeom prst="rect">
                      <a:avLst/>
                    </a:prstGeom>
                  </pic:spPr>
                </pic:pic>
              </a:graphicData>
            </a:graphic>
          </wp:inline>
        </w:drawing>
      </w:r>
      <w:r>
        <w:rPr>
          <w:noProof/>
        </w:rPr>
        <w:drawing>
          <wp:inline distT="0" distB="0" distL="0" distR="0" wp14:anchorId="44C1ADD8" wp14:editId="55370E62">
            <wp:extent cx="2433684" cy="1828739"/>
            <wp:effectExtent l="0" t="0" r="5080" b="63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11">
                      <a:extLst>
                        <a:ext uri="{96DAC541-7B7A-43D3-8B79-37D633B846F1}">
                          <asvg:svgBlip xmlns:asvg="http://schemas.microsoft.com/office/drawing/2016/SVG/main" r:embed="rId12"/>
                        </a:ext>
                      </a:extLst>
                    </a:blip>
                    <a:stretch>
                      <a:fillRect/>
                    </a:stretch>
                  </pic:blipFill>
                  <pic:spPr>
                    <a:xfrm>
                      <a:off x="0" y="0"/>
                      <a:ext cx="2433684" cy="1828739"/>
                    </a:xfrm>
                    <a:prstGeom prst="rect">
                      <a:avLst/>
                    </a:prstGeom>
                  </pic:spPr>
                </pic:pic>
              </a:graphicData>
            </a:graphic>
          </wp:inline>
        </w:drawing>
      </w:r>
    </w:p>
    <w:p w14:paraId="49AE176B" w14:textId="77777777" w:rsidR="00E22E4A" w:rsidRDefault="00E22E4A" w:rsidP="00E22E4A">
      <w:r>
        <w:t>Figure 1: Single event (a) and cumulative (b) dose-response curves of the baseline population with the X-59 dose range.</w:t>
      </w:r>
    </w:p>
    <w:p w14:paraId="735256A0" w14:textId="77777777" w:rsidR="00E22E4A" w:rsidRDefault="00E22E4A"/>
    <w:p w14:paraId="29773859" w14:textId="1403407C" w:rsidR="00EF51C6" w:rsidRDefault="00EF51C6">
      <w:r>
        <w:tab/>
      </w:r>
      <w:r w:rsidR="004072AE">
        <w:t>T</w:t>
      </w:r>
      <w:r>
        <w:t xml:space="preserve">he </w:t>
      </w:r>
      <w:r w:rsidR="00843DF7">
        <w:t xml:space="preserve">simulated </w:t>
      </w:r>
      <w:r>
        <w:t>error</w:t>
      </w:r>
      <w:r w:rsidR="004072AE">
        <w:t xml:space="preserve"> in estimating the dose</w:t>
      </w:r>
      <w:r w:rsidR="00843DF7">
        <w:t xml:space="preserve"> for each participant response</w:t>
      </w:r>
      <w:r>
        <w:t xml:space="preserve"> is assumed to be </w:t>
      </w:r>
      <w:r w:rsidR="006037E3">
        <w:t>additive</w:t>
      </w:r>
      <w:r w:rsidR="00BB1929">
        <w:t xml:space="preserve"> and</w:t>
      </w:r>
      <w:r w:rsidR="004072AE">
        <w:t xml:space="preserve"> </w:t>
      </w:r>
      <w:r w:rsidR="006037E3">
        <w:t>normally distributed</w:t>
      </w:r>
      <w:r w:rsidR="004072AE">
        <w:t xml:space="preserve"> with zero mean and</w:t>
      </w:r>
      <w:r w:rsidR="006037E3">
        <w:t xml:space="preserve"> standard deviation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006037E3">
        <w:t>.</w:t>
      </w:r>
      <w:r w:rsidR="00DE1549">
        <w:t xml:space="preserve"> </w:t>
      </w:r>
      <w:r w:rsidR="001C3806">
        <w:t>For the BL simulations, t</w:t>
      </w:r>
      <w:r w:rsidR="00DE1549">
        <w:t xml:space="preserve">he value of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00DE1549">
        <w:t xml:space="preserve"> was varied from 0 to 8 dB</w:t>
      </w:r>
      <w:r w:rsidR="009F3348">
        <w:t xml:space="preserve"> </w:t>
      </w:r>
      <w:r w:rsidR="006E0AEF">
        <w:t>in increments of 2 dB</w:t>
      </w:r>
      <w:r w:rsidR="009F3348">
        <w:t>.</w:t>
      </w:r>
      <w:r w:rsidR="008C2AFD">
        <w:t xml:space="preserve"> More details</w:t>
      </w:r>
      <w:r w:rsidR="00DC0CAF">
        <w:t xml:space="preserve"> on the doses and simulated error</w:t>
      </w:r>
      <w:r w:rsidR="008C2AFD">
        <w:t xml:space="preserve"> are provided in Section 3.</w:t>
      </w:r>
    </w:p>
    <w:p w14:paraId="171673AC" w14:textId="4200DDC8" w:rsidR="00E65285" w:rsidRDefault="009B68F8">
      <w:r>
        <w:tab/>
      </w:r>
      <w:proofErr w:type="gramStart"/>
      <w:r w:rsidR="00D02D4C">
        <w:t>In order to</w:t>
      </w:r>
      <w:proofErr w:type="gramEnd"/>
      <w:r w:rsidR="00D02D4C">
        <w:t xml:space="preserve"> quantify sampling variability due to the random nature of the simulated survey data, </w:t>
      </w:r>
      <w:r w:rsidR="0027693C">
        <w:t xml:space="preserve">dose-response modeling and analysis </w:t>
      </w:r>
      <w:r w:rsidR="00FB37E1">
        <w:t>was completed for</w:t>
      </w:r>
      <w:r w:rsidR="0027693C">
        <w:t xml:space="preserve"> </w:t>
      </w:r>
      <w:r w:rsidR="006D6D7E">
        <w:t xml:space="preserve">30 </w:t>
      </w:r>
      <w:r w:rsidR="003E0CDE">
        <w:t xml:space="preserve">replicate datasets for each combination of </w:t>
      </w:r>
      <m:oMath>
        <m:sSub>
          <m:sSubPr>
            <m:ctrlPr>
              <w:rPr>
                <w:rFonts w:ascii="Cambria Math" w:hAnsi="Cambria Math"/>
                <w:i/>
              </w:rPr>
            </m:ctrlPr>
          </m:sSubPr>
          <m:e>
            <m:r>
              <w:rPr>
                <w:rFonts w:ascii="Cambria Math" w:hAnsi="Cambria Math"/>
              </w:rPr>
              <m:t>N</m:t>
            </m:r>
          </m:e>
          <m:sub>
            <m:r>
              <w:rPr>
                <w:rFonts w:ascii="Cambria Math" w:hAnsi="Cambria Math"/>
              </w:rPr>
              <m:t>P</m:t>
            </m:r>
          </m:sub>
        </m:sSub>
      </m:oMath>
      <w:r w:rsidR="003E0CDE">
        <w:t xml:space="preserve"> and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0027693C">
        <w:t>.</w:t>
      </w:r>
      <w:r w:rsidR="00781E3F">
        <w:t xml:space="preserve"> </w:t>
      </w:r>
      <w:r w:rsidR="00E1425B">
        <w:t xml:space="preserve">X-59 tests will not be replicated at each </w:t>
      </w:r>
      <w:r w:rsidR="00B95774">
        <w:t xml:space="preserve">community test site </w:t>
      </w:r>
      <w:r w:rsidR="00E1425B">
        <w:t xml:space="preserve">location, </w:t>
      </w:r>
      <w:r w:rsidR="009F3CC7">
        <w:t xml:space="preserve">hence </w:t>
      </w:r>
      <w:r w:rsidR="00E1425B">
        <w:t xml:space="preserve">low </w:t>
      </w:r>
      <w:r w:rsidR="00B95774">
        <w:t>sampling variability is desirable.</w:t>
      </w:r>
      <w:r w:rsidR="00CE0995">
        <w:t xml:space="preserve"> A d</w:t>
      </w:r>
      <w:r w:rsidR="008C4F66">
        <w:t>ose-response model w</w:t>
      </w:r>
      <w:r w:rsidR="00CE0995">
        <w:t>as</w:t>
      </w:r>
      <w:r w:rsidR="008C4F66">
        <w:t xml:space="preserve"> fit to each replicate dataset</w:t>
      </w:r>
      <w:r w:rsidR="00A855C2">
        <w:t xml:space="preserve"> (</w:t>
      </w:r>
      <w:r w:rsidR="004C62EE">
        <w:t xml:space="preserve">additional </w:t>
      </w:r>
      <w:r w:rsidR="00A855C2">
        <w:t xml:space="preserve">details </w:t>
      </w:r>
      <w:r w:rsidR="004C62EE">
        <w:t xml:space="preserve">are </w:t>
      </w:r>
      <w:r w:rsidR="00A855C2">
        <w:t xml:space="preserve">in Section </w:t>
      </w:r>
      <w:r w:rsidR="004C62EE">
        <w:t>4)</w:t>
      </w:r>
      <w:r w:rsidR="008C4F66">
        <w:t xml:space="preserve">, and estimated model parameters, </w:t>
      </w:r>
      <w:r w:rsidR="007F03B4">
        <w:t xml:space="preserve">population dose-response curves, and quantities of interest on the dose-response curves were compared to </w:t>
      </w:r>
      <w:r w:rsidR="009C2AAA">
        <w:t>those of the true population.</w:t>
      </w:r>
      <w:r w:rsidR="008C58D7">
        <w:t xml:space="preserve"> </w:t>
      </w:r>
    </w:p>
    <w:p w14:paraId="3C8BD0E7" w14:textId="77777777" w:rsidR="000D4BB3" w:rsidRDefault="000D4BB3">
      <w:pPr>
        <w:pStyle w:val="test2"/>
      </w:pPr>
    </w:p>
    <w:p w14:paraId="2A4D2FD8" w14:textId="5302FA4F" w:rsidR="004C157C" w:rsidRDefault="00E42787">
      <w:pPr>
        <w:pStyle w:val="Test1"/>
        <w:spacing w:after="0"/>
      </w:pPr>
      <w:r>
        <w:t>3</w:t>
      </w:r>
      <w:r w:rsidR="004C157C">
        <w:t>. Expanded Population Models</w:t>
      </w:r>
    </w:p>
    <w:p w14:paraId="59645230" w14:textId="197BDBFC" w:rsidR="00154371" w:rsidRDefault="00A92419">
      <w:pPr>
        <w:pStyle w:val="test2"/>
      </w:pPr>
      <w:r>
        <w:t xml:space="preserve">To </w:t>
      </w:r>
      <w:r w:rsidR="00C64F7E" w:rsidRPr="00C64F7E">
        <w:t xml:space="preserve">provide a more robust assessment of the effect of dose error </w:t>
      </w:r>
      <w:r w:rsidR="00117C74">
        <w:t>on</w:t>
      </w:r>
      <w:r w:rsidR="00C64F7E" w:rsidRPr="00C64F7E">
        <w:t xml:space="preserve"> the noise-annoyance response of communities across the country and world</w:t>
      </w:r>
      <w:r w:rsidR="00C64F7E">
        <w:t xml:space="preserve">, </w:t>
      </w:r>
      <w:r>
        <w:t xml:space="preserve">24 </w:t>
      </w:r>
      <w:r w:rsidR="00D15256">
        <w:t xml:space="preserve">population models </w:t>
      </w:r>
      <w:r w:rsidR="004964D1">
        <w:t xml:space="preserve">beyond the BL population </w:t>
      </w:r>
      <w:r w:rsidR="00D15256">
        <w:t>were explored for both single event and cumulative responses.</w:t>
      </w:r>
      <w:r w:rsidR="00722E28">
        <w:t xml:space="preserve"> This section describes </w:t>
      </w:r>
      <w:r w:rsidR="0095313D">
        <w:t xml:space="preserve">parameters for </w:t>
      </w:r>
      <w:r w:rsidR="00722E28">
        <w:t xml:space="preserve">these </w:t>
      </w:r>
      <w:r w:rsidR="00722E28">
        <w:lastRenderedPageBreak/>
        <w:t xml:space="preserve">additional </w:t>
      </w:r>
      <w:r w:rsidR="002A0A1E">
        <w:t>population models.</w:t>
      </w:r>
      <w:r w:rsidR="00154371">
        <w:t xml:space="preserve"> </w:t>
      </w:r>
      <w:r w:rsidR="00CE0995" w:rsidRPr="00E37CAB">
        <w:t>Descriptions and values of the population parameters are given in Table 1.</w:t>
      </w:r>
      <w:r w:rsidR="00CE0995">
        <w:t xml:space="preserve"> </w:t>
      </w:r>
      <w:r w:rsidR="00633686">
        <w:t>Most model</w:t>
      </w:r>
      <w:r w:rsidR="000B4CD3">
        <w:t xml:space="preserve">s </w:t>
      </w:r>
      <w:r w:rsidR="00633686">
        <w:t xml:space="preserve">were </w:t>
      </w:r>
      <w:r w:rsidR="005D2ED5">
        <w:t xml:space="preserve">obtained by </w:t>
      </w:r>
      <w:r w:rsidR="00633686">
        <w:t>adjust</w:t>
      </w:r>
      <w:r w:rsidR="00E37CAB">
        <w:t>ing a</w:t>
      </w:r>
      <w:r w:rsidR="00633686">
        <w:t xml:space="preserve"> </w:t>
      </w:r>
      <w:r w:rsidR="00E37CAB">
        <w:t xml:space="preserve">single </w:t>
      </w:r>
      <w:r w:rsidR="005D2ED5">
        <w:t xml:space="preserve">BL parameter </w:t>
      </w:r>
      <w:r w:rsidR="00633686">
        <w:t xml:space="preserve">by </w:t>
      </w:r>
      <w:r w:rsidR="00E714DD">
        <w:rPr>
          <w:rFonts w:cs="Times New Roman"/>
        </w:rPr>
        <w:t>±</w:t>
      </w:r>
      <w:r w:rsidR="00633686">
        <w:t xml:space="preserve">10 and </w:t>
      </w:r>
      <w:r w:rsidR="00E714DD">
        <w:rPr>
          <w:rFonts w:cs="Times New Roman"/>
        </w:rPr>
        <w:t>±</w:t>
      </w:r>
      <w:r w:rsidR="00633686">
        <w:t>20%</w:t>
      </w:r>
      <w:r w:rsidR="005D70DD">
        <w:t xml:space="preserve"> </w:t>
      </w:r>
      <w:r w:rsidR="00E4452D">
        <w:t xml:space="preserve">while holding all other parameters constant </w:t>
      </w:r>
      <w:r w:rsidR="005D70DD">
        <w:t xml:space="preserve">with two exceptions. </w:t>
      </w:r>
    </w:p>
    <w:p w14:paraId="2DBF025B" w14:textId="759E7E8A" w:rsidR="004656B5" w:rsidRDefault="005D70DD">
      <w:pPr>
        <w:pStyle w:val="test2"/>
        <w:ind w:firstLine="576"/>
      </w:pPr>
      <w:r>
        <w:t xml:space="preserve">The first </w:t>
      </w:r>
      <w:r w:rsidR="00EF165E">
        <w:t xml:space="preserve">exception </w:t>
      </w:r>
      <w:r>
        <w:t xml:space="preserve">is the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722E28">
        <w:t xml:space="preserve"> parameter</w:t>
      </w:r>
      <w:r w:rsidR="002A0A1E">
        <w:t xml:space="preserve">, which shifts the dose-response curve to the left when it is </w:t>
      </w:r>
      <w:r w:rsidR="001E135E">
        <w:t>increased and shifts it to the right when it is decreased.</w:t>
      </w:r>
      <w:r w:rsidR="0039516A">
        <w:t xml:space="preserve"> </w:t>
      </w:r>
      <w:r w:rsidR="00410021">
        <w:t>Th</w:t>
      </w:r>
      <w:r w:rsidR="00EF520B">
        <w:t xml:space="preserve">is </w:t>
      </w:r>
      <w:r w:rsidR="005914C8">
        <w:t xml:space="preserve">parameter was adjusted such that it shifted the curve left or right by </w:t>
      </w:r>
      <w:r w:rsidR="005914C8">
        <w:rPr>
          <w:rFonts w:cs="Times New Roman"/>
        </w:rPr>
        <w:t>±10 and ±20 dB.</w:t>
      </w:r>
      <w:r w:rsidR="002F0FF7">
        <w:rPr>
          <w:rFonts w:cs="Times New Roman"/>
        </w:rPr>
        <w:t xml:space="preserve"> </w:t>
      </w:r>
      <w:r w:rsidR="005914C8">
        <w:rPr>
          <w:rFonts w:cs="Times New Roman"/>
        </w:rPr>
        <w:t xml:space="preserve"> </w:t>
      </w:r>
      <w:r w:rsidR="003E1CC2">
        <w:rPr>
          <w:rFonts w:cs="Times New Roman"/>
        </w:rPr>
        <w:t xml:space="preserve">The </w:t>
      </w:r>
      <w:r w:rsidR="00D24C99">
        <w:rPr>
          <w:rFonts w:cs="Times New Roman"/>
        </w:rPr>
        <w:t xml:space="preserve">dose that elicits annoyance 50% of the time for the average participant is given by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D24C99">
        <w:rPr>
          <w:rFonts w:cs="Times New Roman"/>
        </w:rPr>
        <w:t xml:space="preserve">, which is 124.2 dB for the </w:t>
      </w:r>
      <w:r w:rsidR="003D67F8">
        <w:rPr>
          <w:rFonts w:cs="Times New Roman"/>
        </w:rPr>
        <w:t xml:space="preserve">BL </w:t>
      </w:r>
      <w:r w:rsidR="00D24C99">
        <w:rPr>
          <w:rFonts w:cs="Times New Roman"/>
        </w:rPr>
        <w:t xml:space="preserve">single event </w:t>
      </w:r>
      <w:r w:rsidR="00B4006F">
        <w:rPr>
          <w:rFonts w:cs="Times New Roman"/>
        </w:rPr>
        <w:t xml:space="preserve">population </w:t>
      </w:r>
      <w:r w:rsidR="00D24C99">
        <w:rPr>
          <w:rFonts w:cs="Times New Roman"/>
        </w:rPr>
        <w:t xml:space="preserve">and 94.5 dB for </w:t>
      </w:r>
      <w:r w:rsidR="003D67F8">
        <w:rPr>
          <w:rFonts w:cs="Times New Roman"/>
        </w:rPr>
        <w:t xml:space="preserve">BL </w:t>
      </w:r>
      <w:r w:rsidR="00D24C99">
        <w:rPr>
          <w:rFonts w:cs="Times New Roman"/>
        </w:rPr>
        <w:t>cumulative</w:t>
      </w:r>
      <w:r w:rsidR="003E1CC2">
        <w:rPr>
          <w:rFonts w:cs="Times New Roman"/>
        </w:rPr>
        <w:t xml:space="preserve"> </w:t>
      </w:r>
      <w:r w:rsidR="00B4006F">
        <w:rPr>
          <w:rFonts w:cs="Times New Roman"/>
        </w:rPr>
        <w:t>population. Shifting by 20 dB to the left puts the 50%</w:t>
      </w:r>
      <w:r w:rsidR="009412E2">
        <w:rPr>
          <w:rFonts w:cs="Times New Roman"/>
        </w:rPr>
        <w:t>HA</w:t>
      </w:r>
      <w:r w:rsidR="00B4006F">
        <w:rPr>
          <w:rFonts w:cs="Times New Roman"/>
        </w:rPr>
        <w:t xml:space="preserve"> point at 104.2 dB, which is roughly the loudness of a traditional </w:t>
      </w:r>
      <w:r w:rsidR="009412E2">
        <w:rPr>
          <w:rFonts w:cs="Times New Roman"/>
        </w:rPr>
        <w:t xml:space="preserve">N-wave </w:t>
      </w:r>
      <w:r w:rsidR="00B4006F">
        <w:rPr>
          <w:rFonts w:cs="Times New Roman"/>
        </w:rPr>
        <w:t>sonic boom.</w:t>
      </w:r>
      <w:r w:rsidR="00154371">
        <w:rPr>
          <w:rFonts w:cs="Times New Roman"/>
        </w:rPr>
        <w:t xml:space="preserve"> </w:t>
      </w:r>
      <w:r w:rsidR="00154371">
        <w:t>In the analyses and plots that follow, a shift to the left of 10 dB corresponds to the abbreviation “SL10,” and a shift to the right of 20 dB is “SR20.”</w:t>
      </w:r>
      <w:r w:rsidR="007C056F">
        <w:t xml:space="preserve"> </w:t>
      </w:r>
    </w:p>
    <w:p w14:paraId="34A812AA" w14:textId="32AEC582" w:rsidR="00AD7A90" w:rsidRDefault="00154371" w:rsidP="00130C00">
      <w:pPr>
        <w:pStyle w:val="test2"/>
        <w:ind w:firstLine="576"/>
      </w:pPr>
      <w:r>
        <w:t>The second</w:t>
      </w:r>
      <w:r w:rsidR="00EF165E">
        <w:t xml:space="preserve"> exception</w:t>
      </w:r>
      <w:r>
        <w:t xml:space="preserve"> is </w:t>
      </w:r>
      <w:r w:rsidR="006E5681">
        <w:t xml:space="preserve">that </w:t>
      </w:r>
      <w:r w:rsidR="00B75A02">
        <w:t xml:space="preserve">adjustments had to be made to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B75A02">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CE0995">
        <w:t xml:space="preserve"> </w:t>
      </w:r>
      <w:r w:rsidR="00B75A02">
        <w:t xml:space="preserve">together </w:t>
      </w:r>
      <w:proofErr w:type="gramStart"/>
      <w:r w:rsidR="006E5681">
        <w:t>in order to</w:t>
      </w:r>
      <w:proofErr w:type="gramEnd"/>
      <w:r w:rsidR="006E5681">
        <w:t xml:space="preserve"> adjust the rate of increase of annoyance without shifting the dose-response curve</w:t>
      </w:r>
      <w:r w:rsidR="00B75A02">
        <w:t xml:space="preserve">. </w:t>
      </w:r>
      <w:r w:rsidR="008141B8">
        <w:t xml:space="preserve">To avoid shifting the curve, </w:t>
      </w:r>
      <w:r w:rsidR="006E5681">
        <w:t xml:space="preserve">one must vary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6E5681">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6E5681">
        <w:t xml:space="preserve"> </w:t>
      </w:r>
      <w:r w:rsidR="006F4EF1">
        <w:t xml:space="preserve">such that the ratio </w:t>
      </w:r>
      <m:oMath>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oMath>
      <w:r w:rsidR="006F4EF1">
        <w:t xml:space="preserve"> is held constant. </w:t>
      </w:r>
      <w:r w:rsidR="00303B18">
        <w:t xml:space="preserve">To </w:t>
      </w:r>
      <w:r w:rsidR="00375A5C">
        <w:t>make</w:t>
      </w:r>
      <w:r w:rsidR="00303B18">
        <w:t xml:space="preserve"> the dose-response curve</w:t>
      </w:r>
      <w:r w:rsidR="00375A5C">
        <w:t xml:space="preserve"> steeper</w:t>
      </w:r>
      <w:r w:rsidR="00303B18">
        <w:t xml:space="preserve">, the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303B18">
        <w:t xml:space="preserve"> parameter is increased by 10 or 20%</w:t>
      </w:r>
      <w:r w:rsidR="005A13E9">
        <w:t xml:space="preserve"> compared to the </w:t>
      </w:r>
      <w:r w:rsidR="00341489">
        <w:t>BL</w:t>
      </w:r>
      <w:r w:rsidR="00DC5A08">
        <w:t>,</w:t>
      </w:r>
      <w:r w:rsidR="00303B18">
        <w:t xml:space="preserve"> </w:t>
      </w:r>
      <w:r w:rsidR="00A7543F">
        <w:t>with the same adjustment made to</w:t>
      </w:r>
      <w:r w:rsidR="00303B18">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303B18">
        <w:t xml:space="preserve"> </w:t>
      </w:r>
      <w:r w:rsidR="00E41C58">
        <w:t xml:space="preserve">to </w:t>
      </w:r>
      <w:r w:rsidR="008F7483">
        <w:t>keep their ratio constant</w:t>
      </w:r>
      <w:r w:rsidR="00303B18">
        <w:t>.</w:t>
      </w:r>
      <w:r w:rsidR="005A13E9">
        <w:t xml:space="preserve"> To</w:t>
      </w:r>
      <w:r w:rsidR="00212954">
        <w:t xml:space="preserve"> </w:t>
      </w:r>
      <w:r w:rsidR="00375A5C">
        <w:t>make the dose-response curve slope shallower,</w:t>
      </w:r>
      <w:r w:rsidR="005A13E9">
        <w:t xml:space="preserve"> the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5A13E9">
        <w:t xml:space="preserve"> parameter is reduced by 10 or 20%</w:t>
      </w:r>
      <w:r w:rsidR="00DC5A08">
        <w:t xml:space="preserve"> compared to the </w:t>
      </w:r>
      <w:r w:rsidR="00341489">
        <w:t>BL</w:t>
      </w:r>
      <w:r w:rsidR="00DC5A08">
        <w:t xml:space="preserve">, </w:t>
      </w:r>
      <w:r w:rsidR="00921C0C">
        <w:t>with the same adjustment to</w:t>
      </w:r>
      <w:r w:rsidR="00DC5A08">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DC5A08">
        <w:t xml:space="preserve"> </w:t>
      </w:r>
      <w:r w:rsidR="00067DF5">
        <w:t xml:space="preserve">to </w:t>
      </w:r>
      <w:r w:rsidR="008F7483">
        <w:t>keep their ratio constant</w:t>
      </w:r>
      <w:r w:rsidR="00DC5A08">
        <w:t>.</w:t>
      </w:r>
      <w:r w:rsidR="00FE2472" w:rsidRPr="00FE2472">
        <w:t xml:space="preserve"> </w:t>
      </w:r>
      <w:r w:rsidR="00FE2472">
        <w:t xml:space="preserve">In the analyses and plots that follow, </w:t>
      </w:r>
      <w:r w:rsidR="003F67DC">
        <w:t>dose-response curve</w:t>
      </w:r>
      <w:r w:rsidR="00237BF9">
        <w:t>s with a fixed 50%</w:t>
      </w:r>
      <w:r w:rsidR="00695DAE">
        <w:t>HA</w:t>
      </w:r>
      <w:r w:rsidR="00237BF9">
        <w:t xml:space="preserve"> point that </w:t>
      </w:r>
      <w:r w:rsidR="00037525">
        <w:t>are</w:t>
      </w:r>
      <w:r w:rsidR="003F67DC">
        <w:t xml:space="preserve"> steepened by 10%</w:t>
      </w:r>
      <w:r w:rsidR="00FE2472">
        <w:t xml:space="preserve"> corresponds to the abbreviation “</w:t>
      </w:r>
      <w:r w:rsidR="003F67DC">
        <w:t>F</w:t>
      </w:r>
      <w:r w:rsidR="00BE3B25">
        <w:t>St</w:t>
      </w:r>
      <w:r w:rsidR="00FE2472">
        <w:t>10</w:t>
      </w:r>
      <w:r w:rsidR="00237BF9">
        <w:t xml:space="preserve">” and that </w:t>
      </w:r>
      <w:r w:rsidR="005257EE">
        <w:t>are</w:t>
      </w:r>
      <w:r w:rsidR="00237BF9">
        <w:t xml:space="preserve"> shallower by</w:t>
      </w:r>
      <w:r w:rsidR="00FE2472">
        <w:t xml:space="preserve"> 20</w:t>
      </w:r>
      <w:r w:rsidR="00BE3B25">
        <w:t>%</w:t>
      </w:r>
      <w:r w:rsidR="00FE2472">
        <w:t xml:space="preserve"> is “</w:t>
      </w:r>
      <w:r w:rsidR="00237BF9">
        <w:t>FSh20</w:t>
      </w:r>
      <w:r w:rsidR="00FE2472">
        <w:t>.”</w:t>
      </w:r>
    </w:p>
    <w:p w14:paraId="1C7B4C05" w14:textId="77777777" w:rsidR="00AD7A90" w:rsidRDefault="00C65345">
      <w:pPr>
        <w:pStyle w:val="test2"/>
        <w:ind w:firstLine="576"/>
      </w:pPr>
      <w:r>
        <w:t xml:space="preserve">Reducing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t xml:space="preserve"> causes the curve to be </w:t>
      </w:r>
      <w:r w:rsidR="00613271">
        <w:t>shallower and shifted right</w:t>
      </w:r>
      <w:r w:rsidR="00342FAF">
        <w:t xml:space="preserve">, while increasing it causes the curve to be steeper and shifted left. In the analyses and plots that follow, dose-response curves that are steepened by 10% correspond to the abbreviation “St10” and that </w:t>
      </w:r>
      <w:r w:rsidR="001F0135">
        <w:t>are</w:t>
      </w:r>
      <w:r w:rsidR="00342FAF">
        <w:t xml:space="preserve"> shallower by 20% is “Sh20.”</w:t>
      </w:r>
      <w:r w:rsidR="00E14997">
        <w:t xml:space="preserve"> </w:t>
      </w:r>
    </w:p>
    <w:p w14:paraId="103DEF2C" w14:textId="1129DF6F" w:rsidR="00AD7A90" w:rsidRDefault="00E14997">
      <w:pPr>
        <w:pStyle w:val="test2"/>
        <w:ind w:firstLine="576"/>
      </w:pPr>
      <w:r>
        <w:t xml:space="preserve">Reducing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t xml:space="preserve"> reduces the </w:t>
      </w:r>
      <w:r w:rsidR="00162AFA">
        <w:t xml:space="preserve">variability of participant intercepts </w:t>
      </w:r>
      <m:oMath>
        <m:sSub>
          <m:sSubPr>
            <m:ctrlPr>
              <w:rPr>
                <w:rFonts w:ascii="Cambria Math" w:hAnsi="Cambria Math"/>
                <w:i/>
              </w:rPr>
            </m:ctrlPr>
          </m:sSubPr>
          <m:e>
            <m:r>
              <w:rPr>
                <w:rFonts w:ascii="Cambria Math" w:hAnsi="Cambria Math"/>
              </w:rPr>
              <m:t>β</m:t>
            </m:r>
          </m:e>
          <m:sub>
            <m:r>
              <w:rPr>
                <w:rFonts w:ascii="Cambria Math" w:hAnsi="Cambria Math"/>
              </w:rPr>
              <m:t>0i</m:t>
            </m:r>
          </m:sub>
        </m:sSub>
      </m:oMath>
      <w:r w:rsidR="00162AFA">
        <w:t xml:space="preserve"> about the mean participant intercept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6F3FEA">
        <w:t xml:space="preserve">. This causes the </w:t>
      </w:r>
      <w:r w:rsidR="00E96C6C">
        <w:t xml:space="preserve">population dose-response curve to </w:t>
      </w:r>
      <w:r w:rsidR="00D72912">
        <w:t>“</w:t>
      </w:r>
      <w:r w:rsidR="00E96C6C">
        <w:t>rotate</w:t>
      </w:r>
      <w:r w:rsidR="00D72912">
        <w:t>”</w:t>
      </w:r>
      <w:r w:rsidR="00E96C6C">
        <w:t xml:space="preserve"> about its 50%</w:t>
      </w:r>
      <w:r w:rsidR="00E935F0">
        <w:t>HA</w:t>
      </w:r>
      <w:r w:rsidR="00E96C6C">
        <w:t xml:space="preserve"> point</w:t>
      </w:r>
      <w:r w:rsidR="00D72912">
        <w:t xml:space="preserve"> similar to the “</w:t>
      </w:r>
      <w:proofErr w:type="spellStart"/>
      <w:r w:rsidR="00D72912">
        <w:t>FSh</w:t>
      </w:r>
      <w:proofErr w:type="spellEnd"/>
      <w:r w:rsidR="00D72912">
        <w:t xml:space="preserve">” </w:t>
      </w:r>
      <w:r w:rsidR="00DF3EC4">
        <w:t xml:space="preserve">populations, but </w:t>
      </w:r>
      <w:r w:rsidR="008248E8">
        <w:t>to a lesser extent</w:t>
      </w:r>
      <w:r w:rsidR="00DF3EC4">
        <w:t>.</w:t>
      </w:r>
      <w:r w:rsidR="00DE067B">
        <w:t xml:space="preserve"> In the analyses and plots that follow, dose-response curves whose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rsidR="00DE286C">
        <w:t xml:space="preserve"> variability </w:t>
      </w:r>
      <w:r w:rsidR="00455CE9">
        <w:t>is adjusted</w:t>
      </w:r>
      <w:r w:rsidR="00DE286C">
        <w:t xml:space="preserve"> by +</w:t>
      </w:r>
      <w:r w:rsidR="00DE067B">
        <w:t>10% corresponds to the abbreviation “</w:t>
      </w:r>
      <w:r w:rsidR="00DE286C">
        <w:t>Vp10</w:t>
      </w:r>
      <w:r w:rsidR="00DE067B">
        <w:t xml:space="preserve">” and that </w:t>
      </w:r>
      <w:r w:rsidR="005257EE">
        <w:t>is</w:t>
      </w:r>
      <w:r w:rsidR="00DE067B">
        <w:t xml:space="preserve"> </w:t>
      </w:r>
      <w:r w:rsidR="00455CE9">
        <w:t>adjusted</w:t>
      </w:r>
      <w:r w:rsidR="00DE067B">
        <w:t xml:space="preserve"> by </w:t>
      </w:r>
      <w:r w:rsidR="00455CE9">
        <w:t>-</w:t>
      </w:r>
      <w:r w:rsidR="00DE067B">
        <w:t>20% is “</w:t>
      </w:r>
      <w:r w:rsidR="00455CE9">
        <w:t>Vm</w:t>
      </w:r>
      <w:r w:rsidR="00DE067B">
        <w:t>20.”</w:t>
      </w:r>
      <w:r w:rsidR="00557CED">
        <w:t xml:space="preserve"> </w:t>
      </w:r>
    </w:p>
    <w:p w14:paraId="7773A263" w14:textId="67A9AC30" w:rsidR="00EF5653" w:rsidRPr="00AD7A90" w:rsidRDefault="00557CED">
      <w:pPr>
        <w:pStyle w:val="test2"/>
        <w:ind w:firstLine="576"/>
      </w:pPr>
      <w:r>
        <w:t>Reduc</w:t>
      </w:r>
      <w:r w:rsidR="006D5F57">
        <w:t xml:space="preserve">tions in </w:t>
      </w:r>
      <w:r>
        <w:t>the withdraw</w:t>
      </w:r>
      <w:r w:rsidR="009D2BB3">
        <w:t>al</w:t>
      </w:r>
      <w:r>
        <w:t xml:space="preserve"> rate </w:t>
      </w:r>
      <m:oMath>
        <m:r>
          <w:rPr>
            <w:rFonts w:ascii="Cambria Math" w:hAnsi="Cambria Math"/>
          </w:rPr>
          <m:t>W</m:t>
        </m:r>
      </m:oMath>
      <w:r>
        <w:t xml:space="preserve"> </w:t>
      </w:r>
      <w:r w:rsidR="006F202B">
        <w:t xml:space="preserve">and participation rate </w:t>
      </w:r>
      <m:oMath>
        <m:r>
          <w:rPr>
            <w:rFonts w:ascii="Cambria Math" w:hAnsi="Cambria Math"/>
          </w:rPr>
          <m:t>P</m:t>
        </m:r>
      </m:oMath>
      <w:r w:rsidR="006F202B">
        <w:t xml:space="preserve"> </w:t>
      </w:r>
      <w:r w:rsidR="004D5A55">
        <w:t xml:space="preserve">only </w:t>
      </w:r>
      <w:r>
        <w:t>impact the total number of responses and therefore</w:t>
      </w:r>
      <w:r w:rsidR="002006BE">
        <w:t>,</w:t>
      </w:r>
      <w:r w:rsidR="001E0171">
        <w:t xml:space="preserve"> reduce</w:t>
      </w:r>
      <w:r>
        <w:t xml:space="preserve"> the precision in the </w:t>
      </w:r>
      <w:r w:rsidR="006F202B">
        <w:t xml:space="preserve">modeled </w:t>
      </w:r>
      <w:r>
        <w:t xml:space="preserve">dose-response curve. </w:t>
      </w:r>
      <w:r w:rsidR="007D7643">
        <w:t xml:space="preserve">In the analyses and plots that follow, </w:t>
      </w:r>
      <w:r w:rsidR="003D72FC">
        <w:t xml:space="preserve">populations with </w:t>
      </w:r>
      <m:oMath>
        <m:r>
          <w:rPr>
            <w:rFonts w:ascii="Cambria Math" w:hAnsi="Cambria Math"/>
          </w:rPr>
          <m:t>W</m:t>
        </m:r>
      </m:oMath>
      <w:r w:rsidR="004D39DC">
        <w:t xml:space="preserve"> or </w:t>
      </w:r>
      <m:oMath>
        <m:r>
          <w:rPr>
            <w:rFonts w:ascii="Cambria Math" w:hAnsi="Cambria Math"/>
          </w:rPr>
          <m:t>P</m:t>
        </m:r>
      </m:oMath>
      <w:r w:rsidR="007D7643">
        <w:t xml:space="preserve"> adjusted by +10% correspond to the abbreviation “</w:t>
      </w:r>
      <w:r w:rsidR="004D39DC">
        <w:t>W</w:t>
      </w:r>
      <w:r w:rsidR="007D7643">
        <w:t>p10”</w:t>
      </w:r>
      <w:r w:rsidR="004D39DC">
        <w:t xml:space="preserve"> or “Rp10”</w:t>
      </w:r>
      <w:r w:rsidR="007D7643">
        <w:t xml:space="preserve"> and </w:t>
      </w:r>
      <w:r w:rsidR="00BC5245">
        <w:t xml:space="preserve">those </w:t>
      </w:r>
      <w:r w:rsidR="007D7643">
        <w:t xml:space="preserve">adjusted by -20% </w:t>
      </w:r>
      <w:r w:rsidR="00B41EC9">
        <w:t>are</w:t>
      </w:r>
      <w:r w:rsidR="007D7643">
        <w:t xml:space="preserve"> “</w:t>
      </w:r>
      <w:r w:rsidR="00B41EC9">
        <w:t>W</w:t>
      </w:r>
      <w:r w:rsidR="007D7643">
        <w:t>m20”</w:t>
      </w:r>
      <w:r w:rsidR="00B41EC9">
        <w:t xml:space="preserve"> or “</w:t>
      </w:r>
      <w:r w:rsidR="009129EB">
        <w:t>Rm20</w:t>
      </w:r>
      <w:r w:rsidR="00B41EC9">
        <w:t>.”</w:t>
      </w:r>
    </w:p>
    <w:p w14:paraId="54DC8204" w14:textId="0E6D72E1" w:rsidR="00A00895" w:rsidRDefault="004F302F">
      <w:pPr>
        <w:pStyle w:val="test2"/>
        <w:ind w:firstLine="576"/>
      </w:pPr>
      <w:r>
        <w:t xml:space="preserve">Figure </w:t>
      </w:r>
      <w:r w:rsidR="00206A09">
        <w:t>2</w:t>
      </w:r>
      <w:r>
        <w:t xml:space="preserve"> shows the</w:t>
      </w:r>
      <w:r w:rsidR="00EB5A9D">
        <w:t xml:space="preserve"> </w:t>
      </w:r>
      <w:r w:rsidR="00582234">
        <w:t>BL</w:t>
      </w:r>
      <w:r w:rsidR="00EB5A9D">
        <w:t xml:space="preserve"> and adjusted</w:t>
      </w:r>
      <w:r>
        <w:t xml:space="preserve"> </w:t>
      </w:r>
      <w:r w:rsidR="000833A5">
        <w:t>population dose-response curves</w:t>
      </w:r>
      <w:r w:rsidR="004A4B75">
        <w:t xml:space="preserve">. </w:t>
      </w:r>
      <w:r w:rsidR="00C33271">
        <w:t>Overlaid on the plots is a box indicating the anticipated dose range from the X-59 aircraft</w:t>
      </w:r>
      <w:r w:rsidR="001F16AE">
        <w:t>, and thus the portion of the population curve sampled by the simulat</w:t>
      </w:r>
      <w:r w:rsidR="000747D0">
        <w:t>ed data</w:t>
      </w:r>
      <w:r w:rsidR="001F16AE">
        <w:t xml:space="preserve">. </w:t>
      </w:r>
      <w:r w:rsidR="00B36C1C">
        <w:t xml:space="preserve">It is apparent that </w:t>
      </w:r>
      <w:r w:rsidR="00B36C1C">
        <w:rPr>
          <w:rFonts w:cs="Times New Roman"/>
        </w:rPr>
        <w:t xml:space="preserve">±10 and </w:t>
      </w:r>
      <w:r w:rsidR="00AC2CC9">
        <w:rPr>
          <w:rFonts w:cs="Times New Roman"/>
        </w:rPr>
        <w:t>±</w:t>
      </w:r>
      <w:r w:rsidR="00B36C1C">
        <w:rPr>
          <w:rFonts w:cs="Times New Roman"/>
        </w:rPr>
        <w:t>20% for some parameters have</w:t>
      </w:r>
      <w:r w:rsidR="004854AB">
        <w:rPr>
          <w:rFonts w:cs="Times New Roman"/>
        </w:rPr>
        <w:t xml:space="preserve"> greater impact on the shape and position of the dose-response curve. </w:t>
      </w:r>
      <w:r w:rsidR="00340E45">
        <w:rPr>
          <w:rFonts w:cs="Times New Roman"/>
        </w:rPr>
        <w:t>P</w:t>
      </w:r>
      <w:r w:rsidR="004854AB">
        <w:rPr>
          <w:rFonts w:cs="Times New Roman"/>
        </w:rPr>
        <w:t xml:space="preserve">opulations </w:t>
      </w:r>
      <w:r w:rsidR="000747D0">
        <w:rPr>
          <w:rFonts w:cs="Times New Roman"/>
        </w:rPr>
        <w:t>with</w:t>
      </w:r>
      <w:r w:rsidR="004854AB">
        <w:rPr>
          <w:rFonts w:cs="Times New Roman"/>
        </w:rPr>
        <w:t xml:space="preserve"> greater annoyance at lower doses </w:t>
      </w:r>
      <w:r w:rsidR="005F593E">
        <w:rPr>
          <w:rFonts w:cs="Times New Roman"/>
        </w:rPr>
        <w:t>will have</w:t>
      </w:r>
      <w:r w:rsidR="00164917">
        <w:rPr>
          <w:rFonts w:cs="Times New Roman"/>
        </w:rPr>
        <w:t xml:space="preserve"> a greater </w:t>
      </w:r>
      <w:r w:rsidR="008B41D3">
        <w:rPr>
          <w:rFonts w:cs="Times New Roman"/>
        </w:rPr>
        <w:t xml:space="preserve">range of </w:t>
      </w:r>
      <w:r w:rsidR="00164917">
        <w:rPr>
          <w:rFonts w:cs="Times New Roman"/>
        </w:rPr>
        <w:t>responses</w:t>
      </w:r>
      <w:r w:rsidR="00A955FB">
        <w:rPr>
          <w:rFonts w:cs="Times New Roman"/>
        </w:rPr>
        <w:t xml:space="preserve"> </w:t>
      </w:r>
      <w:r w:rsidR="00164917">
        <w:rPr>
          <w:rFonts w:cs="Times New Roman"/>
        </w:rPr>
        <w:t xml:space="preserve">over </w:t>
      </w:r>
      <w:r w:rsidR="004854AB">
        <w:rPr>
          <w:rFonts w:cs="Times New Roman"/>
        </w:rPr>
        <w:t>the limited</w:t>
      </w:r>
      <w:r w:rsidR="0059461C">
        <w:rPr>
          <w:rFonts w:cs="Times New Roman"/>
        </w:rPr>
        <w:t xml:space="preserve"> and </w:t>
      </w:r>
      <w:r w:rsidR="00C747EE">
        <w:rPr>
          <w:rFonts w:cs="Times New Roman"/>
        </w:rPr>
        <w:t>fixed</w:t>
      </w:r>
      <w:r w:rsidR="004854AB">
        <w:rPr>
          <w:rFonts w:cs="Times New Roman"/>
        </w:rPr>
        <w:t xml:space="preserve"> practical dose range of the X-59.</w:t>
      </w:r>
      <w:r w:rsidR="00482573">
        <w:rPr>
          <w:rFonts w:cs="Times New Roman"/>
        </w:rPr>
        <w:t xml:space="preserve"> These correspond to the “SL</w:t>
      </w:r>
      <w:r w:rsidR="00BE3443">
        <w:rPr>
          <w:rFonts w:cs="Times New Roman"/>
        </w:rPr>
        <w:t>,” “St,” “</w:t>
      </w:r>
      <w:proofErr w:type="spellStart"/>
      <w:r w:rsidR="00BE3443">
        <w:rPr>
          <w:rFonts w:cs="Times New Roman"/>
        </w:rPr>
        <w:t>F</w:t>
      </w:r>
      <w:r w:rsidR="00AB529E">
        <w:rPr>
          <w:rFonts w:cs="Times New Roman"/>
        </w:rPr>
        <w:t>Sh</w:t>
      </w:r>
      <w:proofErr w:type="spellEnd"/>
      <w:r w:rsidR="00F2178A">
        <w:rPr>
          <w:rFonts w:cs="Times New Roman"/>
        </w:rPr>
        <w:t>,</w:t>
      </w:r>
      <w:r w:rsidR="00AB529E">
        <w:rPr>
          <w:rFonts w:cs="Times New Roman"/>
        </w:rPr>
        <w:t>” and “</w:t>
      </w:r>
      <w:proofErr w:type="spellStart"/>
      <w:r w:rsidR="00AB529E">
        <w:rPr>
          <w:rFonts w:cs="Times New Roman"/>
        </w:rPr>
        <w:t>Vp</w:t>
      </w:r>
      <w:proofErr w:type="spellEnd"/>
      <w:r w:rsidR="00AB529E">
        <w:rPr>
          <w:rFonts w:cs="Times New Roman"/>
        </w:rPr>
        <w:t>” populations.</w:t>
      </w:r>
      <w:r w:rsidR="00F2178A">
        <w:rPr>
          <w:rFonts w:cs="Times New Roman"/>
        </w:rPr>
        <w:t xml:space="preserve"> Additionally, </w:t>
      </w:r>
      <w:r w:rsidR="00BC0C6A">
        <w:rPr>
          <w:rFonts w:cs="Times New Roman"/>
        </w:rPr>
        <w:t>populations</w:t>
      </w:r>
      <w:r w:rsidR="00F2178A">
        <w:rPr>
          <w:rFonts w:cs="Times New Roman"/>
        </w:rPr>
        <w:t xml:space="preserve"> with </w:t>
      </w:r>
      <w:r w:rsidR="002A73E1">
        <w:rPr>
          <w:rFonts w:cs="Times New Roman"/>
        </w:rPr>
        <w:t xml:space="preserve">low withdrawal rates and high participation rates will have </w:t>
      </w:r>
      <w:r w:rsidR="00F2178A">
        <w:rPr>
          <w:rFonts w:cs="Times New Roman"/>
        </w:rPr>
        <w:t xml:space="preserve">more responses </w:t>
      </w:r>
      <w:r w:rsidR="001218DB">
        <w:rPr>
          <w:rFonts w:cs="Times New Roman"/>
        </w:rPr>
        <w:t xml:space="preserve">and </w:t>
      </w:r>
      <w:r w:rsidR="00831832">
        <w:rPr>
          <w:rFonts w:cs="Times New Roman"/>
        </w:rPr>
        <w:t xml:space="preserve">model estimates will </w:t>
      </w:r>
      <w:r w:rsidR="001218DB">
        <w:rPr>
          <w:rFonts w:cs="Times New Roman"/>
        </w:rPr>
        <w:t>have better precision</w:t>
      </w:r>
      <w:r w:rsidR="004547FE">
        <w:rPr>
          <w:rFonts w:cs="Times New Roman"/>
        </w:rPr>
        <w:t>, i.e., “Wm” and “Rp.”</w:t>
      </w:r>
      <w:r w:rsidR="00AB529E">
        <w:rPr>
          <w:rFonts w:cs="Times New Roman"/>
        </w:rPr>
        <w:t xml:space="preserve"> </w:t>
      </w:r>
      <w:r w:rsidR="00F2178A">
        <w:rPr>
          <w:rFonts w:cs="Times New Roman"/>
        </w:rPr>
        <w:t>The</w:t>
      </w:r>
      <w:r w:rsidR="004547FE">
        <w:rPr>
          <w:rFonts w:cs="Times New Roman"/>
        </w:rPr>
        <w:t xml:space="preserve"> populations with lower annoyance</w:t>
      </w:r>
      <w:r w:rsidR="005A5DD1">
        <w:rPr>
          <w:rFonts w:cs="Times New Roman"/>
        </w:rPr>
        <w:t xml:space="preserve"> at lower doses are harder to estimate given the fixed do</w:t>
      </w:r>
      <w:r w:rsidR="0021269E">
        <w:rPr>
          <w:rFonts w:cs="Times New Roman"/>
        </w:rPr>
        <w:t xml:space="preserve">se </w:t>
      </w:r>
      <w:r w:rsidR="005A5DD1">
        <w:rPr>
          <w:rFonts w:cs="Times New Roman"/>
        </w:rPr>
        <w:t>range of the X-59. These are the</w:t>
      </w:r>
      <w:r w:rsidR="00F2178A">
        <w:rPr>
          <w:rFonts w:cs="Times New Roman"/>
        </w:rPr>
        <w:t xml:space="preserve"> “SR,”</w:t>
      </w:r>
      <w:r w:rsidR="00E00BC7">
        <w:rPr>
          <w:rFonts w:cs="Times New Roman"/>
        </w:rPr>
        <w:t xml:space="preserve"> “</w:t>
      </w:r>
      <w:proofErr w:type="spellStart"/>
      <w:r w:rsidR="00E00BC7">
        <w:rPr>
          <w:rFonts w:cs="Times New Roman"/>
        </w:rPr>
        <w:t>Sh</w:t>
      </w:r>
      <w:proofErr w:type="spellEnd"/>
      <w:r w:rsidR="00E00BC7">
        <w:rPr>
          <w:rFonts w:cs="Times New Roman"/>
        </w:rPr>
        <w:t>,”</w:t>
      </w:r>
      <w:r w:rsidR="005A5DD1">
        <w:rPr>
          <w:rFonts w:cs="Times New Roman"/>
        </w:rPr>
        <w:t xml:space="preserve"> “</w:t>
      </w:r>
      <w:proofErr w:type="spellStart"/>
      <w:r w:rsidR="005A5DD1">
        <w:rPr>
          <w:rFonts w:cs="Times New Roman"/>
        </w:rPr>
        <w:t>FSt</w:t>
      </w:r>
      <w:proofErr w:type="spellEnd"/>
      <w:r w:rsidR="005A5DD1">
        <w:rPr>
          <w:rFonts w:cs="Times New Roman"/>
        </w:rPr>
        <w:t>,”</w:t>
      </w:r>
      <w:r w:rsidR="00F2178A">
        <w:rPr>
          <w:rFonts w:cs="Times New Roman"/>
        </w:rPr>
        <w:t xml:space="preserve"> </w:t>
      </w:r>
      <w:r w:rsidR="007C049A">
        <w:rPr>
          <w:rFonts w:cs="Times New Roman"/>
        </w:rPr>
        <w:t>and “</w:t>
      </w:r>
      <w:proofErr w:type="spellStart"/>
      <w:r w:rsidR="007C049A">
        <w:rPr>
          <w:rFonts w:cs="Times New Roman"/>
        </w:rPr>
        <w:t>Vm</w:t>
      </w:r>
      <w:proofErr w:type="spellEnd"/>
      <w:r w:rsidR="007C049A">
        <w:rPr>
          <w:rFonts w:cs="Times New Roman"/>
        </w:rPr>
        <w:t xml:space="preserve">” populations. </w:t>
      </w:r>
      <w:r w:rsidR="001218DB">
        <w:rPr>
          <w:rFonts w:cs="Times New Roman"/>
        </w:rPr>
        <w:t>Those with fewer observations, i.e</w:t>
      </w:r>
      <w:r w:rsidR="008702AF">
        <w:rPr>
          <w:rFonts w:cs="Times New Roman"/>
        </w:rPr>
        <w:t>.</w:t>
      </w:r>
      <w:r w:rsidR="001218DB">
        <w:rPr>
          <w:rFonts w:cs="Times New Roman"/>
        </w:rPr>
        <w:t>, the “Wp” and “Rm</w:t>
      </w:r>
      <w:r w:rsidR="00044E2E">
        <w:rPr>
          <w:rFonts w:cs="Times New Roman"/>
        </w:rPr>
        <w:t xml:space="preserve">,” are harder to estimate and have worse precision. The results of this work </w:t>
      </w:r>
      <w:r w:rsidR="008D690E">
        <w:rPr>
          <w:rFonts w:cs="Times New Roman"/>
        </w:rPr>
        <w:t xml:space="preserve">in Section 6 </w:t>
      </w:r>
      <w:r w:rsidR="00044E2E">
        <w:rPr>
          <w:rFonts w:cs="Times New Roman"/>
        </w:rPr>
        <w:t>quantif</w:t>
      </w:r>
      <w:r w:rsidR="00604372">
        <w:rPr>
          <w:rFonts w:cs="Times New Roman"/>
        </w:rPr>
        <w:t>y</w:t>
      </w:r>
      <w:r w:rsidR="00044E2E">
        <w:rPr>
          <w:rFonts w:cs="Times New Roman"/>
        </w:rPr>
        <w:t xml:space="preserve"> these </w:t>
      </w:r>
      <w:r w:rsidR="008D690E">
        <w:rPr>
          <w:rFonts w:cs="Times New Roman"/>
        </w:rPr>
        <w:t>trends.</w:t>
      </w:r>
    </w:p>
    <w:p w14:paraId="235B7ABD" w14:textId="17DCD524" w:rsidR="00DA3BF2" w:rsidRDefault="00C255FF" w:rsidP="009D2BB3">
      <w:pPr>
        <w:pStyle w:val="test2"/>
        <w:ind w:firstLine="576"/>
      </w:pPr>
      <w:r>
        <w:t xml:space="preserve">In order to quantify sampling variability due to the random nature of the simulated survey data, dose-response modeling and analysis </w:t>
      </w:r>
      <w:r w:rsidR="00CD1C7D">
        <w:t xml:space="preserve">were </w:t>
      </w:r>
      <w:r>
        <w:t xml:space="preserve">completed for 30 replicate datasets for each of </w:t>
      </w:r>
      <w:r w:rsidR="00BD5CF4">
        <w:t>the 24 populations</w:t>
      </w:r>
      <w:r w:rsidR="002B2CE8">
        <w:t xml:space="preserve"> with 500 and 2500 participants and </w:t>
      </w:r>
      <w:proofErr w:type="gramStart"/>
      <w:r w:rsidR="002B2CE8">
        <w:t xml:space="preserve">0, 2, and </w:t>
      </w:r>
      <w:r w:rsidR="002B2CE8" w:rsidRPr="002B2CE8">
        <w:t>4</w:t>
      </w:r>
      <w:r w:rsidR="002B2CE8">
        <w:t> </w:t>
      </w:r>
      <w:r w:rsidR="002B2CE8" w:rsidRPr="002B2CE8">
        <w:t>dB</w:t>
      </w:r>
      <w:proofErr w:type="gramEnd"/>
      <w:r w:rsidR="002B2CE8">
        <w:t xml:space="preserve"> dose error. </w:t>
      </w:r>
      <w:r>
        <w:t>X-59 tests will not be replicated at each community test site location, hence low sampling variability is desirable.</w:t>
      </w:r>
    </w:p>
    <w:p w14:paraId="74B485C9" w14:textId="77777777" w:rsidR="004371DE" w:rsidRDefault="004371DE">
      <w:pPr>
        <w:pStyle w:val="test2"/>
        <w:ind w:firstLine="576"/>
      </w:pPr>
    </w:p>
    <w:p w14:paraId="2DDDCCE1" w14:textId="77777777" w:rsidR="004371DE" w:rsidRDefault="004371DE">
      <w:pPr>
        <w:pStyle w:val="Test1"/>
        <w:spacing w:after="0"/>
      </w:pPr>
      <w:r>
        <w:t>4. Dose Design and Injecting Dose Error</w:t>
      </w:r>
    </w:p>
    <w:p w14:paraId="236BE5C7" w14:textId="51C0828B" w:rsidR="00FD51D5" w:rsidRDefault="004371DE">
      <w:pPr>
        <w:pStyle w:val="test2"/>
      </w:pPr>
      <w:r>
        <w:t xml:space="preserve">This section outlines the true doses </w:t>
      </w:r>
      <w:r w:rsidR="00EE5798">
        <w:t>to which the</w:t>
      </w:r>
      <w:r>
        <w:t xml:space="preserve"> simulated populations </w:t>
      </w:r>
      <w:r w:rsidR="00EE5798">
        <w:t xml:space="preserve">were subjected </w:t>
      </w:r>
      <w:r>
        <w:t xml:space="preserve">and how </w:t>
      </w:r>
      <w:r w:rsidR="00381736">
        <w:t>errors were introduced into the dose estimates assigned to survey participants</w:t>
      </w:r>
      <w:r>
        <w:t xml:space="preserve">. </w:t>
      </w:r>
      <w:r w:rsidR="00802961">
        <w:t xml:space="preserve">True doses were assigned </w:t>
      </w:r>
      <w:r w:rsidR="00802961">
        <w:lastRenderedPageBreak/>
        <w:t xml:space="preserve">based on the practical dose range of the </w:t>
      </w:r>
      <w:r>
        <w:t>X-59</w:t>
      </w:r>
      <w:r w:rsidR="00802961">
        <w:t xml:space="preserve"> aircraft</w:t>
      </w:r>
      <w:r w:rsidR="00C9714E">
        <w:t>,</w:t>
      </w:r>
      <w:r w:rsidR="00802961">
        <w:t xml:space="preserve"> and </w:t>
      </w:r>
      <w:r w:rsidR="00465828">
        <w:t>a notional dose schedule</w:t>
      </w:r>
      <w:r w:rsidR="002F77C2">
        <w:t xml:space="preserve"> for the community surveys [</w:t>
      </w:r>
      <w:r w:rsidR="00C9714E">
        <w:fldChar w:fldCharType="begin"/>
      </w:r>
      <w:r w:rsidR="00C9714E">
        <w:instrText xml:space="preserve"> NOTEREF _Ref130570837 \h </w:instrText>
      </w:r>
      <w:r w:rsidR="00C9714E">
        <w:fldChar w:fldCharType="separate"/>
      </w:r>
      <w:r w:rsidR="00BE1007">
        <w:t>9</w:t>
      </w:r>
      <w:r w:rsidR="00C9714E">
        <w:fldChar w:fldCharType="end"/>
      </w:r>
      <w:r w:rsidR="002F77C2">
        <w:t xml:space="preserve">], shown in </w:t>
      </w:r>
      <w:r w:rsidR="00C9714E">
        <w:t xml:space="preserve">Fig. </w:t>
      </w:r>
      <w:r w:rsidR="00206A09">
        <w:t>3</w:t>
      </w:r>
      <w:r w:rsidR="002F77C2">
        <w:t xml:space="preserve">. </w:t>
      </w:r>
      <w:r>
        <w:t xml:space="preserve"> </w:t>
      </w:r>
      <w:r w:rsidR="002F77C2">
        <w:t xml:space="preserve">The dose schedule is based on the </w:t>
      </w:r>
      <w:r w:rsidR="008747EF">
        <w:t xml:space="preserve">capability of the aircraft to fly over the </w:t>
      </w:r>
      <w:r w:rsidR="001857BE">
        <w:t>community up to six times per day</w:t>
      </w:r>
      <w:r w:rsidR="008747EF">
        <w:t xml:space="preserve"> for about one-month</w:t>
      </w:r>
      <w:r w:rsidR="001857BE">
        <w:t>. In this paper, the single event doses are given in Perceived Level (PL) [</w:t>
      </w:r>
      <w:r w:rsidR="001857BE" w:rsidRPr="00FF19F5">
        <w:rPr>
          <w:rStyle w:val="EndnoteReference"/>
          <w:vertAlign w:val="baseline"/>
        </w:rPr>
        <w:endnoteReference w:id="17"/>
      </w:r>
      <w:r w:rsidR="001857BE">
        <w:t xml:space="preserve">, </w:t>
      </w:r>
      <w:r w:rsidR="001857BE" w:rsidRPr="0041662E">
        <w:rPr>
          <w:rStyle w:val="EndnoteReference"/>
          <w:vertAlign w:val="baseline"/>
        </w:rPr>
        <w:endnoteReference w:id="18"/>
      </w:r>
      <w:r w:rsidR="001857BE">
        <w:t>],</w:t>
      </w:r>
      <w:r w:rsidR="0008401D" w:rsidRPr="0008401D">
        <w:t xml:space="preserve"> </w:t>
      </w:r>
      <w:r w:rsidR="0008401D">
        <w:t>and the cumulative doses are given in Day-Night-Average Perceived Level (PLDNL)</w:t>
      </w:r>
      <w:r w:rsidR="00C9714E">
        <w:t xml:space="preserve"> (see page 85 of Ref.</w:t>
      </w:r>
      <w:r w:rsidR="0008401D">
        <w:t xml:space="preserve"> [</w:t>
      </w:r>
      <w:r w:rsidR="00C9714E">
        <w:fldChar w:fldCharType="begin"/>
      </w:r>
      <w:r w:rsidR="00C9714E">
        <w:instrText xml:space="preserve"> NOTEREF _Ref134449233 \h </w:instrText>
      </w:r>
      <w:r w:rsidR="00C9714E">
        <w:fldChar w:fldCharType="separate"/>
      </w:r>
      <w:r w:rsidR="00BE1007">
        <w:t>8</w:t>
      </w:r>
      <w:r w:rsidR="00C9714E">
        <w:fldChar w:fldCharType="end"/>
      </w:r>
      <w:r w:rsidR="0008401D">
        <w:t>]</w:t>
      </w:r>
      <w:r w:rsidR="00C9714E">
        <w:t>)</w:t>
      </w:r>
      <w:r w:rsidR="0008401D">
        <w:t>. Recently,</w:t>
      </w:r>
      <w:r w:rsidR="0008401D" w:rsidRPr="0008401D">
        <w:t xml:space="preserve"> </w:t>
      </w:r>
      <w:r w:rsidR="0008401D">
        <w:t>the practical dose range was quantified to be between 70 and 87 dB for the single event dose in PL</w:t>
      </w:r>
      <w:r w:rsidR="0008401D" w:rsidRPr="0008401D">
        <w:t xml:space="preserve"> </w:t>
      </w:r>
      <w:r w:rsidR="0008401D">
        <w:t>and 23.6 and 45.4 dB for cumulative dose in PLDNL.</w:t>
      </w:r>
      <w:r w:rsidR="00FD51D5" w:rsidRPr="00FD51D5">
        <w:t xml:space="preserve"> </w:t>
      </w:r>
    </w:p>
    <w:p w14:paraId="42840D3D" w14:textId="6CF08148" w:rsidR="00AD7A90" w:rsidRDefault="00FD51D5" w:rsidP="00C9714E">
      <w:pPr>
        <w:pStyle w:val="test2"/>
        <w:ind w:firstLine="576"/>
      </w:pPr>
      <w:r>
        <w:t>Following the dose design</w:t>
      </w:r>
      <w:r w:rsidR="00716FEE" w:rsidRPr="00716FEE">
        <w:t xml:space="preserve"> </w:t>
      </w:r>
      <w:r w:rsidR="00716FEE">
        <w:t>suggestion of Horonjeff [</w:t>
      </w:r>
      <w:r w:rsidR="00E112C9">
        <w:fldChar w:fldCharType="begin"/>
      </w:r>
      <w:r w:rsidR="00E112C9">
        <w:instrText xml:space="preserve"> NOTEREF _Ref135148088 \h </w:instrText>
      </w:r>
      <w:r w:rsidR="00E112C9">
        <w:fldChar w:fldCharType="separate"/>
      </w:r>
      <w:r w:rsidR="00BE1007">
        <w:t>2</w:t>
      </w:r>
      <w:r w:rsidR="00E112C9">
        <w:fldChar w:fldCharType="end"/>
      </w:r>
      <w:r w:rsidR="00716FEE">
        <w:t>], a uniform distribution of doses was targeted. Because the cumulative dose is linked to the single event doses of each day by a logarithmic summation, it is not possible to</w:t>
      </w:r>
      <w:r w:rsidR="00BB7603">
        <w:t xml:space="preserve"> </w:t>
      </w:r>
      <w:r w:rsidR="00212954">
        <w:t xml:space="preserve">achieve a uniform distribution of both. The cumulative design was prioritized to be more uniform because it has fewer test point observations </w:t>
      </w:r>
      <m:oMath>
        <m:r>
          <w:rPr>
            <w:rFonts w:ascii="Cambria Math" w:hAnsi="Cambria Math"/>
          </w:rPr>
          <m:t>N=26</m:t>
        </m:r>
      </m:oMath>
      <w:r w:rsidR="00212954">
        <w:t xml:space="preserve"> (one per test day) versus the single</w:t>
      </w:r>
      <w:r w:rsidR="00AD7A90" w:rsidRPr="00AD7A90">
        <w:t xml:space="preserve"> </w:t>
      </w:r>
      <w:r w:rsidR="00AD7A90">
        <w:t xml:space="preserve">event design where the number of flyover test points is </w:t>
      </w:r>
      <m:oMath>
        <m:r>
          <w:rPr>
            <w:rFonts w:ascii="Cambria Math" w:hAnsi="Cambria Math"/>
          </w:rPr>
          <m:t>N=86</m:t>
        </m:r>
      </m:oMath>
      <w:r w:rsidR="00AD7A90">
        <w:t xml:space="preserve"> (up to six per test day).</w:t>
      </w:r>
      <w:r w:rsidR="00AD7A90" w:rsidRPr="00185B59">
        <w:t xml:space="preserve"> </w:t>
      </w:r>
    </w:p>
    <w:p w14:paraId="3799C708" w14:textId="7E37E46D" w:rsidR="0008401D" w:rsidRDefault="00AD7A90">
      <w:pPr>
        <w:pStyle w:val="test2"/>
        <w:ind w:firstLine="576"/>
      </w:pPr>
      <w:r>
        <w:t>In the simulated dose-response datasets, each simulated participant responds to the true doses</w:t>
      </w:r>
      <w:r w:rsidRPr="00AD7A90">
        <w:t xml:space="preserve"> </w:t>
      </w:r>
      <w:r>
        <w:t xml:space="preserve">of Fig. </w:t>
      </w:r>
      <w:r w:rsidR="00206A09">
        <w:t>3</w:t>
      </w:r>
      <w:r>
        <w:t>. The true doses do not attempt to include additional real-world dose effects that may be</w:t>
      </w:r>
      <w:r w:rsidR="00C363C4" w:rsidRPr="00C363C4">
        <w:t xml:space="preserve"> </w:t>
      </w:r>
      <w:r w:rsidR="00C363C4">
        <w:t xml:space="preserve">expected in the field such as lateral loudness variability or variability from real piloting or turbulence, etc. To simulate dose error, the estimated doses are true doses plus a random draw from a normal </w:t>
      </w:r>
    </w:p>
    <w:p w14:paraId="22AFC4BF" w14:textId="77777777" w:rsidR="00067E0B" w:rsidRDefault="00067E0B">
      <w:pPr>
        <w:pStyle w:val="test2"/>
        <w:ind w:firstLine="576"/>
      </w:pPr>
    </w:p>
    <w:p w14:paraId="59346766" w14:textId="1F3C432C" w:rsidR="00A00895" w:rsidRDefault="00A00895">
      <w:pPr>
        <w:pStyle w:val="test2"/>
        <w:keepNext/>
        <w:jc w:val="center"/>
      </w:pPr>
      <w:r>
        <w:t xml:space="preserve">Table </w:t>
      </w:r>
      <w:r w:rsidR="0070109C">
        <w:t>1</w:t>
      </w:r>
      <w:r>
        <w:t xml:space="preserve">: Description and values of </w:t>
      </w:r>
      <w:r w:rsidR="004E543F">
        <w:t xml:space="preserve">baseline (bold) and </w:t>
      </w:r>
      <w:r>
        <w:t>shifted population parameters.</w:t>
      </w:r>
    </w:p>
    <w:p w14:paraId="502A7D7A" w14:textId="77777777" w:rsidR="00A00895" w:rsidRDefault="00A00895">
      <w:pPr>
        <w:pStyle w:val="test2"/>
        <w:keepNext/>
      </w:pPr>
    </w:p>
    <w:tbl>
      <w:tblPr>
        <w:tblW w:w="967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53"/>
        <w:gridCol w:w="3154"/>
        <w:gridCol w:w="1742"/>
        <w:gridCol w:w="1742"/>
        <w:gridCol w:w="1786"/>
      </w:tblGrid>
      <w:tr w:rsidR="00750CBD" w14:paraId="08071B17" w14:textId="62E937BB" w:rsidTr="00892E8A">
        <w:trPr>
          <w:cantSplit/>
          <w:trHeight w:val="77"/>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4F883055" w14:textId="7384BBE9" w:rsidR="005B2565" w:rsidRPr="000F7C48" w:rsidRDefault="005B2565" w:rsidP="009F3FD9">
            <w:pPr>
              <w:keepNext/>
              <w:jc w:val="center"/>
            </w:pPr>
            <w:r>
              <w:rPr>
                <w:b/>
                <w:bCs/>
              </w:rPr>
              <w:t>Parameter</w:t>
            </w:r>
          </w:p>
        </w:tc>
        <w:tc>
          <w:tcPr>
            <w:tcW w:w="3154" w:type="dxa"/>
            <w:tcBorders>
              <w:top w:val="single" w:sz="4" w:space="0" w:color="000000"/>
              <w:left w:val="nil"/>
              <w:bottom w:val="single" w:sz="4" w:space="0" w:color="000000"/>
              <w:right w:val="nil"/>
            </w:tcBorders>
          </w:tcPr>
          <w:p w14:paraId="3FD418C0" w14:textId="698C65A2" w:rsidR="005B2565" w:rsidRPr="000F7C48" w:rsidRDefault="005B2565" w:rsidP="009F3FD9">
            <w:pPr>
              <w:keepNext/>
              <w:spacing w:line="240" w:lineRule="auto"/>
              <w:jc w:val="center"/>
              <w:rPr>
                <w:b/>
                <w:bCs/>
              </w:rPr>
            </w:pPr>
            <w:r>
              <w:rPr>
                <w:b/>
                <w:bCs/>
              </w:rPr>
              <w:t xml:space="preserve">Description of impact compared to </w:t>
            </w:r>
            <w:r w:rsidR="009404A3">
              <w:rPr>
                <w:b/>
                <w:bCs/>
              </w:rPr>
              <w:t>b</w:t>
            </w:r>
            <w:r w:rsidR="00C05F52">
              <w:rPr>
                <w:b/>
                <w:bCs/>
              </w:rPr>
              <w:t>aseline (BL)</w:t>
            </w:r>
            <w:r>
              <w:rPr>
                <w:b/>
                <w:bCs/>
              </w:rPr>
              <w:t xml:space="preserve"> population</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36B2FBEE" w14:textId="3A90421C" w:rsidR="005B2565" w:rsidRPr="000F7C48" w:rsidRDefault="005B2565" w:rsidP="009F3FD9">
            <w:pPr>
              <w:keepNext/>
              <w:spacing w:line="240" w:lineRule="auto"/>
              <w:jc w:val="center"/>
            </w:pPr>
            <w:r>
              <w:rPr>
                <w:b/>
                <w:bCs/>
              </w:rPr>
              <w:t>Single Event Values</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B77A524" w14:textId="305B39C9" w:rsidR="005B2565" w:rsidRPr="000F7C48" w:rsidRDefault="005B2565" w:rsidP="009F3FD9">
            <w:pPr>
              <w:keepNext/>
              <w:spacing w:line="240" w:lineRule="auto"/>
              <w:jc w:val="center"/>
            </w:pPr>
            <w:r>
              <w:rPr>
                <w:b/>
                <w:bCs/>
              </w:rPr>
              <w:t>Cumulative Values</w:t>
            </w:r>
          </w:p>
        </w:tc>
        <w:tc>
          <w:tcPr>
            <w:tcW w:w="1786" w:type="dxa"/>
            <w:tcBorders>
              <w:top w:val="single" w:sz="4" w:space="0" w:color="000000"/>
              <w:left w:val="nil"/>
              <w:bottom w:val="single" w:sz="4" w:space="0" w:color="000000"/>
              <w:right w:val="nil"/>
            </w:tcBorders>
            <w:vAlign w:val="center"/>
          </w:tcPr>
          <w:p w14:paraId="280BDD8D" w14:textId="379B7AD5" w:rsidR="005B2565" w:rsidRDefault="005B2565" w:rsidP="009F3FD9">
            <w:pPr>
              <w:keepNext/>
              <w:spacing w:line="240" w:lineRule="auto"/>
              <w:jc w:val="center"/>
              <w:rPr>
                <w:b/>
                <w:bCs/>
              </w:rPr>
            </w:pPr>
            <w:r>
              <w:rPr>
                <w:b/>
                <w:bCs/>
              </w:rPr>
              <w:t>Name Abbreviation</w:t>
            </w:r>
          </w:p>
        </w:tc>
      </w:tr>
      <w:tr w:rsidR="00030755" w14:paraId="5AB019F9" w14:textId="32FDC568" w:rsidTr="00892E8A">
        <w:trPr>
          <w:cantSplit/>
          <w:trHeight w:val="40"/>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13A70000" w14:textId="537E7210" w:rsidR="005B2565" w:rsidRPr="000F7C48" w:rsidRDefault="00AE0385" w:rsidP="009F3FD9">
            <w:pPr>
              <w:keepNext/>
              <w:spacing w:line="240" w:lineRule="auto"/>
              <w:jc w:val="center"/>
            </w:pPr>
            <m:oMathPara>
              <m:oMath>
                <m:sSub>
                  <m:sSubPr>
                    <m:ctrlPr>
                      <w:rPr>
                        <w:rFonts w:ascii="Cambria Math" w:hAnsi="Cambria Math"/>
                        <w:i/>
                      </w:rPr>
                    </m:ctrlPr>
                  </m:sSubPr>
                  <m:e>
                    <m:r>
                      <w:rPr>
                        <w:rFonts w:ascii="Cambria Math" w:hAnsi="Cambria Math"/>
                      </w:rPr>
                      <m:t>β</m:t>
                    </m:r>
                  </m:e>
                  <m:sub>
                    <m:r>
                      <w:rPr>
                        <w:rFonts w:ascii="Cambria Math" w:hAnsi="Cambria Math"/>
                      </w:rPr>
                      <m:t>0</m:t>
                    </m:r>
                  </m:sub>
                </m:sSub>
              </m:oMath>
            </m:oMathPara>
          </w:p>
        </w:tc>
        <w:tc>
          <w:tcPr>
            <w:tcW w:w="3154" w:type="dxa"/>
            <w:tcBorders>
              <w:top w:val="single" w:sz="4" w:space="0" w:color="000000"/>
              <w:left w:val="nil"/>
              <w:bottom w:val="single" w:sz="4" w:space="0" w:color="000000"/>
              <w:right w:val="nil"/>
            </w:tcBorders>
            <w:vAlign w:val="center"/>
          </w:tcPr>
          <w:p w14:paraId="1481ECB9" w14:textId="5207EEEC" w:rsidR="005B2565" w:rsidRPr="000F7C48" w:rsidRDefault="005B2565" w:rsidP="00F172F3">
            <w:pPr>
              <w:keepNext/>
              <w:spacing w:line="240" w:lineRule="auto"/>
              <w:jc w:val="left"/>
            </w:pPr>
            <w:r>
              <w:t>Shifted Right or Left</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8B7ADC9" w14:textId="7872C132" w:rsidR="005B2565" w:rsidRPr="000F7C48" w:rsidRDefault="005B2565" w:rsidP="009F3FD9">
            <w:pPr>
              <w:keepNext/>
              <w:spacing w:line="240" w:lineRule="auto"/>
              <w:jc w:val="center"/>
            </w:pPr>
            <w:r>
              <w:t>[</w:t>
            </w:r>
            <w:r w:rsidR="004C78C6">
              <w:noBreakHyphen/>
            </w:r>
            <w:r>
              <w:t>22.06, -20.53,</w:t>
            </w:r>
            <w:r w:rsidR="00684A19">
              <w:t xml:space="preserve"> </w:t>
            </w:r>
            <w:r w:rsidR="00684A19" w:rsidRPr="00195CE9">
              <w:rPr>
                <w:b/>
                <w:bCs/>
              </w:rPr>
              <w:t>-19</w:t>
            </w:r>
            <w:r w:rsidR="00684A19">
              <w:t>,</w:t>
            </w:r>
            <w:r>
              <w:t xml:space="preserve"> </w:t>
            </w:r>
            <w:r w:rsidR="00D44395">
              <w:br/>
            </w:r>
            <w:r>
              <w:t>-17.47, -15.90]</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5B571208" w14:textId="3BF2F754" w:rsidR="009442E8" w:rsidRDefault="005B2565" w:rsidP="009F3FD9">
            <w:pPr>
              <w:keepNext/>
              <w:spacing w:line="240" w:lineRule="auto"/>
              <w:jc w:val="center"/>
            </w:pPr>
            <w:r>
              <w:t>[</w:t>
            </w:r>
            <w:r w:rsidR="009442E8">
              <w:noBreakHyphen/>
            </w:r>
            <w:r>
              <w:t>12.48,</w:t>
            </w:r>
            <w:r w:rsidR="00F172F3">
              <w:t xml:space="preserve"> </w:t>
            </w:r>
            <w:r w:rsidR="009442E8">
              <w:noBreakHyphen/>
            </w:r>
            <w:r>
              <w:t>11.39,</w:t>
            </w:r>
            <w:r w:rsidR="00684A19">
              <w:t xml:space="preserve"> </w:t>
            </w:r>
            <w:r w:rsidR="00684A19" w:rsidRPr="00195CE9">
              <w:rPr>
                <w:b/>
                <w:bCs/>
              </w:rPr>
              <w:t>-10.3</w:t>
            </w:r>
            <w:r w:rsidR="00684A19">
              <w:t>,</w:t>
            </w:r>
          </w:p>
          <w:p w14:paraId="0992AAD3" w14:textId="76C6601C" w:rsidR="005B2565" w:rsidRPr="000F7C48" w:rsidRDefault="009442E8" w:rsidP="009F3FD9">
            <w:pPr>
              <w:keepNext/>
              <w:spacing w:line="240" w:lineRule="auto"/>
              <w:jc w:val="center"/>
            </w:pPr>
            <w:r>
              <w:t>-</w:t>
            </w:r>
            <w:r w:rsidR="005B2565">
              <w:t>9.21,</w:t>
            </w:r>
            <w:r>
              <w:t xml:space="preserve"> </w:t>
            </w:r>
            <w:r w:rsidR="005B2565">
              <w:t>-8.12]</w:t>
            </w:r>
          </w:p>
        </w:tc>
        <w:tc>
          <w:tcPr>
            <w:tcW w:w="1786" w:type="dxa"/>
            <w:tcBorders>
              <w:top w:val="single" w:sz="4" w:space="0" w:color="000000"/>
              <w:left w:val="nil"/>
              <w:bottom w:val="single" w:sz="4" w:space="0" w:color="000000"/>
              <w:right w:val="nil"/>
            </w:tcBorders>
            <w:vAlign w:val="center"/>
          </w:tcPr>
          <w:p w14:paraId="4C8AE33F" w14:textId="656A93DF" w:rsidR="005B2565" w:rsidRPr="000F7C48" w:rsidRDefault="005B2565" w:rsidP="009F3FD9">
            <w:pPr>
              <w:keepNext/>
              <w:spacing w:line="240" w:lineRule="auto"/>
              <w:jc w:val="center"/>
            </w:pPr>
            <w:r>
              <w:t xml:space="preserve">[SR20, SR10, </w:t>
            </w:r>
            <w:r w:rsidR="00CB1946" w:rsidRPr="00F671D6">
              <w:rPr>
                <w:b/>
                <w:bCs/>
              </w:rPr>
              <w:t>BL</w:t>
            </w:r>
            <w:r w:rsidR="00CB1946">
              <w:t>,</w:t>
            </w:r>
            <w:r w:rsidR="00D44395">
              <w:br/>
            </w:r>
            <w:r w:rsidR="00CB1946">
              <w:t xml:space="preserve"> </w:t>
            </w:r>
            <w:r>
              <w:t>SL10, SL20]</w:t>
            </w:r>
          </w:p>
        </w:tc>
      </w:tr>
      <w:tr w:rsidR="00030755" w14:paraId="33CFA36C" w14:textId="5792A738" w:rsidTr="00892E8A">
        <w:trPr>
          <w:cantSplit/>
          <w:trHeight w:val="32"/>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30E13D93" w14:textId="34EAB3C5" w:rsidR="005B2565" w:rsidRPr="000F7C48" w:rsidRDefault="00AE0385" w:rsidP="009F3FD9">
            <w:pPr>
              <w:keepNext/>
              <w:spacing w:line="240" w:lineRule="auto"/>
              <w:jc w:val="center"/>
            </w:pPr>
            <m:oMathPara>
              <m:oMath>
                <m:sSub>
                  <m:sSubPr>
                    <m:ctrlPr>
                      <w:rPr>
                        <w:rFonts w:ascii="Cambria Math" w:hAnsi="Cambria Math"/>
                        <w:i/>
                      </w:rPr>
                    </m:ctrlPr>
                  </m:sSubPr>
                  <m:e>
                    <m:r>
                      <w:rPr>
                        <w:rFonts w:ascii="Cambria Math" w:hAnsi="Cambria Math"/>
                      </w:rPr>
                      <m:t>β</m:t>
                    </m:r>
                  </m:e>
                  <m:sub>
                    <m:r>
                      <w:rPr>
                        <w:rFonts w:ascii="Cambria Math" w:hAnsi="Cambria Math"/>
                      </w:rPr>
                      <m:t>1</m:t>
                    </m:r>
                  </m:sub>
                </m:sSub>
              </m:oMath>
            </m:oMathPara>
          </w:p>
        </w:tc>
        <w:tc>
          <w:tcPr>
            <w:tcW w:w="3154" w:type="dxa"/>
            <w:tcBorders>
              <w:top w:val="single" w:sz="4" w:space="0" w:color="000000"/>
              <w:left w:val="nil"/>
              <w:bottom w:val="single" w:sz="4" w:space="0" w:color="000000"/>
              <w:right w:val="nil"/>
            </w:tcBorders>
            <w:vAlign w:val="center"/>
          </w:tcPr>
          <w:p w14:paraId="615E50DC" w14:textId="1565B2BF" w:rsidR="005B2565" w:rsidRPr="000F7C48" w:rsidRDefault="005B2565" w:rsidP="00F172F3">
            <w:pPr>
              <w:keepNext/>
              <w:spacing w:line="240" w:lineRule="auto"/>
              <w:jc w:val="left"/>
            </w:pPr>
            <w:r>
              <w:t>Shallower and shifted right or steeper and shifted left</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4C03FB41" w14:textId="542EE67E" w:rsidR="005B2565" w:rsidRPr="000F7C48" w:rsidRDefault="005B2565" w:rsidP="009F3FD9">
            <w:pPr>
              <w:keepNext/>
              <w:spacing w:line="240" w:lineRule="auto"/>
              <w:jc w:val="center"/>
            </w:pPr>
            <w:r>
              <w:t>[0.122, 0.138,</w:t>
            </w:r>
            <w:r w:rsidR="00195CE9">
              <w:t xml:space="preserve"> </w:t>
            </w:r>
            <w:r w:rsidR="00195CE9" w:rsidRPr="004E543F">
              <w:rPr>
                <w:b/>
                <w:bCs/>
              </w:rPr>
              <w:t>0.153</w:t>
            </w:r>
            <w:r w:rsidR="00195CE9">
              <w:t>,</w:t>
            </w:r>
            <w:r w:rsidR="00D44395">
              <w:br/>
            </w:r>
            <w:r>
              <w:t>0.168, 0.184]</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4FCAD80F" w14:textId="017D7623" w:rsidR="005B2565" w:rsidRPr="000F7C48" w:rsidRDefault="005B2565" w:rsidP="009F3FD9">
            <w:pPr>
              <w:keepNext/>
              <w:spacing w:line="240" w:lineRule="auto"/>
              <w:jc w:val="center"/>
            </w:pPr>
            <w:r>
              <w:t xml:space="preserve">[0.087, 0.098, </w:t>
            </w:r>
            <w:r w:rsidR="004E543F" w:rsidRPr="004E543F">
              <w:rPr>
                <w:b/>
                <w:bCs/>
              </w:rPr>
              <w:t>0.109</w:t>
            </w:r>
            <w:r w:rsidR="004E543F">
              <w:t>,</w:t>
            </w:r>
            <w:r w:rsidR="00D44395">
              <w:br/>
            </w:r>
            <w:r>
              <w:t>0.120, 0.131]</w:t>
            </w:r>
          </w:p>
        </w:tc>
        <w:tc>
          <w:tcPr>
            <w:tcW w:w="1786" w:type="dxa"/>
            <w:tcBorders>
              <w:top w:val="single" w:sz="4" w:space="0" w:color="000000"/>
              <w:left w:val="nil"/>
              <w:bottom w:val="single" w:sz="4" w:space="0" w:color="000000"/>
              <w:right w:val="nil"/>
            </w:tcBorders>
            <w:vAlign w:val="center"/>
          </w:tcPr>
          <w:p w14:paraId="302600DD" w14:textId="4529D4B0" w:rsidR="005B2565" w:rsidRPr="000F7C48" w:rsidRDefault="005B2565" w:rsidP="009F3FD9">
            <w:pPr>
              <w:keepNext/>
              <w:spacing w:line="240" w:lineRule="auto"/>
              <w:jc w:val="center"/>
            </w:pPr>
            <w:r>
              <w:t xml:space="preserve">[Sh20, Sh10, </w:t>
            </w:r>
            <w:r w:rsidR="00CB1946" w:rsidRPr="00F671D6">
              <w:rPr>
                <w:b/>
                <w:bCs/>
              </w:rPr>
              <w:t>BL</w:t>
            </w:r>
            <w:r w:rsidR="00CB1946">
              <w:t xml:space="preserve">, </w:t>
            </w:r>
            <w:r w:rsidR="00D44395">
              <w:br/>
            </w:r>
            <w:r>
              <w:t>St10, St20]</w:t>
            </w:r>
          </w:p>
        </w:tc>
      </w:tr>
      <w:tr w:rsidR="00030755" w14:paraId="728A4968" w14:textId="5D078197"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3FBD3642" w14:textId="13A0F0FC" w:rsidR="005B2565" w:rsidRPr="000F7C48" w:rsidRDefault="00AE0385" w:rsidP="009F3FD9">
            <w:pPr>
              <w:keepNext/>
              <w:spacing w:line="240" w:lineRule="auto"/>
              <w:jc w:val="center"/>
            </w:pPr>
            <m:oMathPara>
              <m:oMath>
                <m:sSub>
                  <m:sSubPr>
                    <m:ctrlPr>
                      <w:rPr>
                        <w:rFonts w:ascii="Cambria Math" w:hAnsi="Cambria Math"/>
                        <w:i/>
                      </w:rPr>
                    </m:ctrlPr>
                  </m:sSubPr>
                  <m:e>
                    <m:r>
                      <w:rPr>
                        <w:rFonts w:ascii="Cambria Math" w:hAnsi="Cambria Math"/>
                      </w:rPr>
                      <m:t>σ</m:t>
                    </m:r>
                  </m:e>
                  <m:sub>
                    <m:r>
                      <w:rPr>
                        <w:rFonts w:ascii="Cambria Math" w:hAnsi="Cambria Math"/>
                      </w:rPr>
                      <m:t>RE</m:t>
                    </m:r>
                  </m:sub>
                </m:sSub>
              </m:oMath>
            </m:oMathPara>
          </w:p>
        </w:tc>
        <w:tc>
          <w:tcPr>
            <w:tcW w:w="3154" w:type="dxa"/>
            <w:tcBorders>
              <w:top w:val="single" w:sz="4" w:space="0" w:color="000000"/>
              <w:left w:val="nil"/>
              <w:bottom w:val="single" w:sz="4" w:space="0" w:color="000000"/>
              <w:right w:val="nil"/>
            </w:tcBorders>
            <w:vAlign w:val="center"/>
          </w:tcPr>
          <w:p w14:paraId="4A89B5BC" w14:textId="7937EF35" w:rsidR="005B2565" w:rsidRPr="000F7C48" w:rsidRDefault="005B2565" w:rsidP="00F172F3">
            <w:pPr>
              <w:keepNext/>
              <w:spacing w:line="240" w:lineRule="auto"/>
              <w:jc w:val="left"/>
            </w:pPr>
            <w:r>
              <w:t>Distribution of random intercepts is less or more variabl</w:t>
            </w:r>
            <w:r w:rsidR="00162AFA">
              <w:t>e</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1E3E2E99" w14:textId="49EC9040" w:rsidR="008E0A66" w:rsidRDefault="005B2565" w:rsidP="009F3FD9">
            <w:pPr>
              <w:keepNext/>
              <w:spacing w:line="240" w:lineRule="auto"/>
              <w:jc w:val="center"/>
            </w:pPr>
            <w:r>
              <w:t>[1.9608, 2.2059,</w:t>
            </w:r>
            <w:r w:rsidR="008E0A66">
              <w:br/>
            </w:r>
            <w:r w:rsidR="008E0A66" w:rsidRPr="008E0A66">
              <w:rPr>
                <w:b/>
                <w:bCs/>
              </w:rPr>
              <w:t>2.451</w:t>
            </w:r>
            <w:r w:rsidR="008E0A66">
              <w:t>,</w:t>
            </w:r>
          </w:p>
          <w:p w14:paraId="58D75B84" w14:textId="72D631B7" w:rsidR="005B2565" w:rsidRPr="000F7C48" w:rsidRDefault="005B2565" w:rsidP="009F3FD9">
            <w:pPr>
              <w:keepNext/>
              <w:spacing w:line="240" w:lineRule="auto"/>
              <w:jc w:val="center"/>
            </w:pPr>
            <w:r>
              <w:t xml:space="preserve"> 2.6961, 2.9412]</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7D5F912A" w14:textId="234E8AA6" w:rsidR="008E0A66" w:rsidRDefault="005B2565" w:rsidP="009F3FD9">
            <w:pPr>
              <w:keepNext/>
              <w:spacing w:line="240" w:lineRule="auto"/>
              <w:jc w:val="center"/>
            </w:pPr>
            <w:r>
              <w:t>[1.6894, 1.9005,</w:t>
            </w:r>
            <w:r w:rsidR="008E0A66">
              <w:br/>
            </w:r>
            <w:r w:rsidR="00F61D55" w:rsidRPr="00F61D55">
              <w:rPr>
                <w:b/>
                <w:bCs/>
              </w:rPr>
              <w:t>2.1117</w:t>
            </w:r>
            <w:r w:rsidR="00F61D55">
              <w:t>,</w:t>
            </w:r>
          </w:p>
          <w:p w14:paraId="58DEB31D" w14:textId="3B170675" w:rsidR="005B2565" w:rsidRPr="000F7C48" w:rsidRDefault="005B2565" w:rsidP="009F3FD9">
            <w:pPr>
              <w:keepNext/>
              <w:spacing w:line="240" w:lineRule="auto"/>
              <w:jc w:val="center"/>
            </w:pPr>
            <w:r>
              <w:t xml:space="preserve"> 2.3229, 2.5340]</w:t>
            </w:r>
          </w:p>
        </w:tc>
        <w:tc>
          <w:tcPr>
            <w:tcW w:w="1786" w:type="dxa"/>
            <w:tcBorders>
              <w:top w:val="single" w:sz="4" w:space="0" w:color="000000"/>
              <w:left w:val="nil"/>
              <w:bottom w:val="single" w:sz="4" w:space="0" w:color="000000"/>
              <w:right w:val="nil"/>
            </w:tcBorders>
            <w:vAlign w:val="center"/>
          </w:tcPr>
          <w:p w14:paraId="04036FAD" w14:textId="70D131B6" w:rsidR="005B2565" w:rsidRPr="000F7C48" w:rsidRDefault="005B2565" w:rsidP="009F3FD9">
            <w:pPr>
              <w:keepNext/>
              <w:spacing w:line="240" w:lineRule="auto"/>
              <w:jc w:val="center"/>
            </w:pPr>
            <w:r>
              <w:t>[Vm20, Vm10,</w:t>
            </w:r>
            <w:r w:rsidR="00CB1946">
              <w:t xml:space="preserve"> </w:t>
            </w:r>
            <w:r w:rsidR="00CB1946" w:rsidRPr="00F671D6">
              <w:rPr>
                <w:b/>
                <w:bCs/>
              </w:rPr>
              <w:t>BL</w:t>
            </w:r>
            <w:r w:rsidR="00CB1946">
              <w:t>,</w:t>
            </w:r>
            <w:r w:rsidR="00D44395">
              <w:br/>
            </w:r>
            <w:r>
              <w:t xml:space="preserve"> Vp10, Vp20]</w:t>
            </w:r>
          </w:p>
        </w:tc>
      </w:tr>
      <w:tr w:rsidR="00030755" w14:paraId="7987B7C5" w14:textId="45DB42F6"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2BE4ECCF" w14:textId="1EC92C88" w:rsidR="005B2565" w:rsidRPr="000F7C48" w:rsidRDefault="005B2565" w:rsidP="009F3FD9">
            <w:pPr>
              <w:keepNext/>
              <w:spacing w:line="240" w:lineRule="auto"/>
              <w:jc w:val="center"/>
            </w:pPr>
            <m:oMathPara>
              <m:oMath>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oMath>
            </m:oMathPara>
          </w:p>
        </w:tc>
        <w:tc>
          <w:tcPr>
            <w:tcW w:w="3154" w:type="dxa"/>
            <w:tcBorders>
              <w:top w:val="single" w:sz="4" w:space="0" w:color="000000"/>
              <w:left w:val="nil"/>
              <w:bottom w:val="single" w:sz="4" w:space="0" w:color="000000"/>
              <w:right w:val="nil"/>
            </w:tcBorders>
            <w:vAlign w:val="center"/>
          </w:tcPr>
          <w:p w14:paraId="4AEE3B60" w14:textId="4C76E6BF" w:rsidR="005B2565" w:rsidRPr="000F7C48" w:rsidRDefault="005B2565" w:rsidP="00F172F3">
            <w:pPr>
              <w:keepNext/>
              <w:spacing w:line="240" w:lineRule="auto"/>
              <w:jc w:val="left"/>
            </w:pPr>
            <w:r>
              <w:t>Steeper and Shallower with fixed dose that elicits annoyance 50% of the time for the average participant</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85D80F8" w14:textId="5B13CBD1" w:rsidR="005B2565" w:rsidRPr="000F7C48" w:rsidRDefault="004C78C6" w:rsidP="009F3FD9">
            <w:pPr>
              <w:keepNext/>
              <w:spacing w:line="240" w:lineRule="auto"/>
              <w:jc w:val="center"/>
            </w:pPr>
            <w:r>
              <w:noBreakHyphen/>
              <w:t xml:space="preserve"> </w:t>
            </w:r>
            <w:r w:rsidR="005B2565">
              <w:t>[</w:t>
            </w:r>
            <w:r>
              <w:noBreakHyphen/>
            </w:r>
            <w:r w:rsidR="005B2565">
              <w:t xml:space="preserve">22.8/0.1836, </w:t>
            </w:r>
            <w:r>
              <w:noBreakHyphen/>
            </w:r>
            <w:r w:rsidR="005B2565">
              <w:t xml:space="preserve">20.9/0.1683, </w:t>
            </w:r>
            <w:r w:rsidR="00D44395">
              <w:br/>
            </w:r>
            <w:r w:rsidR="008E0A66" w:rsidRPr="008E0A66">
              <w:rPr>
                <w:b/>
                <w:bCs/>
              </w:rPr>
              <w:t>-19/0.153</w:t>
            </w:r>
            <w:r w:rsidR="008E0A66">
              <w:t>,</w:t>
            </w:r>
            <w:r w:rsidR="00F429AA">
              <w:br/>
            </w:r>
            <w:r>
              <w:noBreakHyphen/>
            </w:r>
            <w:r w:rsidR="005B2565">
              <w:t xml:space="preserve">17.1/0.1377, </w:t>
            </w:r>
            <w:r w:rsidR="00F429AA">
              <w:br/>
            </w:r>
            <w:r w:rsidR="0076496F">
              <w:noBreakHyphen/>
            </w:r>
            <w:r w:rsidR="005B2565">
              <w:t>15.2/0.1224] = 124.2 dB</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6294D50" w14:textId="5A0709E7" w:rsidR="005B2565" w:rsidRPr="000F7C48" w:rsidRDefault="005B2565" w:rsidP="009F3FD9">
            <w:pPr>
              <w:keepNext/>
              <w:spacing w:line="240" w:lineRule="auto"/>
              <w:jc w:val="center"/>
            </w:pPr>
            <w:proofErr w:type="gramStart"/>
            <w:r>
              <w:t>-[</w:t>
            </w:r>
            <w:proofErr w:type="gramEnd"/>
            <w:r>
              <w:t>-12.36/0.1308, -11.33/0.1199,</w:t>
            </w:r>
            <w:r w:rsidR="00D44395">
              <w:br/>
            </w:r>
            <w:r w:rsidR="008E0A66" w:rsidRPr="008E0A66">
              <w:rPr>
                <w:b/>
                <w:bCs/>
              </w:rPr>
              <w:t>-10.3/0.109</w:t>
            </w:r>
            <w:r w:rsidR="008E0A66">
              <w:t>,</w:t>
            </w:r>
            <w:r>
              <w:t xml:space="preserve"> </w:t>
            </w:r>
            <w:r w:rsidR="00087FE5">
              <w:br/>
            </w:r>
            <w:r>
              <w:t xml:space="preserve">-9.27/0.0981, </w:t>
            </w:r>
            <w:r w:rsidR="00087FE5">
              <w:br/>
            </w:r>
            <w:r>
              <w:t>-8.24/0.0872] = 94.5 dB</w:t>
            </w:r>
          </w:p>
        </w:tc>
        <w:tc>
          <w:tcPr>
            <w:tcW w:w="1786" w:type="dxa"/>
            <w:tcBorders>
              <w:top w:val="single" w:sz="4" w:space="0" w:color="000000"/>
              <w:left w:val="nil"/>
              <w:bottom w:val="single" w:sz="4" w:space="0" w:color="000000"/>
              <w:right w:val="nil"/>
            </w:tcBorders>
            <w:vAlign w:val="center"/>
          </w:tcPr>
          <w:p w14:paraId="3140F0F9" w14:textId="3A42FBF3" w:rsidR="005B2565" w:rsidRDefault="005B2565" w:rsidP="009F3FD9">
            <w:pPr>
              <w:keepNext/>
              <w:spacing w:line="240" w:lineRule="auto"/>
              <w:jc w:val="center"/>
            </w:pPr>
            <w:r>
              <w:t xml:space="preserve">[FSt20, </w:t>
            </w:r>
            <w:r w:rsidR="001D24DF">
              <w:br/>
            </w:r>
            <w:r>
              <w:t xml:space="preserve">FSt10, </w:t>
            </w:r>
            <w:r w:rsidR="001D24DF">
              <w:br/>
            </w:r>
            <w:r w:rsidR="00CB1946" w:rsidRPr="00F671D6">
              <w:rPr>
                <w:b/>
                <w:bCs/>
              </w:rPr>
              <w:t>BL</w:t>
            </w:r>
            <w:r w:rsidR="00CB1946">
              <w:t xml:space="preserve">, </w:t>
            </w:r>
            <w:r w:rsidR="00D44395">
              <w:br/>
            </w:r>
            <w:r>
              <w:t xml:space="preserve">FSh10, </w:t>
            </w:r>
            <w:r w:rsidR="001D24DF">
              <w:br/>
            </w:r>
            <w:r>
              <w:t>FSh</w:t>
            </w:r>
            <w:proofErr w:type="gramStart"/>
            <w:r>
              <w:t>20]</w:t>
            </w:r>
            <w:r w:rsidR="00A44EE0">
              <w:t>=</w:t>
            </w:r>
            <w:proofErr w:type="gramEnd"/>
          </w:p>
          <w:p w14:paraId="07A4BB1A" w14:textId="42234103" w:rsidR="00A44EE0" w:rsidRPr="00A44EE0" w:rsidRDefault="00A44EE0" w:rsidP="009F3FD9">
            <w:pPr>
              <w:keepNext/>
              <w:spacing w:line="240" w:lineRule="auto"/>
              <w:jc w:val="center"/>
              <w:rPr>
                <w:b/>
                <w:bCs/>
              </w:rPr>
            </w:pPr>
            <w:r w:rsidRPr="00A44EE0">
              <w:rPr>
                <w:b/>
                <w:bCs/>
              </w:rPr>
              <w:t>BL</w:t>
            </w:r>
          </w:p>
        </w:tc>
      </w:tr>
      <w:tr w:rsidR="00030755" w14:paraId="3EEC169F" w14:textId="64DE7466"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66A20C3B" w14:textId="55D34B99" w:rsidR="005B2565" w:rsidRPr="000F7C48" w:rsidRDefault="00214826" w:rsidP="009F3FD9">
            <w:pPr>
              <w:keepNext/>
              <w:spacing w:line="240" w:lineRule="auto"/>
              <w:jc w:val="center"/>
            </w:pPr>
            <m:oMathPara>
              <m:oMath>
                <m:r>
                  <w:rPr>
                    <w:rFonts w:ascii="Cambria Math" w:hAnsi="Cambria Math"/>
                  </w:rPr>
                  <m:t>W</m:t>
                </m:r>
              </m:oMath>
            </m:oMathPara>
          </w:p>
        </w:tc>
        <w:tc>
          <w:tcPr>
            <w:tcW w:w="3154" w:type="dxa"/>
            <w:tcBorders>
              <w:top w:val="single" w:sz="4" w:space="0" w:color="000000"/>
              <w:left w:val="nil"/>
              <w:bottom w:val="single" w:sz="4" w:space="0" w:color="000000"/>
              <w:right w:val="nil"/>
            </w:tcBorders>
            <w:vAlign w:val="center"/>
          </w:tcPr>
          <w:p w14:paraId="18EB8C98" w14:textId="2F2FE60F" w:rsidR="005B2565" w:rsidRPr="000F7C48" w:rsidRDefault="005B2565" w:rsidP="00F172F3">
            <w:pPr>
              <w:keepNext/>
              <w:spacing w:line="240" w:lineRule="auto"/>
              <w:jc w:val="left"/>
            </w:pPr>
            <w:r>
              <w:t xml:space="preserve">Withdraw </w:t>
            </w:r>
            <w:r w:rsidR="00EE459E">
              <w:br/>
            </w:r>
            <w:r>
              <w:t>Rate (%)</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71BC2373" w14:textId="3ACFF48C" w:rsidR="005B2565" w:rsidRPr="000F7C48" w:rsidRDefault="005B2565" w:rsidP="009F3FD9">
            <w:pPr>
              <w:keepNext/>
              <w:spacing w:line="240" w:lineRule="auto"/>
              <w:jc w:val="center"/>
            </w:pPr>
            <w:r>
              <w:t xml:space="preserve">[20.64, 23.22, </w:t>
            </w:r>
            <w:r w:rsidR="00D44395">
              <w:br/>
            </w:r>
            <w:r w:rsidR="00F61D55" w:rsidRPr="00F61D55">
              <w:rPr>
                <w:b/>
                <w:bCs/>
              </w:rPr>
              <w:t>25.8</w:t>
            </w:r>
            <w:r w:rsidR="00F61D55">
              <w:t>,</w:t>
            </w:r>
            <w:r w:rsidR="00D44395">
              <w:br/>
            </w:r>
            <w:r>
              <w:t>28.38, 30.96]</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59A8E1D2" w14:textId="07EC30CE" w:rsidR="005B2565" w:rsidRPr="000F7C48" w:rsidRDefault="005B2565" w:rsidP="009F3FD9">
            <w:pPr>
              <w:keepNext/>
              <w:spacing w:line="240" w:lineRule="auto"/>
              <w:jc w:val="center"/>
            </w:pPr>
            <w:r>
              <w:t xml:space="preserve">[12.00, 13.50, </w:t>
            </w:r>
            <w:r w:rsidR="00D44395">
              <w:br/>
            </w:r>
            <w:r w:rsidR="00F61D55" w:rsidRPr="00F61D55">
              <w:rPr>
                <w:b/>
                <w:bCs/>
              </w:rPr>
              <w:t>15</w:t>
            </w:r>
            <w:r w:rsidR="00F61D55">
              <w:t>,</w:t>
            </w:r>
            <w:r w:rsidR="00D44395">
              <w:br/>
            </w:r>
            <w:r>
              <w:t>16.50, 18.00]</w:t>
            </w:r>
          </w:p>
        </w:tc>
        <w:tc>
          <w:tcPr>
            <w:tcW w:w="1786" w:type="dxa"/>
            <w:tcBorders>
              <w:top w:val="single" w:sz="4" w:space="0" w:color="000000"/>
              <w:left w:val="nil"/>
              <w:bottom w:val="single" w:sz="4" w:space="0" w:color="000000"/>
              <w:right w:val="nil"/>
            </w:tcBorders>
            <w:vAlign w:val="center"/>
          </w:tcPr>
          <w:p w14:paraId="4960AD7D" w14:textId="0660A634" w:rsidR="009B340A" w:rsidRDefault="005B2565" w:rsidP="009F3FD9">
            <w:pPr>
              <w:keepNext/>
              <w:spacing w:line="240" w:lineRule="auto"/>
              <w:jc w:val="center"/>
            </w:pPr>
            <w:r>
              <w:t>[Wm20,</w:t>
            </w:r>
            <w:r w:rsidR="00441809">
              <w:t xml:space="preserve"> </w:t>
            </w:r>
            <w:r>
              <w:t>Wm10,</w:t>
            </w:r>
            <w:r w:rsidR="00CB1946">
              <w:t xml:space="preserve"> </w:t>
            </w:r>
          </w:p>
          <w:p w14:paraId="45245AAD" w14:textId="673A34FC" w:rsidR="005B2565" w:rsidRPr="000F7C48" w:rsidRDefault="00CB1946" w:rsidP="009F3FD9">
            <w:pPr>
              <w:keepNext/>
              <w:spacing w:line="240" w:lineRule="auto"/>
              <w:jc w:val="center"/>
            </w:pPr>
            <w:r w:rsidRPr="00F671D6">
              <w:rPr>
                <w:b/>
                <w:bCs/>
              </w:rPr>
              <w:t>BL</w:t>
            </w:r>
            <w:r>
              <w:t>,</w:t>
            </w:r>
            <w:r w:rsidR="005B2565">
              <w:t xml:space="preserve"> </w:t>
            </w:r>
            <w:r w:rsidR="00D44395">
              <w:br/>
            </w:r>
            <w:r w:rsidR="005B2565">
              <w:t>Wp10, Wp20]</w:t>
            </w:r>
          </w:p>
        </w:tc>
      </w:tr>
      <w:tr w:rsidR="00030755" w14:paraId="1C972789" w14:textId="18B73B9B"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22CA9BB" w14:textId="4E8FCA79" w:rsidR="005B2565" w:rsidRPr="000F7C48" w:rsidRDefault="00214826" w:rsidP="009F3FD9">
            <w:pPr>
              <w:keepNext/>
              <w:spacing w:line="240" w:lineRule="auto"/>
              <w:jc w:val="center"/>
            </w:pPr>
            <m:oMathPara>
              <m:oMath>
                <m:r>
                  <w:rPr>
                    <w:rFonts w:ascii="Cambria Math" w:hAnsi="Cambria Math"/>
                  </w:rPr>
                  <m:t>P</m:t>
                </m:r>
              </m:oMath>
            </m:oMathPara>
          </w:p>
        </w:tc>
        <w:tc>
          <w:tcPr>
            <w:tcW w:w="3154" w:type="dxa"/>
            <w:tcBorders>
              <w:top w:val="single" w:sz="4" w:space="0" w:color="000000"/>
              <w:left w:val="nil"/>
              <w:bottom w:val="single" w:sz="4" w:space="0" w:color="000000"/>
              <w:right w:val="nil"/>
            </w:tcBorders>
            <w:vAlign w:val="center"/>
          </w:tcPr>
          <w:p w14:paraId="4BCBAF4A" w14:textId="5B9991A2" w:rsidR="005B2565" w:rsidRPr="000F7C48" w:rsidRDefault="00214826" w:rsidP="00F172F3">
            <w:pPr>
              <w:keepNext/>
              <w:spacing w:line="240" w:lineRule="auto"/>
              <w:jc w:val="left"/>
            </w:pPr>
            <w:r>
              <w:t>Participation</w:t>
            </w:r>
            <w:r w:rsidR="005B2565">
              <w:t xml:space="preserve"> </w:t>
            </w:r>
            <w:r w:rsidR="00EE459E">
              <w:br/>
            </w:r>
            <w:r w:rsidR="005B2565">
              <w:t>Rate (%)</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67827DB" w14:textId="3836A708" w:rsidR="005B2565" w:rsidRPr="000F7C48" w:rsidRDefault="005B2565" w:rsidP="009F3FD9">
            <w:pPr>
              <w:keepNext/>
              <w:spacing w:line="240" w:lineRule="auto"/>
              <w:jc w:val="center"/>
            </w:pPr>
            <w:r>
              <w:t>[37.52, 42.21,</w:t>
            </w:r>
            <w:r w:rsidR="00D44395">
              <w:br/>
            </w:r>
            <w:r w:rsidR="00F61D55" w:rsidRPr="00F61D55">
              <w:rPr>
                <w:b/>
                <w:bCs/>
              </w:rPr>
              <w:t>46.9</w:t>
            </w:r>
            <w:r w:rsidR="00F61D55" w:rsidRPr="00F61D55">
              <w:t>,</w:t>
            </w:r>
            <w:r w:rsidR="00D44395">
              <w:br/>
            </w:r>
            <w:r>
              <w:t xml:space="preserve"> 51.59, 56.28]</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4A9DA386" w14:textId="47FABC7F" w:rsidR="005B2565" w:rsidRPr="000F7C48" w:rsidRDefault="005B2565" w:rsidP="009F3FD9">
            <w:pPr>
              <w:keepNext/>
              <w:spacing w:line="240" w:lineRule="auto"/>
              <w:jc w:val="center"/>
            </w:pPr>
            <w:r>
              <w:t xml:space="preserve">[52.93, 59.54, </w:t>
            </w:r>
            <w:r w:rsidR="00D44395">
              <w:br/>
            </w:r>
            <w:r w:rsidR="00C07576" w:rsidRPr="00C07576">
              <w:rPr>
                <w:b/>
                <w:bCs/>
              </w:rPr>
              <w:t>66.16</w:t>
            </w:r>
            <w:r w:rsidR="00C07576">
              <w:t>,</w:t>
            </w:r>
            <w:r w:rsidR="00D44395">
              <w:br/>
            </w:r>
            <w:r>
              <w:t>72.78, 79.39]</w:t>
            </w:r>
          </w:p>
        </w:tc>
        <w:tc>
          <w:tcPr>
            <w:tcW w:w="1786" w:type="dxa"/>
            <w:tcBorders>
              <w:top w:val="single" w:sz="4" w:space="0" w:color="000000"/>
              <w:left w:val="nil"/>
              <w:bottom w:val="single" w:sz="4" w:space="0" w:color="000000"/>
              <w:right w:val="nil"/>
            </w:tcBorders>
            <w:vAlign w:val="center"/>
          </w:tcPr>
          <w:p w14:paraId="47B60165" w14:textId="77777777" w:rsidR="009B340A" w:rsidRDefault="005B2565" w:rsidP="009F3FD9">
            <w:pPr>
              <w:keepNext/>
              <w:spacing w:line="240" w:lineRule="auto"/>
              <w:jc w:val="center"/>
            </w:pPr>
            <w:r>
              <w:t xml:space="preserve">[Rm20, Rm10, </w:t>
            </w:r>
          </w:p>
          <w:p w14:paraId="48766C12" w14:textId="0E7F60EC" w:rsidR="005B2565" w:rsidRPr="000F7C48" w:rsidRDefault="00CB1946" w:rsidP="009F3FD9">
            <w:pPr>
              <w:keepNext/>
              <w:spacing w:line="240" w:lineRule="auto"/>
              <w:jc w:val="center"/>
            </w:pPr>
            <w:r w:rsidRPr="00F671D6">
              <w:rPr>
                <w:b/>
                <w:bCs/>
              </w:rPr>
              <w:t>BL</w:t>
            </w:r>
            <w:r>
              <w:t xml:space="preserve">, </w:t>
            </w:r>
            <w:r w:rsidR="00D44395">
              <w:br/>
            </w:r>
            <w:r w:rsidR="005B2565">
              <w:t>Rp10, Rp20]</w:t>
            </w:r>
          </w:p>
        </w:tc>
      </w:tr>
      <w:tr w:rsidR="00030755" w14:paraId="13D87140" w14:textId="3F74FCE5"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6DD4717B" w14:textId="26E971B5" w:rsidR="005B2565" w:rsidRPr="000F7C48" w:rsidRDefault="00AE0385" w:rsidP="009F3FD9">
            <w:pPr>
              <w:keepNext/>
              <w:spacing w:line="240" w:lineRule="auto"/>
              <w:jc w:val="center"/>
            </w:pPr>
            <m:oMathPara>
              <m:oMath>
                <m:sSub>
                  <m:sSubPr>
                    <m:ctrlPr>
                      <w:rPr>
                        <w:rFonts w:ascii="Cambria Math" w:hAnsi="Cambria Math"/>
                        <w:i/>
                      </w:rPr>
                    </m:ctrlPr>
                  </m:sSubPr>
                  <m:e>
                    <m:r>
                      <w:rPr>
                        <w:rFonts w:ascii="Cambria Math" w:hAnsi="Cambria Math"/>
                      </w:rPr>
                      <m:t>σ</m:t>
                    </m:r>
                  </m:e>
                  <m:sub>
                    <m:r>
                      <w:rPr>
                        <w:rFonts w:ascii="Cambria Math" w:hAnsi="Cambria Math"/>
                      </w:rPr>
                      <m:t>D</m:t>
                    </m:r>
                  </m:sub>
                </m:sSub>
              </m:oMath>
            </m:oMathPara>
          </w:p>
        </w:tc>
        <w:tc>
          <w:tcPr>
            <w:tcW w:w="3154" w:type="dxa"/>
            <w:tcBorders>
              <w:top w:val="single" w:sz="4" w:space="0" w:color="000000"/>
              <w:left w:val="nil"/>
              <w:bottom w:val="single" w:sz="4" w:space="0" w:color="000000"/>
              <w:right w:val="nil"/>
            </w:tcBorders>
            <w:vAlign w:val="center"/>
          </w:tcPr>
          <w:p w14:paraId="07CF4951" w14:textId="390A2987" w:rsidR="005B2565" w:rsidRPr="000F7C48" w:rsidRDefault="005B2565" w:rsidP="00F172F3">
            <w:pPr>
              <w:keepNext/>
              <w:spacing w:line="240" w:lineRule="auto"/>
              <w:jc w:val="left"/>
            </w:pPr>
            <w:r>
              <w:t>Dose Error Standard</w:t>
            </w:r>
            <w:r w:rsidR="0030750C">
              <w:t xml:space="preserve"> </w:t>
            </w:r>
            <w:r>
              <w:t>Deviation (dB)</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A127D2A" w14:textId="2A9FBBB4" w:rsidR="005B2565" w:rsidRPr="000F7C48" w:rsidRDefault="005B2565" w:rsidP="009F3FD9">
            <w:pPr>
              <w:keepNext/>
              <w:spacing w:line="240" w:lineRule="auto"/>
              <w:jc w:val="center"/>
            </w:pPr>
            <w:r>
              <w:t xml:space="preserve">[0, 2, </w:t>
            </w:r>
            <w:proofErr w:type="gramStart"/>
            <w:r>
              <w:t>4]</w:t>
            </w:r>
            <w:r w:rsidR="00195CE9" w:rsidRPr="00F671D6">
              <w:rPr>
                <w:vertAlign w:val="superscript"/>
              </w:rPr>
              <w:t>*</w:t>
            </w:r>
            <w:proofErr w:type="gramEnd"/>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25862F1" w14:textId="4CF0B3D8" w:rsidR="005B2565" w:rsidRPr="000F7C48" w:rsidRDefault="005B2565" w:rsidP="009F3FD9">
            <w:pPr>
              <w:keepNext/>
              <w:spacing w:line="240" w:lineRule="auto"/>
              <w:jc w:val="center"/>
            </w:pPr>
            <w:r>
              <w:t xml:space="preserve">[0, 2, </w:t>
            </w:r>
            <w:proofErr w:type="gramStart"/>
            <w:r>
              <w:t>4]</w:t>
            </w:r>
            <w:r w:rsidR="00195CE9" w:rsidRPr="00F671D6">
              <w:rPr>
                <w:vertAlign w:val="superscript"/>
              </w:rPr>
              <w:t>*</w:t>
            </w:r>
            <w:proofErr w:type="gramEnd"/>
          </w:p>
        </w:tc>
        <w:tc>
          <w:tcPr>
            <w:tcW w:w="1786" w:type="dxa"/>
            <w:tcBorders>
              <w:top w:val="single" w:sz="4" w:space="0" w:color="000000"/>
              <w:left w:val="nil"/>
              <w:bottom w:val="single" w:sz="4" w:space="0" w:color="000000"/>
              <w:right w:val="nil"/>
            </w:tcBorders>
            <w:vAlign w:val="center"/>
          </w:tcPr>
          <w:p w14:paraId="0616A414" w14:textId="31CB2B0F" w:rsidR="005B2565" w:rsidRPr="000F7C48" w:rsidRDefault="005B2565" w:rsidP="009F3FD9">
            <w:pPr>
              <w:keepNext/>
              <w:spacing w:line="240" w:lineRule="auto"/>
              <w:jc w:val="center"/>
            </w:pPr>
            <w:r>
              <w:t>-</w:t>
            </w:r>
          </w:p>
        </w:tc>
      </w:tr>
      <w:tr w:rsidR="00030755" w14:paraId="580D306B" w14:textId="2CC9CB75"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717D527B" w14:textId="093A0BB2" w:rsidR="005B2565" w:rsidRPr="000F7C48" w:rsidRDefault="00AE0385" w:rsidP="009F3FD9">
            <w:pPr>
              <w:keepNext/>
              <w:spacing w:line="240" w:lineRule="auto"/>
              <w:jc w:val="center"/>
            </w:pPr>
            <m:oMathPara>
              <m:oMath>
                <m:sSub>
                  <m:sSubPr>
                    <m:ctrlPr>
                      <w:rPr>
                        <w:rFonts w:ascii="Cambria Math" w:hAnsi="Cambria Math"/>
                        <w:i/>
                      </w:rPr>
                    </m:ctrlPr>
                  </m:sSubPr>
                  <m:e>
                    <m:r>
                      <w:rPr>
                        <w:rFonts w:ascii="Cambria Math" w:hAnsi="Cambria Math"/>
                      </w:rPr>
                      <m:t>N</m:t>
                    </m:r>
                  </m:e>
                  <m:sub>
                    <m:r>
                      <w:rPr>
                        <w:rFonts w:ascii="Cambria Math" w:hAnsi="Cambria Math"/>
                      </w:rPr>
                      <m:t>P</m:t>
                    </m:r>
                  </m:sub>
                </m:sSub>
              </m:oMath>
            </m:oMathPara>
          </w:p>
        </w:tc>
        <w:tc>
          <w:tcPr>
            <w:tcW w:w="3154" w:type="dxa"/>
            <w:tcBorders>
              <w:top w:val="single" w:sz="4" w:space="0" w:color="000000"/>
              <w:left w:val="nil"/>
              <w:bottom w:val="single" w:sz="4" w:space="0" w:color="000000"/>
              <w:right w:val="nil"/>
            </w:tcBorders>
            <w:vAlign w:val="center"/>
          </w:tcPr>
          <w:p w14:paraId="1426AEE0" w14:textId="1E8A9D52" w:rsidR="005B2565" w:rsidRPr="000F7C48" w:rsidRDefault="005B2565" w:rsidP="00F172F3">
            <w:pPr>
              <w:keepNext/>
              <w:spacing w:line="240" w:lineRule="auto"/>
              <w:jc w:val="left"/>
            </w:pPr>
            <w:r>
              <w:t>Target Number of</w:t>
            </w:r>
            <w:r w:rsidR="00831733">
              <w:t xml:space="preserve"> </w:t>
            </w:r>
            <w:r>
              <w:t>Participants</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6FD22C4C" w14:textId="43471705" w:rsidR="005B2565" w:rsidRPr="000F7C48" w:rsidRDefault="005B2565" w:rsidP="009F3FD9">
            <w:pPr>
              <w:keepNext/>
              <w:spacing w:line="240" w:lineRule="auto"/>
              <w:jc w:val="center"/>
            </w:pPr>
            <w:r>
              <w:t xml:space="preserve">[500, </w:t>
            </w:r>
            <w:proofErr w:type="gramStart"/>
            <w:r>
              <w:t>2500]</w:t>
            </w:r>
            <w:r w:rsidR="00195CE9" w:rsidRPr="00485FF5">
              <w:rPr>
                <w:rFonts w:cs="Times New Roman"/>
                <w:vertAlign w:val="superscript"/>
              </w:rPr>
              <w:t>†</w:t>
            </w:r>
            <w:proofErr w:type="gramEnd"/>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6CFA43F0" w14:textId="1B6F6A0A" w:rsidR="005B2565" w:rsidRPr="00485FF5" w:rsidRDefault="005B2565" w:rsidP="009F3FD9">
            <w:pPr>
              <w:keepNext/>
              <w:spacing w:line="240" w:lineRule="auto"/>
              <w:jc w:val="center"/>
              <w:rPr>
                <w:vertAlign w:val="superscript"/>
              </w:rPr>
            </w:pPr>
            <w:r>
              <w:t xml:space="preserve">[500, </w:t>
            </w:r>
            <w:proofErr w:type="gramStart"/>
            <w:r>
              <w:t>2500]</w:t>
            </w:r>
            <w:r w:rsidR="00485FF5" w:rsidRPr="00485FF5">
              <w:rPr>
                <w:rFonts w:cs="Times New Roman"/>
                <w:vertAlign w:val="superscript"/>
              </w:rPr>
              <w:t>†</w:t>
            </w:r>
            <w:proofErr w:type="gramEnd"/>
          </w:p>
        </w:tc>
        <w:tc>
          <w:tcPr>
            <w:tcW w:w="1786" w:type="dxa"/>
            <w:tcBorders>
              <w:top w:val="single" w:sz="4" w:space="0" w:color="000000"/>
              <w:left w:val="nil"/>
              <w:bottom w:val="single" w:sz="4" w:space="0" w:color="000000"/>
              <w:right w:val="nil"/>
            </w:tcBorders>
            <w:vAlign w:val="center"/>
          </w:tcPr>
          <w:p w14:paraId="548F1BDF" w14:textId="5A3FBBF5" w:rsidR="005B2565" w:rsidRPr="000F7C48" w:rsidRDefault="005B2565" w:rsidP="009F3FD9">
            <w:pPr>
              <w:keepNext/>
              <w:spacing w:line="240" w:lineRule="auto"/>
              <w:jc w:val="center"/>
            </w:pPr>
            <w:r>
              <w:t>-</w:t>
            </w:r>
          </w:p>
        </w:tc>
      </w:tr>
      <w:tr w:rsidR="00030755" w14:paraId="64375704" w14:textId="79CAC384" w:rsidTr="00892E8A">
        <w:trPr>
          <w:cantSplit/>
          <w:trHeight w:val="151"/>
        </w:trPr>
        <w:tc>
          <w:tcPr>
            <w:tcW w:w="1253"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D0757CF" w14:textId="1C2AA8D5" w:rsidR="005B2565" w:rsidRPr="000F7C48" w:rsidRDefault="005B2565" w:rsidP="009F3FD9">
            <w:pPr>
              <w:keepNext/>
              <w:spacing w:line="240" w:lineRule="auto"/>
              <w:jc w:val="center"/>
            </w:pPr>
            <m:oMathPara>
              <m:oMath>
                <m:r>
                  <w:rPr>
                    <w:rFonts w:ascii="Cambria Math" w:hAnsi="Cambria Math"/>
                  </w:rPr>
                  <m:t>R</m:t>
                </m:r>
              </m:oMath>
            </m:oMathPara>
          </w:p>
        </w:tc>
        <w:tc>
          <w:tcPr>
            <w:tcW w:w="3154" w:type="dxa"/>
            <w:tcBorders>
              <w:top w:val="single" w:sz="4" w:space="0" w:color="000000"/>
              <w:left w:val="nil"/>
              <w:bottom w:val="single" w:sz="4" w:space="0" w:color="000000"/>
              <w:right w:val="nil"/>
            </w:tcBorders>
            <w:vAlign w:val="center"/>
          </w:tcPr>
          <w:p w14:paraId="41039995" w14:textId="18D311E6" w:rsidR="005B2565" w:rsidRPr="000F7C48" w:rsidRDefault="005B2565" w:rsidP="00F172F3">
            <w:pPr>
              <w:keepNext/>
              <w:spacing w:line="240" w:lineRule="auto"/>
              <w:jc w:val="left"/>
            </w:pPr>
            <w:r>
              <w:t>Replicates</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6DC058FE" w14:textId="19885D7E" w:rsidR="005B2565" w:rsidRPr="000F7C48" w:rsidRDefault="005B2565" w:rsidP="009F3FD9">
            <w:pPr>
              <w:keepNext/>
              <w:spacing w:line="240" w:lineRule="auto"/>
              <w:jc w:val="center"/>
            </w:pPr>
            <w:r>
              <w:t>30</w:t>
            </w:r>
          </w:p>
        </w:tc>
        <w:tc>
          <w:tcPr>
            <w:tcW w:w="1742" w:type="dxa"/>
            <w:tcBorders>
              <w:top w:val="single" w:sz="4" w:space="0" w:color="000000"/>
              <w:left w:val="nil"/>
              <w:bottom w:val="single" w:sz="4" w:space="0" w:color="000000"/>
              <w:right w:val="nil"/>
            </w:tcBorders>
            <w:shd w:val="clear" w:color="auto" w:fill="auto"/>
            <w:tcMar>
              <w:top w:w="28" w:type="dxa"/>
              <w:left w:w="80" w:type="dxa"/>
              <w:bottom w:w="28" w:type="dxa"/>
              <w:right w:w="80" w:type="dxa"/>
            </w:tcMar>
            <w:vAlign w:val="center"/>
          </w:tcPr>
          <w:p w14:paraId="0722FC57" w14:textId="4261A3AC" w:rsidR="005B2565" w:rsidRPr="000F7C48" w:rsidRDefault="005B2565" w:rsidP="009F3FD9">
            <w:pPr>
              <w:keepNext/>
              <w:spacing w:line="240" w:lineRule="auto"/>
              <w:jc w:val="center"/>
            </w:pPr>
            <w:r>
              <w:t>30</w:t>
            </w:r>
          </w:p>
        </w:tc>
        <w:tc>
          <w:tcPr>
            <w:tcW w:w="1786" w:type="dxa"/>
            <w:tcBorders>
              <w:top w:val="single" w:sz="4" w:space="0" w:color="000000"/>
              <w:left w:val="nil"/>
              <w:bottom w:val="single" w:sz="4" w:space="0" w:color="000000"/>
              <w:right w:val="nil"/>
            </w:tcBorders>
            <w:vAlign w:val="center"/>
          </w:tcPr>
          <w:p w14:paraId="72BB859A" w14:textId="5A1A9A37" w:rsidR="005B2565" w:rsidRPr="000F7C48" w:rsidRDefault="005B2565" w:rsidP="009F3FD9">
            <w:pPr>
              <w:keepNext/>
              <w:spacing w:line="240" w:lineRule="auto"/>
              <w:jc w:val="center"/>
            </w:pPr>
            <w:r>
              <w:t>-</w:t>
            </w:r>
          </w:p>
        </w:tc>
      </w:tr>
    </w:tbl>
    <w:p w14:paraId="7D62BA0B" w14:textId="3135B6C3" w:rsidR="00A00895" w:rsidRDefault="00953656" w:rsidP="004E4A64">
      <w:pPr>
        <w:pStyle w:val="test2"/>
      </w:pPr>
      <w:r w:rsidRPr="00953656">
        <w:rPr>
          <w:vertAlign w:val="superscript"/>
        </w:rPr>
        <w:t>*</w:t>
      </w:r>
      <w:r w:rsidR="007143D6">
        <w:t xml:space="preserve">The baseline simulations also included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007143D6">
        <w:t xml:space="preserve"> of 6 and 8 dB.</w:t>
      </w:r>
    </w:p>
    <w:p w14:paraId="66934E43" w14:textId="326B531C" w:rsidR="00442C14" w:rsidRDefault="007143D6" w:rsidP="004E4A64">
      <w:pPr>
        <w:pStyle w:val="test2"/>
      </w:pPr>
      <w:r w:rsidRPr="00485FF5">
        <w:rPr>
          <w:rFonts w:cs="Times New Roman"/>
          <w:vertAlign w:val="superscript"/>
        </w:rPr>
        <w:t>†</w:t>
      </w:r>
      <w:r>
        <w:rPr>
          <w:rFonts w:cs="Times New Roman"/>
        </w:rPr>
        <w:t>The baseline simulations also included 50, 3000, 5000, 7500, and 10000 participants</w:t>
      </w:r>
    </w:p>
    <w:p w14:paraId="22139EC4" w14:textId="77777777" w:rsidR="00C363C4" w:rsidRDefault="00C363C4" w:rsidP="00C363C4">
      <w:pPr>
        <w:pStyle w:val="test2"/>
      </w:pPr>
    </w:p>
    <w:p w14:paraId="65BE78C0" w14:textId="77777777" w:rsidR="00C363C4" w:rsidRDefault="00C363C4" w:rsidP="00C363C4">
      <w:pPr>
        <w:tabs>
          <w:tab w:val="left" w:pos="9540"/>
          <w:tab w:val="right" w:pos="9632"/>
        </w:tabs>
        <w:jc w:val="left"/>
        <w:rPr>
          <w:noProof/>
        </w:rPr>
      </w:pPr>
      <w:r>
        <w:rPr>
          <w:noProof/>
        </w:rPr>
        <w:drawing>
          <wp:anchor distT="0" distB="0" distL="114300" distR="114300" simplePos="0" relativeHeight="251660288" behindDoc="0" locked="0" layoutInCell="1" allowOverlap="1" wp14:anchorId="35922D62" wp14:editId="43E3D734">
            <wp:simplePos x="0" y="0"/>
            <wp:positionH relativeFrom="column">
              <wp:posOffset>680438</wp:posOffset>
            </wp:positionH>
            <wp:positionV relativeFrom="paragraph">
              <wp:posOffset>6740</wp:posOffset>
            </wp:positionV>
            <wp:extent cx="604265" cy="2921635"/>
            <wp:effectExtent l="0" t="0" r="5715" b="0"/>
            <wp:wrapNone/>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96DAC541-7B7A-43D3-8B79-37D633B846F1}">
                          <asvg:svgBlip xmlns:asvg="http://schemas.microsoft.com/office/drawing/2016/SVG/main" r:embed="rId14"/>
                        </a:ext>
                      </a:extLst>
                    </a:blip>
                    <a:srcRect l="10434" r="68231"/>
                    <a:stretch/>
                  </pic:blipFill>
                  <pic:spPr bwMode="auto">
                    <a:xfrm>
                      <a:off x="0" y="0"/>
                      <a:ext cx="607954" cy="2939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6C3AE20" wp14:editId="6BFBB8FF">
            <wp:simplePos x="0" y="0"/>
            <wp:positionH relativeFrom="column">
              <wp:posOffset>630382</wp:posOffset>
            </wp:positionH>
            <wp:positionV relativeFrom="paragraph">
              <wp:posOffset>76200</wp:posOffset>
            </wp:positionV>
            <wp:extent cx="539115" cy="28606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5">
                      <a:extLst>
                        <a:ext uri="{96DAC541-7B7A-43D3-8B79-37D633B846F1}">
                          <asvg:svgBlip xmlns:asvg="http://schemas.microsoft.com/office/drawing/2016/SVG/main" r:embed="rId16"/>
                        </a:ext>
                      </a:extLst>
                    </a:blip>
                    <a:stretch>
                      <a:fillRect/>
                    </a:stretch>
                  </pic:blipFill>
                  <pic:spPr>
                    <a:xfrm>
                      <a:off x="0" y="0"/>
                      <a:ext cx="539115" cy="2860675"/>
                    </a:xfrm>
                    <a:prstGeom prst="rect">
                      <a:avLst/>
                    </a:prstGeom>
                  </pic:spPr>
                </pic:pic>
              </a:graphicData>
            </a:graphic>
            <wp14:sizeRelH relativeFrom="margin">
              <wp14:pctWidth>0</wp14:pctWidth>
            </wp14:sizeRelH>
            <wp14:sizeRelV relativeFrom="margin">
              <wp14:pctHeight>0</wp14:pctHeight>
            </wp14:sizeRelV>
          </wp:anchor>
        </w:drawing>
      </w:r>
      <w:r w:rsidRPr="00BB01A9">
        <w:rPr>
          <w:noProof/>
        </w:rPr>
        <w:drawing>
          <wp:inline distT="0" distB="0" distL="0" distR="0" wp14:anchorId="32F4F165" wp14:editId="79DD72C0">
            <wp:extent cx="2019957" cy="1517904"/>
            <wp:effectExtent l="0" t="0" r="0" b="635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019957" cy="1517904"/>
                    </a:xfrm>
                    <a:prstGeom prst="rect">
                      <a:avLst/>
                    </a:prstGeom>
                  </pic:spPr>
                </pic:pic>
              </a:graphicData>
            </a:graphic>
          </wp:inline>
        </w:drawing>
      </w:r>
      <w:r w:rsidRPr="00BB01A9">
        <w:rPr>
          <w:noProof/>
        </w:rPr>
        <w:drawing>
          <wp:inline distT="0" distB="0" distL="0" distR="0" wp14:anchorId="3F881F65" wp14:editId="6429320B">
            <wp:extent cx="2019957" cy="1517904"/>
            <wp:effectExtent l="0" t="0" r="0" b="635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019957" cy="1517904"/>
                    </a:xfrm>
                    <a:prstGeom prst="rect">
                      <a:avLst/>
                    </a:prstGeom>
                  </pic:spPr>
                </pic:pic>
              </a:graphicData>
            </a:graphic>
          </wp:inline>
        </w:drawing>
      </w:r>
      <w:r w:rsidRPr="009D5BBB">
        <w:rPr>
          <w:noProof/>
        </w:rPr>
        <w:drawing>
          <wp:inline distT="0" distB="0" distL="0" distR="0" wp14:anchorId="1B71AD5C" wp14:editId="73146255">
            <wp:extent cx="2019957" cy="1517904"/>
            <wp:effectExtent l="0" t="0" r="0" b="635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019957" cy="1517904"/>
                    </a:xfrm>
                    <a:prstGeom prst="rect">
                      <a:avLst/>
                    </a:prstGeom>
                  </pic:spPr>
                </pic:pic>
              </a:graphicData>
            </a:graphic>
          </wp:inline>
        </w:drawing>
      </w:r>
      <w:r w:rsidRPr="00BB01A9">
        <w:rPr>
          <w:noProof/>
        </w:rPr>
        <w:drawing>
          <wp:inline distT="0" distB="0" distL="0" distR="0" wp14:anchorId="700D54C1" wp14:editId="4A79764F">
            <wp:extent cx="2019957" cy="1517904"/>
            <wp:effectExtent l="0" t="0" r="0" b="635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019957" cy="1517904"/>
                    </a:xfrm>
                    <a:prstGeom prst="rect">
                      <a:avLst/>
                    </a:prstGeom>
                  </pic:spPr>
                </pic:pic>
              </a:graphicData>
            </a:graphic>
          </wp:inline>
        </w:drawing>
      </w:r>
      <w:r w:rsidRPr="006B4888">
        <w:rPr>
          <w:noProof/>
        </w:rPr>
        <w:t xml:space="preserve"> </w:t>
      </w:r>
      <w:r w:rsidRPr="00A06904">
        <w:rPr>
          <w:noProof/>
        </w:rPr>
        <w:t xml:space="preserve"> </w:t>
      </w:r>
      <w:r w:rsidRPr="003E1733">
        <w:rPr>
          <w:noProof/>
        </w:rPr>
        <w:t xml:space="preserve"> </w:t>
      </w:r>
      <w:r w:rsidRPr="00985748">
        <w:rPr>
          <w:noProof/>
        </w:rPr>
        <w:t xml:space="preserve"> </w:t>
      </w:r>
    </w:p>
    <w:p w14:paraId="572B5CC1" w14:textId="77777777" w:rsidR="00C363C4" w:rsidRDefault="00C363C4" w:rsidP="00C363C4">
      <w:r>
        <w:rPr>
          <w:noProof/>
        </w:rPr>
        <w:t xml:space="preserve">Figure 2: Single event (top row) and cumulative (bottom row) population dose-response curves of the baseline and shifted simulation populations. </w:t>
      </w:r>
      <w:r>
        <w:t>The right column shows the same data as the left, but it is zoomed in on the vertical axis. The black “W” and “R” curves overlay the baseline because these cases only change the likelihood of responding and not the shape of the curve.</w:t>
      </w:r>
    </w:p>
    <w:p w14:paraId="4E8C8098" w14:textId="461E61C6" w:rsidR="00C363C4" w:rsidRDefault="00C363C4" w:rsidP="004E4A64">
      <w:pPr>
        <w:pStyle w:val="test2"/>
      </w:pPr>
    </w:p>
    <w:p w14:paraId="25028388" w14:textId="77777777" w:rsidR="00C363C4" w:rsidRDefault="00C363C4" w:rsidP="00C363C4">
      <w:pPr>
        <w:pStyle w:val="test2"/>
        <w:ind w:firstLine="576"/>
        <w:rPr>
          <w:noProof/>
        </w:rPr>
      </w:pPr>
    </w:p>
    <w:p w14:paraId="6C7CC2F5" w14:textId="77777777" w:rsidR="00C363C4" w:rsidRDefault="00C363C4" w:rsidP="00C363C4">
      <w:pPr>
        <w:keepNext/>
        <w:jc w:val="center"/>
      </w:pPr>
      <w:r>
        <w:rPr>
          <w:noProof/>
        </w:rPr>
        <w:drawing>
          <wp:inline distT="0" distB="0" distL="0" distR="0" wp14:anchorId="62F2C1CB" wp14:editId="16016536">
            <wp:extent cx="1853767"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25">
                      <a:extLst>
                        <a:ext uri="{96DAC541-7B7A-43D3-8B79-37D633B846F1}">
                          <asvg:svgBlip xmlns:asvg="http://schemas.microsoft.com/office/drawing/2016/SVG/main" r:embed="rId26"/>
                        </a:ext>
                      </a:extLst>
                    </a:blip>
                    <a:stretch>
                      <a:fillRect/>
                    </a:stretch>
                  </pic:blipFill>
                  <pic:spPr>
                    <a:xfrm>
                      <a:off x="0" y="0"/>
                      <a:ext cx="1853767" cy="1828800"/>
                    </a:xfrm>
                    <a:prstGeom prst="rect">
                      <a:avLst/>
                    </a:prstGeom>
                  </pic:spPr>
                </pic:pic>
              </a:graphicData>
            </a:graphic>
          </wp:inline>
        </w:drawing>
      </w:r>
      <w:r>
        <w:rPr>
          <w:noProof/>
        </w:rPr>
        <w:drawing>
          <wp:inline distT="0" distB="0" distL="0" distR="0" wp14:anchorId="4E9481A3" wp14:editId="323E2CD2">
            <wp:extent cx="1853767"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27">
                      <a:extLst>
                        <a:ext uri="{96DAC541-7B7A-43D3-8B79-37D633B846F1}">
                          <asvg:svgBlip xmlns:asvg="http://schemas.microsoft.com/office/drawing/2016/SVG/main" r:embed="rId28"/>
                        </a:ext>
                      </a:extLst>
                    </a:blip>
                    <a:stretch>
                      <a:fillRect/>
                    </a:stretch>
                  </pic:blipFill>
                  <pic:spPr>
                    <a:xfrm>
                      <a:off x="0" y="0"/>
                      <a:ext cx="1853767" cy="1828800"/>
                    </a:xfrm>
                    <a:prstGeom prst="rect">
                      <a:avLst/>
                    </a:prstGeom>
                  </pic:spPr>
                </pic:pic>
              </a:graphicData>
            </a:graphic>
          </wp:inline>
        </w:drawing>
      </w:r>
    </w:p>
    <w:p w14:paraId="095026F2" w14:textId="77777777" w:rsidR="00C363C4" w:rsidRDefault="00C363C4" w:rsidP="00C363C4">
      <w:pPr>
        <w:jc w:val="center"/>
      </w:pPr>
      <w:r>
        <w:t>Figure 3: X-59 single event (left) (N=86) and cumulative (right) (N=26) baseline noise dose design.</w:t>
      </w:r>
    </w:p>
    <w:p w14:paraId="1699CAB7" w14:textId="77777777" w:rsidR="00C363C4" w:rsidRDefault="00C363C4" w:rsidP="004E4A64">
      <w:pPr>
        <w:pStyle w:val="test2"/>
      </w:pPr>
    </w:p>
    <w:p w14:paraId="1D8FE1DE" w14:textId="30BC9AD4" w:rsidR="00FF4BF7" w:rsidRDefault="00C363C4" w:rsidP="004E4A64">
      <w:pPr>
        <w:pStyle w:val="test2"/>
      </w:pPr>
      <w:r>
        <w:t xml:space="preserve">distribution with mean zero and standard deviation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t>. The responses are unchanged, so models are fit to the estimated dose and true response data of each population. Also note that</w:t>
      </w:r>
      <w:r w:rsidRPr="00D20399">
        <w:t xml:space="preserve"> the </w:t>
      </w:r>
      <w:r>
        <w:t xml:space="preserve">simulated </w:t>
      </w:r>
      <w:r w:rsidRPr="00D20399">
        <w:t>single event and cumulative datasets were generated independently with no attempt to link the single event doses, their error, or participants to the cumulative doses, errors, or participants</w:t>
      </w:r>
      <w:r>
        <w:t>.</w:t>
      </w:r>
    </w:p>
    <w:p w14:paraId="5BA79E44" w14:textId="77777777" w:rsidR="003E15AA" w:rsidRDefault="003E15AA" w:rsidP="00D047F0">
      <w:pPr>
        <w:ind w:firstLine="576"/>
      </w:pPr>
    </w:p>
    <w:p w14:paraId="6FA467CA" w14:textId="77777777" w:rsidR="002D616A" w:rsidRDefault="002D616A" w:rsidP="002D616A">
      <w:pPr>
        <w:pStyle w:val="Test1"/>
        <w:spacing w:after="0"/>
      </w:pPr>
      <w:r>
        <w:t>5. Modeling Of Simulated Datasets</w:t>
      </w:r>
    </w:p>
    <w:p w14:paraId="40924834" w14:textId="0471ACE9" w:rsidR="00AD7A90" w:rsidRDefault="002D616A" w:rsidP="00AD7A90">
      <w:pPr>
        <w:pStyle w:val="test2"/>
      </w:pPr>
      <w:r>
        <w:tab/>
        <w:t>A</w:t>
      </w:r>
      <w:r w:rsidR="00456C75">
        <w:t>n</w:t>
      </w:r>
      <w:r>
        <w:t xml:space="preserve"> MLR model matching the form of the underlying population model of Sections 2 and 3 was fit to each simulated dose-response dataset [</w:t>
      </w:r>
      <w:r w:rsidRPr="006F2B97">
        <w:rPr>
          <w:rStyle w:val="EndnoteReference"/>
          <w:vertAlign w:val="baseline"/>
        </w:rPr>
        <w:endnoteReference w:id="19"/>
      </w:r>
      <w:r>
        <w:t xml:space="preserve">]. The </w:t>
      </w:r>
      <w:proofErr w:type="spellStart"/>
      <w:r>
        <w:t>glmer</w:t>
      </w:r>
      <w:proofErr w:type="spellEnd"/>
      <w:r>
        <w:t xml:space="preserve"> function from the lme4 package in the R programming language was used to fit the model to each dataset [</w:t>
      </w:r>
      <w:r w:rsidRPr="00E047EA">
        <w:rPr>
          <w:rStyle w:val="EndnoteReference"/>
          <w:vertAlign w:val="baseline"/>
        </w:rPr>
        <w:endnoteReference w:id="20"/>
      </w:r>
      <w:r w:rsidRPr="00E047EA">
        <w:t>,</w:t>
      </w:r>
      <w:r w:rsidR="002D0336">
        <w:t xml:space="preserve"> </w:t>
      </w:r>
      <w:r w:rsidRPr="00E047EA">
        <w:rPr>
          <w:rStyle w:val="EndnoteReference"/>
          <w:vertAlign w:val="baseline"/>
        </w:rPr>
        <w:endnoteReference w:id="21"/>
      </w:r>
      <w:r>
        <w:t xml:space="preserve">]. The model estimates the population parameters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t xml:space="preserv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t xml:space="preserve">. The standard error in and correlation between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t xml:space="preserve"> are also provided, which are used to compute confidence interval</w:t>
      </w:r>
      <w:r w:rsidR="004D51E5">
        <w:t>s</w:t>
      </w:r>
      <w:r>
        <w:t xml:space="preserve"> about each estimated dose-response curve. The population dose-response curve results from integrating over the distribution of </w:t>
      </w:r>
      <w:r w:rsidR="00AD7A90">
        <w:t>random effects [</w:t>
      </w:r>
      <w:r w:rsidR="00AD7A90" w:rsidRPr="00284590">
        <w:rPr>
          <w:rStyle w:val="EndnoteReference"/>
          <w:vertAlign w:val="baseline"/>
        </w:rPr>
        <w:endnoteReference w:id="22"/>
      </w:r>
      <w:r w:rsidR="00AD7A90">
        <w:t xml:space="preserve">] while accounting for the uncertainty in and correlation between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AD7A90">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AD7A90">
        <w:t xml:space="preserve"> as presented in Ref.</w:t>
      </w:r>
      <w:r w:rsidR="002D0336">
        <w:t xml:space="preserve"> [</w:t>
      </w:r>
      <w:r w:rsidR="00C8474C">
        <w:fldChar w:fldCharType="begin"/>
      </w:r>
      <w:r w:rsidR="00C8474C">
        <w:instrText xml:space="preserve"> NOTEREF _Ref135144583 \h </w:instrText>
      </w:r>
      <w:r w:rsidR="00C8474C">
        <w:fldChar w:fldCharType="separate"/>
      </w:r>
      <w:r w:rsidR="00C8474C">
        <w:t>7</w:t>
      </w:r>
      <w:r w:rsidR="00C8474C">
        <w:fldChar w:fldCharType="end"/>
      </w:r>
      <w:r w:rsidR="002D0336">
        <w:t>]</w:t>
      </w:r>
      <w:r w:rsidR="00AD7A90">
        <w:t>.</w:t>
      </w:r>
    </w:p>
    <w:p w14:paraId="747F82CC" w14:textId="77777777" w:rsidR="003E15AA" w:rsidRDefault="003E15AA" w:rsidP="004E4A64">
      <w:pPr>
        <w:pStyle w:val="test2"/>
      </w:pPr>
    </w:p>
    <w:p w14:paraId="1E034559" w14:textId="4358D4AF" w:rsidR="005F26A6" w:rsidRDefault="00E42787" w:rsidP="00BA5F93">
      <w:pPr>
        <w:pStyle w:val="Test1"/>
        <w:spacing w:after="0"/>
      </w:pPr>
      <w:r>
        <w:lastRenderedPageBreak/>
        <w:t>6</w:t>
      </w:r>
      <w:r w:rsidR="005F26A6">
        <w:t xml:space="preserve">. </w:t>
      </w:r>
      <w:r w:rsidR="005960A3">
        <w:t>Accuracy and Precision of Models</w:t>
      </w:r>
    </w:p>
    <w:p w14:paraId="44473D7E" w14:textId="5464262A" w:rsidR="00FF4BF7" w:rsidRDefault="000E1780" w:rsidP="004E4A64">
      <w:pPr>
        <w:pStyle w:val="test2"/>
      </w:pPr>
      <w:r>
        <w:t xml:space="preserve">Accuracy and precision of models </w:t>
      </w:r>
      <w:r w:rsidR="00E300B6">
        <w:t xml:space="preserve">and quantities of interest on the dose-response curves </w:t>
      </w:r>
      <w:r>
        <w:t xml:space="preserve">in the presence of dose error for the various populations are quantified in the subsections that follow. </w:t>
      </w:r>
      <w:r w:rsidR="00C51FF5">
        <w:t xml:space="preserve">The data are presented as the mean over the 30 replicates for various metrics. </w:t>
      </w:r>
      <w:r>
        <w:t>T</w:t>
      </w:r>
      <w:r w:rsidR="00515DA0">
        <w:t>he accuracy metric for assessing the model parameters is the absolute percent difference between the estimated and true model parameters</w:t>
      </w:r>
      <w:r w:rsidR="002F589C">
        <w:t xml:space="preserve"> in Section 6.1</w:t>
      </w:r>
      <w:r w:rsidR="00515DA0">
        <w:t xml:space="preserve">. </w:t>
      </w:r>
      <w:r w:rsidR="00E300B6">
        <w:t>The</w:t>
      </w:r>
      <w:r w:rsidR="00A94A0E">
        <w:t xml:space="preserve"> </w:t>
      </w:r>
      <w:r w:rsidR="002B2490">
        <w:t>difference in dose that elicits 1 or 5%HA is also quantified</w:t>
      </w:r>
      <w:r w:rsidR="002F589C">
        <w:t xml:space="preserve"> in Section 6.2</w:t>
      </w:r>
      <w:r w:rsidR="002B2490">
        <w:t xml:space="preserve">. For precision, the </w:t>
      </w:r>
      <w:r w:rsidR="00A306A5">
        <w:t>margin of error in the dose that elicits 1 or 5%HA is quantified</w:t>
      </w:r>
      <w:r w:rsidR="002F589C">
        <w:t xml:space="preserve"> in Section 6.3</w:t>
      </w:r>
      <w:r w:rsidR="00A306A5">
        <w:t xml:space="preserve">. Finally, the sampling variability is quantified by </w:t>
      </w:r>
      <w:r w:rsidR="005D48D5">
        <w:t>the</w:t>
      </w:r>
      <w:r w:rsidR="003E1CA5">
        <w:t xml:space="preserve"> normalized</w:t>
      </w:r>
      <w:r w:rsidR="00296333">
        <w:t xml:space="preserve"> standard deviation of percent difference between estimated and true model parameters in Section 6.4.</w:t>
      </w:r>
    </w:p>
    <w:p w14:paraId="7F1A9C2A" w14:textId="77777777" w:rsidR="00074BC5" w:rsidRDefault="00074BC5" w:rsidP="004E4A64">
      <w:pPr>
        <w:pStyle w:val="test2"/>
      </w:pPr>
    </w:p>
    <w:p w14:paraId="5805605C" w14:textId="3E8E7F87" w:rsidR="005960A3" w:rsidRDefault="003102B1" w:rsidP="00BA5F93">
      <w:pPr>
        <w:pStyle w:val="Test1"/>
        <w:spacing w:after="0"/>
      </w:pPr>
      <w:r>
        <w:t>6</w:t>
      </w:r>
      <w:r w:rsidR="005960A3">
        <w:t>.1 Accuracy</w:t>
      </w:r>
      <w:r w:rsidR="006B6E26">
        <w:t xml:space="preserve"> </w:t>
      </w:r>
      <w:r w:rsidR="005960A3">
        <w:t>in Model parameters</w:t>
      </w:r>
    </w:p>
    <w:p w14:paraId="79BC0BDE" w14:textId="079DCECC" w:rsidR="00341F19" w:rsidRDefault="00341F19" w:rsidP="00341F19">
      <w:pPr>
        <w:pStyle w:val="test2"/>
      </w:pPr>
      <w:r>
        <w:t>Th</w:t>
      </w:r>
      <w:r w:rsidR="00405506">
        <w:t xml:space="preserve">is section compares the estimates of the modeled population parameters to the true population </w:t>
      </w:r>
      <w:r w:rsidR="000B79D9">
        <w:t>using the mean absolute percent difference</w:t>
      </w:r>
      <w:r w:rsidR="009802E6">
        <w:t xml:space="preserve"> (MA%D)</w:t>
      </w:r>
      <w:r w:rsidR="000B79D9">
        <w:t xml:space="preserve">. </w:t>
      </w:r>
      <w:r w:rsidR="00182215">
        <w:t>It is given by</w:t>
      </w:r>
    </w:p>
    <w:p w14:paraId="303661AA" w14:textId="77777777" w:rsidR="000136F9" w:rsidRDefault="000136F9" w:rsidP="00341F19">
      <w:pPr>
        <w:pStyle w:val="test2"/>
      </w:pPr>
    </w:p>
    <w:p w14:paraId="4A1EA54B" w14:textId="5B2D8069" w:rsidR="00182215" w:rsidRPr="004758EA" w:rsidRDefault="00001A34" w:rsidP="004758EA">
      <w:pPr>
        <w:pStyle w:val="test2"/>
        <w:jc w:val="center"/>
      </w:pPr>
      <m:oMathPara>
        <m:oMath>
          <m:r>
            <m:rPr>
              <m:nor/>
            </m:rPr>
            <w:rPr>
              <w:rFonts w:ascii="Cambria Math" w:hAnsi="Cambria Math"/>
            </w:rPr>
            <m:t>MA%D</m:t>
          </m:r>
          <m:r>
            <w:rPr>
              <w:rFonts w:ascii="Cambria Math" w:hAnsi="Cambria Math"/>
            </w:rPr>
            <m:t>=100%</m:t>
          </m:r>
          <m:f>
            <m:fPr>
              <m:ctrlPr>
                <w:rPr>
                  <w:rFonts w:ascii="Cambria Math" w:hAnsi="Cambria Math"/>
                  <w:i/>
                </w:rPr>
              </m:ctrlPr>
            </m:fPr>
            <m:num>
              <m:r>
                <w:rPr>
                  <w:rFonts w:ascii="Cambria Math" w:hAnsi="Cambria Math"/>
                </w:rPr>
                <m:t>1</m:t>
              </m:r>
            </m:num>
            <m:den>
              <m:r>
                <w:rPr>
                  <w:rFonts w:ascii="Cambria Math" w:hAnsi="Cambria Math"/>
                </w:rPr>
                <m:t>30</m:t>
              </m:r>
            </m:den>
          </m:f>
          <m:nary>
            <m:naryPr>
              <m:chr m:val="∑"/>
              <m:limLoc m:val="undOvr"/>
              <m:ctrlPr>
                <w:rPr>
                  <w:rFonts w:ascii="Cambria Math" w:hAnsi="Cambria Math"/>
                  <w:i/>
                </w:rPr>
              </m:ctrlPr>
            </m:naryPr>
            <m:sub>
              <m:r>
                <w:rPr>
                  <w:rFonts w:ascii="Cambria Math" w:hAnsi="Cambria Math"/>
                </w:rPr>
                <m:t>R=1</m:t>
              </m:r>
            </m:sub>
            <m:sup>
              <m:r>
                <w:rPr>
                  <w:rFonts w:ascii="Cambria Math" w:hAnsi="Cambria Math"/>
                </w:rPr>
                <m:t>30</m:t>
              </m:r>
            </m:sup>
            <m:e>
              <m:d>
                <m:dPr>
                  <m:begChr m:val="|"/>
                  <m:endChr m:val="|"/>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β</m:t>
                          </m:r>
                        </m:e>
                        <m:sub>
                          <m:r>
                            <w:rPr>
                              <w:rFonts w:ascii="Cambria Math" w:hAnsi="Cambria Math"/>
                            </w:rPr>
                            <m:t>0,R</m:t>
                          </m:r>
                        </m:sub>
                        <m:sup>
                          <m:r>
                            <m:rPr>
                              <m:sty m:val="p"/>
                            </m:rPr>
                            <w:rPr>
                              <w:rFonts w:ascii="Cambria Math" w:hAnsi="Cambria Math"/>
                            </w:rPr>
                            <m:t>model fi</m:t>
                          </m:r>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0</m:t>
                          </m:r>
                        </m:sub>
                        <m:sup>
                          <m:r>
                            <m:rPr>
                              <m:sty m:val="p"/>
                            </m:rPr>
                            <w:rPr>
                              <w:rFonts w:ascii="Cambria Math" w:hAnsi="Cambria Math"/>
                            </w:rPr>
                            <m:t>true</m:t>
                          </m:r>
                        </m:sup>
                      </m:sSubSup>
                    </m:num>
                    <m:den>
                      <m:sSubSup>
                        <m:sSubSupPr>
                          <m:ctrlPr>
                            <w:rPr>
                              <w:rFonts w:ascii="Cambria Math" w:hAnsi="Cambria Math"/>
                              <w:i/>
                            </w:rPr>
                          </m:ctrlPr>
                        </m:sSubSupPr>
                        <m:e>
                          <m:r>
                            <w:rPr>
                              <w:rFonts w:ascii="Cambria Math" w:hAnsi="Cambria Math"/>
                            </w:rPr>
                            <m:t>β</m:t>
                          </m:r>
                        </m:e>
                        <m:sub>
                          <m:r>
                            <w:rPr>
                              <w:rFonts w:ascii="Cambria Math" w:hAnsi="Cambria Math"/>
                            </w:rPr>
                            <m:t>0</m:t>
                          </m:r>
                        </m:sub>
                        <m:sup>
                          <m:r>
                            <m:rPr>
                              <m:sty m:val="p"/>
                            </m:rPr>
                            <w:rPr>
                              <w:rFonts w:ascii="Cambria Math" w:hAnsi="Cambria Math"/>
                            </w:rPr>
                            <m:t>true</m:t>
                          </m:r>
                        </m:sup>
                      </m:sSubSup>
                    </m:den>
                  </m:f>
                </m:e>
              </m:d>
            </m:e>
          </m:nary>
        </m:oMath>
      </m:oMathPara>
    </w:p>
    <w:p w14:paraId="51590516" w14:textId="77777777" w:rsidR="004758EA" w:rsidRPr="000136F9" w:rsidRDefault="004758EA" w:rsidP="004758EA">
      <w:pPr>
        <w:pStyle w:val="test2"/>
        <w:jc w:val="center"/>
      </w:pPr>
    </w:p>
    <w:p w14:paraId="2CDB624C" w14:textId="56EFD667" w:rsidR="007D7C49" w:rsidRDefault="000136F9" w:rsidP="00341F19">
      <w:pPr>
        <w:pStyle w:val="test2"/>
      </w:pPr>
      <w:r>
        <w:t xml:space="preserve">where </w:t>
      </w:r>
      <m:oMath>
        <m:sSubSup>
          <m:sSubSupPr>
            <m:ctrlPr>
              <w:rPr>
                <w:rFonts w:ascii="Cambria Math" w:hAnsi="Cambria Math"/>
                <w:i/>
              </w:rPr>
            </m:ctrlPr>
          </m:sSubSupPr>
          <m:e>
            <m:r>
              <w:rPr>
                <w:rFonts w:ascii="Cambria Math" w:hAnsi="Cambria Math"/>
              </w:rPr>
              <m:t>β</m:t>
            </m:r>
          </m:e>
          <m:sub>
            <m:r>
              <w:rPr>
                <w:rFonts w:ascii="Cambria Math" w:hAnsi="Cambria Math"/>
              </w:rPr>
              <m:t>0</m:t>
            </m:r>
          </m:sub>
          <m:sup>
            <m:r>
              <m:rPr>
                <m:sty m:val="p"/>
              </m:rPr>
              <w:rPr>
                <w:rFonts w:ascii="Cambria Math" w:hAnsi="Cambria Math"/>
              </w:rPr>
              <m:t>true</m:t>
            </m:r>
          </m:sup>
        </m:sSubSup>
      </m:oMath>
      <w:r>
        <w:t xml:space="preserve"> is the true population parameter</w:t>
      </w:r>
      <w:r w:rsidR="009A334E">
        <w:t xml:space="preserve"> give</w:t>
      </w:r>
      <w:r w:rsidR="0004039E">
        <w:t>n Table</w:t>
      </w:r>
      <w:r w:rsidR="003E1CA5">
        <w:t xml:space="preserve"> 1</w:t>
      </w:r>
      <w:r>
        <w:t xml:space="preserve">, </w:t>
      </w:r>
      <m:oMath>
        <m:r>
          <w:rPr>
            <w:rFonts w:ascii="Cambria Math" w:hAnsi="Cambria Math"/>
          </w:rPr>
          <m:t>R</m:t>
        </m:r>
      </m:oMath>
      <w:r>
        <w:t xml:space="preserve"> is the dataset replicate index, and </w:t>
      </w:r>
      <m:oMath>
        <m:sSubSup>
          <m:sSubSupPr>
            <m:ctrlPr>
              <w:rPr>
                <w:rFonts w:ascii="Cambria Math" w:hAnsi="Cambria Math"/>
                <w:i/>
              </w:rPr>
            </m:ctrlPr>
          </m:sSubSupPr>
          <m:e>
            <m:r>
              <w:rPr>
                <w:rFonts w:ascii="Cambria Math" w:hAnsi="Cambria Math"/>
              </w:rPr>
              <m:t>β</m:t>
            </m:r>
          </m:e>
          <m:sub>
            <m:r>
              <w:rPr>
                <w:rFonts w:ascii="Cambria Math" w:hAnsi="Cambria Math"/>
              </w:rPr>
              <m:t>0,R</m:t>
            </m:r>
          </m:sub>
          <m:sup>
            <m:r>
              <m:rPr>
                <m:sty m:val="p"/>
              </m:rPr>
              <w:rPr>
                <w:rFonts w:ascii="Cambria Math" w:hAnsi="Cambria Math"/>
              </w:rPr>
              <m:t>model fit</m:t>
            </m:r>
          </m:sup>
        </m:sSubSup>
      </m:oMath>
      <w:r>
        <w:t xml:space="preserve"> is the model estimate of the </w:t>
      </w:r>
      <w:r w:rsidR="00B03EC5">
        <w:t xml:space="preserve">population parameter.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B03EC5">
        <w:t xml:space="preserve"> can be replaced with the other population parameters</w:t>
      </w:r>
      <w:r w:rsidR="0060045C">
        <w:t xml:space="preserv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60045C">
        <w:t xml:space="preserve"> and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rsidR="00B03EC5">
        <w:t>.</w:t>
      </w:r>
      <w:r w:rsidR="0085254A">
        <w:t xml:space="preserve"> </w:t>
      </w:r>
    </w:p>
    <w:p w14:paraId="33C4348B" w14:textId="5C6BDB83" w:rsidR="000136F9" w:rsidRDefault="0085254A" w:rsidP="00C363C4">
      <w:pPr>
        <w:pStyle w:val="test2"/>
        <w:ind w:firstLine="576"/>
      </w:pPr>
      <w:r>
        <w:t>The MA%D for each parameter for the single event</w:t>
      </w:r>
      <w:r w:rsidR="00DC6255">
        <w:t xml:space="preserve"> and cumulative</w:t>
      </w:r>
      <w:r>
        <w:t xml:space="preserve"> populations </w:t>
      </w:r>
      <w:r w:rsidR="008543D8">
        <w:t xml:space="preserve">is </w:t>
      </w:r>
      <w:r w:rsidR="00DB2F38">
        <w:t xml:space="preserve">shown </w:t>
      </w:r>
      <w:r>
        <w:t xml:space="preserve">in Fig. </w:t>
      </w:r>
      <w:r w:rsidR="00206A09">
        <w:t>4</w:t>
      </w:r>
      <w:r>
        <w:t>.</w:t>
      </w:r>
      <w:r w:rsidR="009578B0">
        <w:t xml:space="preserve"> </w:t>
      </w:r>
      <w:r w:rsidR="00F823EB">
        <w:t>The 2500 target participant case with either 0</w:t>
      </w:r>
      <w:r w:rsidR="007E0681">
        <w:t>-</w:t>
      </w:r>
      <w:r w:rsidR="00181E02">
        <w:t>,</w:t>
      </w:r>
      <w:r w:rsidR="00F823EB">
        <w:t xml:space="preserve"> </w:t>
      </w:r>
      <w:r w:rsidR="001553D5">
        <w:t>2</w:t>
      </w:r>
      <w:r w:rsidR="007E0681">
        <w:t>-</w:t>
      </w:r>
      <w:r w:rsidR="00C004A9">
        <w:t>,</w:t>
      </w:r>
      <w:r w:rsidR="00F823EB">
        <w:t xml:space="preserve"> </w:t>
      </w:r>
      <w:r w:rsidR="00181E02">
        <w:t>or 4</w:t>
      </w:r>
      <w:r w:rsidR="007E0681">
        <w:t>-</w:t>
      </w:r>
      <w:r w:rsidR="00F823EB">
        <w:t xml:space="preserve">dB dose error standard deviation is shown. </w:t>
      </w:r>
      <w:r w:rsidR="00A37AE8">
        <w:t>The trends</w:t>
      </w:r>
      <w:r w:rsidR="00F823EB">
        <w:t xml:space="preserve"> in the accuracy </w:t>
      </w:r>
      <w:r w:rsidR="00936437">
        <w:t>of the estimated parameter</w:t>
      </w:r>
      <w:r w:rsidR="00A37AE8">
        <w:t xml:space="preserve"> follow th</w:t>
      </w:r>
      <w:r w:rsidR="00507047">
        <w:t xml:space="preserve">e discussion </w:t>
      </w:r>
      <w:r w:rsidR="00A37AE8">
        <w:t xml:space="preserve">from </w:t>
      </w:r>
      <w:r w:rsidR="0060045C">
        <w:t xml:space="preserve">Section 3, where populations </w:t>
      </w:r>
      <w:r w:rsidR="00C260AD">
        <w:t xml:space="preserve">poorly sampled by the </w:t>
      </w:r>
      <w:r w:rsidR="001133EE">
        <w:t>X-59 dose range</w:t>
      </w:r>
      <w:r w:rsidR="00AD4196">
        <w:t xml:space="preserve"> </w:t>
      </w:r>
      <w:r w:rsidR="0060045C">
        <w:t xml:space="preserve">are more difficult to model accurately. There is a large jump in the estimation error between </w:t>
      </w:r>
      <w:r w:rsidR="00205891">
        <w:t xml:space="preserve">the </w:t>
      </w:r>
      <w:r w:rsidR="0060045C">
        <w:t>2- and 4-dB dose error</w:t>
      </w:r>
      <w:r w:rsidR="00AD7A90" w:rsidRPr="00AD7A90">
        <w:t xml:space="preserve"> </w:t>
      </w:r>
      <w:r w:rsidR="00205891">
        <w:t xml:space="preserve">cases </w:t>
      </w:r>
      <w:r w:rsidR="00AD7A90">
        <w:t xml:space="preserve">for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AD7A90">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AD7A90">
        <w:t xml:space="preserve"> , but nearly no difference in the estimate of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rsidR="00AD7A90">
        <w:t xml:space="preserv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AD7A90">
        <w:t xml:space="preserve"> is the most sensitive</w:t>
      </w:r>
      <w:r w:rsidR="00AD7A90" w:rsidRPr="00AD7A90">
        <w:t xml:space="preserve"> </w:t>
      </w:r>
      <w:r w:rsidR="00AD7A90">
        <w:t xml:space="preserve">followed by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AD7A90">
        <w:t xml:space="preserve"> then </w:t>
      </w:r>
      <m:oMath>
        <m:sSub>
          <m:sSubPr>
            <m:ctrlPr>
              <w:rPr>
                <w:rFonts w:ascii="Cambria Math" w:hAnsi="Cambria Math"/>
                <w:i/>
              </w:rPr>
            </m:ctrlPr>
          </m:sSubPr>
          <m:e>
            <m:r>
              <w:rPr>
                <w:rFonts w:ascii="Cambria Math" w:hAnsi="Cambria Math"/>
              </w:rPr>
              <m:t>σ</m:t>
            </m:r>
          </m:e>
          <m:sub>
            <m:r>
              <w:rPr>
                <w:rFonts w:ascii="Cambria Math" w:hAnsi="Cambria Math"/>
              </w:rPr>
              <m:t>RE</m:t>
            </m:r>
          </m:sub>
        </m:sSub>
      </m:oMath>
      <w:r w:rsidR="00AD7A90">
        <w:t>. The “SR” and “Sh” populations have the highest error even when there is</w:t>
      </w:r>
      <w:r w:rsidR="00AD7A90" w:rsidRPr="00AD7A90">
        <w:t xml:space="preserve"> </w:t>
      </w:r>
      <w:r w:rsidR="00AD7A90">
        <w:t>no dose error, which shows the limitations of using the MLR model when the data fall along the lower</w:t>
      </w:r>
      <w:r w:rsidR="00C363C4">
        <w:t xml:space="preserve"> </w:t>
      </w:r>
      <w:r w:rsidR="00CA29A4">
        <w:t xml:space="preserve">tail of the curve, i.e., </w:t>
      </w:r>
      <w:r w:rsidR="00F64EFE">
        <w:t xml:space="preserve">if a population is </w:t>
      </w:r>
      <w:r w:rsidR="00E6594D">
        <w:t xml:space="preserve">significantly less annoyed by X-59 flyovers than those of the </w:t>
      </w:r>
      <w:r w:rsidR="00D835DF">
        <w:t>BL</w:t>
      </w:r>
      <w:r w:rsidR="00E6594D">
        <w:t xml:space="preserve"> population.</w:t>
      </w:r>
    </w:p>
    <w:p w14:paraId="62E81D53" w14:textId="77777777" w:rsidR="00C363C4" w:rsidRDefault="00C363C4" w:rsidP="00C363C4">
      <w:pPr>
        <w:pStyle w:val="test2"/>
        <w:ind w:firstLine="576"/>
      </w:pPr>
    </w:p>
    <w:p w14:paraId="7DB9DAB5" w14:textId="77777777" w:rsidR="00C363C4" w:rsidRDefault="00C363C4" w:rsidP="00C363C4">
      <w:pPr>
        <w:pStyle w:val="test2"/>
        <w:keepNext/>
      </w:pPr>
      <w:r>
        <w:rPr>
          <w:noProof/>
        </w:rPr>
        <w:drawing>
          <wp:inline distT="0" distB="0" distL="0" distR="0" wp14:anchorId="7D57571D" wp14:editId="1AB5EF52">
            <wp:extent cx="2020824" cy="1515618"/>
            <wp:effectExtent l="0" t="0" r="0"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29">
                      <a:extLst>
                        <a:ext uri="{96DAC541-7B7A-43D3-8B79-37D633B846F1}">
                          <asvg:svgBlip xmlns:asvg="http://schemas.microsoft.com/office/drawing/2016/SVG/main" r:embed="rId30"/>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50AAD2F6" wp14:editId="446C0DB8">
            <wp:extent cx="2020824" cy="1515618"/>
            <wp:effectExtent l="0" t="0" r="0" b="8890"/>
            <wp:docPr id="1445626242" name="Picture 144562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26242" name="Picture 1445626242"/>
                    <pic:cNvPicPr/>
                  </pic:nvPicPr>
                  <pic:blipFill>
                    <a:blip r:embed="rId31">
                      <a:extLst>
                        <a:ext uri="{96DAC541-7B7A-43D3-8B79-37D633B846F1}">
                          <asvg:svgBlip xmlns:asvg="http://schemas.microsoft.com/office/drawing/2016/SVG/main" r:embed="rId32"/>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00572A55" wp14:editId="2AFFB43B">
            <wp:extent cx="2011680" cy="1508760"/>
            <wp:effectExtent l="0" t="0" r="7620" b="0"/>
            <wp:docPr id="1445626287" name="Picture 144562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26287" name="Picture 1445626287"/>
                    <pic:cNvPicPr/>
                  </pic:nvPicPr>
                  <pic:blipFill>
                    <a:blip r:embed="rId33">
                      <a:extLst>
                        <a:ext uri="{96DAC541-7B7A-43D3-8B79-37D633B846F1}">
                          <asvg:svgBlip xmlns:asvg="http://schemas.microsoft.com/office/drawing/2016/SVG/main" r:embed="rId34"/>
                        </a:ext>
                      </a:extLst>
                    </a:blip>
                    <a:stretch>
                      <a:fillRect/>
                    </a:stretch>
                  </pic:blipFill>
                  <pic:spPr>
                    <a:xfrm>
                      <a:off x="0" y="0"/>
                      <a:ext cx="2011680" cy="1508760"/>
                    </a:xfrm>
                    <a:prstGeom prst="rect">
                      <a:avLst/>
                    </a:prstGeom>
                  </pic:spPr>
                </pic:pic>
              </a:graphicData>
            </a:graphic>
          </wp:inline>
        </w:drawing>
      </w:r>
      <w:r>
        <w:rPr>
          <w:noProof/>
        </w:rPr>
        <w:drawing>
          <wp:inline distT="0" distB="0" distL="0" distR="0" wp14:anchorId="2EB1FB80" wp14:editId="7D0A2AF9">
            <wp:extent cx="2020824" cy="1515618"/>
            <wp:effectExtent l="0" t="0" r="0" b="889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35">
                      <a:extLst>
                        <a:ext uri="{96DAC541-7B7A-43D3-8B79-37D633B846F1}">
                          <asvg:svgBlip xmlns:asvg="http://schemas.microsoft.com/office/drawing/2016/SVG/main" r:embed="rId36"/>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0A1F8B9F" wp14:editId="773BFB4B">
            <wp:extent cx="2020824" cy="1515618"/>
            <wp:effectExtent l="0" t="0" r="0" b="8890"/>
            <wp:docPr id="1445626244" name="Picture 144562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26244" name="Picture 1445626244"/>
                    <pic:cNvPicPr/>
                  </pic:nvPicPr>
                  <pic:blipFill>
                    <a:blip r:embed="rId37">
                      <a:extLst>
                        <a:ext uri="{96DAC541-7B7A-43D3-8B79-37D633B846F1}">
                          <asvg:svgBlip xmlns:asvg="http://schemas.microsoft.com/office/drawing/2016/SVG/main" r:embed="rId38"/>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532476B6" wp14:editId="38EB17BB">
            <wp:extent cx="2020824" cy="1515618"/>
            <wp:effectExtent l="0" t="0" r="0" b="8890"/>
            <wp:docPr id="1445626288" name="Picture 144562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26288" name="Picture 1445626288"/>
                    <pic:cNvPicPr/>
                  </pic:nvPicPr>
                  <pic:blipFill>
                    <a:blip r:embed="rId39">
                      <a:extLst>
                        <a:ext uri="{96DAC541-7B7A-43D3-8B79-37D633B846F1}">
                          <asvg:svgBlip xmlns:asvg="http://schemas.microsoft.com/office/drawing/2016/SVG/main" r:embed="rId40"/>
                        </a:ext>
                      </a:extLst>
                    </a:blip>
                    <a:stretch>
                      <a:fillRect/>
                    </a:stretch>
                  </pic:blipFill>
                  <pic:spPr>
                    <a:xfrm>
                      <a:off x="0" y="0"/>
                      <a:ext cx="2020824" cy="1515618"/>
                    </a:xfrm>
                    <a:prstGeom prst="rect">
                      <a:avLst/>
                    </a:prstGeom>
                  </pic:spPr>
                </pic:pic>
              </a:graphicData>
            </a:graphic>
          </wp:inline>
        </w:drawing>
      </w:r>
    </w:p>
    <w:p w14:paraId="5E083EA0" w14:textId="77777777" w:rsidR="00C363C4" w:rsidRDefault="00C363C4" w:rsidP="00C363C4">
      <w:pPr>
        <w:pStyle w:val="test2"/>
      </w:pPr>
      <w:r>
        <w:t>Figure 4: Mean absolute % difference between estimated and true single event model parameters for the 2500 target participant populations with 0 to 4 dB dose error.</w:t>
      </w:r>
    </w:p>
    <w:p w14:paraId="30D12794" w14:textId="77777777" w:rsidR="00C363C4" w:rsidRDefault="00C363C4" w:rsidP="00C363C4">
      <w:pPr>
        <w:pStyle w:val="test2"/>
      </w:pPr>
    </w:p>
    <w:p w14:paraId="504DE24E" w14:textId="77777777" w:rsidR="004371DE" w:rsidRPr="00182215" w:rsidRDefault="004371DE" w:rsidP="007D7C49">
      <w:pPr>
        <w:pStyle w:val="test2"/>
        <w:ind w:firstLine="576"/>
      </w:pPr>
    </w:p>
    <w:p w14:paraId="7C1DD1B7" w14:textId="77777777" w:rsidR="004371DE" w:rsidRDefault="004371DE" w:rsidP="00BA5F93">
      <w:pPr>
        <w:pStyle w:val="Test1"/>
        <w:spacing w:after="0"/>
      </w:pPr>
      <w:r>
        <w:lastRenderedPageBreak/>
        <w:t>6.2 Accuracy of Quantities of Interest</w:t>
      </w:r>
    </w:p>
    <w:p w14:paraId="3B07C5B8" w14:textId="4335D891" w:rsidR="00D976F0" w:rsidRDefault="004371DE" w:rsidP="00D976F0">
      <w:pPr>
        <w:pStyle w:val="test2"/>
      </w:pPr>
      <w:r>
        <w:t xml:space="preserve">The previous section quantified the error in the model parameter estimates. This section </w:t>
      </w:r>
      <w:r w:rsidR="0090682A">
        <w:t xml:space="preserve">quantifies </w:t>
      </w:r>
      <w:r>
        <w:t>the impact of the error on the population curve in practical units by assessing accuracy</w:t>
      </w:r>
      <w:r w:rsidR="00D976F0">
        <w:t xml:space="preserve"> </w:t>
      </w:r>
      <w:r>
        <w:t>in point estimates</w:t>
      </w:r>
      <w:r w:rsidR="00D976F0">
        <w:t xml:space="preserve"> for specific quantities</w:t>
      </w:r>
      <w:r>
        <w:t xml:space="preserve"> along the dose-response curves.</w:t>
      </w:r>
      <w:r w:rsidR="00D976F0">
        <w:t xml:space="preserve"> </w:t>
      </w:r>
      <w:proofErr w:type="gramStart"/>
      <w:r w:rsidR="00C0713F">
        <w:t>Due to the effects</w:t>
      </w:r>
      <w:proofErr w:type="gramEnd"/>
      <w:r w:rsidR="00C0713F">
        <w:t xml:space="preserve"> of dose error</w:t>
      </w:r>
      <w:r w:rsidR="00D976F0">
        <w:t xml:space="preserve"> the point estimates can be both over and underestimated</w:t>
      </w:r>
      <w:r w:rsidR="00C0713F">
        <w:t xml:space="preserve">, and the </w:t>
      </w:r>
      <w:r w:rsidR="00BE1686">
        <w:t>position of the true population curve impacts the over and underestimation</w:t>
      </w:r>
      <w:r w:rsidR="00D976F0">
        <w:t>.</w:t>
      </w:r>
    </w:p>
    <w:p w14:paraId="77E3E38F" w14:textId="214C4C0F" w:rsidR="00D976F0" w:rsidRDefault="00D976F0" w:rsidP="0093082E">
      <w:pPr>
        <w:pStyle w:val="test2"/>
      </w:pPr>
      <w:r>
        <w:tab/>
        <w:t xml:space="preserve">The left plot of Fig. </w:t>
      </w:r>
      <w:r w:rsidR="00116156">
        <w:t>5</w:t>
      </w:r>
      <w:r>
        <w:t xml:space="preserve"> shows three of the population true curves and the point estimates for the dose that elicits 1 to 5%HA when there is 4 dB dose error</w:t>
      </w:r>
      <w:r w:rsidR="00777D17">
        <w:t xml:space="preserve"> with 2500 target participants</w:t>
      </w:r>
      <w:r>
        <w:t xml:space="preserve">. For the BL estimate, the dose that elicits 1%HA is underestimated, but the doses eliciting 2, 3, 4, and 5% are overestimated. </w:t>
      </w:r>
      <w:r w:rsidR="00777D17">
        <w:t xml:space="preserve">There is a crossover point between the estimated dose that elicits 1 and 2%HA that is estimated perfectly accurately. </w:t>
      </w:r>
      <w:r>
        <w:t>For the SL10 estimate, the doses that elicit 1, 2, and 3%HA are underestimated</w:t>
      </w:r>
      <w:r w:rsidR="00777D17">
        <w:t xml:space="preserve">, and the dose that elicits 5%HA is overestimated. The dose that elicits 4%HA is nearly perfectly accurate. Finally, for the SR10 estimate, the doses eliciting 1 through 5%HA are all overestimated. Noise regulations set using a model with overestimation of the dose that elicits some %HA would </w:t>
      </w:r>
      <w:r w:rsidR="00BB659A">
        <w:t>result in</w:t>
      </w:r>
      <w:r w:rsidR="00777D17">
        <w:t xml:space="preserve"> </w:t>
      </w:r>
      <w:r w:rsidR="00BB659A">
        <w:t>annoyance above what was expected</w:t>
      </w:r>
      <w:r w:rsidR="00777D17">
        <w:t xml:space="preserve">. </w:t>
      </w:r>
    </w:p>
    <w:p w14:paraId="6A3E8563" w14:textId="39F6711E" w:rsidR="0008401D" w:rsidRDefault="00777D17" w:rsidP="00555A63">
      <w:pPr>
        <w:pStyle w:val="test2"/>
        <w:ind w:firstLine="576"/>
      </w:pPr>
      <w:r>
        <w:t xml:space="preserve">The middle and right plots of Fig. </w:t>
      </w:r>
      <w:r w:rsidR="00116156">
        <w:t>5</w:t>
      </w:r>
      <w:r>
        <w:t xml:space="preserve"> quantify the misestimation of the dose that elicit 1 and 5%HA for the </w:t>
      </w:r>
      <w:proofErr w:type="gramStart"/>
      <w:r>
        <w:t>0, 2, and 4 dB</w:t>
      </w:r>
      <w:proofErr w:type="gramEnd"/>
      <w:r>
        <w:t xml:space="preserve"> dose error cases with 2500 target participants for all study populations. </w:t>
      </w:r>
      <w:r w:rsidR="0008401D">
        <w:t>When there is 2 dB dose error, the point estimate errors for all the populations are less than 3</w:t>
      </w:r>
      <w:r w:rsidR="00CA0ADE">
        <w:t> </w:t>
      </w:r>
      <w:r w:rsidR="0008401D">
        <w:t xml:space="preserve">dB. When the dose error increases to 4 dB, there is up to 14 dB error in estimating the dose that elicits </w:t>
      </w:r>
      <w:r w:rsidR="00B57B72">
        <w:t xml:space="preserve">5%HA for the </w:t>
      </w:r>
      <w:r w:rsidR="004B0D12">
        <w:t>worst-case</w:t>
      </w:r>
      <w:r w:rsidR="00B57B72">
        <w:t xml:space="preserve"> populations, “SR20” and “Sh20.” This shows again that methods to account for dose error should be considered when the dose error exceeds 2 dB.</w:t>
      </w:r>
      <w:r w:rsidR="00B57B72" w:rsidRPr="0034159C">
        <w:t xml:space="preserve"> </w:t>
      </w:r>
    </w:p>
    <w:p w14:paraId="26467784" w14:textId="0D2FD048" w:rsidR="00B0185B" w:rsidRDefault="00B0185B" w:rsidP="00B0185B">
      <w:pPr>
        <w:pStyle w:val="test2"/>
        <w:ind w:firstLine="576"/>
      </w:pPr>
      <w:r>
        <w:t xml:space="preserve">Similar results </w:t>
      </w:r>
      <w:r w:rsidR="00BB659A">
        <w:t>were</w:t>
      </w:r>
      <w:r>
        <w:t xml:space="preserve"> observed for the cumulative populations</w:t>
      </w:r>
      <w:r w:rsidR="00BB659A">
        <w:t>, but not shown</w:t>
      </w:r>
      <w:r>
        <w:t xml:space="preserve">. For 2 dB dose error, the point estimate errors for all populations are less than 2 dB. When the dose error increases to 4 dB, the point estimate error increases to 12 dB for the </w:t>
      </w:r>
      <w:r w:rsidR="00B13A59">
        <w:t>worst</w:t>
      </w:r>
      <w:r w:rsidR="004B0D12">
        <w:t>-</w:t>
      </w:r>
      <w:r>
        <w:t>case populations “SR20” and “Sh20.”</w:t>
      </w:r>
      <w:r w:rsidRPr="00B0185B">
        <w:t xml:space="preserve"> </w:t>
      </w:r>
    </w:p>
    <w:p w14:paraId="1DD91570" w14:textId="1826B005" w:rsidR="0098342A" w:rsidRDefault="00B0185B" w:rsidP="00C363C4">
      <w:pPr>
        <w:pStyle w:val="test2"/>
        <w:ind w:firstLine="576"/>
      </w:pPr>
      <w:r>
        <w:t xml:space="preserve">One additional observation from the </w:t>
      </w:r>
      <w:r w:rsidR="00BB659A">
        <w:t>lef</w:t>
      </w:r>
      <w:r w:rsidR="008E4C2B">
        <w:t>t</w:t>
      </w:r>
      <w:r>
        <w:t xml:space="preserve"> plot of Fig. </w:t>
      </w:r>
      <w:r w:rsidR="00116156">
        <w:t>5</w:t>
      </w:r>
      <w:r>
        <w:t xml:space="preserve"> is that in the presence of dose error, the </w:t>
      </w:r>
      <w:r w:rsidR="00BB659A">
        <w:t xml:space="preserve">estimated curve </w:t>
      </w:r>
      <w:r>
        <w:t xml:space="preserve">will always intersect the true curve within the true dose range. It could be of interest to mathematically determine this crossover point because it is the dose/%HA </w:t>
      </w:r>
      <w:r w:rsidR="00BB659A">
        <w:t xml:space="preserve">point </w:t>
      </w:r>
      <w:r>
        <w:t>that is always accurate regardless of dose error. An approach to identify this “pivot” point could be to further perturb the doses</w:t>
      </w:r>
      <w:r w:rsidR="00BB0FAA">
        <w:t>, refit the model,</w:t>
      </w:r>
      <w:r>
        <w:t xml:space="preserve"> and observe the point on the overlain curves that does not move. This would correspond to the point that is perfectly accurate, but this is left for future work. This pivot point represents the best estimate, and as one moves away from this point, the accuracy of the</w:t>
      </w:r>
      <w:r w:rsidR="00AD7A90" w:rsidRPr="00AD7A90">
        <w:t xml:space="preserve"> </w:t>
      </w:r>
      <w:r w:rsidR="00AD7A90">
        <w:t>estimated dose-response curve decreases.</w:t>
      </w:r>
    </w:p>
    <w:p w14:paraId="4728C5B7" w14:textId="77777777" w:rsidR="00C363C4" w:rsidRDefault="00C363C4" w:rsidP="00C363C4">
      <w:pPr>
        <w:pStyle w:val="test2"/>
        <w:keepNext/>
      </w:pPr>
    </w:p>
    <w:p w14:paraId="0235E08A" w14:textId="77777777" w:rsidR="00C363C4" w:rsidRDefault="00C363C4" w:rsidP="00C363C4">
      <w:pPr>
        <w:pStyle w:val="test2"/>
        <w:keepNext/>
        <w:jc w:val="center"/>
      </w:pPr>
      <w:r>
        <w:rPr>
          <w:noProof/>
        </w:rPr>
        <w:drawing>
          <wp:inline distT="0" distB="0" distL="0" distR="0" wp14:anchorId="0E1506D0" wp14:editId="57B32025">
            <wp:extent cx="2020824" cy="1515618"/>
            <wp:effectExtent l="0" t="0" r="0" b="889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0DE50954" wp14:editId="26A3A5D9">
            <wp:extent cx="2023872" cy="1517904"/>
            <wp:effectExtent l="0" t="0" r="0" b="6350"/>
            <wp:docPr id="459891621" name="Picture 45989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91621" name="Picture 459891621"/>
                    <pic:cNvPicPr/>
                  </pic:nvPicPr>
                  <pic:blipFill>
                    <a:blip r:embed="rId43">
                      <a:extLst>
                        <a:ext uri="{96DAC541-7B7A-43D3-8B79-37D633B846F1}">
                          <asvg:svgBlip xmlns:asvg="http://schemas.microsoft.com/office/drawing/2016/SVG/main" r:embed="rId44"/>
                        </a:ext>
                      </a:extLst>
                    </a:blip>
                    <a:stretch>
                      <a:fillRect/>
                    </a:stretch>
                  </pic:blipFill>
                  <pic:spPr>
                    <a:xfrm>
                      <a:off x="0" y="0"/>
                      <a:ext cx="2023872" cy="1517904"/>
                    </a:xfrm>
                    <a:prstGeom prst="rect">
                      <a:avLst/>
                    </a:prstGeom>
                  </pic:spPr>
                </pic:pic>
              </a:graphicData>
            </a:graphic>
          </wp:inline>
        </w:drawing>
      </w:r>
      <w:r w:rsidRPr="00B179A5">
        <w:rPr>
          <w:noProof/>
        </w:rPr>
        <w:drawing>
          <wp:inline distT="0" distB="0" distL="0" distR="0" wp14:anchorId="6F1E3080" wp14:editId="743780F4">
            <wp:extent cx="2023872" cy="1517904"/>
            <wp:effectExtent l="0" t="0" r="0" b="6350"/>
            <wp:docPr id="459891626" name="Picture 45989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91626" name="Picture 459891626"/>
                    <pic:cNvPicPr/>
                  </pic:nvPicPr>
                  <pic:blipFill>
                    <a:blip r:embed="rId45">
                      <a:extLst>
                        <a:ext uri="{96DAC541-7B7A-43D3-8B79-37D633B846F1}">
                          <asvg:svgBlip xmlns:asvg="http://schemas.microsoft.com/office/drawing/2016/SVG/main" r:embed="rId46"/>
                        </a:ext>
                      </a:extLst>
                    </a:blip>
                    <a:stretch>
                      <a:fillRect/>
                    </a:stretch>
                  </pic:blipFill>
                  <pic:spPr>
                    <a:xfrm>
                      <a:off x="0" y="0"/>
                      <a:ext cx="2023872" cy="1517904"/>
                    </a:xfrm>
                    <a:prstGeom prst="rect">
                      <a:avLst/>
                    </a:prstGeom>
                  </pic:spPr>
                </pic:pic>
              </a:graphicData>
            </a:graphic>
          </wp:inline>
        </w:drawing>
      </w:r>
    </w:p>
    <w:p w14:paraId="1F3B75F4" w14:textId="76669201" w:rsidR="00C363C4" w:rsidRDefault="00C363C4" w:rsidP="00C363C4">
      <w:pPr>
        <w:pStyle w:val="test2"/>
        <w:keepNext/>
      </w:pPr>
      <w:r>
        <w:t>Figure 5:</w:t>
      </w:r>
      <w:r w:rsidRPr="00A57B5C">
        <w:t xml:space="preserve"> </w:t>
      </w:r>
      <w:r>
        <w:t xml:space="preserve">(Left) True single event dose-response curves and MLR point estimates of 1 to 5%HA with 4 dB dose error (circles). Mean difference in estimated and true dose that elicit (middle) </w:t>
      </w:r>
      <w:r w:rsidR="00456C75">
        <w:t xml:space="preserve">1%HA </w:t>
      </w:r>
      <w:r>
        <w:t xml:space="preserve">or (right) </w:t>
      </w:r>
      <w:r w:rsidR="00456C75">
        <w:t>5%</w:t>
      </w:r>
      <w:r>
        <w:t>HA for the 0 to 4 dB dose error cases and 2500 target participant case.</w:t>
      </w:r>
    </w:p>
    <w:p w14:paraId="4C3C74BF" w14:textId="77777777" w:rsidR="004371DE" w:rsidRDefault="004371DE" w:rsidP="00B0185B">
      <w:pPr>
        <w:pStyle w:val="test2"/>
      </w:pPr>
    </w:p>
    <w:p w14:paraId="58066BED" w14:textId="77777777" w:rsidR="004371DE" w:rsidRDefault="004371DE" w:rsidP="00BA5F93">
      <w:pPr>
        <w:pStyle w:val="Test1"/>
        <w:spacing w:after="0"/>
      </w:pPr>
      <w:r>
        <w:t>6.3 Precision of Quantities of Interest</w:t>
      </w:r>
    </w:p>
    <w:p w14:paraId="5D8C9B99" w14:textId="3214BC36" w:rsidR="00112D89" w:rsidRDefault="004371DE" w:rsidP="00112D89">
      <w:pPr>
        <w:pStyle w:val="test2"/>
      </w:pPr>
      <w:r>
        <w:t xml:space="preserve">The precision in the dose that elicits some percentage of high annoyance </w:t>
      </w:r>
      <w:r w:rsidR="007B78FF">
        <w:t>may be of</w:t>
      </w:r>
      <w:r>
        <w:t xml:space="preserve"> interest for setting noise regulations. For example, consider the hypothetical case where a noise regulation was decided by selecting the </w:t>
      </w:r>
      <w:r w:rsidR="004E17BF">
        <w:t xml:space="preserve">estimated </w:t>
      </w:r>
      <w:r>
        <w:t xml:space="preserve">dose that elicits some %HA from community test data. If that dose was estimated with poor precision, the population could be significantly more or less annoyed by that dose than expected. Here, the precision is quantified as the margin of error (MOE) in the point estimate of a quantity of interest, i.e., dose that elicits X%HA </w:t>
      </w:r>
      <w:r>
        <w:rPr>
          <w:rFonts w:cs="Times New Roman"/>
        </w:rPr>
        <w:t>±</w:t>
      </w:r>
      <w:r>
        <w:t xml:space="preserve"> MOE (dB). Figure </w:t>
      </w:r>
      <w:r w:rsidR="00116156">
        <w:t>6</w:t>
      </w:r>
      <w:r>
        <w:t xml:space="preserve"> shows the margin </w:t>
      </w:r>
      <w:r>
        <w:lastRenderedPageBreak/>
        <w:t xml:space="preserve">of errors for the dose that elicits 1% </w:t>
      </w:r>
      <w:r w:rsidR="00A37E4B">
        <w:t xml:space="preserve">and </w:t>
      </w:r>
      <w:r>
        <w:t>5%HA for the single event (left) and cumulative (right) populations for the 2500 target participants case with 0 dB dose error. The 0 dB dose error is the best cast scenario as it represents the least amount of flattening. For these quantities of interest, the single event MOE are typically around 2 dB, except for the “SR” and “</w:t>
      </w:r>
      <w:proofErr w:type="spellStart"/>
      <w:r>
        <w:t>Sh</w:t>
      </w:r>
      <w:proofErr w:type="spellEnd"/>
      <w:r>
        <w:t xml:space="preserve">” populations, which have higher </w:t>
      </w:r>
      <w:r w:rsidR="00112D89">
        <w:t>MOE. The cumulative MOE are typically around 4 dB except for the “SR,” “</w:t>
      </w:r>
      <w:proofErr w:type="spellStart"/>
      <w:r w:rsidR="00112D89">
        <w:t>Sh</w:t>
      </w:r>
      <w:proofErr w:type="spellEnd"/>
      <w:r w:rsidR="00112D89">
        <w:t>,” and “</w:t>
      </w:r>
      <w:proofErr w:type="spellStart"/>
      <w:r w:rsidR="00112D89">
        <w:t>FSh</w:t>
      </w:r>
      <w:proofErr w:type="spellEnd"/>
      <w:r w:rsidR="00112D89">
        <w:t>” populations, which have higher MOE. These populations challenge the MLR modeling approach</w:t>
      </w:r>
      <w:r w:rsidR="009572FC">
        <w:t xml:space="preserve">, leading </w:t>
      </w:r>
      <w:r w:rsidR="00112D89">
        <w:t>to poor precision in the estimated dose.</w:t>
      </w:r>
    </w:p>
    <w:p w14:paraId="5F381559" w14:textId="77777777" w:rsidR="00C363C4" w:rsidRDefault="00C363C4" w:rsidP="00C363C4">
      <w:pPr>
        <w:pStyle w:val="test2"/>
        <w:keepNext/>
      </w:pPr>
    </w:p>
    <w:p w14:paraId="0597CE1A" w14:textId="77777777" w:rsidR="00C363C4" w:rsidRDefault="00C363C4" w:rsidP="00C363C4">
      <w:pPr>
        <w:pStyle w:val="test2"/>
        <w:keepNext/>
        <w:jc w:val="center"/>
      </w:pPr>
      <w:r w:rsidRPr="00E53AB8">
        <w:rPr>
          <w:noProof/>
        </w:rPr>
        <w:drawing>
          <wp:inline distT="0" distB="0" distL="0" distR="0" wp14:anchorId="7D99D925" wp14:editId="122C497E">
            <wp:extent cx="2023872" cy="1517904"/>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47">
                      <a:extLst>
                        <a:ext uri="{96DAC541-7B7A-43D3-8B79-37D633B846F1}">
                          <asvg:svgBlip xmlns:asvg="http://schemas.microsoft.com/office/drawing/2016/SVG/main" r:embed="rId48"/>
                        </a:ext>
                      </a:extLst>
                    </a:blip>
                    <a:stretch>
                      <a:fillRect/>
                    </a:stretch>
                  </pic:blipFill>
                  <pic:spPr>
                    <a:xfrm>
                      <a:off x="0" y="0"/>
                      <a:ext cx="2023872" cy="1517904"/>
                    </a:xfrm>
                    <a:prstGeom prst="rect">
                      <a:avLst/>
                    </a:prstGeom>
                  </pic:spPr>
                </pic:pic>
              </a:graphicData>
            </a:graphic>
          </wp:inline>
        </w:drawing>
      </w:r>
      <w:r>
        <w:rPr>
          <w:noProof/>
        </w:rPr>
        <w:drawing>
          <wp:inline distT="0" distB="0" distL="0" distR="0" wp14:anchorId="480C33BA" wp14:editId="17292EF4">
            <wp:extent cx="2023872" cy="1517904"/>
            <wp:effectExtent l="0" t="0" r="0" b="635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49">
                      <a:extLst>
                        <a:ext uri="{96DAC541-7B7A-43D3-8B79-37D633B846F1}">
                          <asvg:svgBlip xmlns:asvg="http://schemas.microsoft.com/office/drawing/2016/SVG/main" r:embed="rId50"/>
                        </a:ext>
                      </a:extLst>
                    </a:blip>
                    <a:stretch>
                      <a:fillRect/>
                    </a:stretch>
                  </pic:blipFill>
                  <pic:spPr>
                    <a:xfrm>
                      <a:off x="0" y="0"/>
                      <a:ext cx="2023872" cy="1517904"/>
                    </a:xfrm>
                    <a:prstGeom prst="rect">
                      <a:avLst/>
                    </a:prstGeom>
                  </pic:spPr>
                </pic:pic>
              </a:graphicData>
            </a:graphic>
          </wp:inline>
        </w:drawing>
      </w:r>
    </w:p>
    <w:p w14:paraId="2BCA7BF6" w14:textId="608541A7" w:rsidR="00C363C4" w:rsidRDefault="00C363C4" w:rsidP="00C363C4">
      <w:pPr>
        <w:pStyle w:val="test2"/>
        <w:keepNext/>
      </w:pPr>
      <w:r>
        <w:t>Figure 6:</w:t>
      </w:r>
      <w:r w:rsidRPr="00661079">
        <w:t xml:space="preserve"> </w:t>
      </w:r>
      <w:r>
        <w:t>Mean margin of errors for the dose that elicits 1% and 5%HA for the single event (left) and cumulative (right) populations.</w:t>
      </w:r>
    </w:p>
    <w:p w14:paraId="4B2302C0" w14:textId="77777777" w:rsidR="00BA5F93" w:rsidRDefault="00BA5F93" w:rsidP="00112D89">
      <w:pPr>
        <w:pStyle w:val="test2"/>
      </w:pPr>
    </w:p>
    <w:p w14:paraId="5A05C89A" w14:textId="77777777" w:rsidR="00BA5F93" w:rsidRDefault="00BA5F93" w:rsidP="00BA5F93">
      <w:pPr>
        <w:pStyle w:val="Test1"/>
        <w:spacing w:after="0"/>
      </w:pPr>
      <w:r>
        <w:t>6.4 Sampling Variability</w:t>
      </w:r>
    </w:p>
    <w:p w14:paraId="600A042B" w14:textId="355B80A6" w:rsidR="00A91007" w:rsidRDefault="00BA5F93" w:rsidP="00A91007">
      <w:pPr>
        <w:pStyle w:val="test2"/>
        <w:keepLines/>
      </w:pPr>
      <w:r>
        <w:t xml:space="preserve">Thirty replicate datasets were generated and modeled for each of the populations studied, and this section illustrates the sampling variability between the replicates. The </w:t>
      </w:r>
      <w:r w:rsidR="00F83597">
        <w:t xml:space="preserve">standard deviation of </w:t>
      </w:r>
      <w:r>
        <w:t>percent difference</w:t>
      </w:r>
      <w:r w:rsidR="00CA034D">
        <w:t xml:space="preserve"> (</w:t>
      </w:r>
      <w:r w:rsidR="00A740EF">
        <w:t>SD</w:t>
      </w:r>
      <w:r w:rsidR="00CA034D">
        <w:t>%D)</w:t>
      </w:r>
      <w:r>
        <w:t xml:space="preserve"> between the</w:t>
      </w:r>
      <w:r w:rsidR="00555A63" w:rsidRPr="00555A63">
        <w:t xml:space="preserve"> </w:t>
      </w:r>
      <w:r w:rsidR="00555A63">
        <w:t>estimated and true population parameters was computed</w:t>
      </w:r>
      <w:r w:rsidR="00F83597">
        <w:t xml:space="preserve">, and Fig. </w:t>
      </w:r>
      <w:r w:rsidR="00116156">
        <w:t>7</w:t>
      </w:r>
      <w:r w:rsidR="00F83597">
        <w:t xml:space="preserve"> shows </w:t>
      </w:r>
      <w:r w:rsidR="00A740EF">
        <w:t>SD%D for each parameter normalized</w:t>
      </w:r>
      <w:r w:rsidR="00555A63">
        <w:t xml:space="preserve"> to the </w:t>
      </w:r>
      <w:r w:rsidR="006E30C2">
        <w:t>SD%D</w:t>
      </w:r>
      <w:r w:rsidR="00555A63">
        <w:t xml:space="preserve"> of the BL </w:t>
      </w:r>
      <w:r w:rsidR="00A91007">
        <w:t>population with 2500 target participants</w:t>
      </w:r>
      <w:r w:rsidR="006E30C2">
        <w:t xml:space="preserve">. </w:t>
      </w:r>
      <w:r w:rsidR="00A91007">
        <w:t>Normalizing this way allows the sampling variability to be interpreted with respect to the BL case.</w:t>
      </w:r>
    </w:p>
    <w:p w14:paraId="33BB8663" w14:textId="1B103842" w:rsidR="00ED2DEF" w:rsidRDefault="006E30C2" w:rsidP="00CF46C9">
      <w:pPr>
        <w:pStyle w:val="test2"/>
        <w:keepLines/>
        <w:ind w:firstLine="576"/>
      </w:pPr>
      <w:r>
        <w:t>For the 2500 target participants case (red), many of the populations have estimated parameters that are near or below the BL case. The “SR20” and “</w:t>
      </w:r>
      <w:proofErr w:type="spellStart"/>
      <w:r>
        <w:t>Sh</w:t>
      </w:r>
      <w:proofErr w:type="spellEnd"/>
      <w:r>
        <w:t>” populations are typically more than twice the sampling variability of the BL case. More than 2500 participants may be desirable if these populations are expected. Many of the populations for the 500-participant case are also greater than twice the sampling variability of the BL case.</w:t>
      </w:r>
    </w:p>
    <w:p w14:paraId="4C275D67" w14:textId="77777777" w:rsidR="00544E7E" w:rsidRDefault="00544E7E" w:rsidP="00D5158E">
      <w:pPr>
        <w:pStyle w:val="test2"/>
      </w:pPr>
    </w:p>
    <w:p w14:paraId="5BD69F09" w14:textId="77777777" w:rsidR="00544E7E" w:rsidRDefault="00544E7E" w:rsidP="00544E7E">
      <w:pPr>
        <w:pStyle w:val="Test1"/>
        <w:spacing w:after="0"/>
      </w:pPr>
      <w:r>
        <w:t>8. Conclusions</w:t>
      </w:r>
    </w:p>
    <w:p w14:paraId="29409DA3" w14:textId="5B461168" w:rsidR="002B4614" w:rsidRDefault="00544E7E" w:rsidP="002B4614">
      <w:pPr>
        <w:pStyle w:val="test2"/>
      </w:pPr>
      <w:r>
        <w:t xml:space="preserve">This work expands </w:t>
      </w:r>
      <w:r w:rsidR="004D50CC">
        <w:t>previous work t</w:t>
      </w:r>
      <w:r w:rsidR="00356712">
        <w:t xml:space="preserve">hat </w:t>
      </w:r>
      <w:r w:rsidR="004D50CC">
        <w:t>explore</w:t>
      </w:r>
      <w:r w:rsidR="00356712">
        <w:t>d</w:t>
      </w:r>
      <w:r w:rsidR="004D50CC">
        <w:t xml:space="preserve"> the impact of dose error on the shape of estimated dose-response curve</w:t>
      </w:r>
      <w:r w:rsidR="00356712">
        <w:t xml:space="preserve">s using a simulated </w:t>
      </w:r>
      <w:r w:rsidR="00B36C34">
        <w:t>survey population</w:t>
      </w:r>
      <w:r w:rsidR="009953A3">
        <w:t xml:space="preserve"> in the context of the NASA </w:t>
      </w:r>
      <w:proofErr w:type="spellStart"/>
      <w:r w:rsidR="009953A3">
        <w:t>Quesst</w:t>
      </w:r>
      <w:proofErr w:type="spellEnd"/>
      <w:r w:rsidR="009953A3">
        <w:t xml:space="preserve"> mission and the noise dose capabilities of the X-59 aircraft</w:t>
      </w:r>
      <w:r w:rsidR="00B36C34">
        <w:t>. The current work expands the range of populations considered.</w:t>
      </w:r>
      <w:r w:rsidR="00721409">
        <w:t xml:space="preserve"> In that </w:t>
      </w:r>
      <w:r w:rsidR="002B4614">
        <w:t>work,</w:t>
      </w:r>
      <w:r w:rsidR="00DE30E7">
        <w:t xml:space="preserve"> the </w:t>
      </w:r>
      <w:r w:rsidR="00ED6EF4">
        <w:t>modeled population from the NASA QSF18 community noise survey was considered</w:t>
      </w:r>
      <w:r w:rsidR="009F1A2C">
        <w:t xml:space="preserve"> as a baseline (BL).</w:t>
      </w:r>
      <w:r w:rsidR="002B4614">
        <w:t xml:space="preserve"> </w:t>
      </w:r>
      <w:r w:rsidR="009F1A2C">
        <w:t>I</w:t>
      </w:r>
      <w:r w:rsidR="002B4614">
        <w:t>t was observed that dose errors with a standard deviation greater than 2 dB caused excessive attenuation in the dose-response curve.</w:t>
      </w:r>
    </w:p>
    <w:p w14:paraId="631FBA72" w14:textId="166338A2" w:rsidR="002B4614" w:rsidRDefault="002B4614" w:rsidP="00C363C4">
      <w:pPr>
        <w:pStyle w:val="test2"/>
        <w:ind w:firstLine="576"/>
      </w:pPr>
      <w:r>
        <w:t xml:space="preserve">In this work, 24 additional population models corresponding to dose-response curves were defined by modifying the BL population parameters by </w:t>
      </w:r>
      <w:r>
        <w:rPr>
          <w:rFonts w:cs="Times New Roman"/>
        </w:rPr>
        <w:t>±</w:t>
      </w:r>
      <w:r>
        <w:t xml:space="preserve">10% and </w:t>
      </w:r>
      <w:r>
        <w:rPr>
          <w:rFonts w:cs="Times New Roman"/>
        </w:rPr>
        <w:t xml:space="preserve">±20% or to shift the dose response curve ±10 or ±20 dB to the left or right. Thirty replicate datasets were generated for each population and for 500 and 2500 target participants with 0-, 2-, or 4-dB dose error standard deviation. A MLR model was fit to each dataset, and model estimates were compared to the true parameters and quantities of interest. It was desirable to assess if the same observations as the BL population would emerge for these additional populations. Most of the populations had similar observations, but </w:t>
      </w:r>
      <w:proofErr w:type="gramStart"/>
      <w:r>
        <w:rPr>
          <w:rFonts w:cs="Times New Roman"/>
        </w:rPr>
        <w:t>in particular the</w:t>
      </w:r>
      <w:proofErr w:type="gramEnd"/>
      <w:r>
        <w:rPr>
          <w:rFonts w:cs="Times New Roman"/>
        </w:rPr>
        <w:t xml:space="preserve"> estimated dose-response curves for populations that were</w:t>
      </w:r>
      <w:r w:rsidRPr="00112D89">
        <w:rPr>
          <w:rFonts w:cs="Times New Roman"/>
        </w:rPr>
        <w:t xml:space="preserve"> </w:t>
      </w:r>
      <w:r>
        <w:rPr>
          <w:rFonts w:cs="Times New Roman"/>
        </w:rPr>
        <w:t xml:space="preserve">significantly less annoyed by sonic booms than the </w:t>
      </w:r>
      <w:r w:rsidR="007A4968">
        <w:rPr>
          <w:rFonts w:cs="Times New Roman"/>
        </w:rPr>
        <w:t xml:space="preserve">BL </w:t>
      </w:r>
      <w:r>
        <w:rPr>
          <w:rFonts w:cs="Times New Roman"/>
        </w:rPr>
        <w:t>population were poorly estimated. Such populations pose a</w:t>
      </w:r>
      <w:r w:rsidRPr="00112D89">
        <w:rPr>
          <w:rFonts w:cs="Times New Roman"/>
        </w:rPr>
        <w:t xml:space="preserve"> </w:t>
      </w:r>
      <w:r>
        <w:rPr>
          <w:rFonts w:cs="Times New Roman"/>
        </w:rPr>
        <w:t xml:space="preserve">challenge to the MLR modeling approach as the X-59 dose range was too unlikely to elicit high annoyance responses. Errors in estimates of quantities of interest steeply increased as dose error exceeded 2 dB </w:t>
      </w:r>
      <w:r w:rsidR="009239FD">
        <w:rPr>
          <w:rFonts w:cs="Times New Roman"/>
        </w:rPr>
        <w:t>and were as high as 14 dB.</w:t>
      </w:r>
    </w:p>
    <w:p w14:paraId="584B08A1" w14:textId="77777777" w:rsidR="00CF46C9" w:rsidRDefault="00CF46C9" w:rsidP="00CF46C9">
      <w:pPr>
        <w:pStyle w:val="test2"/>
        <w:keepNext/>
      </w:pPr>
      <w:r>
        <w:rPr>
          <w:noProof/>
        </w:rPr>
        <w:lastRenderedPageBreak/>
        <w:drawing>
          <wp:inline distT="0" distB="0" distL="0" distR="0" wp14:anchorId="3B7BCCFF" wp14:editId="17742463">
            <wp:extent cx="2020824" cy="1515618"/>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51">
                      <a:extLst>
                        <a:ext uri="{96DAC541-7B7A-43D3-8B79-37D633B846F1}">
                          <asvg:svgBlip xmlns:asvg="http://schemas.microsoft.com/office/drawing/2016/SVG/main" r:embed="rId52"/>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5DA4A3F5" wp14:editId="1032DE79">
            <wp:extent cx="2020824" cy="1515618"/>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53">
                      <a:extLst>
                        <a:ext uri="{96DAC541-7B7A-43D3-8B79-37D633B846F1}">
                          <asvg:svgBlip xmlns:asvg="http://schemas.microsoft.com/office/drawing/2016/SVG/main" r:embed="rId54"/>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0A8D9416" wp14:editId="7476D872">
            <wp:extent cx="2020824" cy="1515618"/>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55">
                      <a:extLst>
                        <a:ext uri="{96DAC541-7B7A-43D3-8B79-37D633B846F1}">
                          <asvg:svgBlip xmlns:asvg="http://schemas.microsoft.com/office/drawing/2016/SVG/main" r:embed="rId56"/>
                        </a:ext>
                      </a:extLst>
                    </a:blip>
                    <a:stretch>
                      <a:fillRect/>
                    </a:stretch>
                  </pic:blipFill>
                  <pic:spPr>
                    <a:xfrm>
                      <a:off x="0" y="0"/>
                      <a:ext cx="2020824" cy="1515618"/>
                    </a:xfrm>
                    <a:prstGeom prst="rect">
                      <a:avLst/>
                    </a:prstGeom>
                  </pic:spPr>
                </pic:pic>
              </a:graphicData>
            </a:graphic>
          </wp:inline>
        </w:drawing>
      </w:r>
    </w:p>
    <w:p w14:paraId="5196DB5C" w14:textId="77777777" w:rsidR="00CF46C9" w:rsidRDefault="00CF46C9" w:rsidP="00CF46C9">
      <w:pPr>
        <w:pStyle w:val="test2"/>
        <w:keepNext/>
      </w:pPr>
      <w:r>
        <w:rPr>
          <w:noProof/>
        </w:rPr>
        <w:drawing>
          <wp:inline distT="0" distB="0" distL="0" distR="0" wp14:anchorId="0E5A800F" wp14:editId="40EF6FA1">
            <wp:extent cx="2020824" cy="1515618"/>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7">
                      <a:extLst>
                        <a:ext uri="{96DAC541-7B7A-43D3-8B79-37D633B846F1}">
                          <asvg:svgBlip xmlns:asvg="http://schemas.microsoft.com/office/drawing/2016/SVG/main" r:embed="rId58"/>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3C9A4576" wp14:editId="05678EC5">
            <wp:extent cx="2020824" cy="1515618"/>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59">
                      <a:extLst>
                        <a:ext uri="{96DAC541-7B7A-43D3-8B79-37D633B846F1}">
                          <asvg:svgBlip xmlns:asvg="http://schemas.microsoft.com/office/drawing/2016/SVG/main" r:embed="rId60"/>
                        </a:ext>
                      </a:extLst>
                    </a:blip>
                    <a:stretch>
                      <a:fillRect/>
                    </a:stretch>
                  </pic:blipFill>
                  <pic:spPr>
                    <a:xfrm>
                      <a:off x="0" y="0"/>
                      <a:ext cx="2020824" cy="1515618"/>
                    </a:xfrm>
                    <a:prstGeom prst="rect">
                      <a:avLst/>
                    </a:prstGeom>
                  </pic:spPr>
                </pic:pic>
              </a:graphicData>
            </a:graphic>
          </wp:inline>
        </w:drawing>
      </w:r>
      <w:r>
        <w:rPr>
          <w:noProof/>
        </w:rPr>
        <w:drawing>
          <wp:inline distT="0" distB="0" distL="0" distR="0" wp14:anchorId="70DCD94E" wp14:editId="638978F3">
            <wp:extent cx="2020824" cy="1515618"/>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1">
                      <a:extLst>
                        <a:ext uri="{96DAC541-7B7A-43D3-8B79-37D633B846F1}">
                          <asvg:svgBlip xmlns:asvg="http://schemas.microsoft.com/office/drawing/2016/SVG/main" r:embed="rId62"/>
                        </a:ext>
                      </a:extLst>
                    </a:blip>
                    <a:stretch>
                      <a:fillRect/>
                    </a:stretch>
                  </pic:blipFill>
                  <pic:spPr>
                    <a:xfrm>
                      <a:off x="0" y="0"/>
                      <a:ext cx="2020824" cy="1515618"/>
                    </a:xfrm>
                    <a:prstGeom prst="rect">
                      <a:avLst/>
                    </a:prstGeom>
                  </pic:spPr>
                </pic:pic>
              </a:graphicData>
            </a:graphic>
          </wp:inline>
        </w:drawing>
      </w:r>
    </w:p>
    <w:p w14:paraId="236A2E38" w14:textId="77777777" w:rsidR="00CF46C9" w:rsidRDefault="00CF46C9" w:rsidP="00CF46C9">
      <w:pPr>
        <w:pStyle w:val="test2"/>
        <w:keepLines/>
      </w:pPr>
      <w:r>
        <w:t>Figure 7: The standard deviation of the percent difference between estimated and true parameters normalized to the baseline for the single event populations (top) and cumulative populations (bottom) for the 0 dB dose error case.</w:t>
      </w:r>
    </w:p>
    <w:p w14:paraId="232BA174" w14:textId="77777777" w:rsidR="00FF4BF7" w:rsidRDefault="00FF4BF7" w:rsidP="004E4A64">
      <w:pPr>
        <w:pStyle w:val="test2"/>
      </w:pPr>
    </w:p>
    <w:p w14:paraId="1CBEE686" w14:textId="5496767C" w:rsidR="001A6E70" w:rsidRDefault="003102B1" w:rsidP="00BA5F93">
      <w:pPr>
        <w:pStyle w:val="Test1"/>
        <w:spacing w:after="0"/>
      </w:pPr>
      <w:r>
        <w:t>8</w:t>
      </w:r>
      <w:r w:rsidR="001A6E70">
        <w:t>.1 Limitations</w:t>
      </w:r>
    </w:p>
    <w:p w14:paraId="488E661F" w14:textId="77777777" w:rsidR="0038340A" w:rsidRDefault="00E018A7" w:rsidP="0038340A">
      <w:pPr>
        <w:pStyle w:val="test2"/>
      </w:pPr>
      <w:r>
        <w:t xml:space="preserve">There are several notable limitations to this work. </w:t>
      </w:r>
      <w:r w:rsidR="00520EDB">
        <w:t xml:space="preserve">Each participant </w:t>
      </w:r>
      <w:r w:rsidR="007E37C0">
        <w:t xml:space="preserve">received the same set of true doses, and no attempt was made to model realism due to lateral differences in exposure or variability in </w:t>
      </w:r>
      <w:r w:rsidR="0038340A">
        <w:t>exposure due to microscopic atmospheric effects like turbulence or their environment. The simulated dose error was normal with zero mean, but it may be the case that lower loudness events have higher dose error due to signal-to-noise considerations. Participants and their responses were missing completely at random, but it may be expected that participants respond less often to lower loudness events.</w:t>
      </w:r>
    </w:p>
    <w:p w14:paraId="454B2DBE" w14:textId="19F0901A" w:rsidR="00101CCB" w:rsidRDefault="00101CCB" w:rsidP="00E018A7">
      <w:pPr>
        <w:pStyle w:val="test2"/>
      </w:pPr>
    </w:p>
    <w:p w14:paraId="79281062" w14:textId="77777777" w:rsidR="00721409" w:rsidRDefault="00721409" w:rsidP="00721409">
      <w:pPr>
        <w:pStyle w:val="Test1"/>
        <w:spacing w:after="0"/>
      </w:pPr>
      <w:r>
        <w:t>8.2 Future Work</w:t>
      </w:r>
    </w:p>
    <w:p w14:paraId="212A3D48" w14:textId="71341C3A" w:rsidR="002B4614" w:rsidRDefault="00721409" w:rsidP="002B4614">
      <w:pPr>
        <w:pStyle w:val="test2"/>
      </w:pPr>
      <w:r>
        <w:t xml:space="preserve">There are several ongoing and future activities to extend this work. First, </w:t>
      </w:r>
      <w:r w:rsidR="00D86531">
        <w:t>there is a need to collapse the results</w:t>
      </w:r>
      <w:r w:rsidR="00FC1697">
        <w:t xml:space="preserve"> to </w:t>
      </w:r>
      <w:r w:rsidR="00C468A2">
        <w:t>decouple the</w:t>
      </w:r>
      <w:r w:rsidR="00FC1697">
        <w:t xml:space="preserve"> descriptor terms such as “SL10”</w:t>
      </w:r>
      <w:r w:rsidR="00C468A2">
        <w:t xml:space="preserve"> with the results. This could perhaps be done</w:t>
      </w:r>
      <w:r w:rsidR="00FC1697">
        <w:t xml:space="preserve"> using the area under the dose-response curve or the maximum annoyance</w:t>
      </w:r>
      <w:r w:rsidR="00C468A2">
        <w:t xml:space="preserve">. </w:t>
      </w:r>
      <w:r>
        <w:t>NASA</w:t>
      </w:r>
      <w:r w:rsidR="004139A1">
        <w:t xml:space="preserve"> is also</w:t>
      </w:r>
      <w:r>
        <w:t xml:space="preserve"> assessing methods</w:t>
      </w:r>
      <w:r w:rsidR="002B4614" w:rsidRPr="002B4614">
        <w:t xml:space="preserve"> </w:t>
      </w:r>
      <w:r w:rsidR="002B4614">
        <w:t>to account for dose error. These include SIMEX (Ch. 5 of [</w:t>
      </w:r>
      <w:r w:rsidR="00CF46C9">
        <w:fldChar w:fldCharType="begin"/>
      </w:r>
      <w:r w:rsidR="00CF46C9">
        <w:instrText xml:space="preserve"> NOTEREF _Ref135143476 \h </w:instrText>
      </w:r>
      <w:r w:rsidR="00CF46C9">
        <w:fldChar w:fldCharType="separate"/>
      </w:r>
      <w:r w:rsidR="00CF46C9">
        <w:t>1</w:t>
      </w:r>
      <w:r w:rsidR="00CF46C9">
        <w:fldChar w:fldCharType="end"/>
      </w:r>
      <w:r w:rsidR="002B4614">
        <w:t xml:space="preserve">]), Regression Calibration (Ch. 4 of </w:t>
      </w:r>
      <w:r w:rsidR="00DB7E1F">
        <w:t xml:space="preserve">Ref. </w:t>
      </w:r>
      <w:r w:rsidR="002B4614">
        <w:t>[</w:t>
      </w:r>
      <w:r w:rsidR="00CF46C9">
        <w:fldChar w:fldCharType="begin"/>
      </w:r>
      <w:r w:rsidR="00CF46C9">
        <w:instrText xml:space="preserve"> NOTEREF _Ref135143476 \h </w:instrText>
      </w:r>
      <w:r w:rsidR="00CF46C9">
        <w:fldChar w:fldCharType="separate"/>
      </w:r>
      <w:r w:rsidR="00CF46C9">
        <w:t>1</w:t>
      </w:r>
      <w:r w:rsidR="00CF46C9">
        <w:fldChar w:fldCharType="end"/>
      </w:r>
      <w:r w:rsidR="002B4614">
        <w:t>] and [</w:t>
      </w:r>
      <w:r w:rsidR="007D08DD">
        <w:fldChar w:fldCharType="begin"/>
      </w:r>
      <w:r w:rsidR="007D08DD">
        <w:instrText xml:space="preserve"> NOTEREF _Ref135143341 \h </w:instrText>
      </w:r>
      <w:r w:rsidR="007D08DD">
        <w:fldChar w:fldCharType="separate"/>
      </w:r>
      <w:r w:rsidR="00BE1007">
        <w:t>4</w:t>
      </w:r>
      <w:r w:rsidR="007D08DD">
        <w:fldChar w:fldCharType="end"/>
      </w:r>
      <w:r w:rsidR="002B4614">
        <w:t>]), Data Cloning [</w:t>
      </w:r>
      <w:r w:rsidR="002B4614" w:rsidRPr="00C54006">
        <w:rPr>
          <w:rStyle w:val="EndnoteReference"/>
          <w:vertAlign w:val="baseline"/>
        </w:rPr>
        <w:endnoteReference w:id="23"/>
      </w:r>
      <w:r w:rsidR="002B4614">
        <w:t xml:space="preserve">], and Bayesian methods (Ch. 9 of </w:t>
      </w:r>
      <w:r w:rsidR="00D45D37">
        <w:t xml:space="preserve">Ref. </w:t>
      </w:r>
      <w:r w:rsidR="002B4614">
        <w:t>[</w:t>
      </w:r>
      <w:r w:rsidR="00CF46C9">
        <w:fldChar w:fldCharType="begin"/>
      </w:r>
      <w:r w:rsidR="00CF46C9">
        <w:instrText xml:space="preserve"> NOTEREF _Ref135143476 \h </w:instrText>
      </w:r>
      <w:r w:rsidR="00CF46C9">
        <w:fldChar w:fldCharType="separate"/>
      </w:r>
      <w:r w:rsidR="00CF46C9">
        <w:t>1</w:t>
      </w:r>
      <w:r w:rsidR="00CF46C9">
        <w:fldChar w:fldCharType="end"/>
      </w:r>
      <w:r w:rsidR="002B4614">
        <w:t>] and [</w:t>
      </w:r>
      <w:r w:rsidR="007D08DD">
        <w:fldChar w:fldCharType="begin"/>
      </w:r>
      <w:r w:rsidR="007D08DD">
        <w:instrText xml:space="preserve"> NOTEREF _Ref135143330 \h </w:instrText>
      </w:r>
      <w:r w:rsidR="007D08DD">
        <w:fldChar w:fldCharType="separate"/>
      </w:r>
      <w:r w:rsidR="00BE1007">
        <w:t>5</w:t>
      </w:r>
      <w:r w:rsidR="007D08DD">
        <w:fldChar w:fldCharType="end"/>
      </w:r>
      <w:r w:rsidR="002B4614">
        <w:t xml:space="preserve">]). Additionally, it is still undecided how dose-response data from multiple community surveys will be combined to create a nationally representative dose-response relationship. The datasets generated in this work could be used as “what if” scenarios, e.g., what if the population of the first community test looked like SR10, but the population of the second community test looked like SL10. Finally, </w:t>
      </w:r>
      <w:r w:rsidR="005363F4">
        <w:t>given the extensive amount of time it can take to fit models to the thousands of datasets generated</w:t>
      </w:r>
      <w:r w:rsidR="005363F4" w:rsidRPr="00721409">
        <w:t xml:space="preserve"> </w:t>
      </w:r>
      <w:r w:rsidR="005363F4">
        <w:t xml:space="preserve">for the BL and extended populations, a metamodel </w:t>
      </w:r>
      <w:r w:rsidR="00AC2A94">
        <w:t xml:space="preserve">can be fit </w:t>
      </w:r>
      <w:proofErr w:type="gramStart"/>
      <w:r w:rsidR="005363F4">
        <w:t>that outputs</w:t>
      </w:r>
      <w:proofErr w:type="gramEnd"/>
      <w:r w:rsidR="005363F4">
        <w:t xml:space="preserve"> expected model</w:t>
      </w:r>
      <w:r w:rsidR="005363F4" w:rsidRPr="00ED2DEF">
        <w:t xml:space="preserve"> </w:t>
      </w:r>
      <w:r w:rsidR="005363F4">
        <w:t>parameter</w:t>
      </w:r>
      <w:r w:rsidR="005363F4" w:rsidRPr="00721409">
        <w:t xml:space="preserve"> </w:t>
      </w:r>
      <w:r w:rsidR="005363F4">
        <w:t>and quantities of interest for any population and amount of dose error. The metamodel lends insight</w:t>
      </w:r>
      <w:r w:rsidR="005363F4" w:rsidRPr="005363F4">
        <w:t xml:space="preserve"> </w:t>
      </w:r>
      <w:r w:rsidR="005363F4">
        <w:t>into the model factors that have the biggest role in model bias and precision in the estimated dose that elicit</w:t>
      </w:r>
      <w:r w:rsidR="00AC2A94">
        <w:t xml:space="preserve"> a given %HA.</w:t>
      </w:r>
      <w:r w:rsidR="00113369">
        <w:t xml:space="preserve"> T</w:t>
      </w:r>
      <w:r w:rsidR="002B4614">
        <w:t>he metamodel can be used for multi-function optimization to help determine an optimal number of participants</w:t>
      </w:r>
      <w:r w:rsidR="00BD3F23" w:rsidRPr="00BD3F23">
        <w:t xml:space="preserve"> </w:t>
      </w:r>
      <w:r w:rsidR="00BD3F23">
        <w:t>that minimizes the survey cost, minimizes the confidence interval, and minimizes the bias.</w:t>
      </w:r>
    </w:p>
    <w:p w14:paraId="0E2BE218" w14:textId="77777777" w:rsidR="00685600" w:rsidRDefault="00685600" w:rsidP="002B4614">
      <w:pPr>
        <w:pStyle w:val="test2"/>
      </w:pPr>
    </w:p>
    <w:p w14:paraId="774FFF6E" w14:textId="77777777" w:rsidR="00685600" w:rsidRDefault="00685600" w:rsidP="00685600">
      <w:pPr>
        <w:pStyle w:val="Test1"/>
        <w:spacing w:after="0"/>
      </w:pPr>
      <w:r>
        <w:t>Acknowledgements</w:t>
      </w:r>
    </w:p>
    <w:p w14:paraId="5307175F" w14:textId="77777777" w:rsidR="00685600" w:rsidRDefault="00685600" w:rsidP="00685600">
      <w:pPr>
        <w:pStyle w:val="test2"/>
      </w:pPr>
      <w:r>
        <w:t xml:space="preserve">The authors thank the NASA Commercial Supersonic Technology Project for support of this work. In addition, we thank those with input to the conception of the work including J. Rathsam and N. Cruze of NASA Langley Research Center. We acknowledge J. </w:t>
      </w:r>
      <w:proofErr w:type="spellStart"/>
      <w:r>
        <w:t>Opsomer</w:t>
      </w:r>
      <w:proofErr w:type="spellEnd"/>
      <w:r>
        <w:t xml:space="preserve">, J. </w:t>
      </w:r>
      <w:proofErr w:type="spellStart"/>
      <w:r>
        <w:t>Wivagg</w:t>
      </w:r>
      <w:proofErr w:type="spellEnd"/>
      <w:r>
        <w:t xml:space="preserve">, E. </w:t>
      </w:r>
      <w:proofErr w:type="spellStart"/>
      <w:r>
        <w:t>Jodts</w:t>
      </w:r>
      <w:proofErr w:type="spellEnd"/>
      <w:r>
        <w:t xml:space="preserve">, R. </w:t>
      </w:r>
      <w:proofErr w:type="spellStart"/>
      <w:r>
        <w:lastRenderedPageBreak/>
        <w:t>Ferb</w:t>
      </w:r>
      <w:proofErr w:type="spellEnd"/>
      <w:r>
        <w:t xml:space="preserve">, A. </w:t>
      </w:r>
      <w:proofErr w:type="spellStart"/>
      <w:r>
        <w:t>Erciulescu</w:t>
      </w:r>
      <w:proofErr w:type="spellEnd"/>
      <w:r>
        <w:t xml:space="preserve"> (</w:t>
      </w:r>
      <w:proofErr w:type="spellStart"/>
      <w:r>
        <w:t>Westat</w:t>
      </w:r>
      <w:proofErr w:type="spellEnd"/>
      <w:r>
        <w:t>), P. Stollery (HMMH), S. Lympany, and J. Page (BRRC) for providing the preliminary modeling recommendations and the baseline noise exposure design.</w:t>
      </w:r>
    </w:p>
    <w:p w14:paraId="038AA6A7" w14:textId="6C7DB23E" w:rsidR="00721409" w:rsidRDefault="00721409" w:rsidP="00721409">
      <w:pPr>
        <w:pStyle w:val="test2"/>
      </w:pPr>
    </w:p>
    <w:p w14:paraId="65B5AFC8" w14:textId="034A144C" w:rsidR="004630B5" w:rsidRDefault="004630B5" w:rsidP="00685600">
      <w:pPr>
        <w:pStyle w:val="test2"/>
        <w:jc w:val="center"/>
      </w:pPr>
    </w:p>
    <w:p w14:paraId="478B0E92" w14:textId="5DBDB4A5" w:rsidR="00BD3F23" w:rsidRDefault="00BD3F23" w:rsidP="00BD3F23">
      <w:pPr>
        <w:pStyle w:val="Test1"/>
        <w:spacing w:after="0"/>
      </w:pPr>
      <w:r>
        <w:t>References</w:t>
      </w:r>
    </w:p>
    <w:sectPr w:rsidR="00BD3F23">
      <w:endnotePr>
        <w:numFmt w:val="decimal"/>
      </w:endnotePr>
      <w:pgSz w:w="11900" w:h="16840"/>
      <w:pgMar w:top="1134" w:right="1134" w:bottom="1134" w:left="1134"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9BACF" w14:textId="77777777" w:rsidR="00097A32" w:rsidRDefault="00097A32">
      <w:pPr>
        <w:spacing w:line="240" w:lineRule="auto"/>
      </w:pPr>
    </w:p>
  </w:endnote>
  <w:endnote w:type="continuationSeparator" w:id="0">
    <w:p w14:paraId="2A147E61" w14:textId="77777777" w:rsidR="00097A32" w:rsidRDefault="00097A32">
      <w:pPr>
        <w:spacing w:line="240" w:lineRule="auto"/>
      </w:pPr>
    </w:p>
  </w:endnote>
  <w:endnote w:type="continuationNotice" w:id="1">
    <w:p w14:paraId="2FAF8E83" w14:textId="77777777" w:rsidR="00097A32" w:rsidRDefault="00097A32">
      <w:pPr>
        <w:spacing w:line="240" w:lineRule="auto"/>
      </w:pPr>
    </w:p>
  </w:endnote>
  <w:endnote w:id="2">
    <w:p w14:paraId="08C80264" w14:textId="32FAF8A8" w:rsidR="00642FEB" w:rsidRDefault="00642FEB" w:rsidP="00915118">
      <w:pPr>
        <w:pStyle w:val="EndnoteText"/>
        <w:ind w:left="270" w:hanging="270"/>
      </w:pPr>
      <w:r w:rsidRPr="000B2DDE">
        <w:rPr>
          <w:rStyle w:val="EndnoteReference"/>
          <w:sz w:val="24"/>
          <w:szCs w:val="24"/>
          <w:vertAlign w:val="baseline"/>
        </w:rPr>
        <w:endnoteRef/>
      </w:r>
      <w:r w:rsidR="000B2DDE" w:rsidRPr="000B2DDE">
        <w:rPr>
          <w:sz w:val="24"/>
          <w:szCs w:val="24"/>
        </w:rPr>
        <w:t>.</w:t>
      </w:r>
      <w:r>
        <w:t xml:space="preserve"> </w:t>
      </w:r>
      <w:r w:rsidRPr="00424797">
        <w:rPr>
          <w:sz w:val="24"/>
          <w:szCs w:val="24"/>
        </w:rPr>
        <w:t xml:space="preserve">R. Carroll, D. Ruppert, L. Stefanski, and C. </w:t>
      </w:r>
      <w:proofErr w:type="spellStart"/>
      <w:r w:rsidRPr="00424797">
        <w:rPr>
          <w:sz w:val="24"/>
          <w:szCs w:val="24"/>
        </w:rPr>
        <w:t>Crainiceanu</w:t>
      </w:r>
      <w:proofErr w:type="spellEnd"/>
      <w:r w:rsidRPr="00424797">
        <w:rPr>
          <w:sz w:val="24"/>
          <w:szCs w:val="24"/>
        </w:rPr>
        <w:t xml:space="preserve">, </w:t>
      </w:r>
      <w:r w:rsidRPr="00424797">
        <w:rPr>
          <w:i/>
          <w:iCs/>
          <w:sz w:val="24"/>
          <w:szCs w:val="24"/>
        </w:rPr>
        <w:t>Measurement Error in Nonlinear Models: A Modern Perspective</w:t>
      </w:r>
      <w:r w:rsidRPr="00424797">
        <w:rPr>
          <w:sz w:val="24"/>
          <w:szCs w:val="24"/>
        </w:rPr>
        <w:t xml:space="preserve"> (2nd ed.), Chapman and Hall/CRC, (2006); </w:t>
      </w:r>
      <w:proofErr w:type="spellStart"/>
      <w:r w:rsidRPr="00424797">
        <w:rPr>
          <w:sz w:val="24"/>
          <w:szCs w:val="24"/>
        </w:rPr>
        <w:t>doi</w:t>
      </w:r>
      <w:proofErr w:type="spellEnd"/>
      <w:r w:rsidRPr="00424797">
        <w:rPr>
          <w:sz w:val="24"/>
          <w:szCs w:val="24"/>
        </w:rPr>
        <w:t xml:space="preserve">: </w:t>
      </w:r>
      <w:hyperlink r:id="rId1" w:history="1">
        <w:r w:rsidRPr="00424797">
          <w:rPr>
            <w:rStyle w:val="Hyperlink"/>
            <w:sz w:val="24"/>
            <w:szCs w:val="24"/>
          </w:rPr>
          <w:t>10.1201/9781420010138</w:t>
        </w:r>
      </w:hyperlink>
      <w:r w:rsidR="00BB555B">
        <w:rPr>
          <w:sz w:val="24"/>
          <w:szCs w:val="24"/>
        </w:rPr>
        <w:t>. Last accessed 2023-05-09</w:t>
      </w:r>
    </w:p>
  </w:endnote>
  <w:endnote w:id="3">
    <w:p w14:paraId="79B8A10A" w14:textId="570FE2BE" w:rsidR="00E857C2" w:rsidRPr="000B2DDE" w:rsidRDefault="00E857C2" w:rsidP="00915118">
      <w:pPr>
        <w:pStyle w:val="EndnoteText"/>
        <w:ind w:left="270" w:hanging="270"/>
      </w:pPr>
      <w:r w:rsidRPr="00895FF0">
        <w:rPr>
          <w:rStyle w:val="EndnoteReference"/>
          <w:sz w:val="24"/>
          <w:szCs w:val="24"/>
          <w:vertAlign w:val="baseline"/>
        </w:rPr>
        <w:endnoteRef/>
      </w:r>
      <w:r w:rsidR="00895FF0" w:rsidRPr="00895FF0">
        <w:rPr>
          <w:sz w:val="24"/>
          <w:szCs w:val="24"/>
        </w:rPr>
        <w:t xml:space="preserve">. </w:t>
      </w:r>
      <w:r w:rsidR="000B2DDE" w:rsidRPr="00895FF0">
        <w:rPr>
          <w:rFonts w:eastAsia="Calibri" w:cs="Times New Roman"/>
          <w:color w:val="auto"/>
          <w:sz w:val="24"/>
          <w:szCs w:val="24"/>
          <w:bdr w:val="none" w:sz="0" w:space="0" w:color="auto"/>
        </w:rPr>
        <w:t>R</w:t>
      </w:r>
      <w:r w:rsidR="000B2DDE" w:rsidRPr="00424797">
        <w:rPr>
          <w:rFonts w:eastAsia="Calibri" w:cs="Times New Roman"/>
          <w:color w:val="auto"/>
          <w:sz w:val="24"/>
          <w:szCs w:val="24"/>
          <w:bdr w:val="none" w:sz="0" w:space="0" w:color="auto"/>
        </w:rPr>
        <w:t xml:space="preserve">. D. Horonjeff, “Mathematical characterization of dose uncertainty effects on functions summarizing findings of community noise attitudinal surveys,” </w:t>
      </w:r>
      <w:r w:rsidR="000B2DDE" w:rsidRPr="00424797">
        <w:rPr>
          <w:rFonts w:eastAsia="Calibri" w:cs="Times New Roman"/>
          <w:i/>
          <w:iCs/>
          <w:color w:val="auto"/>
          <w:sz w:val="24"/>
          <w:szCs w:val="24"/>
          <w:bdr w:val="none" w:sz="0" w:space="0" w:color="auto"/>
        </w:rPr>
        <w:t xml:space="preserve">J. </w:t>
      </w:r>
      <w:proofErr w:type="spellStart"/>
      <w:r w:rsidR="000B2DDE" w:rsidRPr="00424797">
        <w:rPr>
          <w:rFonts w:eastAsia="Calibri" w:cs="Times New Roman"/>
          <w:i/>
          <w:iCs/>
          <w:color w:val="auto"/>
          <w:sz w:val="24"/>
          <w:szCs w:val="24"/>
          <w:bdr w:val="none" w:sz="0" w:space="0" w:color="auto"/>
        </w:rPr>
        <w:t>Acoust</w:t>
      </w:r>
      <w:proofErr w:type="spellEnd"/>
      <w:r w:rsidR="000B2DDE" w:rsidRPr="00424797">
        <w:rPr>
          <w:rFonts w:eastAsia="Calibri" w:cs="Times New Roman"/>
          <w:i/>
          <w:iCs/>
          <w:color w:val="auto"/>
          <w:sz w:val="24"/>
          <w:szCs w:val="24"/>
          <w:bdr w:val="none" w:sz="0" w:space="0" w:color="auto"/>
        </w:rPr>
        <w:t>. Soc. Am.</w:t>
      </w:r>
      <w:r w:rsidR="000B2DDE" w:rsidRPr="00424797">
        <w:rPr>
          <w:rFonts w:eastAsia="Calibri" w:cs="Times New Roman"/>
          <w:color w:val="auto"/>
          <w:sz w:val="24"/>
          <w:szCs w:val="24"/>
          <w:bdr w:val="none" w:sz="0" w:space="0" w:color="auto"/>
        </w:rPr>
        <w:t xml:space="preserve"> </w:t>
      </w:r>
      <w:r w:rsidR="000B2DDE" w:rsidRPr="00424797">
        <w:rPr>
          <w:rFonts w:eastAsia="Calibri" w:cs="Times New Roman"/>
          <w:b/>
          <w:bCs/>
          <w:color w:val="auto"/>
          <w:sz w:val="24"/>
          <w:szCs w:val="24"/>
          <w:bdr w:val="none" w:sz="0" w:space="0" w:color="auto"/>
        </w:rPr>
        <w:t>151</w:t>
      </w:r>
      <w:r w:rsidR="000B2DDE" w:rsidRPr="00424797">
        <w:rPr>
          <w:rFonts w:eastAsia="Calibri" w:cs="Times New Roman"/>
          <w:color w:val="auto"/>
          <w:sz w:val="24"/>
          <w:szCs w:val="24"/>
          <w:bdr w:val="none" w:sz="0" w:space="0" w:color="auto"/>
        </w:rPr>
        <w:t xml:space="preserve">, p. 2739-2750, (2022); </w:t>
      </w:r>
      <w:proofErr w:type="spellStart"/>
      <w:r w:rsidR="000B2DDE" w:rsidRPr="00424797">
        <w:rPr>
          <w:rFonts w:eastAsia="Calibri" w:cs="Times New Roman"/>
          <w:color w:val="auto"/>
          <w:sz w:val="24"/>
          <w:szCs w:val="24"/>
          <w:bdr w:val="none" w:sz="0" w:space="0" w:color="auto"/>
        </w:rPr>
        <w:t>doi</w:t>
      </w:r>
      <w:proofErr w:type="spellEnd"/>
      <w:r w:rsidR="000B2DDE" w:rsidRPr="00424797">
        <w:rPr>
          <w:rFonts w:eastAsia="Calibri" w:cs="Times New Roman"/>
          <w:color w:val="auto"/>
          <w:sz w:val="24"/>
          <w:szCs w:val="24"/>
          <w:bdr w:val="none" w:sz="0" w:space="0" w:color="auto"/>
        </w:rPr>
        <w:t xml:space="preserve">: </w:t>
      </w:r>
      <w:hyperlink r:id="rId2" w:history="1">
        <w:r w:rsidR="000B2DDE" w:rsidRPr="00424797">
          <w:rPr>
            <w:rStyle w:val="Hyperlink"/>
            <w:rFonts w:eastAsia="Calibri" w:cs="Times New Roman"/>
            <w:sz w:val="24"/>
            <w:szCs w:val="24"/>
            <w:bdr w:val="none" w:sz="0" w:space="0" w:color="auto"/>
          </w:rPr>
          <w:t>10.1121/10.0010311</w:t>
        </w:r>
      </w:hyperlink>
      <w:r w:rsidR="00BB555B">
        <w:rPr>
          <w:sz w:val="24"/>
          <w:szCs w:val="24"/>
        </w:rPr>
        <w:t>.</w:t>
      </w:r>
      <w:r w:rsidR="00DD5432">
        <w:rPr>
          <w:sz w:val="24"/>
          <w:szCs w:val="24"/>
        </w:rPr>
        <w:t xml:space="preserve"> Last accessed 2023-05-09.</w:t>
      </w:r>
    </w:p>
  </w:endnote>
  <w:endnote w:id="4">
    <w:p w14:paraId="22FB02B7" w14:textId="010D04B9" w:rsidR="00E857C2" w:rsidRDefault="00E857C2" w:rsidP="00915118">
      <w:pPr>
        <w:pStyle w:val="EndnoteText"/>
        <w:ind w:left="270" w:hanging="270"/>
      </w:pPr>
      <w:r w:rsidRPr="000B2DDE">
        <w:rPr>
          <w:rStyle w:val="EndnoteReference"/>
          <w:sz w:val="24"/>
          <w:szCs w:val="24"/>
          <w:vertAlign w:val="baseline"/>
        </w:rPr>
        <w:endnoteRef/>
      </w:r>
      <w:r w:rsidR="000B2DDE" w:rsidRPr="000B2DDE">
        <w:rPr>
          <w:sz w:val="24"/>
          <w:szCs w:val="24"/>
        </w:rPr>
        <w:t>.</w:t>
      </w:r>
      <w:r w:rsidRPr="000B2DDE">
        <w:rPr>
          <w:sz w:val="24"/>
          <w:szCs w:val="24"/>
        </w:rPr>
        <w:t xml:space="preserve"> </w:t>
      </w:r>
      <w:r w:rsidR="000B2DDE" w:rsidRPr="00424797">
        <w:rPr>
          <w:sz w:val="24"/>
          <w:szCs w:val="24"/>
        </w:rPr>
        <w:t xml:space="preserve">W. J. Doebler, A. B. Vaughn, N. B. Cruze, K. M. Ballard, J. Rathsam, and P. Parker, “Effects of dose error and sample size on sonic boom dose-response curves,” </w:t>
      </w:r>
      <w:r w:rsidR="000B2DDE" w:rsidRPr="00424797">
        <w:rPr>
          <w:b/>
          <w:bCs/>
          <w:sz w:val="24"/>
          <w:szCs w:val="24"/>
        </w:rPr>
        <w:t>152</w:t>
      </w:r>
      <w:r w:rsidR="000B2DDE" w:rsidRPr="00424797">
        <w:rPr>
          <w:sz w:val="24"/>
          <w:szCs w:val="24"/>
        </w:rPr>
        <w:t xml:space="preserve">(4), A126 (2022); </w:t>
      </w:r>
      <w:proofErr w:type="spellStart"/>
      <w:r w:rsidR="000B2DDE" w:rsidRPr="00424797">
        <w:rPr>
          <w:sz w:val="24"/>
          <w:szCs w:val="24"/>
        </w:rPr>
        <w:t>doi</w:t>
      </w:r>
      <w:proofErr w:type="spellEnd"/>
      <w:r w:rsidR="000B2DDE" w:rsidRPr="00424797">
        <w:rPr>
          <w:sz w:val="24"/>
          <w:szCs w:val="24"/>
        </w:rPr>
        <w:t xml:space="preserve">: </w:t>
      </w:r>
      <w:hyperlink r:id="rId3" w:history="1">
        <w:r w:rsidR="000B2DDE" w:rsidRPr="00B0744D">
          <w:rPr>
            <w:rStyle w:val="Hyperlink"/>
            <w:sz w:val="24"/>
            <w:szCs w:val="24"/>
          </w:rPr>
          <w:t>10.1121/10.0015769</w:t>
        </w:r>
      </w:hyperlink>
      <w:r w:rsidR="000B2DDE" w:rsidRPr="00424797">
        <w:rPr>
          <w:sz w:val="24"/>
          <w:szCs w:val="24"/>
        </w:rPr>
        <w:t xml:space="preserve">. Presentation materials  </w:t>
      </w:r>
      <w:hyperlink r:id="rId4" w:history="1">
        <w:r w:rsidR="000B2DDE" w:rsidRPr="00424797">
          <w:rPr>
            <w:rStyle w:val="Hyperlink"/>
            <w:sz w:val="24"/>
            <w:szCs w:val="24"/>
          </w:rPr>
          <w:t>https://ntrs.nasa.gov/citations/20220017468</w:t>
        </w:r>
      </w:hyperlink>
      <w:r w:rsidR="000B2DDE">
        <w:rPr>
          <w:sz w:val="24"/>
          <w:szCs w:val="24"/>
        </w:rPr>
        <w:t>. Last accessed 2023-05-09.</w:t>
      </w:r>
    </w:p>
  </w:endnote>
  <w:endnote w:id="5">
    <w:p w14:paraId="140CD0FF" w14:textId="77C7EF7C" w:rsidR="00642FEB" w:rsidRDefault="00642FEB" w:rsidP="00915118">
      <w:pPr>
        <w:pStyle w:val="EndnoteText"/>
        <w:ind w:left="270" w:hanging="270"/>
      </w:pPr>
      <w:r w:rsidRPr="00915118">
        <w:rPr>
          <w:rStyle w:val="EndnoteReference"/>
          <w:sz w:val="24"/>
          <w:szCs w:val="24"/>
          <w:vertAlign w:val="baseline"/>
        </w:rPr>
        <w:endnoteRef/>
      </w:r>
      <w:r w:rsidR="00915118">
        <w:rPr>
          <w:sz w:val="24"/>
          <w:szCs w:val="24"/>
        </w:rPr>
        <w:t>.</w:t>
      </w:r>
      <w:r w:rsidRPr="00915118">
        <w:rPr>
          <w:sz w:val="24"/>
          <w:szCs w:val="24"/>
        </w:rPr>
        <w:t xml:space="preserve"> </w:t>
      </w:r>
      <w:r w:rsidRPr="00424797">
        <w:rPr>
          <w:sz w:val="24"/>
          <w:szCs w:val="24"/>
        </w:rPr>
        <w:t xml:space="preserve">R. D. Horonjeff, “Exposure uncertainty effects on regression parameter values,” </w:t>
      </w:r>
      <w:r w:rsidRPr="00424797">
        <w:rPr>
          <w:i/>
          <w:iCs/>
          <w:sz w:val="24"/>
          <w:szCs w:val="24"/>
        </w:rPr>
        <w:t xml:space="preserve">J. </w:t>
      </w:r>
      <w:proofErr w:type="spellStart"/>
      <w:r w:rsidRPr="00424797">
        <w:rPr>
          <w:i/>
          <w:iCs/>
          <w:sz w:val="24"/>
          <w:szCs w:val="24"/>
        </w:rPr>
        <w:t>Acoust</w:t>
      </w:r>
      <w:proofErr w:type="spellEnd"/>
      <w:r w:rsidRPr="00424797">
        <w:rPr>
          <w:i/>
          <w:iCs/>
          <w:sz w:val="24"/>
          <w:szCs w:val="24"/>
        </w:rPr>
        <w:t>. Soc. Am.</w:t>
      </w:r>
      <w:r w:rsidRPr="00424797">
        <w:rPr>
          <w:sz w:val="24"/>
          <w:szCs w:val="24"/>
        </w:rPr>
        <w:t xml:space="preserve"> </w:t>
      </w:r>
      <w:r w:rsidRPr="00424797">
        <w:rPr>
          <w:b/>
          <w:bCs/>
          <w:sz w:val="24"/>
          <w:szCs w:val="24"/>
        </w:rPr>
        <w:t>152</w:t>
      </w:r>
      <w:r w:rsidRPr="00424797">
        <w:rPr>
          <w:sz w:val="24"/>
          <w:szCs w:val="24"/>
        </w:rPr>
        <w:t xml:space="preserve">, (2022); </w:t>
      </w:r>
      <w:proofErr w:type="spellStart"/>
      <w:r w:rsidRPr="00424797">
        <w:rPr>
          <w:sz w:val="24"/>
          <w:szCs w:val="24"/>
        </w:rPr>
        <w:t>doi</w:t>
      </w:r>
      <w:proofErr w:type="spellEnd"/>
      <w:r w:rsidRPr="00424797">
        <w:rPr>
          <w:sz w:val="24"/>
          <w:szCs w:val="24"/>
        </w:rPr>
        <w:t xml:space="preserve">: </w:t>
      </w:r>
      <w:hyperlink r:id="rId5" w:history="1">
        <w:r w:rsidRPr="00424797">
          <w:rPr>
            <w:rStyle w:val="Hyperlink"/>
            <w:sz w:val="24"/>
            <w:szCs w:val="24"/>
          </w:rPr>
          <w:t>10.1121/10.0015770</w:t>
        </w:r>
      </w:hyperlink>
      <w:r w:rsidR="00BB555B">
        <w:rPr>
          <w:sz w:val="24"/>
          <w:szCs w:val="24"/>
        </w:rPr>
        <w:t>.</w:t>
      </w:r>
      <w:r w:rsidR="00DD5432">
        <w:rPr>
          <w:sz w:val="24"/>
          <w:szCs w:val="24"/>
        </w:rPr>
        <w:t xml:space="preserve"> Last accessed 2023-05-09.</w:t>
      </w:r>
    </w:p>
  </w:endnote>
  <w:endnote w:id="6">
    <w:p w14:paraId="3BC427D9" w14:textId="1ACFAC2E" w:rsidR="00642FEB" w:rsidRDefault="00642FEB" w:rsidP="00915118">
      <w:pPr>
        <w:pStyle w:val="EndnoteText"/>
        <w:ind w:left="270" w:hanging="270"/>
      </w:pPr>
      <w:r w:rsidRPr="008324AF">
        <w:rPr>
          <w:rStyle w:val="EndnoteReference"/>
          <w:sz w:val="24"/>
          <w:szCs w:val="24"/>
          <w:vertAlign w:val="baseline"/>
        </w:rPr>
        <w:endnoteRef/>
      </w:r>
      <w:r w:rsidR="008324AF">
        <w:rPr>
          <w:sz w:val="24"/>
          <w:szCs w:val="24"/>
        </w:rPr>
        <w:t>.</w:t>
      </w:r>
      <w:r w:rsidRPr="008324AF">
        <w:rPr>
          <w:sz w:val="24"/>
          <w:szCs w:val="24"/>
        </w:rPr>
        <w:t xml:space="preserve"> </w:t>
      </w:r>
      <w:r w:rsidRPr="00424797">
        <w:rPr>
          <w:sz w:val="24"/>
          <w:szCs w:val="24"/>
        </w:rPr>
        <w:t xml:space="preserve">W. J. Doebler, A. B. Vaughn, K. Ballard, and J. Rathsam, “Simulation and application of Bayesian dose uncertainty modeling for low-boom community noise surveys,” </w:t>
      </w:r>
      <w:r w:rsidRPr="00424797">
        <w:rPr>
          <w:i/>
          <w:iCs/>
          <w:sz w:val="24"/>
          <w:szCs w:val="24"/>
        </w:rPr>
        <w:t xml:space="preserve">Proc. Mtgs. </w:t>
      </w:r>
      <w:proofErr w:type="spellStart"/>
      <w:r w:rsidRPr="00424797">
        <w:rPr>
          <w:i/>
          <w:iCs/>
          <w:sz w:val="24"/>
          <w:szCs w:val="24"/>
        </w:rPr>
        <w:t>Acoust</w:t>
      </w:r>
      <w:proofErr w:type="spellEnd"/>
      <w:r w:rsidRPr="00424797">
        <w:rPr>
          <w:i/>
          <w:iCs/>
          <w:sz w:val="24"/>
          <w:szCs w:val="24"/>
        </w:rPr>
        <w:t>.</w:t>
      </w:r>
      <w:r w:rsidRPr="00424797">
        <w:rPr>
          <w:sz w:val="24"/>
          <w:szCs w:val="24"/>
        </w:rPr>
        <w:t xml:space="preserve"> </w:t>
      </w:r>
      <w:r w:rsidRPr="00424797">
        <w:rPr>
          <w:b/>
          <w:bCs/>
          <w:sz w:val="24"/>
          <w:szCs w:val="24"/>
        </w:rPr>
        <w:t>45</w:t>
      </w:r>
      <w:r w:rsidRPr="00424797">
        <w:rPr>
          <w:sz w:val="24"/>
          <w:szCs w:val="24"/>
        </w:rPr>
        <w:t xml:space="preserve">, 040004 (2022); </w:t>
      </w:r>
      <w:proofErr w:type="spellStart"/>
      <w:r w:rsidRPr="00424797">
        <w:rPr>
          <w:sz w:val="24"/>
          <w:szCs w:val="24"/>
        </w:rPr>
        <w:t>doi</w:t>
      </w:r>
      <w:proofErr w:type="spellEnd"/>
      <w:r w:rsidRPr="00424797">
        <w:rPr>
          <w:sz w:val="24"/>
          <w:szCs w:val="24"/>
        </w:rPr>
        <w:t xml:space="preserve">: </w:t>
      </w:r>
      <w:hyperlink r:id="rId6" w:history="1">
        <w:r w:rsidRPr="00424797">
          <w:rPr>
            <w:rStyle w:val="Hyperlink"/>
            <w:sz w:val="24"/>
            <w:szCs w:val="24"/>
          </w:rPr>
          <w:t>10.1121/2.0001592</w:t>
        </w:r>
      </w:hyperlink>
      <w:r w:rsidR="00BB555B">
        <w:rPr>
          <w:sz w:val="24"/>
          <w:szCs w:val="24"/>
        </w:rPr>
        <w:t>.</w:t>
      </w:r>
      <w:r w:rsidR="00DD5432">
        <w:rPr>
          <w:sz w:val="24"/>
          <w:szCs w:val="24"/>
        </w:rPr>
        <w:t xml:space="preserve"> Last accessed 2023-05-09.</w:t>
      </w:r>
    </w:p>
  </w:endnote>
  <w:endnote w:id="7">
    <w:p w14:paraId="72BC1200" w14:textId="142DB288" w:rsidR="008324AF" w:rsidRPr="0076788E" w:rsidRDefault="008324AF" w:rsidP="00915118">
      <w:pPr>
        <w:pStyle w:val="EndnoteText"/>
        <w:ind w:left="270" w:hanging="270"/>
        <w:jc w:val="left"/>
        <w:rPr>
          <w:sz w:val="24"/>
          <w:szCs w:val="24"/>
        </w:rPr>
      </w:pPr>
      <w:r w:rsidRPr="008324AF">
        <w:rPr>
          <w:rStyle w:val="EndnoteReference"/>
          <w:sz w:val="24"/>
          <w:szCs w:val="24"/>
          <w:vertAlign w:val="baseline"/>
        </w:rPr>
        <w:endnoteRef/>
      </w:r>
      <w:r>
        <w:rPr>
          <w:sz w:val="24"/>
          <w:szCs w:val="24"/>
        </w:rPr>
        <w:t>.</w:t>
      </w:r>
      <w:r w:rsidRPr="008324AF">
        <w:rPr>
          <w:sz w:val="24"/>
          <w:szCs w:val="24"/>
        </w:rPr>
        <w:t xml:space="preserve"> </w:t>
      </w:r>
      <w:r w:rsidRPr="00685600">
        <w:rPr>
          <w:sz w:val="24"/>
          <w:szCs w:val="24"/>
        </w:rPr>
        <w:t xml:space="preserve">J. Rathsam, P.G. Coen, A. Loubeau, L. Ozoroski, and G. Shah. Scope and goals of NASA’s </w:t>
      </w:r>
      <w:proofErr w:type="spellStart"/>
      <w:r w:rsidRPr="00685600">
        <w:rPr>
          <w:sz w:val="24"/>
          <w:szCs w:val="24"/>
        </w:rPr>
        <w:t>Quesst</w:t>
      </w:r>
      <w:proofErr w:type="spellEnd"/>
      <w:r w:rsidRPr="00685600">
        <w:rPr>
          <w:sz w:val="24"/>
          <w:szCs w:val="24"/>
        </w:rPr>
        <w:t xml:space="preserve"> Community Test Campaign with the X-59 aircraft. </w:t>
      </w:r>
      <w:r w:rsidRPr="00685600">
        <w:rPr>
          <w:i/>
          <w:iCs/>
          <w:sz w:val="24"/>
          <w:szCs w:val="24"/>
        </w:rPr>
        <w:t>14</w:t>
      </w:r>
      <w:r w:rsidRPr="00685600">
        <w:rPr>
          <w:i/>
          <w:iCs/>
          <w:sz w:val="24"/>
          <w:szCs w:val="24"/>
          <w:vertAlign w:val="superscript"/>
        </w:rPr>
        <w:t>th</w:t>
      </w:r>
      <w:r w:rsidRPr="00685600">
        <w:rPr>
          <w:i/>
          <w:iCs/>
          <w:sz w:val="24"/>
          <w:szCs w:val="24"/>
        </w:rPr>
        <w:t xml:space="preserve"> ICBEN Congress on Noise as a Public Health Problem, </w:t>
      </w:r>
      <w:r w:rsidRPr="00685600">
        <w:rPr>
          <w:sz w:val="24"/>
          <w:szCs w:val="24"/>
        </w:rPr>
        <w:t>June 2023.</w:t>
      </w:r>
    </w:p>
  </w:endnote>
  <w:endnote w:id="8">
    <w:p w14:paraId="234483E2" w14:textId="77777777" w:rsidR="00941E54" w:rsidRDefault="00941E54" w:rsidP="00915118">
      <w:pPr>
        <w:pStyle w:val="EndnoteText"/>
        <w:ind w:left="270" w:hanging="270"/>
      </w:pPr>
      <w:r w:rsidRPr="008324AF">
        <w:rPr>
          <w:rStyle w:val="EndnoteReference"/>
          <w:sz w:val="24"/>
          <w:szCs w:val="24"/>
          <w:vertAlign w:val="baseline"/>
        </w:rPr>
        <w:endnoteRef/>
      </w:r>
      <w:r>
        <w:rPr>
          <w:sz w:val="24"/>
          <w:szCs w:val="24"/>
        </w:rPr>
        <w:t>.</w:t>
      </w:r>
      <w:r w:rsidRPr="008324AF">
        <w:rPr>
          <w:sz w:val="24"/>
          <w:szCs w:val="24"/>
        </w:rPr>
        <w:t xml:space="preserve"> </w:t>
      </w:r>
      <w:r w:rsidRPr="00424797">
        <w:rPr>
          <w:sz w:val="24"/>
          <w:szCs w:val="24"/>
        </w:rPr>
        <w:t xml:space="preserve">W. J. Doebler, A. B. Vaughn, N. B. Cruze, K. M. Ballard, J. Rathsam, and P. Parker, “Simulating effects of dose error and sample size on sonic boom dose-response models,” </w:t>
      </w:r>
      <w:r w:rsidRPr="00424797">
        <w:rPr>
          <w:i/>
          <w:iCs/>
          <w:sz w:val="24"/>
          <w:szCs w:val="24"/>
        </w:rPr>
        <w:t>To Appear</w:t>
      </w:r>
      <w:r w:rsidRPr="00424797">
        <w:rPr>
          <w:sz w:val="24"/>
          <w:szCs w:val="24"/>
        </w:rPr>
        <w:t>.</w:t>
      </w:r>
    </w:p>
  </w:endnote>
  <w:endnote w:id="9">
    <w:p w14:paraId="5B5A0D7B" w14:textId="77777777" w:rsidR="00941E54" w:rsidRPr="00B812CC" w:rsidRDefault="00941E54" w:rsidP="00915118">
      <w:pPr>
        <w:pStyle w:val="EndnoteText"/>
        <w:ind w:left="270" w:hanging="270"/>
        <w:jc w:val="left"/>
      </w:pPr>
      <w:r w:rsidRPr="00B812CC">
        <w:rPr>
          <w:rStyle w:val="EndnoteReference"/>
          <w:sz w:val="24"/>
          <w:szCs w:val="24"/>
          <w:vertAlign w:val="baseline"/>
        </w:rPr>
        <w:endnoteRef/>
      </w:r>
      <w:r>
        <w:rPr>
          <w:sz w:val="24"/>
          <w:szCs w:val="24"/>
        </w:rPr>
        <w:t>.</w:t>
      </w:r>
      <w:r w:rsidRPr="00B812CC">
        <w:rPr>
          <w:sz w:val="24"/>
          <w:szCs w:val="24"/>
        </w:rPr>
        <w:t xml:space="preserve"> </w:t>
      </w:r>
      <w:r w:rsidRPr="00424797">
        <w:rPr>
          <w:sz w:val="24"/>
          <w:szCs w:val="24"/>
        </w:rPr>
        <w:t xml:space="preserve">J. A. Page, </w:t>
      </w:r>
      <w:r w:rsidRPr="00424797">
        <w:rPr>
          <w:i/>
          <w:iCs/>
          <w:sz w:val="24"/>
          <w:szCs w:val="24"/>
        </w:rPr>
        <w:t>et al.</w:t>
      </w:r>
      <w:r w:rsidRPr="00424797">
        <w:rPr>
          <w:sz w:val="24"/>
          <w:szCs w:val="24"/>
        </w:rPr>
        <w:t>, “</w:t>
      </w:r>
      <w:r w:rsidRPr="00B812CC">
        <w:rPr>
          <w:sz w:val="24"/>
          <w:szCs w:val="24"/>
        </w:rPr>
        <w:t>Quiet Supersonic Flights 2018 (QSF18) Test: Galveston, Texas Risk Reduction for Future Community Testing with a Low-Boom Flight Demonstration Vehicle</w:t>
      </w:r>
      <w:r w:rsidRPr="00424797">
        <w:rPr>
          <w:sz w:val="24"/>
          <w:szCs w:val="24"/>
        </w:rPr>
        <w:t>,” NASA/</w:t>
      </w:r>
      <w:r w:rsidRPr="00B812CC">
        <w:t xml:space="preserve"> </w:t>
      </w:r>
      <w:r w:rsidRPr="00B812CC">
        <w:rPr>
          <w:sz w:val="24"/>
          <w:szCs w:val="24"/>
        </w:rPr>
        <w:t>CR–2020-220589/Volume I</w:t>
      </w:r>
      <w:r w:rsidRPr="00424797">
        <w:rPr>
          <w:sz w:val="24"/>
          <w:szCs w:val="24"/>
        </w:rPr>
        <w:t>, (20</w:t>
      </w:r>
      <w:r>
        <w:rPr>
          <w:sz w:val="24"/>
          <w:szCs w:val="24"/>
        </w:rPr>
        <w:t>20</w:t>
      </w:r>
      <w:r w:rsidRPr="00424797">
        <w:rPr>
          <w:sz w:val="24"/>
          <w:szCs w:val="24"/>
        </w:rPr>
        <w:t xml:space="preserve">); </w:t>
      </w:r>
      <w:hyperlink r:id="rId7" w:history="1">
        <w:r w:rsidRPr="005536B0">
          <w:rPr>
            <w:rStyle w:val="Hyperlink"/>
            <w:sz w:val="24"/>
            <w:szCs w:val="24"/>
          </w:rPr>
          <w:t>https://ntrs.nasa.gov/citations/20200003224</w:t>
        </w:r>
      </w:hyperlink>
      <w:r>
        <w:rPr>
          <w:sz w:val="24"/>
          <w:szCs w:val="24"/>
        </w:rPr>
        <w:t>. Last accessed 2023-05-09.</w:t>
      </w:r>
    </w:p>
  </w:endnote>
  <w:endnote w:id="10">
    <w:p w14:paraId="28C40FC3" w14:textId="77777777" w:rsidR="00941E54" w:rsidRPr="00424797" w:rsidRDefault="00941E54" w:rsidP="00915118">
      <w:pPr>
        <w:pStyle w:val="EndnoteText"/>
        <w:ind w:left="270" w:hanging="270"/>
        <w:jc w:val="left"/>
        <w:rPr>
          <w:sz w:val="24"/>
          <w:szCs w:val="24"/>
        </w:rPr>
      </w:pPr>
      <w:r w:rsidRPr="00424797">
        <w:rPr>
          <w:rStyle w:val="EndnoteReference"/>
          <w:sz w:val="24"/>
          <w:szCs w:val="24"/>
          <w:vertAlign w:val="baseline"/>
        </w:rPr>
        <w:endnoteRef/>
      </w:r>
      <w:r>
        <w:rPr>
          <w:sz w:val="24"/>
          <w:szCs w:val="24"/>
        </w:rPr>
        <w:t>.</w:t>
      </w:r>
      <w:r w:rsidRPr="00424797">
        <w:rPr>
          <w:sz w:val="24"/>
          <w:szCs w:val="24"/>
        </w:rPr>
        <w:t xml:space="preserve"> J. Page, S. Lympany, and B. Harker, “DRD NE-01 Noise Exposure Planning Report (Preliminary),” HMMH Report No. 312430.001.001, (2021).</w:t>
      </w:r>
    </w:p>
  </w:endnote>
  <w:endnote w:id="11">
    <w:p w14:paraId="07617552" w14:textId="70C4F413" w:rsidR="00353DCF" w:rsidRPr="00CB541E" w:rsidRDefault="00353DCF" w:rsidP="00915118">
      <w:pPr>
        <w:pStyle w:val="EndnoteText"/>
        <w:ind w:left="360" w:hanging="360"/>
        <w:jc w:val="left"/>
        <w:rPr>
          <w:sz w:val="24"/>
          <w:szCs w:val="24"/>
        </w:rPr>
      </w:pPr>
      <w:r w:rsidRPr="00CB541E">
        <w:rPr>
          <w:rStyle w:val="EndnoteReference"/>
          <w:sz w:val="24"/>
          <w:szCs w:val="24"/>
          <w:vertAlign w:val="baseline"/>
        </w:rPr>
        <w:endnoteRef/>
      </w:r>
      <w:r>
        <w:rPr>
          <w:sz w:val="24"/>
          <w:szCs w:val="24"/>
        </w:rPr>
        <w:t>.</w:t>
      </w:r>
      <w:r w:rsidRPr="00CB541E">
        <w:rPr>
          <w:sz w:val="24"/>
          <w:szCs w:val="24"/>
        </w:rPr>
        <w:t xml:space="preserve"> </w:t>
      </w:r>
      <w:r w:rsidRPr="00424797">
        <w:rPr>
          <w:sz w:val="24"/>
          <w:szCs w:val="24"/>
        </w:rPr>
        <w:t xml:space="preserve">J. A. Page, </w:t>
      </w:r>
      <w:r w:rsidRPr="00424797">
        <w:rPr>
          <w:i/>
          <w:iCs/>
          <w:sz w:val="24"/>
          <w:szCs w:val="24"/>
        </w:rPr>
        <w:t>et al.</w:t>
      </w:r>
      <w:r w:rsidRPr="00424797">
        <w:rPr>
          <w:sz w:val="24"/>
          <w:szCs w:val="24"/>
        </w:rPr>
        <w:t xml:space="preserve">, “Waveforms and sonic boom perception and response (WSPR): low-boom community response program pilot test design, execution, and analysis,” NASA/CR-2014-218180, p. 85 (2014); </w:t>
      </w:r>
      <w:hyperlink r:id="rId8" w:history="1">
        <w:r w:rsidRPr="00424797">
          <w:rPr>
            <w:rStyle w:val="Hyperlink"/>
            <w:sz w:val="24"/>
            <w:szCs w:val="24"/>
          </w:rPr>
          <w:t>https://ntrs.nasa.gov/citations/20140002785</w:t>
        </w:r>
      </w:hyperlink>
      <w:r w:rsidR="00685600">
        <w:rPr>
          <w:sz w:val="24"/>
          <w:szCs w:val="24"/>
        </w:rPr>
        <w:t>. Last accessed 2023-05-09.</w:t>
      </w:r>
    </w:p>
  </w:endnote>
  <w:endnote w:id="12">
    <w:p w14:paraId="34CB9BB5" w14:textId="4ED4649A" w:rsidR="00252799" w:rsidRPr="00252799" w:rsidRDefault="00252799" w:rsidP="00915118">
      <w:pPr>
        <w:pStyle w:val="EndnoteText"/>
        <w:ind w:left="360" w:hanging="360"/>
        <w:jc w:val="left"/>
        <w:rPr>
          <w:sz w:val="24"/>
          <w:szCs w:val="24"/>
        </w:rPr>
      </w:pPr>
      <w:r w:rsidRPr="00252799">
        <w:rPr>
          <w:rStyle w:val="EndnoteReference"/>
          <w:sz w:val="24"/>
          <w:szCs w:val="24"/>
          <w:vertAlign w:val="baseline"/>
        </w:rPr>
        <w:endnoteRef/>
      </w:r>
      <w:r w:rsidRPr="00252799">
        <w:rPr>
          <w:sz w:val="24"/>
          <w:szCs w:val="24"/>
        </w:rPr>
        <w:t>. J. Lee, J. Rathsam, and A. Wilson, “Statistical Modeling of Quiet Sonic Boom Community Response Survey Data,” NASA/TM-2019-220427, (2019);</w:t>
      </w:r>
      <w:r w:rsidR="004E34A0" w:rsidRPr="004E34A0">
        <w:t xml:space="preserve"> </w:t>
      </w:r>
      <w:hyperlink r:id="rId9" w:history="1">
        <w:r w:rsidR="004E34A0" w:rsidRPr="005536B0">
          <w:rPr>
            <w:rStyle w:val="Hyperlink"/>
            <w:sz w:val="24"/>
            <w:szCs w:val="24"/>
          </w:rPr>
          <w:t>https://ntrs.nasa.gov/citations/20190033466</w:t>
        </w:r>
      </w:hyperlink>
      <w:r w:rsidR="00685600">
        <w:rPr>
          <w:sz w:val="24"/>
          <w:szCs w:val="24"/>
        </w:rPr>
        <w:t>. Last accessed 2023-05-09.</w:t>
      </w:r>
    </w:p>
  </w:endnote>
  <w:endnote w:id="13">
    <w:p w14:paraId="5D312664" w14:textId="1C095D1B" w:rsidR="00252799" w:rsidRPr="007215F0" w:rsidRDefault="00252799" w:rsidP="00915118">
      <w:pPr>
        <w:pStyle w:val="EndnoteText"/>
        <w:ind w:left="360" w:hanging="360"/>
        <w:jc w:val="left"/>
      </w:pPr>
      <w:r w:rsidRPr="00252799">
        <w:rPr>
          <w:rStyle w:val="EndnoteReference"/>
          <w:sz w:val="24"/>
          <w:szCs w:val="24"/>
          <w:vertAlign w:val="baseline"/>
        </w:rPr>
        <w:endnoteRef/>
      </w:r>
      <w:r w:rsidRPr="00252799">
        <w:rPr>
          <w:sz w:val="24"/>
          <w:szCs w:val="24"/>
        </w:rPr>
        <w:t xml:space="preserve">. </w:t>
      </w:r>
      <w:r w:rsidR="007215F0">
        <w:rPr>
          <w:sz w:val="24"/>
          <w:szCs w:val="24"/>
        </w:rPr>
        <w:t xml:space="preserve">Miller, N. P., </w:t>
      </w:r>
      <w:r w:rsidR="007215F0">
        <w:rPr>
          <w:i/>
          <w:iCs/>
          <w:sz w:val="24"/>
          <w:szCs w:val="24"/>
        </w:rPr>
        <w:t>et al.</w:t>
      </w:r>
      <w:r w:rsidR="007215F0">
        <w:rPr>
          <w:sz w:val="24"/>
          <w:szCs w:val="24"/>
        </w:rPr>
        <w:t xml:space="preserve">, “Analysis of the Neighborhood Environmental Survey,” </w:t>
      </w:r>
      <w:r w:rsidR="00FC7106" w:rsidRPr="00FC7106">
        <w:rPr>
          <w:sz w:val="24"/>
          <w:szCs w:val="24"/>
        </w:rPr>
        <w:t>DOT/FAA/TC-21/4</w:t>
      </w:r>
      <w:r w:rsidR="00FC7106">
        <w:rPr>
          <w:sz w:val="24"/>
          <w:szCs w:val="24"/>
        </w:rPr>
        <w:t xml:space="preserve">, (2021); </w:t>
      </w:r>
      <w:hyperlink r:id="rId10" w:history="1">
        <w:r w:rsidR="00FC7106" w:rsidRPr="005536B0">
          <w:rPr>
            <w:rStyle w:val="Hyperlink"/>
            <w:sz w:val="24"/>
            <w:szCs w:val="24"/>
          </w:rPr>
          <w:t>https://www.regulations.gov/document/FAA-2021-0037-0001</w:t>
        </w:r>
      </w:hyperlink>
      <w:r w:rsidR="00685600">
        <w:rPr>
          <w:sz w:val="24"/>
          <w:szCs w:val="24"/>
        </w:rPr>
        <w:t>. Last accessed 2023-05-09.</w:t>
      </w:r>
    </w:p>
  </w:endnote>
  <w:endnote w:id="14">
    <w:p w14:paraId="6FB3DD59" w14:textId="156D3D27" w:rsidR="00D77EAA" w:rsidRPr="00424797" w:rsidRDefault="00D77EAA"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w:t>
      </w:r>
      <w:r w:rsidR="008A5528" w:rsidRPr="00424797">
        <w:rPr>
          <w:sz w:val="24"/>
          <w:szCs w:val="24"/>
        </w:rPr>
        <w:t xml:space="preserve">J. Lee, J. Rathsam, and A. Wilson, “Bayesian statistical models for community annoyance survey data,” </w:t>
      </w:r>
      <w:r w:rsidR="008A5528" w:rsidRPr="00424797">
        <w:rPr>
          <w:i/>
          <w:iCs/>
          <w:sz w:val="24"/>
          <w:szCs w:val="24"/>
        </w:rPr>
        <w:t xml:space="preserve">J. </w:t>
      </w:r>
      <w:proofErr w:type="spellStart"/>
      <w:r w:rsidR="008A5528" w:rsidRPr="00424797">
        <w:rPr>
          <w:i/>
          <w:iCs/>
          <w:sz w:val="24"/>
          <w:szCs w:val="24"/>
        </w:rPr>
        <w:t>Acoust</w:t>
      </w:r>
      <w:proofErr w:type="spellEnd"/>
      <w:r w:rsidR="008A5528" w:rsidRPr="00424797">
        <w:rPr>
          <w:i/>
          <w:iCs/>
          <w:sz w:val="24"/>
          <w:szCs w:val="24"/>
        </w:rPr>
        <w:t>. Soc. Am.</w:t>
      </w:r>
      <w:r w:rsidR="008A5528" w:rsidRPr="00424797">
        <w:rPr>
          <w:sz w:val="24"/>
          <w:szCs w:val="24"/>
        </w:rPr>
        <w:t xml:space="preserve"> </w:t>
      </w:r>
      <w:r w:rsidR="008A5528" w:rsidRPr="00424797">
        <w:rPr>
          <w:b/>
          <w:bCs/>
          <w:sz w:val="24"/>
          <w:szCs w:val="24"/>
        </w:rPr>
        <w:t>147</w:t>
      </w:r>
      <w:r w:rsidR="008A5528" w:rsidRPr="00424797">
        <w:rPr>
          <w:sz w:val="24"/>
          <w:szCs w:val="24"/>
        </w:rPr>
        <w:t xml:space="preserve">, p. 2222-2234, (2020); </w:t>
      </w:r>
      <w:proofErr w:type="spellStart"/>
      <w:r w:rsidR="004D532D" w:rsidRPr="00424797">
        <w:rPr>
          <w:sz w:val="24"/>
          <w:szCs w:val="24"/>
        </w:rPr>
        <w:t>doi</w:t>
      </w:r>
      <w:proofErr w:type="spellEnd"/>
      <w:r w:rsidR="004D532D" w:rsidRPr="00424797">
        <w:rPr>
          <w:sz w:val="24"/>
          <w:szCs w:val="24"/>
        </w:rPr>
        <w:t xml:space="preserve">: </w:t>
      </w:r>
      <w:hyperlink r:id="rId11" w:history="1">
        <w:r w:rsidR="004D532D" w:rsidRPr="00424797">
          <w:rPr>
            <w:rStyle w:val="Hyperlink"/>
            <w:sz w:val="24"/>
            <w:szCs w:val="24"/>
          </w:rPr>
          <w:t>10.1121/10.0001021</w:t>
        </w:r>
      </w:hyperlink>
      <w:r w:rsidR="00685600">
        <w:rPr>
          <w:sz w:val="24"/>
          <w:szCs w:val="24"/>
        </w:rPr>
        <w:t>.</w:t>
      </w:r>
      <w:r w:rsidR="00BB555B">
        <w:rPr>
          <w:sz w:val="24"/>
          <w:szCs w:val="24"/>
        </w:rPr>
        <w:t xml:space="preserve"> Last Accessed 2023-05-09.</w:t>
      </w:r>
    </w:p>
  </w:endnote>
  <w:endnote w:id="15">
    <w:p w14:paraId="4C4494F1" w14:textId="15891893" w:rsidR="00C76236" w:rsidRPr="00424797" w:rsidRDefault="00C76236"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w:t>
      </w:r>
      <w:r w:rsidR="0090662B" w:rsidRPr="00424797">
        <w:rPr>
          <w:sz w:val="24"/>
          <w:szCs w:val="24"/>
        </w:rPr>
        <w:t xml:space="preserve">M. </w:t>
      </w:r>
      <w:proofErr w:type="spellStart"/>
      <w:r w:rsidR="0090662B" w:rsidRPr="00424797">
        <w:rPr>
          <w:sz w:val="24"/>
          <w:szCs w:val="24"/>
        </w:rPr>
        <w:t>Pavlou</w:t>
      </w:r>
      <w:proofErr w:type="spellEnd"/>
      <w:r w:rsidR="0090662B" w:rsidRPr="00424797">
        <w:rPr>
          <w:sz w:val="24"/>
          <w:szCs w:val="24"/>
        </w:rPr>
        <w:t xml:space="preserve">, G. Ambler, S. Seaman, and R. Z. Omar, “A note on obtaining correct marginal predictions from a random intercepts model for binary outcomes,” </w:t>
      </w:r>
      <w:r w:rsidR="0090662B" w:rsidRPr="00424797">
        <w:rPr>
          <w:i/>
          <w:iCs/>
          <w:sz w:val="24"/>
          <w:szCs w:val="24"/>
        </w:rPr>
        <w:t xml:space="preserve">BMC Med. Res. Meth. </w:t>
      </w:r>
      <w:r w:rsidR="0090662B" w:rsidRPr="00424797">
        <w:rPr>
          <w:b/>
          <w:bCs/>
          <w:sz w:val="24"/>
          <w:szCs w:val="24"/>
        </w:rPr>
        <w:t>15</w:t>
      </w:r>
      <w:r w:rsidR="0090662B" w:rsidRPr="00424797">
        <w:rPr>
          <w:sz w:val="24"/>
          <w:szCs w:val="24"/>
        </w:rPr>
        <w:t>, (2015);</w:t>
      </w:r>
      <w:r w:rsidR="004D532D" w:rsidRPr="00424797">
        <w:rPr>
          <w:sz w:val="24"/>
          <w:szCs w:val="24"/>
        </w:rPr>
        <w:t xml:space="preserve"> </w:t>
      </w:r>
      <w:proofErr w:type="spellStart"/>
      <w:r w:rsidR="004D532D" w:rsidRPr="00424797">
        <w:rPr>
          <w:sz w:val="24"/>
          <w:szCs w:val="24"/>
        </w:rPr>
        <w:t>doi</w:t>
      </w:r>
      <w:proofErr w:type="spellEnd"/>
      <w:r w:rsidR="004D532D" w:rsidRPr="00424797">
        <w:rPr>
          <w:sz w:val="24"/>
          <w:szCs w:val="24"/>
        </w:rPr>
        <w:t>:</w:t>
      </w:r>
      <w:r w:rsidR="0090662B" w:rsidRPr="00424797">
        <w:rPr>
          <w:sz w:val="24"/>
          <w:szCs w:val="24"/>
        </w:rPr>
        <w:t xml:space="preserve"> </w:t>
      </w:r>
      <w:hyperlink r:id="rId12" w:history="1">
        <w:r w:rsidR="004D532D" w:rsidRPr="00424797">
          <w:rPr>
            <w:rStyle w:val="Hyperlink"/>
            <w:sz w:val="24"/>
            <w:szCs w:val="24"/>
          </w:rPr>
          <w:t>10.1186/s12874-015-0046-6</w:t>
        </w:r>
      </w:hyperlink>
      <w:r w:rsidR="00BB555B">
        <w:rPr>
          <w:sz w:val="24"/>
          <w:szCs w:val="24"/>
        </w:rPr>
        <w:t>.</w:t>
      </w:r>
      <w:r w:rsidR="00DD5432">
        <w:rPr>
          <w:sz w:val="24"/>
          <w:szCs w:val="24"/>
        </w:rPr>
        <w:t xml:space="preserve"> Last accessed 2023-05-09.</w:t>
      </w:r>
    </w:p>
  </w:endnote>
  <w:endnote w:id="16">
    <w:p w14:paraId="129CEED9" w14:textId="7F0C4A3E" w:rsidR="000F6C81" w:rsidRPr="00424797" w:rsidRDefault="000F6C81"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w:t>
      </w:r>
      <w:r w:rsidR="00C0224F" w:rsidRPr="00424797">
        <w:rPr>
          <w:sz w:val="24"/>
          <w:szCs w:val="24"/>
        </w:rPr>
        <w:t xml:space="preserve">A. B. Vaughn, J. Rathsam, W. J. Doebler, and K. M. Ballard, “Comparison of two statistical models for low boom dose-response relationships with correlated responses,” </w:t>
      </w:r>
      <w:r w:rsidR="00C0224F" w:rsidRPr="00424797">
        <w:rPr>
          <w:i/>
          <w:iCs/>
          <w:sz w:val="24"/>
          <w:szCs w:val="24"/>
        </w:rPr>
        <w:t xml:space="preserve">Proc. Mtgs. </w:t>
      </w:r>
      <w:proofErr w:type="spellStart"/>
      <w:r w:rsidR="00C0224F" w:rsidRPr="00424797">
        <w:rPr>
          <w:i/>
          <w:iCs/>
          <w:sz w:val="24"/>
          <w:szCs w:val="24"/>
        </w:rPr>
        <w:t>Acoust</w:t>
      </w:r>
      <w:proofErr w:type="spellEnd"/>
      <w:r w:rsidR="00C0224F" w:rsidRPr="00424797">
        <w:rPr>
          <w:i/>
          <w:iCs/>
          <w:sz w:val="24"/>
          <w:szCs w:val="24"/>
        </w:rPr>
        <w:t xml:space="preserve">. </w:t>
      </w:r>
      <w:r w:rsidR="00C0224F" w:rsidRPr="00424797">
        <w:rPr>
          <w:b/>
          <w:bCs/>
          <w:sz w:val="24"/>
          <w:szCs w:val="24"/>
        </w:rPr>
        <w:t>45</w:t>
      </w:r>
      <w:r w:rsidR="00C0224F" w:rsidRPr="00424797">
        <w:rPr>
          <w:sz w:val="24"/>
          <w:szCs w:val="24"/>
        </w:rPr>
        <w:t xml:space="preserve">, 040001, (2022); </w:t>
      </w:r>
      <w:proofErr w:type="spellStart"/>
      <w:r w:rsidR="004D532D" w:rsidRPr="00424797">
        <w:rPr>
          <w:sz w:val="24"/>
          <w:szCs w:val="24"/>
        </w:rPr>
        <w:t>doi</w:t>
      </w:r>
      <w:proofErr w:type="spellEnd"/>
      <w:r w:rsidR="004D532D" w:rsidRPr="00424797">
        <w:rPr>
          <w:sz w:val="24"/>
          <w:szCs w:val="24"/>
        </w:rPr>
        <w:t xml:space="preserve">: </w:t>
      </w:r>
      <w:hyperlink r:id="rId13" w:history="1">
        <w:r w:rsidR="004D532D" w:rsidRPr="00424797">
          <w:rPr>
            <w:rStyle w:val="Hyperlink"/>
            <w:sz w:val="24"/>
            <w:szCs w:val="24"/>
          </w:rPr>
          <w:t>10.1121/2.0001541</w:t>
        </w:r>
      </w:hyperlink>
      <w:r w:rsidR="00BB555B">
        <w:rPr>
          <w:sz w:val="24"/>
          <w:szCs w:val="24"/>
        </w:rPr>
        <w:t>.</w:t>
      </w:r>
      <w:r w:rsidR="00DD5432">
        <w:rPr>
          <w:sz w:val="24"/>
          <w:szCs w:val="24"/>
        </w:rPr>
        <w:t xml:space="preserve"> Last accessed 2023-05-09.</w:t>
      </w:r>
    </w:p>
  </w:endnote>
  <w:endnote w:id="17">
    <w:p w14:paraId="17888903" w14:textId="40B1C62C" w:rsidR="001857BE" w:rsidRPr="00424797" w:rsidRDefault="001857BE"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S. S. Stevens, “Perceived level of noise by Mark VII and decibels (</w:t>
      </w:r>
      <w:r w:rsidRPr="00424797">
        <w:rPr>
          <w:i/>
          <w:iCs/>
          <w:sz w:val="24"/>
          <w:szCs w:val="24"/>
        </w:rPr>
        <w:t>E</w:t>
      </w:r>
      <w:r w:rsidRPr="00424797">
        <w:rPr>
          <w:sz w:val="24"/>
          <w:szCs w:val="24"/>
        </w:rPr>
        <w:t xml:space="preserve">),” </w:t>
      </w:r>
      <w:r w:rsidRPr="00424797">
        <w:rPr>
          <w:i/>
          <w:iCs/>
          <w:sz w:val="24"/>
          <w:szCs w:val="24"/>
        </w:rPr>
        <w:t xml:space="preserve">J. </w:t>
      </w:r>
      <w:proofErr w:type="spellStart"/>
      <w:r w:rsidRPr="00424797">
        <w:rPr>
          <w:i/>
          <w:iCs/>
          <w:sz w:val="24"/>
          <w:szCs w:val="24"/>
        </w:rPr>
        <w:t>Acoust</w:t>
      </w:r>
      <w:proofErr w:type="spellEnd"/>
      <w:r w:rsidRPr="00424797">
        <w:rPr>
          <w:i/>
          <w:iCs/>
          <w:sz w:val="24"/>
          <w:szCs w:val="24"/>
        </w:rPr>
        <w:t xml:space="preserve">. Soc. Am. </w:t>
      </w:r>
      <w:r w:rsidRPr="00424797">
        <w:rPr>
          <w:b/>
          <w:bCs/>
          <w:sz w:val="24"/>
          <w:szCs w:val="24"/>
        </w:rPr>
        <w:t>51</w:t>
      </w:r>
      <w:r w:rsidRPr="00424797">
        <w:rPr>
          <w:sz w:val="24"/>
          <w:szCs w:val="24"/>
        </w:rPr>
        <w:t xml:space="preserve">, p. 575-601, (1972); </w:t>
      </w:r>
      <w:proofErr w:type="spellStart"/>
      <w:r w:rsidR="004D532D" w:rsidRPr="00424797">
        <w:rPr>
          <w:sz w:val="24"/>
          <w:szCs w:val="24"/>
        </w:rPr>
        <w:t>doi</w:t>
      </w:r>
      <w:proofErr w:type="spellEnd"/>
      <w:r w:rsidR="004D532D" w:rsidRPr="00424797">
        <w:rPr>
          <w:sz w:val="24"/>
          <w:szCs w:val="24"/>
        </w:rPr>
        <w:t xml:space="preserve">: </w:t>
      </w:r>
      <w:hyperlink r:id="rId14" w:history="1">
        <w:r w:rsidR="004D532D" w:rsidRPr="00424797">
          <w:rPr>
            <w:rStyle w:val="Hyperlink"/>
            <w:sz w:val="24"/>
            <w:szCs w:val="24"/>
          </w:rPr>
          <w:t>10.1121/1.1912880</w:t>
        </w:r>
      </w:hyperlink>
      <w:r w:rsidR="00BB555B">
        <w:rPr>
          <w:sz w:val="24"/>
          <w:szCs w:val="24"/>
        </w:rPr>
        <w:t>.</w:t>
      </w:r>
      <w:r w:rsidR="00DD5432">
        <w:rPr>
          <w:sz w:val="24"/>
          <w:szCs w:val="24"/>
        </w:rPr>
        <w:t xml:space="preserve"> Last accessed 2023-05-09.</w:t>
      </w:r>
    </w:p>
  </w:endnote>
  <w:endnote w:id="18">
    <w:p w14:paraId="6BFCE738" w14:textId="6856C5E4" w:rsidR="001857BE" w:rsidRPr="00424797" w:rsidRDefault="001857BE"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w:t>
      </w:r>
      <w:r w:rsidR="00E174DF">
        <w:rPr>
          <w:sz w:val="24"/>
          <w:szCs w:val="24"/>
        </w:rPr>
        <w:t>K. P. Shepherd and B. M Sullivan, “A loudness calculation procedure applied to shaped sonic booms,” NASA/TP</w:t>
      </w:r>
      <w:r w:rsidR="007643D3">
        <w:rPr>
          <w:sz w:val="24"/>
          <w:szCs w:val="24"/>
        </w:rPr>
        <w:t xml:space="preserve">-3134, (1991); </w:t>
      </w:r>
      <w:hyperlink r:id="rId15" w:history="1">
        <w:r w:rsidR="0080775C">
          <w:rPr>
            <w:rStyle w:val="Hyperlink"/>
            <w:sz w:val="24"/>
            <w:szCs w:val="24"/>
          </w:rPr>
          <w:t>https://ntrs.nasa.gov/citations/19920002547</w:t>
        </w:r>
      </w:hyperlink>
      <w:r w:rsidR="00685600">
        <w:rPr>
          <w:sz w:val="24"/>
          <w:szCs w:val="24"/>
        </w:rPr>
        <w:t>. Last accessed 2023-05-09.</w:t>
      </w:r>
      <w:r w:rsidR="000D4398">
        <w:rPr>
          <w:sz w:val="24"/>
          <w:szCs w:val="24"/>
        </w:rPr>
        <w:t xml:space="preserve"> </w:t>
      </w:r>
    </w:p>
  </w:endnote>
  <w:endnote w:id="19">
    <w:p w14:paraId="476CF9E9" w14:textId="427C3102" w:rsidR="002D616A" w:rsidRPr="007E1FBB" w:rsidRDefault="002D616A"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w:t>
      </w:r>
      <w:r w:rsidR="007E1FBB">
        <w:rPr>
          <w:sz w:val="24"/>
          <w:szCs w:val="24"/>
        </w:rPr>
        <w:t>G. M. Fitzmaurice, N. M. Laird,</w:t>
      </w:r>
      <w:r w:rsidR="0080775C">
        <w:rPr>
          <w:sz w:val="24"/>
          <w:szCs w:val="24"/>
        </w:rPr>
        <w:t xml:space="preserve"> and</w:t>
      </w:r>
      <w:r w:rsidR="007E1FBB">
        <w:rPr>
          <w:sz w:val="24"/>
          <w:szCs w:val="24"/>
        </w:rPr>
        <w:t xml:space="preserve"> J. H. Ware, </w:t>
      </w:r>
      <w:r w:rsidR="007E1FBB">
        <w:rPr>
          <w:i/>
          <w:iCs/>
          <w:sz w:val="24"/>
          <w:szCs w:val="24"/>
        </w:rPr>
        <w:t>Applied Longitudinal Analysis</w:t>
      </w:r>
      <w:r w:rsidR="007E1FBB">
        <w:rPr>
          <w:sz w:val="24"/>
          <w:szCs w:val="24"/>
        </w:rPr>
        <w:t xml:space="preserve">, </w:t>
      </w:r>
      <w:r w:rsidR="008003DF">
        <w:rPr>
          <w:sz w:val="24"/>
          <w:szCs w:val="24"/>
        </w:rPr>
        <w:t>John Wiley &amp; Sons, (2012).</w:t>
      </w:r>
    </w:p>
  </w:endnote>
  <w:endnote w:id="20">
    <w:p w14:paraId="3ABC428D" w14:textId="42567366" w:rsidR="002D616A" w:rsidRPr="00424797" w:rsidRDefault="002D616A"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D. Bates, </w:t>
      </w:r>
      <w:r w:rsidR="008D043C" w:rsidRPr="008D043C">
        <w:rPr>
          <w:i/>
          <w:iCs/>
          <w:sz w:val="24"/>
          <w:szCs w:val="24"/>
        </w:rPr>
        <w:t>et al.</w:t>
      </w:r>
      <w:r w:rsidRPr="00424797">
        <w:rPr>
          <w:sz w:val="24"/>
          <w:szCs w:val="24"/>
        </w:rPr>
        <w:t xml:space="preserve">, “Package ‘lme4’: Linear mixed-effects </w:t>
      </w:r>
      <w:proofErr w:type="spellStart"/>
      <w:r w:rsidRPr="00424797">
        <w:rPr>
          <w:sz w:val="24"/>
          <w:szCs w:val="24"/>
        </w:rPr>
        <w:t>modelsusing</w:t>
      </w:r>
      <w:proofErr w:type="spellEnd"/>
      <w:r w:rsidRPr="00424797">
        <w:rPr>
          <w:sz w:val="24"/>
          <w:szCs w:val="24"/>
        </w:rPr>
        <w:t xml:space="preserve"> ‘Eigen’ and S4,” (2022); </w:t>
      </w:r>
      <w:hyperlink r:id="rId16" w:history="1">
        <w:r w:rsidRPr="00424797">
          <w:rPr>
            <w:rStyle w:val="Hyperlink"/>
            <w:sz w:val="24"/>
            <w:szCs w:val="24"/>
          </w:rPr>
          <w:t>https://cran.r-project.org/web/packages/lme4/lme4.pdf</w:t>
        </w:r>
      </w:hyperlink>
      <w:r w:rsidR="00685600">
        <w:rPr>
          <w:sz w:val="24"/>
          <w:szCs w:val="24"/>
        </w:rPr>
        <w:t>. Last accessed 2023-05-09.</w:t>
      </w:r>
    </w:p>
  </w:endnote>
  <w:endnote w:id="21">
    <w:p w14:paraId="6351EC12" w14:textId="46822922" w:rsidR="002D616A" w:rsidRPr="00424797" w:rsidRDefault="002D616A" w:rsidP="00915118">
      <w:pPr>
        <w:pStyle w:val="EndnoteText"/>
        <w:ind w:left="360" w:hanging="360"/>
        <w:jc w:val="left"/>
        <w:rPr>
          <w:sz w:val="24"/>
          <w:szCs w:val="24"/>
        </w:rPr>
      </w:pPr>
      <w:r w:rsidRPr="00424797">
        <w:rPr>
          <w:rStyle w:val="EndnoteReference"/>
          <w:sz w:val="24"/>
          <w:szCs w:val="24"/>
          <w:vertAlign w:val="baseline"/>
        </w:rPr>
        <w:endnoteRef/>
      </w:r>
      <w:r w:rsidR="00424797">
        <w:rPr>
          <w:sz w:val="24"/>
          <w:szCs w:val="24"/>
        </w:rPr>
        <w:t>.</w:t>
      </w:r>
      <w:r w:rsidRPr="00424797">
        <w:rPr>
          <w:sz w:val="24"/>
          <w:szCs w:val="24"/>
        </w:rPr>
        <w:t xml:space="preserve"> R Core Team, “R: A language and environment for statistical computing,” R Foundation for Statistical Computing, Vienna, Austria, (2021); </w:t>
      </w:r>
      <w:hyperlink r:id="rId17" w:history="1">
        <w:r w:rsidRPr="00424797">
          <w:rPr>
            <w:rStyle w:val="Hyperlink"/>
            <w:sz w:val="24"/>
            <w:szCs w:val="24"/>
          </w:rPr>
          <w:t>https://www.R-project.org/</w:t>
        </w:r>
      </w:hyperlink>
      <w:r w:rsidR="00685600">
        <w:rPr>
          <w:sz w:val="24"/>
          <w:szCs w:val="24"/>
        </w:rPr>
        <w:t>. Last accessed 2023-05-09.</w:t>
      </w:r>
    </w:p>
  </w:endnote>
  <w:endnote w:id="22">
    <w:p w14:paraId="69E0CC2D" w14:textId="29BAD382" w:rsidR="00AD7A90" w:rsidRPr="00424797" w:rsidRDefault="00AD7A90" w:rsidP="00915118">
      <w:pPr>
        <w:pStyle w:val="EndnoteText"/>
        <w:ind w:left="360" w:hanging="360"/>
        <w:jc w:val="left"/>
        <w:rPr>
          <w:sz w:val="24"/>
          <w:szCs w:val="24"/>
        </w:rPr>
      </w:pPr>
      <w:r w:rsidRPr="00424797">
        <w:rPr>
          <w:rStyle w:val="EndnoteReference"/>
          <w:sz w:val="24"/>
          <w:szCs w:val="24"/>
          <w:vertAlign w:val="baseline"/>
        </w:rPr>
        <w:endnoteRef/>
      </w:r>
      <w:r>
        <w:rPr>
          <w:sz w:val="24"/>
          <w:szCs w:val="24"/>
        </w:rPr>
        <w:t>.</w:t>
      </w:r>
      <w:r w:rsidRPr="00424797">
        <w:rPr>
          <w:sz w:val="24"/>
          <w:szCs w:val="24"/>
        </w:rPr>
        <w:t xml:space="preserve"> M. </w:t>
      </w:r>
      <w:proofErr w:type="spellStart"/>
      <w:r w:rsidRPr="00424797">
        <w:rPr>
          <w:sz w:val="24"/>
          <w:szCs w:val="24"/>
        </w:rPr>
        <w:t>Pavlou</w:t>
      </w:r>
      <w:proofErr w:type="spellEnd"/>
      <w:r w:rsidRPr="00424797">
        <w:rPr>
          <w:sz w:val="24"/>
          <w:szCs w:val="24"/>
        </w:rPr>
        <w:t xml:space="preserve">, G. Ambler, S. Seaman, and R. Z. Omar, “A note on obtaining correct marginal predictions from a random intercepts model for binary outcomes,” </w:t>
      </w:r>
      <w:r w:rsidRPr="00424797">
        <w:rPr>
          <w:i/>
          <w:iCs/>
          <w:sz w:val="24"/>
          <w:szCs w:val="24"/>
        </w:rPr>
        <w:t xml:space="preserve">BMC Med. Res. Meth. </w:t>
      </w:r>
      <w:r w:rsidRPr="00424797">
        <w:rPr>
          <w:b/>
          <w:bCs/>
          <w:sz w:val="24"/>
          <w:szCs w:val="24"/>
        </w:rPr>
        <w:t>15</w:t>
      </w:r>
      <w:r w:rsidRPr="00424797">
        <w:rPr>
          <w:sz w:val="24"/>
          <w:szCs w:val="24"/>
        </w:rPr>
        <w:t xml:space="preserve">, (2015); </w:t>
      </w:r>
      <w:proofErr w:type="spellStart"/>
      <w:r w:rsidR="00685600">
        <w:rPr>
          <w:sz w:val="24"/>
          <w:szCs w:val="24"/>
        </w:rPr>
        <w:t>doi</w:t>
      </w:r>
      <w:proofErr w:type="spellEnd"/>
      <w:r w:rsidR="00685600">
        <w:rPr>
          <w:sz w:val="24"/>
          <w:szCs w:val="24"/>
        </w:rPr>
        <w:t xml:space="preserve">: </w:t>
      </w:r>
      <w:hyperlink r:id="rId18" w:history="1">
        <w:r w:rsidR="00685600">
          <w:rPr>
            <w:rStyle w:val="Hyperlink"/>
            <w:sz w:val="24"/>
            <w:szCs w:val="24"/>
          </w:rPr>
          <w:t>10.1186/s12874-015-0046-6</w:t>
        </w:r>
      </w:hyperlink>
      <w:r w:rsidR="00685600">
        <w:rPr>
          <w:sz w:val="24"/>
          <w:szCs w:val="24"/>
        </w:rPr>
        <w:t>. Last accessed 2023-05-09.</w:t>
      </w:r>
    </w:p>
  </w:endnote>
  <w:endnote w:id="23">
    <w:p w14:paraId="0A021933" w14:textId="7B081E47" w:rsidR="002B4614" w:rsidRPr="0097399D" w:rsidRDefault="002B4614" w:rsidP="00915118">
      <w:pPr>
        <w:pStyle w:val="EndnoteText"/>
        <w:ind w:left="360" w:hanging="360"/>
        <w:jc w:val="left"/>
        <w:rPr>
          <w:sz w:val="24"/>
          <w:szCs w:val="24"/>
        </w:rPr>
      </w:pPr>
      <w:r w:rsidRPr="00424797">
        <w:rPr>
          <w:rStyle w:val="EndnoteReference"/>
          <w:sz w:val="24"/>
          <w:szCs w:val="24"/>
          <w:vertAlign w:val="baseline"/>
        </w:rPr>
        <w:endnoteRef/>
      </w:r>
      <w:r>
        <w:rPr>
          <w:sz w:val="24"/>
          <w:szCs w:val="24"/>
        </w:rPr>
        <w:t>.</w:t>
      </w:r>
      <w:r w:rsidRPr="00424797">
        <w:rPr>
          <w:sz w:val="24"/>
          <w:szCs w:val="24"/>
        </w:rPr>
        <w:t xml:space="preserve"> </w:t>
      </w:r>
      <w:r>
        <w:rPr>
          <w:sz w:val="24"/>
          <w:szCs w:val="24"/>
        </w:rPr>
        <w:t xml:space="preserve">M. </w:t>
      </w:r>
      <w:proofErr w:type="spellStart"/>
      <w:r>
        <w:rPr>
          <w:sz w:val="24"/>
          <w:szCs w:val="24"/>
        </w:rPr>
        <w:t>Torabi</w:t>
      </w:r>
      <w:proofErr w:type="spellEnd"/>
      <w:r>
        <w:rPr>
          <w:sz w:val="24"/>
          <w:szCs w:val="24"/>
        </w:rPr>
        <w:t xml:space="preserve">, “Likelihood inference in generalized linear mixed measurement error models,” </w:t>
      </w:r>
      <w:r>
        <w:rPr>
          <w:i/>
          <w:iCs/>
          <w:sz w:val="24"/>
          <w:szCs w:val="24"/>
        </w:rPr>
        <w:t>Comp. Stat. and Data Analysis</w:t>
      </w:r>
      <w:r>
        <w:rPr>
          <w:sz w:val="24"/>
          <w:szCs w:val="24"/>
        </w:rPr>
        <w:t xml:space="preserve"> </w:t>
      </w:r>
      <w:r>
        <w:rPr>
          <w:b/>
          <w:bCs/>
          <w:sz w:val="24"/>
          <w:szCs w:val="24"/>
        </w:rPr>
        <w:t>57</w:t>
      </w:r>
      <w:r>
        <w:rPr>
          <w:sz w:val="24"/>
          <w:szCs w:val="24"/>
        </w:rPr>
        <w:t xml:space="preserve">, p. 549-557; </w:t>
      </w:r>
      <w:proofErr w:type="spellStart"/>
      <w:r>
        <w:rPr>
          <w:sz w:val="24"/>
          <w:szCs w:val="24"/>
        </w:rPr>
        <w:t>doi</w:t>
      </w:r>
      <w:proofErr w:type="spellEnd"/>
      <w:r>
        <w:rPr>
          <w:sz w:val="24"/>
          <w:szCs w:val="24"/>
        </w:rPr>
        <w:t xml:space="preserve">: </w:t>
      </w:r>
      <w:hyperlink r:id="rId19" w:history="1">
        <w:r>
          <w:rPr>
            <w:rStyle w:val="Hyperlink"/>
            <w:sz w:val="24"/>
            <w:szCs w:val="24"/>
          </w:rPr>
          <w:t>10.1016/j.csda.2012.07.018</w:t>
        </w:r>
      </w:hyperlink>
      <w:r w:rsidR="00BB555B">
        <w:rPr>
          <w:sz w:val="24"/>
          <w:szCs w:val="24"/>
        </w:rPr>
        <w:t xml:space="preserve">. </w:t>
      </w:r>
      <w:r w:rsidR="00DD5432">
        <w:rPr>
          <w:sz w:val="24"/>
          <w:szCs w:val="24"/>
        </w:rPr>
        <w:t>Last accessed 2023-05-09.</w:t>
      </w:r>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auto"/>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FB210" w14:textId="77777777" w:rsidR="00097A32" w:rsidRDefault="00097A32">
      <w:r>
        <w:separator/>
      </w:r>
    </w:p>
  </w:footnote>
  <w:footnote w:type="continuationSeparator" w:id="0">
    <w:p w14:paraId="18F1A18E" w14:textId="77777777" w:rsidR="00097A32" w:rsidRDefault="00097A32">
      <w:r>
        <w:continuationSeparator/>
      </w:r>
    </w:p>
  </w:footnote>
  <w:footnote w:type="continuationNotice" w:id="1">
    <w:p w14:paraId="1A9F8B17" w14:textId="77777777" w:rsidR="00097A32" w:rsidRDefault="00097A32"/>
  </w:footnote>
  <w:footnote w:id="2">
    <w:p w14:paraId="2C7302E6" w14:textId="037F28DC" w:rsidR="00373EA3" w:rsidRDefault="00373EA3">
      <w:pPr>
        <w:spacing w:line="40" w:lineRule="atLeast"/>
      </w:pPr>
      <w:r>
        <w:rPr>
          <w:vertAlign w:val="superscript"/>
        </w:rPr>
        <w:footnoteRef/>
      </w:r>
      <w:r>
        <w:rPr>
          <w:sz w:val="20"/>
          <w:szCs w:val="20"/>
          <w:lang w:val="es-ES_tradnl"/>
        </w:rPr>
        <w:t xml:space="preserve"> </w:t>
      </w:r>
      <w:r w:rsidR="003B013A">
        <w:rPr>
          <w:sz w:val="20"/>
          <w:szCs w:val="20"/>
          <w:lang w:val="es-ES_tradnl"/>
        </w:rPr>
        <w:t>william.j.doebler@nasa.gov</w:t>
      </w:r>
    </w:p>
  </w:footnote>
  <w:footnote w:id="3">
    <w:p w14:paraId="014BB44E" w14:textId="4F04ED3E" w:rsidR="00D1618F" w:rsidRDefault="00D1618F" w:rsidP="00D1618F">
      <w:pPr>
        <w:spacing w:line="40" w:lineRule="atLeast"/>
      </w:pPr>
      <w:r>
        <w:rPr>
          <w:vertAlign w:val="superscript"/>
        </w:rPr>
        <w:footnoteRef/>
      </w:r>
      <w:r>
        <w:rPr>
          <w:sz w:val="20"/>
          <w:szCs w:val="20"/>
          <w:lang w:val="es-ES_tradnl"/>
        </w:rPr>
        <w:t xml:space="preserve"> </w:t>
      </w:r>
      <w:r w:rsidR="00E2325A">
        <w:rPr>
          <w:sz w:val="20"/>
          <w:szCs w:val="20"/>
          <w:lang w:val="es-ES_tradnl"/>
        </w:rPr>
        <w:t>kathryn.ballard@nasa.gov</w:t>
      </w:r>
    </w:p>
  </w:footnote>
  <w:footnote w:id="4">
    <w:p w14:paraId="0A69BA34" w14:textId="749D14F1" w:rsidR="00D1618F" w:rsidRDefault="00D1618F" w:rsidP="00D1618F">
      <w:pPr>
        <w:spacing w:line="40" w:lineRule="atLeast"/>
      </w:pPr>
      <w:r>
        <w:rPr>
          <w:vertAlign w:val="superscript"/>
        </w:rPr>
        <w:footnoteRef/>
      </w:r>
      <w:r>
        <w:rPr>
          <w:sz w:val="20"/>
          <w:szCs w:val="20"/>
          <w:lang w:val="es-ES_tradnl"/>
        </w:rPr>
        <w:t xml:space="preserve"> </w:t>
      </w:r>
      <w:r w:rsidR="00E2325A">
        <w:rPr>
          <w:sz w:val="20"/>
          <w:szCs w:val="20"/>
          <w:lang w:val="es-ES_tradnl"/>
        </w:rPr>
        <w:t>aaron.b.vaughn@nasa.gov</w:t>
      </w:r>
    </w:p>
  </w:footnote>
  <w:footnote w:id="5">
    <w:p w14:paraId="19935DF7" w14:textId="73A059B3" w:rsidR="00D1618F" w:rsidRDefault="00D1618F" w:rsidP="00D1618F">
      <w:pPr>
        <w:spacing w:line="40" w:lineRule="atLeast"/>
      </w:pPr>
      <w:r>
        <w:rPr>
          <w:vertAlign w:val="superscript"/>
        </w:rPr>
        <w:footnoteRef/>
      </w:r>
      <w:r>
        <w:rPr>
          <w:sz w:val="20"/>
          <w:szCs w:val="20"/>
          <w:lang w:val="es-ES_tradnl"/>
        </w:rPr>
        <w:t xml:space="preserve"> </w:t>
      </w:r>
      <w:r w:rsidR="00E2325A">
        <w:rPr>
          <w:sz w:val="20"/>
          <w:szCs w:val="20"/>
          <w:lang w:val="es-ES_tradnl"/>
        </w:rPr>
        <w:t>peter.a.parker@nasa.gov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74561"/>
    <w:multiLevelType w:val="hybridMultilevel"/>
    <w:tmpl w:val="ACA25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144A1"/>
    <w:multiLevelType w:val="hybridMultilevel"/>
    <w:tmpl w:val="65E6AA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74F38"/>
    <w:multiLevelType w:val="hybridMultilevel"/>
    <w:tmpl w:val="D6F2BCF6"/>
    <w:lvl w:ilvl="0" w:tplc="CB5C0CF4">
      <w:start w:val="1"/>
      <w:numFmt w:val="bullet"/>
      <w:lvlText w:val="–"/>
      <w:lvlJc w:val="left"/>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pPr>
      <w:rPr>
        <w:rFonts w:ascii="Times New Roman" w:hAnsi="Times New Roman" w:cs="Times New Roman"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F637EC">
      <w:start w:val="1"/>
      <w:numFmt w:val="bullet"/>
      <w:lvlText w:val="•"/>
      <w:lvlJc w:val="left"/>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AABA00">
      <w:start w:val="1"/>
      <w:numFmt w:val="bullet"/>
      <w:lvlText w:val="•"/>
      <w:lvlJc w:val="left"/>
      <w:pPr>
        <w:tabs>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A16CE">
      <w:start w:val="1"/>
      <w:numFmt w:val="bullet"/>
      <w:lvlText w:val="•"/>
      <w:lvlJc w:val="left"/>
      <w:pPr>
        <w:tabs>
          <w:tab w:val="left" w:pos="360"/>
          <w:tab w:val="left" w:pos="720"/>
          <w:tab w:val="left" w:pos="108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623BD2">
      <w:start w:val="1"/>
      <w:numFmt w:val="bullet"/>
      <w:lvlText w:val="•"/>
      <w:lvlJc w:val="left"/>
      <w:pPr>
        <w:tabs>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A40580">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05ABC">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5C759E">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120"/>
          <w:tab w:val="left" w:pos="6480"/>
          <w:tab w:val="left" w:pos="6840"/>
          <w:tab w:val="left" w:pos="7200"/>
          <w:tab w:val="left" w:pos="7560"/>
          <w:tab w:val="left" w:pos="7920"/>
          <w:tab w:val="left" w:pos="8280"/>
          <w:tab w:val="left" w:pos="8640"/>
          <w:tab w:val="left" w:pos="9000"/>
          <w:tab w:val="left" w:pos="9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5228F4">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6840"/>
          <w:tab w:val="left" w:pos="7200"/>
          <w:tab w:val="left" w:pos="7560"/>
          <w:tab w:val="left" w:pos="7920"/>
          <w:tab w:val="left" w:pos="8280"/>
          <w:tab w:val="left" w:pos="8640"/>
          <w:tab w:val="left" w:pos="9000"/>
          <w:tab w:val="left" w:pos="9360"/>
        </w:tabs>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25710CED"/>
    <w:multiLevelType w:val="hybridMultilevel"/>
    <w:tmpl w:val="1EE0F8E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29A024A3"/>
    <w:multiLevelType w:val="multilevel"/>
    <w:tmpl w:val="5C4085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D871A8E"/>
    <w:multiLevelType w:val="hybridMultilevel"/>
    <w:tmpl w:val="668A2706"/>
    <w:lvl w:ilvl="0" w:tplc="8E5A9C5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E8DCCA">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6A094C">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4E6EEA">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4218D2">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1E4CCC">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64D386">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85A4E">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D8570C">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9E6389B"/>
    <w:multiLevelType w:val="hybridMultilevel"/>
    <w:tmpl w:val="B888DC5C"/>
    <w:lvl w:ilvl="0" w:tplc="6B0C4736">
      <w:start w:val="1"/>
      <w:numFmt w:val="bullet"/>
      <w:lvlText w:val="•"/>
      <w:lvlJc w:val="left"/>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F637EC">
      <w:start w:val="1"/>
      <w:numFmt w:val="bullet"/>
      <w:lvlText w:val="•"/>
      <w:lvlJc w:val="left"/>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AABA00">
      <w:start w:val="1"/>
      <w:numFmt w:val="bullet"/>
      <w:lvlText w:val="•"/>
      <w:lvlJc w:val="left"/>
      <w:pPr>
        <w:tabs>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A16CE">
      <w:start w:val="1"/>
      <w:numFmt w:val="bullet"/>
      <w:lvlText w:val="•"/>
      <w:lvlJc w:val="left"/>
      <w:pPr>
        <w:tabs>
          <w:tab w:val="left" w:pos="360"/>
          <w:tab w:val="left" w:pos="720"/>
          <w:tab w:val="left" w:pos="108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623BD2">
      <w:start w:val="1"/>
      <w:numFmt w:val="bullet"/>
      <w:lvlText w:val="•"/>
      <w:lvlJc w:val="left"/>
      <w:pPr>
        <w:tabs>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A40580">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05ABC">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5C759E">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120"/>
          <w:tab w:val="left" w:pos="6480"/>
          <w:tab w:val="left" w:pos="6840"/>
          <w:tab w:val="left" w:pos="7200"/>
          <w:tab w:val="left" w:pos="7560"/>
          <w:tab w:val="left" w:pos="7920"/>
          <w:tab w:val="left" w:pos="8280"/>
          <w:tab w:val="left" w:pos="8640"/>
          <w:tab w:val="left" w:pos="9000"/>
          <w:tab w:val="left" w:pos="9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5228F4">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6840"/>
          <w:tab w:val="left" w:pos="7200"/>
          <w:tab w:val="left" w:pos="7560"/>
          <w:tab w:val="left" w:pos="7920"/>
          <w:tab w:val="left" w:pos="8280"/>
          <w:tab w:val="left" w:pos="8640"/>
          <w:tab w:val="left" w:pos="9000"/>
          <w:tab w:val="left" w:pos="9360"/>
        </w:tabs>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B0F53F8"/>
    <w:multiLevelType w:val="hybridMultilevel"/>
    <w:tmpl w:val="3C74BD5C"/>
    <w:lvl w:ilvl="0" w:tplc="0409000F">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F41E01"/>
    <w:multiLevelType w:val="hybridMultilevel"/>
    <w:tmpl w:val="3D58A5D8"/>
    <w:lvl w:ilvl="0" w:tplc="812E4A64">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BA45D7"/>
    <w:multiLevelType w:val="hybridMultilevel"/>
    <w:tmpl w:val="25E407F4"/>
    <w:lvl w:ilvl="0" w:tplc="CB5C0CF4">
      <w:start w:val="1"/>
      <w:numFmt w:val="bullet"/>
      <w:lvlText w:val="–"/>
      <w:lvlJc w:val="left"/>
      <w:pPr>
        <w:ind w:left="420" w:hanging="420"/>
      </w:pPr>
      <w:rPr>
        <w:rFonts w:ascii="Times New Roman" w:hAnsi="Times New Roman" w:cs="Times New Roman" w:hint="default"/>
        <w:caps w:val="0"/>
        <w:smallCaps w:val="0"/>
        <w:strike w:val="0"/>
        <w:dstrike w:val="0"/>
        <w:color w:val="000000"/>
        <w:spacing w:val="0"/>
        <w:w w:val="100"/>
        <w:kern w:val="0"/>
        <w:position w:val="0"/>
        <w:vertAlign w:val="baseli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7C26F6A"/>
    <w:multiLevelType w:val="hybridMultilevel"/>
    <w:tmpl w:val="F2B248FC"/>
    <w:lvl w:ilvl="0" w:tplc="CB5C0CF4">
      <w:start w:val="1"/>
      <w:numFmt w:val="bullet"/>
      <w:lvlText w:val="–"/>
      <w:lvlJc w:val="left"/>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pPr>
      <w:rPr>
        <w:rFonts w:ascii="Times New Roman" w:hAnsi="Times New Roman" w:cs="Times New Roman"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F637EC">
      <w:start w:val="1"/>
      <w:numFmt w:val="bullet"/>
      <w:lvlText w:val="•"/>
      <w:lvlJc w:val="left"/>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AABA00">
      <w:start w:val="1"/>
      <w:numFmt w:val="bullet"/>
      <w:lvlText w:val="•"/>
      <w:lvlJc w:val="left"/>
      <w:pPr>
        <w:tabs>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A16CE">
      <w:start w:val="1"/>
      <w:numFmt w:val="bullet"/>
      <w:lvlText w:val="•"/>
      <w:lvlJc w:val="left"/>
      <w:pPr>
        <w:tabs>
          <w:tab w:val="left" w:pos="360"/>
          <w:tab w:val="left" w:pos="720"/>
          <w:tab w:val="left" w:pos="108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623BD2">
      <w:start w:val="1"/>
      <w:numFmt w:val="bullet"/>
      <w:lvlText w:val="•"/>
      <w:lvlJc w:val="left"/>
      <w:pPr>
        <w:tabs>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A40580">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05ABC">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5C759E">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120"/>
          <w:tab w:val="left" w:pos="6480"/>
          <w:tab w:val="left" w:pos="6840"/>
          <w:tab w:val="left" w:pos="7200"/>
          <w:tab w:val="left" w:pos="7560"/>
          <w:tab w:val="left" w:pos="7920"/>
          <w:tab w:val="left" w:pos="8280"/>
          <w:tab w:val="left" w:pos="8640"/>
          <w:tab w:val="left" w:pos="9000"/>
          <w:tab w:val="left" w:pos="9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5228F4">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6840"/>
          <w:tab w:val="left" w:pos="7200"/>
          <w:tab w:val="left" w:pos="7560"/>
          <w:tab w:val="left" w:pos="7920"/>
          <w:tab w:val="left" w:pos="8280"/>
          <w:tab w:val="left" w:pos="8640"/>
          <w:tab w:val="left" w:pos="9000"/>
          <w:tab w:val="left" w:pos="9360"/>
        </w:tabs>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817286E"/>
    <w:multiLevelType w:val="hybridMultilevel"/>
    <w:tmpl w:val="668A2706"/>
    <w:lvl w:ilvl="0" w:tplc="D676FE5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24D50C">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F0E905E">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6299E6">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E608D0">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B0800A">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B4C0D0">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D23096">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7CD0F0">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D030FC8"/>
    <w:multiLevelType w:val="hybridMultilevel"/>
    <w:tmpl w:val="C0BA5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0848D8"/>
    <w:multiLevelType w:val="hybridMultilevel"/>
    <w:tmpl w:val="96F248BE"/>
    <w:lvl w:ilvl="0" w:tplc="CB5C0CF4">
      <w:start w:val="1"/>
      <w:numFmt w:val="bullet"/>
      <w:lvlText w:val="–"/>
      <w:lvlJc w:val="left"/>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pPr>
      <w:rPr>
        <w:rFonts w:ascii="Times New Roman" w:hAnsi="Times New Roman" w:cs="Times New Roman"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F637EC">
      <w:start w:val="1"/>
      <w:numFmt w:val="bullet"/>
      <w:lvlText w:val="•"/>
      <w:lvlJc w:val="left"/>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AABA00">
      <w:start w:val="1"/>
      <w:numFmt w:val="bullet"/>
      <w:lvlText w:val="•"/>
      <w:lvlJc w:val="left"/>
      <w:pPr>
        <w:tabs>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A16CE">
      <w:start w:val="1"/>
      <w:numFmt w:val="bullet"/>
      <w:lvlText w:val="•"/>
      <w:lvlJc w:val="left"/>
      <w:pPr>
        <w:tabs>
          <w:tab w:val="left" w:pos="360"/>
          <w:tab w:val="left" w:pos="720"/>
          <w:tab w:val="left" w:pos="108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623BD2">
      <w:start w:val="1"/>
      <w:numFmt w:val="bullet"/>
      <w:lvlText w:val="•"/>
      <w:lvlJc w:val="left"/>
      <w:pPr>
        <w:tabs>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A40580">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05ABC">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5C759E">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120"/>
          <w:tab w:val="left" w:pos="6480"/>
          <w:tab w:val="left" w:pos="6840"/>
          <w:tab w:val="left" w:pos="7200"/>
          <w:tab w:val="left" w:pos="7560"/>
          <w:tab w:val="left" w:pos="7920"/>
          <w:tab w:val="left" w:pos="8280"/>
          <w:tab w:val="left" w:pos="8640"/>
          <w:tab w:val="left" w:pos="9000"/>
          <w:tab w:val="left" w:pos="9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5228F4">
      <w:start w:val="1"/>
      <w:numFmt w:val="bullet"/>
      <w:lvlText w:val="•"/>
      <w:lvlJc w:val="lef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6840"/>
          <w:tab w:val="left" w:pos="7200"/>
          <w:tab w:val="left" w:pos="7560"/>
          <w:tab w:val="left" w:pos="7920"/>
          <w:tab w:val="left" w:pos="8280"/>
          <w:tab w:val="left" w:pos="8640"/>
          <w:tab w:val="left" w:pos="9000"/>
          <w:tab w:val="left" w:pos="9360"/>
        </w:tabs>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D2B2E89"/>
    <w:multiLevelType w:val="hybridMultilevel"/>
    <w:tmpl w:val="BDBEA22C"/>
    <w:lvl w:ilvl="0" w:tplc="E3328EF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6"/>
    <w:lvlOverride w:ilvl="0">
      <w:lvl w:ilvl="0" w:tplc="6B0C4736">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DF637EC">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9AABA00">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4CA16CE">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8623BD2">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AA40580">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4405ABC">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B5C759E">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F5228F4">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5"/>
  </w:num>
  <w:num w:numId="4">
    <w:abstractNumId w:val="11"/>
  </w:num>
  <w:num w:numId="5">
    <w:abstractNumId w:val="8"/>
  </w:num>
  <w:num w:numId="6">
    <w:abstractNumId w:val="2"/>
  </w:num>
  <w:num w:numId="7">
    <w:abstractNumId w:val="10"/>
  </w:num>
  <w:num w:numId="8">
    <w:abstractNumId w:val="13"/>
  </w:num>
  <w:num w:numId="9">
    <w:abstractNumId w:val="9"/>
  </w:num>
  <w:num w:numId="10">
    <w:abstractNumId w:val="14"/>
  </w:num>
  <w:num w:numId="11">
    <w:abstractNumId w:val="7"/>
  </w:num>
  <w:num w:numId="12">
    <w:abstractNumId w:val="4"/>
  </w:num>
  <w:num w:numId="13">
    <w:abstractNumId w:val="3"/>
  </w:num>
  <w:num w:numId="14">
    <w:abstractNumId w:val="1"/>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bordersDoNotSurroundHeader/>
  <w:bordersDoNotSurroundFooter/>
  <w:proofState w:spelling="clean" w:grammar="clean"/>
  <w:defaultTabStop w:val="576"/>
  <w:characterSpacingControl w:val="doNotCompress"/>
  <w:hdrShapeDefaults>
    <o:shapedefaults v:ext="edit" spidmax="2050">
      <v:textbox inset="5.85pt,.7pt,5.85pt,.7pt"/>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8BF"/>
    <w:rsid w:val="00000711"/>
    <w:rsid w:val="00001A34"/>
    <w:rsid w:val="00002566"/>
    <w:rsid w:val="00002587"/>
    <w:rsid w:val="00002724"/>
    <w:rsid w:val="00003F01"/>
    <w:rsid w:val="00004931"/>
    <w:rsid w:val="00004D90"/>
    <w:rsid w:val="00006617"/>
    <w:rsid w:val="00007258"/>
    <w:rsid w:val="00007882"/>
    <w:rsid w:val="00010354"/>
    <w:rsid w:val="00012F78"/>
    <w:rsid w:val="0001323C"/>
    <w:rsid w:val="000133B1"/>
    <w:rsid w:val="000136F9"/>
    <w:rsid w:val="000139B6"/>
    <w:rsid w:val="0001512F"/>
    <w:rsid w:val="00015BED"/>
    <w:rsid w:val="00017C01"/>
    <w:rsid w:val="000203AC"/>
    <w:rsid w:val="00020AF0"/>
    <w:rsid w:val="00021AB4"/>
    <w:rsid w:val="00023BC5"/>
    <w:rsid w:val="00023E86"/>
    <w:rsid w:val="000251F2"/>
    <w:rsid w:val="00026D13"/>
    <w:rsid w:val="00026F68"/>
    <w:rsid w:val="00030755"/>
    <w:rsid w:val="000318FB"/>
    <w:rsid w:val="00036734"/>
    <w:rsid w:val="00036CD8"/>
    <w:rsid w:val="00036F21"/>
    <w:rsid w:val="00037525"/>
    <w:rsid w:val="000402FB"/>
    <w:rsid w:val="0004035B"/>
    <w:rsid w:val="0004039E"/>
    <w:rsid w:val="00041229"/>
    <w:rsid w:val="00044E2E"/>
    <w:rsid w:val="00045853"/>
    <w:rsid w:val="0004662A"/>
    <w:rsid w:val="000504AA"/>
    <w:rsid w:val="00051723"/>
    <w:rsid w:val="0005262E"/>
    <w:rsid w:val="00052F2A"/>
    <w:rsid w:val="00056DCD"/>
    <w:rsid w:val="00057AB4"/>
    <w:rsid w:val="00060E2E"/>
    <w:rsid w:val="0006575F"/>
    <w:rsid w:val="00066378"/>
    <w:rsid w:val="00066748"/>
    <w:rsid w:val="00067DF5"/>
    <w:rsid w:val="00067E0B"/>
    <w:rsid w:val="00070582"/>
    <w:rsid w:val="00070AD4"/>
    <w:rsid w:val="000720A7"/>
    <w:rsid w:val="000738DE"/>
    <w:rsid w:val="000747D0"/>
    <w:rsid w:val="00074BC5"/>
    <w:rsid w:val="00075716"/>
    <w:rsid w:val="00076326"/>
    <w:rsid w:val="00076948"/>
    <w:rsid w:val="000771A6"/>
    <w:rsid w:val="00077200"/>
    <w:rsid w:val="000820BA"/>
    <w:rsid w:val="000833A5"/>
    <w:rsid w:val="0008401D"/>
    <w:rsid w:val="0008435A"/>
    <w:rsid w:val="00086337"/>
    <w:rsid w:val="0008667C"/>
    <w:rsid w:val="00087445"/>
    <w:rsid w:val="000879EE"/>
    <w:rsid w:val="00087FE5"/>
    <w:rsid w:val="00090731"/>
    <w:rsid w:val="00091371"/>
    <w:rsid w:val="00091DF8"/>
    <w:rsid w:val="000924F5"/>
    <w:rsid w:val="00093DC2"/>
    <w:rsid w:val="00094872"/>
    <w:rsid w:val="00095B09"/>
    <w:rsid w:val="00096FE7"/>
    <w:rsid w:val="00097885"/>
    <w:rsid w:val="00097A32"/>
    <w:rsid w:val="000A1926"/>
    <w:rsid w:val="000A456C"/>
    <w:rsid w:val="000A5D88"/>
    <w:rsid w:val="000A6D11"/>
    <w:rsid w:val="000A72EB"/>
    <w:rsid w:val="000A76FC"/>
    <w:rsid w:val="000B14BD"/>
    <w:rsid w:val="000B2DDE"/>
    <w:rsid w:val="000B3FD1"/>
    <w:rsid w:val="000B40EA"/>
    <w:rsid w:val="000B4CD3"/>
    <w:rsid w:val="000B4E39"/>
    <w:rsid w:val="000B59A2"/>
    <w:rsid w:val="000B5C45"/>
    <w:rsid w:val="000B6E01"/>
    <w:rsid w:val="000B79D9"/>
    <w:rsid w:val="000C01FE"/>
    <w:rsid w:val="000C1383"/>
    <w:rsid w:val="000C15D9"/>
    <w:rsid w:val="000C2051"/>
    <w:rsid w:val="000C2CB0"/>
    <w:rsid w:val="000C2CBF"/>
    <w:rsid w:val="000C3A3D"/>
    <w:rsid w:val="000C494D"/>
    <w:rsid w:val="000C6BAB"/>
    <w:rsid w:val="000D05AD"/>
    <w:rsid w:val="000D0D2F"/>
    <w:rsid w:val="000D155B"/>
    <w:rsid w:val="000D38DF"/>
    <w:rsid w:val="000D3A91"/>
    <w:rsid w:val="000D4398"/>
    <w:rsid w:val="000D4BB3"/>
    <w:rsid w:val="000D4D4A"/>
    <w:rsid w:val="000D56E4"/>
    <w:rsid w:val="000D6DD2"/>
    <w:rsid w:val="000D7C4F"/>
    <w:rsid w:val="000E07D4"/>
    <w:rsid w:val="000E1780"/>
    <w:rsid w:val="000E1FB6"/>
    <w:rsid w:val="000E2EEF"/>
    <w:rsid w:val="000E3367"/>
    <w:rsid w:val="000E3C71"/>
    <w:rsid w:val="000E3FAB"/>
    <w:rsid w:val="000E48D4"/>
    <w:rsid w:val="000E53DB"/>
    <w:rsid w:val="000E5D88"/>
    <w:rsid w:val="000E6035"/>
    <w:rsid w:val="000E6213"/>
    <w:rsid w:val="000E6E91"/>
    <w:rsid w:val="000F0C0F"/>
    <w:rsid w:val="000F14EA"/>
    <w:rsid w:val="000F3388"/>
    <w:rsid w:val="000F4F3C"/>
    <w:rsid w:val="000F52DB"/>
    <w:rsid w:val="000F5B0F"/>
    <w:rsid w:val="000F647B"/>
    <w:rsid w:val="000F6C81"/>
    <w:rsid w:val="000F73DE"/>
    <w:rsid w:val="000F7501"/>
    <w:rsid w:val="000F7C48"/>
    <w:rsid w:val="00101CCB"/>
    <w:rsid w:val="001023CA"/>
    <w:rsid w:val="00103671"/>
    <w:rsid w:val="001049B1"/>
    <w:rsid w:val="001055E4"/>
    <w:rsid w:val="00106220"/>
    <w:rsid w:val="001067FF"/>
    <w:rsid w:val="0011060C"/>
    <w:rsid w:val="001116DD"/>
    <w:rsid w:val="00112D89"/>
    <w:rsid w:val="00112DB2"/>
    <w:rsid w:val="00112FD8"/>
    <w:rsid w:val="00113112"/>
    <w:rsid w:val="00113369"/>
    <w:rsid w:val="001133EE"/>
    <w:rsid w:val="0011379B"/>
    <w:rsid w:val="00115335"/>
    <w:rsid w:val="00116156"/>
    <w:rsid w:val="00117C74"/>
    <w:rsid w:val="001218DB"/>
    <w:rsid w:val="001241C6"/>
    <w:rsid w:val="001242A5"/>
    <w:rsid w:val="00124A4F"/>
    <w:rsid w:val="0012589A"/>
    <w:rsid w:val="00126B7E"/>
    <w:rsid w:val="00126D62"/>
    <w:rsid w:val="001270A5"/>
    <w:rsid w:val="001276BB"/>
    <w:rsid w:val="0012775C"/>
    <w:rsid w:val="0013023A"/>
    <w:rsid w:val="00130703"/>
    <w:rsid w:val="00130C00"/>
    <w:rsid w:val="00130C97"/>
    <w:rsid w:val="00131A84"/>
    <w:rsid w:val="001334AE"/>
    <w:rsid w:val="001336A8"/>
    <w:rsid w:val="00134E25"/>
    <w:rsid w:val="0013589B"/>
    <w:rsid w:val="0013622D"/>
    <w:rsid w:val="00136F86"/>
    <w:rsid w:val="00136FF6"/>
    <w:rsid w:val="00137841"/>
    <w:rsid w:val="00142559"/>
    <w:rsid w:val="00142740"/>
    <w:rsid w:val="001509D7"/>
    <w:rsid w:val="00152F09"/>
    <w:rsid w:val="00154371"/>
    <w:rsid w:val="0015532A"/>
    <w:rsid w:val="001553D5"/>
    <w:rsid w:val="0015540C"/>
    <w:rsid w:val="00160C0C"/>
    <w:rsid w:val="0016289B"/>
    <w:rsid w:val="00162AFA"/>
    <w:rsid w:val="00164474"/>
    <w:rsid w:val="00164917"/>
    <w:rsid w:val="001668A0"/>
    <w:rsid w:val="00167E1D"/>
    <w:rsid w:val="00170EEC"/>
    <w:rsid w:val="001727E4"/>
    <w:rsid w:val="001757C5"/>
    <w:rsid w:val="00176330"/>
    <w:rsid w:val="00180869"/>
    <w:rsid w:val="00181E02"/>
    <w:rsid w:val="00181FD5"/>
    <w:rsid w:val="00182215"/>
    <w:rsid w:val="00183DE0"/>
    <w:rsid w:val="001857BE"/>
    <w:rsid w:val="00185B59"/>
    <w:rsid w:val="00185FD3"/>
    <w:rsid w:val="0018625B"/>
    <w:rsid w:val="00186668"/>
    <w:rsid w:val="00186FF0"/>
    <w:rsid w:val="001874B0"/>
    <w:rsid w:val="0019027E"/>
    <w:rsid w:val="001915E1"/>
    <w:rsid w:val="0019197F"/>
    <w:rsid w:val="00191B76"/>
    <w:rsid w:val="00193CE9"/>
    <w:rsid w:val="00193E53"/>
    <w:rsid w:val="00193F16"/>
    <w:rsid w:val="00195CE9"/>
    <w:rsid w:val="00196410"/>
    <w:rsid w:val="0019658E"/>
    <w:rsid w:val="00197144"/>
    <w:rsid w:val="00197AE1"/>
    <w:rsid w:val="001A010A"/>
    <w:rsid w:val="001A14D2"/>
    <w:rsid w:val="001A153D"/>
    <w:rsid w:val="001A23E8"/>
    <w:rsid w:val="001A3535"/>
    <w:rsid w:val="001A5061"/>
    <w:rsid w:val="001A547A"/>
    <w:rsid w:val="001A5608"/>
    <w:rsid w:val="001A6E70"/>
    <w:rsid w:val="001B0217"/>
    <w:rsid w:val="001B1311"/>
    <w:rsid w:val="001B17A1"/>
    <w:rsid w:val="001B3B92"/>
    <w:rsid w:val="001B3E1A"/>
    <w:rsid w:val="001B45BD"/>
    <w:rsid w:val="001B4666"/>
    <w:rsid w:val="001B5F44"/>
    <w:rsid w:val="001B7A87"/>
    <w:rsid w:val="001B7CB8"/>
    <w:rsid w:val="001B7E54"/>
    <w:rsid w:val="001B7F93"/>
    <w:rsid w:val="001C22C5"/>
    <w:rsid w:val="001C3806"/>
    <w:rsid w:val="001C573E"/>
    <w:rsid w:val="001C579B"/>
    <w:rsid w:val="001C57BF"/>
    <w:rsid w:val="001C5C14"/>
    <w:rsid w:val="001C74F3"/>
    <w:rsid w:val="001C7A1B"/>
    <w:rsid w:val="001D005C"/>
    <w:rsid w:val="001D068A"/>
    <w:rsid w:val="001D1624"/>
    <w:rsid w:val="001D2227"/>
    <w:rsid w:val="001D24DF"/>
    <w:rsid w:val="001D30D6"/>
    <w:rsid w:val="001D3916"/>
    <w:rsid w:val="001D5C43"/>
    <w:rsid w:val="001D609B"/>
    <w:rsid w:val="001E0171"/>
    <w:rsid w:val="001E090F"/>
    <w:rsid w:val="001E10EA"/>
    <w:rsid w:val="001E135E"/>
    <w:rsid w:val="001E1C85"/>
    <w:rsid w:val="001E3462"/>
    <w:rsid w:val="001E4ECA"/>
    <w:rsid w:val="001E673B"/>
    <w:rsid w:val="001E68F1"/>
    <w:rsid w:val="001F0135"/>
    <w:rsid w:val="001F0258"/>
    <w:rsid w:val="001F0BA1"/>
    <w:rsid w:val="001F0BD0"/>
    <w:rsid w:val="001F14D3"/>
    <w:rsid w:val="001F16AE"/>
    <w:rsid w:val="001F1976"/>
    <w:rsid w:val="001F2FA3"/>
    <w:rsid w:val="001F3529"/>
    <w:rsid w:val="001F7457"/>
    <w:rsid w:val="001F7853"/>
    <w:rsid w:val="002006BE"/>
    <w:rsid w:val="002029CA"/>
    <w:rsid w:val="002039F5"/>
    <w:rsid w:val="00205276"/>
    <w:rsid w:val="00205891"/>
    <w:rsid w:val="002060AF"/>
    <w:rsid w:val="00206A09"/>
    <w:rsid w:val="00207746"/>
    <w:rsid w:val="00207D15"/>
    <w:rsid w:val="002101BB"/>
    <w:rsid w:val="002102B9"/>
    <w:rsid w:val="002105F5"/>
    <w:rsid w:val="0021119B"/>
    <w:rsid w:val="00211DD8"/>
    <w:rsid w:val="0021269E"/>
    <w:rsid w:val="00212954"/>
    <w:rsid w:val="00212E0B"/>
    <w:rsid w:val="00214826"/>
    <w:rsid w:val="00215A4E"/>
    <w:rsid w:val="00215C2D"/>
    <w:rsid w:val="002174D5"/>
    <w:rsid w:val="00217A25"/>
    <w:rsid w:val="002201BD"/>
    <w:rsid w:val="00220314"/>
    <w:rsid w:val="00220A6E"/>
    <w:rsid w:val="00220D8E"/>
    <w:rsid w:val="00224616"/>
    <w:rsid w:val="00224B07"/>
    <w:rsid w:val="00224F86"/>
    <w:rsid w:val="0022667E"/>
    <w:rsid w:val="00226B93"/>
    <w:rsid w:val="00226E7E"/>
    <w:rsid w:val="00227986"/>
    <w:rsid w:val="00227F38"/>
    <w:rsid w:val="00231983"/>
    <w:rsid w:val="002319A9"/>
    <w:rsid w:val="00232E33"/>
    <w:rsid w:val="002345D4"/>
    <w:rsid w:val="00234896"/>
    <w:rsid w:val="00235130"/>
    <w:rsid w:val="00235153"/>
    <w:rsid w:val="00235A69"/>
    <w:rsid w:val="0023625B"/>
    <w:rsid w:val="00236400"/>
    <w:rsid w:val="00236522"/>
    <w:rsid w:val="0023758E"/>
    <w:rsid w:val="00237BF9"/>
    <w:rsid w:val="00241C15"/>
    <w:rsid w:val="00243FEF"/>
    <w:rsid w:val="0024482F"/>
    <w:rsid w:val="00246690"/>
    <w:rsid w:val="0025098C"/>
    <w:rsid w:val="00252429"/>
    <w:rsid w:val="00252711"/>
    <w:rsid w:val="00252799"/>
    <w:rsid w:val="00252F42"/>
    <w:rsid w:val="00253D77"/>
    <w:rsid w:val="00260B64"/>
    <w:rsid w:val="00262188"/>
    <w:rsid w:val="00262A77"/>
    <w:rsid w:val="00262B6C"/>
    <w:rsid w:val="00263137"/>
    <w:rsid w:val="00263688"/>
    <w:rsid w:val="00263E67"/>
    <w:rsid w:val="00265658"/>
    <w:rsid w:val="00265922"/>
    <w:rsid w:val="00265D87"/>
    <w:rsid w:val="002712A9"/>
    <w:rsid w:val="00271A85"/>
    <w:rsid w:val="00271F86"/>
    <w:rsid w:val="00272984"/>
    <w:rsid w:val="00273BD4"/>
    <w:rsid w:val="00275513"/>
    <w:rsid w:val="00275A11"/>
    <w:rsid w:val="0027639B"/>
    <w:rsid w:val="0027693C"/>
    <w:rsid w:val="00276D71"/>
    <w:rsid w:val="002776EA"/>
    <w:rsid w:val="00277820"/>
    <w:rsid w:val="00283319"/>
    <w:rsid w:val="00283BC8"/>
    <w:rsid w:val="00284590"/>
    <w:rsid w:val="00285616"/>
    <w:rsid w:val="002863CC"/>
    <w:rsid w:val="002873DC"/>
    <w:rsid w:val="00292307"/>
    <w:rsid w:val="00292A8C"/>
    <w:rsid w:val="002941C3"/>
    <w:rsid w:val="0029440C"/>
    <w:rsid w:val="00294DBB"/>
    <w:rsid w:val="0029514B"/>
    <w:rsid w:val="0029560B"/>
    <w:rsid w:val="00295A69"/>
    <w:rsid w:val="00295FB5"/>
    <w:rsid w:val="00296333"/>
    <w:rsid w:val="00297607"/>
    <w:rsid w:val="002A01A5"/>
    <w:rsid w:val="002A0A1E"/>
    <w:rsid w:val="002A0CEE"/>
    <w:rsid w:val="002A123A"/>
    <w:rsid w:val="002A168C"/>
    <w:rsid w:val="002A220C"/>
    <w:rsid w:val="002A28DE"/>
    <w:rsid w:val="002A585C"/>
    <w:rsid w:val="002A5AD9"/>
    <w:rsid w:val="002A6374"/>
    <w:rsid w:val="002A73E1"/>
    <w:rsid w:val="002A78FB"/>
    <w:rsid w:val="002A7AED"/>
    <w:rsid w:val="002B02BA"/>
    <w:rsid w:val="002B1333"/>
    <w:rsid w:val="002B2490"/>
    <w:rsid w:val="002B2C39"/>
    <w:rsid w:val="002B2CE8"/>
    <w:rsid w:val="002B4614"/>
    <w:rsid w:val="002B5943"/>
    <w:rsid w:val="002B6D84"/>
    <w:rsid w:val="002B77EA"/>
    <w:rsid w:val="002C0B42"/>
    <w:rsid w:val="002C0BBF"/>
    <w:rsid w:val="002C1A53"/>
    <w:rsid w:val="002C1C86"/>
    <w:rsid w:val="002C4401"/>
    <w:rsid w:val="002C4857"/>
    <w:rsid w:val="002C6252"/>
    <w:rsid w:val="002C675D"/>
    <w:rsid w:val="002D0336"/>
    <w:rsid w:val="002D0F0B"/>
    <w:rsid w:val="002D14E3"/>
    <w:rsid w:val="002D1962"/>
    <w:rsid w:val="002D1BE3"/>
    <w:rsid w:val="002D3E5E"/>
    <w:rsid w:val="002D616A"/>
    <w:rsid w:val="002D64DB"/>
    <w:rsid w:val="002E0CF8"/>
    <w:rsid w:val="002E1F19"/>
    <w:rsid w:val="002E5C22"/>
    <w:rsid w:val="002E6290"/>
    <w:rsid w:val="002F0C76"/>
    <w:rsid w:val="002F0D74"/>
    <w:rsid w:val="002F0FF7"/>
    <w:rsid w:val="002F1ECA"/>
    <w:rsid w:val="002F2DF6"/>
    <w:rsid w:val="002F2E3F"/>
    <w:rsid w:val="002F3F93"/>
    <w:rsid w:val="002F589C"/>
    <w:rsid w:val="002F5DAC"/>
    <w:rsid w:val="002F717F"/>
    <w:rsid w:val="002F77C2"/>
    <w:rsid w:val="003009C9"/>
    <w:rsid w:val="00302237"/>
    <w:rsid w:val="0030325C"/>
    <w:rsid w:val="00303B18"/>
    <w:rsid w:val="00304F69"/>
    <w:rsid w:val="0030750C"/>
    <w:rsid w:val="00310225"/>
    <w:rsid w:val="003102B1"/>
    <w:rsid w:val="003107CB"/>
    <w:rsid w:val="00313A6A"/>
    <w:rsid w:val="003158BF"/>
    <w:rsid w:val="003167AD"/>
    <w:rsid w:val="003167DA"/>
    <w:rsid w:val="00320356"/>
    <w:rsid w:val="003217A2"/>
    <w:rsid w:val="003219B4"/>
    <w:rsid w:val="00322689"/>
    <w:rsid w:val="00323120"/>
    <w:rsid w:val="003233F2"/>
    <w:rsid w:val="003239A7"/>
    <w:rsid w:val="00324867"/>
    <w:rsid w:val="003253E3"/>
    <w:rsid w:val="00325BAE"/>
    <w:rsid w:val="00327948"/>
    <w:rsid w:val="00327EDD"/>
    <w:rsid w:val="00330DA5"/>
    <w:rsid w:val="00331981"/>
    <w:rsid w:val="00337072"/>
    <w:rsid w:val="003374D5"/>
    <w:rsid w:val="00340950"/>
    <w:rsid w:val="00340DC1"/>
    <w:rsid w:val="00340E45"/>
    <w:rsid w:val="00341489"/>
    <w:rsid w:val="0034159C"/>
    <w:rsid w:val="00341F19"/>
    <w:rsid w:val="00342CB1"/>
    <w:rsid w:val="00342FAF"/>
    <w:rsid w:val="00342FFA"/>
    <w:rsid w:val="00344AF0"/>
    <w:rsid w:val="00344B34"/>
    <w:rsid w:val="00345148"/>
    <w:rsid w:val="00346FF5"/>
    <w:rsid w:val="003474CE"/>
    <w:rsid w:val="00347DED"/>
    <w:rsid w:val="00350714"/>
    <w:rsid w:val="00351CBB"/>
    <w:rsid w:val="003520C1"/>
    <w:rsid w:val="00353DCF"/>
    <w:rsid w:val="003550D1"/>
    <w:rsid w:val="0035547B"/>
    <w:rsid w:val="00356712"/>
    <w:rsid w:val="00356B53"/>
    <w:rsid w:val="00356F61"/>
    <w:rsid w:val="0035788C"/>
    <w:rsid w:val="00360287"/>
    <w:rsid w:val="00360961"/>
    <w:rsid w:val="00361B18"/>
    <w:rsid w:val="00362186"/>
    <w:rsid w:val="00366281"/>
    <w:rsid w:val="003676A0"/>
    <w:rsid w:val="003722A6"/>
    <w:rsid w:val="00372CBA"/>
    <w:rsid w:val="0037327A"/>
    <w:rsid w:val="0037347C"/>
    <w:rsid w:val="00373EA3"/>
    <w:rsid w:val="0037409D"/>
    <w:rsid w:val="00374F0A"/>
    <w:rsid w:val="00375A5C"/>
    <w:rsid w:val="00375D2A"/>
    <w:rsid w:val="003760C5"/>
    <w:rsid w:val="003760C6"/>
    <w:rsid w:val="0037613B"/>
    <w:rsid w:val="00376C13"/>
    <w:rsid w:val="00380BBA"/>
    <w:rsid w:val="0038113B"/>
    <w:rsid w:val="00381736"/>
    <w:rsid w:val="0038340A"/>
    <w:rsid w:val="003835A4"/>
    <w:rsid w:val="00383AA7"/>
    <w:rsid w:val="003868C9"/>
    <w:rsid w:val="00386CBE"/>
    <w:rsid w:val="00387CAD"/>
    <w:rsid w:val="00390814"/>
    <w:rsid w:val="00390C98"/>
    <w:rsid w:val="003917AB"/>
    <w:rsid w:val="003940DA"/>
    <w:rsid w:val="0039516A"/>
    <w:rsid w:val="003959D0"/>
    <w:rsid w:val="00395AEC"/>
    <w:rsid w:val="00396C46"/>
    <w:rsid w:val="00397097"/>
    <w:rsid w:val="003A0D6F"/>
    <w:rsid w:val="003A2050"/>
    <w:rsid w:val="003A2207"/>
    <w:rsid w:val="003A2F58"/>
    <w:rsid w:val="003A3C7B"/>
    <w:rsid w:val="003A3D54"/>
    <w:rsid w:val="003A40DB"/>
    <w:rsid w:val="003B013A"/>
    <w:rsid w:val="003B04CB"/>
    <w:rsid w:val="003B0ACD"/>
    <w:rsid w:val="003B0E6A"/>
    <w:rsid w:val="003B35F1"/>
    <w:rsid w:val="003B36CB"/>
    <w:rsid w:val="003B3BF5"/>
    <w:rsid w:val="003B52D4"/>
    <w:rsid w:val="003B6086"/>
    <w:rsid w:val="003B69AE"/>
    <w:rsid w:val="003B7615"/>
    <w:rsid w:val="003B79E4"/>
    <w:rsid w:val="003B79E9"/>
    <w:rsid w:val="003C01E5"/>
    <w:rsid w:val="003C14BC"/>
    <w:rsid w:val="003C2727"/>
    <w:rsid w:val="003C2E20"/>
    <w:rsid w:val="003C38DA"/>
    <w:rsid w:val="003C4896"/>
    <w:rsid w:val="003C5065"/>
    <w:rsid w:val="003C6AB3"/>
    <w:rsid w:val="003C7673"/>
    <w:rsid w:val="003C7E5B"/>
    <w:rsid w:val="003D004E"/>
    <w:rsid w:val="003D0B27"/>
    <w:rsid w:val="003D240C"/>
    <w:rsid w:val="003D261F"/>
    <w:rsid w:val="003D2758"/>
    <w:rsid w:val="003D284C"/>
    <w:rsid w:val="003D2AA6"/>
    <w:rsid w:val="003D58BA"/>
    <w:rsid w:val="003D67F8"/>
    <w:rsid w:val="003D6CF3"/>
    <w:rsid w:val="003D72FC"/>
    <w:rsid w:val="003E0CDE"/>
    <w:rsid w:val="003E15AA"/>
    <w:rsid w:val="003E1733"/>
    <w:rsid w:val="003E1932"/>
    <w:rsid w:val="003E1CA5"/>
    <w:rsid w:val="003E1CC2"/>
    <w:rsid w:val="003E2F87"/>
    <w:rsid w:val="003E3418"/>
    <w:rsid w:val="003E3D31"/>
    <w:rsid w:val="003E40EF"/>
    <w:rsid w:val="003E4166"/>
    <w:rsid w:val="003E42A9"/>
    <w:rsid w:val="003E4868"/>
    <w:rsid w:val="003E4F2D"/>
    <w:rsid w:val="003E56BF"/>
    <w:rsid w:val="003E6F95"/>
    <w:rsid w:val="003F02B3"/>
    <w:rsid w:val="003F0377"/>
    <w:rsid w:val="003F063F"/>
    <w:rsid w:val="003F137F"/>
    <w:rsid w:val="003F1426"/>
    <w:rsid w:val="003F19F7"/>
    <w:rsid w:val="003F26FB"/>
    <w:rsid w:val="003F2863"/>
    <w:rsid w:val="003F4127"/>
    <w:rsid w:val="003F4A50"/>
    <w:rsid w:val="003F4A9A"/>
    <w:rsid w:val="003F54DB"/>
    <w:rsid w:val="003F67DC"/>
    <w:rsid w:val="003F7D49"/>
    <w:rsid w:val="004000D8"/>
    <w:rsid w:val="00400D12"/>
    <w:rsid w:val="00400D49"/>
    <w:rsid w:val="004016F7"/>
    <w:rsid w:val="00403CD5"/>
    <w:rsid w:val="0040509A"/>
    <w:rsid w:val="00405506"/>
    <w:rsid w:val="004072AE"/>
    <w:rsid w:val="004079A0"/>
    <w:rsid w:val="00407BE2"/>
    <w:rsid w:val="00410021"/>
    <w:rsid w:val="00410C8D"/>
    <w:rsid w:val="0041131C"/>
    <w:rsid w:val="0041141F"/>
    <w:rsid w:val="004117F0"/>
    <w:rsid w:val="00411EA3"/>
    <w:rsid w:val="00411FE8"/>
    <w:rsid w:val="004125B3"/>
    <w:rsid w:val="00412898"/>
    <w:rsid w:val="004133C9"/>
    <w:rsid w:val="004139A1"/>
    <w:rsid w:val="00414443"/>
    <w:rsid w:val="004155A9"/>
    <w:rsid w:val="0041662E"/>
    <w:rsid w:val="0042005B"/>
    <w:rsid w:val="00422D8A"/>
    <w:rsid w:val="00424797"/>
    <w:rsid w:val="00425783"/>
    <w:rsid w:val="00425814"/>
    <w:rsid w:val="00425F94"/>
    <w:rsid w:val="0042618B"/>
    <w:rsid w:val="00427263"/>
    <w:rsid w:val="0043181D"/>
    <w:rsid w:val="00433067"/>
    <w:rsid w:val="004339D6"/>
    <w:rsid w:val="0043544A"/>
    <w:rsid w:val="0043595A"/>
    <w:rsid w:val="00435CC5"/>
    <w:rsid w:val="00435EBA"/>
    <w:rsid w:val="0043665F"/>
    <w:rsid w:val="0043673C"/>
    <w:rsid w:val="00436A66"/>
    <w:rsid w:val="004371DE"/>
    <w:rsid w:val="004375EF"/>
    <w:rsid w:val="00437F10"/>
    <w:rsid w:val="004400F7"/>
    <w:rsid w:val="00440974"/>
    <w:rsid w:val="00441809"/>
    <w:rsid w:val="0044219D"/>
    <w:rsid w:val="00442248"/>
    <w:rsid w:val="00442C14"/>
    <w:rsid w:val="004433CE"/>
    <w:rsid w:val="004434BB"/>
    <w:rsid w:val="004444F5"/>
    <w:rsid w:val="00444674"/>
    <w:rsid w:val="00444901"/>
    <w:rsid w:val="004456BD"/>
    <w:rsid w:val="00445DFC"/>
    <w:rsid w:val="0044620E"/>
    <w:rsid w:val="00446258"/>
    <w:rsid w:val="004471A0"/>
    <w:rsid w:val="004472E6"/>
    <w:rsid w:val="0044744A"/>
    <w:rsid w:val="00450295"/>
    <w:rsid w:val="00450325"/>
    <w:rsid w:val="00450A39"/>
    <w:rsid w:val="004517F7"/>
    <w:rsid w:val="00451A54"/>
    <w:rsid w:val="00452196"/>
    <w:rsid w:val="0045262C"/>
    <w:rsid w:val="00452F69"/>
    <w:rsid w:val="0045326B"/>
    <w:rsid w:val="00453D3F"/>
    <w:rsid w:val="0045467C"/>
    <w:rsid w:val="004547FE"/>
    <w:rsid w:val="00455680"/>
    <w:rsid w:val="00455CE9"/>
    <w:rsid w:val="00456C75"/>
    <w:rsid w:val="00460B15"/>
    <w:rsid w:val="004619B9"/>
    <w:rsid w:val="004630B5"/>
    <w:rsid w:val="004656B5"/>
    <w:rsid w:val="00465828"/>
    <w:rsid w:val="0046635B"/>
    <w:rsid w:val="00467D8A"/>
    <w:rsid w:val="00471121"/>
    <w:rsid w:val="0047195C"/>
    <w:rsid w:val="0047296C"/>
    <w:rsid w:val="004735C9"/>
    <w:rsid w:val="004758EA"/>
    <w:rsid w:val="0047762D"/>
    <w:rsid w:val="004777D2"/>
    <w:rsid w:val="00477917"/>
    <w:rsid w:val="0048134D"/>
    <w:rsid w:val="00481475"/>
    <w:rsid w:val="004815E6"/>
    <w:rsid w:val="004822A5"/>
    <w:rsid w:val="00482573"/>
    <w:rsid w:val="00483AE3"/>
    <w:rsid w:val="004841FE"/>
    <w:rsid w:val="004854AB"/>
    <w:rsid w:val="0048580E"/>
    <w:rsid w:val="00485815"/>
    <w:rsid w:val="00485FF5"/>
    <w:rsid w:val="00486B99"/>
    <w:rsid w:val="00491648"/>
    <w:rsid w:val="00492BD0"/>
    <w:rsid w:val="004947B8"/>
    <w:rsid w:val="0049520D"/>
    <w:rsid w:val="004957CA"/>
    <w:rsid w:val="004957ED"/>
    <w:rsid w:val="004964D1"/>
    <w:rsid w:val="004969FD"/>
    <w:rsid w:val="00497531"/>
    <w:rsid w:val="00497E21"/>
    <w:rsid w:val="00497E55"/>
    <w:rsid w:val="004A188E"/>
    <w:rsid w:val="004A2F53"/>
    <w:rsid w:val="004A304C"/>
    <w:rsid w:val="004A3E4C"/>
    <w:rsid w:val="004A40DA"/>
    <w:rsid w:val="004A4B57"/>
    <w:rsid w:val="004A4B75"/>
    <w:rsid w:val="004A596D"/>
    <w:rsid w:val="004A6D32"/>
    <w:rsid w:val="004B0D12"/>
    <w:rsid w:val="004B236D"/>
    <w:rsid w:val="004B29C6"/>
    <w:rsid w:val="004B4910"/>
    <w:rsid w:val="004B5FF6"/>
    <w:rsid w:val="004B7993"/>
    <w:rsid w:val="004C157C"/>
    <w:rsid w:val="004C1ED3"/>
    <w:rsid w:val="004C2879"/>
    <w:rsid w:val="004C3042"/>
    <w:rsid w:val="004C3D57"/>
    <w:rsid w:val="004C5346"/>
    <w:rsid w:val="004C6080"/>
    <w:rsid w:val="004C62EE"/>
    <w:rsid w:val="004C6B89"/>
    <w:rsid w:val="004C729C"/>
    <w:rsid w:val="004C78C6"/>
    <w:rsid w:val="004C7F74"/>
    <w:rsid w:val="004D0471"/>
    <w:rsid w:val="004D1D83"/>
    <w:rsid w:val="004D2AD6"/>
    <w:rsid w:val="004D33BE"/>
    <w:rsid w:val="004D3445"/>
    <w:rsid w:val="004D367A"/>
    <w:rsid w:val="004D3799"/>
    <w:rsid w:val="004D39DC"/>
    <w:rsid w:val="004D4939"/>
    <w:rsid w:val="004D50CC"/>
    <w:rsid w:val="004D51E5"/>
    <w:rsid w:val="004D532D"/>
    <w:rsid w:val="004D5A38"/>
    <w:rsid w:val="004D5A55"/>
    <w:rsid w:val="004D5C0D"/>
    <w:rsid w:val="004E17BF"/>
    <w:rsid w:val="004E1F79"/>
    <w:rsid w:val="004E2399"/>
    <w:rsid w:val="004E2FB3"/>
    <w:rsid w:val="004E34A0"/>
    <w:rsid w:val="004E3748"/>
    <w:rsid w:val="004E4A64"/>
    <w:rsid w:val="004E543F"/>
    <w:rsid w:val="004E74A5"/>
    <w:rsid w:val="004E780D"/>
    <w:rsid w:val="004F302F"/>
    <w:rsid w:val="004F338A"/>
    <w:rsid w:val="004F3C01"/>
    <w:rsid w:val="004F4C4E"/>
    <w:rsid w:val="004F53A9"/>
    <w:rsid w:val="004F62CF"/>
    <w:rsid w:val="0050134F"/>
    <w:rsid w:val="00501FCA"/>
    <w:rsid w:val="00503CEA"/>
    <w:rsid w:val="005047DC"/>
    <w:rsid w:val="0050578E"/>
    <w:rsid w:val="00507047"/>
    <w:rsid w:val="00510711"/>
    <w:rsid w:val="00511DC4"/>
    <w:rsid w:val="005124BA"/>
    <w:rsid w:val="005137E3"/>
    <w:rsid w:val="00513904"/>
    <w:rsid w:val="00513BA7"/>
    <w:rsid w:val="005144D1"/>
    <w:rsid w:val="005147A5"/>
    <w:rsid w:val="00515DA0"/>
    <w:rsid w:val="00516D9A"/>
    <w:rsid w:val="00517BB2"/>
    <w:rsid w:val="00520EDB"/>
    <w:rsid w:val="00521A42"/>
    <w:rsid w:val="00522661"/>
    <w:rsid w:val="00523143"/>
    <w:rsid w:val="00523F23"/>
    <w:rsid w:val="005257EE"/>
    <w:rsid w:val="005307D2"/>
    <w:rsid w:val="00531867"/>
    <w:rsid w:val="00531EB2"/>
    <w:rsid w:val="005327A2"/>
    <w:rsid w:val="005349BE"/>
    <w:rsid w:val="0053592D"/>
    <w:rsid w:val="00535DDF"/>
    <w:rsid w:val="005363F4"/>
    <w:rsid w:val="00537519"/>
    <w:rsid w:val="00537963"/>
    <w:rsid w:val="00537F92"/>
    <w:rsid w:val="005427CB"/>
    <w:rsid w:val="00542AD2"/>
    <w:rsid w:val="00542E7F"/>
    <w:rsid w:val="00543258"/>
    <w:rsid w:val="005444A5"/>
    <w:rsid w:val="00544A7B"/>
    <w:rsid w:val="00544A89"/>
    <w:rsid w:val="00544E7E"/>
    <w:rsid w:val="00545EB1"/>
    <w:rsid w:val="00546CB7"/>
    <w:rsid w:val="00546CF6"/>
    <w:rsid w:val="00550448"/>
    <w:rsid w:val="00551085"/>
    <w:rsid w:val="00553408"/>
    <w:rsid w:val="0055356A"/>
    <w:rsid w:val="00553EB9"/>
    <w:rsid w:val="00555039"/>
    <w:rsid w:val="00555A63"/>
    <w:rsid w:val="00555ECC"/>
    <w:rsid w:val="005569AD"/>
    <w:rsid w:val="00556B8B"/>
    <w:rsid w:val="00557185"/>
    <w:rsid w:val="00557CED"/>
    <w:rsid w:val="005607C2"/>
    <w:rsid w:val="00561B14"/>
    <w:rsid w:val="005630A2"/>
    <w:rsid w:val="005639D8"/>
    <w:rsid w:val="00564F59"/>
    <w:rsid w:val="005654C6"/>
    <w:rsid w:val="00565FF1"/>
    <w:rsid w:val="005668F1"/>
    <w:rsid w:val="00567FA0"/>
    <w:rsid w:val="00571399"/>
    <w:rsid w:val="0057246C"/>
    <w:rsid w:val="00572914"/>
    <w:rsid w:val="00572F67"/>
    <w:rsid w:val="00573FE1"/>
    <w:rsid w:val="00574382"/>
    <w:rsid w:val="00574590"/>
    <w:rsid w:val="00574946"/>
    <w:rsid w:val="00574C3C"/>
    <w:rsid w:val="005769B4"/>
    <w:rsid w:val="00576A06"/>
    <w:rsid w:val="00577B75"/>
    <w:rsid w:val="0058074D"/>
    <w:rsid w:val="00582234"/>
    <w:rsid w:val="005837C6"/>
    <w:rsid w:val="0058394A"/>
    <w:rsid w:val="00584BFA"/>
    <w:rsid w:val="00585B13"/>
    <w:rsid w:val="00586680"/>
    <w:rsid w:val="00587E6E"/>
    <w:rsid w:val="00590C14"/>
    <w:rsid w:val="005914C8"/>
    <w:rsid w:val="00591560"/>
    <w:rsid w:val="00591878"/>
    <w:rsid w:val="00591E18"/>
    <w:rsid w:val="0059279F"/>
    <w:rsid w:val="00592CB0"/>
    <w:rsid w:val="0059455C"/>
    <w:rsid w:val="0059461C"/>
    <w:rsid w:val="00595010"/>
    <w:rsid w:val="00595786"/>
    <w:rsid w:val="00595C0C"/>
    <w:rsid w:val="005960A3"/>
    <w:rsid w:val="005967A7"/>
    <w:rsid w:val="00596B34"/>
    <w:rsid w:val="00596D5C"/>
    <w:rsid w:val="005973A7"/>
    <w:rsid w:val="00597D21"/>
    <w:rsid w:val="005A01FD"/>
    <w:rsid w:val="005A13E9"/>
    <w:rsid w:val="005A32E0"/>
    <w:rsid w:val="005A3AC2"/>
    <w:rsid w:val="005A5094"/>
    <w:rsid w:val="005A58B3"/>
    <w:rsid w:val="005A5DD1"/>
    <w:rsid w:val="005B00D3"/>
    <w:rsid w:val="005B13E1"/>
    <w:rsid w:val="005B1F92"/>
    <w:rsid w:val="005B2525"/>
    <w:rsid w:val="005B2565"/>
    <w:rsid w:val="005B2EC1"/>
    <w:rsid w:val="005B4B7A"/>
    <w:rsid w:val="005B7EF2"/>
    <w:rsid w:val="005C01CD"/>
    <w:rsid w:val="005C0CBA"/>
    <w:rsid w:val="005C17EB"/>
    <w:rsid w:val="005C1E51"/>
    <w:rsid w:val="005C25DF"/>
    <w:rsid w:val="005C346A"/>
    <w:rsid w:val="005C39F5"/>
    <w:rsid w:val="005C6FB1"/>
    <w:rsid w:val="005C729A"/>
    <w:rsid w:val="005C7F04"/>
    <w:rsid w:val="005D0574"/>
    <w:rsid w:val="005D0C63"/>
    <w:rsid w:val="005D0ED3"/>
    <w:rsid w:val="005D16D3"/>
    <w:rsid w:val="005D2ED5"/>
    <w:rsid w:val="005D3427"/>
    <w:rsid w:val="005D355E"/>
    <w:rsid w:val="005D3DE6"/>
    <w:rsid w:val="005D442F"/>
    <w:rsid w:val="005D4806"/>
    <w:rsid w:val="005D48D5"/>
    <w:rsid w:val="005D5995"/>
    <w:rsid w:val="005D70DD"/>
    <w:rsid w:val="005E1A6D"/>
    <w:rsid w:val="005E2F22"/>
    <w:rsid w:val="005E3D15"/>
    <w:rsid w:val="005E47F2"/>
    <w:rsid w:val="005E7F36"/>
    <w:rsid w:val="005F0A38"/>
    <w:rsid w:val="005F0F89"/>
    <w:rsid w:val="005F1100"/>
    <w:rsid w:val="005F16B9"/>
    <w:rsid w:val="005F2366"/>
    <w:rsid w:val="005F26A6"/>
    <w:rsid w:val="005F45CD"/>
    <w:rsid w:val="005F56CD"/>
    <w:rsid w:val="005F593E"/>
    <w:rsid w:val="0060003C"/>
    <w:rsid w:val="0060045C"/>
    <w:rsid w:val="00601D80"/>
    <w:rsid w:val="006021C4"/>
    <w:rsid w:val="00602E05"/>
    <w:rsid w:val="006037E3"/>
    <w:rsid w:val="00604372"/>
    <w:rsid w:val="00605E0C"/>
    <w:rsid w:val="006079ED"/>
    <w:rsid w:val="00607C14"/>
    <w:rsid w:val="00611371"/>
    <w:rsid w:val="00612047"/>
    <w:rsid w:val="00613271"/>
    <w:rsid w:val="00613D1B"/>
    <w:rsid w:val="00614DD3"/>
    <w:rsid w:val="00615502"/>
    <w:rsid w:val="006160C1"/>
    <w:rsid w:val="006177DF"/>
    <w:rsid w:val="006218E9"/>
    <w:rsid w:val="00622EBB"/>
    <w:rsid w:val="0062389A"/>
    <w:rsid w:val="00623D2D"/>
    <w:rsid w:val="00624EBA"/>
    <w:rsid w:val="00625058"/>
    <w:rsid w:val="0062544C"/>
    <w:rsid w:val="00625C8C"/>
    <w:rsid w:val="00630EA3"/>
    <w:rsid w:val="006313A3"/>
    <w:rsid w:val="006317AC"/>
    <w:rsid w:val="0063204F"/>
    <w:rsid w:val="00633566"/>
    <w:rsid w:val="00633686"/>
    <w:rsid w:val="0063478C"/>
    <w:rsid w:val="006349BB"/>
    <w:rsid w:val="006351B2"/>
    <w:rsid w:val="00635FD6"/>
    <w:rsid w:val="006366CE"/>
    <w:rsid w:val="006366F6"/>
    <w:rsid w:val="00637268"/>
    <w:rsid w:val="006374BE"/>
    <w:rsid w:val="0063760A"/>
    <w:rsid w:val="00640715"/>
    <w:rsid w:val="00641034"/>
    <w:rsid w:val="00642016"/>
    <w:rsid w:val="00642FEB"/>
    <w:rsid w:val="00643091"/>
    <w:rsid w:val="006455B8"/>
    <w:rsid w:val="0064752B"/>
    <w:rsid w:val="00647849"/>
    <w:rsid w:val="00650385"/>
    <w:rsid w:val="00651D66"/>
    <w:rsid w:val="00652897"/>
    <w:rsid w:val="00653683"/>
    <w:rsid w:val="00653972"/>
    <w:rsid w:val="00654A9F"/>
    <w:rsid w:val="00655B77"/>
    <w:rsid w:val="00656475"/>
    <w:rsid w:val="006574E6"/>
    <w:rsid w:val="00661079"/>
    <w:rsid w:val="00661C9E"/>
    <w:rsid w:val="00662CBD"/>
    <w:rsid w:val="006633E8"/>
    <w:rsid w:val="006634C3"/>
    <w:rsid w:val="00663510"/>
    <w:rsid w:val="00663CFA"/>
    <w:rsid w:val="0066433B"/>
    <w:rsid w:val="00666C98"/>
    <w:rsid w:val="0066778E"/>
    <w:rsid w:val="0067082E"/>
    <w:rsid w:val="00670EE9"/>
    <w:rsid w:val="00672230"/>
    <w:rsid w:val="006748E4"/>
    <w:rsid w:val="0067569A"/>
    <w:rsid w:val="00676BAE"/>
    <w:rsid w:val="00677513"/>
    <w:rsid w:val="00677FE3"/>
    <w:rsid w:val="00680B4B"/>
    <w:rsid w:val="00680D52"/>
    <w:rsid w:val="00680E70"/>
    <w:rsid w:val="006813D8"/>
    <w:rsid w:val="006819F0"/>
    <w:rsid w:val="00682CC8"/>
    <w:rsid w:val="00683D70"/>
    <w:rsid w:val="006840E3"/>
    <w:rsid w:val="00684A19"/>
    <w:rsid w:val="00685600"/>
    <w:rsid w:val="00685793"/>
    <w:rsid w:val="00687A35"/>
    <w:rsid w:val="00692350"/>
    <w:rsid w:val="006939AF"/>
    <w:rsid w:val="00693EE6"/>
    <w:rsid w:val="00694C26"/>
    <w:rsid w:val="00695CDE"/>
    <w:rsid w:val="00695DAE"/>
    <w:rsid w:val="006A095E"/>
    <w:rsid w:val="006A3BD0"/>
    <w:rsid w:val="006A414D"/>
    <w:rsid w:val="006A4F09"/>
    <w:rsid w:val="006A5F78"/>
    <w:rsid w:val="006B24BD"/>
    <w:rsid w:val="006B3EBF"/>
    <w:rsid w:val="006B4888"/>
    <w:rsid w:val="006B6E26"/>
    <w:rsid w:val="006B7FA2"/>
    <w:rsid w:val="006C0A52"/>
    <w:rsid w:val="006C0F60"/>
    <w:rsid w:val="006C38FE"/>
    <w:rsid w:val="006C659F"/>
    <w:rsid w:val="006C7B9D"/>
    <w:rsid w:val="006C7F97"/>
    <w:rsid w:val="006D02B7"/>
    <w:rsid w:val="006D0426"/>
    <w:rsid w:val="006D2A62"/>
    <w:rsid w:val="006D4FE0"/>
    <w:rsid w:val="006D5F57"/>
    <w:rsid w:val="006D6960"/>
    <w:rsid w:val="006D6D7E"/>
    <w:rsid w:val="006D7D17"/>
    <w:rsid w:val="006E0AEF"/>
    <w:rsid w:val="006E2989"/>
    <w:rsid w:val="006E30C2"/>
    <w:rsid w:val="006E3D6D"/>
    <w:rsid w:val="006E4978"/>
    <w:rsid w:val="006E4E5C"/>
    <w:rsid w:val="006E5681"/>
    <w:rsid w:val="006E5711"/>
    <w:rsid w:val="006E5E3B"/>
    <w:rsid w:val="006E5E40"/>
    <w:rsid w:val="006E6F14"/>
    <w:rsid w:val="006F03CB"/>
    <w:rsid w:val="006F0624"/>
    <w:rsid w:val="006F202B"/>
    <w:rsid w:val="006F2B97"/>
    <w:rsid w:val="006F3FEA"/>
    <w:rsid w:val="006F4C70"/>
    <w:rsid w:val="006F4EF1"/>
    <w:rsid w:val="006F5635"/>
    <w:rsid w:val="006F628A"/>
    <w:rsid w:val="00700220"/>
    <w:rsid w:val="007009D8"/>
    <w:rsid w:val="0070109C"/>
    <w:rsid w:val="007030C4"/>
    <w:rsid w:val="00703327"/>
    <w:rsid w:val="007050AD"/>
    <w:rsid w:val="007054AF"/>
    <w:rsid w:val="00705877"/>
    <w:rsid w:val="007059C6"/>
    <w:rsid w:val="00705EDF"/>
    <w:rsid w:val="00706187"/>
    <w:rsid w:val="007071A9"/>
    <w:rsid w:val="007079EC"/>
    <w:rsid w:val="00707C8C"/>
    <w:rsid w:val="00707DC8"/>
    <w:rsid w:val="00710FB7"/>
    <w:rsid w:val="007116D5"/>
    <w:rsid w:val="00712AF7"/>
    <w:rsid w:val="00712C18"/>
    <w:rsid w:val="007132DC"/>
    <w:rsid w:val="007143D6"/>
    <w:rsid w:val="00714AE3"/>
    <w:rsid w:val="0071591F"/>
    <w:rsid w:val="00716421"/>
    <w:rsid w:val="00716FEE"/>
    <w:rsid w:val="007210BB"/>
    <w:rsid w:val="00721409"/>
    <w:rsid w:val="007215CF"/>
    <w:rsid w:val="007215F0"/>
    <w:rsid w:val="00721B0F"/>
    <w:rsid w:val="00722580"/>
    <w:rsid w:val="007227C6"/>
    <w:rsid w:val="00722E28"/>
    <w:rsid w:val="007241CB"/>
    <w:rsid w:val="00727058"/>
    <w:rsid w:val="007275F1"/>
    <w:rsid w:val="00727930"/>
    <w:rsid w:val="00727E13"/>
    <w:rsid w:val="00730F4A"/>
    <w:rsid w:val="00731A9C"/>
    <w:rsid w:val="00732490"/>
    <w:rsid w:val="007336EB"/>
    <w:rsid w:val="00735BD0"/>
    <w:rsid w:val="00735C6B"/>
    <w:rsid w:val="0073682D"/>
    <w:rsid w:val="007405A7"/>
    <w:rsid w:val="0074194B"/>
    <w:rsid w:val="0074337F"/>
    <w:rsid w:val="007439C6"/>
    <w:rsid w:val="00745C74"/>
    <w:rsid w:val="00746BF7"/>
    <w:rsid w:val="00746EE5"/>
    <w:rsid w:val="00747AF8"/>
    <w:rsid w:val="007506C5"/>
    <w:rsid w:val="00750CBD"/>
    <w:rsid w:val="00751439"/>
    <w:rsid w:val="00752953"/>
    <w:rsid w:val="007534B3"/>
    <w:rsid w:val="0075507B"/>
    <w:rsid w:val="00756003"/>
    <w:rsid w:val="00756160"/>
    <w:rsid w:val="007567DE"/>
    <w:rsid w:val="00757741"/>
    <w:rsid w:val="00757B13"/>
    <w:rsid w:val="007601D4"/>
    <w:rsid w:val="0076157F"/>
    <w:rsid w:val="00762160"/>
    <w:rsid w:val="007643D3"/>
    <w:rsid w:val="0076496F"/>
    <w:rsid w:val="00764FE9"/>
    <w:rsid w:val="00767237"/>
    <w:rsid w:val="0076788E"/>
    <w:rsid w:val="0077163A"/>
    <w:rsid w:val="00773020"/>
    <w:rsid w:val="00777C8E"/>
    <w:rsid w:val="00777D17"/>
    <w:rsid w:val="00781BF6"/>
    <w:rsid w:val="00781E3F"/>
    <w:rsid w:val="00782981"/>
    <w:rsid w:val="0078306C"/>
    <w:rsid w:val="0078386A"/>
    <w:rsid w:val="0078587C"/>
    <w:rsid w:val="00786049"/>
    <w:rsid w:val="007909A4"/>
    <w:rsid w:val="00790EFC"/>
    <w:rsid w:val="0079100D"/>
    <w:rsid w:val="0079155A"/>
    <w:rsid w:val="00792571"/>
    <w:rsid w:val="007925F2"/>
    <w:rsid w:val="00792A9B"/>
    <w:rsid w:val="007942F4"/>
    <w:rsid w:val="00796554"/>
    <w:rsid w:val="0079737F"/>
    <w:rsid w:val="00797B23"/>
    <w:rsid w:val="007A06AA"/>
    <w:rsid w:val="007A0A06"/>
    <w:rsid w:val="007A104B"/>
    <w:rsid w:val="007A1137"/>
    <w:rsid w:val="007A151D"/>
    <w:rsid w:val="007A1CD2"/>
    <w:rsid w:val="007A2360"/>
    <w:rsid w:val="007A28D5"/>
    <w:rsid w:val="007A2EF9"/>
    <w:rsid w:val="007A326D"/>
    <w:rsid w:val="007A3326"/>
    <w:rsid w:val="007A355C"/>
    <w:rsid w:val="007A3ECD"/>
    <w:rsid w:val="007A4029"/>
    <w:rsid w:val="007A4968"/>
    <w:rsid w:val="007A5525"/>
    <w:rsid w:val="007A56E3"/>
    <w:rsid w:val="007A7A73"/>
    <w:rsid w:val="007B0664"/>
    <w:rsid w:val="007B2E8B"/>
    <w:rsid w:val="007B3679"/>
    <w:rsid w:val="007B3A86"/>
    <w:rsid w:val="007B488D"/>
    <w:rsid w:val="007B4F9F"/>
    <w:rsid w:val="007B58DF"/>
    <w:rsid w:val="007B58F5"/>
    <w:rsid w:val="007B74D9"/>
    <w:rsid w:val="007B78FF"/>
    <w:rsid w:val="007C03C7"/>
    <w:rsid w:val="007C049A"/>
    <w:rsid w:val="007C056F"/>
    <w:rsid w:val="007C333A"/>
    <w:rsid w:val="007C3530"/>
    <w:rsid w:val="007C40D9"/>
    <w:rsid w:val="007C524A"/>
    <w:rsid w:val="007C5B60"/>
    <w:rsid w:val="007D070E"/>
    <w:rsid w:val="007D08DD"/>
    <w:rsid w:val="007D0C6B"/>
    <w:rsid w:val="007D14DB"/>
    <w:rsid w:val="007D27BA"/>
    <w:rsid w:val="007D2EC3"/>
    <w:rsid w:val="007D3076"/>
    <w:rsid w:val="007D4343"/>
    <w:rsid w:val="007D49E9"/>
    <w:rsid w:val="007D4E3E"/>
    <w:rsid w:val="007D526C"/>
    <w:rsid w:val="007D7643"/>
    <w:rsid w:val="007D787A"/>
    <w:rsid w:val="007D7C49"/>
    <w:rsid w:val="007D7D09"/>
    <w:rsid w:val="007E0142"/>
    <w:rsid w:val="007E0681"/>
    <w:rsid w:val="007E1FBB"/>
    <w:rsid w:val="007E23AA"/>
    <w:rsid w:val="007E27C5"/>
    <w:rsid w:val="007E37C0"/>
    <w:rsid w:val="007E3B73"/>
    <w:rsid w:val="007E3ED0"/>
    <w:rsid w:val="007E44F5"/>
    <w:rsid w:val="007E45A8"/>
    <w:rsid w:val="007E5288"/>
    <w:rsid w:val="007E692F"/>
    <w:rsid w:val="007F01F8"/>
    <w:rsid w:val="007F03B4"/>
    <w:rsid w:val="007F045C"/>
    <w:rsid w:val="007F0C08"/>
    <w:rsid w:val="007F11E0"/>
    <w:rsid w:val="007F1305"/>
    <w:rsid w:val="007F16EE"/>
    <w:rsid w:val="007F2573"/>
    <w:rsid w:val="007F53B1"/>
    <w:rsid w:val="007F5DC7"/>
    <w:rsid w:val="007F67CD"/>
    <w:rsid w:val="007F6AC7"/>
    <w:rsid w:val="007F79D5"/>
    <w:rsid w:val="008003DF"/>
    <w:rsid w:val="00800D2B"/>
    <w:rsid w:val="008020B7"/>
    <w:rsid w:val="00802961"/>
    <w:rsid w:val="008033C8"/>
    <w:rsid w:val="00804053"/>
    <w:rsid w:val="0080775C"/>
    <w:rsid w:val="00807933"/>
    <w:rsid w:val="0080795D"/>
    <w:rsid w:val="00807A86"/>
    <w:rsid w:val="00807E16"/>
    <w:rsid w:val="00810684"/>
    <w:rsid w:val="00810812"/>
    <w:rsid w:val="00810F38"/>
    <w:rsid w:val="00811F3A"/>
    <w:rsid w:val="008141B8"/>
    <w:rsid w:val="00814F6B"/>
    <w:rsid w:val="00820105"/>
    <w:rsid w:val="00822744"/>
    <w:rsid w:val="00822B2A"/>
    <w:rsid w:val="00824536"/>
    <w:rsid w:val="0082472C"/>
    <w:rsid w:val="008248E8"/>
    <w:rsid w:val="0082499E"/>
    <w:rsid w:val="008251CF"/>
    <w:rsid w:val="00831403"/>
    <w:rsid w:val="00831548"/>
    <w:rsid w:val="00831733"/>
    <w:rsid w:val="00831832"/>
    <w:rsid w:val="00831CCB"/>
    <w:rsid w:val="008324AF"/>
    <w:rsid w:val="008324DD"/>
    <w:rsid w:val="00835312"/>
    <w:rsid w:val="0083596E"/>
    <w:rsid w:val="00836058"/>
    <w:rsid w:val="008379E6"/>
    <w:rsid w:val="00837AB2"/>
    <w:rsid w:val="00837FA4"/>
    <w:rsid w:val="00840413"/>
    <w:rsid w:val="0084102A"/>
    <w:rsid w:val="00841B58"/>
    <w:rsid w:val="00841BD3"/>
    <w:rsid w:val="00841BD8"/>
    <w:rsid w:val="00841D1E"/>
    <w:rsid w:val="00843DF7"/>
    <w:rsid w:val="00846F83"/>
    <w:rsid w:val="008472A5"/>
    <w:rsid w:val="00851271"/>
    <w:rsid w:val="008517DD"/>
    <w:rsid w:val="008521CF"/>
    <w:rsid w:val="0085254A"/>
    <w:rsid w:val="008543D8"/>
    <w:rsid w:val="00854D16"/>
    <w:rsid w:val="00854FAC"/>
    <w:rsid w:val="00856586"/>
    <w:rsid w:val="00857BC6"/>
    <w:rsid w:val="008602CD"/>
    <w:rsid w:val="00862CA7"/>
    <w:rsid w:val="00863263"/>
    <w:rsid w:val="00864B39"/>
    <w:rsid w:val="008654BD"/>
    <w:rsid w:val="00865FA5"/>
    <w:rsid w:val="008660D3"/>
    <w:rsid w:val="008676D1"/>
    <w:rsid w:val="008702AF"/>
    <w:rsid w:val="00870932"/>
    <w:rsid w:val="00870CBC"/>
    <w:rsid w:val="00872259"/>
    <w:rsid w:val="00872EF5"/>
    <w:rsid w:val="0087322C"/>
    <w:rsid w:val="00873EAB"/>
    <w:rsid w:val="008747EF"/>
    <w:rsid w:val="0087521F"/>
    <w:rsid w:val="008755C7"/>
    <w:rsid w:val="00876C1E"/>
    <w:rsid w:val="00877824"/>
    <w:rsid w:val="0088167C"/>
    <w:rsid w:val="008820E0"/>
    <w:rsid w:val="00883635"/>
    <w:rsid w:val="00883FF2"/>
    <w:rsid w:val="00884F96"/>
    <w:rsid w:val="008854BD"/>
    <w:rsid w:val="00885913"/>
    <w:rsid w:val="008864BA"/>
    <w:rsid w:val="00886524"/>
    <w:rsid w:val="008868C6"/>
    <w:rsid w:val="0088693A"/>
    <w:rsid w:val="00886FCC"/>
    <w:rsid w:val="008871C5"/>
    <w:rsid w:val="008926CA"/>
    <w:rsid w:val="00892E8A"/>
    <w:rsid w:val="008935F7"/>
    <w:rsid w:val="00893DF0"/>
    <w:rsid w:val="00895197"/>
    <w:rsid w:val="0089577C"/>
    <w:rsid w:val="00895FF0"/>
    <w:rsid w:val="008A3468"/>
    <w:rsid w:val="008A5528"/>
    <w:rsid w:val="008A5E0F"/>
    <w:rsid w:val="008A6664"/>
    <w:rsid w:val="008A7753"/>
    <w:rsid w:val="008B098B"/>
    <w:rsid w:val="008B2977"/>
    <w:rsid w:val="008B2C79"/>
    <w:rsid w:val="008B3AF8"/>
    <w:rsid w:val="008B40D6"/>
    <w:rsid w:val="008B41D3"/>
    <w:rsid w:val="008B5E64"/>
    <w:rsid w:val="008B6AA7"/>
    <w:rsid w:val="008B72A5"/>
    <w:rsid w:val="008C081C"/>
    <w:rsid w:val="008C2AFD"/>
    <w:rsid w:val="008C2BB7"/>
    <w:rsid w:val="008C3615"/>
    <w:rsid w:val="008C4F66"/>
    <w:rsid w:val="008C58D7"/>
    <w:rsid w:val="008C6BDB"/>
    <w:rsid w:val="008C772B"/>
    <w:rsid w:val="008D036F"/>
    <w:rsid w:val="008D043C"/>
    <w:rsid w:val="008D09D6"/>
    <w:rsid w:val="008D134A"/>
    <w:rsid w:val="008D1A50"/>
    <w:rsid w:val="008D20DC"/>
    <w:rsid w:val="008D2135"/>
    <w:rsid w:val="008D2983"/>
    <w:rsid w:val="008D3BDE"/>
    <w:rsid w:val="008D3DDB"/>
    <w:rsid w:val="008D4959"/>
    <w:rsid w:val="008D56CC"/>
    <w:rsid w:val="008D690E"/>
    <w:rsid w:val="008E0A66"/>
    <w:rsid w:val="008E4815"/>
    <w:rsid w:val="008E4C2B"/>
    <w:rsid w:val="008E551B"/>
    <w:rsid w:val="008E6CCB"/>
    <w:rsid w:val="008E6CF3"/>
    <w:rsid w:val="008E7BCE"/>
    <w:rsid w:val="008F2B39"/>
    <w:rsid w:val="008F33BD"/>
    <w:rsid w:val="008F41DE"/>
    <w:rsid w:val="008F48A6"/>
    <w:rsid w:val="008F50A9"/>
    <w:rsid w:val="008F5838"/>
    <w:rsid w:val="008F64C1"/>
    <w:rsid w:val="008F7483"/>
    <w:rsid w:val="008F7A72"/>
    <w:rsid w:val="0090078D"/>
    <w:rsid w:val="0090361C"/>
    <w:rsid w:val="00904E8D"/>
    <w:rsid w:val="009051FD"/>
    <w:rsid w:val="0090662B"/>
    <w:rsid w:val="0090682A"/>
    <w:rsid w:val="00906F01"/>
    <w:rsid w:val="0090708B"/>
    <w:rsid w:val="00910E28"/>
    <w:rsid w:val="00910F1A"/>
    <w:rsid w:val="00911718"/>
    <w:rsid w:val="00911803"/>
    <w:rsid w:val="00911FA1"/>
    <w:rsid w:val="00912126"/>
    <w:rsid w:val="00912735"/>
    <w:rsid w:val="009129EB"/>
    <w:rsid w:val="009137C7"/>
    <w:rsid w:val="009140A7"/>
    <w:rsid w:val="0091433D"/>
    <w:rsid w:val="00914535"/>
    <w:rsid w:val="009145AE"/>
    <w:rsid w:val="0091466F"/>
    <w:rsid w:val="009150D7"/>
    <w:rsid w:val="00915118"/>
    <w:rsid w:val="00915583"/>
    <w:rsid w:val="00915DD3"/>
    <w:rsid w:val="00915FB5"/>
    <w:rsid w:val="00916B26"/>
    <w:rsid w:val="00921C0C"/>
    <w:rsid w:val="00921C87"/>
    <w:rsid w:val="009239FD"/>
    <w:rsid w:val="00924AD5"/>
    <w:rsid w:val="0092745F"/>
    <w:rsid w:val="00927DE1"/>
    <w:rsid w:val="0093028A"/>
    <w:rsid w:val="0093082E"/>
    <w:rsid w:val="00931200"/>
    <w:rsid w:val="009315DA"/>
    <w:rsid w:val="0093179F"/>
    <w:rsid w:val="00931EE1"/>
    <w:rsid w:val="009329CF"/>
    <w:rsid w:val="009332CB"/>
    <w:rsid w:val="00935465"/>
    <w:rsid w:val="00936073"/>
    <w:rsid w:val="00936271"/>
    <w:rsid w:val="00936437"/>
    <w:rsid w:val="009364B3"/>
    <w:rsid w:val="00940090"/>
    <w:rsid w:val="009404A3"/>
    <w:rsid w:val="009412E2"/>
    <w:rsid w:val="00941E54"/>
    <w:rsid w:val="00942817"/>
    <w:rsid w:val="00942957"/>
    <w:rsid w:val="009442E8"/>
    <w:rsid w:val="0094577C"/>
    <w:rsid w:val="00951B4E"/>
    <w:rsid w:val="00952EC7"/>
    <w:rsid w:val="0095313D"/>
    <w:rsid w:val="009533C3"/>
    <w:rsid w:val="00953656"/>
    <w:rsid w:val="00955DDC"/>
    <w:rsid w:val="00955ECA"/>
    <w:rsid w:val="00956BB2"/>
    <w:rsid w:val="009572FC"/>
    <w:rsid w:val="009578B0"/>
    <w:rsid w:val="0096074A"/>
    <w:rsid w:val="009625F7"/>
    <w:rsid w:val="00963276"/>
    <w:rsid w:val="00964F19"/>
    <w:rsid w:val="009678D6"/>
    <w:rsid w:val="00971F4E"/>
    <w:rsid w:val="0097399D"/>
    <w:rsid w:val="00974A0D"/>
    <w:rsid w:val="00975A1D"/>
    <w:rsid w:val="00976D75"/>
    <w:rsid w:val="009775A8"/>
    <w:rsid w:val="009802E6"/>
    <w:rsid w:val="009810A8"/>
    <w:rsid w:val="00982A19"/>
    <w:rsid w:val="0098342A"/>
    <w:rsid w:val="00983EAF"/>
    <w:rsid w:val="00984459"/>
    <w:rsid w:val="00984901"/>
    <w:rsid w:val="00985748"/>
    <w:rsid w:val="009869D9"/>
    <w:rsid w:val="00987099"/>
    <w:rsid w:val="00987166"/>
    <w:rsid w:val="00987CF1"/>
    <w:rsid w:val="00987E7F"/>
    <w:rsid w:val="009910F1"/>
    <w:rsid w:val="009915DC"/>
    <w:rsid w:val="009953A3"/>
    <w:rsid w:val="009A1913"/>
    <w:rsid w:val="009A1943"/>
    <w:rsid w:val="009A258D"/>
    <w:rsid w:val="009A270E"/>
    <w:rsid w:val="009A2F6C"/>
    <w:rsid w:val="009A334E"/>
    <w:rsid w:val="009A4DB0"/>
    <w:rsid w:val="009A668E"/>
    <w:rsid w:val="009A71CC"/>
    <w:rsid w:val="009B1E17"/>
    <w:rsid w:val="009B20AF"/>
    <w:rsid w:val="009B2C66"/>
    <w:rsid w:val="009B340A"/>
    <w:rsid w:val="009B374E"/>
    <w:rsid w:val="009B64A1"/>
    <w:rsid w:val="009B68F8"/>
    <w:rsid w:val="009C0E00"/>
    <w:rsid w:val="009C21EF"/>
    <w:rsid w:val="009C283C"/>
    <w:rsid w:val="009C29E0"/>
    <w:rsid w:val="009C2AAA"/>
    <w:rsid w:val="009C2D72"/>
    <w:rsid w:val="009C339C"/>
    <w:rsid w:val="009C389D"/>
    <w:rsid w:val="009C478E"/>
    <w:rsid w:val="009C489D"/>
    <w:rsid w:val="009C65AC"/>
    <w:rsid w:val="009C6A26"/>
    <w:rsid w:val="009C6D98"/>
    <w:rsid w:val="009C6FAB"/>
    <w:rsid w:val="009C73FE"/>
    <w:rsid w:val="009C7E8C"/>
    <w:rsid w:val="009D0B9C"/>
    <w:rsid w:val="009D0D62"/>
    <w:rsid w:val="009D20E9"/>
    <w:rsid w:val="009D2BB3"/>
    <w:rsid w:val="009D435F"/>
    <w:rsid w:val="009D5325"/>
    <w:rsid w:val="009D5BBB"/>
    <w:rsid w:val="009D68BF"/>
    <w:rsid w:val="009D6D9D"/>
    <w:rsid w:val="009D744C"/>
    <w:rsid w:val="009E111F"/>
    <w:rsid w:val="009E180F"/>
    <w:rsid w:val="009E1BC0"/>
    <w:rsid w:val="009E20BD"/>
    <w:rsid w:val="009E2FFE"/>
    <w:rsid w:val="009E3657"/>
    <w:rsid w:val="009E4B74"/>
    <w:rsid w:val="009E4B9D"/>
    <w:rsid w:val="009E4C44"/>
    <w:rsid w:val="009E514B"/>
    <w:rsid w:val="009E7FDE"/>
    <w:rsid w:val="009F0086"/>
    <w:rsid w:val="009F0D36"/>
    <w:rsid w:val="009F1A2C"/>
    <w:rsid w:val="009F3348"/>
    <w:rsid w:val="009F3CC7"/>
    <w:rsid w:val="009F3FD9"/>
    <w:rsid w:val="009F440F"/>
    <w:rsid w:val="009F50A4"/>
    <w:rsid w:val="009F5980"/>
    <w:rsid w:val="009F70DE"/>
    <w:rsid w:val="009F73DB"/>
    <w:rsid w:val="00A00895"/>
    <w:rsid w:val="00A014B7"/>
    <w:rsid w:val="00A0165C"/>
    <w:rsid w:val="00A022D1"/>
    <w:rsid w:val="00A023C6"/>
    <w:rsid w:val="00A06904"/>
    <w:rsid w:val="00A06C84"/>
    <w:rsid w:val="00A06F37"/>
    <w:rsid w:val="00A0706D"/>
    <w:rsid w:val="00A07A4C"/>
    <w:rsid w:val="00A10805"/>
    <w:rsid w:val="00A10F92"/>
    <w:rsid w:val="00A12AF1"/>
    <w:rsid w:val="00A140D3"/>
    <w:rsid w:val="00A149C8"/>
    <w:rsid w:val="00A15577"/>
    <w:rsid w:val="00A15A08"/>
    <w:rsid w:val="00A1766B"/>
    <w:rsid w:val="00A20A55"/>
    <w:rsid w:val="00A214C7"/>
    <w:rsid w:val="00A2319F"/>
    <w:rsid w:val="00A23777"/>
    <w:rsid w:val="00A23C4B"/>
    <w:rsid w:val="00A248A9"/>
    <w:rsid w:val="00A260EF"/>
    <w:rsid w:val="00A27542"/>
    <w:rsid w:val="00A27733"/>
    <w:rsid w:val="00A306A5"/>
    <w:rsid w:val="00A31E90"/>
    <w:rsid w:val="00A31EF8"/>
    <w:rsid w:val="00A33041"/>
    <w:rsid w:val="00A34550"/>
    <w:rsid w:val="00A35BDE"/>
    <w:rsid w:val="00A361A4"/>
    <w:rsid w:val="00A37AE8"/>
    <w:rsid w:val="00A37E4B"/>
    <w:rsid w:val="00A37FCD"/>
    <w:rsid w:val="00A37FF7"/>
    <w:rsid w:val="00A41B8B"/>
    <w:rsid w:val="00A43024"/>
    <w:rsid w:val="00A443D3"/>
    <w:rsid w:val="00A445E9"/>
    <w:rsid w:val="00A44A92"/>
    <w:rsid w:val="00A44EE0"/>
    <w:rsid w:val="00A45E05"/>
    <w:rsid w:val="00A45E6C"/>
    <w:rsid w:val="00A467DC"/>
    <w:rsid w:val="00A46962"/>
    <w:rsid w:val="00A46CDF"/>
    <w:rsid w:val="00A47CF7"/>
    <w:rsid w:val="00A51131"/>
    <w:rsid w:val="00A51150"/>
    <w:rsid w:val="00A54ACF"/>
    <w:rsid w:val="00A55221"/>
    <w:rsid w:val="00A5577B"/>
    <w:rsid w:val="00A56383"/>
    <w:rsid w:val="00A57300"/>
    <w:rsid w:val="00A57B5C"/>
    <w:rsid w:val="00A61B7F"/>
    <w:rsid w:val="00A61DAA"/>
    <w:rsid w:val="00A61F6F"/>
    <w:rsid w:val="00A63666"/>
    <w:rsid w:val="00A636CF"/>
    <w:rsid w:val="00A645D5"/>
    <w:rsid w:val="00A65BA8"/>
    <w:rsid w:val="00A661DB"/>
    <w:rsid w:val="00A70919"/>
    <w:rsid w:val="00A70E20"/>
    <w:rsid w:val="00A729D3"/>
    <w:rsid w:val="00A73B75"/>
    <w:rsid w:val="00A740EF"/>
    <w:rsid w:val="00A74224"/>
    <w:rsid w:val="00A7543F"/>
    <w:rsid w:val="00A77DB7"/>
    <w:rsid w:val="00A80A2F"/>
    <w:rsid w:val="00A822C1"/>
    <w:rsid w:val="00A84B99"/>
    <w:rsid w:val="00A84E8A"/>
    <w:rsid w:val="00A855C2"/>
    <w:rsid w:val="00A8626E"/>
    <w:rsid w:val="00A91007"/>
    <w:rsid w:val="00A91C10"/>
    <w:rsid w:val="00A92419"/>
    <w:rsid w:val="00A9321D"/>
    <w:rsid w:val="00A9381A"/>
    <w:rsid w:val="00A93C33"/>
    <w:rsid w:val="00A93E90"/>
    <w:rsid w:val="00A949B0"/>
    <w:rsid w:val="00A94A0E"/>
    <w:rsid w:val="00A94D4F"/>
    <w:rsid w:val="00A955FB"/>
    <w:rsid w:val="00A95DEB"/>
    <w:rsid w:val="00A96599"/>
    <w:rsid w:val="00A97DB3"/>
    <w:rsid w:val="00AA0061"/>
    <w:rsid w:val="00AA21A2"/>
    <w:rsid w:val="00AA2B39"/>
    <w:rsid w:val="00AA3D1C"/>
    <w:rsid w:val="00AA4CA1"/>
    <w:rsid w:val="00AA6A1C"/>
    <w:rsid w:val="00AA779D"/>
    <w:rsid w:val="00AB1DF6"/>
    <w:rsid w:val="00AB1FB8"/>
    <w:rsid w:val="00AB3314"/>
    <w:rsid w:val="00AB4ED6"/>
    <w:rsid w:val="00AB508F"/>
    <w:rsid w:val="00AB529E"/>
    <w:rsid w:val="00AB5B6D"/>
    <w:rsid w:val="00AB657F"/>
    <w:rsid w:val="00AB79B6"/>
    <w:rsid w:val="00AC0136"/>
    <w:rsid w:val="00AC1C23"/>
    <w:rsid w:val="00AC291F"/>
    <w:rsid w:val="00AC2A94"/>
    <w:rsid w:val="00AC2CC9"/>
    <w:rsid w:val="00AC4A5F"/>
    <w:rsid w:val="00AC6014"/>
    <w:rsid w:val="00AC766F"/>
    <w:rsid w:val="00AD011F"/>
    <w:rsid w:val="00AD306D"/>
    <w:rsid w:val="00AD3F38"/>
    <w:rsid w:val="00AD4196"/>
    <w:rsid w:val="00AD6689"/>
    <w:rsid w:val="00AD7654"/>
    <w:rsid w:val="00AD7A90"/>
    <w:rsid w:val="00AD7E93"/>
    <w:rsid w:val="00AE1565"/>
    <w:rsid w:val="00AE23C9"/>
    <w:rsid w:val="00AE3AD1"/>
    <w:rsid w:val="00AE623B"/>
    <w:rsid w:val="00AE68DF"/>
    <w:rsid w:val="00AE76BB"/>
    <w:rsid w:val="00AE7F8F"/>
    <w:rsid w:val="00AF0433"/>
    <w:rsid w:val="00AF0A28"/>
    <w:rsid w:val="00AF1600"/>
    <w:rsid w:val="00AF1810"/>
    <w:rsid w:val="00AF1AFA"/>
    <w:rsid w:val="00AF258E"/>
    <w:rsid w:val="00AF2C51"/>
    <w:rsid w:val="00AF3B60"/>
    <w:rsid w:val="00AF4502"/>
    <w:rsid w:val="00AF5DA2"/>
    <w:rsid w:val="00AF7AFD"/>
    <w:rsid w:val="00B000CE"/>
    <w:rsid w:val="00B01608"/>
    <w:rsid w:val="00B0185B"/>
    <w:rsid w:val="00B027BC"/>
    <w:rsid w:val="00B02994"/>
    <w:rsid w:val="00B02D66"/>
    <w:rsid w:val="00B03EC5"/>
    <w:rsid w:val="00B05BB5"/>
    <w:rsid w:val="00B069D5"/>
    <w:rsid w:val="00B07434"/>
    <w:rsid w:val="00B13A59"/>
    <w:rsid w:val="00B13D77"/>
    <w:rsid w:val="00B1442D"/>
    <w:rsid w:val="00B15A20"/>
    <w:rsid w:val="00B15C3C"/>
    <w:rsid w:val="00B16E72"/>
    <w:rsid w:val="00B1729A"/>
    <w:rsid w:val="00B179A5"/>
    <w:rsid w:val="00B20833"/>
    <w:rsid w:val="00B20DA0"/>
    <w:rsid w:val="00B21CE0"/>
    <w:rsid w:val="00B21E97"/>
    <w:rsid w:val="00B2256A"/>
    <w:rsid w:val="00B226C1"/>
    <w:rsid w:val="00B23D17"/>
    <w:rsid w:val="00B2548A"/>
    <w:rsid w:val="00B26F91"/>
    <w:rsid w:val="00B3180C"/>
    <w:rsid w:val="00B319E5"/>
    <w:rsid w:val="00B344DF"/>
    <w:rsid w:val="00B34C1D"/>
    <w:rsid w:val="00B34D69"/>
    <w:rsid w:val="00B36B7B"/>
    <w:rsid w:val="00B36C1C"/>
    <w:rsid w:val="00B36C34"/>
    <w:rsid w:val="00B37111"/>
    <w:rsid w:val="00B3756D"/>
    <w:rsid w:val="00B4006F"/>
    <w:rsid w:val="00B40B51"/>
    <w:rsid w:val="00B41215"/>
    <w:rsid w:val="00B41EC9"/>
    <w:rsid w:val="00B44C02"/>
    <w:rsid w:val="00B4529E"/>
    <w:rsid w:val="00B503F2"/>
    <w:rsid w:val="00B507D1"/>
    <w:rsid w:val="00B50E7F"/>
    <w:rsid w:val="00B51B8D"/>
    <w:rsid w:val="00B523F0"/>
    <w:rsid w:val="00B52C20"/>
    <w:rsid w:val="00B53046"/>
    <w:rsid w:val="00B53B09"/>
    <w:rsid w:val="00B57113"/>
    <w:rsid w:val="00B57B72"/>
    <w:rsid w:val="00B57DA5"/>
    <w:rsid w:val="00B60567"/>
    <w:rsid w:val="00B611E2"/>
    <w:rsid w:val="00B613DA"/>
    <w:rsid w:val="00B61569"/>
    <w:rsid w:val="00B61E76"/>
    <w:rsid w:val="00B62907"/>
    <w:rsid w:val="00B65479"/>
    <w:rsid w:val="00B65AD6"/>
    <w:rsid w:val="00B67800"/>
    <w:rsid w:val="00B67AE6"/>
    <w:rsid w:val="00B70557"/>
    <w:rsid w:val="00B70DCD"/>
    <w:rsid w:val="00B716CF"/>
    <w:rsid w:val="00B735BC"/>
    <w:rsid w:val="00B756B6"/>
    <w:rsid w:val="00B75A02"/>
    <w:rsid w:val="00B766EF"/>
    <w:rsid w:val="00B778D3"/>
    <w:rsid w:val="00B804B2"/>
    <w:rsid w:val="00B80D7B"/>
    <w:rsid w:val="00B812CC"/>
    <w:rsid w:val="00B81B20"/>
    <w:rsid w:val="00B81EDF"/>
    <w:rsid w:val="00B83EA7"/>
    <w:rsid w:val="00B850C8"/>
    <w:rsid w:val="00B86270"/>
    <w:rsid w:val="00B87659"/>
    <w:rsid w:val="00B92D8A"/>
    <w:rsid w:val="00B9312E"/>
    <w:rsid w:val="00B93459"/>
    <w:rsid w:val="00B9363B"/>
    <w:rsid w:val="00B93C2D"/>
    <w:rsid w:val="00B95774"/>
    <w:rsid w:val="00B957D5"/>
    <w:rsid w:val="00B95984"/>
    <w:rsid w:val="00B97EF5"/>
    <w:rsid w:val="00BA14A4"/>
    <w:rsid w:val="00BA1A18"/>
    <w:rsid w:val="00BA2124"/>
    <w:rsid w:val="00BA2202"/>
    <w:rsid w:val="00BA22A1"/>
    <w:rsid w:val="00BA2490"/>
    <w:rsid w:val="00BA253C"/>
    <w:rsid w:val="00BA2E38"/>
    <w:rsid w:val="00BA30E7"/>
    <w:rsid w:val="00BA3F51"/>
    <w:rsid w:val="00BA4000"/>
    <w:rsid w:val="00BA4785"/>
    <w:rsid w:val="00BA5A60"/>
    <w:rsid w:val="00BA5F93"/>
    <w:rsid w:val="00BA64DC"/>
    <w:rsid w:val="00BA6FCD"/>
    <w:rsid w:val="00BA7576"/>
    <w:rsid w:val="00BA760B"/>
    <w:rsid w:val="00BA7C5A"/>
    <w:rsid w:val="00BB01A9"/>
    <w:rsid w:val="00BB0EDB"/>
    <w:rsid w:val="00BB0FAA"/>
    <w:rsid w:val="00BB11A5"/>
    <w:rsid w:val="00BB1929"/>
    <w:rsid w:val="00BB23BB"/>
    <w:rsid w:val="00BB5238"/>
    <w:rsid w:val="00BB5315"/>
    <w:rsid w:val="00BB555B"/>
    <w:rsid w:val="00BB5F59"/>
    <w:rsid w:val="00BB62BB"/>
    <w:rsid w:val="00BB659A"/>
    <w:rsid w:val="00BB65C0"/>
    <w:rsid w:val="00BB7603"/>
    <w:rsid w:val="00BC0961"/>
    <w:rsid w:val="00BC0C6A"/>
    <w:rsid w:val="00BC0DEE"/>
    <w:rsid w:val="00BC3D01"/>
    <w:rsid w:val="00BC3DFF"/>
    <w:rsid w:val="00BC4B4D"/>
    <w:rsid w:val="00BC5245"/>
    <w:rsid w:val="00BC7785"/>
    <w:rsid w:val="00BC7CD6"/>
    <w:rsid w:val="00BD0134"/>
    <w:rsid w:val="00BD0CFC"/>
    <w:rsid w:val="00BD1394"/>
    <w:rsid w:val="00BD18F6"/>
    <w:rsid w:val="00BD2299"/>
    <w:rsid w:val="00BD2D04"/>
    <w:rsid w:val="00BD3A6B"/>
    <w:rsid w:val="00BD3F23"/>
    <w:rsid w:val="00BD4195"/>
    <w:rsid w:val="00BD5CF4"/>
    <w:rsid w:val="00BD67E0"/>
    <w:rsid w:val="00BD7821"/>
    <w:rsid w:val="00BE1007"/>
    <w:rsid w:val="00BE146A"/>
    <w:rsid w:val="00BE1686"/>
    <w:rsid w:val="00BE1722"/>
    <w:rsid w:val="00BE2BC4"/>
    <w:rsid w:val="00BE30ED"/>
    <w:rsid w:val="00BE3443"/>
    <w:rsid w:val="00BE3B25"/>
    <w:rsid w:val="00BE42A1"/>
    <w:rsid w:val="00BE4995"/>
    <w:rsid w:val="00BE4BC9"/>
    <w:rsid w:val="00BE502C"/>
    <w:rsid w:val="00BE5865"/>
    <w:rsid w:val="00BF1906"/>
    <w:rsid w:val="00BF2F7E"/>
    <w:rsid w:val="00BF3CFC"/>
    <w:rsid w:val="00BF4017"/>
    <w:rsid w:val="00BF4190"/>
    <w:rsid w:val="00C004A9"/>
    <w:rsid w:val="00C0224F"/>
    <w:rsid w:val="00C0364C"/>
    <w:rsid w:val="00C05148"/>
    <w:rsid w:val="00C05F26"/>
    <w:rsid w:val="00C05F52"/>
    <w:rsid w:val="00C05F63"/>
    <w:rsid w:val="00C060AC"/>
    <w:rsid w:val="00C06783"/>
    <w:rsid w:val="00C0713F"/>
    <w:rsid w:val="00C07272"/>
    <w:rsid w:val="00C07576"/>
    <w:rsid w:val="00C131EA"/>
    <w:rsid w:val="00C13A38"/>
    <w:rsid w:val="00C16A73"/>
    <w:rsid w:val="00C16DB4"/>
    <w:rsid w:val="00C16F0F"/>
    <w:rsid w:val="00C22C17"/>
    <w:rsid w:val="00C23743"/>
    <w:rsid w:val="00C25487"/>
    <w:rsid w:val="00C255FF"/>
    <w:rsid w:val="00C260AD"/>
    <w:rsid w:val="00C2667A"/>
    <w:rsid w:val="00C26707"/>
    <w:rsid w:val="00C318A7"/>
    <w:rsid w:val="00C322D9"/>
    <w:rsid w:val="00C32390"/>
    <w:rsid w:val="00C3265E"/>
    <w:rsid w:val="00C33271"/>
    <w:rsid w:val="00C33687"/>
    <w:rsid w:val="00C3485F"/>
    <w:rsid w:val="00C34CC2"/>
    <w:rsid w:val="00C351E7"/>
    <w:rsid w:val="00C363C4"/>
    <w:rsid w:val="00C364CE"/>
    <w:rsid w:val="00C41E31"/>
    <w:rsid w:val="00C42C20"/>
    <w:rsid w:val="00C42CCF"/>
    <w:rsid w:val="00C4315C"/>
    <w:rsid w:val="00C4415C"/>
    <w:rsid w:val="00C45344"/>
    <w:rsid w:val="00C45873"/>
    <w:rsid w:val="00C468A2"/>
    <w:rsid w:val="00C46F40"/>
    <w:rsid w:val="00C47677"/>
    <w:rsid w:val="00C4797B"/>
    <w:rsid w:val="00C5008A"/>
    <w:rsid w:val="00C5132A"/>
    <w:rsid w:val="00C51D6F"/>
    <w:rsid w:val="00C51FF5"/>
    <w:rsid w:val="00C54006"/>
    <w:rsid w:val="00C55331"/>
    <w:rsid w:val="00C55627"/>
    <w:rsid w:val="00C55859"/>
    <w:rsid w:val="00C60F53"/>
    <w:rsid w:val="00C64F7E"/>
    <w:rsid w:val="00C65188"/>
    <w:rsid w:val="00C65345"/>
    <w:rsid w:val="00C72115"/>
    <w:rsid w:val="00C747EE"/>
    <w:rsid w:val="00C749F0"/>
    <w:rsid w:val="00C75DC4"/>
    <w:rsid w:val="00C76236"/>
    <w:rsid w:val="00C81A06"/>
    <w:rsid w:val="00C8474C"/>
    <w:rsid w:val="00C8528B"/>
    <w:rsid w:val="00C86852"/>
    <w:rsid w:val="00C86E72"/>
    <w:rsid w:val="00C87B7C"/>
    <w:rsid w:val="00C90FB7"/>
    <w:rsid w:val="00C91CCB"/>
    <w:rsid w:val="00C926AA"/>
    <w:rsid w:val="00C93E51"/>
    <w:rsid w:val="00C95677"/>
    <w:rsid w:val="00C95CD3"/>
    <w:rsid w:val="00C9614B"/>
    <w:rsid w:val="00C96810"/>
    <w:rsid w:val="00C9714E"/>
    <w:rsid w:val="00C979A0"/>
    <w:rsid w:val="00CA02F9"/>
    <w:rsid w:val="00CA0342"/>
    <w:rsid w:val="00CA034D"/>
    <w:rsid w:val="00CA0475"/>
    <w:rsid w:val="00CA0ADE"/>
    <w:rsid w:val="00CA1A7D"/>
    <w:rsid w:val="00CA209A"/>
    <w:rsid w:val="00CA29A4"/>
    <w:rsid w:val="00CA4E85"/>
    <w:rsid w:val="00CA6D19"/>
    <w:rsid w:val="00CA6E76"/>
    <w:rsid w:val="00CA76C4"/>
    <w:rsid w:val="00CB1946"/>
    <w:rsid w:val="00CB41C8"/>
    <w:rsid w:val="00CB541E"/>
    <w:rsid w:val="00CB6E53"/>
    <w:rsid w:val="00CB78AC"/>
    <w:rsid w:val="00CC2E03"/>
    <w:rsid w:val="00CC4BC7"/>
    <w:rsid w:val="00CC4D1A"/>
    <w:rsid w:val="00CC66EA"/>
    <w:rsid w:val="00CC768B"/>
    <w:rsid w:val="00CC7DE7"/>
    <w:rsid w:val="00CD0826"/>
    <w:rsid w:val="00CD0FEC"/>
    <w:rsid w:val="00CD130A"/>
    <w:rsid w:val="00CD161C"/>
    <w:rsid w:val="00CD1C7D"/>
    <w:rsid w:val="00CD302C"/>
    <w:rsid w:val="00CD3299"/>
    <w:rsid w:val="00CD3B2A"/>
    <w:rsid w:val="00CD4520"/>
    <w:rsid w:val="00CD463D"/>
    <w:rsid w:val="00CD563C"/>
    <w:rsid w:val="00CD6921"/>
    <w:rsid w:val="00CD7837"/>
    <w:rsid w:val="00CD7B51"/>
    <w:rsid w:val="00CE022D"/>
    <w:rsid w:val="00CE0698"/>
    <w:rsid w:val="00CE0995"/>
    <w:rsid w:val="00CE1454"/>
    <w:rsid w:val="00CE154B"/>
    <w:rsid w:val="00CE187A"/>
    <w:rsid w:val="00CE33E3"/>
    <w:rsid w:val="00CE455F"/>
    <w:rsid w:val="00CE4C7B"/>
    <w:rsid w:val="00CE625A"/>
    <w:rsid w:val="00CE6ADB"/>
    <w:rsid w:val="00CE6D37"/>
    <w:rsid w:val="00CE7779"/>
    <w:rsid w:val="00CE7C62"/>
    <w:rsid w:val="00CF1873"/>
    <w:rsid w:val="00CF22B4"/>
    <w:rsid w:val="00CF23FD"/>
    <w:rsid w:val="00CF3A83"/>
    <w:rsid w:val="00CF46C9"/>
    <w:rsid w:val="00CF6832"/>
    <w:rsid w:val="00CF7A79"/>
    <w:rsid w:val="00CF7E43"/>
    <w:rsid w:val="00D00449"/>
    <w:rsid w:val="00D02D4C"/>
    <w:rsid w:val="00D02D88"/>
    <w:rsid w:val="00D037F7"/>
    <w:rsid w:val="00D038EA"/>
    <w:rsid w:val="00D043B3"/>
    <w:rsid w:val="00D04754"/>
    <w:rsid w:val="00D047F0"/>
    <w:rsid w:val="00D06E6B"/>
    <w:rsid w:val="00D0767A"/>
    <w:rsid w:val="00D10340"/>
    <w:rsid w:val="00D103C8"/>
    <w:rsid w:val="00D10F7A"/>
    <w:rsid w:val="00D138FF"/>
    <w:rsid w:val="00D14F64"/>
    <w:rsid w:val="00D15256"/>
    <w:rsid w:val="00D15AAC"/>
    <w:rsid w:val="00D1618F"/>
    <w:rsid w:val="00D16427"/>
    <w:rsid w:val="00D1663F"/>
    <w:rsid w:val="00D16FC3"/>
    <w:rsid w:val="00D17138"/>
    <w:rsid w:val="00D172D7"/>
    <w:rsid w:val="00D17F92"/>
    <w:rsid w:val="00D2003A"/>
    <w:rsid w:val="00D20399"/>
    <w:rsid w:val="00D21349"/>
    <w:rsid w:val="00D22123"/>
    <w:rsid w:val="00D24826"/>
    <w:rsid w:val="00D24951"/>
    <w:rsid w:val="00D24C99"/>
    <w:rsid w:val="00D24FE2"/>
    <w:rsid w:val="00D252B3"/>
    <w:rsid w:val="00D26508"/>
    <w:rsid w:val="00D26FA6"/>
    <w:rsid w:val="00D277B6"/>
    <w:rsid w:val="00D3087F"/>
    <w:rsid w:val="00D30AED"/>
    <w:rsid w:val="00D30B74"/>
    <w:rsid w:val="00D31839"/>
    <w:rsid w:val="00D32F9F"/>
    <w:rsid w:val="00D33AFE"/>
    <w:rsid w:val="00D3446D"/>
    <w:rsid w:val="00D34DFF"/>
    <w:rsid w:val="00D34F09"/>
    <w:rsid w:val="00D35570"/>
    <w:rsid w:val="00D355E2"/>
    <w:rsid w:val="00D36930"/>
    <w:rsid w:val="00D36D64"/>
    <w:rsid w:val="00D3775C"/>
    <w:rsid w:val="00D37972"/>
    <w:rsid w:val="00D40EF3"/>
    <w:rsid w:val="00D41453"/>
    <w:rsid w:val="00D4199F"/>
    <w:rsid w:val="00D42647"/>
    <w:rsid w:val="00D42821"/>
    <w:rsid w:val="00D429AC"/>
    <w:rsid w:val="00D4323A"/>
    <w:rsid w:val="00D44395"/>
    <w:rsid w:val="00D44C9E"/>
    <w:rsid w:val="00D45D37"/>
    <w:rsid w:val="00D47285"/>
    <w:rsid w:val="00D50E94"/>
    <w:rsid w:val="00D50FBD"/>
    <w:rsid w:val="00D512C3"/>
    <w:rsid w:val="00D5158E"/>
    <w:rsid w:val="00D52322"/>
    <w:rsid w:val="00D53B1A"/>
    <w:rsid w:val="00D54755"/>
    <w:rsid w:val="00D5666C"/>
    <w:rsid w:val="00D57A08"/>
    <w:rsid w:val="00D6040F"/>
    <w:rsid w:val="00D608FC"/>
    <w:rsid w:val="00D611F9"/>
    <w:rsid w:val="00D63ABE"/>
    <w:rsid w:val="00D64A63"/>
    <w:rsid w:val="00D64D2D"/>
    <w:rsid w:val="00D64F9C"/>
    <w:rsid w:val="00D66F4F"/>
    <w:rsid w:val="00D71C65"/>
    <w:rsid w:val="00D72912"/>
    <w:rsid w:val="00D72E9D"/>
    <w:rsid w:val="00D72ECA"/>
    <w:rsid w:val="00D7343B"/>
    <w:rsid w:val="00D735B6"/>
    <w:rsid w:val="00D73B6A"/>
    <w:rsid w:val="00D7473B"/>
    <w:rsid w:val="00D75F59"/>
    <w:rsid w:val="00D76099"/>
    <w:rsid w:val="00D76BF8"/>
    <w:rsid w:val="00D7729C"/>
    <w:rsid w:val="00D77EAA"/>
    <w:rsid w:val="00D803CA"/>
    <w:rsid w:val="00D81E57"/>
    <w:rsid w:val="00D82919"/>
    <w:rsid w:val="00D82F5D"/>
    <w:rsid w:val="00D835DF"/>
    <w:rsid w:val="00D83FFE"/>
    <w:rsid w:val="00D84B8F"/>
    <w:rsid w:val="00D84E55"/>
    <w:rsid w:val="00D850AA"/>
    <w:rsid w:val="00D8527B"/>
    <w:rsid w:val="00D85BC9"/>
    <w:rsid w:val="00D86531"/>
    <w:rsid w:val="00D86681"/>
    <w:rsid w:val="00D86BB8"/>
    <w:rsid w:val="00D86D79"/>
    <w:rsid w:val="00D878ED"/>
    <w:rsid w:val="00D90BB3"/>
    <w:rsid w:val="00D9125F"/>
    <w:rsid w:val="00D91E11"/>
    <w:rsid w:val="00D92C5A"/>
    <w:rsid w:val="00D946D6"/>
    <w:rsid w:val="00D94C66"/>
    <w:rsid w:val="00D95063"/>
    <w:rsid w:val="00D95C72"/>
    <w:rsid w:val="00D9635D"/>
    <w:rsid w:val="00D97104"/>
    <w:rsid w:val="00D976F0"/>
    <w:rsid w:val="00DA0C27"/>
    <w:rsid w:val="00DA0C96"/>
    <w:rsid w:val="00DA1230"/>
    <w:rsid w:val="00DA331F"/>
    <w:rsid w:val="00DA3BF2"/>
    <w:rsid w:val="00DA4920"/>
    <w:rsid w:val="00DA5DE2"/>
    <w:rsid w:val="00DA5F33"/>
    <w:rsid w:val="00DA5F69"/>
    <w:rsid w:val="00DA71A0"/>
    <w:rsid w:val="00DB1ABC"/>
    <w:rsid w:val="00DB1B95"/>
    <w:rsid w:val="00DB2AFA"/>
    <w:rsid w:val="00DB2F38"/>
    <w:rsid w:val="00DB2F6C"/>
    <w:rsid w:val="00DB3D71"/>
    <w:rsid w:val="00DB5355"/>
    <w:rsid w:val="00DB5B3F"/>
    <w:rsid w:val="00DB7E1F"/>
    <w:rsid w:val="00DC0CAF"/>
    <w:rsid w:val="00DC2FF1"/>
    <w:rsid w:val="00DC5A08"/>
    <w:rsid w:val="00DC6255"/>
    <w:rsid w:val="00DC7670"/>
    <w:rsid w:val="00DC77CF"/>
    <w:rsid w:val="00DC7B76"/>
    <w:rsid w:val="00DD0A93"/>
    <w:rsid w:val="00DD17D6"/>
    <w:rsid w:val="00DD21E1"/>
    <w:rsid w:val="00DD27B1"/>
    <w:rsid w:val="00DD353C"/>
    <w:rsid w:val="00DD3B69"/>
    <w:rsid w:val="00DD431E"/>
    <w:rsid w:val="00DD5176"/>
    <w:rsid w:val="00DD5432"/>
    <w:rsid w:val="00DD6265"/>
    <w:rsid w:val="00DD63BE"/>
    <w:rsid w:val="00DD6CEB"/>
    <w:rsid w:val="00DE067B"/>
    <w:rsid w:val="00DE1549"/>
    <w:rsid w:val="00DE15FC"/>
    <w:rsid w:val="00DE24B6"/>
    <w:rsid w:val="00DE286C"/>
    <w:rsid w:val="00DE293C"/>
    <w:rsid w:val="00DE30E7"/>
    <w:rsid w:val="00DE3169"/>
    <w:rsid w:val="00DE32DF"/>
    <w:rsid w:val="00DE3806"/>
    <w:rsid w:val="00DE5FD1"/>
    <w:rsid w:val="00DF0D78"/>
    <w:rsid w:val="00DF3EC4"/>
    <w:rsid w:val="00DF50B7"/>
    <w:rsid w:val="00E00915"/>
    <w:rsid w:val="00E00ABD"/>
    <w:rsid w:val="00E00BC7"/>
    <w:rsid w:val="00E01091"/>
    <w:rsid w:val="00E018A7"/>
    <w:rsid w:val="00E019CC"/>
    <w:rsid w:val="00E0209B"/>
    <w:rsid w:val="00E029D0"/>
    <w:rsid w:val="00E047EA"/>
    <w:rsid w:val="00E04E68"/>
    <w:rsid w:val="00E04F1A"/>
    <w:rsid w:val="00E06F2F"/>
    <w:rsid w:val="00E075B5"/>
    <w:rsid w:val="00E07721"/>
    <w:rsid w:val="00E0795A"/>
    <w:rsid w:val="00E10069"/>
    <w:rsid w:val="00E10BFE"/>
    <w:rsid w:val="00E112C9"/>
    <w:rsid w:val="00E11549"/>
    <w:rsid w:val="00E12133"/>
    <w:rsid w:val="00E122ED"/>
    <w:rsid w:val="00E1231D"/>
    <w:rsid w:val="00E1425B"/>
    <w:rsid w:val="00E14997"/>
    <w:rsid w:val="00E14DC5"/>
    <w:rsid w:val="00E150FB"/>
    <w:rsid w:val="00E16121"/>
    <w:rsid w:val="00E16570"/>
    <w:rsid w:val="00E174DF"/>
    <w:rsid w:val="00E212B8"/>
    <w:rsid w:val="00E22E4A"/>
    <w:rsid w:val="00E23077"/>
    <w:rsid w:val="00E2325A"/>
    <w:rsid w:val="00E26A24"/>
    <w:rsid w:val="00E300B6"/>
    <w:rsid w:val="00E3051F"/>
    <w:rsid w:val="00E306A3"/>
    <w:rsid w:val="00E307CD"/>
    <w:rsid w:val="00E31840"/>
    <w:rsid w:val="00E34082"/>
    <w:rsid w:val="00E346C6"/>
    <w:rsid w:val="00E35AFB"/>
    <w:rsid w:val="00E36570"/>
    <w:rsid w:val="00E370C1"/>
    <w:rsid w:val="00E37127"/>
    <w:rsid w:val="00E37CAB"/>
    <w:rsid w:val="00E403B4"/>
    <w:rsid w:val="00E41C58"/>
    <w:rsid w:val="00E42787"/>
    <w:rsid w:val="00E43422"/>
    <w:rsid w:val="00E4452D"/>
    <w:rsid w:val="00E44A10"/>
    <w:rsid w:val="00E45E02"/>
    <w:rsid w:val="00E46DB2"/>
    <w:rsid w:val="00E478BC"/>
    <w:rsid w:val="00E538C8"/>
    <w:rsid w:val="00E53AB8"/>
    <w:rsid w:val="00E53DBD"/>
    <w:rsid w:val="00E541A0"/>
    <w:rsid w:val="00E56A5E"/>
    <w:rsid w:val="00E56EED"/>
    <w:rsid w:val="00E600AB"/>
    <w:rsid w:val="00E60D1A"/>
    <w:rsid w:val="00E61CAA"/>
    <w:rsid w:val="00E636ED"/>
    <w:rsid w:val="00E65285"/>
    <w:rsid w:val="00E6594D"/>
    <w:rsid w:val="00E65E9D"/>
    <w:rsid w:val="00E667EC"/>
    <w:rsid w:val="00E66DB5"/>
    <w:rsid w:val="00E67D80"/>
    <w:rsid w:val="00E714DD"/>
    <w:rsid w:val="00E74010"/>
    <w:rsid w:val="00E75B2C"/>
    <w:rsid w:val="00E77B90"/>
    <w:rsid w:val="00E807F5"/>
    <w:rsid w:val="00E81E74"/>
    <w:rsid w:val="00E8229D"/>
    <w:rsid w:val="00E84D5C"/>
    <w:rsid w:val="00E84E62"/>
    <w:rsid w:val="00E857C2"/>
    <w:rsid w:val="00E86318"/>
    <w:rsid w:val="00E86724"/>
    <w:rsid w:val="00E86F01"/>
    <w:rsid w:val="00E875F4"/>
    <w:rsid w:val="00E909C7"/>
    <w:rsid w:val="00E90EC4"/>
    <w:rsid w:val="00E9177C"/>
    <w:rsid w:val="00E92528"/>
    <w:rsid w:val="00E935F0"/>
    <w:rsid w:val="00E93E97"/>
    <w:rsid w:val="00E9459F"/>
    <w:rsid w:val="00E94B74"/>
    <w:rsid w:val="00E95FEF"/>
    <w:rsid w:val="00E96013"/>
    <w:rsid w:val="00E96111"/>
    <w:rsid w:val="00E96C6C"/>
    <w:rsid w:val="00EA0263"/>
    <w:rsid w:val="00EA0974"/>
    <w:rsid w:val="00EA0C88"/>
    <w:rsid w:val="00EA0F3E"/>
    <w:rsid w:val="00EA1AC5"/>
    <w:rsid w:val="00EA314F"/>
    <w:rsid w:val="00EA392C"/>
    <w:rsid w:val="00EA3FB9"/>
    <w:rsid w:val="00EA4498"/>
    <w:rsid w:val="00EA4633"/>
    <w:rsid w:val="00EA4756"/>
    <w:rsid w:val="00EA576C"/>
    <w:rsid w:val="00EA5C2E"/>
    <w:rsid w:val="00EA5E79"/>
    <w:rsid w:val="00EA6A0C"/>
    <w:rsid w:val="00EA7288"/>
    <w:rsid w:val="00EB14A7"/>
    <w:rsid w:val="00EB1662"/>
    <w:rsid w:val="00EB1C65"/>
    <w:rsid w:val="00EB52E8"/>
    <w:rsid w:val="00EB5A8D"/>
    <w:rsid w:val="00EB5A9D"/>
    <w:rsid w:val="00EB6033"/>
    <w:rsid w:val="00EB7816"/>
    <w:rsid w:val="00EC3751"/>
    <w:rsid w:val="00EC52EE"/>
    <w:rsid w:val="00EC7667"/>
    <w:rsid w:val="00EC7A9F"/>
    <w:rsid w:val="00ED2DEF"/>
    <w:rsid w:val="00ED3148"/>
    <w:rsid w:val="00ED34CF"/>
    <w:rsid w:val="00ED6C57"/>
    <w:rsid w:val="00ED6EF4"/>
    <w:rsid w:val="00ED728F"/>
    <w:rsid w:val="00ED7A28"/>
    <w:rsid w:val="00EE1558"/>
    <w:rsid w:val="00EE248E"/>
    <w:rsid w:val="00EE3A54"/>
    <w:rsid w:val="00EE459E"/>
    <w:rsid w:val="00EE5798"/>
    <w:rsid w:val="00EE5BF5"/>
    <w:rsid w:val="00EF165E"/>
    <w:rsid w:val="00EF2833"/>
    <w:rsid w:val="00EF38BF"/>
    <w:rsid w:val="00EF39BB"/>
    <w:rsid w:val="00EF45B8"/>
    <w:rsid w:val="00EF51C6"/>
    <w:rsid w:val="00EF520B"/>
    <w:rsid w:val="00EF5653"/>
    <w:rsid w:val="00EF6F0C"/>
    <w:rsid w:val="00F011A2"/>
    <w:rsid w:val="00F01C30"/>
    <w:rsid w:val="00F03610"/>
    <w:rsid w:val="00F03838"/>
    <w:rsid w:val="00F03A98"/>
    <w:rsid w:val="00F04B6F"/>
    <w:rsid w:val="00F04C06"/>
    <w:rsid w:val="00F0633E"/>
    <w:rsid w:val="00F06BD8"/>
    <w:rsid w:val="00F1045D"/>
    <w:rsid w:val="00F1071E"/>
    <w:rsid w:val="00F108DD"/>
    <w:rsid w:val="00F143BA"/>
    <w:rsid w:val="00F14CC1"/>
    <w:rsid w:val="00F15AA2"/>
    <w:rsid w:val="00F15AB0"/>
    <w:rsid w:val="00F172F3"/>
    <w:rsid w:val="00F17FA2"/>
    <w:rsid w:val="00F2164F"/>
    <w:rsid w:val="00F2178A"/>
    <w:rsid w:val="00F22604"/>
    <w:rsid w:val="00F226A5"/>
    <w:rsid w:val="00F23BD7"/>
    <w:rsid w:val="00F2433C"/>
    <w:rsid w:val="00F24FD8"/>
    <w:rsid w:val="00F25A48"/>
    <w:rsid w:val="00F268BB"/>
    <w:rsid w:val="00F26D32"/>
    <w:rsid w:val="00F27310"/>
    <w:rsid w:val="00F27DA3"/>
    <w:rsid w:val="00F30354"/>
    <w:rsid w:val="00F305EE"/>
    <w:rsid w:val="00F31102"/>
    <w:rsid w:val="00F31A9C"/>
    <w:rsid w:val="00F33200"/>
    <w:rsid w:val="00F33A64"/>
    <w:rsid w:val="00F349DD"/>
    <w:rsid w:val="00F42830"/>
    <w:rsid w:val="00F42975"/>
    <w:rsid w:val="00F429AA"/>
    <w:rsid w:val="00F44E1C"/>
    <w:rsid w:val="00F451B8"/>
    <w:rsid w:val="00F46EBF"/>
    <w:rsid w:val="00F476BA"/>
    <w:rsid w:val="00F50B85"/>
    <w:rsid w:val="00F50D44"/>
    <w:rsid w:val="00F52444"/>
    <w:rsid w:val="00F52529"/>
    <w:rsid w:val="00F53433"/>
    <w:rsid w:val="00F5501D"/>
    <w:rsid w:val="00F573F4"/>
    <w:rsid w:val="00F57AFD"/>
    <w:rsid w:val="00F57FEC"/>
    <w:rsid w:val="00F608EC"/>
    <w:rsid w:val="00F60DF6"/>
    <w:rsid w:val="00F6195B"/>
    <w:rsid w:val="00F61A0F"/>
    <w:rsid w:val="00F61D55"/>
    <w:rsid w:val="00F61EE5"/>
    <w:rsid w:val="00F626B8"/>
    <w:rsid w:val="00F6332C"/>
    <w:rsid w:val="00F63AA4"/>
    <w:rsid w:val="00F64EFE"/>
    <w:rsid w:val="00F66375"/>
    <w:rsid w:val="00F671D6"/>
    <w:rsid w:val="00F70C2A"/>
    <w:rsid w:val="00F71018"/>
    <w:rsid w:val="00F717E6"/>
    <w:rsid w:val="00F72502"/>
    <w:rsid w:val="00F73032"/>
    <w:rsid w:val="00F73BC3"/>
    <w:rsid w:val="00F74AF2"/>
    <w:rsid w:val="00F767A1"/>
    <w:rsid w:val="00F767E1"/>
    <w:rsid w:val="00F800D6"/>
    <w:rsid w:val="00F804D0"/>
    <w:rsid w:val="00F823EB"/>
    <w:rsid w:val="00F8297C"/>
    <w:rsid w:val="00F82EA5"/>
    <w:rsid w:val="00F82F93"/>
    <w:rsid w:val="00F8308E"/>
    <w:rsid w:val="00F83597"/>
    <w:rsid w:val="00F847ED"/>
    <w:rsid w:val="00F858AF"/>
    <w:rsid w:val="00F870EA"/>
    <w:rsid w:val="00F87334"/>
    <w:rsid w:val="00F87617"/>
    <w:rsid w:val="00F90882"/>
    <w:rsid w:val="00F908CC"/>
    <w:rsid w:val="00F90E0A"/>
    <w:rsid w:val="00F9180A"/>
    <w:rsid w:val="00F937AE"/>
    <w:rsid w:val="00F93B59"/>
    <w:rsid w:val="00F94F50"/>
    <w:rsid w:val="00F95308"/>
    <w:rsid w:val="00F977BA"/>
    <w:rsid w:val="00F97DBA"/>
    <w:rsid w:val="00FA1248"/>
    <w:rsid w:val="00FA1C6B"/>
    <w:rsid w:val="00FA465A"/>
    <w:rsid w:val="00FA5429"/>
    <w:rsid w:val="00FA5725"/>
    <w:rsid w:val="00FA68E1"/>
    <w:rsid w:val="00FA6BA0"/>
    <w:rsid w:val="00FB001E"/>
    <w:rsid w:val="00FB0A9F"/>
    <w:rsid w:val="00FB1F6D"/>
    <w:rsid w:val="00FB23FA"/>
    <w:rsid w:val="00FB32E0"/>
    <w:rsid w:val="00FB34A8"/>
    <w:rsid w:val="00FB37E1"/>
    <w:rsid w:val="00FB3BB9"/>
    <w:rsid w:val="00FB42D5"/>
    <w:rsid w:val="00FB4360"/>
    <w:rsid w:val="00FB43C8"/>
    <w:rsid w:val="00FB4F4C"/>
    <w:rsid w:val="00FB5894"/>
    <w:rsid w:val="00FB5BC9"/>
    <w:rsid w:val="00FB5F43"/>
    <w:rsid w:val="00FC0952"/>
    <w:rsid w:val="00FC1697"/>
    <w:rsid w:val="00FC1B5C"/>
    <w:rsid w:val="00FC1DEC"/>
    <w:rsid w:val="00FC499F"/>
    <w:rsid w:val="00FC5613"/>
    <w:rsid w:val="00FC6910"/>
    <w:rsid w:val="00FC7106"/>
    <w:rsid w:val="00FD12B3"/>
    <w:rsid w:val="00FD19EF"/>
    <w:rsid w:val="00FD1A49"/>
    <w:rsid w:val="00FD1D33"/>
    <w:rsid w:val="00FD219D"/>
    <w:rsid w:val="00FD4455"/>
    <w:rsid w:val="00FD4618"/>
    <w:rsid w:val="00FD51D5"/>
    <w:rsid w:val="00FD578D"/>
    <w:rsid w:val="00FD7C9C"/>
    <w:rsid w:val="00FE117E"/>
    <w:rsid w:val="00FE1B15"/>
    <w:rsid w:val="00FE1D53"/>
    <w:rsid w:val="00FE2472"/>
    <w:rsid w:val="00FE2A6D"/>
    <w:rsid w:val="00FE4891"/>
    <w:rsid w:val="00FE50C7"/>
    <w:rsid w:val="00FE7F2F"/>
    <w:rsid w:val="00FF19F5"/>
    <w:rsid w:val="00FF3B90"/>
    <w:rsid w:val="00FF3FA2"/>
    <w:rsid w:val="00FF4209"/>
    <w:rsid w:val="00FF4BF7"/>
    <w:rsid w:val="00FF6777"/>
    <w:rsid w:val="00FF6DAE"/>
    <w:rsid w:val="00FF77AF"/>
    <w:rsid w:val="54C58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763A295"/>
  <w15:docId w15:val="{71EADDC6-7A7A-4A7C-BD42-19A151BF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40" w:lineRule="atLeast"/>
      <w:jc w:val="both"/>
    </w:pPr>
    <w:rPr>
      <w:rFonts w:cs="Arial Unicode MS"/>
      <w:color w:val="000000"/>
      <w:sz w:val="24"/>
      <w:szCs w:val="24"/>
      <w:u w:color="000000"/>
    </w:rPr>
  </w:style>
  <w:style w:type="paragraph" w:styleId="Heading2">
    <w:name w:val="heading 2"/>
    <w:next w:val="Normal"/>
    <w:pPr>
      <w:keepNext/>
      <w:spacing w:before="120"/>
      <w:outlineLvl w:val="1"/>
    </w:pPr>
    <w:rPr>
      <w:rFonts w:cs="Arial Unicode MS"/>
      <w:b/>
      <w:bCs/>
      <w:color w:val="000000"/>
      <w:sz w:val="24"/>
      <w:szCs w:val="24"/>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66"/>
    <w:pPr>
      <w:spacing w:line="240" w:lineRule="auto"/>
    </w:pPr>
    <w:rPr>
      <w:rFonts w:ascii="Lucida Grande" w:hAnsi="Lucida Grande"/>
      <w:sz w:val="18"/>
      <w:szCs w:val="18"/>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BalloonTextChar">
    <w:name w:val="Balloon Text Char"/>
    <w:basedOn w:val="DefaultParagraphFont"/>
    <w:link w:val="BalloonText"/>
    <w:uiPriority w:val="99"/>
    <w:semiHidden/>
    <w:rsid w:val="00D94C66"/>
    <w:rPr>
      <w:rFonts w:ascii="Lucida Grande" w:hAnsi="Lucida Grande" w:cs="Arial Unicode MS"/>
      <w:color w:val="000000"/>
      <w:sz w:val="18"/>
      <w:szCs w:val="18"/>
      <w:u w:color="000000"/>
    </w:rPr>
  </w:style>
  <w:style w:type="paragraph" w:styleId="ListParagraph">
    <w:name w:val="List Paragraph"/>
    <w:basedOn w:val="Normal"/>
    <w:uiPriority w:val="34"/>
    <w:qFormat/>
    <w:rsid w:val="00D94C66"/>
    <w:pPr>
      <w:ind w:left="720"/>
      <w:contextualSpacing/>
    </w:pPr>
  </w:style>
  <w:style w:type="paragraph" w:customStyle="1" w:styleId="Heading">
    <w:name w:val="Heading"/>
    <w:next w:val="Normal"/>
    <w:link w:val="HeadingChar"/>
    <w:pPr>
      <w:keepNext/>
      <w:spacing w:after="120"/>
      <w:outlineLvl w:val="0"/>
    </w:pPr>
    <w:rPr>
      <w:rFonts w:cs="Arial Unicode MS"/>
      <w:b/>
      <w:bCs/>
      <w:color w:val="000000"/>
      <w:sz w:val="24"/>
      <w:szCs w:val="24"/>
      <w14:textOutline w14:w="0" w14:cap="flat" w14:cmpd="sng" w14:algn="ctr">
        <w14:noFill/>
        <w14:prstDash w14:val="solid"/>
        <w14:bevel/>
      </w14:textOutline>
    </w:rPr>
  </w:style>
  <w:style w:type="character" w:styleId="Hyperlink">
    <w:name w:val="Hyperlink"/>
    <w:basedOn w:val="DefaultParagraphFont"/>
    <w:uiPriority w:val="99"/>
    <w:unhideWhenUsed/>
    <w:rsid w:val="00373EA3"/>
    <w:rPr>
      <w:color w:val="0000FF" w:themeColor="hyperlink"/>
      <w:u w:val="single"/>
    </w:rPr>
  </w:style>
  <w:style w:type="paragraph" w:styleId="Header">
    <w:name w:val="header"/>
    <w:basedOn w:val="Normal"/>
    <w:link w:val="HeaderChar"/>
    <w:uiPriority w:val="99"/>
    <w:unhideWhenUsed/>
    <w:rsid w:val="00F82EA5"/>
    <w:pPr>
      <w:tabs>
        <w:tab w:val="center" w:pos="4252"/>
        <w:tab w:val="right" w:pos="8504"/>
      </w:tabs>
      <w:snapToGrid w:val="0"/>
    </w:pPr>
  </w:style>
  <w:style w:type="character" w:customStyle="1" w:styleId="HeaderChar">
    <w:name w:val="Header Char"/>
    <w:basedOn w:val="DefaultParagraphFont"/>
    <w:link w:val="Header"/>
    <w:uiPriority w:val="99"/>
    <w:rsid w:val="00F82EA5"/>
    <w:rPr>
      <w:rFonts w:cs="Arial Unicode MS"/>
      <w:color w:val="000000"/>
      <w:sz w:val="24"/>
      <w:szCs w:val="24"/>
      <w:u w:color="000000"/>
    </w:rPr>
  </w:style>
  <w:style w:type="paragraph" w:styleId="Footer">
    <w:name w:val="footer"/>
    <w:basedOn w:val="Normal"/>
    <w:link w:val="FooterChar"/>
    <w:uiPriority w:val="99"/>
    <w:unhideWhenUsed/>
    <w:rsid w:val="00F82EA5"/>
    <w:pPr>
      <w:tabs>
        <w:tab w:val="center" w:pos="4252"/>
        <w:tab w:val="right" w:pos="8504"/>
      </w:tabs>
      <w:snapToGrid w:val="0"/>
    </w:pPr>
  </w:style>
  <w:style w:type="character" w:customStyle="1" w:styleId="FooterChar">
    <w:name w:val="Footer Char"/>
    <w:basedOn w:val="DefaultParagraphFont"/>
    <w:link w:val="Footer"/>
    <w:uiPriority w:val="99"/>
    <w:rsid w:val="00F82EA5"/>
    <w:rPr>
      <w:rFonts w:cs="Arial Unicode MS"/>
      <w:color w:val="000000"/>
      <w:sz w:val="24"/>
      <w:szCs w:val="24"/>
      <w:u w:color="000000"/>
    </w:rPr>
  </w:style>
  <w:style w:type="paragraph" w:customStyle="1" w:styleId="Test1">
    <w:name w:val="Test1"/>
    <w:basedOn w:val="Heading"/>
    <w:link w:val="Test1Char"/>
    <w:qFormat/>
    <w:rsid w:val="00D34F09"/>
    <w:rPr>
      <w:caps/>
    </w:rPr>
  </w:style>
  <w:style w:type="paragraph" w:customStyle="1" w:styleId="test2">
    <w:name w:val="test2"/>
    <w:basedOn w:val="Normal"/>
    <w:link w:val="test2Char"/>
    <w:qFormat/>
    <w:rsid w:val="007C03C7"/>
    <w:rPr>
      <w:lang w:eastAsia="ja-JP"/>
    </w:rPr>
  </w:style>
  <w:style w:type="character" w:customStyle="1" w:styleId="HeadingChar">
    <w:name w:val="Heading Char"/>
    <w:basedOn w:val="DefaultParagraphFont"/>
    <w:link w:val="Heading"/>
    <w:rsid w:val="00D34F09"/>
    <w:rPr>
      <w:rFonts w:cs="Arial Unicode MS"/>
      <w:b/>
      <w:bCs/>
      <w:color w:val="000000"/>
      <w:sz w:val="24"/>
      <w:szCs w:val="24"/>
      <w14:textOutline w14:w="0" w14:cap="flat" w14:cmpd="sng" w14:algn="ctr">
        <w14:noFill/>
        <w14:prstDash w14:val="solid"/>
        <w14:bevel/>
      </w14:textOutline>
    </w:rPr>
  </w:style>
  <w:style w:type="character" w:customStyle="1" w:styleId="Test1Char">
    <w:name w:val="Test1 Char"/>
    <w:basedOn w:val="HeadingChar"/>
    <w:link w:val="Test1"/>
    <w:rsid w:val="00D34F09"/>
    <w:rPr>
      <w:rFonts w:cs="Arial Unicode MS"/>
      <w:b/>
      <w:bCs/>
      <w:caps/>
      <w:color w:val="000000"/>
      <w:sz w:val="24"/>
      <w:szCs w:val="24"/>
      <w14:textOutline w14:w="0" w14:cap="flat" w14:cmpd="sng" w14:algn="ctr">
        <w14:noFill/>
        <w14:prstDash w14:val="solid"/>
        <w14:bevel/>
      </w14:textOutline>
    </w:rPr>
  </w:style>
  <w:style w:type="character" w:customStyle="1" w:styleId="test2Char">
    <w:name w:val="test2 Char"/>
    <w:basedOn w:val="DefaultParagraphFont"/>
    <w:link w:val="test2"/>
    <w:rsid w:val="007C03C7"/>
    <w:rPr>
      <w:rFonts w:cs="Arial Unicode MS"/>
      <w:color w:val="000000"/>
      <w:sz w:val="24"/>
      <w:szCs w:val="24"/>
      <w:u w:color="000000"/>
      <w:lang w:eastAsia="ja-JP"/>
    </w:rPr>
  </w:style>
  <w:style w:type="character" w:styleId="CommentReference">
    <w:name w:val="annotation reference"/>
    <w:basedOn w:val="DefaultParagraphFont"/>
    <w:uiPriority w:val="99"/>
    <w:semiHidden/>
    <w:unhideWhenUsed/>
    <w:rsid w:val="00383AA7"/>
    <w:rPr>
      <w:sz w:val="16"/>
      <w:szCs w:val="16"/>
    </w:rPr>
  </w:style>
  <w:style w:type="paragraph" w:styleId="CommentText">
    <w:name w:val="annotation text"/>
    <w:basedOn w:val="Normal"/>
    <w:link w:val="CommentTextChar"/>
    <w:uiPriority w:val="99"/>
    <w:unhideWhenUsed/>
    <w:rsid w:val="00383AA7"/>
    <w:p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firstLine="360"/>
    </w:pPr>
    <w:rPr>
      <w:rFonts w:eastAsiaTheme="minorHAnsi" w:cs="Times New Roman"/>
      <w:color w:val="auto"/>
      <w:sz w:val="20"/>
      <w:szCs w:val="20"/>
      <w:bdr w:val="none" w:sz="0" w:space="0" w:color="auto"/>
    </w:rPr>
  </w:style>
  <w:style w:type="character" w:customStyle="1" w:styleId="CommentTextChar">
    <w:name w:val="Comment Text Char"/>
    <w:basedOn w:val="DefaultParagraphFont"/>
    <w:link w:val="CommentText"/>
    <w:uiPriority w:val="99"/>
    <w:rsid w:val="00383AA7"/>
    <w:rPr>
      <w:rFonts w:eastAsiaTheme="minorHAnsi"/>
      <w:bdr w:val="none" w:sz="0" w:space="0" w:color="auto"/>
    </w:rPr>
  </w:style>
  <w:style w:type="paragraph" w:styleId="Caption">
    <w:name w:val="caption"/>
    <w:basedOn w:val="Normal"/>
    <w:next w:val="Normal"/>
    <w:uiPriority w:val="35"/>
    <w:unhideWhenUsed/>
    <w:qFormat/>
    <w:rsid w:val="00A00895"/>
    <w:pPr>
      <w:spacing w:after="200" w:line="240" w:lineRule="auto"/>
    </w:pPr>
    <w:rPr>
      <w:i/>
      <w:iCs/>
      <w:color w:val="A7A7A7" w:themeColor="text2"/>
      <w:sz w:val="18"/>
      <w:szCs w:val="18"/>
    </w:rPr>
  </w:style>
  <w:style w:type="character" w:styleId="PlaceholderText">
    <w:name w:val="Placeholder Text"/>
    <w:basedOn w:val="DefaultParagraphFont"/>
    <w:uiPriority w:val="99"/>
    <w:semiHidden/>
    <w:rsid w:val="00A00895"/>
    <w:rPr>
      <w:color w:val="808080"/>
    </w:rPr>
  </w:style>
  <w:style w:type="paragraph" w:styleId="EndnoteText">
    <w:name w:val="endnote text"/>
    <w:basedOn w:val="Normal"/>
    <w:link w:val="EndnoteTextChar"/>
    <w:uiPriority w:val="99"/>
    <w:semiHidden/>
    <w:unhideWhenUsed/>
    <w:rsid w:val="00A46CDF"/>
    <w:pPr>
      <w:spacing w:line="240" w:lineRule="auto"/>
    </w:pPr>
    <w:rPr>
      <w:sz w:val="20"/>
      <w:szCs w:val="20"/>
    </w:rPr>
  </w:style>
  <w:style w:type="character" w:customStyle="1" w:styleId="EndnoteTextChar">
    <w:name w:val="Endnote Text Char"/>
    <w:basedOn w:val="DefaultParagraphFont"/>
    <w:link w:val="EndnoteText"/>
    <w:uiPriority w:val="99"/>
    <w:semiHidden/>
    <w:rsid w:val="00A46CDF"/>
    <w:rPr>
      <w:rFonts w:cs="Arial Unicode MS"/>
      <w:color w:val="000000"/>
      <w:u w:color="000000"/>
    </w:rPr>
  </w:style>
  <w:style w:type="character" w:styleId="EndnoteReference">
    <w:name w:val="endnote reference"/>
    <w:basedOn w:val="DefaultParagraphFont"/>
    <w:uiPriority w:val="99"/>
    <w:semiHidden/>
    <w:unhideWhenUsed/>
    <w:rsid w:val="00A46CDF"/>
    <w:rPr>
      <w:vertAlign w:val="superscript"/>
    </w:rPr>
  </w:style>
  <w:style w:type="paragraph" w:styleId="CommentSubject">
    <w:name w:val="annotation subject"/>
    <w:basedOn w:val="CommentText"/>
    <w:next w:val="CommentText"/>
    <w:link w:val="CommentSubjectChar"/>
    <w:uiPriority w:val="99"/>
    <w:semiHidden/>
    <w:unhideWhenUsed/>
    <w:rsid w:val="00A20A55"/>
    <w:pPr>
      <w:pBdr>
        <w:top w:val="nil"/>
        <w:left w:val="nil"/>
        <w:bottom w:val="nil"/>
        <w:right w:val="nil"/>
        <w:between w:val="nil"/>
        <w:bar w:val="nil"/>
      </w:pBdr>
      <w:spacing w:after="0"/>
      <w:ind w:firstLine="0"/>
    </w:pPr>
    <w:rPr>
      <w:rFonts w:eastAsiaTheme="minorEastAsia" w:cs="Arial Unicode MS"/>
      <w:b/>
      <w:bCs/>
      <w:color w:val="000000"/>
      <w:bdr w:val="nil"/>
    </w:rPr>
  </w:style>
  <w:style w:type="character" w:customStyle="1" w:styleId="CommentSubjectChar">
    <w:name w:val="Comment Subject Char"/>
    <w:basedOn w:val="CommentTextChar"/>
    <w:link w:val="CommentSubject"/>
    <w:uiPriority w:val="99"/>
    <w:semiHidden/>
    <w:rsid w:val="00A20A55"/>
    <w:rPr>
      <w:rFonts w:eastAsiaTheme="minorHAnsi" w:cs="Arial Unicode MS"/>
      <w:b/>
      <w:bCs/>
      <w:color w:val="000000"/>
      <w:u w:color="000000"/>
      <w:bdr w:val="none" w:sz="0" w:space="0" w:color="auto"/>
    </w:rPr>
  </w:style>
  <w:style w:type="character" w:styleId="FollowedHyperlink">
    <w:name w:val="FollowedHyperlink"/>
    <w:basedOn w:val="DefaultParagraphFont"/>
    <w:uiPriority w:val="99"/>
    <w:semiHidden/>
    <w:unhideWhenUsed/>
    <w:rsid w:val="009C2D72"/>
    <w:rPr>
      <w:color w:val="FF00FF" w:themeColor="followedHyperlink"/>
      <w:u w:val="single"/>
    </w:rPr>
  </w:style>
  <w:style w:type="character" w:styleId="UnresolvedMention">
    <w:name w:val="Unresolved Mention"/>
    <w:basedOn w:val="DefaultParagraphFont"/>
    <w:uiPriority w:val="99"/>
    <w:unhideWhenUsed/>
    <w:rsid w:val="005973A7"/>
    <w:rPr>
      <w:color w:val="605E5C"/>
      <w:shd w:val="clear" w:color="auto" w:fill="E1DFDD"/>
    </w:rPr>
  </w:style>
  <w:style w:type="paragraph" w:styleId="Revision">
    <w:name w:val="Revision"/>
    <w:hidden/>
    <w:uiPriority w:val="99"/>
    <w:semiHidden/>
    <w:rsid w:val="00036CD8"/>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character" w:styleId="Mention">
    <w:name w:val="Mention"/>
    <w:basedOn w:val="DefaultParagraphFont"/>
    <w:uiPriority w:val="99"/>
    <w:unhideWhenUsed/>
    <w:rsid w:val="00A214C7"/>
    <w:rPr>
      <w:color w:val="2B579A"/>
      <w:shd w:val="clear" w:color="auto" w:fill="E1DFDD"/>
    </w:rPr>
  </w:style>
  <w:style w:type="paragraph" w:styleId="FootnoteText">
    <w:name w:val="footnote text"/>
    <w:basedOn w:val="Normal"/>
    <w:link w:val="FootnoteTextChar"/>
    <w:uiPriority w:val="99"/>
    <w:semiHidden/>
    <w:unhideWhenUsed/>
    <w:rsid w:val="00642FEB"/>
    <w:pPr>
      <w:spacing w:line="240" w:lineRule="auto"/>
    </w:pPr>
    <w:rPr>
      <w:sz w:val="20"/>
      <w:szCs w:val="20"/>
    </w:rPr>
  </w:style>
  <w:style w:type="character" w:customStyle="1" w:styleId="FootnoteTextChar">
    <w:name w:val="Footnote Text Char"/>
    <w:basedOn w:val="DefaultParagraphFont"/>
    <w:link w:val="FootnoteText"/>
    <w:uiPriority w:val="99"/>
    <w:semiHidden/>
    <w:rsid w:val="00642FEB"/>
    <w:rPr>
      <w:rFonts w:cs="Arial Unicode MS"/>
      <w:color w:val="000000"/>
      <w:u w:color="000000"/>
    </w:rPr>
  </w:style>
  <w:style w:type="character" w:styleId="FootnoteReference">
    <w:name w:val="footnote reference"/>
    <w:basedOn w:val="DefaultParagraphFont"/>
    <w:uiPriority w:val="99"/>
    <w:semiHidden/>
    <w:unhideWhenUsed/>
    <w:rsid w:val="00642F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83071">
      <w:bodyDiv w:val="1"/>
      <w:marLeft w:val="0"/>
      <w:marRight w:val="0"/>
      <w:marTop w:val="0"/>
      <w:marBottom w:val="0"/>
      <w:divBdr>
        <w:top w:val="none" w:sz="0" w:space="0" w:color="auto"/>
        <w:left w:val="none" w:sz="0" w:space="0" w:color="auto"/>
        <w:bottom w:val="none" w:sz="0" w:space="0" w:color="auto"/>
        <w:right w:val="none" w:sz="0" w:space="0" w:color="auto"/>
      </w:divBdr>
    </w:div>
    <w:div w:id="632826802">
      <w:bodyDiv w:val="1"/>
      <w:marLeft w:val="0"/>
      <w:marRight w:val="0"/>
      <w:marTop w:val="0"/>
      <w:marBottom w:val="0"/>
      <w:divBdr>
        <w:top w:val="none" w:sz="0" w:space="0" w:color="auto"/>
        <w:left w:val="none" w:sz="0" w:space="0" w:color="auto"/>
        <w:bottom w:val="none" w:sz="0" w:space="0" w:color="auto"/>
        <w:right w:val="none" w:sz="0" w:space="0" w:color="auto"/>
      </w:divBdr>
    </w:div>
    <w:div w:id="710497727">
      <w:bodyDiv w:val="1"/>
      <w:marLeft w:val="0"/>
      <w:marRight w:val="0"/>
      <w:marTop w:val="0"/>
      <w:marBottom w:val="0"/>
      <w:divBdr>
        <w:top w:val="none" w:sz="0" w:space="0" w:color="auto"/>
        <w:left w:val="none" w:sz="0" w:space="0" w:color="auto"/>
        <w:bottom w:val="none" w:sz="0" w:space="0" w:color="auto"/>
        <w:right w:val="none" w:sz="0" w:space="0" w:color="auto"/>
      </w:divBdr>
    </w:div>
    <w:div w:id="996959704">
      <w:bodyDiv w:val="1"/>
      <w:marLeft w:val="0"/>
      <w:marRight w:val="0"/>
      <w:marTop w:val="0"/>
      <w:marBottom w:val="0"/>
      <w:divBdr>
        <w:top w:val="none" w:sz="0" w:space="0" w:color="auto"/>
        <w:left w:val="none" w:sz="0" w:space="0" w:color="auto"/>
        <w:bottom w:val="none" w:sz="0" w:space="0" w:color="auto"/>
        <w:right w:val="none" w:sz="0" w:space="0" w:color="auto"/>
      </w:divBdr>
    </w:div>
    <w:div w:id="1057357857">
      <w:bodyDiv w:val="1"/>
      <w:marLeft w:val="0"/>
      <w:marRight w:val="0"/>
      <w:marTop w:val="0"/>
      <w:marBottom w:val="0"/>
      <w:divBdr>
        <w:top w:val="none" w:sz="0" w:space="0" w:color="auto"/>
        <w:left w:val="none" w:sz="0" w:space="0" w:color="auto"/>
        <w:bottom w:val="none" w:sz="0" w:space="0" w:color="auto"/>
        <w:right w:val="none" w:sz="0" w:space="0" w:color="auto"/>
      </w:divBdr>
    </w:div>
    <w:div w:id="1310280989">
      <w:bodyDiv w:val="1"/>
      <w:marLeft w:val="0"/>
      <w:marRight w:val="0"/>
      <w:marTop w:val="0"/>
      <w:marBottom w:val="0"/>
      <w:divBdr>
        <w:top w:val="none" w:sz="0" w:space="0" w:color="auto"/>
        <w:left w:val="none" w:sz="0" w:space="0" w:color="auto"/>
        <w:bottom w:val="none" w:sz="0" w:space="0" w:color="auto"/>
        <w:right w:val="none" w:sz="0" w:space="0" w:color="auto"/>
      </w:divBdr>
    </w:div>
    <w:div w:id="1389494665">
      <w:bodyDiv w:val="1"/>
      <w:marLeft w:val="0"/>
      <w:marRight w:val="0"/>
      <w:marTop w:val="0"/>
      <w:marBottom w:val="0"/>
      <w:divBdr>
        <w:top w:val="none" w:sz="0" w:space="0" w:color="auto"/>
        <w:left w:val="none" w:sz="0" w:space="0" w:color="auto"/>
        <w:bottom w:val="none" w:sz="0" w:space="0" w:color="auto"/>
        <w:right w:val="none" w:sz="0" w:space="0" w:color="auto"/>
      </w:divBdr>
    </w:div>
    <w:div w:id="2043091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svg"/><Relationship Id="rId47" Type="http://schemas.openxmlformats.org/officeDocument/2006/relationships/image" Target="media/image40.png"/><Relationship Id="rId50" Type="http://schemas.openxmlformats.org/officeDocument/2006/relationships/image" Target="media/image43.sv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sv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svg"/><Relationship Id="rId56" Type="http://schemas.openxmlformats.org/officeDocument/2006/relationships/image" Target="media/image49.svg"/><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svg"/><Relationship Id="rId59" Type="http://schemas.openxmlformats.org/officeDocument/2006/relationships/image" Target="media/image52.png"/><Relationship Id="rId20" Type="http://schemas.openxmlformats.org/officeDocument/2006/relationships/image" Target="media/image13.svg"/><Relationship Id="rId41" Type="http://schemas.openxmlformats.org/officeDocument/2006/relationships/image" Target="media/image34.png"/><Relationship Id="rId54" Type="http://schemas.openxmlformats.org/officeDocument/2006/relationships/image" Target="media/image47.svg"/><Relationship Id="rId62" Type="http://schemas.openxmlformats.org/officeDocument/2006/relationships/image" Target="media/image55.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svg"/><Relationship Id="rId31" Type="http://schemas.openxmlformats.org/officeDocument/2006/relationships/image" Target="media/image24.png"/><Relationship Id="rId44" Type="http://schemas.openxmlformats.org/officeDocument/2006/relationships/image" Target="media/image37.svg"/><Relationship Id="rId52" Type="http://schemas.openxmlformats.org/officeDocument/2006/relationships/image" Target="media/image45.svg"/><Relationship Id="rId60" Type="http://schemas.openxmlformats.org/officeDocument/2006/relationships/image" Target="media/image53.svg"/><Relationship Id="rId4" Type="http://schemas.openxmlformats.org/officeDocument/2006/relationships/settings" Target="settings.xml"/><Relationship Id="rId9" Type="http://schemas.openxmlformats.org/officeDocument/2006/relationships/image" Target="media/image2.png"/></Relationships>
</file>

<file path=word/_rels/endnotes.xml.rels><?xml version="1.0" encoding="UTF-8" standalone="yes"?>
<Relationships xmlns="http://schemas.openxmlformats.org/package/2006/relationships"><Relationship Id="rId8" Type="http://schemas.openxmlformats.org/officeDocument/2006/relationships/hyperlink" Target="https://ntrs.nasa.gov/citations/20140002785" TargetMode="External"/><Relationship Id="rId13" Type="http://schemas.openxmlformats.org/officeDocument/2006/relationships/hyperlink" Target="https://doi.org/10.1121/2.0001541" TargetMode="External"/><Relationship Id="rId18" Type="http://schemas.openxmlformats.org/officeDocument/2006/relationships/hyperlink" Target="https://doi.org/10.1186/s12874-015-0046-6" TargetMode="External"/><Relationship Id="rId3" Type="http://schemas.openxmlformats.org/officeDocument/2006/relationships/hyperlink" Target="https://nasa-my.sharepoint.com/personal/wdoebler_ndc_nasa_gov/Documents/INTER-NOISE/2023/10.1121/10.0015769" TargetMode="External"/><Relationship Id="rId7" Type="http://schemas.openxmlformats.org/officeDocument/2006/relationships/hyperlink" Target="https://ntrs.nasa.gov/citations/20200003224" TargetMode="External"/><Relationship Id="rId12" Type="http://schemas.openxmlformats.org/officeDocument/2006/relationships/hyperlink" Target="https://doi.org/10.1186/s12874-015-0046-6" TargetMode="External"/><Relationship Id="rId17" Type="http://schemas.openxmlformats.org/officeDocument/2006/relationships/hyperlink" Target="https://www.R-project.org/" TargetMode="External"/><Relationship Id="rId2" Type="http://schemas.openxmlformats.org/officeDocument/2006/relationships/hyperlink" Target="https://doi.org/10.1121/10.0010311" TargetMode="External"/><Relationship Id="rId16" Type="http://schemas.openxmlformats.org/officeDocument/2006/relationships/hyperlink" Target="https://cran.r-project.org/web/packages/lme4/lme4.pdf" TargetMode="External"/><Relationship Id="rId1" Type="http://schemas.openxmlformats.org/officeDocument/2006/relationships/hyperlink" Target="https://doi.org/10.1201/9781420010138" TargetMode="External"/><Relationship Id="rId6" Type="http://schemas.openxmlformats.org/officeDocument/2006/relationships/hyperlink" Target="https://doi.org/10.1121/2.0001592" TargetMode="External"/><Relationship Id="rId11" Type="http://schemas.openxmlformats.org/officeDocument/2006/relationships/hyperlink" Target="https://doi.org/10.1121/10.0001021" TargetMode="External"/><Relationship Id="rId5" Type="http://schemas.openxmlformats.org/officeDocument/2006/relationships/hyperlink" Target="https://doi.org/10.1121/10.0015770" TargetMode="External"/><Relationship Id="rId15" Type="http://schemas.openxmlformats.org/officeDocument/2006/relationships/hyperlink" Target="https://ntrs.nasa.gov/citations/19920002547" TargetMode="External"/><Relationship Id="rId10" Type="http://schemas.openxmlformats.org/officeDocument/2006/relationships/hyperlink" Target="https://www.regulations.gov/document/FAA-2021-0037-0001" TargetMode="External"/><Relationship Id="rId19" Type="http://schemas.openxmlformats.org/officeDocument/2006/relationships/hyperlink" Target="http://dx.doi.org/10.1016/j.csda.2012.07.018" TargetMode="External"/><Relationship Id="rId4" Type="http://schemas.openxmlformats.org/officeDocument/2006/relationships/hyperlink" Target="https://ntrs.nasa.gov/citations/20220017468" TargetMode="External"/><Relationship Id="rId9" Type="http://schemas.openxmlformats.org/officeDocument/2006/relationships/hyperlink" Target="https://ntrs.nasa.gov/citations/20190033466" TargetMode="External"/><Relationship Id="rId14" Type="http://schemas.openxmlformats.org/officeDocument/2006/relationships/hyperlink" Target="https://doi.org/10.1121/1.1912880" TargetMode="Externa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ＭＳ ゴシック"/>
        <a:cs typeface="Helvetica Neue"/>
      </a:majorFont>
      <a:minorFont>
        <a:latin typeface="Helvetica Neue"/>
        <a:ea typeface="ＭＳ 明朝"/>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JMP1</b:Tag>
    <b:SourceType>Misc</b:SourceType>
    <b:Guid>{0662E199-9DED-476D-8EE1-AA889EE799E1}</b:Guid>
    <b:Title>JMP (2022). JMP Pro v16.0.0. SAS Institute Inc., Cary, NC, 1989-2022.</b:Title>
    <b:RefOrder>1</b:RefOrder>
  </b:Source>
</b:Sources>
</file>

<file path=customXml/itemProps1.xml><?xml version="1.0" encoding="utf-8"?>
<ds:datastoreItem xmlns:ds="http://schemas.openxmlformats.org/officeDocument/2006/customXml" ds:itemID="{B7BD6A85-E312-40C7-8233-82AA1C8554DE}">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5006</Words>
  <Characters>28537</Characters>
  <Application>Microsoft Office Word</Application>
  <DocSecurity>0</DocSecurity>
  <Lines>237</Lines>
  <Paragraphs>66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Purdue University</Company>
  <LinksUpToDate>false</LinksUpToDate>
  <CharactersWithSpaces>33477</CharactersWithSpaces>
  <SharedDoc>false</SharedDoc>
  <HLinks>
    <vt:vector size="120" baseType="variant">
      <vt:variant>
        <vt:i4>458845</vt:i4>
      </vt:variant>
      <vt:variant>
        <vt:i4>57</vt:i4>
      </vt:variant>
      <vt:variant>
        <vt:i4>0</vt:i4>
      </vt:variant>
      <vt:variant>
        <vt:i4>5</vt:i4>
      </vt:variant>
      <vt:variant>
        <vt:lpwstr>https://doi.org/10.1121/2.0001592</vt:lpwstr>
      </vt:variant>
      <vt:variant>
        <vt:lpwstr/>
      </vt:variant>
      <vt:variant>
        <vt:i4>4980739</vt:i4>
      </vt:variant>
      <vt:variant>
        <vt:i4>54</vt:i4>
      </vt:variant>
      <vt:variant>
        <vt:i4>0</vt:i4>
      </vt:variant>
      <vt:variant>
        <vt:i4>5</vt:i4>
      </vt:variant>
      <vt:variant>
        <vt:lpwstr>http://dx.doi.org/10.1016/j.csda.2012.07.018</vt:lpwstr>
      </vt:variant>
      <vt:variant>
        <vt:lpwstr/>
      </vt:variant>
      <vt:variant>
        <vt:i4>2556023</vt:i4>
      </vt:variant>
      <vt:variant>
        <vt:i4>51</vt:i4>
      </vt:variant>
      <vt:variant>
        <vt:i4>0</vt:i4>
      </vt:variant>
      <vt:variant>
        <vt:i4>5</vt:i4>
      </vt:variant>
      <vt:variant>
        <vt:lpwstr>https://doi.org/10.1121/10.0015770</vt:lpwstr>
      </vt:variant>
      <vt:variant>
        <vt:lpwstr/>
      </vt:variant>
      <vt:variant>
        <vt:i4>1179732</vt:i4>
      </vt:variant>
      <vt:variant>
        <vt:i4>48</vt:i4>
      </vt:variant>
      <vt:variant>
        <vt:i4>0</vt:i4>
      </vt:variant>
      <vt:variant>
        <vt:i4>5</vt:i4>
      </vt:variant>
      <vt:variant>
        <vt:lpwstr>https://jmp.com/</vt:lpwstr>
      </vt:variant>
      <vt:variant>
        <vt:lpwstr/>
      </vt:variant>
      <vt:variant>
        <vt:i4>655388</vt:i4>
      </vt:variant>
      <vt:variant>
        <vt:i4>45</vt:i4>
      </vt:variant>
      <vt:variant>
        <vt:i4>0</vt:i4>
      </vt:variant>
      <vt:variant>
        <vt:i4>5</vt:i4>
      </vt:variant>
      <vt:variant>
        <vt:lpwstr>https://doi.org/10.1186/s12874-015-0046-6</vt:lpwstr>
      </vt:variant>
      <vt:variant>
        <vt:lpwstr/>
      </vt:variant>
      <vt:variant>
        <vt:i4>7143476</vt:i4>
      </vt:variant>
      <vt:variant>
        <vt:i4>42</vt:i4>
      </vt:variant>
      <vt:variant>
        <vt:i4>0</vt:i4>
      </vt:variant>
      <vt:variant>
        <vt:i4>5</vt:i4>
      </vt:variant>
      <vt:variant>
        <vt:lpwstr>https://www.r-project.org/</vt:lpwstr>
      </vt:variant>
      <vt:variant>
        <vt:lpwstr/>
      </vt:variant>
      <vt:variant>
        <vt:i4>5111826</vt:i4>
      </vt:variant>
      <vt:variant>
        <vt:i4>39</vt:i4>
      </vt:variant>
      <vt:variant>
        <vt:i4>0</vt:i4>
      </vt:variant>
      <vt:variant>
        <vt:i4>5</vt:i4>
      </vt:variant>
      <vt:variant>
        <vt:lpwstr>https://cran.r-project.org/web/packages/lme4/lme4.pdf</vt:lpwstr>
      </vt:variant>
      <vt:variant>
        <vt:lpwstr/>
      </vt:variant>
      <vt:variant>
        <vt:i4>2228340</vt:i4>
      </vt:variant>
      <vt:variant>
        <vt:i4>36</vt:i4>
      </vt:variant>
      <vt:variant>
        <vt:i4>0</vt:i4>
      </vt:variant>
      <vt:variant>
        <vt:i4>5</vt:i4>
      </vt:variant>
      <vt:variant>
        <vt:lpwstr>https://doi.org/10.1121/10.0010311</vt:lpwstr>
      </vt:variant>
      <vt:variant>
        <vt:lpwstr/>
      </vt:variant>
      <vt:variant>
        <vt:i4>7864353</vt:i4>
      </vt:variant>
      <vt:variant>
        <vt:i4>33</vt:i4>
      </vt:variant>
      <vt:variant>
        <vt:i4>0</vt:i4>
      </vt:variant>
      <vt:variant>
        <vt:i4>5</vt:i4>
      </vt:variant>
      <vt:variant>
        <vt:lpwstr>https://ntrs.nasa.gov/citations/19920002547</vt:lpwstr>
      </vt:variant>
      <vt:variant>
        <vt:lpwstr/>
      </vt:variant>
      <vt:variant>
        <vt:i4>786515</vt:i4>
      </vt:variant>
      <vt:variant>
        <vt:i4>30</vt:i4>
      </vt:variant>
      <vt:variant>
        <vt:i4>0</vt:i4>
      </vt:variant>
      <vt:variant>
        <vt:i4>5</vt:i4>
      </vt:variant>
      <vt:variant>
        <vt:lpwstr>https://doi.org/10.1121/1.1912880</vt:lpwstr>
      </vt:variant>
      <vt:variant>
        <vt:lpwstr/>
      </vt:variant>
      <vt:variant>
        <vt:i4>655453</vt:i4>
      </vt:variant>
      <vt:variant>
        <vt:i4>27</vt:i4>
      </vt:variant>
      <vt:variant>
        <vt:i4>0</vt:i4>
      </vt:variant>
      <vt:variant>
        <vt:i4>5</vt:i4>
      </vt:variant>
      <vt:variant>
        <vt:lpwstr>https://doi.org/10.1121/2.0001541</vt:lpwstr>
      </vt:variant>
      <vt:variant>
        <vt:lpwstr/>
      </vt:variant>
      <vt:variant>
        <vt:i4>655388</vt:i4>
      </vt:variant>
      <vt:variant>
        <vt:i4>24</vt:i4>
      </vt:variant>
      <vt:variant>
        <vt:i4>0</vt:i4>
      </vt:variant>
      <vt:variant>
        <vt:i4>5</vt:i4>
      </vt:variant>
      <vt:variant>
        <vt:lpwstr>https://doi.org/10.1186/s12874-015-0046-6</vt:lpwstr>
      </vt:variant>
      <vt:variant>
        <vt:lpwstr/>
      </vt:variant>
      <vt:variant>
        <vt:i4>2097270</vt:i4>
      </vt:variant>
      <vt:variant>
        <vt:i4>21</vt:i4>
      </vt:variant>
      <vt:variant>
        <vt:i4>0</vt:i4>
      </vt:variant>
      <vt:variant>
        <vt:i4>5</vt:i4>
      </vt:variant>
      <vt:variant>
        <vt:lpwstr>https://doi.org/10.1121/10.0001021</vt:lpwstr>
      </vt:variant>
      <vt:variant>
        <vt:lpwstr/>
      </vt:variant>
      <vt:variant>
        <vt:i4>7733304</vt:i4>
      </vt:variant>
      <vt:variant>
        <vt:i4>18</vt:i4>
      </vt:variant>
      <vt:variant>
        <vt:i4>0</vt:i4>
      </vt:variant>
      <vt:variant>
        <vt:i4>5</vt:i4>
      </vt:variant>
      <vt:variant>
        <vt:lpwstr>https://www.regulations.gov/document/FAA-2021-0037-0001</vt:lpwstr>
      </vt:variant>
      <vt:variant>
        <vt:lpwstr/>
      </vt:variant>
      <vt:variant>
        <vt:i4>7929896</vt:i4>
      </vt:variant>
      <vt:variant>
        <vt:i4>15</vt:i4>
      </vt:variant>
      <vt:variant>
        <vt:i4>0</vt:i4>
      </vt:variant>
      <vt:variant>
        <vt:i4>5</vt:i4>
      </vt:variant>
      <vt:variant>
        <vt:lpwstr>https://ntrs.nasa.gov/citations/20190033466</vt:lpwstr>
      </vt:variant>
      <vt:variant>
        <vt:lpwstr/>
      </vt:variant>
      <vt:variant>
        <vt:i4>8060968</vt:i4>
      </vt:variant>
      <vt:variant>
        <vt:i4>12</vt:i4>
      </vt:variant>
      <vt:variant>
        <vt:i4>0</vt:i4>
      </vt:variant>
      <vt:variant>
        <vt:i4>5</vt:i4>
      </vt:variant>
      <vt:variant>
        <vt:lpwstr>https://ntrs.nasa.gov/citations/20140002785</vt:lpwstr>
      </vt:variant>
      <vt:variant>
        <vt:lpwstr/>
      </vt:variant>
      <vt:variant>
        <vt:i4>7602222</vt:i4>
      </vt:variant>
      <vt:variant>
        <vt:i4>9</vt:i4>
      </vt:variant>
      <vt:variant>
        <vt:i4>0</vt:i4>
      </vt:variant>
      <vt:variant>
        <vt:i4>5</vt:i4>
      </vt:variant>
      <vt:variant>
        <vt:lpwstr>https://ntrs.nasa.gov/citations/20200003224</vt:lpwstr>
      </vt:variant>
      <vt:variant>
        <vt:lpwstr/>
      </vt:variant>
      <vt:variant>
        <vt:i4>7733289</vt:i4>
      </vt:variant>
      <vt:variant>
        <vt:i4>6</vt:i4>
      </vt:variant>
      <vt:variant>
        <vt:i4>0</vt:i4>
      </vt:variant>
      <vt:variant>
        <vt:i4>5</vt:i4>
      </vt:variant>
      <vt:variant>
        <vt:lpwstr>https://ntrs.nasa.gov/citations/20220017468</vt:lpwstr>
      </vt:variant>
      <vt:variant>
        <vt:lpwstr/>
      </vt:variant>
      <vt:variant>
        <vt:i4>2293811</vt:i4>
      </vt:variant>
      <vt:variant>
        <vt:i4>3</vt:i4>
      </vt:variant>
      <vt:variant>
        <vt:i4>0</vt:i4>
      </vt:variant>
      <vt:variant>
        <vt:i4>5</vt:i4>
      </vt:variant>
      <vt:variant>
        <vt:lpwstr>10.1121/10.0015769</vt:lpwstr>
      </vt:variant>
      <vt:variant>
        <vt:lpwstr/>
      </vt:variant>
      <vt:variant>
        <vt:i4>1310812</vt:i4>
      </vt:variant>
      <vt:variant>
        <vt:i4>0</vt:i4>
      </vt:variant>
      <vt:variant>
        <vt:i4>0</vt:i4>
      </vt:variant>
      <vt:variant>
        <vt:i4>5</vt:i4>
      </vt:variant>
      <vt:variant>
        <vt:lpwstr>https://doi.org/10.1201/9781420010138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masahiro</dc:creator>
  <cp:keywords/>
  <dc:description/>
  <cp:lastModifiedBy>Doebler, William J. (LARC-D321)</cp:lastModifiedBy>
  <cp:revision>2</cp:revision>
  <cp:lastPrinted>2022-07-15T06:02:00Z</cp:lastPrinted>
  <dcterms:created xsi:type="dcterms:W3CDTF">2023-05-18T15:08:00Z</dcterms:created>
  <dcterms:modified xsi:type="dcterms:W3CDTF">2023-05-18T15:08:00Z</dcterms:modified>
</cp:coreProperties>
</file>