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EAAE" w14:textId="6279CC0F" w:rsidR="00694048" w:rsidRDefault="00BD543A" w:rsidP="003B03A5">
      <w:r>
        <w:rPr>
          <w:b/>
          <w:bCs/>
        </w:rPr>
        <w:t xml:space="preserve">Heat Flux and Pressure </w:t>
      </w:r>
      <w:r w:rsidR="00590248">
        <w:rPr>
          <w:b/>
          <w:bCs/>
        </w:rPr>
        <w:t>Envelope</w:t>
      </w:r>
      <w:r w:rsidR="00AD015F" w:rsidRPr="00EE3DE3">
        <w:rPr>
          <w:b/>
          <w:bCs/>
        </w:rPr>
        <w:t xml:space="preserve"> Expansion </w:t>
      </w:r>
      <w:r>
        <w:rPr>
          <w:b/>
          <w:bCs/>
        </w:rPr>
        <w:t xml:space="preserve">Tests </w:t>
      </w:r>
      <w:r w:rsidR="00AD015F" w:rsidRPr="00EE3DE3">
        <w:rPr>
          <w:b/>
          <w:bCs/>
        </w:rPr>
        <w:t xml:space="preserve">of </w:t>
      </w:r>
      <w:r w:rsidR="00D64B5D" w:rsidRPr="00D64B5D">
        <w:rPr>
          <w:b/>
          <w:bCs/>
        </w:rPr>
        <w:t>Phenolic Impregnated Carbon</w:t>
      </w:r>
      <w:r w:rsidR="00D64B5D">
        <w:rPr>
          <w:b/>
          <w:bCs/>
        </w:rPr>
        <w:t xml:space="preserve"> </w:t>
      </w:r>
      <w:r w:rsidR="00D64B5D" w:rsidRPr="00D64B5D">
        <w:rPr>
          <w:b/>
          <w:bCs/>
        </w:rPr>
        <w:t>Ablator</w:t>
      </w:r>
      <w:r w:rsidR="00D64B5D">
        <w:rPr>
          <w:b/>
          <w:bCs/>
        </w:rPr>
        <w:t xml:space="preserve"> (PICA). </w:t>
      </w:r>
      <w:r w:rsidR="00AD015F">
        <w:t>J. D. Williams</w:t>
      </w:r>
      <w:r w:rsidR="00694048">
        <w:rPr>
          <w:vertAlign w:val="superscript"/>
        </w:rPr>
        <w:t>1</w:t>
      </w:r>
      <w:r w:rsidR="00AD015F">
        <w:t>,</w:t>
      </w:r>
      <w:r w:rsidR="00694048">
        <w:t xml:space="preserve"> </w:t>
      </w:r>
      <w:r w:rsidR="00AD015F">
        <w:t>B. J. Libben</w:t>
      </w:r>
      <w:r w:rsidR="00694048">
        <w:rPr>
          <w:vertAlign w:val="superscript"/>
        </w:rPr>
        <w:t>2</w:t>
      </w:r>
      <w:r w:rsidR="00694048">
        <w:t xml:space="preserve">, </w:t>
      </w:r>
      <w:r w:rsidR="00AD015F">
        <w:t>J. D. Morgan</w:t>
      </w:r>
      <w:r w:rsidR="00AD015F" w:rsidRPr="00AD015F">
        <w:rPr>
          <w:vertAlign w:val="superscript"/>
        </w:rPr>
        <w:t>2</w:t>
      </w:r>
      <w:r w:rsidR="00AD015F">
        <w:t>,</w:t>
      </w:r>
      <w:r w:rsidR="00643E46">
        <w:t xml:space="preserve"> and</w:t>
      </w:r>
      <w:r w:rsidR="00AD015F">
        <w:t xml:space="preserve"> T. Gökçen</w:t>
      </w:r>
      <w:r w:rsidR="005F210C">
        <w:rPr>
          <w:vertAlign w:val="superscript"/>
        </w:rPr>
        <w:t>1</w:t>
      </w:r>
      <w:r w:rsidR="00AD015F">
        <w:t xml:space="preserve">, </w:t>
      </w:r>
      <w:r w:rsidR="00AD015F" w:rsidRPr="008639EF">
        <w:rPr>
          <w:vertAlign w:val="superscript"/>
        </w:rPr>
        <w:t>1</w:t>
      </w:r>
      <w:r w:rsidR="00AD015F" w:rsidRPr="008639EF">
        <w:t>Analytical</w:t>
      </w:r>
      <w:r w:rsidR="00AD015F">
        <w:t xml:space="preserve"> </w:t>
      </w:r>
      <w:r w:rsidR="00AD015F" w:rsidRPr="008639EF">
        <w:t xml:space="preserve">Mechanics Associates at NASA </w:t>
      </w:r>
      <w:r w:rsidR="00AD015F">
        <w:t>Ames</w:t>
      </w:r>
      <w:r w:rsidR="00AD015F" w:rsidRPr="008639EF">
        <w:t xml:space="preserve"> Research Cente</w:t>
      </w:r>
      <w:r w:rsidR="00AD015F">
        <w:t xml:space="preserve">r, </w:t>
      </w:r>
      <w:hyperlink r:id="rId7" w:history="1">
        <w:r w:rsidR="00AD015F" w:rsidRPr="004E66A3">
          <w:rPr>
            <w:rStyle w:val="Hyperlink"/>
          </w:rPr>
          <w:t>joseph.d.williams@nasa.gov</w:t>
        </w:r>
      </w:hyperlink>
      <w:r w:rsidR="00694048">
        <w:t xml:space="preserve">, </w:t>
      </w:r>
      <w:r w:rsidR="00AD015F" w:rsidRPr="008639EF">
        <w:rPr>
          <w:vertAlign w:val="superscript"/>
        </w:rPr>
        <w:t>2</w:t>
      </w:r>
      <w:r w:rsidR="00AD015F" w:rsidRPr="008639EF">
        <w:t xml:space="preserve">NASA </w:t>
      </w:r>
      <w:r w:rsidR="00AD015F">
        <w:t>Ames</w:t>
      </w:r>
      <w:r w:rsidR="00AD015F" w:rsidRPr="008639EF">
        <w:t xml:space="preserve"> Research Center</w:t>
      </w:r>
      <w:r w:rsidR="00AD015F">
        <w:t xml:space="preserve">. </w:t>
      </w:r>
    </w:p>
    <w:p w14:paraId="5114EB9A" w14:textId="77777777" w:rsidR="00694048" w:rsidRDefault="00694048" w:rsidP="003B03A5"/>
    <w:p w14:paraId="2A9F5D58" w14:textId="77777777" w:rsidR="00694048" w:rsidRDefault="00694048" w:rsidP="003B03A5">
      <w:pPr>
        <w:sectPr w:rsidR="00694048">
          <w:headerReference w:type="even" r:id="rId8"/>
          <w:footerReference w:type="even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ECCD01C" w14:textId="68F42043" w:rsidR="00D95E45" w:rsidRPr="00E86000" w:rsidRDefault="00D41E9E" w:rsidP="003B03A5">
      <w:r>
        <w:rPr>
          <w:b/>
        </w:rPr>
        <w:t>Brief Presenter Biography</w:t>
      </w:r>
      <w:r w:rsidR="00D95E45" w:rsidRPr="00E8206C">
        <w:rPr>
          <w:b/>
        </w:rPr>
        <w:t>:</w:t>
      </w:r>
      <w:r w:rsidR="00D95E45" w:rsidRPr="00E8206C">
        <w:t xml:space="preserve"> </w:t>
      </w:r>
      <w:r w:rsidR="0036367B">
        <w:t>Joseph Williams is an EDL system engineer in the Entry Systems and Vehicle Development Branch at NASA Ames. Joseph</w:t>
      </w:r>
      <w:r w:rsidR="0001010B">
        <w:t xml:space="preserve"> has</w:t>
      </w:r>
      <w:r w:rsidR="0036367B">
        <w:t xml:space="preserve"> </w:t>
      </w:r>
      <w:r w:rsidR="0001010B">
        <w:t xml:space="preserve">dedicated </w:t>
      </w:r>
      <w:r w:rsidR="0036367B">
        <w:t xml:space="preserve">7 years </w:t>
      </w:r>
      <w:r w:rsidR="0001010B">
        <w:t>to</w:t>
      </w:r>
      <w:r w:rsidR="0036367B">
        <w:t xml:space="preserve"> EDL technology development</w:t>
      </w:r>
      <w:r w:rsidR="0001010B">
        <w:t xml:space="preserve">, testing, </w:t>
      </w:r>
      <w:r w:rsidR="0036367B">
        <w:t>and TPS sizing for NASA flight missions.</w:t>
      </w:r>
    </w:p>
    <w:p w14:paraId="5258A587" w14:textId="77777777" w:rsidR="00D95E45" w:rsidRDefault="00D95E45" w:rsidP="003B03A5"/>
    <w:p w14:paraId="68C050C4" w14:textId="22264418" w:rsidR="008967C8" w:rsidRDefault="00694048" w:rsidP="003B03A5">
      <w:r>
        <w:rPr>
          <w:b/>
        </w:rPr>
        <w:t>Introduction:</w:t>
      </w:r>
      <w:r>
        <w:t xml:space="preserve">  </w:t>
      </w:r>
      <w:r w:rsidR="005F210C">
        <w:t xml:space="preserve">Phenolic Impregnated Carbon Ablator (PICA) </w:t>
      </w:r>
      <w:r w:rsidR="004C4826">
        <w:t xml:space="preserve">is a frequently employed thermal protection system (TPS) material in the space flight community. First flown on the forebody of Stardust, which </w:t>
      </w:r>
      <w:r w:rsidR="008967C8">
        <w:t>re-</w:t>
      </w:r>
      <w:r w:rsidR="004C4826">
        <w:t xml:space="preserve">entered in January </w:t>
      </w:r>
      <w:r w:rsidR="004C4826" w:rsidRPr="003B03A5">
        <w:t xml:space="preserve">of 2006, PICA has been the go-to material system for </w:t>
      </w:r>
      <w:r w:rsidR="0039632E" w:rsidRPr="003B03A5">
        <w:t>each successive Martian rover mission. This legacy continues with PICA domestic (PICA-D) baselined for the Mars Sample Retrieval Lander (SRL) and Dragonfly, a mission to Titan’s surface.</w:t>
      </w:r>
      <w:r w:rsidR="0039632E">
        <w:t xml:space="preserve"> </w:t>
      </w:r>
    </w:p>
    <w:p w14:paraId="3FB0F7A1" w14:textId="14A3A756" w:rsidR="00CE7EE4" w:rsidRDefault="00CE7EE4" w:rsidP="003B03A5">
      <w:r>
        <w:t>In mission planning, t</w:t>
      </w:r>
      <w:r w:rsidR="008967C8">
        <w:t xml:space="preserve">he capability of a TPS material system is restricted to environments that are proven through ground testing or </w:t>
      </w:r>
      <w:r>
        <w:t xml:space="preserve">flight missions. Despite the range of destinations from Earth return to Mars entry to Saturn moons, PICA’s demonstrated capability </w:t>
      </w:r>
      <w:r w:rsidR="00BD543A">
        <w:t xml:space="preserve">currently covers </w:t>
      </w:r>
      <w:r>
        <w:t>heating rate</w:t>
      </w:r>
      <w:r w:rsidR="00BD543A">
        <w:t xml:space="preserve">s less than </w:t>
      </w:r>
      <w:r w:rsidR="009B1F59">
        <w:t>1800 W/cm</w:t>
      </w:r>
      <w:r w:rsidR="009B1F59" w:rsidRPr="009B1F59">
        <w:rPr>
          <w:vertAlign w:val="superscript"/>
        </w:rPr>
        <w:t>2</w:t>
      </w:r>
      <w:r>
        <w:t xml:space="preserve"> and </w:t>
      </w:r>
      <w:r w:rsidR="00BD543A">
        <w:t xml:space="preserve">surface </w:t>
      </w:r>
      <w:r>
        <w:t>pressure</w:t>
      </w:r>
      <w:r w:rsidR="00BD543A">
        <w:t xml:space="preserve">s less than </w:t>
      </w:r>
      <w:r w:rsidR="009B1F59">
        <w:t>150 kPa</w:t>
      </w:r>
      <w:r w:rsidR="00D532F6">
        <w:t xml:space="preserve"> </w:t>
      </w:r>
      <w:r w:rsidR="002C6E29">
        <w:t>[1</w:t>
      </w:r>
      <w:r>
        <w:t xml:space="preserve">]. </w:t>
      </w:r>
      <w:r w:rsidR="00D532F6">
        <w:t>Th</w:t>
      </w:r>
      <w:r w:rsidR="00EB65F2">
        <w:t xml:space="preserve">ese recognized </w:t>
      </w:r>
      <w:r w:rsidR="00D532F6">
        <w:t xml:space="preserve">limitations </w:t>
      </w:r>
      <w:r w:rsidR="00EB65F2">
        <w:t>prevent</w:t>
      </w:r>
      <w:r w:rsidR="00D532F6">
        <w:t xml:space="preserve"> </w:t>
      </w:r>
      <w:r w:rsidR="00BD543A">
        <w:t xml:space="preserve">PICA for </w:t>
      </w:r>
      <w:r w:rsidR="00D532F6">
        <w:t xml:space="preserve">consideration </w:t>
      </w:r>
      <w:r w:rsidR="00BD543A">
        <w:t xml:space="preserve">in </w:t>
      </w:r>
      <w:r w:rsidR="00D532F6">
        <w:t>direct entry applications at Venus, the outer planets, and high mass return missions at Earth</w:t>
      </w:r>
      <w:r w:rsidR="00D56EB6">
        <w:t>,</w:t>
      </w:r>
      <w:r w:rsidR="009B1F59">
        <w:t xml:space="preserve"> </w:t>
      </w:r>
      <w:r w:rsidR="00D56EB6">
        <w:t>thus requiring</w:t>
      </w:r>
      <w:r w:rsidR="009B1F59">
        <w:t xml:space="preserve"> selecting higher density materials</w:t>
      </w:r>
      <w:r w:rsidR="00D532F6">
        <w:t xml:space="preserve"> </w:t>
      </w:r>
      <w:r w:rsidR="002C6E29">
        <w:t>[2</w:t>
      </w:r>
      <w:r w:rsidR="00D532F6">
        <w:t>].</w:t>
      </w:r>
    </w:p>
    <w:p w14:paraId="4C010389" w14:textId="2543782F" w:rsidR="00E9596A" w:rsidRDefault="00E07913" w:rsidP="00E9596A">
      <w:r>
        <w:rPr>
          <w:b/>
        </w:rPr>
        <w:t>Capability Expanding Testing:</w:t>
      </w:r>
      <w:r>
        <w:t xml:space="preserve">  During </w:t>
      </w:r>
      <w:r w:rsidR="009B1F59">
        <w:t xml:space="preserve">a recent Mars Sample Return Earth Entry System (MSR EES) arc-jet test in the Interaction Heating Facility (IHF) at NASA Ames, PICA was exposed to </w:t>
      </w:r>
      <w:r w:rsidR="003B03A5">
        <w:t xml:space="preserve">flow conditions typically reserved for mid or </w:t>
      </w:r>
      <w:proofErr w:type="gramStart"/>
      <w:r w:rsidR="003B03A5">
        <w:t>high density</w:t>
      </w:r>
      <w:proofErr w:type="gramEnd"/>
      <w:r w:rsidR="003B03A5">
        <w:t xml:space="preserve"> ablative materials</w:t>
      </w:r>
      <w:r w:rsidR="00ED7471">
        <w:t>. This effort, using the facility’s 3-in nozzle,</w:t>
      </w:r>
      <w:r w:rsidR="003B03A5">
        <w:t xml:space="preserve"> </w:t>
      </w:r>
      <w:r w:rsidR="00ED7471">
        <w:t xml:space="preserve">was </w:t>
      </w:r>
      <w:r w:rsidR="00104C51">
        <w:t xml:space="preserve">an </w:t>
      </w:r>
      <w:r w:rsidR="00104C51" w:rsidRPr="00F60995">
        <w:t>expedition to identify the</w:t>
      </w:r>
      <w:r w:rsidR="000030C8" w:rsidRPr="00F60995">
        <w:t xml:space="preserve"> </w:t>
      </w:r>
      <w:r w:rsidR="00104C51" w:rsidRPr="00F60995">
        <w:t>failure boundary of PICA in stagnation</w:t>
      </w:r>
      <w:r w:rsidR="003B03A5" w:rsidRPr="00F60995">
        <w:t xml:space="preserve">. Six 1-in </w:t>
      </w:r>
      <w:r w:rsidR="00E45A24" w:rsidRPr="00F60995">
        <w:t>i</w:t>
      </w:r>
      <w:r w:rsidR="003B03A5" w:rsidRPr="00F60995">
        <w:t>so</w:t>
      </w:r>
      <w:r w:rsidR="00E45A24" w:rsidRPr="00F60995">
        <w:t>-q</w:t>
      </w:r>
      <w:r w:rsidR="003B03A5" w:rsidRPr="00F60995">
        <w:t xml:space="preserve"> stagnation PICA models</w:t>
      </w:r>
      <w:r w:rsidR="00ED7471" w:rsidRPr="00F60995">
        <w:t>,</w:t>
      </w:r>
      <w:r w:rsidR="003B03A5" w:rsidRPr="00F60995">
        <w:t xml:space="preserve"> shown in </w:t>
      </w:r>
      <w:r w:rsidR="003B03A5" w:rsidRPr="00F60995">
        <w:fldChar w:fldCharType="begin"/>
      </w:r>
      <w:r w:rsidR="003B03A5" w:rsidRPr="00F60995">
        <w:instrText xml:space="preserve"> REF _Ref134518319 \h  \* MERGEFORMAT </w:instrText>
      </w:r>
      <w:r w:rsidR="003B03A5" w:rsidRPr="00F60995">
        <w:fldChar w:fldCharType="separate"/>
      </w:r>
      <w:r w:rsidR="003B03A5" w:rsidRPr="00F60995">
        <w:t xml:space="preserve">Figure </w:t>
      </w:r>
      <w:r w:rsidR="003B03A5" w:rsidRPr="00F60995">
        <w:rPr>
          <w:noProof/>
        </w:rPr>
        <w:t>1</w:t>
      </w:r>
      <w:r w:rsidR="003B03A5" w:rsidRPr="00F60995">
        <w:fldChar w:fldCharType="end"/>
      </w:r>
      <w:r w:rsidR="00ED7471" w:rsidRPr="00F60995">
        <w:t>,</w:t>
      </w:r>
      <w:r w:rsidR="003B03A5" w:rsidRPr="00F60995">
        <w:t xml:space="preserve"> were tested at five new conditions</w:t>
      </w:r>
      <w:r w:rsidR="00ED7471" w:rsidRPr="00F60995">
        <w:t xml:space="preserve">. </w:t>
      </w:r>
      <w:r w:rsidR="00A26DA1" w:rsidRPr="00F60995">
        <w:t>These models correspond to acreage TPS on a flight aeroshell and do not assess a gap filler system which is required on larger entry vehicles.</w:t>
      </w:r>
    </w:p>
    <w:p w14:paraId="6394FB09" w14:textId="77777777" w:rsidR="00ED7471" w:rsidRDefault="00ED7471" w:rsidP="003B03A5"/>
    <w:p w14:paraId="74E630B6" w14:textId="77777777" w:rsidR="003B03A5" w:rsidRDefault="003B03A5" w:rsidP="008C19A5">
      <w:pPr>
        <w:jc w:val="center"/>
      </w:pPr>
      <w:r>
        <w:rPr>
          <w:noProof/>
        </w:rPr>
        <w:drawing>
          <wp:inline distT="0" distB="0" distL="0" distR="0" wp14:anchorId="7F3FCBE0" wp14:editId="52DC82A6">
            <wp:extent cx="2268646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14" cy="15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3162" w14:textId="10EE7A1E" w:rsidR="003B03A5" w:rsidRDefault="003B03A5" w:rsidP="00D13EC7">
      <w:pPr>
        <w:pStyle w:val="Caption"/>
      </w:pPr>
      <w:bookmarkStart w:id="0" w:name="_Ref134518319"/>
      <w:r w:rsidRPr="008C19A5">
        <w:t xml:space="preserve">Figure </w:t>
      </w:r>
      <w:r w:rsidR="00644831">
        <w:fldChar w:fldCharType="begin"/>
      </w:r>
      <w:r w:rsidR="00644831">
        <w:instrText xml:space="preserve"> SEQ Figure \* ARABIC </w:instrText>
      </w:r>
      <w:r w:rsidR="00644831">
        <w:fldChar w:fldCharType="separate"/>
      </w:r>
      <w:r w:rsidR="00B032DA">
        <w:rPr>
          <w:noProof/>
        </w:rPr>
        <w:t>1</w:t>
      </w:r>
      <w:r w:rsidR="00644831">
        <w:rPr>
          <w:noProof/>
        </w:rPr>
        <w:fldChar w:fldCharType="end"/>
      </w:r>
      <w:bookmarkEnd w:id="0"/>
      <w:r w:rsidRPr="008C19A5">
        <w:t xml:space="preserve"> 1-in </w:t>
      </w:r>
      <w:r w:rsidR="00E45A24">
        <w:t>i</w:t>
      </w:r>
      <w:r w:rsidRPr="008C19A5">
        <w:t>so</w:t>
      </w:r>
      <w:r w:rsidR="00E45A24">
        <w:t>-q</w:t>
      </w:r>
      <w:r w:rsidRPr="008C19A5">
        <w:t xml:space="preserve"> </w:t>
      </w:r>
      <w:r w:rsidR="00E45A24">
        <w:t>s</w:t>
      </w:r>
      <w:r w:rsidRPr="008C19A5">
        <w:t xml:space="preserve">tagnation PICA </w:t>
      </w:r>
      <w:r w:rsidR="00E45A24">
        <w:t>m</w:t>
      </w:r>
      <w:r w:rsidRPr="008C19A5">
        <w:t>odel</w:t>
      </w:r>
    </w:p>
    <w:p w14:paraId="7A523DDA" w14:textId="0DE5DDAF" w:rsidR="00C93D29" w:rsidRDefault="00E9596A" w:rsidP="00E9596A">
      <w:r>
        <w:t>A</w:t>
      </w:r>
      <w:r w:rsidR="00D13EC7">
        <w:t>t each</w:t>
      </w:r>
      <w:r>
        <w:t xml:space="preserve"> tested condition, </w:t>
      </w:r>
      <w:r w:rsidR="00D13EC7">
        <w:t xml:space="preserve">high speed video captured the recession response and showed controlled material </w:t>
      </w:r>
      <w:r w:rsidR="00F60995">
        <w:t>ablation</w:t>
      </w:r>
      <w:r w:rsidR="00D13EC7">
        <w:t xml:space="preserve">. </w:t>
      </w:r>
      <w:r w:rsidR="00D13EC7">
        <w:fldChar w:fldCharType="begin"/>
      </w:r>
      <w:r w:rsidR="00D13EC7">
        <w:instrText xml:space="preserve"> REF _Ref134524069 \h </w:instrText>
      </w:r>
      <w:r w:rsidR="00D13EC7">
        <w:fldChar w:fldCharType="separate"/>
      </w:r>
      <w:r w:rsidR="00D13EC7" w:rsidRPr="00D13EC7">
        <w:t>Figure 2</w:t>
      </w:r>
      <w:r w:rsidR="00D13EC7">
        <w:fldChar w:fldCharType="end"/>
      </w:r>
      <w:r w:rsidR="00D13EC7">
        <w:t xml:space="preserve"> </w:t>
      </w:r>
      <w:r w:rsidR="00FC6DC8">
        <w:t>is a frame of this video at the most extreme environment</w:t>
      </w:r>
      <w:r w:rsidR="0071710F">
        <w:t xml:space="preserve"> </w:t>
      </w:r>
      <w:r w:rsidR="00321868">
        <w:t>to which</w:t>
      </w:r>
      <w:r w:rsidR="0071710F">
        <w:t xml:space="preserve"> PICA-D was </w:t>
      </w:r>
      <w:r w:rsidR="00321868">
        <w:t>exposed</w:t>
      </w:r>
      <w:r w:rsidR="00FC6DC8">
        <w:t>. Th</w:t>
      </w:r>
      <w:r w:rsidR="005A78BE">
        <w:t>roughout testing, the</w:t>
      </w:r>
      <w:r w:rsidR="00FC6DC8">
        <w:t xml:space="preserve"> original model curvature is largely retained</w:t>
      </w:r>
      <w:r w:rsidR="005A78BE">
        <w:t xml:space="preserve"> and there is no indication of run-away or catastrophic failure. </w:t>
      </w:r>
      <w:r w:rsidR="0071710F">
        <w:t>Predicted s</w:t>
      </w:r>
      <w:r w:rsidR="005A78BE">
        <w:t xml:space="preserve">tagnation point </w:t>
      </w:r>
      <w:r w:rsidR="0071710F">
        <w:t xml:space="preserve">hot-wall heat flux </w:t>
      </w:r>
      <w:r w:rsidR="005A78BE">
        <w:t xml:space="preserve">ranged from ~2400 </w:t>
      </w:r>
      <w:r w:rsidR="00C62099">
        <w:t>–</w:t>
      </w:r>
      <w:r w:rsidR="005A78BE">
        <w:t xml:space="preserve"> 3500 W/cm</w:t>
      </w:r>
      <w:r w:rsidR="005A78BE" w:rsidRPr="00ED7471">
        <w:rPr>
          <w:vertAlign w:val="superscript"/>
        </w:rPr>
        <w:t>2</w:t>
      </w:r>
      <w:r w:rsidR="005A78BE">
        <w:t xml:space="preserve"> </w:t>
      </w:r>
      <w:r w:rsidR="0071710F">
        <w:t>(cold-wall heat flux ranged from ~31</w:t>
      </w:r>
      <w:r w:rsidR="00321868">
        <w:t>0</w:t>
      </w:r>
      <w:r w:rsidR="0071710F">
        <w:t xml:space="preserve">0 </w:t>
      </w:r>
      <w:r w:rsidR="00C62099">
        <w:t>–</w:t>
      </w:r>
      <w:r w:rsidR="0071710F">
        <w:t xml:space="preserve"> 5000 W/cm</w:t>
      </w:r>
      <w:r w:rsidR="0071710F" w:rsidRPr="0071710F">
        <w:rPr>
          <w:vertAlign w:val="superscript"/>
        </w:rPr>
        <w:t>2</w:t>
      </w:r>
      <w:r w:rsidR="0071710F">
        <w:t xml:space="preserve">) </w:t>
      </w:r>
      <w:r w:rsidR="005A78BE">
        <w:t>and pressure from 252 – 532 kPa</w:t>
      </w:r>
      <w:r w:rsidR="0071710F">
        <w:t>,</w:t>
      </w:r>
      <w:r w:rsidR="005A78BE">
        <w:t xml:space="preserve"> which represents a near doubling of the quoted heat flux capability and a factor of 3.5x for </w:t>
      </w:r>
      <w:r w:rsidR="005A78BE" w:rsidRPr="00F60995">
        <w:t>pressure.</w:t>
      </w:r>
      <w:r w:rsidR="0004330B" w:rsidRPr="00F60995">
        <w:t xml:space="preserve"> </w:t>
      </w:r>
      <w:r w:rsidR="00567BE3" w:rsidRPr="00F60995">
        <w:t>Remarkably</w:t>
      </w:r>
      <w:r w:rsidR="0004330B" w:rsidRPr="00F60995">
        <w:t>, the failure boundary of PICA</w:t>
      </w:r>
      <w:r w:rsidR="001C2579" w:rsidRPr="00F60995">
        <w:t xml:space="preserve"> in pressure and heat flux space</w:t>
      </w:r>
      <w:r w:rsidR="0004330B" w:rsidRPr="00F60995">
        <w:t xml:space="preserve"> is</w:t>
      </w:r>
      <w:r w:rsidR="0004330B">
        <w:t xml:space="preserve"> still not established.</w:t>
      </w:r>
      <w:r w:rsidR="00953D8C">
        <w:t xml:space="preserve"> </w:t>
      </w:r>
    </w:p>
    <w:p w14:paraId="421E5766" w14:textId="2C3EA525" w:rsidR="00E9596A" w:rsidRDefault="00E9596A" w:rsidP="00E9596A">
      <w:r>
        <w:t xml:space="preserve"> </w:t>
      </w:r>
    </w:p>
    <w:p w14:paraId="4F3BB9A5" w14:textId="67A1683E" w:rsidR="00D13EC7" w:rsidRDefault="00FC6DC8" w:rsidP="00D13EC7">
      <w:pPr>
        <w:keepNext/>
        <w:jc w:val="center"/>
      </w:pPr>
      <w:r w:rsidRPr="00FC6DC8">
        <w:rPr>
          <w:noProof/>
        </w:rPr>
        <w:drawing>
          <wp:inline distT="0" distB="0" distL="0" distR="0" wp14:anchorId="3628F4FB" wp14:editId="50279DC4">
            <wp:extent cx="2247900" cy="10950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742" cy="10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48E9" w14:textId="5DC41BB3" w:rsidR="00E9596A" w:rsidRDefault="00D13EC7" w:rsidP="00C93D29">
      <w:pPr>
        <w:pStyle w:val="Caption"/>
      </w:pPr>
      <w:bookmarkStart w:id="1" w:name="_Ref134524069"/>
      <w:r w:rsidRPr="00D13EC7">
        <w:t xml:space="preserve">Figure </w:t>
      </w:r>
      <w:r w:rsidR="00644831">
        <w:fldChar w:fldCharType="begin"/>
      </w:r>
      <w:r w:rsidR="00644831">
        <w:instrText xml:space="preserve"> SEQ Figure \* ARABIC </w:instrText>
      </w:r>
      <w:r w:rsidR="00644831">
        <w:fldChar w:fldCharType="separate"/>
      </w:r>
      <w:r w:rsidR="00B032DA">
        <w:rPr>
          <w:noProof/>
        </w:rPr>
        <w:t>2</w:t>
      </w:r>
      <w:r w:rsidR="00644831">
        <w:rPr>
          <w:noProof/>
        </w:rPr>
        <w:fldChar w:fldCharType="end"/>
      </w:r>
      <w:bookmarkEnd w:id="1"/>
      <w:r w:rsidRPr="00D13EC7">
        <w:t xml:space="preserve"> PICA-D </w:t>
      </w:r>
      <w:r w:rsidR="00E15F3F">
        <w:t>u</w:t>
      </w:r>
      <w:r w:rsidRPr="00D13EC7">
        <w:t xml:space="preserve">nder </w:t>
      </w:r>
      <w:r w:rsidR="00E15F3F">
        <w:t>t</w:t>
      </w:r>
      <w:r w:rsidRPr="00D13EC7">
        <w:t>est @ 3490 W/cm</w:t>
      </w:r>
      <w:r w:rsidRPr="00E15F3F">
        <w:rPr>
          <w:vertAlign w:val="superscript"/>
        </w:rPr>
        <w:t>2</w:t>
      </w:r>
      <w:r w:rsidRPr="00D13EC7">
        <w:t xml:space="preserve"> hot wall and 5.25</w:t>
      </w:r>
      <w:r w:rsidR="00E15F3F">
        <w:t xml:space="preserve"> </w:t>
      </w:r>
      <w:r w:rsidRPr="00D13EC7">
        <w:t>atm</w:t>
      </w:r>
    </w:p>
    <w:p w14:paraId="253FC3F2" w14:textId="049F5A3E" w:rsidR="000332A8" w:rsidRDefault="00E15F3F" w:rsidP="003B03A5">
      <w:r>
        <w:rPr>
          <w:b/>
          <w:bCs/>
        </w:rPr>
        <w:t>Test Data</w:t>
      </w:r>
      <w:r w:rsidR="00D13EC7" w:rsidRPr="00D13EC7">
        <w:rPr>
          <w:b/>
          <w:bCs/>
        </w:rPr>
        <w:t>:</w:t>
      </w:r>
      <w:r w:rsidR="00D13EC7">
        <w:t xml:space="preserve"> </w:t>
      </w:r>
      <w:r w:rsidR="00321868">
        <w:t xml:space="preserve">Test data to support evaluation of material performance and model validation is obtained from various sources. </w:t>
      </w:r>
      <w:r w:rsidR="000332A8">
        <w:t xml:space="preserve">Calorimeters swept through the arc-heater flow measured cold-wall heat fluxes and pressure. </w:t>
      </w:r>
      <w:r w:rsidR="00B032DA">
        <w:t>L</w:t>
      </w:r>
      <w:r w:rsidR="000332A8">
        <w:t>aser scans</w:t>
      </w:r>
      <w:r w:rsidR="00B032DA">
        <w:t xml:space="preserve"> taken of the model before and after the test</w:t>
      </w:r>
      <w:r w:rsidR="000332A8">
        <w:t xml:space="preserve"> provide</w:t>
      </w:r>
      <w:r w:rsidR="003B7A3F">
        <w:t>d</w:t>
      </w:r>
      <w:r w:rsidR="000332A8">
        <w:t xml:space="preserve"> estimates of material recession</w:t>
      </w:r>
      <w:r w:rsidR="00820391">
        <w:t xml:space="preserve"> </w:t>
      </w:r>
      <w:r w:rsidR="00C62099">
        <w:t>(</w:t>
      </w:r>
      <w:r w:rsidR="00820391">
        <w:fldChar w:fldCharType="begin"/>
      </w:r>
      <w:r w:rsidR="00820391">
        <w:instrText xml:space="preserve"> REF _Ref134526033 \h </w:instrText>
      </w:r>
      <w:r w:rsidR="00820391">
        <w:fldChar w:fldCharType="separate"/>
      </w:r>
      <w:r w:rsidR="00820391">
        <w:t xml:space="preserve">Figure </w:t>
      </w:r>
      <w:r w:rsidR="00820391">
        <w:rPr>
          <w:noProof/>
        </w:rPr>
        <w:t>3</w:t>
      </w:r>
      <w:r w:rsidR="00820391">
        <w:fldChar w:fldCharType="end"/>
      </w:r>
      <w:r w:rsidR="00C62099">
        <w:t>)</w:t>
      </w:r>
      <w:r w:rsidR="000332A8">
        <w:t xml:space="preserve">. Video </w:t>
      </w:r>
      <w:r w:rsidR="003B7A3F">
        <w:t>captured</w:t>
      </w:r>
      <w:r w:rsidR="000332A8">
        <w:t xml:space="preserve"> qualitative knowledge of model under test and supporting tools convert</w:t>
      </w:r>
      <w:r w:rsidR="003B7A3F">
        <w:t>ed</w:t>
      </w:r>
      <w:r w:rsidR="000332A8">
        <w:t xml:space="preserve"> this </w:t>
      </w:r>
      <w:r w:rsidR="003B7A3F">
        <w:t>in</w:t>
      </w:r>
      <w:r w:rsidR="000332A8">
        <w:t xml:space="preserve">to estimates of recession rates. </w:t>
      </w:r>
      <w:r w:rsidR="00820391">
        <w:t>A s</w:t>
      </w:r>
      <w:r w:rsidR="00FD4919">
        <w:t xml:space="preserve">pectrometer </w:t>
      </w:r>
      <w:r w:rsidR="00820391">
        <w:t>measured</w:t>
      </w:r>
      <w:r w:rsidR="00FD4919">
        <w:t xml:space="preserve"> surface temperature and chemical species in the freestream. </w:t>
      </w:r>
    </w:p>
    <w:p w14:paraId="5DF69D67" w14:textId="77777777" w:rsidR="00B032DA" w:rsidRDefault="00B032DA" w:rsidP="003B03A5"/>
    <w:p w14:paraId="1EBB14E6" w14:textId="67B0ABBF" w:rsidR="000332A8" w:rsidRDefault="00FD4919" w:rsidP="00B032DA">
      <w:pPr>
        <w:jc w:val="center"/>
      </w:pPr>
      <w:r>
        <w:rPr>
          <w:noProof/>
        </w:rPr>
        <w:drawing>
          <wp:inline distT="0" distB="0" distL="0" distR="0" wp14:anchorId="3E3CEE42" wp14:editId="558E540A">
            <wp:extent cx="2605174" cy="997527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48" cy="1013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99678" w14:textId="447A4023" w:rsidR="00B032DA" w:rsidRDefault="00B032DA" w:rsidP="00B032DA">
      <w:pPr>
        <w:pStyle w:val="Caption"/>
      </w:pPr>
      <w:bookmarkStart w:id="2" w:name="_Ref134526033"/>
      <w:r>
        <w:t xml:space="preserve">Figure </w:t>
      </w:r>
      <w:r w:rsidR="00644831">
        <w:fldChar w:fldCharType="begin"/>
      </w:r>
      <w:r w:rsidR="00644831">
        <w:instrText xml:space="preserve"> SEQ Figure \* ARABIC </w:instrText>
      </w:r>
      <w:r w:rsidR="00644831">
        <w:fldChar w:fldCharType="separate"/>
      </w:r>
      <w:r>
        <w:rPr>
          <w:noProof/>
        </w:rPr>
        <w:t>3</w:t>
      </w:r>
      <w:r w:rsidR="00644831">
        <w:rPr>
          <w:noProof/>
        </w:rPr>
        <w:fldChar w:fldCharType="end"/>
      </w:r>
      <w:bookmarkEnd w:id="2"/>
      <w:r>
        <w:t xml:space="preserve"> Pre-</w:t>
      </w:r>
      <w:r w:rsidR="00E45A24">
        <w:t>t</w:t>
      </w:r>
      <w:r>
        <w:t>est</w:t>
      </w:r>
      <w:r w:rsidR="00FD4919">
        <w:t xml:space="preserve"> </w:t>
      </w:r>
      <w:r w:rsidR="00E45A24">
        <w:t>i</w:t>
      </w:r>
      <w:r w:rsidR="00FD4919">
        <w:t xml:space="preserve">mage, </w:t>
      </w:r>
      <w:r w:rsidR="00E45A24">
        <w:t>p</w:t>
      </w:r>
      <w:r>
        <w:t>ost-</w:t>
      </w:r>
      <w:r w:rsidR="00E45A24">
        <w:t>t</w:t>
      </w:r>
      <w:r>
        <w:t xml:space="preserve">est </w:t>
      </w:r>
      <w:r w:rsidR="00E45A24">
        <w:t>i</w:t>
      </w:r>
      <w:r w:rsidR="00FD4919">
        <w:t xml:space="preserve">mage, </w:t>
      </w:r>
      <w:r w:rsidR="00E45A24">
        <w:t>l</w:t>
      </w:r>
      <w:r w:rsidR="00FD4919">
        <w:t xml:space="preserve">aser </w:t>
      </w:r>
      <w:r w:rsidR="00E45A24">
        <w:t>s</w:t>
      </w:r>
      <w:r w:rsidR="00FD4919">
        <w:t xml:space="preserve">can </w:t>
      </w:r>
      <w:r w:rsidR="00E45A24">
        <w:t>r</w:t>
      </w:r>
      <w:r w:rsidR="00FD4919">
        <w:t xml:space="preserve">ecession </w:t>
      </w:r>
      <w:r>
        <w:t>of PICA-D Model 6A.</w:t>
      </w:r>
      <w:r w:rsidR="00FD4919">
        <w:t xml:space="preserve"> </w:t>
      </w:r>
    </w:p>
    <w:p w14:paraId="12C0CA59" w14:textId="58310DF4" w:rsidR="00694048" w:rsidRDefault="00E15F3F" w:rsidP="003B03A5">
      <w:r w:rsidRPr="00D13EC7">
        <w:rPr>
          <w:b/>
          <w:bCs/>
        </w:rPr>
        <w:t>Thermal Response Model Implications</w:t>
      </w:r>
      <w:r>
        <w:rPr>
          <w:b/>
          <w:bCs/>
        </w:rPr>
        <w:t xml:space="preserve">:  </w:t>
      </w:r>
      <w:r>
        <w:t xml:space="preserve">Material response simulations were performed using </w:t>
      </w:r>
      <w:r>
        <w:rPr>
          <w:rFonts w:ascii="Times-Roman" w:hAnsi="Times-Roman" w:cs="Times-Roman"/>
          <w:lang w:eastAsia="ja-JP"/>
        </w:rPr>
        <w:t>Fully Implicit Ablation and Thermal response program</w:t>
      </w:r>
      <w:r>
        <w:t xml:space="preserve"> (FIAT) </w:t>
      </w:r>
      <w:r>
        <w:lastRenderedPageBreak/>
        <w:t xml:space="preserve">which </w:t>
      </w:r>
      <w:r w:rsidR="00953D8C">
        <w:t xml:space="preserve">relies on CFD predictions that </w:t>
      </w:r>
      <w:r>
        <w:t>incorporate</w:t>
      </w:r>
      <w:r w:rsidR="00953D8C">
        <w:t xml:space="preserve"> calorimeter </w:t>
      </w:r>
      <w:r>
        <w:t>measurements</w:t>
      </w:r>
      <w:r w:rsidR="00953D8C">
        <w:t xml:space="preserve">. </w:t>
      </w:r>
      <w:r w:rsidR="00AD64B2">
        <w:t xml:space="preserve">Comparisons of the stagnation point </w:t>
      </w:r>
      <w:r w:rsidR="00FD4919">
        <w:t xml:space="preserve">recession </w:t>
      </w:r>
      <w:r w:rsidR="00AD64B2">
        <w:t xml:space="preserve">performance in FIAT simulations against test measurements </w:t>
      </w:r>
      <w:r w:rsidR="00360159">
        <w:t>yielded</w:t>
      </w:r>
      <w:r w:rsidR="00FD4919">
        <w:t xml:space="preserve"> better agreement as heating and pressure increased. This presentation will include a comprehensive assessment between simulation and experiment and the tuning of the</w:t>
      </w:r>
      <w:r w:rsidR="00730ACC">
        <w:t xml:space="preserve"> PICA</w:t>
      </w:r>
      <w:r w:rsidR="00FD4919">
        <w:t xml:space="preserve"> FIAT model, if necessary. </w:t>
      </w:r>
    </w:p>
    <w:p w14:paraId="151BBA03" w14:textId="281A0171" w:rsidR="00694048" w:rsidRDefault="00E07913" w:rsidP="003B03A5">
      <w:r>
        <w:rPr>
          <w:b/>
        </w:rPr>
        <w:t>Mission Design Implications</w:t>
      </w:r>
      <w:r w:rsidR="00694048">
        <w:rPr>
          <w:b/>
        </w:rPr>
        <w:t>:</w:t>
      </w:r>
      <w:r w:rsidR="00694048">
        <w:t xml:space="preserve">  </w:t>
      </w:r>
      <w:r w:rsidR="00687116">
        <w:t xml:space="preserve">Mission studies such as the </w:t>
      </w:r>
      <w:r w:rsidR="00687116" w:rsidRPr="00687116">
        <w:t>Common Probe Study</w:t>
      </w:r>
      <w:r w:rsidR="00687116">
        <w:t xml:space="preserve"> and flight programs like MSR EES have often eliminated PICA as a forebody TPS option for spacecraft and probes performing planetary re-entry. The </w:t>
      </w:r>
      <w:r w:rsidR="00C62099">
        <w:t xml:space="preserve">substantial </w:t>
      </w:r>
      <w:r w:rsidR="00687116" w:rsidRPr="003A7C1D">
        <w:t xml:space="preserve">expansion of demonstrated capability </w:t>
      </w:r>
      <w:r w:rsidR="003C026A" w:rsidRPr="003A7C1D">
        <w:t xml:space="preserve">makes </w:t>
      </w:r>
      <w:r w:rsidR="00687116" w:rsidRPr="003A7C1D">
        <w:t xml:space="preserve">PICA </w:t>
      </w:r>
      <w:r w:rsidR="003C026A" w:rsidRPr="003A7C1D">
        <w:t xml:space="preserve">viable </w:t>
      </w:r>
      <w:r w:rsidR="00687116" w:rsidRPr="003A7C1D">
        <w:t xml:space="preserve">in </w:t>
      </w:r>
      <w:r w:rsidR="00866F7E" w:rsidRPr="003A7C1D">
        <w:t xml:space="preserve">an increased scope of </w:t>
      </w:r>
      <w:r w:rsidR="00687116" w:rsidRPr="003A7C1D">
        <w:t>mission</w:t>
      </w:r>
      <w:r w:rsidR="00866F7E" w:rsidRPr="003A7C1D">
        <w:t xml:space="preserve">s and </w:t>
      </w:r>
      <w:r w:rsidR="00687116" w:rsidRPr="003A7C1D">
        <w:t>offer</w:t>
      </w:r>
      <w:r w:rsidR="00866F7E" w:rsidRPr="003A7C1D">
        <w:t xml:space="preserve">s </w:t>
      </w:r>
      <w:r w:rsidR="00687116" w:rsidRPr="003A7C1D">
        <w:t xml:space="preserve">potential </w:t>
      </w:r>
      <w:r w:rsidR="0075520D" w:rsidRPr="003A7C1D">
        <w:t xml:space="preserve">TPS </w:t>
      </w:r>
      <w:r w:rsidR="00687116" w:rsidRPr="003A7C1D">
        <w:t>mass savings</w:t>
      </w:r>
      <w:r w:rsidR="00866F7E" w:rsidRPr="003A7C1D">
        <w:t xml:space="preserve"> in these applications</w:t>
      </w:r>
      <w:r w:rsidR="0075520D" w:rsidRPr="003A7C1D">
        <w:t>.</w:t>
      </w:r>
      <w:r w:rsidR="00332C81" w:rsidRPr="003A7C1D">
        <w:t xml:space="preserve"> </w:t>
      </w:r>
      <w:r w:rsidR="00866F7E" w:rsidRPr="003A7C1D">
        <w:t>However, PICA</w:t>
      </w:r>
      <w:r w:rsidR="003A7C1D" w:rsidRPr="003A7C1D">
        <w:t xml:space="preserve"> </w:t>
      </w:r>
      <w:r w:rsidR="003A7C1D">
        <w:t>requires evaluation</w:t>
      </w:r>
      <w:r w:rsidR="003A7C1D" w:rsidRPr="003A7C1D">
        <w:t xml:space="preserve"> at shear levels </w:t>
      </w:r>
      <w:r w:rsidR="007F1A53">
        <w:rPr>
          <w:rStyle w:val="ui-provider"/>
        </w:rPr>
        <w:t>commensurate</w:t>
      </w:r>
      <w:r w:rsidR="007F1A53">
        <w:rPr>
          <w:rStyle w:val="ui-provider"/>
        </w:rPr>
        <w:t xml:space="preserve"> </w:t>
      </w:r>
      <w:r w:rsidR="003A7C1D" w:rsidRPr="003A7C1D">
        <w:t xml:space="preserve">with the expanded heat flux and pressure regime tested in stagnation. Additionally, </w:t>
      </w:r>
      <w:r w:rsidR="00866F7E" w:rsidRPr="003A7C1D">
        <w:t>without screening gap filler systems</w:t>
      </w:r>
      <w:r w:rsidR="00377C45" w:rsidRPr="003A7C1D">
        <w:t xml:space="preserve">, at these </w:t>
      </w:r>
      <w:r w:rsidR="003A7C1D">
        <w:t>new</w:t>
      </w:r>
      <w:r w:rsidR="00377C45" w:rsidRPr="003A7C1D">
        <w:t xml:space="preserve"> environments </w:t>
      </w:r>
      <w:r w:rsidR="00866F7E" w:rsidRPr="003A7C1D">
        <w:t xml:space="preserve">PICA is </w:t>
      </w:r>
      <w:r w:rsidR="00377C45" w:rsidRPr="003A7C1D">
        <w:t xml:space="preserve">constrained </w:t>
      </w:r>
      <w:r w:rsidR="00866F7E" w:rsidRPr="003A7C1D">
        <w:t xml:space="preserve">to small entry vehicles that enable monolith heatshields. </w:t>
      </w:r>
      <w:r w:rsidR="00332C81" w:rsidRPr="003A7C1D">
        <w:t>Other</w:t>
      </w:r>
      <w:r w:rsidR="00332C81">
        <w:t xml:space="preserve"> parameters</w:t>
      </w:r>
      <w:r w:rsidR="00C62099">
        <w:t>,</w:t>
      </w:r>
      <w:r w:rsidR="00332C81">
        <w:t xml:space="preserve"> </w:t>
      </w:r>
      <w:r w:rsidR="00C62099">
        <w:t xml:space="preserve">such as </w:t>
      </w:r>
      <w:r w:rsidR="00BB1E33" w:rsidRPr="00BB1E33">
        <w:t>micrometeoroid</w:t>
      </w:r>
      <w:r w:rsidR="00BB1E33">
        <w:t xml:space="preserve"> </w:t>
      </w:r>
      <w:r w:rsidR="00377C45" w:rsidRPr="00377C45">
        <w:t>vulnerability</w:t>
      </w:r>
      <w:r w:rsidR="00C62099">
        <w:t>,</w:t>
      </w:r>
      <w:r w:rsidR="00332C81">
        <w:t xml:space="preserve"> will need to be </w:t>
      </w:r>
      <w:r w:rsidR="00C62099">
        <w:t>considered</w:t>
      </w:r>
      <w:r w:rsidR="00552238">
        <w:t xml:space="preserve"> by mission designers</w:t>
      </w:r>
      <w:r w:rsidR="00C62099">
        <w:t xml:space="preserve">, </w:t>
      </w:r>
      <w:r w:rsidR="00332C81">
        <w:t xml:space="preserve">but </w:t>
      </w:r>
      <w:r w:rsidR="00360159">
        <w:t>material selection</w:t>
      </w:r>
      <w:r w:rsidR="00332C81">
        <w:t xml:space="preserve"> becomes driven by risk post</w:t>
      </w:r>
      <w:r w:rsidR="00C62099">
        <w:t>u</w:t>
      </w:r>
      <w:r w:rsidR="00332C81">
        <w:t>r</w:t>
      </w:r>
      <w:r w:rsidR="00C62099">
        <w:t>e</w:t>
      </w:r>
      <w:r w:rsidR="00332C81">
        <w:t xml:space="preserve"> instead of </w:t>
      </w:r>
      <w:r w:rsidR="00C62099">
        <w:t xml:space="preserve">a lack of </w:t>
      </w:r>
      <w:r w:rsidR="00332C81">
        <w:t xml:space="preserve">knowledge. </w:t>
      </w:r>
    </w:p>
    <w:p w14:paraId="785348D8" w14:textId="136549F1" w:rsidR="00E86000" w:rsidRDefault="00694048" w:rsidP="00672DD2">
      <w:r>
        <w:rPr>
          <w:b/>
        </w:rPr>
        <w:t>References:</w:t>
      </w:r>
      <w:r>
        <w:t xml:space="preserve"> [1] </w:t>
      </w:r>
      <w:r w:rsidR="002C6E29" w:rsidRPr="007F0FE4">
        <w:t xml:space="preserve">White, T., </w:t>
      </w:r>
      <w:r w:rsidR="002C6E29">
        <w:t>et al,</w:t>
      </w:r>
      <w:r w:rsidR="002C6E29" w:rsidRPr="007F0FE4">
        <w:t xml:space="preserve"> (2020). Thermal Protection System Materials for Sample Return Missions. Planetary Science Decadal Community White Papers.</w:t>
      </w:r>
      <w:r w:rsidR="002C6E29">
        <w:t xml:space="preserve"> [2] </w:t>
      </w:r>
      <w:r w:rsidR="002C6E29" w:rsidRPr="002C6E29">
        <w:t>Hwang, H. H. (2019). Common Probe Design Study and Follow-On Activities. In Workshop on In Situ Exploration of the Ice Giants (No. ARC-E-DAA-TN65864).</w:t>
      </w:r>
    </w:p>
    <w:sectPr w:rsidR="00E86000">
      <w:type w:val="continuous"/>
      <w:pgSz w:w="12240" w:h="15840"/>
      <w:pgMar w:top="1440" w:right="1440" w:bottom="1440" w:left="1440" w:header="720" w:footer="720" w:gutter="0"/>
      <w:cols w:num="2"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6345" w14:textId="77777777" w:rsidR="00FB6130" w:rsidRDefault="00FB6130" w:rsidP="003B03A5">
      <w:r>
        <w:separator/>
      </w:r>
    </w:p>
  </w:endnote>
  <w:endnote w:type="continuationSeparator" w:id="0">
    <w:p w14:paraId="15D8F9DC" w14:textId="77777777" w:rsidR="00FB6130" w:rsidRDefault="00FB6130" w:rsidP="003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936" w14:textId="77777777" w:rsidR="006A128D" w:rsidRDefault="006A128D" w:rsidP="003B0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795A" w14:textId="77777777" w:rsidR="00FB6130" w:rsidRDefault="00FB6130" w:rsidP="003B03A5">
      <w:r>
        <w:separator/>
      </w:r>
    </w:p>
  </w:footnote>
  <w:footnote w:type="continuationSeparator" w:id="0">
    <w:p w14:paraId="0BC067A6" w14:textId="77777777" w:rsidR="00FB6130" w:rsidRDefault="00FB6130" w:rsidP="003B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4563" w14:textId="77777777" w:rsidR="006A128D" w:rsidRDefault="006A128D" w:rsidP="003B03A5">
    <w:pPr>
      <w:pStyle w:val="Head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B7"/>
    <w:rsid w:val="000030C8"/>
    <w:rsid w:val="0001010B"/>
    <w:rsid w:val="000332A8"/>
    <w:rsid w:val="0004330B"/>
    <w:rsid w:val="000437DB"/>
    <w:rsid w:val="000773C3"/>
    <w:rsid w:val="000A76FA"/>
    <w:rsid w:val="000D1584"/>
    <w:rsid w:val="000F22F4"/>
    <w:rsid w:val="000F3D42"/>
    <w:rsid w:val="00104C51"/>
    <w:rsid w:val="00171756"/>
    <w:rsid w:val="00187635"/>
    <w:rsid w:val="001C0CB1"/>
    <w:rsid w:val="001C2579"/>
    <w:rsid w:val="001D7474"/>
    <w:rsid w:val="001F31E9"/>
    <w:rsid w:val="00220009"/>
    <w:rsid w:val="002C6E29"/>
    <w:rsid w:val="00310B06"/>
    <w:rsid w:val="00321868"/>
    <w:rsid w:val="00332C81"/>
    <w:rsid w:val="00360159"/>
    <w:rsid w:val="0036367B"/>
    <w:rsid w:val="00377C45"/>
    <w:rsid w:val="0039632E"/>
    <w:rsid w:val="003A7C1D"/>
    <w:rsid w:val="003B03A5"/>
    <w:rsid w:val="003B7A3F"/>
    <w:rsid w:val="003C026A"/>
    <w:rsid w:val="003C548C"/>
    <w:rsid w:val="003C6DEF"/>
    <w:rsid w:val="003E06B7"/>
    <w:rsid w:val="00436228"/>
    <w:rsid w:val="00477527"/>
    <w:rsid w:val="004C4826"/>
    <w:rsid w:val="00552238"/>
    <w:rsid w:val="00567BE3"/>
    <w:rsid w:val="00590248"/>
    <w:rsid w:val="005A1EF9"/>
    <w:rsid w:val="005A78BE"/>
    <w:rsid w:val="005C75FC"/>
    <w:rsid w:val="005D4788"/>
    <w:rsid w:val="005F210C"/>
    <w:rsid w:val="005F7125"/>
    <w:rsid w:val="00643E46"/>
    <w:rsid w:val="00644831"/>
    <w:rsid w:val="0065405D"/>
    <w:rsid w:val="00661A37"/>
    <w:rsid w:val="00672DD2"/>
    <w:rsid w:val="00672E93"/>
    <w:rsid w:val="00687116"/>
    <w:rsid w:val="00694048"/>
    <w:rsid w:val="006A128D"/>
    <w:rsid w:val="006B2327"/>
    <w:rsid w:val="006B3026"/>
    <w:rsid w:val="006D7F7D"/>
    <w:rsid w:val="00703FB0"/>
    <w:rsid w:val="007141B1"/>
    <w:rsid w:val="0071710F"/>
    <w:rsid w:val="00730ACC"/>
    <w:rsid w:val="00733A49"/>
    <w:rsid w:val="0075520D"/>
    <w:rsid w:val="00764626"/>
    <w:rsid w:val="007C23DA"/>
    <w:rsid w:val="007F1A53"/>
    <w:rsid w:val="007F772A"/>
    <w:rsid w:val="00813CDC"/>
    <w:rsid w:val="00820391"/>
    <w:rsid w:val="00832D82"/>
    <w:rsid w:val="00866F7E"/>
    <w:rsid w:val="008967C8"/>
    <w:rsid w:val="008C19A5"/>
    <w:rsid w:val="008D04C4"/>
    <w:rsid w:val="008D3FED"/>
    <w:rsid w:val="00933410"/>
    <w:rsid w:val="00946C8D"/>
    <w:rsid w:val="00953D8C"/>
    <w:rsid w:val="009B1F59"/>
    <w:rsid w:val="009C3137"/>
    <w:rsid w:val="00A26DA1"/>
    <w:rsid w:val="00A5779A"/>
    <w:rsid w:val="00A85207"/>
    <w:rsid w:val="00A91D2A"/>
    <w:rsid w:val="00AA0F95"/>
    <w:rsid w:val="00AA321F"/>
    <w:rsid w:val="00AD015F"/>
    <w:rsid w:val="00AD64B2"/>
    <w:rsid w:val="00AF08B2"/>
    <w:rsid w:val="00B01590"/>
    <w:rsid w:val="00B032DA"/>
    <w:rsid w:val="00B74297"/>
    <w:rsid w:val="00BB1E33"/>
    <w:rsid w:val="00BD543A"/>
    <w:rsid w:val="00C62099"/>
    <w:rsid w:val="00C64129"/>
    <w:rsid w:val="00C71A16"/>
    <w:rsid w:val="00C84AB7"/>
    <w:rsid w:val="00C93D29"/>
    <w:rsid w:val="00CD130B"/>
    <w:rsid w:val="00CE7EE4"/>
    <w:rsid w:val="00D13EC7"/>
    <w:rsid w:val="00D253BF"/>
    <w:rsid w:val="00D41E9E"/>
    <w:rsid w:val="00D532F6"/>
    <w:rsid w:val="00D56EB6"/>
    <w:rsid w:val="00D64B5D"/>
    <w:rsid w:val="00D95E45"/>
    <w:rsid w:val="00DE0C69"/>
    <w:rsid w:val="00E07913"/>
    <w:rsid w:val="00E14642"/>
    <w:rsid w:val="00E15F3F"/>
    <w:rsid w:val="00E25395"/>
    <w:rsid w:val="00E3629C"/>
    <w:rsid w:val="00E45A24"/>
    <w:rsid w:val="00E8206C"/>
    <w:rsid w:val="00E86000"/>
    <w:rsid w:val="00E9596A"/>
    <w:rsid w:val="00EB65F2"/>
    <w:rsid w:val="00ED7471"/>
    <w:rsid w:val="00EE3DE3"/>
    <w:rsid w:val="00EF4984"/>
    <w:rsid w:val="00F53FF7"/>
    <w:rsid w:val="00F60995"/>
    <w:rsid w:val="00F726C7"/>
    <w:rsid w:val="00FB6130"/>
    <w:rsid w:val="00FC6DC8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DB076"/>
  <w15:chartTrackingRefBased/>
  <w15:docId w15:val="{DA46BA56-C920-45A2-A7B2-C9D9922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3A5"/>
    <w:pPr>
      <w:spacing w:line="240" w:lineRule="atLeast"/>
      <w:ind w:firstLine="288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015F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D13EC7"/>
    <w:pPr>
      <w:spacing w:after="200"/>
      <w:jc w:val="center"/>
    </w:pPr>
    <w:rPr>
      <w:b/>
      <w:bCs/>
      <w:szCs w:val="18"/>
    </w:rPr>
  </w:style>
  <w:style w:type="character" w:styleId="CommentReference">
    <w:name w:val="annotation reference"/>
    <w:basedOn w:val="DefaultParagraphFont"/>
    <w:rsid w:val="00BD5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4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D54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43A"/>
    <w:rPr>
      <w:b/>
      <w:bCs/>
      <w:lang w:eastAsia="en-US"/>
    </w:rPr>
  </w:style>
  <w:style w:type="paragraph" w:styleId="Revision">
    <w:name w:val="Revision"/>
    <w:hidden/>
    <w:uiPriority w:val="71"/>
    <w:semiHidden/>
    <w:rsid w:val="00D56EB6"/>
    <w:rPr>
      <w:lang w:eastAsia="en-US"/>
    </w:rPr>
  </w:style>
  <w:style w:type="character" w:customStyle="1" w:styleId="ui-provider">
    <w:name w:val="ui-provider"/>
    <w:basedOn w:val="DefaultParagraphFont"/>
    <w:rsid w:val="007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d.williams@nasa.gov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0785-78D8-4610-A8DF-9B52528B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738</Words>
  <Characters>4823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two-page abstracts in Word 97 (PC)</vt:lpstr>
    </vt:vector>
  </TitlesOfParts>
  <Company>CASS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subject/>
  <dc:creator>LPI</dc:creator>
  <cp:keywords/>
  <cp:lastModifiedBy>Joseph Williams</cp:lastModifiedBy>
  <cp:revision>4</cp:revision>
  <cp:lastPrinted>2011-07-22T19:46:00Z</cp:lastPrinted>
  <dcterms:created xsi:type="dcterms:W3CDTF">2023-05-11T18:12:00Z</dcterms:created>
  <dcterms:modified xsi:type="dcterms:W3CDTF">2023-05-12T15:22:00Z</dcterms:modified>
</cp:coreProperties>
</file>