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DE7A6" w14:textId="54FE84B8" w:rsidR="00FB0C0F" w:rsidRDefault="005D4D1C">
      <w:pPr>
        <w:pStyle w:val="Heading3"/>
        <w:rPr>
          <w:caps/>
          <w:sz w:val="24"/>
        </w:rPr>
      </w:pPr>
      <w:r w:rsidRPr="005D4D1C">
        <w:rPr>
          <w:caps/>
          <w:sz w:val="24"/>
        </w:rPr>
        <w:t>PACE OCI Flight Unit Pre-launch Spectral Characterization</w:t>
      </w:r>
    </w:p>
    <w:p w14:paraId="2C3CA898" w14:textId="77777777" w:rsidR="00FB0C0F" w:rsidRDefault="00FB0C0F">
      <w:pPr>
        <w:jc w:val="center"/>
      </w:pPr>
    </w:p>
    <w:p w14:paraId="2E1C882A" w14:textId="763EDF07" w:rsidR="00FB0C0F" w:rsidRDefault="005D4D1C">
      <w:pPr>
        <w:jc w:val="center"/>
        <w:rPr>
          <w:i/>
        </w:rPr>
      </w:pPr>
      <w:r w:rsidRPr="005D4D1C">
        <w:rPr>
          <w:i/>
        </w:rPr>
        <w:t>Samuel Kitchen-McKinley</w:t>
      </w:r>
      <w:r w:rsidRPr="005D4D1C">
        <w:rPr>
          <w:i/>
          <w:vertAlign w:val="superscript"/>
        </w:rPr>
        <w:t>1</w:t>
      </w:r>
      <w:r w:rsidRPr="005D4D1C">
        <w:rPr>
          <w:i/>
        </w:rPr>
        <w:t>, Jeff McIntire</w:t>
      </w:r>
      <w:r w:rsidRPr="005D4D1C">
        <w:rPr>
          <w:i/>
          <w:vertAlign w:val="superscript"/>
        </w:rPr>
        <w:t>1</w:t>
      </w:r>
      <w:r w:rsidRPr="005D4D1C">
        <w:rPr>
          <w:i/>
        </w:rPr>
        <w:t>, Hyeungu Choi</w:t>
      </w:r>
      <w:r w:rsidRPr="005D4D1C">
        <w:rPr>
          <w:i/>
          <w:vertAlign w:val="superscript"/>
        </w:rPr>
        <w:t>2</w:t>
      </w:r>
      <w:r w:rsidRPr="005D4D1C">
        <w:rPr>
          <w:i/>
        </w:rPr>
        <w:t>, Gerhard Meister</w:t>
      </w:r>
      <w:r w:rsidRPr="005D4D1C">
        <w:rPr>
          <w:i/>
          <w:vertAlign w:val="superscript"/>
        </w:rPr>
        <w:t>3</w:t>
      </w:r>
      <w:r w:rsidRPr="005D4D1C">
        <w:rPr>
          <w:i/>
        </w:rPr>
        <w:t>, Julia Barsi</w:t>
      </w:r>
      <w:r w:rsidRPr="005D4D1C">
        <w:rPr>
          <w:i/>
          <w:vertAlign w:val="superscript"/>
        </w:rPr>
        <w:t>1</w:t>
      </w:r>
      <w:r w:rsidRPr="005D4D1C">
        <w:rPr>
          <w:i/>
        </w:rPr>
        <w:t>, Brendan McAndrew</w:t>
      </w:r>
      <w:r w:rsidRPr="005D4D1C">
        <w:rPr>
          <w:i/>
          <w:vertAlign w:val="superscript"/>
        </w:rPr>
        <w:t>3</w:t>
      </w:r>
      <w:r w:rsidRPr="005D4D1C">
        <w:rPr>
          <w:i/>
        </w:rPr>
        <w:t>, Andrei Sushkov</w:t>
      </w:r>
      <w:r w:rsidRPr="005D4D1C">
        <w:rPr>
          <w:i/>
          <w:vertAlign w:val="superscript"/>
        </w:rPr>
        <w:t>5</w:t>
      </w:r>
      <w:r w:rsidRPr="005D4D1C">
        <w:rPr>
          <w:i/>
        </w:rPr>
        <w:t>, Barbara Zukowski</w:t>
      </w:r>
      <w:r w:rsidRPr="005D4D1C">
        <w:rPr>
          <w:i/>
          <w:vertAlign w:val="superscript"/>
        </w:rPr>
        <w:t>4</w:t>
      </w:r>
      <w:r w:rsidRPr="005D4D1C">
        <w:rPr>
          <w:i/>
        </w:rPr>
        <w:t>, William B. Cook</w:t>
      </w:r>
      <w:r w:rsidRPr="005D4D1C">
        <w:rPr>
          <w:i/>
          <w:vertAlign w:val="superscript"/>
        </w:rPr>
        <w:t>3</w:t>
      </w:r>
      <w:r w:rsidRPr="005D4D1C">
        <w:rPr>
          <w:i/>
        </w:rPr>
        <w:t>, Ulrik Gliese</w:t>
      </w:r>
      <w:r w:rsidRPr="005D4D1C">
        <w:rPr>
          <w:i/>
          <w:vertAlign w:val="superscript"/>
        </w:rPr>
        <w:t>6</w:t>
      </w:r>
      <w:r w:rsidRPr="005D4D1C">
        <w:rPr>
          <w:i/>
        </w:rPr>
        <w:t>, Kenneth Squire</w:t>
      </w:r>
      <w:r w:rsidRPr="005D4D1C">
        <w:rPr>
          <w:i/>
          <w:vertAlign w:val="superscript"/>
        </w:rPr>
        <w:t>7</w:t>
      </w:r>
      <w:r w:rsidRPr="005D4D1C">
        <w:rPr>
          <w:i/>
        </w:rPr>
        <w:t>, Joseph Knuble</w:t>
      </w:r>
      <w:r w:rsidRPr="005D4D1C">
        <w:rPr>
          <w:i/>
          <w:vertAlign w:val="superscript"/>
        </w:rPr>
        <w:t>3</w:t>
      </w:r>
    </w:p>
    <w:p w14:paraId="17A08EE6" w14:textId="77777777" w:rsidR="00FB0C0F" w:rsidRDefault="00FB0C0F">
      <w:pPr>
        <w:pStyle w:val="PageNumber1"/>
        <w:rPr>
          <w:rFonts w:ascii="Times New Roman" w:hAnsi="Times New Roman"/>
        </w:rPr>
      </w:pPr>
    </w:p>
    <w:p w14:paraId="3ED0AF53" w14:textId="77777777" w:rsidR="005D4D1C" w:rsidRPr="005D4D1C" w:rsidRDefault="005D4D1C" w:rsidP="005D4D1C">
      <w:pPr>
        <w:pStyle w:val="PageNumber1"/>
        <w:rPr>
          <w:rFonts w:ascii="Times New Roman" w:hAnsi="Times New Roman"/>
        </w:rPr>
      </w:pPr>
      <w:r w:rsidRPr="005D4D1C">
        <w:rPr>
          <w:rFonts w:ascii="Times New Roman" w:hAnsi="Times New Roman"/>
          <w:vertAlign w:val="superscript"/>
        </w:rPr>
        <w:t>1</w:t>
      </w:r>
      <w:r w:rsidRPr="005D4D1C">
        <w:rPr>
          <w:rFonts w:ascii="Times New Roman" w:hAnsi="Times New Roman"/>
        </w:rPr>
        <w:t>Science Systems and Applications, Inc., Lanham, MD 20706, USA</w:t>
      </w:r>
    </w:p>
    <w:p w14:paraId="66E2E801" w14:textId="77777777" w:rsidR="005D4D1C" w:rsidRPr="005D4D1C" w:rsidRDefault="005D4D1C" w:rsidP="005D4D1C">
      <w:pPr>
        <w:pStyle w:val="PageNumber1"/>
        <w:rPr>
          <w:rFonts w:ascii="Times New Roman" w:hAnsi="Times New Roman"/>
        </w:rPr>
      </w:pPr>
      <w:r w:rsidRPr="005D4D1C">
        <w:rPr>
          <w:rFonts w:ascii="Times New Roman" w:hAnsi="Times New Roman"/>
          <w:vertAlign w:val="superscript"/>
        </w:rPr>
        <w:t>2</w:t>
      </w:r>
      <w:r w:rsidRPr="005D4D1C">
        <w:rPr>
          <w:rFonts w:ascii="Times New Roman" w:hAnsi="Times New Roman"/>
        </w:rPr>
        <w:t>Global Science &amp; Technology, Greenbelt, MD 20707, USA</w:t>
      </w:r>
    </w:p>
    <w:p w14:paraId="29EB5AF0" w14:textId="77777777" w:rsidR="005D4D1C" w:rsidRPr="005D4D1C" w:rsidRDefault="005D4D1C" w:rsidP="005D4D1C">
      <w:pPr>
        <w:pStyle w:val="PageNumber1"/>
        <w:rPr>
          <w:rFonts w:ascii="Times New Roman" w:hAnsi="Times New Roman"/>
        </w:rPr>
      </w:pPr>
      <w:r w:rsidRPr="005D4D1C">
        <w:rPr>
          <w:rFonts w:ascii="Times New Roman" w:hAnsi="Times New Roman"/>
          <w:vertAlign w:val="superscript"/>
        </w:rPr>
        <w:t>3</w:t>
      </w:r>
      <w:r w:rsidRPr="005D4D1C">
        <w:rPr>
          <w:rFonts w:ascii="Times New Roman" w:hAnsi="Times New Roman"/>
        </w:rPr>
        <w:t>NASA Goddard Space Flight Center, Greenbelt, MD 20771, USA</w:t>
      </w:r>
    </w:p>
    <w:p w14:paraId="450C643B" w14:textId="77777777" w:rsidR="005D4D1C" w:rsidRPr="005D4D1C" w:rsidRDefault="005D4D1C" w:rsidP="005D4D1C">
      <w:pPr>
        <w:pStyle w:val="PageNumber1"/>
        <w:rPr>
          <w:rFonts w:ascii="Times New Roman" w:hAnsi="Times New Roman"/>
        </w:rPr>
      </w:pPr>
      <w:r w:rsidRPr="005D4D1C">
        <w:rPr>
          <w:rFonts w:ascii="Times New Roman" w:hAnsi="Times New Roman"/>
          <w:vertAlign w:val="superscript"/>
        </w:rPr>
        <w:t>4</w:t>
      </w:r>
      <w:r w:rsidRPr="005D4D1C">
        <w:rPr>
          <w:rFonts w:ascii="Times New Roman" w:hAnsi="Times New Roman"/>
        </w:rPr>
        <w:t>Ball Aerospace, Lanham, MD 20706, USA</w:t>
      </w:r>
    </w:p>
    <w:p w14:paraId="076E0A5F" w14:textId="77777777" w:rsidR="005D4D1C" w:rsidRPr="005D4D1C" w:rsidRDefault="005D4D1C" w:rsidP="005D4D1C">
      <w:pPr>
        <w:pStyle w:val="PageNumber1"/>
        <w:rPr>
          <w:rFonts w:ascii="Times New Roman" w:hAnsi="Times New Roman"/>
        </w:rPr>
      </w:pPr>
      <w:r w:rsidRPr="005D4D1C">
        <w:rPr>
          <w:rFonts w:ascii="Times New Roman" w:hAnsi="Times New Roman"/>
          <w:vertAlign w:val="superscript"/>
        </w:rPr>
        <w:t>5</w:t>
      </w:r>
      <w:r w:rsidRPr="005D4D1C">
        <w:rPr>
          <w:rFonts w:ascii="Times New Roman" w:hAnsi="Times New Roman"/>
        </w:rPr>
        <w:t>Genesis Engineering Solutions, Inc., Lanham, MD 20706, USA</w:t>
      </w:r>
    </w:p>
    <w:p w14:paraId="2390974F" w14:textId="77777777" w:rsidR="005D4D1C" w:rsidRPr="005D4D1C" w:rsidRDefault="005D4D1C" w:rsidP="005D4D1C">
      <w:pPr>
        <w:pStyle w:val="PageNumber1"/>
        <w:rPr>
          <w:rFonts w:ascii="Times New Roman" w:hAnsi="Times New Roman"/>
        </w:rPr>
      </w:pPr>
      <w:r w:rsidRPr="005D4D1C">
        <w:rPr>
          <w:rFonts w:ascii="Times New Roman" w:hAnsi="Times New Roman"/>
          <w:vertAlign w:val="superscript"/>
        </w:rPr>
        <w:t>6</w:t>
      </w:r>
      <w:r w:rsidRPr="005D4D1C">
        <w:rPr>
          <w:rFonts w:ascii="Times New Roman" w:hAnsi="Times New Roman"/>
        </w:rPr>
        <w:t xml:space="preserve">KBR, </w:t>
      </w:r>
    </w:p>
    <w:p w14:paraId="0596C6A7" w14:textId="7D097F65" w:rsidR="00FB0C0F" w:rsidRDefault="005D4D1C" w:rsidP="005D4D1C">
      <w:pPr>
        <w:pStyle w:val="PageNumber1"/>
        <w:rPr>
          <w:rFonts w:ascii="Times New Roman" w:hAnsi="Times New Roman"/>
        </w:rPr>
      </w:pPr>
      <w:r w:rsidRPr="005D4D1C">
        <w:rPr>
          <w:rFonts w:ascii="Times New Roman" w:hAnsi="Times New Roman"/>
          <w:vertAlign w:val="superscript"/>
        </w:rPr>
        <w:t>7</w:t>
      </w:r>
      <w:r w:rsidRPr="005D4D1C">
        <w:rPr>
          <w:rFonts w:ascii="Times New Roman" w:hAnsi="Times New Roman"/>
        </w:rPr>
        <w:t>Space Dynamics Laboratory, North Logan, UT, 84341, USA</w:t>
      </w:r>
    </w:p>
    <w:p w14:paraId="044FB7E2" w14:textId="77777777" w:rsidR="00FB0C0F" w:rsidRDefault="00FB0C0F">
      <w:pPr>
        <w:jc w:val="center"/>
        <w:rPr>
          <w:sz w:val="20"/>
        </w:rPr>
      </w:pPr>
    </w:p>
    <w:p w14:paraId="014E09F5" w14:textId="77777777" w:rsidR="00FB0C0F" w:rsidRDefault="00FB0C0F">
      <w:pPr>
        <w:jc w:val="both"/>
        <w:rPr>
          <w:sz w:val="20"/>
        </w:rPr>
        <w:sectPr w:rsidR="00FB0C0F">
          <w:pgSz w:w="12240" w:h="15840" w:code="1"/>
          <w:pgMar w:top="1985" w:right="1080" w:bottom="1411" w:left="1080" w:header="720" w:footer="720" w:gutter="0"/>
          <w:cols w:space="720"/>
        </w:sectPr>
      </w:pPr>
    </w:p>
    <w:p w14:paraId="29E0BFF7" w14:textId="77777777" w:rsidR="00FB0C0F" w:rsidRDefault="00FB0C0F">
      <w:pPr>
        <w:pStyle w:val="Heading4"/>
        <w:rPr>
          <w:sz w:val="20"/>
        </w:rPr>
      </w:pPr>
      <w:r>
        <w:rPr>
          <w:sz w:val="20"/>
        </w:rPr>
        <w:t>Abstract</w:t>
      </w:r>
    </w:p>
    <w:p w14:paraId="2E3136E8" w14:textId="77777777" w:rsidR="00FB0C0F" w:rsidRDefault="00FB0C0F">
      <w:pPr>
        <w:jc w:val="both"/>
        <w:rPr>
          <w:i/>
          <w:sz w:val="20"/>
        </w:rPr>
      </w:pPr>
    </w:p>
    <w:p w14:paraId="3BD9B224" w14:textId="5AB7E8CB" w:rsidR="00F957E2" w:rsidRDefault="005D4D1C" w:rsidP="003C1965">
      <w:pPr>
        <w:pStyle w:val="BodyTextIndent"/>
        <w:ind w:firstLine="0"/>
        <w:rPr>
          <w:i w:val="0"/>
        </w:rPr>
      </w:pPr>
      <w:r w:rsidRPr="005D4D1C">
        <w:rPr>
          <w:i w:val="0"/>
        </w:rPr>
        <w:t xml:space="preserve">The Plankton, Aerosol, Cloud, ocean Ecosystem (PACE) mission [1] will extend and improve the data record of NASA’s satellite observations of global ocean biology, aerosols, and clouds. The Ocean Color Instrument (OCI) is the primary sensor on-board the PACE platform [2]. </w:t>
      </w:r>
      <w:r w:rsidR="00F957E2" w:rsidRPr="005D4D1C">
        <w:rPr>
          <w:i w:val="0"/>
        </w:rPr>
        <w:t>The OCI is a scanning radiometer with hyperspectral coverage from the ultraviolet (UV) to the near infrared (NIR) wavelength range and a fiber-coupled multiband filter spectrograph in the short-wave infrared (SWIR) spectral region.</w:t>
      </w:r>
      <w:r w:rsidR="00F957E2">
        <w:rPr>
          <w:i w:val="0"/>
        </w:rPr>
        <w:t xml:space="preserve"> </w:t>
      </w:r>
      <w:r w:rsidR="00F957E2" w:rsidRPr="005D4D1C">
        <w:rPr>
          <w:i w:val="0"/>
        </w:rPr>
        <w:t xml:space="preserve">The OCI Flight Unit completed system level testing in November 2022 at the Goddard Space Flight Center (GSFC). </w:t>
      </w:r>
    </w:p>
    <w:p w14:paraId="31142EE6" w14:textId="57643F35" w:rsidR="00FB0C0F" w:rsidRDefault="005D4D1C" w:rsidP="00F957E2">
      <w:pPr>
        <w:pStyle w:val="BodyTextIndent"/>
        <w:rPr>
          <w:i w:val="0"/>
        </w:rPr>
      </w:pPr>
      <w:r w:rsidRPr="005D4D1C">
        <w:rPr>
          <w:i w:val="0"/>
        </w:rPr>
        <w:t>This paper presents the spectral characterization and performance of the OCI Flight Unit. The OCI Flight spectral performance was determined to be within design specifications and the characterization was measured within specified uncertainties.</w:t>
      </w:r>
    </w:p>
    <w:p w14:paraId="6E57E9C2" w14:textId="77777777" w:rsidR="00FB0C0F" w:rsidRDefault="00FB0C0F">
      <w:pPr>
        <w:pStyle w:val="BodyTextIndent"/>
        <w:ind w:firstLine="0"/>
        <w:rPr>
          <w:i w:val="0"/>
        </w:rPr>
      </w:pPr>
    </w:p>
    <w:p w14:paraId="3DAFA283" w14:textId="7119591B" w:rsidR="00FB0C0F" w:rsidRDefault="00FB0C0F">
      <w:pPr>
        <w:pStyle w:val="BodyTextIndent"/>
        <w:ind w:firstLine="360"/>
        <w:rPr>
          <w:b/>
          <w:bCs/>
          <w:szCs w:val="24"/>
        </w:rPr>
      </w:pPr>
      <w:r>
        <w:rPr>
          <w:b/>
          <w:bCs/>
        </w:rPr>
        <w:t>Index Terms</w:t>
      </w:r>
      <w:r>
        <w:rPr>
          <w:b/>
          <w:bCs/>
          <w:szCs w:val="24"/>
        </w:rPr>
        <w:t xml:space="preserve">— </w:t>
      </w:r>
      <w:r w:rsidR="00271E1D">
        <w:rPr>
          <w:i w:val="0"/>
          <w:iCs/>
          <w:szCs w:val="24"/>
        </w:rPr>
        <w:t>PACE</w:t>
      </w:r>
      <w:r>
        <w:rPr>
          <w:i w:val="0"/>
          <w:iCs/>
          <w:szCs w:val="24"/>
        </w:rPr>
        <w:t xml:space="preserve">, </w:t>
      </w:r>
      <w:r w:rsidR="00271E1D">
        <w:rPr>
          <w:i w:val="0"/>
          <w:iCs/>
          <w:szCs w:val="24"/>
        </w:rPr>
        <w:t>OCI</w:t>
      </w:r>
      <w:r>
        <w:rPr>
          <w:i w:val="0"/>
          <w:iCs/>
          <w:szCs w:val="24"/>
        </w:rPr>
        <w:t xml:space="preserve">, </w:t>
      </w:r>
      <w:r w:rsidR="00271E1D">
        <w:rPr>
          <w:i w:val="0"/>
          <w:iCs/>
          <w:szCs w:val="24"/>
        </w:rPr>
        <w:t>Pre-Launch</w:t>
      </w:r>
      <w:r>
        <w:rPr>
          <w:i w:val="0"/>
          <w:iCs/>
          <w:szCs w:val="24"/>
        </w:rPr>
        <w:t xml:space="preserve">, </w:t>
      </w:r>
      <w:r w:rsidR="00271E1D">
        <w:rPr>
          <w:i w:val="0"/>
          <w:iCs/>
          <w:szCs w:val="24"/>
        </w:rPr>
        <w:t>RSR</w:t>
      </w:r>
      <w:r>
        <w:rPr>
          <w:i w:val="0"/>
          <w:iCs/>
          <w:szCs w:val="24"/>
        </w:rPr>
        <w:t xml:space="preserve">, </w:t>
      </w:r>
      <w:r w:rsidR="00271E1D">
        <w:rPr>
          <w:i w:val="0"/>
          <w:iCs/>
          <w:szCs w:val="24"/>
        </w:rPr>
        <w:t>Performance</w:t>
      </w:r>
    </w:p>
    <w:p w14:paraId="15FA5488" w14:textId="6902E272" w:rsidR="00FB0C0F" w:rsidRDefault="00FB0C0F">
      <w:pPr>
        <w:pStyle w:val="BodyTextIndent"/>
        <w:ind w:firstLine="0"/>
      </w:pPr>
    </w:p>
    <w:p w14:paraId="1945CC03" w14:textId="77777777" w:rsidR="00D038B7" w:rsidRDefault="00D038B7" w:rsidP="00D038B7">
      <w:pPr>
        <w:jc w:val="center"/>
        <w:rPr>
          <w:b/>
          <w:caps/>
          <w:sz w:val="20"/>
        </w:rPr>
      </w:pPr>
      <w:r>
        <w:rPr>
          <w:b/>
          <w:sz w:val="20"/>
        </w:rPr>
        <w:t xml:space="preserve">1. </w:t>
      </w:r>
      <w:r>
        <w:rPr>
          <w:b/>
          <w:caps/>
          <w:sz w:val="20"/>
        </w:rPr>
        <w:t>Introduction</w:t>
      </w:r>
    </w:p>
    <w:p w14:paraId="25B046EA" w14:textId="77777777" w:rsidR="00D038B7" w:rsidRDefault="00D038B7" w:rsidP="00D038B7">
      <w:pPr>
        <w:rPr>
          <w:sz w:val="20"/>
        </w:rPr>
      </w:pPr>
    </w:p>
    <w:p w14:paraId="0AC51A49" w14:textId="43BCDDFF" w:rsidR="00F957E2" w:rsidRPr="005D4D1C" w:rsidRDefault="00F957E2" w:rsidP="003C1965">
      <w:pPr>
        <w:pStyle w:val="BodyTextIndent"/>
        <w:ind w:firstLine="0"/>
        <w:rPr>
          <w:i w:val="0"/>
        </w:rPr>
      </w:pPr>
      <w:r w:rsidRPr="005D4D1C">
        <w:rPr>
          <w:i w:val="0"/>
        </w:rPr>
        <w:t xml:space="preserve">The OCI is a new type of sensor that builds on the design of heritage sensors MODIS [3], </w:t>
      </w:r>
      <w:r w:rsidR="0049501B">
        <w:rPr>
          <w:i w:val="0"/>
        </w:rPr>
        <w:t xml:space="preserve">and </w:t>
      </w:r>
      <w:r w:rsidRPr="005D4D1C">
        <w:rPr>
          <w:i w:val="0"/>
        </w:rPr>
        <w:t>VIIRS [4]</w:t>
      </w:r>
      <w:r w:rsidR="00C76250">
        <w:rPr>
          <w:i w:val="0"/>
        </w:rPr>
        <w:t>,</w:t>
      </w:r>
      <w:r w:rsidR="00C76250" w:rsidRPr="005D4D1C">
        <w:rPr>
          <w:i w:val="0"/>
        </w:rPr>
        <w:t xml:space="preserve"> </w:t>
      </w:r>
      <w:r w:rsidR="00C76250">
        <w:rPr>
          <w:i w:val="0"/>
        </w:rPr>
        <w:t>a</w:t>
      </w:r>
      <w:r w:rsidRPr="005D4D1C">
        <w:rPr>
          <w:i w:val="0"/>
        </w:rPr>
        <w:t>s well as lessons learned from the prototype sensor ORCA [</w:t>
      </w:r>
      <w:r w:rsidR="00A67373">
        <w:rPr>
          <w:i w:val="0"/>
        </w:rPr>
        <w:t>5</w:t>
      </w:r>
      <w:r w:rsidR="0049501B">
        <w:rPr>
          <w:i w:val="0"/>
        </w:rPr>
        <w:t>]</w:t>
      </w:r>
      <w:r w:rsidRPr="005D4D1C">
        <w:rPr>
          <w:i w:val="0"/>
        </w:rPr>
        <w:t xml:space="preserve">. </w:t>
      </w:r>
      <w:r>
        <w:rPr>
          <w:i w:val="0"/>
        </w:rPr>
        <w:t xml:space="preserve">The OCI is the primary sensor onboard the PACE platform scheduled to launch in January 2024. </w:t>
      </w:r>
      <w:r w:rsidRPr="005D4D1C">
        <w:rPr>
          <w:i w:val="0"/>
        </w:rPr>
        <w:t xml:space="preserve">Unlike its heritage sensors, OCI has two slit grating hyperspectral spectrographs in addition to a fiber-coupled multiband filter spectrograph. </w:t>
      </w:r>
      <w:r w:rsidR="0068633F">
        <w:rPr>
          <w:i w:val="0"/>
        </w:rPr>
        <w:t xml:space="preserve">The light is split into three </w:t>
      </w:r>
      <w:r w:rsidR="0068633F" w:rsidRPr="001519BC">
        <w:rPr>
          <w:i w:val="0"/>
        </w:rPr>
        <w:t>spectral regions</w:t>
      </w:r>
      <w:r w:rsidR="0068633F">
        <w:rPr>
          <w:i w:val="0"/>
        </w:rPr>
        <w:t xml:space="preserve"> using dichroic filters</w:t>
      </w:r>
      <w:r w:rsidR="0068633F" w:rsidRPr="001519BC">
        <w:rPr>
          <w:i w:val="0"/>
        </w:rPr>
        <w:t>: approximately 340nm – 605nm for the UV-VIS Focal Plane Assembly (FPA), 605nm – 905nm for the VIS-NIR FPA, and 905nm – 2400nm for the SWIR Detector Assembly (SDA).</w:t>
      </w:r>
      <w:r w:rsidR="0068633F">
        <w:rPr>
          <w:i w:val="0"/>
        </w:rPr>
        <w:t xml:space="preserve"> </w:t>
      </w:r>
      <w:r w:rsidRPr="005D4D1C">
        <w:rPr>
          <w:i w:val="0"/>
        </w:rPr>
        <w:t xml:space="preserve">The two hyperspectral spectrographs use programmable CCD detectors that aggregate multiple CCD </w:t>
      </w:r>
      <w:r w:rsidRPr="005D4D1C">
        <w:rPr>
          <w:i w:val="0"/>
        </w:rPr>
        <w:t xml:space="preserve">pixels which can </w:t>
      </w:r>
      <w:r w:rsidR="0068633F">
        <w:rPr>
          <w:i w:val="0"/>
        </w:rPr>
        <w:t>aggre</w:t>
      </w:r>
      <w:r w:rsidR="008437E9">
        <w:rPr>
          <w:i w:val="0"/>
        </w:rPr>
        <w:t xml:space="preserve">gate one CCD pixel into </w:t>
      </w:r>
      <w:r w:rsidR="0068633F" w:rsidRPr="001519BC">
        <w:rPr>
          <w:i w:val="0"/>
        </w:rPr>
        <w:t>1,</w:t>
      </w:r>
      <w:r w:rsidR="0068633F">
        <w:rPr>
          <w:i w:val="0"/>
        </w:rPr>
        <w:t xml:space="preserve"> </w:t>
      </w:r>
      <w:r w:rsidR="0068633F" w:rsidRPr="001519BC">
        <w:rPr>
          <w:i w:val="0"/>
        </w:rPr>
        <w:t>2,</w:t>
      </w:r>
      <w:r w:rsidR="0068633F">
        <w:rPr>
          <w:i w:val="0"/>
        </w:rPr>
        <w:t xml:space="preserve"> </w:t>
      </w:r>
      <w:r w:rsidR="0068633F" w:rsidRPr="001519BC">
        <w:rPr>
          <w:i w:val="0"/>
        </w:rPr>
        <w:t>4, or 8</w:t>
      </w:r>
      <w:r w:rsidR="008437E9">
        <w:rPr>
          <w:i w:val="0"/>
        </w:rPr>
        <w:t xml:space="preserve"> pixels</w:t>
      </w:r>
      <w:r w:rsidR="0068633F" w:rsidRPr="001519BC">
        <w:rPr>
          <w:i w:val="0"/>
        </w:rPr>
        <w:t xml:space="preserve"> in </w:t>
      </w:r>
      <w:r w:rsidR="00FE66F2">
        <w:rPr>
          <w:i w:val="0"/>
        </w:rPr>
        <w:t>both the spatial and spectral</w:t>
      </w:r>
      <w:r w:rsidR="0068633F" w:rsidRPr="001519BC">
        <w:rPr>
          <w:i w:val="0"/>
        </w:rPr>
        <w:t xml:space="preserve"> direction independently</w:t>
      </w:r>
      <w:r w:rsidR="008437E9">
        <w:rPr>
          <w:i w:val="0"/>
        </w:rPr>
        <w:t>.</w:t>
      </w:r>
      <w:r w:rsidR="0068633F" w:rsidRPr="001519BC">
        <w:rPr>
          <w:i w:val="0"/>
        </w:rPr>
        <w:t xml:space="preserve"> </w:t>
      </w:r>
      <w:r w:rsidR="008437E9">
        <w:rPr>
          <w:i w:val="0"/>
        </w:rPr>
        <w:t>The maximum 8x8 aggregation represents a science pixel, a 1km square on the ground at nadir for each band with a 5nm bandwidth.</w:t>
      </w:r>
      <w:r w:rsidR="0068633F">
        <w:rPr>
          <w:i w:val="0"/>
        </w:rPr>
        <w:t xml:space="preserve"> </w:t>
      </w:r>
      <w:r w:rsidR="008437E9">
        <w:rPr>
          <w:i w:val="0"/>
        </w:rPr>
        <w:t xml:space="preserve">The SDA provides </w:t>
      </w:r>
      <w:r w:rsidR="002031C4">
        <w:rPr>
          <w:i w:val="0"/>
        </w:rPr>
        <w:t xml:space="preserve">nine separate bands from 940nm to 2260nm. Each </w:t>
      </w:r>
      <w:r w:rsidR="00FE66F2">
        <w:rPr>
          <w:i w:val="0"/>
        </w:rPr>
        <w:t>SWIR</w:t>
      </w:r>
      <w:r w:rsidR="002031C4">
        <w:rPr>
          <w:i w:val="0"/>
        </w:rPr>
        <w:t xml:space="preserve"> band readout is </w:t>
      </w:r>
      <w:r w:rsidR="00FE66F2">
        <w:rPr>
          <w:i w:val="0"/>
        </w:rPr>
        <w:t xml:space="preserve">a </w:t>
      </w:r>
      <w:r w:rsidR="002031C4">
        <w:rPr>
          <w:i w:val="0"/>
        </w:rPr>
        <w:t>1km square with various bandwidths. The OCI is scanning telescope utilizing a two-sided Half Angle Mirror (HAM) to de-rotate the light sent into the main optical sub bench. More d</w:t>
      </w:r>
      <w:r w:rsidR="002031C4" w:rsidRPr="002031C4">
        <w:rPr>
          <w:i w:val="0"/>
          <w:iCs/>
        </w:rPr>
        <w:t>etails of the OCI design are described in</w:t>
      </w:r>
      <w:r w:rsidR="007A350E">
        <w:rPr>
          <w:i w:val="0"/>
          <w:iCs/>
        </w:rPr>
        <w:t xml:space="preserve"> Gorman et. al.</w:t>
      </w:r>
      <w:r w:rsidR="002031C4" w:rsidRPr="002031C4">
        <w:rPr>
          <w:i w:val="0"/>
          <w:iCs/>
        </w:rPr>
        <w:t xml:space="preserve"> [2].</w:t>
      </w:r>
    </w:p>
    <w:p w14:paraId="2F04841A" w14:textId="7C1649E3" w:rsidR="001519BC" w:rsidRDefault="00F957E2" w:rsidP="008D7150">
      <w:pPr>
        <w:pStyle w:val="BodyTextIndent"/>
        <w:ind w:firstLine="360"/>
        <w:rPr>
          <w:i w:val="0"/>
        </w:rPr>
      </w:pPr>
      <w:r w:rsidRPr="005D4D1C">
        <w:rPr>
          <w:i w:val="0"/>
        </w:rPr>
        <w:t xml:space="preserve">The </w:t>
      </w:r>
      <w:r w:rsidR="00DC07C1">
        <w:rPr>
          <w:i w:val="0"/>
        </w:rPr>
        <w:t xml:space="preserve">OCI </w:t>
      </w:r>
      <w:r w:rsidRPr="005D4D1C">
        <w:rPr>
          <w:i w:val="0"/>
        </w:rPr>
        <w:t xml:space="preserve">Flight Unit was tested in thermal vacuum (TVAC) in September and October 2022 to assess characterization and performance compliance to design requirements. </w:t>
      </w:r>
      <w:r w:rsidR="00F238F8" w:rsidRPr="00F238F8">
        <w:rPr>
          <w:i w:val="0"/>
        </w:rPr>
        <w:t>During the test campaign</w:t>
      </w:r>
      <w:r w:rsidR="00FE66F2">
        <w:rPr>
          <w:i w:val="0"/>
        </w:rPr>
        <w:t xml:space="preserve"> all OCI</w:t>
      </w:r>
      <w:r w:rsidR="00F238F8" w:rsidRPr="00F238F8">
        <w:rPr>
          <w:i w:val="0"/>
        </w:rPr>
        <w:t xml:space="preserve"> bands were tested in TVAC for their spectral characterization and performance compliance to design requirements. </w:t>
      </w:r>
      <w:r w:rsidR="00FE66F2">
        <w:rPr>
          <w:i w:val="0"/>
        </w:rPr>
        <w:t>A</w:t>
      </w:r>
      <w:r w:rsidR="007230FA">
        <w:rPr>
          <w:i w:val="0"/>
        </w:rPr>
        <w:t>n overview of the OCI prelaunch test campaign</w:t>
      </w:r>
      <w:r w:rsidR="00FE66F2">
        <w:rPr>
          <w:i w:val="0"/>
        </w:rPr>
        <w:t xml:space="preserve"> is described in</w:t>
      </w:r>
      <w:r w:rsidR="007A350E">
        <w:rPr>
          <w:i w:val="0"/>
        </w:rPr>
        <w:t xml:space="preserve"> Meister et. al.</w:t>
      </w:r>
      <w:r w:rsidR="00FE66F2">
        <w:rPr>
          <w:i w:val="0"/>
        </w:rPr>
        <w:t xml:space="preserve"> </w:t>
      </w:r>
      <w:r w:rsidR="007230FA">
        <w:rPr>
          <w:i w:val="0"/>
        </w:rPr>
        <w:t>[</w:t>
      </w:r>
      <w:r w:rsidR="00A67373">
        <w:rPr>
          <w:i w:val="0"/>
        </w:rPr>
        <w:t>6</w:t>
      </w:r>
      <w:r w:rsidR="007230FA">
        <w:rPr>
          <w:i w:val="0"/>
        </w:rPr>
        <w:t>].</w:t>
      </w:r>
    </w:p>
    <w:p w14:paraId="25AA7428" w14:textId="77777777" w:rsidR="0049501B" w:rsidRPr="0049501B" w:rsidRDefault="0049501B" w:rsidP="0049501B">
      <w:pPr>
        <w:pStyle w:val="BodyTextIndent"/>
        <w:rPr>
          <w:i w:val="0"/>
        </w:rPr>
      </w:pPr>
    </w:p>
    <w:p w14:paraId="3F89B02F" w14:textId="42A245E8" w:rsidR="00FB0C0F" w:rsidRDefault="002031C4">
      <w:pPr>
        <w:jc w:val="center"/>
        <w:rPr>
          <w:b/>
          <w:caps/>
          <w:sz w:val="20"/>
        </w:rPr>
      </w:pPr>
      <w:r>
        <w:rPr>
          <w:b/>
          <w:sz w:val="20"/>
        </w:rPr>
        <w:t>2</w:t>
      </w:r>
      <w:r w:rsidR="00FB0C0F">
        <w:rPr>
          <w:b/>
          <w:sz w:val="20"/>
        </w:rPr>
        <w:t xml:space="preserve">. </w:t>
      </w:r>
      <w:r w:rsidR="00D038B7">
        <w:rPr>
          <w:b/>
          <w:caps/>
          <w:sz w:val="20"/>
        </w:rPr>
        <w:t>TEST MEASUREMENTS</w:t>
      </w:r>
    </w:p>
    <w:p w14:paraId="2038DF8E" w14:textId="77777777" w:rsidR="00FB0C0F" w:rsidRDefault="00FB0C0F">
      <w:pPr>
        <w:rPr>
          <w:sz w:val="20"/>
        </w:rPr>
      </w:pPr>
    </w:p>
    <w:p w14:paraId="4371E952" w14:textId="01BA3FF9" w:rsidR="00B32CAB" w:rsidRPr="005D4D1C" w:rsidRDefault="00711FB2" w:rsidP="003C1965">
      <w:pPr>
        <w:pStyle w:val="BodyTextIndent"/>
        <w:ind w:firstLine="0"/>
        <w:rPr>
          <w:i w:val="0"/>
        </w:rPr>
      </w:pPr>
      <w:r>
        <w:rPr>
          <w:i w:val="0"/>
        </w:rPr>
        <w:t>The OCI spectral characteristic</w:t>
      </w:r>
      <w:r w:rsidR="008F40D1">
        <w:rPr>
          <w:i w:val="0"/>
        </w:rPr>
        <w:t>s</w:t>
      </w:r>
      <w:r>
        <w:rPr>
          <w:i w:val="0"/>
        </w:rPr>
        <w:t xml:space="preserve"> were determined by sweeping a monochromatic source across the spectral range from 310nm to 2400nm. The</w:t>
      </w:r>
      <w:r w:rsidR="00B32CAB" w:rsidRPr="005D4D1C">
        <w:rPr>
          <w:i w:val="0"/>
        </w:rPr>
        <w:t xml:space="preserve"> test program used the Goddard Laser for Absolute Measurement of Radiance (GLAMR) as a tunable monochromatic source [</w:t>
      </w:r>
      <w:r w:rsidR="00A67373">
        <w:rPr>
          <w:i w:val="0"/>
        </w:rPr>
        <w:t>7</w:t>
      </w:r>
      <w:r w:rsidR="00B32CAB" w:rsidRPr="005D4D1C">
        <w:rPr>
          <w:i w:val="0"/>
        </w:rPr>
        <w:t xml:space="preserve">]. The laser source was fed into </w:t>
      </w:r>
      <w:r w:rsidR="00E312B1">
        <w:rPr>
          <w:i w:val="0"/>
        </w:rPr>
        <w:t xml:space="preserve">a </w:t>
      </w:r>
      <w:proofErr w:type="gramStart"/>
      <w:r w:rsidR="00E312B1">
        <w:rPr>
          <w:i w:val="0"/>
        </w:rPr>
        <w:t>20 inch</w:t>
      </w:r>
      <w:proofErr w:type="gramEnd"/>
      <w:r w:rsidR="00B32CAB" w:rsidRPr="005D4D1C">
        <w:rPr>
          <w:i w:val="0"/>
        </w:rPr>
        <w:t xml:space="preserve"> integrating sphere with three NIST traceable calibrated radiometers. The integrating sphere </w:t>
      </w:r>
      <w:r w:rsidR="000D1A2E">
        <w:rPr>
          <w:i w:val="0"/>
        </w:rPr>
        <w:t>was</w:t>
      </w:r>
      <w:r w:rsidR="00E312B1">
        <w:rPr>
          <w:i w:val="0"/>
        </w:rPr>
        <w:t xml:space="preserve"> </w:t>
      </w:r>
      <w:r w:rsidR="00B32CAB" w:rsidRPr="005D4D1C">
        <w:rPr>
          <w:i w:val="0"/>
        </w:rPr>
        <w:t xml:space="preserve">placed </w:t>
      </w:r>
      <w:r w:rsidR="00E312B1">
        <w:rPr>
          <w:i w:val="0"/>
        </w:rPr>
        <w:t xml:space="preserve">8 inches </w:t>
      </w:r>
      <w:r w:rsidR="00B32CAB" w:rsidRPr="005D4D1C">
        <w:rPr>
          <w:i w:val="0"/>
        </w:rPr>
        <w:t>in front of the TVAC chamber window, with the center of the integrating sphere</w:t>
      </w:r>
      <w:r w:rsidR="000D1A2E">
        <w:rPr>
          <w:i w:val="0"/>
        </w:rPr>
        <w:t xml:space="preserve">’s </w:t>
      </w:r>
      <w:proofErr w:type="gramStart"/>
      <w:r w:rsidR="000D1A2E">
        <w:rPr>
          <w:i w:val="0"/>
        </w:rPr>
        <w:t>8 inch</w:t>
      </w:r>
      <w:proofErr w:type="gramEnd"/>
      <w:r w:rsidR="000D1A2E">
        <w:rPr>
          <w:i w:val="0"/>
        </w:rPr>
        <w:t xml:space="preserve"> </w:t>
      </w:r>
      <w:r w:rsidR="00B32CAB" w:rsidRPr="005D4D1C">
        <w:rPr>
          <w:i w:val="0"/>
        </w:rPr>
        <w:t xml:space="preserve">aperture aligned to the Flight Unit’s nadir </w:t>
      </w:r>
      <w:r w:rsidR="00FC5B09">
        <w:rPr>
          <w:i w:val="0"/>
        </w:rPr>
        <w:t>direction</w:t>
      </w:r>
      <w:r w:rsidR="00B32CAB" w:rsidRPr="005D4D1C">
        <w:rPr>
          <w:i w:val="0"/>
        </w:rPr>
        <w:t>. The laser source was swept in 1nm steps for in-band regions</w:t>
      </w:r>
      <w:r w:rsidR="00CE62F7">
        <w:rPr>
          <w:i w:val="0"/>
        </w:rPr>
        <w:t>. F</w:t>
      </w:r>
      <w:r w:rsidR="00B32CAB" w:rsidRPr="005D4D1C">
        <w:rPr>
          <w:i w:val="0"/>
        </w:rPr>
        <w:t>our hyperspectral regions</w:t>
      </w:r>
      <w:r w:rsidR="000D1A2E">
        <w:rPr>
          <w:i w:val="0"/>
        </w:rPr>
        <w:t xml:space="preserve"> 10nm wide centered at 347nm, </w:t>
      </w:r>
      <w:r w:rsidR="00F92B73">
        <w:rPr>
          <w:i w:val="0"/>
        </w:rPr>
        <w:t xml:space="preserve">555nm, 620nm, and 870nm, </w:t>
      </w:r>
      <w:r w:rsidR="00CE62F7">
        <w:rPr>
          <w:i w:val="0"/>
        </w:rPr>
        <w:t>where swept in 0.2nm steps</w:t>
      </w:r>
      <w:r w:rsidR="001A484A">
        <w:rPr>
          <w:i w:val="0"/>
        </w:rPr>
        <w:t xml:space="preserve"> (two per CCD)</w:t>
      </w:r>
      <w:r w:rsidR="00CE62F7">
        <w:rPr>
          <w:i w:val="0"/>
        </w:rPr>
        <w:t>. Out</w:t>
      </w:r>
      <w:r w:rsidR="00CF63F8">
        <w:rPr>
          <w:i w:val="0"/>
        </w:rPr>
        <w:t>-</w:t>
      </w:r>
      <w:r w:rsidR="00CE62F7">
        <w:rPr>
          <w:i w:val="0"/>
        </w:rPr>
        <w:t>of</w:t>
      </w:r>
      <w:r w:rsidR="00CF63F8">
        <w:rPr>
          <w:i w:val="0"/>
        </w:rPr>
        <w:t>-</w:t>
      </w:r>
      <w:r w:rsidR="00CE62F7">
        <w:rPr>
          <w:i w:val="0"/>
        </w:rPr>
        <w:t xml:space="preserve">band regions in the SWIR, 900nm to 2400nm, where swept in 10nm steps. </w:t>
      </w:r>
      <w:r w:rsidR="00CF63F8">
        <w:rPr>
          <w:i w:val="0"/>
        </w:rPr>
        <w:t xml:space="preserve">In-band radiance was set by GLAMR to 90% of </w:t>
      </w:r>
      <w:proofErr w:type="spellStart"/>
      <w:r w:rsidR="00CF63F8">
        <w:rPr>
          <w:i w:val="0"/>
        </w:rPr>
        <w:t>L</w:t>
      </w:r>
      <w:r w:rsidR="00CF63F8" w:rsidRPr="00CF63F8">
        <w:rPr>
          <w:i w:val="0"/>
          <w:vertAlign w:val="subscript"/>
        </w:rPr>
        <w:t>max</w:t>
      </w:r>
      <w:proofErr w:type="spellEnd"/>
      <w:r w:rsidR="00CF63F8">
        <w:rPr>
          <w:i w:val="0"/>
        </w:rPr>
        <w:t xml:space="preserve"> (maximum expected radiance expected on orbit) or </w:t>
      </w:r>
      <w:proofErr w:type="spellStart"/>
      <w:r w:rsidR="00CF63F8">
        <w:rPr>
          <w:i w:val="0"/>
        </w:rPr>
        <w:t>L</w:t>
      </w:r>
      <w:r w:rsidR="00CF63F8" w:rsidRPr="00CF63F8">
        <w:rPr>
          <w:i w:val="0"/>
          <w:vertAlign w:val="subscript"/>
        </w:rPr>
        <w:t>clip</w:t>
      </w:r>
      <w:proofErr w:type="spellEnd"/>
      <w:r w:rsidR="005777B6">
        <w:rPr>
          <w:i w:val="0"/>
        </w:rPr>
        <w:t xml:space="preserve"> </w:t>
      </w:r>
      <w:r w:rsidR="00B01DDE">
        <w:rPr>
          <w:noProof/>
        </w:rPr>
        <w:lastRenderedPageBreak/>
        <mc:AlternateContent>
          <mc:Choice Requires="wps">
            <w:drawing>
              <wp:anchor distT="0" distB="0" distL="114300" distR="114300" simplePos="0" relativeHeight="251659264" behindDoc="0" locked="0" layoutInCell="1" allowOverlap="1" wp14:anchorId="6A86D400" wp14:editId="3AC7775F">
                <wp:simplePos x="0" y="0"/>
                <wp:positionH relativeFrom="margin">
                  <wp:align>left</wp:align>
                </wp:positionH>
                <wp:positionV relativeFrom="page">
                  <wp:posOffset>887095</wp:posOffset>
                </wp:positionV>
                <wp:extent cx="3084195" cy="2647315"/>
                <wp:effectExtent l="0" t="0" r="20955" b="19685"/>
                <wp:wrapTopAndBottom/>
                <wp:docPr id="1" name="Text Box 1"/>
                <wp:cNvGraphicFramePr/>
                <a:graphic xmlns:a="http://schemas.openxmlformats.org/drawingml/2006/main">
                  <a:graphicData uri="http://schemas.microsoft.com/office/word/2010/wordprocessingShape">
                    <wps:wsp>
                      <wps:cNvSpPr txBox="1"/>
                      <wps:spPr>
                        <a:xfrm>
                          <a:off x="0" y="0"/>
                          <a:ext cx="3084394" cy="2647315"/>
                        </a:xfrm>
                        <a:prstGeom prst="rect">
                          <a:avLst/>
                        </a:prstGeom>
                        <a:noFill/>
                        <a:ln w="6350">
                          <a:solidFill>
                            <a:schemeClr val="bg1"/>
                          </a:solidFill>
                        </a:ln>
                      </wps:spPr>
                      <wps:txbx>
                        <w:txbxContent>
                          <w:p w14:paraId="0F11DEE5" w14:textId="77777777" w:rsidR="005777B6" w:rsidRDefault="005777B6" w:rsidP="003C1965">
                            <w:pPr>
                              <w:pStyle w:val="BodyTextIndent"/>
                              <w:ind w:firstLine="0"/>
                              <w:rPr>
                                <w:i w:val="0"/>
                              </w:rPr>
                            </w:pPr>
                            <w:r>
                              <w:rPr>
                                <w:noProof/>
                                <w:szCs w:val="16"/>
                              </w:rPr>
                              <w:drawing>
                                <wp:inline distT="0" distB="0" distL="0" distR="0" wp14:anchorId="211E8CFF" wp14:editId="13E0123B">
                                  <wp:extent cx="2886075" cy="2095500"/>
                                  <wp:effectExtent l="0" t="0" r="9525" b="0"/>
                                  <wp:docPr id="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8789" cy="2111992"/>
                                          </a:xfrm>
                                          <a:prstGeom prst="rect">
                                            <a:avLst/>
                                          </a:prstGeom>
                                          <a:noFill/>
                                          <a:ln>
                                            <a:noFill/>
                                          </a:ln>
                                        </pic:spPr>
                                      </pic:pic>
                                    </a:graphicData>
                                  </a:graphic>
                                </wp:inline>
                              </w:drawing>
                            </w:r>
                          </w:p>
                          <w:p w14:paraId="3BA0C125" w14:textId="77777777" w:rsidR="005777B6" w:rsidRPr="008F7D1B" w:rsidRDefault="005777B6" w:rsidP="008F7D1B">
                            <w:pPr>
                              <w:pStyle w:val="Caption"/>
                              <w:jc w:val="both"/>
                            </w:pPr>
                            <w:r>
                              <w:t xml:space="preserve">Figure </w:t>
                            </w:r>
                            <w:fldSimple w:instr=" SEQ Figure \* ARABIC ">
                              <w:r>
                                <w:rPr>
                                  <w:noProof/>
                                </w:rPr>
                                <w:t>1</w:t>
                              </w:r>
                            </w:fldSimple>
                            <w:r>
                              <w:t>. A general visual description of an RSR profile and its key 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86D400" id="_x0000_t202" coordsize="21600,21600" o:spt="202" path="m,l,21600r21600,l21600,xe">
                <v:stroke joinstyle="miter"/>
                <v:path gradientshapeok="t" o:connecttype="rect"/>
              </v:shapetype>
              <v:shape id="Text Box 1" o:spid="_x0000_s1026" type="#_x0000_t202" style="position:absolute;left:0;text-align:left;margin-left:0;margin-top:69.85pt;width:242.85pt;height:208.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" filled="f" strokecolor="white [3212]" strokeweight=".5pt">
                <v:fill o:detectmouseclick="t"/>
                <v:textbox>
                  <w:txbxContent>
                    <w:p w14:paraId="0F11DEE5" w14:textId="77777777" w:rsidR="005777B6" w:rsidRDefault="005777B6" w:rsidP="003C1965">
                      <w:pPr>
                        <w:pStyle w:val="BodyTextIndent"/>
                        <w:ind w:firstLine="0"/>
                        <w:rPr>
                          <w:i w:val="0"/>
                        </w:rPr>
                      </w:pPr>
                      <w:r>
                        <w:rPr>
                          <w:noProof/>
                          <w:szCs w:val="16"/>
                        </w:rPr>
                        <w:drawing>
                          <wp:inline distT="0" distB="0" distL="0" distR="0" wp14:anchorId="211E8CFF" wp14:editId="13E0123B">
                            <wp:extent cx="2886075" cy="2095500"/>
                            <wp:effectExtent l="0" t="0" r="9525" b="0"/>
                            <wp:docPr id="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8789" cy="2111992"/>
                                    </a:xfrm>
                                    <a:prstGeom prst="rect">
                                      <a:avLst/>
                                    </a:prstGeom>
                                    <a:noFill/>
                                    <a:ln>
                                      <a:noFill/>
                                    </a:ln>
                                  </pic:spPr>
                                </pic:pic>
                              </a:graphicData>
                            </a:graphic>
                          </wp:inline>
                        </w:drawing>
                      </w:r>
                    </w:p>
                    <w:p w14:paraId="3BA0C125" w14:textId="77777777" w:rsidR="005777B6" w:rsidRPr="008F7D1B" w:rsidRDefault="005777B6" w:rsidP="008F7D1B">
                      <w:pPr>
                        <w:pStyle w:val="Caption"/>
                        <w:jc w:val="both"/>
                      </w:pPr>
                      <w:r>
                        <w:t xml:space="preserve">Figure </w:t>
                      </w:r>
                      <w:r>
                        <w:fldChar w:fldCharType="begin"/>
                      </w:r>
                      <w:r>
                        <w:instrText xml:space="preserve"> SEQ Figure \* ARABIC </w:instrText>
                      </w:r>
                      <w:r>
                        <w:fldChar w:fldCharType="separate"/>
                      </w:r>
                      <w:r>
                        <w:rPr>
                          <w:noProof/>
                        </w:rPr>
                        <w:t>1</w:t>
                      </w:r>
                      <w:r>
                        <w:rPr>
                          <w:noProof/>
                        </w:rPr>
                        <w:fldChar w:fldCharType="end"/>
                      </w:r>
                      <w:r>
                        <w:t>. A general visual description of an RSR profile and its key values.</w:t>
                      </w:r>
                    </w:p>
                  </w:txbxContent>
                </v:textbox>
                <w10:wrap type="topAndBottom" anchorx="margin" anchory="page"/>
              </v:shape>
            </w:pict>
          </mc:Fallback>
        </mc:AlternateContent>
      </w:r>
      <w:r w:rsidR="00CF63F8">
        <w:rPr>
          <w:i w:val="0"/>
        </w:rPr>
        <w:t>(maximum radiance set for high gain bands). Out-of-band</w:t>
      </w:r>
      <w:r w:rsidR="00904DDF" w:rsidRPr="00904DDF">
        <w:rPr>
          <w:i w:val="0"/>
        </w:rPr>
        <w:t xml:space="preserve"> </w:t>
      </w:r>
      <w:r w:rsidR="00904DDF">
        <w:rPr>
          <w:i w:val="0"/>
        </w:rPr>
        <w:t>radiance</w:t>
      </w:r>
      <w:r w:rsidR="00CF63F8">
        <w:rPr>
          <w:i w:val="0"/>
        </w:rPr>
        <w:t xml:space="preserve"> </w:t>
      </w:r>
      <w:r w:rsidR="00904DDF">
        <w:rPr>
          <w:i w:val="0"/>
        </w:rPr>
        <w:t xml:space="preserve">in the SWIR region </w:t>
      </w:r>
      <w:r w:rsidR="00CF63F8">
        <w:rPr>
          <w:i w:val="0"/>
        </w:rPr>
        <w:t>was set</w:t>
      </w:r>
      <w:r w:rsidR="00904DDF">
        <w:rPr>
          <w:i w:val="0"/>
        </w:rPr>
        <w:t xml:space="preserve"> </w:t>
      </w:r>
      <w:r w:rsidR="00CF63F8">
        <w:rPr>
          <w:i w:val="0"/>
        </w:rPr>
        <w:t xml:space="preserve">to </w:t>
      </w:r>
      <w:r w:rsidR="00904DDF">
        <w:rPr>
          <w:i w:val="0"/>
        </w:rPr>
        <w:t>output</w:t>
      </w:r>
      <w:r w:rsidR="00CF63F8">
        <w:rPr>
          <w:i w:val="0"/>
        </w:rPr>
        <w:t xml:space="preserve"> the maximum </w:t>
      </w:r>
      <w:r w:rsidR="00904DDF">
        <w:rPr>
          <w:i w:val="0"/>
        </w:rPr>
        <w:t xml:space="preserve">possible radiance by </w:t>
      </w:r>
      <w:r w:rsidR="00CF63F8">
        <w:rPr>
          <w:i w:val="0"/>
        </w:rPr>
        <w:t>GLAMR</w:t>
      </w:r>
      <w:r w:rsidR="00904DDF">
        <w:rPr>
          <w:i w:val="0"/>
        </w:rPr>
        <w:t>.</w:t>
      </w:r>
      <w:r w:rsidR="00CF63F8">
        <w:rPr>
          <w:i w:val="0"/>
        </w:rPr>
        <w:t xml:space="preserve"> </w:t>
      </w:r>
    </w:p>
    <w:p w14:paraId="40E51451" w14:textId="51CDD62A" w:rsidR="00FB0C0F" w:rsidRDefault="00B32CAB" w:rsidP="00B32CAB">
      <w:pPr>
        <w:pStyle w:val="BodyTextIndent3"/>
        <w:ind w:firstLine="245"/>
      </w:pPr>
      <w:r w:rsidRPr="005D4D1C">
        <w:t xml:space="preserve">For each collect, </w:t>
      </w:r>
      <w:r w:rsidR="001A484A">
        <w:t xml:space="preserve">the </w:t>
      </w:r>
      <w:r w:rsidRPr="005D4D1C">
        <w:t>OCI was exposed to the GLAMR source held at a constant wavelength and radiance for a 35 second duration. The radiance and wavelength were measured by the GLAMR radiometers and a GLAMR wavemeter averaged over the collect period. The OCI response for each band was averaged over the collect period and uniform aperture of the integrating sphere</w:t>
      </w:r>
      <w:r w:rsidR="001519BC">
        <w:t xml:space="preserve">, providing </w:t>
      </w:r>
      <w:r w:rsidR="001A484A">
        <w:t xml:space="preserve">approximately </w:t>
      </w:r>
      <w:r w:rsidR="001519BC">
        <w:t>4000 samples per band, per HAM side, per collect</w:t>
      </w:r>
      <w:r w:rsidRPr="005D4D1C">
        <w:t xml:space="preserve">. </w:t>
      </w:r>
      <w:r w:rsidR="00077B7D">
        <w:t>The results in this paper are based on 1386 collects.</w:t>
      </w:r>
    </w:p>
    <w:p w14:paraId="2F493713" w14:textId="77777777" w:rsidR="00FB0C0F" w:rsidRDefault="00FB0C0F">
      <w:pPr>
        <w:jc w:val="both"/>
        <w:rPr>
          <w:sz w:val="20"/>
        </w:rPr>
      </w:pPr>
    </w:p>
    <w:p w14:paraId="62683313" w14:textId="26088B7D" w:rsidR="001519BC" w:rsidRDefault="002031C4" w:rsidP="001519BC">
      <w:pPr>
        <w:jc w:val="center"/>
        <w:rPr>
          <w:b/>
          <w:caps/>
          <w:sz w:val="20"/>
        </w:rPr>
      </w:pPr>
      <w:r>
        <w:rPr>
          <w:b/>
          <w:caps/>
          <w:sz w:val="20"/>
        </w:rPr>
        <w:t>3</w:t>
      </w:r>
      <w:r w:rsidR="001519BC">
        <w:rPr>
          <w:b/>
          <w:caps/>
          <w:sz w:val="20"/>
        </w:rPr>
        <w:t>. DATA ANALYSIS</w:t>
      </w:r>
    </w:p>
    <w:p w14:paraId="527C5983" w14:textId="77777777" w:rsidR="001519BC" w:rsidRDefault="001519BC" w:rsidP="001519BC">
      <w:pPr>
        <w:jc w:val="both"/>
        <w:rPr>
          <w:sz w:val="20"/>
        </w:rPr>
      </w:pPr>
    </w:p>
    <w:p w14:paraId="19E216C2" w14:textId="288BAABF" w:rsidR="001A484A" w:rsidRDefault="001A484A" w:rsidP="003C1965">
      <w:pPr>
        <w:jc w:val="both"/>
        <w:rPr>
          <w:sz w:val="20"/>
        </w:rPr>
      </w:pPr>
      <w:r w:rsidRPr="001A484A">
        <w:rPr>
          <w:sz w:val="20"/>
        </w:rPr>
        <w:t xml:space="preserve">The </w:t>
      </w:r>
      <w:r>
        <w:rPr>
          <w:sz w:val="20"/>
        </w:rPr>
        <w:t>OCI</w:t>
      </w:r>
      <w:r w:rsidRPr="001A484A">
        <w:rPr>
          <w:sz w:val="20"/>
        </w:rPr>
        <w:t xml:space="preserve"> response is offset corrected for each scan by subtracting the average digital number count (DN) of the internal dark view pixels from the digital number count of the Earth view pixels.</w:t>
      </w:r>
    </w:p>
    <w:p w14:paraId="11221AC9" w14:textId="73FAD686" w:rsidR="001A484A" w:rsidRDefault="001A484A" w:rsidP="00006455">
      <w:pPr>
        <w:jc w:val="center"/>
        <w:rPr>
          <w:sz w:val="20"/>
        </w:rPr>
      </w:pPr>
      <w:proofErr w:type="spellStart"/>
      <w:r>
        <w:rPr>
          <w:sz w:val="20"/>
        </w:rPr>
        <w:t>dn</w:t>
      </w:r>
      <w:proofErr w:type="spellEnd"/>
      <w:r>
        <w:rPr>
          <w:sz w:val="20"/>
        </w:rPr>
        <w:t xml:space="preserve"> = DN</w:t>
      </w:r>
      <w:r w:rsidRPr="001A484A">
        <w:rPr>
          <w:sz w:val="20"/>
          <w:vertAlign w:val="subscript"/>
        </w:rPr>
        <w:t>EV</w:t>
      </w:r>
      <w:r>
        <w:rPr>
          <w:sz w:val="20"/>
        </w:rPr>
        <w:t>-&lt;DN</w:t>
      </w:r>
      <w:r w:rsidRPr="001A484A">
        <w:rPr>
          <w:sz w:val="20"/>
          <w:vertAlign w:val="subscript"/>
        </w:rPr>
        <w:t>DV</w:t>
      </w:r>
      <w:r>
        <w:rPr>
          <w:sz w:val="20"/>
        </w:rPr>
        <w:t>&gt;</w:t>
      </w:r>
    </w:p>
    <w:p w14:paraId="3C810446" w14:textId="2DD64F7E" w:rsidR="00006455" w:rsidRDefault="00006455" w:rsidP="00006455">
      <w:pPr>
        <w:jc w:val="both"/>
        <w:rPr>
          <w:sz w:val="20"/>
        </w:rPr>
      </w:pPr>
      <w:r>
        <w:rPr>
          <w:sz w:val="20"/>
        </w:rPr>
        <w:t>A</w:t>
      </w:r>
      <w:r w:rsidR="00531364" w:rsidRPr="00531364">
        <w:rPr>
          <w:sz w:val="20"/>
        </w:rPr>
        <w:t xml:space="preserve">bsolute spectral response (ASR) of each band </w:t>
      </w:r>
      <w:r>
        <w:rPr>
          <w:sz w:val="20"/>
        </w:rPr>
        <w:t>is a function of input GLAMR wavelength (λ)</w:t>
      </w:r>
      <w:r w:rsidR="00531364" w:rsidRPr="00531364">
        <w:rPr>
          <w:sz w:val="20"/>
        </w:rPr>
        <w:t xml:space="preserve"> calculated</w:t>
      </w:r>
      <w:r>
        <w:rPr>
          <w:sz w:val="20"/>
        </w:rPr>
        <w:t xml:space="preserve"> with the OCI response and GLAMR input radiance, L, at that wavelength.</w:t>
      </w:r>
    </w:p>
    <w:p w14:paraId="007B08C7" w14:textId="52A0D3E8" w:rsidR="00006455" w:rsidRDefault="00006455" w:rsidP="00006455">
      <w:pPr>
        <w:jc w:val="center"/>
        <w:rPr>
          <w:sz w:val="20"/>
        </w:rPr>
      </w:pPr>
      <w:r>
        <w:rPr>
          <w:sz w:val="20"/>
        </w:rPr>
        <w:t>ASR(λ)</w:t>
      </w:r>
      <w:r w:rsidR="00B205D4">
        <w:rPr>
          <w:sz w:val="20"/>
        </w:rPr>
        <w:t xml:space="preserve"> </w:t>
      </w:r>
      <w:r>
        <w:rPr>
          <w:sz w:val="20"/>
        </w:rPr>
        <w:t>=</w:t>
      </w:r>
      <w:r w:rsidR="00B205D4">
        <w:rPr>
          <w:sz w:val="20"/>
        </w:rPr>
        <w:t xml:space="preserve"> </w:t>
      </w:r>
      <w:proofErr w:type="spellStart"/>
      <w:r>
        <w:rPr>
          <w:sz w:val="20"/>
        </w:rPr>
        <w:t>dn</w:t>
      </w:r>
      <w:proofErr w:type="spellEnd"/>
      <w:r>
        <w:rPr>
          <w:sz w:val="20"/>
        </w:rPr>
        <w:t>(λ)/L(λ)</w:t>
      </w:r>
    </w:p>
    <w:p w14:paraId="10CC46DB" w14:textId="47DE1023" w:rsidR="00006455" w:rsidRDefault="00006455" w:rsidP="00006455">
      <w:pPr>
        <w:jc w:val="both"/>
        <w:rPr>
          <w:sz w:val="20"/>
        </w:rPr>
      </w:pPr>
      <w:r>
        <w:rPr>
          <w:sz w:val="20"/>
        </w:rPr>
        <w:t>From this we can get the relative spectral response (RSR),</w:t>
      </w:r>
      <w:r w:rsidR="00945A78">
        <w:rPr>
          <w:sz w:val="20"/>
        </w:rPr>
        <w:t xml:space="preserve"> </w:t>
      </w:r>
      <w:r w:rsidR="00531364" w:rsidRPr="00531364">
        <w:rPr>
          <w:sz w:val="20"/>
        </w:rPr>
        <w:t>integrated out-of-band response ratio (IOOB), system gain, band centers, and bandwidths</w:t>
      </w:r>
      <w:r w:rsidR="008F40D1">
        <w:rPr>
          <w:sz w:val="20"/>
        </w:rPr>
        <w:t>, per band, per HAM side</w:t>
      </w:r>
      <w:r w:rsidR="00531364" w:rsidRPr="00531364">
        <w:rPr>
          <w:sz w:val="20"/>
        </w:rPr>
        <w:t xml:space="preserve">. </w:t>
      </w:r>
      <w:r w:rsidR="0085333F">
        <w:rPr>
          <w:sz w:val="20"/>
        </w:rPr>
        <w:t>RSR is defined as,</w:t>
      </w:r>
    </w:p>
    <w:p w14:paraId="733A5BF0" w14:textId="7FA64714" w:rsidR="00006455" w:rsidRDefault="00006455" w:rsidP="00006455">
      <w:pPr>
        <w:jc w:val="center"/>
        <w:rPr>
          <w:sz w:val="20"/>
        </w:rPr>
      </w:pPr>
      <w:r>
        <w:rPr>
          <w:sz w:val="20"/>
        </w:rPr>
        <w:t>RSR(λ)</w:t>
      </w:r>
      <w:r w:rsidR="00B205D4">
        <w:rPr>
          <w:sz w:val="20"/>
        </w:rPr>
        <w:t xml:space="preserve"> </w:t>
      </w:r>
      <w:r>
        <w:rPr>
          <w:sz w:val="20"/>
        </w:rPr>
        <w:t>=</w:t>
      </w:r>
      <w:r w:rsidR="00B205D4">
        <w:rPr>
          <w:sz w:val="20"/>
        </w:rPr>
        <w:t xml:space="preserve"> </w:t>
      </w:r>
      <w:r>
        <w:rPr>
          <w:sz w:val="20"/>
        </w:rPr>
        <w:t>ASR(λ)/</w:t>
      </w:r>
      <w:proofErr w:type="gramStart"/>
      <w:r>
        <w:rPr>
          <w:sz w:val="20"/>
        </w:rPr>
        <w:t>max[</w:t>
      </w:r>
      <w:proofErr w:type="gramEnd"/>
      <w:r>
        <w:rPr>
          <w:sz w:val="20"/>
        </w:rPr>
        <w:t>ASR]</w:t>
      </w:r>
    </w:p>
    <w:p w14:paraId="2901BD35" w14:textId="6F0BA8C4" w:rsidR="008F40D1" w:rsidRDefault="0085333F" w:rsidP="008F40D1">
      <w:pPr>
        <w:rPr>
          <w:sz w:val="20"/>
        </w:rPr>
      </w:pPr>
      <w:r>
        <w:rPr>
          <w:sz w:val="20"/>
        </w:rPr>
        <w:t>The s</w:t>
      </w:r>
      <w:r w:rsidR="008F40D1">
        <w:rPr>
          <w:sz w:val="20"/>
        </w:rPr>
        <w:t>ystem gain</w:t>
      </w:r>
      <w:r>
        <w:rPr>
          <w:sz w:val="20"/>
        </w:rPr>
        <w:t xml:space="preserve"> is defined for all measured λ as,</w:t>
      </w:r>
    </w:p>
    <w:p w14:paraId="749D6680" w14:textId="6180090A" w:rsidR="00006455" w:rsidRDefault="00006455" w:rsidP="00006455">
      <w:pPr>
        <w:jc w:val="center"/>
        <w:rPr>
          <w:sz w:val="20"/>
        </w:rPr>
      </w:pPr>
      <w:r>
        <w:rPr>
          <w:sz w:val="20"/>
        </w:rPr>
        <w:t xml:space="preserve">Gain = </w:t>
      </w:r>
      <w:r w:rsidR="00B205D4">
        <w:rPr>
          <w:sz w:val="20"/>
        </w:rPr>
        <w:t>Σ</w:t>
      </w:r>
      <w:r>
        <w:rPr>
          <w:sz w:val="20"/>
        </w:rPr>
        <w:t>AS</w:t>
      </w:r>
      <w:r w:rsidR="00C76250">
        <w:rPr>
          <w:sz w:val="20"/>
        </w:rPr>
        <w:t>R(</w:t>
      </w:r>
      <w:r>
        <w:rPr>
          <w:sz w:val="20"/>
        </w:rPr>
        <w:t>λ)</w:t>
      </w:r>
      <w:bookmarkStart w:id="0" w:name="_Hlk135842388"/>
      <w:proofErr w:type="spellStart"/>
      <w:r w:rsidR="00066937">
        <w:rPr>
          <w:sz w:val="20"/>
        </w:rPr>
        <w:t>Δ</w:t>
      </w:r>
      <w:bookmarkEnd w:id="0"/>
      <w:r>
        <w:rPr>
          <w:sz w:val="20"/>
        </w:rPr>
        <w:t>λ</w:t>
      </w:r>
      <w:proofErr w:type="spellEnd"/>
    </w:p>
    <w:p w14:paraId="64BA9712" w14:textId="59DE295B" w:rsidR="008F40D1" w:rsidRDefault="008F40D1" w:rsidP="008F40D1">
      <w:pPr>
        <w:rPr>
          <w:sz w:val="20"/>
        </w:rPr>
      </w:pPr>
      <w:r>
        <w:rPr>
          <w:sz w:val="20"/>
        </w:rPr>
        <w:t>The integrated out-of-band response ratio is defined as</w:t>
      </w:r>
      <w:r w:rsidR="0085333F">
        <w:rPr>
          <w:sz w:val="20"/>
        </w:rPr>
        <w:t>,</w:t>
      </w:r>
    </w:p>
    <w:p w14:paraId="74E8E1B9" w14:textId="03825528" w:rsidR="00B205D4" w:rsidRDefault="00B205D4" w:rsidP="00006455">
      <w:pPr>
        <w:jc w:val="center"/>
        <w:rPr>
          <w:sz w:val="20"/>
        </w:rPr>
      </w:pPr>
      <w:r>
        <w:rPr>
          <w:sz w:val="20"/>
        </w:rPr>
        <w:t>IOOB = OOB/IB</w:t>
      </w:r>
    </w:p>
    <w:p w14:paraId="2275D2FF" w14:textId="311965C0" w:rsidR="008F40D1" w:rsidRDefault="0085333F" w:rsidP="008F40D1">
      <w:pPr>
        <w:rPr>
          <w:sz w:val="20"/>
        </w:rPr>
      </w:pPr>
      <w:proofErr w:type="gramStart"/>
      <w:r>
        <w:rPr>
          <w:sz w:val="20"/>
        </w:rPr>
        <w:t>w</w:t>
      </w:r>
      <w:r w:rsidR="008F40D1">
        <w:rPr>
          <w:sz w:val="20"/>
        </w:rPr>
        <w:t>here</w:t>
      </w:r>
      <w:proofErr w:type="gramEnd"/>
      <w:r>
        <w:rPr>
          <w:sz w:val="20"/>
        </w:rPr>
        <w:t>,</w:t>
      </w:r>
    </w:p>
    <w:p w14:paraId="3F926483" w14:textId="43FB191D" w:rsidR="00B205D4" w:rsidRDefault="00B205D4" w:rsidP="00006455">
      <w:pPr>
        <w:jc w:val="center"/>
        <w:rPr>
          <w:sz w:val="20"/>
        </w:rPr>
      </w:pPr>
      <w:r>
        <w:rPr>
          <w:sz w:val="20"/>
        </w:rPr>
        <w:t>IB = ΣRSR(λ)</w:t>
      </w:r>
      <w:proofErr w:type="spellStart"/>
      <w:r w:rsidR="001D10BD">
        <w:rPr>
          <w:sz w:val="20"/>
        </w:rPr>
        <w:t>Δ</w:t>
      </w:r>
      <w:r>
        <w:rPr>
          <w:sz w:val="20"/>
        </w:rPr>
        <w:t>λ</w:t>
      </w:r>
      <w:proofErr w:type="spellEnd"/>
      <w:r>
        <w:rPr>
          <w:sz w:val="20"/>
        </w:rPr>
        <w:t>, for all λ in-band</w:t>
      </w:r>
    </w:p>
    <w:p w14:paraId="17F30188" w14:textId="0998BF99" w:rsidR="00B205D4" w:rsidRDefault="00B205D4" w:rsidP="00006455">
      <w:pPr>
        <w:jc w:val="center"/>
        <w:rPr>
          <w:sz w:val="20"/>
        </w:rPr>
      </w:pPr>
      <w:r>
        <w:rPr>
          <w:sz w:val="20"/>
        </w:rPr>
        <w:t>OOB = ΣRSR(λ)</w:t>
      </w:r>
      <w:proofErr w:type="spellStart"/>
      <w:r w:rsidR="001D10BD">
        <w:rPr>
          <w:sz w:val="20"/>
        </w:rPr>
        <w:t>Δ</w:t>
      </w:r>
      <w:r>
        <w:rPr>
          <w:sz w:val="20"/>
        </w:rPr>
        <w:t>λ</w:t>
      </w:r>
      <w:proofErr w:type="spellEnd"/>
      <w:r>
        <w:rPr>
          <w:sz w:val="20"/>
        </w:rPr>
        <w:t>, for all λ out-of-band</w:t>
      </w:r>
    </w:p>
    <w:p w14:paraId="72ADCC33" w14:textId="478BEE88" w:rsidR="008B46F3" w:rsidRDefault="00531364" w:rsidP="00B859CA">
      <w:pPr>
        <w:jc w:val="both"/>
        <w:rPr>
          <w:sz w:val="20"/>
        </w:rPr>
      </w:pPr>
      <w:r w:rsidRPr="00531364">
        <w:rPr>
          <w:sz w:val="20"/>
        </w:rPr>
        <w:t xml:space="preserve">The in-band </w:t>
      </w:r>
      <w:r w:rsidR="00B205D4">
        <w:rPr>
          <w:sz w:val="20"/>
        </w:rPr>
        <w:t xml:space="preserve">(IB) </w:t>
      </w:r>
      <w:r w:rsidRPr="00531364">
        <w:rPr>
          <w:sz w:val="20"/>
        </w:rPr>
        <w:t>spectral region is defined where the RSR is more tha</w:t>
      </w:r>
      <w:r w:rsidR="00FF395E">
        <w:rPr>
          <w:sz w:val="20"/>
        </w:rPr>
        <w:t>n</w:t>
      </w:r>
      <w:r w:rsidRPr="00531364">
        <w:rPr>
          <w:sz w:val="20"/>
        </w:rPr>
        <w:t xml:space="preserve"> 1%, and the out-of-band </w:t>
      </w:r>
      <w:r w:rsidR="00B205D4">
        <w:rPr>
          <w:sz w:val="20"/>
        </w:rPr>
        <w:t xml:space="preserve">(OOB) </w:t>
      </w:r>
      <w:r w:rsidRPr="00531364">
        <w:rPr>
          <w:sz w:val="20"/>
        </w:rPr>
        <w:t xml:space="preserve">spectral region is </w:t>
      </w:r>
      <w:r w:rsidRPr="00531364">
        <w:rPr>
          <w:sz w:val="20"/>
        </w:rPr>
        <w:t xml:space="preserve">defined where the RSR </w:t>
      </w:r>
      <w:r w:rsidR="00FE66F2">
        <w:rPr>
          <w:sz w:val="20"/>
        </w:rPr>
        <w:t xml:space="preserve">is </w:t>
      </w:r>
      <w:r w:rsidRPr="00531364">
        <w:rPr>
          <w:sz w:val="20"/>
        </w:rPr>
        <w:t xml:space="preserve">less than 1%. The bandwidth is defined as the full width half max (FWHM) of the RSR, and the band center is defined as the center of the FWHM wavelengths. </w:t>
      </w:r>
      <w:r w:rsidR="0085333F">
        <w:rPr>
          <w:sz w:val="20"/>
        </w:rPr>
        <w:t xml:space="preserve">These definitions are described visually in Figure 1. </w:t>
      </w:r>
      <w:r w:rsidRPr="00531364">
        <w:rPr>
          <w:sz w:val="20"/>
        </w:rPr>
        <w:t xml:space="preserve">Each collect was measured with the CCD aggregation set to 8 cross-track pixels by 1 spectral pixel. This was done so that analysis could be performed at the highest spectral resolution, while improving SNR. </w:t>
      </w:r>
      <w:r w:rsidR="0085333F">
        <w:rPr>
          <w:sz w:val="20"/>
        </w:rPr>
        <w:t>This paper will show the results in</w:t>
      </w:r>
      <w:r w:rsidRPr="00531364">
        <w:rPr>
          <w:sz w:val="20"/>
        </w:rPr>
        <w:t xml:space="preserve"> 8x1</w:t>
      </w:r>
      <w:r w:rsidR="0085333F">
        <w:rPr>
          <w:sz w:val="20"/>
        </w:rPr>
        <w:t xml:space="preserve">, for HAM side A. </w:t>
      </w:r>
      <w:r w:rsidR="00B01DDE">
        <w:rPr>
          <w:sz w:val="20"/>
        </w:rPr>
        <w:t xml:space="preserve">HAM side B showed similar results. </w:t>
      </w:r>
      <w:r w:rsidR="0085333F">
        <w:rPr>
          <w:sz w:val="20"/>
        </w:rPr>
        <w:t>The RSR in 8x1 can be aggregated as necessary to accommodate whichever spectral aggregation mode the OCI is set to. The 8x1</w:t>
      </w:r>
      <w:r w:rsidRPr="00531364">
        <w:rPr>
          <w:sz w:val="20"/>
        </w:rPr>
        <w:t xml:space="preserve"> pixels were </w:t>
      </w:r>
      <w:r w:rsidR="0085333F">
        <w:rPr>
          <w:sz w:val="20"/>
        </w:rPr>
        <w:t xml:space="preserve">also </w:t>
      </w:r>
      <w:r w:rsidRPr="00531364">
        <w:rPr>
          <w:sz w:val="20"/>
        </w:rPr>
        <w:t>aggregated offline to 8x8 science pixels to characterize the science level bands with 5 nm bandwidths.</w:t>
      </w:r>
      <w:r w:rsidR="0085333F">
        <w:rPr>
          <w:sz w:val="20"/>
        </w:rPr>
        <w:t xml:space="preserve"> This was done to verify the OCI complied with design requirements defined at the science pixel level.</w:t>
      </w:r>
    </w:p>
    <w:p w14:paraId="5E7781BD" w14:textId="77777777" w:rsidR="00531364" w:rsidRDefault="00531364" w:rsidP="00531364">
      <w:pPr>
        <w:jc w:val="both"/>
        <w:rPr>
          <w:sz w:val="20"/>
        </w:rPr>
      </w:pPr>
    </w:p>
    <w:p w14:paraId="3B9FBA4F" w14:textId="077C4C15" w:rsidR="00531364" w:rsidRPr="00B859CA" w:rsidRDefault="00531364" w:rsidP="00B859CA">
      <w:pPr>
        <w:jc w:val="center"/>
        <w:rPr>
          <w:b/>
          <w:caps/>
          <w:sz w:val="20"/>
        </w:rPr>
      </w:pPr>
      <w:r>
        <w:rPr>
          <w:b/>
          <w:caps/>
          <w:sz w:val="20"/>
        </w:rPr>
        <w:t>4. Results</w:t>
      </w:r>
    </w:p>
    <w:p w14:paraId="6C98B829" w14:textId="77777777" w:rsidR="003C1965" w:rsidRDefault="003C1965" w:rsidP="00531364">
      <w:pPr>
        <w:ind w:firstLine="270"/>
        <w:jc w:val="both"/>
        <w:rPr>
          <w:sz w:val="20"/>
        </w:rPr>
      </w:pPr>
    </w:p>
    <w:p w14:paraId="609414B5" w14:textId="0B1CEA19" w:rsidR="00077B7D" w:rsidRDefault="003C1965" w:rsidP="003D39EB">
      <w:pPr>
        <w:jc w:val="both"/>
        <w:rPr>
          <w:sz w:val="20"/>
        </w:rPr>
      </w:pPr>
      <w:r>
        <w:rPr>
          <w:sz w:val="20"/>
        </w:rPr>
        <w:t>The UV-VIS FPA</w:t>
      </w:r>
      <w:r w:rsidR="000C4B17">
        <w:rPr>
          <w:sz w:val="20"/>
        </w:rPr>
        <w:t xml:space="preserve"> provides 480 bands from </w:t>
      </w:r>
      <w:r w:rsidR="000C4B17" w:rsidRPr="000C4B17">
        <w:rPr>
          <w:sz w:val="20"/>
        </w:rPr>
        <w:t xml:space="preserve">307.8125nm </w:t>
      </w:r>
      <w:r w:rsidR="000C4B17">
        <w:rPr>
          <w:sz w:val="20"/>
        </w:rPr>
        <w:t>to</w:t>
      </w:r>
      <w:r w:rsidR="000C4B17" w:rsidRPr="000C4B17">
        <w:rPr>
          <w:sz w:val="20"/>
        </w:rPr>
        <w:t xml:space="preserve"> 607.1875nm</w:t>
      </w:r>
      <w:r>
        <w:rPr>
          <w:sz w:val="20"/>
        </w:rPr>
        <w:t xml:space="preserve"> </w:t>
      </w:r>
      <w:r w:rsidR="00E570A0">
        <w:rPr>
          <w:sz w:val="20"/>
        </w:rPr>
        <w:t xml:space="preserve">(nominal </w:t>
      </w:r>
      <w:r w:rsidR="0001392D">
        <w:rPr>
          <w:sz w:val="20"/>
        </w:rPr>
        <w:t xml:space="preserve">center </w:t>
      </w:r>
      <w:r w:rsidR="00E570A0">
        <w:rPr>
          <w:sz w:val="20"/>
        </w:rPr>
        <w:t xml:space="preserve">wavelengths) </w:t>
      </w:r>
      <w:r>
        <w:rPr>
          <w:sz w:val="20"/>
        </w:rPr>
        <w:t xml:space="preserve">and </w:t>
      </w:r>
      <w:r w:rsidR="000C4B17">
        <w:rPr>
          <w:sz w:val="20"/>
        </w:rPr>
        <w:t xml:space="preserve">the </w:t>
      </w:r>
      <w:r>
        <w:rPr>
          <w:sz w:val="20"/>
        </w:rPr>
        <w:t>VIS-NIR FPA provide</w:t>
      </w:r>
      <w:r w:rsidR="000C4B17">
        <w:rPr>
          <w:sz w:val="20"/>
        </w:rPr>
        <w:t xml:space="preserve">s </w:t>
      </w:r>
      <w:r w:rsidR="000C4B17" w:rsidRPr="000C4B17">
        <w:rPr>
          <w:sz w:val="20"/>
        </w:rPr>
        <w:t xml:space="preserve">480 bands </w:t>
      </w:r>
      <w:r w:rsidR="000C4B17">
        <w:rPr>
          <w:sz w:val="20"/>
        </w:rPr>
        <w:t xml:space="preserve">from </w:t>
      </w:r>
      <w:r w:rsidR="000C4B17" w:rsidRPr="000C4B17">
        <w:rPr>
          <w:sz w:val="20"/>
        </w:rPr>
        <w:t xml:space="preserve">597.8125nm </w:t>
      </w:r>
      <w:r w:rsidR="000C4B17">
        <w:rPr>
          <w:sz w:val="20"/>
        </w:rPr>
        <w:t>to</w:t>
      </w:r>
      <w:r w:rsidR="000C4B17" w:rsidRPr="000C4B17">
        <w:rPr>
          <w:sz w:val="20"/>
        </w:rPr>
        <w:t xml:space="preserve"> 897.1875nm</w:t>
      </w:r>
      <w:r w:rsidR="00E570A0">
        <w:rPr>
          <w:sz w:val="20"/>
        </w:rPr>
        <w:t xml:space="preserve"> (nominal </w:t>
      </w:r>
      <w:r w:rsidR="0001392D">
        <w:rPr>
          <w:sz w:val="20"/>
        </w:rPr>
        <w:t xml:space="preserve">center </w:t>
      </w:r>
      <w:r w:rsidR="00E570A0">
        <w:rPr>
          <w:sz w:val="20"/>
        </w:rPr>
        <w:t>wavelengths)</w:t>
      </w:r>
      <w:r w:rsidR="000C4B17">
        <w:rPr>
          <w:sz w:val="20"/>
        </w:rPr>
        <w:t>, each with 0.625nm spacing.</w:t>
      </w:r>
      <w:r w:rsidR="00E570A0">
        <w:rPr>
          <w:sz w:val="20"/>
        </w:rPr>
        <w:t xml:space="preserve"> </w:t>
      </w:r>
      <w:r w:rsidR="00AF110F">
        <w:rPr>
          <w:sz w:val="20"/>
        </w:rPr>
        <w:t xml:space="preserve">Only bands from 340nm to 595nm on the UV-VIS FPA and bands from 615nm to 885nm on the VIS-NIR FPA were evaluated against design requirements. Hyperspectral bands less than 340nm and greater than 885nm have low sensitivity </w:t>
      </w:r>
      <w:r w:rsidR="00077B7D">
        <w:rPr>
          <w:sz w:val="20"/>
        </w:rPr>
        <w:t xml:space="preserve">in the OCI </w:t>
      </w:r>
      <w:r w:rsidR="00AF110F">
        <w:rPr>
          <w:sz w:val="20"/>
        </w:rPr>
        <w:t xml:space="preserve">and GLAMR has </w:t>
      </w:r>
      <w:r w:rsidR="00077B7D">
        <w:rPr>
          <w:sz w:val="20"/>
        </w:rPr>
        <w:t xml:space="preserve">a </w:t>
      </w:r>
      <w:r w:rsidR="00AF110F">
        <w:rPr>
          <w:sz w:val="20"/>
        </w:rPr>
        <w:t xml:space="preserve">low radiance output </w:t>
      </w:r>
      <w:r w:rsidR="0001392D">
        <w:rPr>
          <w:sz w:val="20"/>
        </w:rPr>
        <w:t>below</w:t>
      </w:r>
      <w:r w:rsidR="00AF110F">
        <w:rPr>
          <w:sz w:val="20"/>
        </w:rPr>
        <w:t xml:space="preserve"> 340nm. The OCI bands between 595nm and 615nm have low sensitivity and greater uncertainty </w:t>
      </w:r>
      <w:r w:rsidR="00EA59FF">
        <w:rPr>
          <w:sz w:val="20"/>
        </w:rPr>
        <w:t>because they are in the dichroic transition region.</w:t>
      </w:r>
      <w:r w:rsidR="00AF110F">
        <w:rPr>
          <w:sz w:val="20"/>
        </w:rPr>
        <w:t xml:space="preserve"> </w:t>
      </w:r>
    </w:p>
    <w:p w14:paraId="0D6564E4" w14:textId="53378062" w:rsidR="00B50D76" w:rsidRDefault="008906D8" w:rsidP="007A350E">
      <w:pPr>
        <w:ind w:firstLine="360"/>
        <w:jc w:val="both"/>
        <w:rPr>
          <w:sz w:val="20"/>
        </w:rPr>
      </w:pPr>
      <w:r>
        <w:rPr>
          <w:sz w:val="20"/>
        </w:rPr>
        <w:t xml:space="preserve">Figure 2 shows the dispersion, bandwidth, gain, and integrated OOB </w:t>
      </w:r>
      <w:r w:rsidR="00B01DDE">
        <w:rPr>
          <w:sz w:val="20"/>
        </w:rPr>
        <w:t xml:space="preserve">response ratio </w:t>
      </w:r>
      <w:r>
        <w:rPr>
          <w:sz w:val="20"/>
        </w:rPr>
        <w:t xml:space="preserve">for both hyperspectral FPAs. </w:t>
      </w:r>
      <w:r w:rsidR="001D10BD">
        <w:rPr>
          <w:color w:val="000000"/>
          <w:sz w:val="20"/>
        </w:rPr>
        <w:t>The nominal design center wavelengths and the measured center wavelengths agree to better than 1nm for both FPAs.</w:t>
      </w:r>
      <w:r w:rsidR="00EA59FF">
        <w:rPr>
          <w:sz w:val="20"/>
        </w:rPr>
        <w:t xml:space="preserve"> The UV-VIS bands have a bandwidth of 4.1nm and the VIS-NIR bands have a bandwidth of 3.6nm. This is based on the bands measured in fine 0.2nm steps. The spread of bandwidths </w:t>
      </w:r>
      <w:r w:rsidR="00077B7D">
        <w:rPr>
          <w:sz w:val="20"/>
        </w:rPr>
        <w:t xml:space="preserve">seen in the plot </w:t>
      </w:r>
      <w:r w:rsidR="00B50D76">
        <w:rPr>
          <w:sz w:val="20"/>
        </w:rPr>
        <w:t>occur because most</w:t>
      </w:r>
      <w:r w:rsidR="00EA59FF">
        <w:rPr>
          <w:sz w:val="20"/>
        </w:rPr>
        <w:t xml:space="preserve"> </w:t>
      </w:r>
      <w:r w:rsidR="00077B7D">
        <w:rPr>
          <w:sz w:val="20"/>
        </w:rPr>
        <w:t xml:space="preserve">bands </w:t>
      </w:r>
      <w:r w:rsidR="00B50D76">
        <w:rPr>
          <w:sz w:val="20"/>
        </w:rPr>
        <w:t xml:space="preserve">were </w:t>
      </w:r>
      <w:r w:rsidR="00077B7D">
        <w:rPr>
          <w:sz w:val="20"/>
        </w:rPr>
        <w:t xml:space="preserve">measured in </w:t>
      </w:r>
      <w:r w:rsidR="00EA59FF">
        <w:rPr>
          <w:sz w:val="20"/>
        </w:rPr>
        <w:t xml:space="preserve">course 1nm steps. </w:t>
      </w:r>
      <w:r w:rsidR="00B50D76">
        <w:rPr>
          <w:sz w:val="20"/>
        </w:rPr>
        <w:t>In a future analysis, t</w:t>
      </w:r>
      <w:r w:rsidR="00EA59FF">
        <w:rPr>
          <w:sz w:val="20"/>
        </w:rPr>
        <w:t xml:space="preserve">his will be improved by using the fine stepped bands as a model to </w:t>
      </w:r>
      <w:r w:rsidR="004D0672">
        <w:rPr>
          <w:sz w:val="20"/>
        </w:rPr>
        <w:t>interpolate</w:t>
      </w:r>
      <w:r w:rsidR="00EA59FF">
        <w:rPr>
          <w:sz w:val="20"/>
        </w:rPr>
        <w:t xml:space="preserve"> the course stepped bands. </w:t>
      </w:r>
      <w:r w:rsidR="004D0672">
        <w:rPr>
          <w:sz w:val="20"/>
        </w:rPr>
        <w:t xml:space="preserve">This is possible because the RSR profile is expected to be similar across all hyperspectral bands. </w:t>
      </w:r>
      <w:r w:rsidR="00EA59FF">
        <w:rPr>
          <w:sz w:val="20"/>
        </w:rPr>
        <w:t xml:space="preserve">This can be seen </w:t>
      </w:r>
      <w:r w:rsidR="004D0672">
        <w:rPr>
          <w:sz w:val="20"/>
        </w:rPr>
        <w:t xml:space="preserve">in Figure 3 which shows the in-band RSR for select hyperspectral bands. The RSR is currently linearly interpolated </w:t>
      </w:r>
      <w:r w:rsidR="00077B7D">
        <w:rPr>
          <w:sz w:val="20"/>
        </w:rPr>
        <w:t xml:space="preserve">(lines) </w:t>
      </w:r>
      <w:r w:rsidR="004D0672">
        <w:rPr>
          <w:sz w:val="20"/>
        </w:rPr>
        <w:t>between the measured response points (circles). Bands with fine steps vers</w:t>
      </w:r>
      <w:r w:rsidR="00077B7D">
        <w:rPr>
          <w:sz w:val="20"/>
        </w:rPr>
        <w:t>u</w:t>
      </w:r>
      <w:r w:rsidR="004D0672">
        <w:rPr>
          <w:sz w:val="20"/>
        </w:rPr>
        <w:t>s course steps can be seen clearly</w:t>
      </w:r>
      <w:r w:rsidR="00077B7D">
        <w:rPr>
          <w:sz w:val="20"/>
        </w:rPr>
        <w:t xml:space="preserve"> in the example bands shown in Figure 3</w:t>
      </w:r>
      <w:r w:rsidR="004D0672">
        <w:rPr>
          <w:sz w:val="20"/>
        </w:rPr>
        <w:t xml:space="preserve">. </w:t>
      </w:r>
    </w:p>
    <w:p w14:paraId="3A056B57" w14:textId="519C8B5D" w:rsidR="00F05E03" w:rsidRDefault="004D0672" w:rsidP="008D7150">
      <w:pPr>
        <w:ind w:firstLine="360"/>
        <w:jc w:val="both"/>
        <w:rPr>
          <w:sz w:val="20"/>
        </w:rPr>
      </w:pPr>
      <w:r>
        <w:rPr>
          <w:sz w:val="20"/>
        </w:rPr>
        <w:t xml:space="preserve">Figure 2 also shows the integrated OOB response ratio is 2-4% for the UV-VIS FPA and less than 1% for the VIS-NIR FPA. The OOB RSR can be seen in Figure 4. </w:t>
      </w:r>
      <w:r w:rsidR="00185C13">
        <w:rPr>
          <w:sz w:val="20"/>
        </w:rPr>
        <w:t>The OOB regions beyond the wavelengths in each FPA show a noise floor of 10</w:t>
      </w:r>
      <w:r w:rsidR="00185C13" w:rsidRPr="00185C13">
        <w:rPr>
          <w:sz w:val="20"/>
          <w:vertAlign w:val="superscript"/>
        </w:rPr>
        <w:t>-6</w:t>
      </w:r>
      <w:r w:rsidR="00B01DDE">
        <w:rPr>
          <w:sz w:val="20"/>
        </w:rPr>
        <w:t>.</w:t>
      </w:r>
      <w:r w:rsidR="00077B7D">
        <w:rPr>
          <w:sz w:val="20"/>
        </w:rPr>
        <w:t xml:space="preserve"> </w:t>
      </w:r>
      <w:r w:rsidR="00B01DDE">
        <w:rPr>
          <w:sz w:val="20"/>
        </w:rPr>
        <w:t>T</w:t>
      </w:r>
      <w:r w:rsidR="00077B7D">
        <w:rPr>
          <w:sz w:val="20"/>
        </w:rPr>
        <w:t xml:space="preserve">his is limited </w:t>
      </w:r>
      <w:r w:rsidR="00185C13">
        <w:rPr>
          <w:sz w:val="20"/>
        </w:rPr>
        <w:t xml:space="preserve">based on the 4000 </w:t>
      </w:r>
      <w:r w:rsidR="00077B7D">
        <w:rPr>
          <w:sz w:val="20"/>
        </w:rPr>
        <w:t xml:space="preserve">averaged </w:t>
      </w:r>
      <w:r w:rsidR="00185C13">
        <w:rPr>
          <w:sz w:val="20"/>
        </w:rPr>
        <w:t>samples. The wavelengths within each FPA show a base response at 10</w:t>
      </w:r>
      <w:r w:rsidR="00185C13" w:rsidRPr="00185C13">
        <w:rPr>
          <w:sz w:val="20"/>
          <w:vertAlign w:val="superscript"/>
        </w:rPr>
        <w:t>-5</w:t>
      </w:r>
      <w:r w:rsidR="00185C13">
        <w:rPr>
          <w:sz w:val="20"/>
        </w:rPr>
        <w:t xml:space="preserve"> with electronic crosstalk peaks at 10</w:t>
      </w:r>
      <w:r w:rsidR="00185C13" w:rsidRPr="00185C13">
        <w:rPr>
          <w:sz w:val="20"/>
          <w:vertAlign w:val="superscript"/>
        </w:rPr>
        <w:t>-4</w:t>
      </w:r>
      <w:r w:rsidR="00185C13">
        <w:rPr>
          <w:sz w:val="20"/>
        </w:rPr>
        <w:t xml:space="preserve"> every </w:t>
      </w:r>
      <w:r w:rsidR="00185C13">
        <w:rPr>
          <w:sz w:val="20"/>
        </w:rPr>
        <w:lastRenderedPageBreak/>
        <w:t xml:space="preserve">20nm. There are some isolated optical crosstalk peaks up to </w:t>
      </w:r>
      <w:r w:rsidR="00B01DDE">
        <w:rPr>
          <w:noProof/>
        </w:rPr>
        <mc:AlternateContent>
          <mc:Choice Requires="wps">
            <w:drawing>
              <wp:anchor distT="0" distB="0" distL="114300" distR="114300" simplePos="0" relativeHeight="251665408" behindDoc="0" locked="0" layoutInCell="1" allowOverlap="1" wp14:anchorId="43B8B57D" wp14:editId="768F216B">
                <wp:simplePos x="0" y="0"/>
                <wp:positionH relativeFrom="margin">
                  <wp:posOffset>3292475</wp:posOffset>
                </wp:positionH>
                <wp:positionV relativeFrom="page">
                  <wp:posOffset>3807460</wp:posOffset>
                </wp:positionV>
                <wp:extent cx="3096895" cy="3268345"/>
                <wp:effectExtent l="0" t="0" r="27305" b="27305"/>
                <wp:wrapTopAndBottom/>
                <wp:docPr id="13" name="Text Box 13"/>
                <wp:cNvGraphicFramePr/>
                <a:graphic xmlns:a="http://schemas.openxmlformats.org/drawingml/2006/main">
                  <a:graphicData uri="http://schemas.microsoft.com/office/word/2010/wordprocessingShape">
                    <wps:wsp>
                      <wps:cNvSpPr txBox="1"/>
                      <wps:spPr>
                        <a:xfrm>
                          <a:off x="0" y="0"/>
                          <a:ext cx="3096895" cy="3268345"/>
                        </a:xfrm>
                        <a:prstGeom prst="rect">
                          <a:avLst/>
                        </a:prstGeom>
                        <a:noFill/>
                        <a:ln w="6350">
                          <a:solidFill>
                            <a:schemeClr val="bg1"/>
                          </a:solidFill>
                        </a:ln>
                      </wps:spPr>
                      <wps:txbx>
                        <w:txbxContent>
                          <w:p w14:paraId="39584FF5" w14:textId="77777777" w:rsidR="000920D7" w:rsidRDefault="000920D7" w:rsidP="001F2E56">
                            <w:pPr>
                              <w:keepNext/>
                            </w:pPr>
                            <w:r>
                              <w:rPr>
                                <w:noProof/>
                              </w:rPr>
                              <w:drawing>
                                <wp:inline distT="0" distB="0" distL="0" distR="0" wp14:anchorId="1D71C60A" wp14:editId="7C098A1B">
                                  <wp:extent cx="2899628" cy="2143125"/>
                                  <wp:effectExtent l="0" t="0" r="8890" b="0"/>
                                  <wp:docPr id="1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9628" cy="2143125"/>
                                          </a:xfrm>
                                          <a:prstGeom prst="rect">
                                            <a:avLst/>
                                          </a:prstGeom>
                                          <a:noFill/>
                                          <a:ln>
                                            <a:noFill/>
                                          </a:ln>
                                        </pic:spPr>
                                      </pic:pic>
                                    </a:graphicData>
                                  </a:graphic>
                                </wp:inline>
                              </w:drawing>
                            </w:r>
                          </w:p>
                          <w:p w14:paraId="0C0031A4" w14:textId="77777777" w:rsidR="000920D7" w:rsidRPr="00311345" w:rsidRDefault="000920D7" w:rsidP="000920D7">
                            <w:pPr>
                              <w:pStyle w:val="Caption"/>
                              <w:jc w:val="both"/>
                            </w:pPr>
                            <w:r>
                              <w:t xml:space="preserve">Figure </w:t>
                            </w:r>
                            <w:fldSimple w:instr=" SEQ Figure \* ARABIC ">
                              <w:r>
                                <w:rPr>
                                  <w:noProof/>
                                </w:rPr>
                                <w:t>4</w:t>
                              </w:r>
                            </w:fldSimple>
                            <w:r>
                              <w:rPr>
                                <w:noProof/>
                              </w:rPr>
                              <w:t>.</w:t>
                            </w:r>
                            <w:r>
                              <w:t xml:space="preserve"> </w:t>
                            </w:r>
                            <w:r w:rsidRPr="007C1090">
                              <w:t xml:space="preserve">Out-of-band RSR for 9 select </w:t>
                            </w:r>
                            <w:r>
                              <w:t xml:space="preserve">bands from the UV-VIS and </w:t>
                            </w:r>
                            <w:r w:rsidRPr="007C1090">
                              <w:t>VIS-NIR</w:t>
                            </w:r>
                            <w:r>
                              <w:t xml:space="preserve"> FPAs in log scale. The blue line is positive RSR </w:t>
                            </w:r>
                            <w:proofErr w:type="gramStart"/>
                            <w:r>
                              <w:t>values</w:t>
                            </w:r>
                            <w:proofErr w:type="gramEnd"/>
                            <w:r>
                              <w:t xml:space="preserve"> and the red dotted line is negative RSR values plotted as the absolute value. The nominal band center and FPA name is in the title for each plot.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8B57D" id="Text Box 13" o:spid="_x0000_s1027" type="#_x0000_t202" style="position:absolute;left:0;text-align:left;margin-left:259.25pt;margin-top:299.8pt;width:243.85pt;height:257.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" filled="f" strokecolor="white [3212]" strokeweight=".5pt">
                <v:fill o:detectmouseclick="t"/>
                <v:textbox>
                  <w:txbxContent>
                    <w:p w14:paraId="39584FF5" w14:textId="77777777" w:rsidR="000920D7" w:rsidRDefault="000920D7" w:rsidP="001F2E56">
                      <w:pPr>
                        <w:keepNext/>
                      </w:pPr>
                      <w:r>
                        <w:rPr>
                          <w:noProof/>
                        </w:rPr>
                        <w:drawing>
                          <wp:inline distT="0" distB="0" distL="0" distR="0" wp14:anchorId="1D71C60A" wp14:editId="7C098A1B">
                            <wp:extent cx="2899628" cy="2143125"/>
                            <wp:effectExtent l="0" t="0" r="8890" b="0"/>
                            <wp:docPr id="1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9628" cy="2143125"/>
                                    </a:xfrm>
                                    <a:prstGeom prst="rect">
                                      <a:avLst/>
                                    </a:prstGeom>
                                    <a:noFill/>
                                    <a:ln>
                                      <a:noFill/>
                                    </a:ln>
                                  </pic:spPr>
                                </pic:pic>
                              </a:graphicData>
                            </a:graphic>
                          </wp:inline>
                        </w:drawing>
                      </w:r>
                    </w:p>
                    <w:p w14:paraId="0C0031A4" w14:textId="77777777" w:rsidR="000920D7" w:rsidRPr="00311345" w:rsidRDefault="000920D7" w:rsidP="000920D7">
                      <w:pPr>
                        <w:pStyle w:val="Caption"/>
                        <w:jc w:val="both"/>
                      </w:pPr>
                      <w:r>
                        <w:t xml:space="preserve">Figure </w:t>
                      </w:r>
                      <w:r>
                        <w:fldChar w:fldCharType="begin"/>
                      </w:r>
                      <w:r>
                        <w:instrText xml:space="preserve"> SEQ Figure \* ARABIC </w:instrText>
                      </w:r>
                      <w:r>
                        <w:fldChar w:fldCharType="separate"/>
                      </w:r>
                      <w:r>
                        <w:rPr>
                          <w:noProof/>
                        </w:rPr>
                        <w:t>4</w:t>
                      </w:r>
                      <w:r>
                        <w:rPr>
                          <w:noProof/>
                        </w:rPr>
                        <w:fldChar w:fldCharType="end"/>
                      </w:r>
                      <w:r>
                        <w:rPr>
                          <w:noProof/>
                        </w:rPr>
                        <w:t>.</w:t>
                      </w:r>
                      <w:r>
                        <w:t xml:space="preserve"> </w:t>
                      </w:r>
                      <w:r w:rsidRPr="007C1090">
                        <w:t xml:space="preserve">Out-of-band RSR for 9 select </w:t>
                      </w:r>
                      <w:r>
                        <w:t xml:space="preserve">bands from the UV-VIS and </w:t>
                      </w:r>
                      <w:r w:rsidRPr="007C1090">
                        <w:t>VIS-NIR</w:t>
                      </w:r>
                      <w:r>
                        <w:t xml:space="preserve"> FPAs in log scale. The blue line is positive RSR </w:t>
                      </w:r>
                      <w:proofErr w:type="gramStart"/>
                      <w:r>
                        <w:t>values</w:t>
                      </w:r>
                      <w:proofErr w:type="gramEnd"/>
                      <w:r>
                        <w:t xml:space="preserve"> and the red dotted line is negative RSR values plotted as the absolute value. The nominal band center and FPA name is in the title for each plot.</w:t>
                      </w:r>
                    </w:p>
                  </w:txbxContent>
                </v:textbox>
                <w10:wrap type="topAndBottom" anchorx="margin" anchory="page"/>
              </v:shape>
            </w:pict>
          </mc:Fallback>
        </mc:AlternateContent>
      </w:r>
      <w:r w:rsidR="00B01DDE">
        <w:rPr>
          <w:noProof/>
        </w:rPr>
        <mc:AlternateContent>
          <mc:Choice Requires="wps">
            <w:drawing>
              <wp:anchor distT="0" distB="0" distL="114300" distR="114300" simplePos="0" relativeHeight="251663360" behindDoc="0" locked="0" layoutInCell="1" allowOverlap="1" wp14:anchorId="35519EDF" wp14:editId="71AA0681">
                <wp:simplePos x="0" y="0"/>
                <wp:positionH relativeFrom="column">
                  <wp:posOffset>3295650</wp:posOffset>
                </wp:positionH>
                <wp:positionV relativeFrom="margin">
                  <wp:align>top</wp:align>
                </wp:positionV>
                <wp:extent cx="3096895" cy="2913380"/>
                <wp:effectExtent l="0" t="0" r="27305" b="20320"/>
                <wp:wrapTopAndBottom/>
                <wp:docPr id="12" name="Text Box 12"/>
                <wp:cNvGraphicFramePr/>
                <a:graphic xmlns:a="http://schemas.openxmlformats.org/drawingml/2006/main">
                  <a:graphicData uri="http://schemas.microsoft.com/office/word/2010/wordprocessingShape">
                    <wps:wsp>
                      <wps:cNvSpPr txBox="1"/>
                      <wps:spPr>
                        <a:xfrm>
                          <a:off x="0" y="0"/>
                          <a:ext cx="3096895" cy="2913797"/>
                        </a:xfrm>
                        <a:prstGeom prst="rect">
                          <a:avLst/>
                        </a:prstGeom>
                        <a:noFill/>
                        <a:ln w="6350">
                          <a:solidFill>
                            <a:schemeClr val="bg1"/>
                          </a:solidFill>
                        </a:ln>
                      </wps:spPr>
                      <wps:txbx>
                        <w:txbxContent>
                          <w:p w14:paraId="77BC34AD" w14:textId="77777777" w:rsidR="000920D7" w:rsidRDefault="000920D7" w:rsidP="000920D7">
                            <w:pPr>
                              <w:keepNext/>
                              <w:jc w:val="center"/>
                            </w:pPr>
                            <w:r>
                              <w:rPr>
                                <w:noProof/>
                                <w:sz w:val="20"/>
                              </w:rPr>
                              <w:drawing>
                                <wp:inline distT="0" distB="0" distL="0" distR="0" wp14:anchorId="2A654051" wp14:editId="2FFC7376">
                                  <wp:extent cx="2870563" cy="2057400"/>
                                  <wp:effectExtent l="0" t="0" r="6350" b="0"/>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1904" cy="2058361"/>
                                          </a:xfrm>
                                          <a:prstGeom prst="rect">
                                            <a:avLst/>
                                          </a:prstGeom>
                                          <a:noFill/>
                                          <a:ln>
                                            <a:noFill/>
                                          </a:ln>
                                        </pic:spPr>
                                      </pic:pic>
                                    </a:graphicData>
                                  </a:graphic>
                                </wp:inline>
                              </w:drawing>
                            </w:r>
                          </w:p>
                          <w:p w14:paraId="0A3DB614" w14:textId="77777777" w:rsidR="000920D7" w:rsidRPr="008C13FA" w:rsidRDefault="000920D7" w:rsidP="000920D7">
                            <w:pPr>
                              <w:pStyle w:val="Caption"/>
                              <w:jc w:val="both"/>
                            </w:pPr>
                            <w:r>
                              <w:t xml:space="preserve">Figure </w:t>
                            </w:r>
                            <w:fldSimple w:instr=" SEQ Figure \* ARABIC ">
                              <w:r>
                                <w:rPr>
                                  <w:noProof/>
                                </w:rPr>
                                <w:t>3</w:t>
                              </w:r>
                            </w:fldSimple>
                            <w:r>
                              <w:rPr>
                                <w:noProof/>
                              </w:rPr>
                              <w:t>.</w:t>
                            </w:r>
                            <w:r w:rsidRPr="008906D8">
                              <w:t xml:space="preserve"> </w:t>
                            </w:r>
                            <w:r>
                              <w:t xml:space="preserve">Measured </w:t>
                            </w:r>
                            <w:r w:rsidRPr="007C1090">
                              <w:t>in</w:t>
                            </w:r>
                            <w:r>
                              <w:t>-</w:t>
                            </w:r>
                            <w:r w:rsidRPr="007C1090">
                              <w:t xml:space="preserve">band RSR for 9 select bands in the </w:t>
                            </w:r>
                            <w:r>
                              <w:t xml:space="preserve">UV-VIS and </w:t>
                            </w:r>
                            <w:r w:rsidRPr="007C1090">
                              <w:t>VIS-NIR FPA</w:t>
                            </w:r>
                            <w:r>
                              <w:t>s. Circles are individual measurements. The nominal band center and FPA name is displayed on each plot.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519EDF" id="Text Box 12" o:spid="_x0000_s1028" type="#_x0000_t202" style="position:absolute;left:0;text-align:left;margin-left:259.5pt;margin-top:0;width:243.85pt;height:229.4pt;z-index:251663360;visibility:visible;mso-wrap-style:none;mso-height-percent:0;mso-wrap-distance-left:9pt;mso-wrap-distance-top:0;mso-wrap-distance-right:9pt;mso-wrap-distance-bottom:0;mso-position-horizontal:absolute;mso-position-horizontal-relative:text;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" filled="f" strokecolor="white [3212]" strokeweight=".5pt">
                <v:fill o:detectmouseclick="t"/>
                <v:textbox>
                  <w:txbxContent>
                    <w:p w14:paraId="77BC34AD" w14:textId="77777777" w:rsidR="000920D7" w:rsidRDefault="000920D7" w:rsidP="000920D7">
                      <w:pPr>
                        <w:keepNext/>
                        <w:jc w:val="center"/>
                      </w:pPr>
                      <w:r>
                        <w:rPr>
                          <w:noProof/>
                          <w:sz w:val="20"/>
                        </w:rPr>
                        <w:drawing>
                          <wp:inline distT="0" distB="0" distL="0" distR="0" wp14:anchorId="2A654051" wp14:editId="2FFC7376">
                            <wp:extent cx="2870563" cy="2057400"/>
                            <wp:effectExtent l="0" t="0" r="6350" b="0"/>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1904" cy="2058361"/>
                                    </a:xfrm>
                                    <a:prstGeom prst="rect">
                                      <a:avLst/>
                                    </a:prstGeom>
                                    <a:noFill/>
                                    <a:ln>
                                      <a:noFill/>
                                    </a:ln>
                                  </pic:spPr>
                                </pic:pic>
                              </a:graphicData>
                            </a:graphic>
                          </wp:inline>
                        </w:drawing>
                      </w:r>
                    </w:p>
                    <w:p w14:paraId="0A3DB614" w14:textId="77777777" w:rsidR="000920D7" w:rsidRPr="008C13FA" w:rsidRDefault="000920D7" w:rsidP="000920D7">
                      <w:pPr>
                        <w:pStyle w:val="Caption"/>
                        <w:jc w:val="both"/>
                      </w:pPr>
                      <w:r>
                        <w:t xml:space="preserve">Figure </w:t>
                      </w:r>
                      <w:r>
                        <w:fldChar w:fldCharType="begin"/>
                      </w:r>
                      <w:r>
                        <w:instrText xml:space="preserve"> SEQ Figure \* ARABIC </w:instrText>
                      </w:r>
                      <w:r>
                        <w:fldChar w:fldCharType="separate"/>
                      </w:r>
                      <w:r>
                        <w:rPr>
                          <w:noProof/>
                        </w:rPr>
                        <w:t>3</w:t>
                      </w:r>
                      <w:r>
                        <w:rPr>
                          <w:noProof/>
                        </w:rPr>
                        <w:fldChar w:fldCharType="end"/>
                      </w:r>
                      <w:r>
                        <w:rPr>
                          <w:noProof/>
                        </w:rPr>
                        <w:t>.</w:t>
                      </w:r>
                      <w:r w:rsidRPr="008906D8">
                        <w:t xml:space="preserve"> </w:t>
                      </w:r>
                      <w:r>
                        <w:t xml:space="preserve">Measured </w:t>
                      </w:r>
                      <w:r w:rsidRPr="007C1090">
                        <w:t>in</w:t>
                      </w:r>
                      <w:r>
                        <w:t>-</w:t>
                      </w:r>
                      <w:r w:rsidRPr="007C1090">
                        <w:t xml:space="preserve">band RSR for 9 select bands in the </w:t>
                      </w:r>
                      <w:r>
                        <w:t xml:space="preserve">UV-VIS and </w:t>
                      </w:r>
                      <w:r w:rsidRPr="007C1090">
                        <w:t>VIS-NIR FPA</w:t>
                      </w:r>
                      <w:r>
                        <w:t>s. Circles are individual measurements. The nominal band center and FPA name is displayed on each plot.</w:t>
                      </w:r>
                    </w:p>
                  </w:txbxContent>
                </v:textbox>
                <w10:wrap type="topAndBottom" anchory="margin"/>
              </v:shape>
            </w:pict>
          </mc:Fallback>
        </mc:AlternateContent>
      </w:r>
      <w:r w:rsidR="000920D7">
        <w:rPr>
          <w:noProof/>
        </w:rPr>
        <mc:AlternateContent>
          <mc:Choice Requires="wps">
            <w:drawing>
              <wp:anchor distT="0" distB="0" distL="114300" distR="114300" simplePos="0" relativeHeight="251661312" behindDoc="0" locked="0" layoutInCell="1" allowOverlap="1" wp14:anchorId="30E11632" wp14:editId="3C51387F">
                <wp:simplePos x="0" y="0"/>
                <wp:positionH relativeFrom="margin">
                  <wp:align>left</wp:align>
                </wp:positionH>
                <wp:positionV relativeFrom="margin">
                  <wp:align>top</wp:align>
                </wp:positionV>
                <wp:extent cx="3096895" cy="3690620"/>
                <wp:effectExtent l="0" t="0" r="27305" b="10160"/>
                <wp:wrapTopAndBottom/>
                <wp:docPr id="10" name="Text Box 10"/>
                <wp:cNvGraphicFramePr/>
                <a:graphic xmlns:a="http://schemas.openxmlformats.org/drawingml/2006/main">
                  <a:graphicData uri="http://schemas.microsoft.com/office/word/2010/wordprocessingShape">
                    <wps:wsp>
                      <wps:cNvSpPr txBox="1"/>
                      <wps:spPr>
                        <a:xfrm>
                          <a:off x="0" y="0"/>
                          <a:ext cx="3096895" cy="3690620"/>
                        </a:xfrm>
                        <a:prstGeom prst="rect">
                          <a:avLst/>
                        </a:prstGeom>
                        <a:noFill/>
                        <a:ln w="6350">
                          <a:solidFill>
                            <a:schemeClr val="bg1"/>
                          </a:solidFill>
                        </a:ln>
                      </wps:spPr>
                      <wps:txbx>
                        <w:txbxContent>
                          <w:p w14:paraId="41DC07C2" w14:textId="77777777" w:rsidR="000920D7" w:rsidRDefault="000920D7" w:rsidP="003D39EB">
                            <w:pPr>
                              <w:keepNext/>
                              <w:jc w:val="center"/>
                            </w:pPr>
                            <w:r>
                              <w:rPr>
                                <w:noProof/>
                              </w:rPr>
                              <w:drawing>
                                <wp:inline distT="0" distB="0" distL="0" distR="0" wp14:anchorId="22337397" wp14:editId="09B87BD1">
                                  <wp:extent cx="2876550" cy="2126068"/>
                                  <wp:effectExtent l="0" t="0" r="0" b="7620"/>
                                  <wp:docPr id="1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9799" cy="2128469"/>
                                          </a:xfrm>
                                          <a:prstGeom prst="rect">
                                            <a:avLst/>
                                          </a:prstGeom>
                                          <a:noFill/>
                                          <a:ln>
                                            <a:noFill/>
                                          </a:ln>
                                        </pic:spPr>
                                      </pic:pic>
                                    </a:graphicData>
                                  </a:graphic>
                                </wp:inline>
                              </w:drawing>
                            </w:r>
                          </w:p>
                          <w:p w14:paraId="312264BC" w14:textId="77777777" w:rsidR="000920D7" w:rsidRPr="00B45FF7" w:rsidRDefault="000920D7" w:rsidP="00B45FF7">
                            <w:pPr>
                              <w:pStyle w:val="Caption"/>
                              <w:jc w:val="both"/>
                            </w:pPr>
                            <w:r>
                              <w:t xml:space="preserve">Figure </w:t>
                            </w:r>
                            <w:fldSimple w:instr=" SEQ Figure \* ARABIC ">
                              <w:r>
                                <w:rPr>
                                  <w:noProof/>
                                </w:rPr>
                                <w:t>2</w:t>
                              </w:r>
                            </w:fldSimple>
                            <w:r>
                              <w:t>. Results for all</w:t>
                            </w:r>
                            <w:r w:rsidRPr="007C1090">
                              <w:t xml:space="preserve"> </w:t>
                            </w:r>
                            <w:r>
                              <w:t xml:space="preserve">UV-VIS (blue) and </w:t>
                            </w:r>
                            <w:r w:rsidRPr="007C1090">
                              <w:t>VIS-NIR</w:t>
                            </w:r>
                            <w:r>
                              <w:t xml:space="preserve"> (red)</w:t>
                            </w:r>
                            <w:r w:rsidRPr="007C1090">
                              <w:t xml:space="preserve"> FPA</w:t>
                            </w:r>
                            <w:r>
                              <w:t xml:space="preserve"> bands. Top left plot shows the spectral dispersion as the difference from the measured center wavelengths to the nominal center wavelengths of each band. Top right shows the bandwidth for each band. Bottom left shows the measured absolute system gain. Bottom right shows the integrated out-of-band response ratio.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0E11632" id="Text Box 10" o:spid="_x0000_s1029" type="#_x0000_t202" style="position:absolute;left:0;text-align:left;margin-left:0;margin-top:0;width:243.85pt;height:290.6pt;z-index:251661312;visibility:visible;mso-wrap-style:none;mso-wrap-distance-left:9pt;mso-wrap-distance-top:0;mso-wrap-distance-right:9pt;mso-wrap-distance-bottom:0;mso-position-horizontal:lef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" filled="f" strokecolor="white [3212]" strokeweight=".5pt">
                <v:fill o:detectmouseclick="t"/>
                <v:textbox style="mso-fit-shape-to-text:t">
                  <w:txbxContent>
                    <w:p w14:paraId="41DC07C2" w14:textId="77777777" w:rsidR="000920D7" w:rsidRDefault="000920D7" w:rsidP="003D39EB">
                      <w:pPr>
                        <w:keepNext/>
                        <w:jc w:val="center"/>
                      </w:pPr>
                      <w:r>
                        <w:rPr>
                          <w:noProof/>
                        </w:rPr>
                        <w:drawing>
                          <wp:inline distT="0" distB="0" distL="0" distR="0" wp14:anchorId="22337397" wp14:editId="09B87BD1">
                            <wp:extent cx="2876550" cy="2126068"/>
                            <wp:effectExtent l="0" t="0" r="0" b="7620"/>
                            <wp:docPr id="1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79799" cy="2128469"/>
                                    </a:xfrm>
                                    <a:prstGeom prst="rect">
                                      <a:avLst/>
                                    </a:prstGeom>
                                    <a:noFill/>
                                    <a:ln>
                                      <a:noFill/>
                                    </a:ln>
                                  </pic:spPr>
                                </pic:pic>
                              </a:graphicData>
                            </a:graphic>
                          </wp:inline>
                        </w:drawing>
                      </w:r>
                    </w:p>
                    <w:p w14:paraId="312264BC" w14:textId="77777777" w:rsidR="000920D7" w:rsidRPr="00B45FF7" w:rsidRDefault="000920D7" w:rsidP="00B45FF7">
                      <w:pPr>
                        <w:pStyle w:val="Caption"/>
                        <w:jc w:val="both"/>
                      </w:pPr>
                      <w:r>
                        <w:t xml:space="preserve">Figure </w:t>
                      </w:r>
                      <w:r>
                        <w:fldChar w:fldCharType="begin"/>
                      </w:r>
                      <w:r>
                        <w:instrText xml:space="preserve"> SEQ Figure \* ARABIC </w:instrText>
                      </w:r>
                      <w:r>
                        <w:fldChar w:fldCharType="separate"/>
                      </w:r>
                      <w:r>
                        <w:rPr>
                          <w:noProof/>
                        </w:rPr>
                        <w:t>2</w:t>
                      </w:r>
                      <w:r>
                        <w:rPr>
                          <w:noProof/>
                        </w:rPr>
                        <w:fldChar w:fldCharType="end"/>
                      </w:r>
                      <w:r>
                        <w:t>. Results for all</w:t>
                      </w:r>
                      <w:r w:rsidRPr="007C1090">
                        <w:t xml:space="preserve"> </w:t>
                      </w:r>
                      <w:r>
                        <w:t xml:space="preserve">UV-VIS (blue) and </w:t>
                      </w:r>
                      <w:r w:rsidRPr="007C1090">
                        <w:t>VIS-NIR</w:t>
                      </w:r>
                      <w:r>
                        <w:t xml:space="preserve"> (red)</w:t>
                      </w:r>
                      <w:r w:rsidRPr="007C1090">
                        <w:t xml:space="preserve"> FPA</w:t>
                      </w:r>
                      <w:r>
                        <w:t xml:space="preserve"> bands. Top left plot shows the spectral dispersion as the difference from the measured center wavelengths to the nominal center wavelengths of each band. Top right shows the bandwidth for each band. Bottom left shows the measured absolute system gain. Bottom right shows the integrated out-of-band response ratio.</w:t>
                      </w:r>
                    </w:p>
                  </w:txbxContent>
                </v:textbox>
                <w10:wrap type="topAndBottom" anchorx="margin" anchory="margin"/>
              </v:shape>
            </w:pict>
          </mc:Fallback>
        </mc:AlternateContent>
      </w:r>
      <w:r w:rsidR="00185C13">
        <w:rPr>
          <w:sz w:val="20"/>
        </w:rPr>
        <w:t>10</w:t>
      </w:r>
      <w:r w:rsidR="00185C13" w:rsidRPr="00185C13">
        <w:rPr>
          <w:sz w:val="20"/>
          <w:vertAlign w:val="superscript"/>
        </w:rPr>
        <w:t>-3</w:t>
      </w:r>
      <w:r w:rsidR="00185C13">
        <w:rPr>
          <w:sz w:val="20"/>
        </w:rPr>
        <w:t>. These peaks were expected from the optical and electronic models.</w:t>
      </w:r>
    </w:p>
    <w:p w14:paraId="26AAE916" w14:textId="7D8825DE" w:rsidR="00280591" w:rsidRPr="00F05E03" w:rsidRDefault="000B703C" w:rsidP="008D7150">
      <w:pPr>
        <w:ind w:firstLine="360"/>
        <w:jc w:val="both"/>
        <w:rPr>
          <w:sz w:val="20"/>
        </w:rPr>
      </w:pPr>
      <w:r>
        <w:rPr>
          <w:noProof/>
        </w:rPr>
        <mc:AlternateContent>
          <mc:Choice Requires="wps">
            <w:drawing>
              <wp:anchor distT="0" distB="0" distL="114300" distR="114300" simplePos="0" relativeHeight="251667456" behindDoc="0" locked="0" layoutInCell="1" allowOverlap="1" wp14:anchorId="3F8310C0" wp14:editId="32C2132C">
                <wp:simplePos x="0" y="0"/>
                <wp:positionH relativeFrom="margin">
                  <wp:align>left</wp:align>
                </wp:positionH>
                <wp:positionV relativeFrom="margin">
                  <wp:posOffset>5545759</wp:posOffset>
                </wp:positionV>
                <wp:extent cx="3077210" cy="2552065"/>
                <wp:effectExtent l="0" t="0" r="27940" b="19685"/>
                <wp:wrapTopAndBottom/>
                <wp:docPr id="15" name="Text Box 15"/>
                <wp:cNvGraphicFramePr/>
                <a:graphic xmlns:a="http://schemas.openxmlformats.org/drawingml/2006/main">
                  <a:graphicData uri="http://schemas.microsoft.com/office/word/2010/wordprocessingShape">
                    <wps:wsp>
                      <wps:cNvSpPr txBox="1"/>
                      <wps:spPr>
                        <a:xfrm>
                          <a:off x="0" y="0"/>
                          <a:ext cx="3077210" cy="2552132"/>
                        </a:xfrm>
                        <a:prstGeom prst="rect">
                          <a:avLst/>
                        </a:prstGeom>
                        <a:noFill/>
                        <a:ln w="6350">
                          <a:solidFill>
                            <a:schemeClr val="bg1"/>
                          </a:solidFill>
                        </a:ln>
                      </wps:spPr>
                      <wps:txbx>
                        <w:txbxContent>
                          <w:p w14:paraId="300F2813" w14:textId="4687BE5A" w:rsidR="00F05E03" w:rsidRDefault="000920D7" w:rsidP="00C629E6">
                            <w:pPr>
                              <w:jc w:val="both"/>
                              <w:rPr>
                                <w:b/>
                                <w:bCs/>
                                <w:sz w:val="20"/>
                              </w:rPr>
                            </w:pPr>
                            <w:r w:rsidRPr="00C76250">
                              <w:rPr>
                                <w:b/>
                                <w:bCs/>
                                <w:sz w:val="20"/>
                              </w:rPr>
                              <w:t>Table 1. SWIR measured center</w:t>
                            </w:r>
                            <w:r w:rsidR="005737B4">
                              <w:rPr>
                                <w:b/>
                                <w:bCs/>
                                <w:sz w:val="20"/>
                              </w:rPr>
                              <w:t xml:space="preserve"> wavelength</w:t>
                            </w:r>
                            <w:r>
                              <w:rPr>
                                <w:b/>
                                <w:bCs/>
                                <w:sz w:val="20"/>
                              </w:rPr>
                              <w:t xml:space="preserve">, </w:t>
                            </w:r>
                            <w:r w:rsidRPr="00C76250">
                              <w:rPr>
                                <w:b/>
                                <w:bCs/>
                                <w:sz w:val="20"/>
                              </w:rPr>
                              <w:t>bandwidth</w:t>
                            </w:r>
                            <w:r>
                              <w:rPr>
                                <w:b/>
                                <w:bCs/>
                                <w:sz w:val="20"/>
                              </w:rPr>
                              <w:t>, and integrated OOB response ratio</w:t>
                            </w:r>
                            <w:r w:rsidRPr="00C76250">
                              <w:rPr>
                                <w:b/>
                                <w:bCs/>
                                <w:sz w:val="20"/>
                              </w:rPr>
                              <w:t xml:space="preserve"> (SG: standard gain; HG: high gain).</w:t>
                            </w:r>
                          </w:p>
                          <w:p w14:paraId="35E58739" w14:textId="77777777" w:rsidR="000B703C" w:rsidRPr="00C76250" w:rsidRDefault="000B703C" w:rsidP="00C629E6">
                            <w:pPr>
                              <w:jc w:val="both"/>
                              <w:rPr>
                                <w:b/>
                                <w:bCs/>
                                <w:sz w:val="20"/>
                              </w:rPr>
                            </w:pPr>
                          </w:p>
                          <w:tbl>
                            <w:tblPr>
                              <w:tblW w:w="4590" w:type="dxa"/>
                              <w:tblInd w:w="-5" w:type="dxa"/>
                              <w:tblLayout w:type="fixed"/>
                              <w:tblLook w:val="04A0" w:firstRow="1" w:lastRow="0" w:firstColumn="1" w:lastColumn="0" w:noHBand="0" w:noVBand="1"/>
                            </w:tblPr>
                            <w:tblGrid>
                              <w:gridCol w:w="983"/>
                              <w:gridCol w:w="806"/>
                              <w:gridCol w:w="900"/>
                              <w:gridCol w:w="720"/>
                              <w:gridCol w:w="1181"/>
                            </w:tblGrid>
                            <w:tr w:rsidR="000B703C" w:rsidRPr="00112D39" w14:paraId="5D70AC09" w14:textId="3761E9FF" w:rsidTr="000B703C">
                              <w:trPr>
                                <w:trHeight w:val="529"/>
                              </w:trPr>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B8ED5" w14:textId="77777777" w:rsidR="000B703C" w:rsidRPr="00112D39" w:rsidRDefault="000B703C" w:rsidP="000B703C">
                                  <w:pPr>
                                    <w:jc w:val="center"/>
                                    <w:rPr>
                                      <w:color w:val="000000"/>
                                      <w:sz w:val="20"/>
                                    </w:rPr>
                                  </w:pPr>
                                  <w:r w:rsidRPr="00112D39">
                                    <w:rPr>
                                      <w:color w:val="000000"/>
                                      <w:sz w:val="20"/>
                                    </w:rPr>
                                    <w:t>Band Name</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56F3724B" w14:textId="1869570B" w:rsidR="000B703C" w:rsidRPr="00112D39" w:rsidRDefault="000B703C" w:rsidP="000B703C">
                                  <w:pPr>
                                    <w:jc w:val="center"/>
                                    <w:rPr>
                                      <w:color w:val="000000"/>
                                      <w:sz w:val="20"/>
                                    </w:rPr>
                                  </w:pPr>
                                  <w:r w:rsidRPr="00112D39">
                                    <w:rPr>
                                      <w:color w:val="000000"/>
                                      <w:sz w:val="20"/>
                                    </w:rPr>
                                    <w:t>Center [nm]</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4749D42" w14:textId="0D667F4A" w:rsidR="000B703C" w:rsidRPr="00112D39" w:rsidRDefault="000B703C" w:rsidP="000B703C">
                                  <w:pPr>
                                    <w:jc w:val="center"/>
                                    <w:rPr>
                                      <w:color w:val="000000"/>
                                      <w:sz w:val="20"/>
                                    </w:rPr>
                                  </w:pPr>
                                  <w:r>
                                    <w:rPr>
                                      <w:color w:val="000000"/>
                                      <w:sz w:val="20"/>
                                    </w:rPr>
                                    <w:t>FWHM</w:t>
                                  </w:r>
                                  <w:r w:rsidRPr="00112D39">
                                    <w:rPr>
                                      <w:color w:val="000000"/>
                                      <w:sz w:val="20"/>
                                    </w:rPr>
                                    <w:t xml:space="preserve"> [nm]</w:t>
                                  </w:r>
                                </w:p>
                              </w:tc>
                              <w:tc>
                                <w:tcPr>
                                  <w:tcW w:w="720" w:type="dxa"/>
                                  <w:tcBorders>
                                    <w:top w:val="single" w:sz="4" w:space="0" w:color="auto"/>
                                    <w:left w:val="nil"/>
                                    <w:bottom w:val="single" w:sz="4" w:space="0" w:color="auto"/>
                                    <w:right w:val="single" w:sz="4" w:space="0" w:color="auto"/>
                                  </w:tcBorders>
                                  <w:vAlign w:val="center"/>
                                </w:tcPr>
                                <w:p w14:paraId="18C1CA0A" w14:textId="6C52D6E8" w:rsidR="000B703C" w:rsidRPr="00112D39" w:rsidRDefault="000B703C" w:rsidP="000B703C">
                                  <w:pPr>
                                    <w:jc w:val="center"/>
                                    <w:rPr>
                                      <w:color w:val="000000"/>
                                      <w:sz w:val="20"/>
                                    </w:rPr>
                                  </w:pPr>
                                  <w:r w:rsidRPr="00112D39">
                                    <w:rPr>
                                      <w:color w:val="000000"/>
                                      <w:sz w:val="20"/>
                                    </w:rPr>
                                    <w:t>IOOB [%]</w:t>
                                  </w:r>
                                </w:p>
                              </w:tc>
                              <w:tc>
                                <w:tcPr>
                                  <w:tcW w:w="1181" w:type="dxa"/>
                                  <w:tcBorders>
                                    <w:top w:val="single" w:sz="4" w:space="0" w:color="auto"/>
                                    <w:left w:val="nil"/>
                                    <w:bottom w:val="single" w:sz="4" w:space="0" w:color="auto"/>
                                    <w:right w:val="single" w:sz="4" w:space="0" w:color="auto"/>
                                  </w:tcBorders>
                                  <w:vAlign w:val="center"/>
                                </w:tcPr>
                                <w:p w14:paraId="60D55E55" w14:textId="3BC14490" w:rsidR="000B703C" w:rsidRPr="000B703C" w:rsidRDefault="000B703C" w:rsidP="000B703C">
                                  <w:pPr>
                                    <w:jc w:val="center"/>
                                    <w:rPr>
                                      <w:color w:val="000000"/>
                                      <w:sz w:val="20"/>
                                    </w:rPr>
                                  </w:pPr>
                                  <w:r w:rsidRPr="000B703C">
                                    <w:rPr>
                                      <w:color w:val="000000"/>
                                      <w:sz w:val="20"/>
                                    </w:rPr>
                                    <w:t>Gain [</w:t>
                                  </w:r>
                                  <w:proofErr w:type="spellStart"/>
                                  <w:r w:rsidRPr="000B703C">
                                    <w:rPr>
                                      <w:color w:val="000000"/>
                                      <w:sz w:val="20"/>
                                    </w:rPr>
                                    <w:t>dn</w:t>
                                  </w:r>
                                  <w:proofErr w:type="spellEnd"/>
                                  <w:proofErr w:type="gramStart"/>
                                  <w:r w:rsidRPr="000B703C">
                                    <w:rPr>
                                      <w:color w:val="000000"/>
                                      <w:sz w:val="20"/>
                                    </w:rPr>
                                    <w:t>/(</w:t>
                                  </w:r>
                                  <w:proofErr w:type="gramEnd"/>
                                  <w:r w:rsidRPr="000B703C">
                                    <w:rPr>
                                      <w:color w:val="000000"/>
                                      <w:sz w:val="20"/>
                                    </w:rPr>
                                    <w:t>W/m2/</w:t>
                                  </w:r>
                                </w:p>
                                <w:p w14:paraId="68F54088" w14:textId="7490C2C9" w:rsidR="000B703C" w:rsidRPr="00112D39" w:rsidRDefault="000B703C" w:rsidP="000B703C">
                                  <w:pPr>
                                    <w:jc w:val="center"/>
                                    <w:rPr>
                                      <w:color w:val="000000"/>
                                      <w:sz w:val="20"/>
                                    </w:rPr>
                                  </w:pPr>
                                  <w:proofErr w:type="spellStart"/>
                                  <w:r w:rsidRPr="000B703C">
                                    <w:rPr>
                                      <w:color w:val="000000"/>
                                      <w:sz w:val="20"/>
                                    </w:rPr>
                                    <w:t>sr</w:t>
                                  </w:r>
                                  <w:proofErr w:type="spellEnd"/>
                                  <w:r w:rsidRPr="000B703C">
                                    <w:rPr>
                                      <w:color w:val="000000"/>
                                      <w:sz w:val="20"/>
                                    </w:rPr>
                                    <w:t>/um)]</w:t>
                                  </w:r>
                                </w:p>
                              </w:tc>
                            </w:tr>
                            <w:tr w:rsidR="000B703C" w:rsidRPr="00112D39" w14:paraId="0B60490B" w14:textId="2E46EB9B"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4684BD45" w14:textId="77777777" w:rsidR="000B703C" w:rsidRPr="00112D39" w:rsidRDefault="000B703C" w:rsidP="000B703C">
                                  <w:pPr>
                                    <w:jc w:val="center"/>
                                    <w:rPr>
                                      <w:color w:val="000000"/>
                                      <w:sz w:val="20"/>
                                    </w:rPr>
                                  </w:pPr>
                                  <w:r w:rsidRPr="00112D39">
                                    <w:rPr>
                                      <w:color w:val="000000"/>
                                      <w:sz w:val="20"/>
                                    </w:rPr>
                                    <w:t>940 SG</w:t>
                                  </w:r>
                                </w:p>
                              </w:tc>
                              <w:tc>
                                <w:tcPr>
                                  <w:tcW w:w="806" w:type="dxa"/>
                                  <w:tcBorders>
                                    <w:top w:val="nil"/>
                                    <w:left w:val="nil"/>
                                    <w:bottom w:val="nil"/>
                                    <w:right w:val="single" w:sz="4" w:space="0" w:color="auto"/>
                                  </w:tcBorders>
                                  <w:shd w:val="clear" w:color="auto" w:fill="auto"/>
                                  <w:noWrap/>
                                  <w:vAlign w:val="bottom"/>
                                  <w:hideMark/>
                                </w:tcPr>
                                <w:p w14:paraId="6D5DDE66" w14:textId="77777777" w:rsidR="000B703C" w:rsidRPr="00112D39" w:rsidRDefault="000B703C" w:rsidP="000B703C">
                                  <w:pPr>
                                    <w:jc w:val="center"/>
                                    <w:rPr>
                                      <w:color w:val="000000"/>
                                      <w:sz w:val="20"/>
                                    </w:rPr>
                                  </w:pPr>
                                  <w:r w:rsidRPr="00112D39">
                                    <w:rPr>
                                      <w:color w:val="000000"/>
                                      <w:sz w:val="20"/>
                                    </w:rPr>
                                    <w:t>939.7</w:t>
                                  </w:r>
                                </w:p>
                              </w:tc>
                              <w:tc>
                                <w:tcPr>
                                  <w:tcW w:w="900" w:type="dxa"/>
                                  <w:tcBorders>
                                    <w:top w:val="nil"/>
                                    <w:left w:val="nil"/>
                                    <w:bottom w:val="nil"/>
                                    <w:right w:val="single" w:sz="4" w:space="0" w:color="auto"/>
                                  </w:tcBorders>
                                  <w:shd w:val="clear" w:color="auto" w:fill="auto"/>
                                  <w:noWrap/>
                                  <w:vAlign w:val="bottom"/>
                                  <w:hideMark/>
                                </w:tcPr>
                                <w:p w14:paraId="4529E332" w14:textId="77777777" w:rsidR="000B703C" w:rsidRPr="00112D39" w:rsidRDefault="000B703C" w:rsidP="000B703C">
                                  <w:pPr>
                                    <w:jc w:val="center"/>
                                    <w:rPr>
                                      <w:color w:val="000000"/>
                                      <w:sz w:val="20"/>
                                    </w:rPr>
                                  </w:pPr>
                                  <w:r w:rsidRPr="00112D39">
                                    <w:rPr>
                                      <w:color w:val="000000"/>
                                      <w:sz w:val="20"/>
                                    </w:rPr>
                                    <w:t>44.3</w:t>
                                  </w:r>
                                </w:p>
                              </w:tc>
                              <w:tc>
                                <w:tcPr>
                                  <w:tcW w:w="720" w:type="dxa"/>
                                  <w:tcBorders>
                                    <w:top w:val="nil"/>
                                    <w:left w:val="nil"/>
                                    <w:bottom w:val="nil"/>
                                    <w:right w:val="single" w:sz="4" w:space="0" w:color="auto"/>
                                  </w:tcBorders>
                                  <w:vAlign w:val="bottom"/>
                                </w:tcPr>
                                <w:p w14:paraId="72FDBD9E" w14:textId="77777777" w:rsidR="000B703C" w:rsidRPr="00112D39" w:rsidRDefault="000B703C" w:rsidP="000B703C">
                                  <w:pPr>
                                    <w:jc w:val="center"/>
                                    <w:rPr>
                                      <w:color w:val="000000"/>
                                      <w:sz w:val="20"/>
                                    </w:rPr>
                                  </w:pPr>
                                  <w:r w:rsidRPr="00112D39">
                                    <w:rPr>
                                      <w:color w:val="000000"/>
                                      <w:sz w:val="20"/>
                                    </w:rPr>
                                    <w:t>0.20</w:t>
                                  </w:r>
                                </w:p>
                              </w:tc>
                              <w:tc>
                                <w:tcPr>
                                  <w:tcW w:w="1181" w:type="dxa"/>
                                  <w:tcBorders>
                                    <w:top w:val="single" w:sz="4" w:space="0" w:color="auto"/>
                                    <w:left w:val="single" w:sz="4" w:space="0" w:color="auto"/>
                                    <w:bottom w:val="nil"/>
                                    <w:right w:val="single" w:sz="4" w:space="0" w:color="auto"/>
                                  </w:tcBorders>
                                  <w:vAlign w:val="bottom"/>
                                </w:tcPr>
                                <w:p w14:paraId="227CBABA" w14:textId="708D860A" w:rsidR="000B703C" w:rsidRPr="00112D39" w:rsidRDefault="000B703C" w:rsidP="000B703C">
                                  <w:pPr>
                                    <w:jc w:val="center"/>
                                    <w:rPr>
                                      <w:color w:val="000000"/>
                                      <w:sz w:val="20"/>
                                    </w:rPr>
                                  </w:pPr>
                                  <w:r w:rsidRPr="00112D39">
                                    <w:rPr>
                                      <w:color w:val="000000"/>
                                      <w:sz w:val="20"/>
                                    </w:rPr>
                                    <w:t>448</w:t>
                                  </w:r>
                                </w:p>
                              </w:tc>
                            </w:tr>
                            <w:tr w:rsidR="000B703C" w:rsidRPr="00112D39" w14:paraId="78C59A3E" w14:textId="53C15F1C"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07DEDB2E" w14:textId="77777777" w:rsidR="000B703C" w:rsidRPr="00112D39" w:rsidRDefault="000B703C" w:rsidP="000B703C">
                                  <w:pPr>
                                    <w:jc w:val="center"/>
                                    <w:rPr>
                                      <w:color w:val="000000"/>
                                      <w:sz w:val="20"/>
                                    </w:rPr>
                                  </w:pPr>
                                  <w:r w:rsidRPr="00112D39">
                                    <w:rPr>
                                      <w:color w:val="000000"/>
                                      <w:sz w:val="20"/>
                                    </w:rPr>
                                    <w:t>1038 HG</w:t>
                                  </w:r>
                                </w:p>
                              </w:tc>
                              <w:tc>
                                <w:tcPr>
                                  <w:tcW w:w="806" w:type="dxa"/>
                                  <w:tcBorders>
                                    <w:top w:val="nil"/>
                                    <w:left w:val="nil"/>
                                    <w:bottom w:val="nil"/>
                                    <w:right w:val="single" w:sz="4" w:space="0" w:color="auto"/>
                                  </w:tcBorders>
                                  <w:shd w:val="clear" w:color="auto" w:fill="auto"/>
                                  <w:noWrap/>
                                  <w:vAlign w:val="bottom"/>
                                  <w:hideMark/>
                                </w:tcPr>
                                <w:p w14:paraId="0B8B1F53" w14:textId="77777777" w:rsidR="000B703C" w:rsidRPr="00112D39" w:rsidRDefault="000B703C" w:rsidP="000B703C">
                                  <w:pPr>
                                    <w:jc w:val="center"/>
                                    <w:rPr>
                                      <w:color w:val="000000"/>
                                      <w:sz w:val="20"/>
                                    </w:rPr>
                                  </w:pPr>
                                  <w:r w:rsidRPr="00112D39">
                                    <w:rPr>
                                      <w:color w:val="000000"/>
                                      <w:sz w:val="20"/>
                                    </w:rPr>
                                    <w:t>1038.3</w:t>
                                  </w:r>
                                </w:p>
                              </w:tc>
                              <w:tc>
                                <w:tcPr>
                                  <w:tcW w:w="900" w:type="dxa"/>
                                  <w:tcBorders>
                                    <w:top w:val="nil"/>
                                    <w:left w:val="nil"/>
                                    <w:bottom w:val="nil"/>
                                    <w:right w:val="single" w:sz="4" w:space="0" w:color="auto"/>
                                  </w:tcBorders>
                                  <w:shd w:val="clear" w:color="auto" w:fill="auto"/>
                                  <w:noWrap/>
                                  <w:vAlign w:val="bottom"/>
                                  <w:hideMark/>
                                </w:tcPr>
                                <w:p w14:paraId="733D5BB0" w14:textId="77777777" w:rsidR="000B703C" w:rsidRPr="00112D39" w:rsidRDefault="000B703C" w:rsidP="000B703C">
                                  <w:pPr>
                                    <w:jc w:val="center"/>
                                    <w:rPr>
                                      <w:color w:val="000000"/>
                                      <w:sz w:val="20"/>
                                    </w:rPr>
                                  </w:pPr>
                                  <w:r w:rsidRPr="00112D39">
                                    <w:rPr>
                                      <w:color w:val="000000"/>
                                      <w:sz w:val="20"/>
                                    </w:rPr>
                                    <w:t>74.4</w:t>
                                  </w:r>
                                </w:p>
                              </w:tc>
                              <w:tc>
                                <w:tcPr>
                                  <w:tcW w:w="720" w:type="dxa"/>
                                  <w:tcBorders>
                                    <w:top w:val="nil"/>
                                    <w:left w:val="nil"/>
                                    <w:bottom w:val="nil"/>
                                    <w:right w:val="single" w:sz="4" w:space="0" w:color="auto"/>
                                  </w:tcBorders>
                                  <w:vAlign w:val="bottom"/>
                                </w:tcPr>
                                <w:p w14:paraId="13F3530B" w14:textId="77777777" w:rsidR="000B703C" w:rsidRPr="00112D39" w:rsidRDefault="000B703C" w:rsidP="000B703C">
                                  <w:pPr>
                                    <w:jc w:val="center"/>
                                    <w:rPr>
                                      <w:color w:val="000000"/>
                                      <w:sz w:val="20"/>
                                    </w:rPr>
                                  </w:pPr>
                                  <w:r w:rsidRPr="00112D39">
                                    <w:rPr>
                                      <w:color w:val="000000"/>
                                      <w:sz w:val="20"/>
                                    </w:rPr>
                                    <w:t>0.13</w:t>
                                  </w:r>
                                </w:p>
                              </w:tc>
                              <w:tc>
                                <w:tcPr>
                                  <w:tcW w:w="1181" w:type="dxa"/>
                                  <w:tcBorders>
                                    <w:top w:val="nil"/>
                                    <w:left w:val="single" w:sz="4" w:space="0" w:color="auto"/>
                                    <w:bottom w:val="nil"/>
                                    <w:right w:val="single" w:sz="4" w:space="0" w:color="auto"/>
                                  </w:tcBorders>
                                  <w:vAlign w:val="bottom"/>
                                </w:tcPr>
                                <w:p w14:paraId="7067B1CD" w14:textId="005C1291" w:rsidR="000B703C" w:rsidRPr="00112D39" w:rsidRDefault="000B703C" w:rsidP="000B703C">
                                  <w:pPr>
                                    <w:jc w:val="center"/>
                                    <w:rPr>
                                      <w:color w:val="000000"/>
                                      <w:sz w:val="20"/>
                                    </w:rPr>
                                  </w:pPr>
                                  <w:r w:rsidRPr="00112D39">
                                    <w:rPr>
                                      <w:color w:val="000000"/>
                                      <w:sz w:val="20"/>
                                    </w:rPr>
                                    <w:t>2028</w:t>
                                  </w:r>
                                </w:p>
                              </w:tc>
                            </w:tr>
                            <w:tr w:rsidR="000B703C" w:rsidRPr="00112D39" w14:paraId="11CD4953" w14:textId="631388AF"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4FBB4724" w14:textId="77777777" w:rsidR="000B703C" w:rsidRPr="00112D39" w:rsidRDefault="000B703C" w:rsidP="000B703C">
                                  <w:pPr>
                                    <w:jc w:val="center"/>
                                    <w:rPr>
                                      <w:color w:val="000000"/>
                                      <w:sz w:val="20"/>
                                    </w:rPr>
                                  </w:pPr>
                                  <w:r w:rsidRPr="00112D39">
                                    <w:rPr>
                                      <w:color w:val="000000"/>
                                      <w:sz w:val="20"/>
                                    </w:rPr>
                                    <w:t>1250 SG</w:t>
                                  </w:r>
                                </w:p>
                              </w:tc>
                              <w:tc>
                                <w:tcPr>
                                  <w:tcW w:w="806" w:type="dxa"/>
                                  <w:tcBorders>
                                    <w:top w:val="nil"/>
                                    <w:left w:val="nil"/>
                                    <w:bottom w:val="nil"/>
                                    <w:right w:val="single" w:sz="4" w:space="0" w:color="auto"/>
                                  </w:tcBorders>
                                  <w:shd w:val="clear" w:color="auto" w:fill="auto"/>
                                  <w:noWrap/>
                                  <w:vAlign w:val="bottom"/>
                                  <w:hideMark/>
                                </w:tcPr>
                                <w:p w14:paraId="5EA50B6A" w14:textId="77777777" w:rsidR="000B703C" w:rsidRPr="00112D39" w:rsidRDefault="000B703C" w:rsidP="000B703C">
                                  <w:pPr>
                                    <w:jc w:val="center"/>
                                    <w:rPr>
                                      <w:color w:val="000000"/>
                                      <w:sz w:val="20"/>
                                    </w:rPr>
                                  </w:pPr>
                                  <w:r w:rsidRPr="00112D39">
                                    <w:rPr>
                                      <w:color w:val="000000"/>
                                      <w:sz w:val="20"/>
                                    </w:rPr>
                                    <w:t>1250.4</w:t>
                                  </w:r>
                                </w:p>
                              </w:tc>
                              <w:tc>
                                <w:tcPr>
                                  <w:tcW w:w="900" w:type="dxa"/>
                                  <w:tcBorders>
                                    <w:top w:val="nil"/>
                                    <w:left w:val="nil"/>
                                    <w:bottom w:val="nil"/>
                                    <w:right w:val="single" w:sz="4" w:space="0" w:color="auto"/>
                                  </w:tcBorders>
                                  <w:shd w:val="clear" w:color="auto" w:fill="auto"/>
                                  <w:noWrap/>
                                  <w:vAlign w:val="bottom"/>
                                  <w:hideMark/>
                                </w:tcPr>
                                <w:p w14:paraId="7CB3CB74" w14:textId="77777777" w:rsidR="000B703C" w:rsidRPr="00112D39" w:rsidRDefault="000B703C" w:rsidP="000B703C">
                                  <w:pPr>
                                    <w:jc w:val="center"/>
                                    <w:rPr>
                                      <w:color w:val="000000"/>
                                      <w:sz w:val="20"/>
                                    </w:rPr>
                                  </w:pPr>
                                  <w:r w:rsidRPr="00112D39">
                                    <w:rPr>
                                      <w:color w:val="000000"/>
                                      <w:sz w:val="20"/>
                                    </w:rPr>
                                    <w:t>28.5</w:t>
                                  </w:r>
                                </w:p>
                              </w:tc>
                              <w:tc>
                                <w:tcPr>
                                  <w:tcW w:w="720" w:type="dxa"/>
                                  <w:tcBorders>
                                    <w:top w:val="nil"/>
                                    <w:left w:val="nil"/>
                                    <w:bottom w:val="nil"/>
                                    <w:right w:val="single" w:sz="4" w:space="0" w:color="auto"/>
                                  </w:tcBorders>
                                  <w:vAlign w:val="bottom"/>
                                </w:tcPr>
                                <w:p w14:paraId="18911B34" w14:textId="77777777" w:rsidR="000B703C" w:rsidRPr="00112D39" w:rsidRDefault="000B703C" w:rsidP="000B703C">
                                  <w:pPr>
                                    <w:jc w:val="center"/>
                                    <w:rPr>
                                      <w:color w:val="000000"/>
                                      <w:sz w:val="20"/>
                                    </w:rPr>
                                  </w:pPr>
                                  <w:r w:rsidRPr="00112D39">
                                    <w:rPr>
                                      <w:color w:val="000000"/>
                                      <w:sz w:val="20"/>
                                    </w:rPr>
                                    <w:t>0.16</w:t>
                                  </w:r>
                                </w:p>
                              </w:tc>
                              <w:tc>
                                <w:tcPr>
                                  <w:tcW w:w="1181" w:type="dxa"/>
                                  <w:tcBorders>
                                    <w:top w:val="nil"/>
                                    <w:left w:val="single" w:sz="4" w:space="0" w:color="auto"/>
                                    <w:bottom w:val="nil"/>
                                    <w:right w:val="single" w:sz="4" w:space="0" w:color="auto"/>
                                  </w:tcBorders>
                                  <w:vAlign w:val="bottom"/>
                                </w:tcPr>
                                <w:p w14:paraId="53C622BC" w14:textId="6740EB90" w:rsidR="000B703C" w:rsidRPr="00112D39" w:rsidRDefault="000B703C" w:rsidP="000B703C">
                                  <w:pPr>
                                    <w:jc w:val="center"/>
                                    <w:rPr>
                                      <w:color w:val="000000"/>
                                      <w:sz w:val="20"/>
                                    </w:rPr>
                                  </w:pPr>
                                  <w:r w:rsidRPr="00112D39">
                                    <w:rPr>
                                      <w:color w:val="000000"/>
                                      <w:sz w:val="20"/>
                                    </w:rPr>
                                    <w:t>684</w:t>
                                  </w:r>
                                </w:p>
                              </w:tc>
                            </w:tr>
                            <w:tr w:rsidR="000B703C" w:rsidRPr="00112D39" w14:paraId="4B8F8014" w14:textId="77F76876"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0B82A7CF" w14:textId="77777777" w:rsidR="000B703C" w:rsidRPr="00112D39" w:rsidRDefault="000B703C" w:rsidP="000B703C">
                                  <w:pPr>
                                    <w:jc w:val="center"/>
                                    <w:rPr>
                                      <w:color w:val="000000"/>
                                      <w:sz w:val="20"/>
                                    </w:rPr>
                                  </w:pPr>
                                  <w:r w:rsidRPr="00112D39">
                                    <w:rPr>
                                      <w:color w:val="000000"/>
                                      <w:sz w:val="20"/>
                                    </w:rPr>
                                    <w:t>1250 HG</w:t>
                                  </w:r>
                                </w:p>
                              </w:tc>
                              <w:tc>
                                <w:tcPr>
                                  <w:tcW w:w="806" w:type="dxa"/>
                                  <w:tcBorders>
                                    <w:top w:val="nil"/>
                                    <w:left w:val="nil"/>
                                    <w:bottom w:val="nil"/>
                                    <w:right w:val="single" w:sz="4" w:space="0" w:color="auto"/>
                                  </w:tcBorders>
                                  <w:shd w:val="clear" w:color="auto" w:fill="auto"/>
                                  <w:noWrap/>
                                  <w:vAlign w:val="bottom"/>
                                  <w:hideMark/>
                                </w:tcPr>
                                <w:p w14:paraId="2E6C5B96" w14:textId="77777777" w:rsidR="000B703C" w:rsidRPr="00112D39" w:rsidRDefault="000B703C" w:rsidP="000B703C">
                                  <w:pPr>
                                    <w:jc w:val="center"/>
                                    <w:rPr>
                                      <w:color w:val="000000"/>
                                      <w:sz w:val="20"/>
                                    </w:rPr>
                                  </w:pPr>
                                  <w:r w:rsidRPr="00112D39">
                                    <w:rPr>
                                      <w:color w:val="000000"/>
                                      <w:sz w:val="20"/>
                                    </w:rPr>
                                    <w:t>1248.5</w:t>
                                  </w:r>
                                </w:p>
                              </w:tc>
                              <w:tc>
                                <w:tcPr>
                                  <w:tcW w:w="900" w:type="dxa"/>
                                  <w:tcBorders>
                                    <w:top w:val="nil"/>
                                    <w:left w:val="nil"/>
                                    <w:bottom w:val="nil"/>
                                    <w:right w:val="single" w:sz="4" w:space="0" w:color="auto"/>
                                  </w:tcBorders>
                                  <w:shd w:val="clear" w:color="auto" w:fill="auto"/>
                                  <w:noWrap/>
                                  <w:vAlign w:val="bottom"/>
                                  <w:hideMark/>
                                </w:tcPr>
                                <w:p w14:paraId="0E02437D" w14:textId="77777777" w:rsidR="000B703C" w:rsidRPr="00112D39" w:rsidRDefault="000B703C" w:rsidP="000B703C">
                                  <w:pPr>
                                    <w:jc w:val="center"/>
                                    <w:rPr>
                                      <w:color w:val="000000"/>
                                      <w:sz w:val="20"/>
                                    </w:rPr>
                                  </w:pPr>
                                  <w:r w:rsidRPr="00112D39">
                                    <w:rPr>
                                      <w:color w:val="000000"/>
                                      <w:sz w:val="20"/>
                                    </w:rPr>
                                    <w:t>28.6</w:t>
                                  </w:r>
                                </w:p>
                              </w:tc>
                              <w:tc>
                                <w:tcPr>
                                  <w:tcW w:w="720" w:type="dxa"/>
                                  <w:tcBorders>
                                    <w:top w:val="nil"/>
                                    <w:left w:val="nil"/>
                                    <w:bottom w:val="nil"/>
                                    <w:right w:val="single" w:sz="4" w:space="0" w:color="auto"/>
                                  </w:tcBorders>
                                  <w:vAlign w:val="bottom"/>
                                </w:tcPr>
                                <w:p w14:paraId="07E3DC85" w14:textId="77777777" w:rsidR="000B703C" w:rsidRPr="00112D39" w:rsidRDefault="000B703C" w:rsidP="000B703C">
                                  <w:pPr>
                                    <w:jc w:val="center"/>
                                    <w:rPr>
                                      <w:color w:val="000000"/>
                                      <w:sz w:val="20"/>
                                    </w:rPr>
                                  </w:pPr>
                                  <w:r w:rsidRPr="00112D39">
                                    <w:rPr>
                                      <w:color w:val="000000"/>
                                      <w:sz w:val="20"/>
                                    </w:rPr>
                                    <w:t>0.13</w:t>
                                  </w:r>
                                </w:p>
                              </w:tc>
                              <w:tc>
                                <w:tcPr>
                                  <w:tcW w:w="1181" w:type="dxa"/>
                                  <w:tcBorders>
                                    <w:top w:val="nil"/>
                                    <w:left w:val="single" w:sz="4" w:space="0" w:color="auto"/>
                                    <w:bottom w:val="nil"/>
                                    <w:right w:val="single" w:sz="4" w:space="0" w:color="auto"/>
                                  </w:tcBorders>
                                  <w:vAlign w:val="bottom"/>
                                </w:tcPr>
                                <w:p w14:paraId="7BEC8BDB" w14:textId="4099D791" w:rsidR="000B703C" w:rsidRPr="00112D39" w:rsidRDefault="000B703C" w:rsidP="000B703C">
                                  <w:pPr>
                                    <w:jc w:val="center"/>
                                    <w:rPr>
                                      <w:color w:val="000000"/>
                                      <w:sz w:val="20"/>
                                    </w:rPr>
                                  </w:pPr>
                                  <w:r w:rsidRPr="00112D39">
                                    <w:rPr>
                                      <w:color w:val="000000"/>
                                      <w:sz w:val="20"/>
                                    </w:rPr>
                                    <w:t>5494</w:t>
                                  </w:r>
                                </w:p>
                              </w:tc>
                            </w:tr>
                            <w:tr w:rsidR="000B703C" w:rsidRPr="00112D39" w14:paraId="67437A0F" w14:textId="7579B0CC"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5B316E15" w14:textId="77777777" w:rsidR="000B703C" w:rsidRPr="00112D39" w:rsidRDefault="000B703C" w:rsidP="000B703C">
                                  <w:pPr>
                                    <w:jc w:val="center"/>
                                    <w:rPr>
                                      <w:color w:val="000000"/>
                                      <w:sz w:val="20"/>
                                    </w:rPr>
                                  </w:pPr>
                                  <w:r w:rsidRPr="00112D39">
                                    <w:rPr>
                                      <w:color w:val="000000"/>
                                      <w:sz w:val="20"/>
                                    </w:rPr>
                                    <w:t>1378 SG</w:t>
                                  </w:r>
                                </w:p>
                              </w:tc>
                              <w:tc>
                                <w:tcPr>
                                  <w:tcW w:w="806" w:type="dxa"/>
                                  <w:tcBorders>
                                    <w:top w:val="nil"/>
                                    <w:left w:val="nil"/>
                                    <w:bottom w:val="nil"/>
                                    <w:right w:val="single" w:sz="4" w:space="0" w:color="auto"/>
                                  </w:tcBorders>
                                  <w:shd w:val="clear" w:color="auto" w:fill="auto"/>
                                  <w:noWrap/>
                                  <w:vAlign w:val="bottom"/>
                                  <w:hideMark/>
                                </w:tcPr>
                                <w:p w14:paraId="12590E46" w14:textId="77777777" w:rsidR="000B703C" w:rsidRPr="00112D39" w:rsidRDefault="000B703C" w:rsidP="000B703C">
                                  <w:pPr>
                                    <w:jc w:val="center"/>
                                    <w:rPr>
                                      <w:color w:val="000000"/>
                                      <w:sz w:val="20"/>
                                    </w:rPr>
                                  </w:pPr>
                                  <w:r w:rsidRPr="00112D39">
                                    <w:rPr>
                                      <w:color w:val="000000"/>
                                      <w:sz w:val="20"/>
                                    </w:rPr>
                                    <w:t>1378.2</w:t>
                                  </w:r>
                                </w:p>
                              </w:tc>
                              <w:tc>
                                <w:tcPr>
                                  <w:tcW w:w="900" w:type="dxa"/>
                                  <w:tcBorders>
                                    <w:top w:val="nil"/>
                                    <w:left w:val="nil"/>
                                    <w:bottom w:val="nil"/>
                                    <w:right w:val="single" w:sz="4" w:space="0" w:color="auto"/>
                                  </w:tcBorders>
                                  <w:shd w:val="clear" w:color="auto" w:fill="auto"/>
                                  <w:noWrap/>
                                  <w:vAlign w:val="bottom"/>
                                  <w:hideMark/>
                                </w:tcPr>
                                <w:p w14:paraId="7D854375" w14:textId="77777777" w:rsidR="000B703C" w:rsidRPr="00112D39" w:rsidRDefault="000B703C" w:rsidP="000B703C">
                                  <w:pPr>
                                    <w:jc w:val="center"/>
                                    <w:rPr>
                                      <w:color w:val="000000"/>
                                      <w:sz w:val="20"/>
                                    </w:rPr>
                                  </w:pPr>
                                  <w:r w:rsidRPr="00112D39">
                                    <w:rPr>
                                      <w:color w:val="000000"/>
                                      <w:sz w:val="20"/>
                                    </w:rPr>
                                    <w:t>14.4</w:t>
                                  </w:r>
                                </w:p>
                              </w:tc>
                              <w:tc>
                                <w:tcPr>
                                  <w:tcW w:w="720" w:type="dxa"/>
                                  <w:tcBorders>
                                    <w:top w:val="nil"/>
                                    <w:left w:val="nil"/>
                                    <w:bottom w:val="nil"/>
                                    <w:right w:val="single" w:sz="4" w:space="0" w:color="auto"/>
                                  </w:tcBorders>
                                  <w:vAlign w:val="bottom"/>
                                </w:tcPr>
                                <w:p w14:paraId="7C79C9E6" w14:textId="77777777" w:rsidR="000B703C" w:rsidRPr="00112D39" w:rsidRDefault="000B703C" w:rsidP="000B703C">
                                  <w:pPr>
                                    <w:jc w:val="center"/>
                                    <w:rPr>
                                      <w:color w:val="000000"/>
                                      <w:sz w:val="20"/>
                                    </w:rPr>
                                  </w:pPr>
                                  <w:r w:rsidRPr="00112D39">
                                    <w:rPr>
                                      <w:color w:val="000000"/>
                                      <w:sz w:val="20"/>
                                    </w:rPr>
                                    <w:t>0.19</w:t>
                                  </w:r>
                                </w:p>
                              </w:tc>
                              <w:tc>
                                <w:tcPr>
                                  <w:tcW w:w="1181" w:type="dxa"/>
                                  <w:tcBorders>
                                    <w:top w:val="nil"/>
                                    <w:left w:val="single" w:sz="4" w:space="0" w:color="auto"/>
                                    <w:bottom w:val="nil"/>
                                    <w:right w:val="single" w:sz="4" w:space="0" w:color="auto"/>
                                  </w:tcBorders>
                                  <w:vAlign w:val="bottom"/>
                                </w:tcPr>
                                <w:p w14:paraId="6D804B53" w14:textId="68EFBF3F" w:rsidR="000B703C" w:rsidRPr="00112D39" w:rsidRDefault="000B703C" w:rsidP="000B703C">
                                  <w:pPr>
                                    <w:jc w:val="center"/>
                                    <w:rPr>
                                      <w:color w:val="000000"/>
                                      <w:sz w:val="20"/>
                                    </w:rPr>
                                  </w:pPr>
                                  <w:r w:rsidRPr="00112D39">
                                    <w:rPr>
                                      <w:color w:val="000000"/>
                                      <w:sz w:val="20"/>
                                    </w:rPr>
                                    <w:t>763</w:t>
                                  </w:r>
                                </w:p>
                              </w:tc>
                            </w:tr>
                            <w:tr w:rsidR="000B703C" w:rsidRPr="00112D39" w14:paraId="6C905B57" w14:textId="55E01FB3"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22AE74E2" w14:textId="77777777" w:rsidR="000B703C" w:rsidRPr="00112D39" w:rsidRDefault="000B703C" w:rsidP="000B703C">
                                  <w:pPr>
                                    <w:jc w:val="center"/>
                                    <w:rPr>
                                      <w:color w:val="000000"/>
                                      <w:sz w:val="20"/>
                                    </w:rPr>
                                  </w:pPr>
                                  <w:r w:rsidRPr="00112D39">
                                    <w:rPr>
                                      <w:color w:val="000000"/>
                                      <w:sz w:val="20"/>
                                    </w:rPr>
                                    <w:t>1615 SG</w:t>
                                  </w:r>
                                </w:p>
                              </w:tc>
                              <w:tc>
                                <w:tcPr>
                                  <w:tcW w:w="806" w:type="dxa"/>
                                  <w:tcBorders>
                                    <w:top w:val="nil"/>
                                    <w:left w:val="nil"/>
                                    <w:bottom w:val="nil"/>
                                    <w:right w:val="single" w:sz="4" w:space="0" w:color="auto"/>
                                  </w:tcBorders>
                                  <w:shd w:val="clear" w:color="auto" w:fill="auto"/>
                                  <w:noWrap/>
                                  <w:vAlign w:val="bottom"/>
                                  <w:hideMark/>
                                </w:tcPr>
                                <w:p w14:paraId="19C6B701" w14:textId="77777777" w:rsidR="000B703C" w:rsidRPr="00112D39" w:rsidRDefault="000B703C" w:rsidP="000B703C">
                                  <w:pPr>
                                    <w:jc w:val="center"/>
                                    <w:rPr>
                                      <w:color w:val="000000"/>
                                      <w:sz w:val="20"/>
                                    </w:rPr>
                                  </w:pPr>
                                  <w:r w:rsidRPr="00112D39">
                                    <w:rPr>
                                      <w:color w:val="000000"/>
                                      <w:sz w:val="20"/>
                                    </w:rPr>
                                    <w:t>1619.6</w:t>
                                  </w:r>
                                </w:p>
                              </w:tc>
                              <w:tc>
                                <w:tcPr>
                                  <w:tcW w:w="900" w:type="dxa"/>
                                  <w:tcBorders>
                                    <w:top w:val="nil"/>
                                    <w:left w:val="nil"/>
                                    <w:bottom w:val="nil"/>
                                    <w:right w:val="single" w:sz="4" w:space="0" w:color="auto"/>
                                  </w:tcBorders>
                                  <w:shd w:val="clear" w:color="auto" w:fill="auto"/>
                                  <w:noWrap/>
                                  <w:vAlign w:val="bottom"/>
                                  <w:hideMark/>
                                </w:tcPr>
                                <w:p w14:paraId="77675DFA" w14:textId="77777777" w:rsidR="000B703C" w:rsidRPr="00112D39" w:rsidRDefault="000B703C" w:rsidP="000B703C">
                                  <w:pPr>
                                    <w:jc w:val="center"/>
                                    <w:rPr>
                                      <w:color w:val="000000"/>
                                      <w:sz w:val="20"/>
                                    </w:rPr>
                                  </w:pPr>
                                  <w:r w:rsidRPr="00112D39">
                                    <w:rPr>
                                      <w:color w:val="000000"/>
                                      <w:sz w:val="20"/>
                                    </w:rPr>
                                    <w:t>73.7</w:t>
                                  </w:r>
                                </w:p>
                              </w:tc>
                              <w:tc>
                                <w:tcPr>
                                  <w:tcW w:w="720" w:type="dxa"/>
                                  <w:tcBorders>
                                    <w:top w:val="nil"/>
                                    <w:left w:val="nil"/>
                                    <w:bottom w:val="nil"/>
                                    <w:right w:val="single" w:sz="4" w:space="0" w:color="auto"/>
                                  </w:tcBorders>
                                  <w:vAlign w:val="bottom"/>
                                </w:tcPr>
                                <w:p w14:paraId="538D3E00" w14:textId="77777777" w:rsidR="000B703C" w:rsidRPr="00112D39" w:rsidRDefault="000B703C" w:rsidP="000B703C">
                                  <w:pPr>
                                    <w:jc w:val="center"/>
                                    <w:rPr>
                                      <w:color w:val="000000"/>
                                      <w:sz w:val="20"/>
                                    </w:rPr>
                                  </w:pPr>
                                  <w:r w:rsidRPr="00112D39">
                                    <w:rPr>
                                      <w:color w:val="000000"/>
                                      <w:sz w:val="20"/>
                                    </w:rPr>
                                    <w:t>0.11</w:t>
                                  </w:r>
                                </w:p>
                              </w:tc>
                              <w:tc>
                                <w:tcPr>
                                  <w:tcW w:w="1181" w:type="dxa"/>
                                  <w:tcBorders>
                                    <w:top w:val="nil"/>
                                    <w:left w:val="single" w:sz="4" w:space="0" w:color="auto"/>
                                    <w:bottom w:val="nil"/>
                                    <w:right w:val="single" w:sz="4" w:space="0" w:color="auto"/>
                                  </w:tcBorders>
                                  <w:vAlign w:val="bottom"/>
                                </w:tcPr>
                                <w:p w14:paraId="5D298939" w14:textId="5088D177" w:rsidR="000B703C" w:rsidRPr="00112D39" w:rsidRDefault="000B703C" w:rsidP="000B703C">
                                  <w:pPr>
                                    <w:jc w:val="center"/>
                                    <w:rPr>
                                      <w:color w:val="000000"/>
                                      <w:sz w:val="20"/>
                                    </w:rPr>
                                  </w:pPr>
                                  <w:r w:rsidRPr="00112D39">
                                    <w:rPr>
                                      <w:color w:val="000000"/>
                                      <w:sz w:val="20"/>
                                    </w:rPr>
                                    <w:t>1571</w:t>
                                  </w:r>
                                </w:p>
                              </w:tc>
                            </w:tr>
                            <w:tr w:rsidR="000B703C" w:rsidRPr="00112D39" w14:paraId="1D6FEEF6" w14:textId="65255957"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790D1489" w14:textId="77777777" w:rsidR="000B703C" w:rsidRPr="00112D39" w:rsidRDefault="000B703C" w:rsidP="000B703C">
                                  <w:pPr>
                                    <w:jc w:val="center"/>
                                    <w:rPr>
                                      <w:color w:val="000000"/>
                                      <w:sz w:val="20"/>
                                    </w:rPr>
                                  </w:pPr>
                                  <w:r w:rsidRPr="00112D39">
                                    <w:rPr>
                                      <w:color w:val="000000"/>
                                      <w:sz w:val="20"/>
                                    </w:rPr>
                                    <w:t>1615 HG</w:t>
                                  </w:r>
                                </w:p>
                              </w:tc>
                              <w:tc>
                                <w:tcPr>
                                  <w:tcW w:w="806" w:type="dxa"/>
                                  <w:tcBorders>
                                    <w:top w:val="nil"/>
                                    <w:left w:val="nil"/>
                                    <w:bottom w:val="nil"/>
                                    <w:right w:val="single" w:sz="4" w:space="0" w:color="auto"/>
                                  </w:tcBorders>
                                  <w:shd w:val="clear" w:color="auto" w:fill="auto"/>
                                  <w:noWrap/>
                                  <w:vAlign w:val="bottom"/>
                                  <w:hideMark/>
                                </w:tcPr>
                                <w:p w14:paraId="05D9B665" w14:textId="77777777" w:rsidR="000B703C" w:rsidRPr="00112D39" w:rsidRDefault="000B703C" w:rsidP="000B703C">
                                  <w:pPr>
                                    <w:jc w:val="center"/>
                                    <w:rPr>
                                      <w:color w:val="000000"/>
                                      <w:sz w:val="20"/>
                                    </w:rPr>
                                  </w:pPr>
                                  <w:r w:rsidRPr="00112D39">
                                    <w:rPr>
                                      <w:color w:val="000000"/>
                                      <w:sz w:val="20"/>
                                    </w:rPr>
                                    <w:t>1618.0</w:t>
                                  </w:r>
                                </w:p>
                              </w:tc>
                              <w:tc>
                                <w:tcPr>
                                  <w:tcW w:w="900" w:type="dxa"/>
                                  <w:tcBorders>
                                    <w:top w:val="nil"/>
                                    <w:left w:val="nil"/>
                                    <w:bottom w:val="nil"/>
                                    <w:right w:val="single" w:sz="4" w:space="0" w:color="auto"/>
                                  </w:tcBorders>
                                  <w:shd w:val="clear" w:color="auto" w:fill="auto"/>
                                  <w:noWrap/>
                                  <w:vAlign w:val="bottom"/>
                                  <w:hideMark/>
                                </w:tcPr>
                                <w:p w14:paraId="0C370674" w14:textId="77777777" w:rsidR="000B703C" w:rsidRPr="00112D39" w:rsidRDefault="000B703C" w:rsidP="000B703C">
                                  <w:pPr>
                                    <w:jc w:val="center"/>
                                    <w:rPr>
                                      <w:color w:val="000000"/>
                                      <w:sz w:val="20"/>
                                    </w:rPr>
                                  </w:pPr>
                                  <w:r w:rsidRPr="00112D39">
                                    <w:rPr>
                                      <w:color w:val="000000"/>
                                      <w:sz w:val="20"/>
                                    </w:rPr>
                                    <w:t>73.6</w:t>
                                  </w:r>
                                </w:p>
                              </w:tc>
                              <w:tc>
                                <w:tcPr>
                                  <w:tcW w:w="720" w:type="dxa"/>
                                  <w:tcBorders>
                                    <w:top w:val="nil"/>
                                    <w:left w:val="nil"/>
                                    <w:bottom w:val="nil"/>
                                    <w:right w:val="single" w:sz="4" w:space="0" w:color="auto"/>
                                  </w:tcBorders>
                                  <w:vAlign w:val="bottom"/>
                                </w:tcPr>
                                <w:p w14:paraId="35FF47BD" w14:textId="77777777" w:rsidR="000B703C" w:rsidRPr="00112D39" w:rsidRDefault="000B703C" w:rsidP="000B703C">
                                  <w:pPr>
                                    <w:jc w:val="center"/>
                                    <w:rPr>
                                      <w:color w:val="000000"/>
                                      <w:sz w:val="20"/>
                                    </w:rPr>
                                  </w:pPr>
                                  <w:r w:rsidRPr="00112D39">
                                    <w:rPr>
                                      <w:color w:val="000000"/>
                                      <w:sz w:val="20"/>
                                    </w:rPr>
                                    <w:t>0.11</w:t>
                                  </w:r>
                                </w:p>
                              </w:tc>
                              <w:tc>
                                <w:tcPr>
                                  <w:tcW w:w="1181" w:type="dxa"/>
                                  <w:tcBorders>
                                    <w:top w:val="nil"/>
                                    <w:left w:val="single" w:sz="4" w:space="0" w:color="auto"/>
                                    <w:bottom w:val="nil"/>
                                    <w:right w:val="single" w:sz="4" w:space="0" w:color="auto"/>
                                  </w:tcBorders>
                                  <w:vAlign w:val="bottom"/>
                                </w:tcPr>
                                <w:p w14:paraId="2A2C7BBC" w14:textId="2BD8AC8E" w:rsidR="000B703C" w:rsidRPr="00112D39" w:rsidRDefault="000B703C" w:rsidP="000B703C">
                                  <w:pPr>
                                    <w:jc w:val="center"/>
                                    <w:rPr>
                                      <w:color w:val="000000"/>
                                      <w:sz w:val="20"/>
                                    </w:rPr>
                                  </w:pPr>
                                  <w:r w:rsidRPr="00112D39">
                                    <w:rPr>
                                      <w:color w:val="000000"/>
                                      <w:sz w:val="20"/>
                                    </w:rPr>
                                    <w:t>12186</w:t>
                                  </w:r>
                                </w:p>
                              </w:tc>
                            </w:tr>
                            <w:tr w:rsidR="000B703C" w:rsidRPr="00112D39" w14:paraId="533C4B2B" w14:textId="3005962A"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6A2F09EA" w14:textId="77777777" w:rsidR="000B703C" w:rsidRPr="00112D39" w:rsidRDefault="000B703C" w:rsidP="000B703C">
                                  <w:pPr>
                                    <w:jc w:val="center"/>
                                    <w:rPr>
                                      <w:color w:val="000000"/>
                                      <w:sz w:val="20"/>
                                    </w:rPr>
                                  </w:pPr>
                                  <w:r w:rsidRPr="00112D39">
                                    <w:rPr>
                                      <w:color w:val="000000"/>
                                      <w:sz w:val="20"/>
                                    </w:rPr>
                                    <w:t>2130 SG</w:t>
                                  </w:r>
                                </w:p>
                              </w:tc>
                              <w:tc>
                                <w:tcPr>
                                  <w:tcW w:w="806" w:type="dxa"/>
                                  <w:tcBorders>
                                    <w:top w:val="nil"/>
                                    <w:left w:val="nil"/>
                                    <w:bottom w:val="nil"/>
                                    <w:right w:val="single" w:sz="4" w:space="0" w:color="auto"/>
                                  </w:tcBorders>
                                  <w:shd w:val="clear" w:color="auto" w:fill="auto"/>
                                  <w:noWrap/>
                                  <w:vAlign w:val="bottom"/>
                                  <w:hideMark/>
                                </w:tcPr>
                                <w:p w14:paraId="299C38D7" w14:textId="77777777" w:rsidR="000B703C" w:rsidRPr="00112D39" w:rsidRDefault="000B703C" w:rsidP="000B703C">
                                  <w:pPr>
                                    <w:jc w:val="center"/>
                                    <w:rPr>
                                      <w:color w:val="000000"/>
                                      <w:sz w:val="20"/>
                                    </w:rPr>
                                  </w:pPr>
                                  <w:r w:rsidRPr="00112D39">
                                    <w:rPr>
                                      <w:color w:val="000000"/>
                                      <w:sz w:val="20"/>
                                    </w:rPr>
                                    <w:t>2130.6</w:t>
                                  </w:r>
                                </w:p>
                              </w:tc>
                              <w:tc>
                                <w:tcPr>
                                  <w:tcW w:w="900" w:type="dxa"/>
                                  <w:tcBorders>
                                    <w:top w:val="nil"/>
                                    <w:left w:val="nil"/>
                                    <w:bottom w:val="nil"/>
                                    <w:right w:val="single" w:sz="4" w:space="0" w:color="auto"/>
                                  </w:tcBorders>
                                  <w:shd w:val="clear" w:color="auto" w:fill="auto"/>
                                  <w:noWrap/>
                                  <w:vAlign w:val="bottom"/>
                                  <w:hideMark/>
                                </w:tcPr>
                                <w:p w14:paraId="693D59FC" w14:textId="77777777" w:rsidR="000B703C" w:rsidRPr="00112D39" w:rsidRDefault="000B703C" w:rsidP="000B703C">
                                  <w:pPr>
                                    <w:jc w:val="center"/>
                                    <w:rPr>
                                      <w:color w:val="000000"/>
                                      <w:sz w:val="20"/>
                                    </w:rPr>
                                  </w:pPr>
                                  <w:r w:rsidRPr="00112D39">
                                    <w:rPr>
                                      <w:color w:val="000000"/>
                                      <w:sz w:val="20"/>
                                    </w:rPr>
                                    <w:t>49.3</w:t>
                                  </w:r>
                                </w:p>
                              </w:tc>
                              <w:tc>
                                <w:tcPr>
                                  <w:tcW w:w="720" w:type="dxa"/>
                                  <w:tcBorders>
                                    <w:top w:val="nil"/>
                                    <w:left w:val="nil"/>
                                    <w:bottom w:val="nil"/>
                                    <w:right w:val="single" w:sz="4" w:space="0" w:color="auto"/>
                                  </w:tcBorders>
                                  <w:vAlign w:val="bottom"/>
                                </w:tcPr>
                                <w:p w14:paraId="71B1F621" w14:textId="77777777" w:rsidR="000B703C" w:rsidRPr="00112D39" w:rsidRDefault="000B703C" w:rsidP="000B703C">
                                  <w:pPr>
                                    <w:jc w:val="center"/>
                                    <w:rPr>
                                      <w:color w:val="000000"/>
                                      <w:sz w:val="20"/>
                                    </w:rPr>
                                  </w:pPr>
                                  <w:r w:rsidRPr="00112D39">
                                    <w:rPr>
                                      <w:color w:val="000000"/>
                                      <w:sz w:val="20"/>
                                    </w:rPr>
                                    <w:t>0.12</w:t>
                                  </w:r>
                                </w:p>
                              </w:tc>
                              <w:tc>
                                <w:tcPr>
                                  <w:tcW w:w="1181" w:type="dxa"/>
                                  <w:tcBorders>
                                    <w:top w:val="nil"/>
                                    <w:left w:val="single" w:sz="4" w:space="0" w:color="auto"/>
                                    <w:right w:val="single" w:sz="4" w:space="0" w:color="auto"/>
                                  </w:tcBorders>
                                  <w:vAlign w:val="bottom"/>
                                </w:tcPr>
                                <w:p w14:paraId="4493BFAF" w14:textId="326093C3" w:rsidR="000B703C" w:rsidRPr="00112D39" w:rsidRDefault="000B703C" w:rsidP="000B703C">
                                  <w:pPr>
                                    <w:jc w:val="center"/>
                                    <w:rPr>
                                      <w:color w:val="000000"/>
                                      <w:sz w:val="20"/>
                                    </w:rPr>
                                  </w:pPr>
                                  <w:r w:rsidRPr="00112D39">
                                    <w:rPr>
                                      <w:color w:val="000000"/>
                                      <w:sz w:val="20"/>
                                    </w:rPr>
                                    <w:t>4652</w:t>
                                  </w:r>
                                </w:p>
                              </w:tc>
                            </w:tr>
                            <w:tr w:rsidR="000B703C" w:rsidRPr="00112D39" w14:paraId="36A0ABA3" w14:textId="043403D2" w:rsidTr="000B703C">
                              <w:trPr>
                                <w:trHeight w:val="236"/>
                              </w:trPr>
                              <w:tc>
                                <w:tcPr>
                                  <w:tcW w:w="983" w:type="dxa"/>
                                  <w:tcBorders>
                                    <w:top w:val="nil"/>
                                    <w:left w:val="single" w:sz="4" w:space="0" w:color="auto"/>
                                    <w:bottom w:val="single" w:sz="4" w:space="0" w:color="auto"/>
                                    <w:right w:val="single" w:sz="4" w:space="0" w:color="auto"/>
                                  </w:tcBorders>
                                  <w:shd w:val="clear" w:color="auto" w:fill="auto"/>
                                  <w:noWrap/>
                                  <w:vAlign w:val="bottom"/>
                                  <w:hideMark/>
                                </w:tcPr>
                                <w:p w14:paraId="4B1CA223" w14:textId="77777777" w:rsidR="000B703C" w:rsidRPr="00112D39" w:rsidRDefault="000B703C" w:rsidP="000B703C">
                                  <w:pPr>
                                    <w:jc w:val="center"/>
                                    <w:rPr>
                                      <w:color w:val="000000"/>
                                      <w:sz w:val="20"/>
                                    </w:rPr>
                                  </w:pPr>
                                  <w:r w:rsidRPr="00112D39">
                                    <w:rPr>
                                      <w:color w:val="000000"/>
                                      <w:sz w:val="20"/>
                                    </w:rPr>
                                    <w:t>2260 SG</w:t>
                                  </w:r>
                                </w:p>
                              </w:tc>
                              <w:tc>
                                <w:tcPr>
                                  <w:tcW w:w="806" w:type="dxa"/>
                                  <w:tcBorders>
                                    <w:top w:val="nil"/>
                                    <w:left w:val="nil"/>
                                    <w:bottom w:val="single" w:sz="4" w:space="0" w:color="auto"/>
                                    <w:right w:val="single" w:sz="4" w:space="0" w:color="auto"/>
                                  </w:tcBorders>
                                  <w:shd w:val="clear" w:color="auto" w:fill="auto"/>
                                  <w:noWrap/>
                                  <w:vAlign w:val="bottom"/>
                                  <w:hideMark/>
                                </w:tcPr>
                                <w:p w14:paraId="2484F9AD" w14:textId="77777777" w:rsidR="000B703C" w:rsidRPr="00112D39" w:rsidRDefault="000B703C" w:rsidP="000B703C">
                                  <w:pPr>
                                    <w:jc w:val="center"/>
                                    <w:rPr>
                                      <w:color w:val="000000"/>
                                      <w:sz w:val="20"/>
                                    </w:rPr>
                                  </w:pPr>
                                  <w:r w:rsidRPr="00112D39">
                                    <w:rPr>
                                      <w:color w:val="000000"/>
                                      <w:sz w:val="20"/>
                                    </w:rPr>
                                    <w:t>2258.4</w:t>
                                  </w:r>
                                </w:p>
                              </w:tc>
                              <w:tc>
                                <w:tcPr>
                                  <w:tcW w:w="900" w:type="dxa"/>
                                  <w:tcBorders>
                                    <w:top w:val="nil"/>
                                    <w:left w:val="nil"/>
                                    <w:bottom w:val="single" w:sz="4" w:space="0" w:color="auto"/>
                                    <w:right w:val="single" w:sz="4" w:space="0" w:color="auto"/>
                                  </w:tcBorders>
                                  <w:shd w:val="clear" w:color="auto" w:fill="auto"/>
                                  <w:noWrap/>
                                  <w:vAlign w:val="bottom"/>
                                  <w:hideMark/>
                                </w:tcPr>
                                <w:p w14:paraId="1C6B16F9" w14:textId="77777777" w:rsidR="000B703C" w:rsidRPr="00112D39" w:rsidRDefault="000B703C" w:rsidP="000B703C">
                                  <w:pPr>
                                    <w:jc w:val="center"/>
                                    <w:rPr>
                                      <w:color w:val="000000"/>
                                      <w:sz w:val="20"/>
                                    </w:rPr>
                                  </w:pPr>
                                  <w:r w:rsidRPr="00112D39">
                                    <w:rPr>
                                      <w:color w:val="000000"/>
                                      <w:sz w:val="20"/>
                                    </w:rPr>
                                    <w:t>72.8</w:t>
                                  </w:r>
                                </w:p>
                              </w:tc>
                              <w:tc>
                                <w:tcPr>
                                  <w:tcW w:w="720" w:type="dxa"/>
                                  <w:tcBorders>
                                    <w:top w:val="nil"/>
                                    <w:left w:val="nil"/>
                                    <w:bottom w:val="single" w:sz="4" w:space="0" w:color="auto"/>
                                    <w:right w:val="single" w:sz="4" w:space="0" w:color="auto"/>
                                  </w:tcBorders>
                                  <w:vAlign w:val="bottom"/>
                                </w:tcPr>
                                <w:p w14:paraId="535D1FFA" w14:textId="77777777" w:rsidR="000B703C" w:rsidRPr="00112D39" w:rsidRDefault="000B703C" w:rsidP="000B703C">
                                  <w:pPr>
                                    <w:jc w:val="center"/>
                                    <w:rPr>
                                      <w:color w:val="000000"/>
                                      <w:sz w:val="20"/>
                                    </w:rPr>
                                  </w:pPr>
                                  <w:r w:rsidRPr="00112D39">
                                    <w:rPr>
                                      <w:color w:val="000000"/>
                                      <w:sz w:val="20"/>
                                    </w:rPr>
                                    <w:t>0.18</w:t>
                                  </w:r>
                                </w:p>
                              </w:tc>
                              <w:tc>
                                <w:tcPr>
                                  <w:tcW w:w="1181" w:type="dxa"/>
                                  <w:tcBorders>
                                    <w:left w:val="single" w:sz="4" w:space="0" w:color="auto"/>
                                    <w:bottom w:val="single" w:sz="4" w:space="0" w:color="auto"/>
                                    <w:right w:val="single" w:sz="4" w:space="0" w:color="auto"/>
                                  </w:tcBorders>
                                  <w:vAlign w:val="bottom"/>
                                </w:tcPr>
                                <w:p w14:paraId="34B3F4B2" w14:textId="3E1160F4" w:rsidR="000B703C" w:rsidRPr="00112D39" w:rsidRDefault="000B703C" w:rsidP="000B703C">
                                  <w:pPr>
                                    <w:jc w:val="center"/>
                                    <w:rPr>
                                      <w:color w:val="000000"/>
                                      <w:sz w:val="20"/>
                                    </w:rPr>
                                  </w:pPr>
                                  <w:r w:rsidRPr="00112D39">
                                    <w:rPr>
                                      <w:color w:val="000000"/>
                                      <w:sz w:val="20"/>
                                    </w:rPr>
                                    <w:t>6440</w:t>
                                  </w:r>
                                </w:p>
                              </w:tc>
                            </w:tr>
                          </w:tbl>
                          <w:p w14:paraId="4CE562AE" w14:textId="77777777" w:rsidR="000920D7" w:rsidRPr="004A328A" w:rsidRDefault="000920D7" w:rsidP="000B70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8310C0" id="_x0000_t202" coordsize="21600,21600" o:spt="202" path="m,l,21600r21600,l21600,xe">
                <v:stroke joinstyle="miter"/>
                <v:path gradientshapeok="t" o:connecttype="rect"/>
              </v:shapetype>
              <v:shape id="Text Box 15" o:spid="_x0000_s1030" type="#_x0000_t202" style="position:absolute;left:0;text-align:left;margin-left:0;margin-top:436.65pt;width:242.3pt;height:200.9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" filled="f" strokecolor="white [3212]" strokeweight=".5pt">
                <v:textbox>
                  <w:txbxContent>
                    <w:p w14:paraId="300F2813" w14:textId="4687BE5A" w:rsidR="00F05E03" w:rsidRDefault="000920D7" w:rsidP="00C629E6">
                      <w:pPr>
                        <w:jc w:val="both"/>
                        <w:rPr>
                          <w:b/>
                          <w:bCs/>
                          <w:sz w:val="20"/>
                        </w:rPr>
                      </w:pPr>
                      <w:r w:rsidRPr="00C76250">
                        <w:rPr>
                          <w:b/>
                          <w:bCs/>
                          <w:sz w:val="20"/>
                        </w:rPr>
                        <w:t>Table 1. SWIR measured center</w:t>
                      </w:r>
                      <w:r w:rsidR="005737B4">
                        <w:rPr>
                          <w:b/>
                          <w:bCs/>
                          <w:sz w:val="20"/>
                        </w:rPr>
                        <w:t xml:space="preserve"> wavelength</w:t>
                      </w:r>
                      <w:r>
                        <w:rPr>
                          <w:b/>
                          <w:bCs/>
                          <w:sz w:val="20"/>
                        </w:rPr>
                        <w:t xml:space="preserve">, </w:t>
                      </w:r>
                      <w:r w:rsidRPr="00C76250">
                        <w:rPr>
                          <w:b/>
                          <w:bCs/>
                          <w:sz w:val="20"/>
                        </w:rPr>
                        <w:t>bandwidth</w:t>
                      </w:r>
                      <w:r>
                        <w:rPr>
                          <w:b/>
                          <w:bCs/>
                          <w:sz w:val="20"/>
                        </w:rPr>
                        <w:t>, and integrated OOB response ratio</w:t>
                      </w:r>
                      <w:r w:rsidRPr="00C76250">
                        <w:rPr>
                          <w:b/>
                          <w:bCs/>
                          <w:sz w:val="20"/>
                        </w:rPr>
                        <w:t xml:space="preserve"> (SG: standard gain; HG: high gain).</w:t>
                      </w:r>
                    </w:p>
                    <w:p w14:paraId="35E58739" w14:textId="77777777" w:rsidR="000B703C" w:rsidRPr="00C76250" w:rsidRDefault="000B703C" w:rsidP="00C629E6">
                      <w:pPr>
                        <w:jc w:val="both"/>
                        <w:rPr>
                          <w:b/>
                          <w:bCs/>
                          <w:sz w:val="20"/>
                        </w:rPr>
                      </w:pPr>
                    </w:p>
                    <w:tbl>
                      <w:tblPr>
                        <w:tblW w:w="4590" w:type="dxa"/>
                        <w:tblInd w:w="-5" w:type="dxa"/>
                        <w:tblLayout w:type="fixed"/>
                        <w:tblLook w:val="04A0" w:firstRow="1" w:lastRow="0" w:firstColumn="1" w:lastColumn="0" w:noHBand="0" w:noVBand="1"/>
                      </w:tblPr>
                      <w:tblGrid>
                        <w:gridCol w:w="983"/>
                        <w:gridCol w:w="806"/>
                        <w:gridCol w:w="900"/>
                        <w:gridCol w:w="720"/>
                        <w:gridCol w:w="1181"/>
                      </w:tblGrid>
                      <w:tr w:rsidR="000B703C" w:rsidRPr="00112D39" w14:paraId="5D70AC09" w14:textId="3761E9FF" w:rsidTr="000B703C">
                        <w:trPr>
                          <w:trHeight w:val="529"/>
                        </w:trPr>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B8ED5" w14:textId="77777777" w:rsidR="000B703C" w:rsidRPr="00112D39" w:rsidRDefault="000B703C" w:rsidP="000B703C">
                            <w:pPr>
                              <w:jc w:val="center"/>
                              <w:rPr>
                                <w:color w:val="000000"/>
                                <w:sz w:val="20"/>
                              </w:rPr>
                            </w:pPr>
                            <w:r w:rsidRPr="00112D39">
                              <w:rPr>
                                <w:color w:val="000000"/>
                                <w:sz w:val="20"/>
                              </w:rPr>
                              <w:t>Band Name</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56F3724B" w14:textId="1869570B" w:rsidR="000B703C" w:rsidRPr="00112D39" w:rsidRDefault="000B703C" w:rsidP="000B703C">
                            <w:pPr>
                              <w:jc w:val="center"/>
                              <w:rPr>
                                <w:color w:val="000000"/>
                                <w:sz w:val="20"/>
                              </w:rPr>
                            </w:pPr>
                            <w:r w:rsidRPr="00112D39">
                              <w:rPr>
                                <w:color w:val="000000"/>
                                <w:sz w:val="20"/>
                              </w:rPr>
                              <w:t>Center [nm]</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4749D42" w14:textId="0D667F4A" w:rsidR="000B703C" w:rsidRPr="00112D39" w:rsidRDefault="000B703C" w:rsidP="000B703C">
                            <w:pPr>
                              <w:jc w:val="center"/>
                              <w:rPr>
                                <w:color w:val="000000"/>
                                <w:sz w:val="20"/>
                              </w:rPr>
                            </w:pPr>
                            <w:r>
                              <w:rPr>
                                <w:color w:val="000000"/>
                                <w:sz w:val="20"/>
                              </w:rPr>
                              <w:t>FWHM</w:t>
                            </w:r>
                            <w:r w:rsidRPr="00112D39">
                              <w:rPr>
                                <w:color w:val="000000"/>
                                <w:sz w:val="20"/>
                              </w:rPr>
                              <w:t xml:space="preserve"> [nm]</w:t>
                            </w:r>
                          </w:p>
                        </w:tc>
                        <w:tc>
                          <w:tcPr>
                            <w:tcW w:w="720" w:type="dxa"/>
                            <w:tcBorders>
                              <w:top w:val="single" w:sz="4" w:space="0" w:color="auto"/>
                              <w:left w:val="nil"/>
                              <w:bottom w:val="single" w:sz="4" w:space="0" w:color="auto"/>
                              <w:right w:val="single" w:sz="4" w:space="0" w:color="auto"/>
                            </w:tcBorders>
                            <w:vAlign w:val="center"/>
                          </w:tcPr>
                          <w:p w14:paraId="18C1CA0A" w14:textId="6C52D6E8" w:rsidR="000B703C" w:rsidRPr="00112D39" w:rsidRDefault="000B703C" w:rsidP="000B703C">
                            <w:pPr>
                              <w:jc w:val="center"/>
                              <w:rPr>
                                <w:color w:val="000000"/>
                                <w:sz w:val="20"/>
                              </w:rPr>
                            </w:pPr>
                            <w:r w:rsidRPr="00112D39">
                              <w:rPr>
                                <w:color w:val="000000"/>
                                <w:sz w:val="20"/>
                              </w:rPr>
                              <w:t>IOOB [%]</w:t>
                            </w:r>
                          </w:p>
                        </w:tc>
                        <w:tc>
                          <w:tcPr>
                            <w:tcW w:w="1181" w:type="dxa"/>
                            <w:tcBorders>
                              <w:top w:val="single" w:sz="4" w:space="0" w:color="auto"/>
                              <w:left w:val="nil"/>
                              <w:bottom w:val="single" w:sz="4" w:space="0" w:color="auto"/>
                              <w:right w:val="single" w:sz="4" w:space="0" w:color="auto"/>
                            </w:tcBorders>
                            <w:vAlign w:val="center"/>
                          </w:tcPr>
                          <w:p w14:paraId="60D55E55" w14:textId="3BC14490" w:rsidR="000B703C" w:rsidRPr="000B703C" w:rsidRDefault="000B703C" w:rsidP="000B703C">
                            <w:pPr>
                              <w:jc w:val="center"/>
                              <w:rPr>
                                <w:color w:val="000000"/>
                                <w:sz w:val="20"/>
                              </w:rPr>
                            </w:pPr>
                            <w:r w:rsidRPr="000B703C">
                              <w:rPr>
                                <w:color w:val="000000"/>
                                <w:sz w:val="20"/>
                              </w:rPr>
                              <w:t>Gain [</w:t>
                            </w:r>
                            <w:proofErr w:type="spellStart"/>
                            <w:r w:rsidRPr="000B703C">
                              <w:rPr>
                                <w:color w:val="000000"/>
                                <w:sz w:val="20"/>
                              </w:rPr>
                              <w:t>dn</w:t>
                            </w:r>
                            <w:proofErr w:type="spellEnd"/>
                            <w:proofErr w:type="gramStart"/>
                            <w:r w:rsidRPr="000B703C">
                              <w:rPr>
                                <w:color w:val="000000"/>
                                <w:sz w:val="20"/>
                              </w:rPr>
                              <w:t>/(</w:t>
                            </w:r>
                            <w:proofErr w:type="gramEnd"/>
                            <w:r w:rsidRPr="000B703C">
                              <w:rPr>
                                <w:color w:val="000000"/>
                                <w:sz w:val="20"/>
                              </w:rPr>
                              <w:t>W/m2/</w:t>
                            </w:r>
                          </w:p>
                          <w:p w14:paraId="68F54088" w14:textId="7490C2C9" w:rsidR="000B703C" w:rsidRPr="00112D39" w:rsidRDefault="000B703C" w:rsidP="000B703C">
                            <w:pPr>
                              <w:jc w:val="center"/>
                              <w:rPr>
                                <w:color w:val="000000"/>
                                <w:sz w:val="20"/>
                              </w:rPr>
                            </w:pPr>
                            <w:proofErr w:type="spellStart"/>
                            <w:r w:rsidRPr="000B703C">
                              <w:rPr>
                                <w:color w:val="000000"/>
                                <w:sz w:val="20"/>
                              </w:rPr>
                              <w:t>sr</w:t>
                            </w:r>
                            <w:proofErr w:type="spellEnd"/>
                            <w:r w:rsidRPr="000B703C">
                              <w:rPr>
                                <w:color w:val="000000"/>
                                <w:sz w:val="20"/>
                              </w:rPr>
                              <w:t>/um)]</w:t>
                            </w:r>
                          </w:p>
                        </w:tc>
                      </w:tr>
                      <w:tr w:rsidR="000B703C" w:rsidRPr="00112D39" w14:paraId="0B60490B" w14:textId="2E46EB9B"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4684BD45" w14:textId="77777777" w:rsidR="000B703C" w:rsidRPr="00112D39" w:rsidRDefault="000B703C" w:rsidP="000B703C">
                            <w:pPr>
                              <w:jc w:val="center"/>
                              <w:rPr>
                                <w:color w:val="000000"/>
                                <w:sz w:val="20"/>
                              </w:rPr>
                            </w:pPr>
                            <w:r w:rsidRPr="00112D39">
                              <w:rPr>
                                <w:color w:val="000000"/>
                                <w:sz w:val="20"/>
                              </w:rPr>
                              <w:t>940 SG</w:t>
                            </w:r>
                          </w:p>
                        </w:tc>
                        <w:tc>
                          <w:tcPr>
                            <w:tcW w:w="806" w:type="dxa"/>
                            <w:tcBorders>
                              <w:top w:val="nil"/>
                              <w:left w:val="nil"/>
                              <w:bottom w:val="nil"/>
                              <w:right w:val="single" w:sz="4" w:space="0" w:color="auto"/>
                            </w:tcBorders>
                            <w:shd w:val="clear" w:color="auto" w:fill="auto"/>
                            <w:noWrap/>
                            <w:vAlign w:val="bottom"/>
                            <w:hideMark/>
                          </w:tcPr>
                          <w:p w14:paraId="6D5DDE66" w14:textId="77777777" w:rsidR="000B703C" w:rsidRPr="00112D39" w:rsidRDefault="000B703C" w:rsidP="000B703C">
                            <w:pPr>
                              <w:jc w:val="center"/>
                              <w:rPr>
                                <w:color w:val="000000"/>
                                <w:sz w:val="20"/>
                              </w:rPr>
                            </w:pPr>
                            <w:r w:rsidRPr="00112D39">
                              <w:rPr>
                                <w:color w:val="000000"/>
                                <w:sz w:val="20"/>
                              </w:rPr>
                              <w:t>939.7</w:t>
                            </w:r>
                          </w:p>
                        </w:tc>
                        <w:tc>
                          <w:tcPr>
                            <w:tcW w:w="900" w:type="dxa"/>
                            <w:tcBorders>
                              <w:top w:val="nil"/>
                              <w:left w:val="nil"/>
                              <w:bottom w:val="nil"/>
                              <w:right w:val="single" w:sz="4" w:space="0" w:color="auto"/>
                            </w:tcBorders>
                            <w:shd w:val="clear" w:color="auto" w:fill="auto"/>
                            <w:noWrap/>
                            <w:vAlign w:val="bottom"/>
                            <w:hideMark/>
                          </w:tcPr>
                          <w:p w14:paraId="4529E332" w14:textId="77777777" w:rsidR="000B703C" w:rsidRPr="00112D39" w:rsidRDefault="000B703C" w:rsidP="000B703C">
                            <w:pPr>
                              <w:jc w:val="center"/>
                              <w:rPr>
                                <w:color w:val="000000"/>
                                <w:sz w:val="20"/>
                              </w:rPr>
                            </w:pPr>
                            <w:r w:rsidRPr="00112D39">
                              <w:rPr>
                                <w:color w:val="000000"/>
                                <w:sz w:val="20"/>
                              </w:rPr>
                              <w:t>44.3</w:t>
                            </w:r>
                          </w:p>
                        </w:tc>
                        <w:tc>
                          <w:tcPr>
                            <w:tcW w:w="720" w:type="dxa"/>
                            <w:tcBorders>
                              <w:top w:val="nil"/>
                              <w:left w:val="nil"/>
                              <w:bottom w:val="nil"/>
                              <w:right w:val="single" w:sz="4" w:space="0" w:color="auto"/>
                            </w:tcBorders>
                            <w:vAlign w:val="bottom"/>
                          </w:tcPr>
                          <w:p w14:paraId="72FDBD9E" w14:textId="77777777" w:rsidR="000B703C" w:rsidRPr="00112D39" w:rsidRDefault="000B703C" w:rsidP="000B703C">
                            <w:pPr>
                              <w:jc w:val="center"/>
                              <w:rPr>
                                <w:color w:val="000000"/>
                                <w:sz w:val="20"/>
                              </w:rPr>
                            </w:pPr>
                            <w:r w:rsidRPr="00112D39">
                              <w:rPr>
                                <w:color w:val="000000"/>
                                <w:sz w:val="20"/>
                              </w:rPr>
                              <w:t>0.20</w:t>
                            </w:r>
                          </w:p>
                        </w:tc>
                        <w:tc>
                          <w:tcPr>
                            <w:tcW w:w="1181" w:type="dxa"/>
                            <w:tcBorders>
                              <w:top w:val="single" w:sz="4" w:space="0" w:color="auto"/>
                              <w:left w:val="single" w:sz="4" w:space="0" w:color="auto"/>
                              <w:bottom w:val="nil"/>
                              <w:right w:val="single" w:sz="4" w:space="0" w:color="auto"/>
                            </w:tcBorders>
                            <w:vAlign w:val="bottom"/>
                          </w:tcPr>
                          <w:p w14:paraId="227CBABA" w14:textId="708D860A" w:rsidR="000B703C" w:rsidRPr="00112D39" w:rsidRDefault="000B703C" w:rsidP="000B703C">
                            <w:pPr>
                              <w:jc w:val="center"/>
                              <w:rPr>
                                <w:color w:val="000000"/>
                                <w:sz w:val="20"/>
                              </w:rPr>
                            </w:pPr>
                            <w:r w:rsidRPr="00112D39">
                              <w:rPr>
                                <w:color w:val="000000"/>
                                <w:sz w:val="20"/>
                              </w:rPr>
                              <w:t>448</w:t>
                            </w:r>
                          </w:p>
                        </w:tc>
                      </w:tr>
                      <w:tr w:rsidR="000B703C" w:rsidRPr="00112D39" w14:paraId="78C59A3E" w14:textId="53C15F1C"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07DEDB2E" w14:textId="77777777" w:rsidR="000B703C" w:rsidRPr="00112D39" w:rsidRDefault="000B703C" w:rsidP="000B703C">
                            <w:pPr>
                              <w:jc w:val="center"/>
                              <w:rPr>
                                <w:color w:val="000000"/>
                                <w:sz w:val="20"/>
                              </w:rPr>
                            </w:pPr>
                            <w:r w:rsidRPr="00112D39">
                              <w:rPr>
                                <w:color w:val="000000"/>
                                <w:sz w:val="20"/>
                              </w:rPr>
                              <w:t>1038 HG</w:t>
                            </w:r>
                          </w:p>
                        </w:tc>
                        <w:tc>
                          <w:tcPr>
                            <w:tcW w:w="806" w:type="dxa"/>
                            <w:tcBorders>
                              <w:top w:val="nil"/>
                              <w:left w:val="nil"/>
                              <w:bottom w:val="nil"/>
                              <w:right w:val="single" w:sz="4" w:space="0" w:color="auto"/>
                            </w:tcBorders>
                            <w:shd w:val="clear" w:color="auto" w:fill="auto"/>
                            <w:noWrap/>
                            <w:vAlign w:val="bottom"/>
                            <w:hideMark/>
                          </w:tcPr>
                          <w:p w14:paraId="0B8B1F53" w14:textId="77777777" w:rsidR="000B703C" w:rsidRPr="00112D39" w:rsidRDefault="000B703C" w:rsidP="000B703C">
                            <w:pPr>
                              <w:jc w:val="center"/>
                              <w:rPr>
                                <w:color w:val="000000"/>
                                <w:sz w:val="20"/>
                              </w:rPr>
                            </w:pPr>
                            <w:r w:rsidRPr="00112D39">
                              <w:rPr>
                                <w:color w:val="000000"/>
                                <w:sz w:val="20"/>
                              </w:rPr>
                              <w:t>1038.3</w:t>
                            </w:r>
                          </w:p>
                        </w:tc>
                        <w:tc>
                          <w:tcPr>
                            <w:tcW w:w="900" w:type="dxa"/>
                            <w:tcBorders>
                              <w:top w:val="nil"/>
                              <w:left w:val="nil"/>
                              <w:bottom w:val="nil"/>
                              <w:right w:val="single" w:sz="4" w:space="0" w:color="auto"/>
                            </w:tcBorders>
                            <w:shd w:val="clear" w:color="auto" w:fill="auto"/>
                            <w:noWrap/>
                            <w:vAlign w:val="bottom"/>
                            <w:hideMark/>
                          </w:tcPr>
                          <w:p w14:paraId="733D5BB0" w14:textId="77777777" w:rsidR="000B703C" w:rsidRPr="00112D39" w:rsidRDefault="000B703C" w:rsidP="000B703C">
                            <w:pPr>
                              <w:jc w:val="center"/>
                              <w:rPr>
                                <w:color w:val="000000"/>
                                <w:sz w:val="20"/>
                              </w:rPr>
                            </w:pPr>
                            <w:r w:rsidRPr="00112D39">
                              <w:rPr>
                                <w:color w:val="000000"/>
                                <w:sz w:val="20"/>
                              </w:rPr>
                              <w:t>74.4</w:t>
                            </w:r>
                          </w:p>
                        </w:tc>
                        <w:tc>
                          <w:tcPr>
                            <w:tcW w:w="720" w:type="dxa"/>
                            <w:tcBorders>
                              <w:top w:val="nil"/>
                              <w:left w:val="nil"/>
                              <w:bottom w:val="nil"/>
                              <w:right w:val="single" w:sz="4" w:space="0" w:color="auto"/>
                            </w:tcBorders>
                            <w:vAlign w:val="bottom"/>
                          </w:tcPr>
                          <w:p w14:paraId="13F3530B" w14:textId="77777777" w:rsidR="000B703C" w:rsidRPr="00112D39" w:rsidRDefault="000B703C" w:rsidP="000B703C">
                            <w:pPr>
                              <w:jc w:val="center"/>
                              <w:rPr>
                                <w:color w:val="000000"/>
                                <w:sz w:val="20"/>
                              </w:rPr>
                            </w:pPr>
                            <w:r w:rsidRPr="00112D39">
                              <w:rPr>
                                <w:color w:val="000000"/>
                                <w:sz w:val="20"/>
                              </w:rPr>
                              <w:t>0.13</w:t>
                            </w:r>
                          </w:p>
                        </w:tc>
                        <w:tc>
                          <w:tcPr>
                            <w:tcW w:w="1181" w:type="dxa"/>
                            <w:tcBorders>
                              <w:top w:val="nil"/>
                              <w:left w:val="single" w:sz="4" w:space="0" w:color="auto"/>
                              <w:bottom w:val="nil"/>
                              <w:right w:val="single" w:sz="4" w:space="0" w:color="auto"/>
                            </w:tcBorders>
                            <w:vAlign w:val="bottom"/>
                          </w:tcPr>
                          <w:p w14:paraId="7067B1CD" w14:textId="005C1291" w:rsidR="000B703C" w:rsidRPr="00112D39" w:rsidRDefault="000B703C" w:rsidP="000B703C">
                            <w:pPr>
                              <w:jc w:val="center"/>
                              <w:rPr>
                                <w:color w:val="000000"/>
                                <w:sz w:val="20"/>
                              </w:rPr>
                            </w:pPr>
                            <w:r w:rsidRPr="00112D39">
                              <w:rPr>
                                <w:color w:val="000000"/>
                                <w:sz w:val="20"/>
                              </w:rPr>
                              <w:t>2028</w:t>
                            </w:r>
                          </w:p>
                        </w:tc>
                      </w:tr>
                      <w:tr w:rsidR="000B703C" w:rsidRPr="00112D39" w14:paraId="11CD4953" w14:textId="631388AF"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4FBB4724" w14:textId="77777777" w:rsidR="000B703C" w:rsidRPr="00112D39" w:rsidRDefault="000B703C" w:rsidP="000B703C">
                            <w:pPr>
                              <w:jc w:val="center"/>
                              <w:rPr>
                                <w:color w:val="000000"/>
                                <w:sz w:val="20"/>
                              </w:rPr>
                            </w:pPr>
                            <w:r w:rsidRPr="00112D39">
                              <w:rPr>
                                <w:color w:val="000000"/>
                                <w:sz w:val="20"/>
                              </w:rPr>
                              <w:t>1250 SG</w:t>
                            </w:r>
                          </w:p>
                        </w:tc>
                        <w:tc>
                          <w:tcPr>
                            <w:tcW w:w="806" w:type="dxa"/>
                            <w:tcBorders>
                              <w:top w:val="nil"/>
                              <w:left w:val="nil"/>
                              <w:bottom w:val="nil"/>
                              <w:right w:val="single" w:sz="4" w:space="0" w:color="auto"/>
                            </w:tcBorders>
                            <w:shd w:val="clear" w:color="auto" w:fill="auto"/>
                            <w:noWrap/>
                            <w:vAlign w:val="bottom"/>
                            <w:hideMark/>
                          </w:tcPr>
                          <w:p w14:paraId="5EA50B6A" w14:textId="77777777" w:rsidR="000B703C" w:rsidRPr="00112D39" w:rsidRDefault="000B703C" w:rsidP="000B703C">
                            <w:pPr>
                              <w:jc w:val="center"/>
                              <w:rPr>
                                <w:color w:val="000000"/>
                                <w:sz w:val="20"/>
                              </w:rPr>
                            </w:pPr>
                            <w:r w:rsidRPr="00112D39">
                              <w:rPr>
                                <w:color w:val="000000"/>
                                <w:sz w:val="20"/>
                              </w:rPr>
                              <w:t>1250.4</w:t>
                            </w:r>
                          </w:p>
                        </w:tc>
                        <w:tc>
                          <w:tcPr>
                            <w:tcW w:w="900" w:type="dxa"/>
                            <w:tcBorders>
                              <w:top w:val="nil"/>
                              <w:left w:val="nil"/>
                              <w:bottom w:val="nil"/>
                              <w:right w:val="single" w:sz="4" w:space="0" w:color="auto"/>
                            </w:tcBorders>
                            <w:shd w:val="clear" w:color="auto" w:fill="auto"/>
                            <w:noWrap/>
                            <w:vAlign w:val="bottom"/>
                            <w:hideMark/>
                          </w:tcPr>
                          <w:p w14:paraId="7CB3CB74" w14:textId="77777777" w:rsidR="000B703C" w:rsidRPr="00112D39" w:rsidRDefault="000B703C" w:rsidP="000B703C">
                            <w:pPr>
                              <w:jc w:val="center"/>
                              <w:rPr>
                                <w:color w:val="000000"/>
                                <w:sz w:val="20"/>
                              </w:rPr>
                            </w:pPr>
                            <w:r w:rsidRPr="00112D39">
                              <w:rPr>
                                <w:color w:val="000000"/>
                                <w:sz w:val="20"/>
                              </w:rPr>
                              <w:t>28.5</w:t>
                            </w:r>
                          </w:p>
                        </w:tc>
                        <w:tc>
                          <w:tcPr>
                            <w:tcW w:w="720" w:type="dxa"/>
                            <w:tcBorders>
                              <w:top w:val="nil"/>
                              <w:left w:val="nil"/>
                              <w:bottom w:val="nil"/>
                              <w:right w:val="single" w:sz="4" w:space="0" w:color="auto"/>
                            </w:tcBorders>
                            <w:vAlign w:val="bottom"/>
                          </w:tcPr>
                          <w:p w14:paraId="18911B34" w14:textId="77777777" w:rsidR="000B703C" w:rsidRPr="00112D39" w:rsidRDefault="000B703C" w:rsidP="000B703C">
                            <w:pPr>
                              <w:jc w:val="center"/>
                              <w:rPr>
                                <w:color w:val="000000"/>
                                <w:sz w:val="20"/>
                              </w:rPr>
                            </w:pPr>
                            <w:r w:rsidRPr="00112D39">
                              <w:rPr>
                                <w:color w:val="000000"/>
                                <w:sz w:val="20"/>
                              </w:rPr>
                              <w:t>0.16</w:t>
                            </w:r>
                          </w:p>
                        </w:tc>
                        <w:tc>
                          <w:tcPr>
                            <w:tcW w:w="1181" w:type="dxa"/>
                            <w:tcBorders>
                              <w:top w:val="nil"/>
                              <w:left w:val="single" w:sz="4" w:space="0" w:color="auto"/>
                              <w:bottom w:val="nil"/>
                              <w:right w:val="single" w:sz="4" w:space="0" w:color="auto"/>
                            </w:tcBorders>
                            <w:vAlign w:val="bottom"/>
                          </w:tcPr>
                          <w:p w14:paraId="53C622BC" w14:textId="6740EB90" w:rsidR="000B703C" w:rsidRPr="00112D39" w:rsidRDefault="000B703C" w:rsidP="000B703C">
                            <w:pPr>
                              <w:jc w:val="center"/>
                              <w:rPr>
                                <w:color w:val="000000"/>
                                <w:sz w:val="20"/>
                              </w:rPr>
                            </w:pPr>
                            <w:r w:rsidRPr="00112D39">
                              <w:rPr>
                                <w:color w:val="000000"/>
                                <w:sz w:val="20"/>
                              </w:rPr>
                              <w:t>684</w:t>
                            </w:r>
                          </w:p>
                        </w:tc>
                      </w:tr>
                      <w:tr w:rsidR="000B703C" w:rsidRPr="00112D39" w14:paraId="4B8F8014" w14:textId="77F76876"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0B82A7CF" w14:textId="77777777" w:rsidR="000B703C" w:rsidRPr="00112D39" w:rsidRDefault="000B703C" w:rsidP="000B703C">
                            <w:pPr>
                              <w:jc w:val="center"/>
                              <w:rPr>
                                <w:color w:val="000000"/>
                                <w:sz w:val="20"/>
                              </w:rPr>
                            </w:pPr>
                            <w:r w:rsidRPr="00112D39">
                              <w:rPr>
                                <w:color w:val="000000"/>
                                <w:sz w:val="20"/>
                              </w:rPr>
                              <w:t>1250 HG</w:t>
                            </w:r>
                          </w:p>
                        </w:tc>
                        <w:tc>
                          <w:tcPr>
                            <w:tcW w:w="806" w:type="dxa"/>
                            <w:tcBorders>
                              <w:top w:val="nil"/>
                              <w:left w:val="nil"/>
                              <w:bottom w:val="nil"/>
                              <w:right w:val="single" w:sz="4" w:space="0" w:color="auto"/>
                            </w:tcBorders>
                            <w:shd w:val="clear" w:color="auto" w:fill="auto"/>
                            <w:noWrap/>
                            <w:vAlign w:val="bottom"/>
                            <w:hideMark/>
                          </w:tcPr>
                          <w:p w14:paraId="2E6C5B96" w14:textId="77777777" w:rsidR="000B703C" w:rsidRPr="00112D39" w:rsidRDefault="000B703C" w:rsidP="000B703C">
                            <w:pPr>
                              <w:jc w:val="center"/>
                              <w:rPr>
                                <w:color w:val="000000"/>
                                <w:sz w:val="20"/>
                              </w:rPr>
                            </w:pPr>
                            <w:r w:rsidRPr="00112D39">
                              <w:rPr>
                                <w:color w:val="000000"/>
                                <w:sz w:val="20"/>
                              </w:rPr>
                              <w:t>1248.5</w:t>
                            </w:r>
                          </w:p>
                        </w:tc>
                        <w:tc>
                          <w:tcPr>
                            <w:tcW w:w="900" w:type="dxa"/>
                            <w:tcBorders>
                              <w:top w:val="nil"/>
                              <w:left w:val="nil"/>
                              <w:bottom w:val="nil"/>
                              <w:right w:val="single" w:sz="4" w:space="0" w:color="auto"/>
                            </w:tcBorders>
                            <w:shd w:val="clear" w:color="auto" w:fill="auto"/>
                            <w:noWrap/>
                            <w:vAlign w:val="bottom"/>
                            <w:hideMark/>
                          </w:tcPr>
                          <w:p w14:paraId="0E02437D" w14:textId="77777777" w:rsidR="000B703C" w:rsidRPr="00112D39" w:rsidRDefault="000B703C" w:rsidP="000B703C">
                            <w:pPr>
                              <w:jc w:val="center"/>
                              <w:rPr>
                                <w:color w:val="000000"/>
                                <w:sz w:val="20"/>
                              </w:rPr>
                            </w:pPr>
                            <w:r w:rsidRPr="00112D39">
                              <w:rPr>
                                <w:color w:val="000000"/>
                                <w:sz w:val="20"/>
                              </w:rPr>
                              <w:t>28.6</w:t>
                            </w:r>
                          </w:p>
                        </w:tc>
                        <w:tc>
                          <w:tcPr>
                            <w:tcW w:w="720" w:type="dxa"/>
                            <w:tcBorders>
                              <w:top w:val="nil"/>
                              <w:left w:val="nil"/>
                              <w:bottom w:val="nil"/>
                              <w:right w:val="single" w:sz="4" w:space="0" w:color="auto"/>
                            </w:tcBorders>
                            <w:vAlign w:val="bottom"/>
                          </w:tcPr>
                          <w:p w14:paraId="07E3DC85" w14:textId="77777777" w:rsidR="000B703C" w:rsidRPr="00112D39" w:rsidRDefault="000B703C" w:rsidP="000B703C">
                            <w:pPr>
                              <w:jc w:val="center"/>
                              <w:rPr>
                                <w:color w:val="000000"/>
                                <w:sz w:val="20"/>
                              </w:rPr>
                            </w:pPr>
                            <w:r w:rsidRPr="00112D39">
                              <w:rPr>
                                <w:color w:val="000000"/>
                                <w:sz w:val="20"/>
                              </w:rPr>
                              <w:t>0.13</w:t>
                            </w:r>
                          </w:p>
                        </w:tc>
                        <w:tc>
                          <w:tcPr>
                            <w:tcW w:w="1181" w:type="dxa"/>
                            <w:tcBorders>
                              <w:top w:val="nil"/>
                              <w:left w:val="single" w:sz="4" w:space="0" w:color="auto"/>
                              <w:bottom w:val="nil"/>
                              <w:right w:val="single" w:sz="4" w:space="0" w:color="auto"/>
                            </w:tcBorders>
                            <w:vAlign w:val="bottom"/>
                          </w:tcPr>
                          <w:p w14:paraId="7BEC8BDB" w14:textId="4099D791" w:rsidR="000B703C" w:rsidRPr="00112D39" w:rsidRDefault="000B703C" w:rsidP="000B703C">
                            <w:pPr>
                              <w:jc w:val="center"/>
                              <w:rPr>
                                <w:color w:val="000000"/>
                                <w:sz w:val="20"/>
                              </w:rPr>
                            </w:pPr>
                            <w:r w:rsidRPr="00112D39">
                              <w:rPr>
                                <w:color w:val="000000"/>
                                <w:sz w:val="20"/>
                              </w:rPr>
                              <w:t>5494</w:t>
                            </w:r>
                          </w:p>
                        </w:tc>
                      </w:tr>
                      <w:tr w:rsidR="000B703C" w:rsidRPr="00112D39" w14:paraId="67437A0F" w14:textId="7579B0CC"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5B316E15" w14:textId="77777777" w:rsidR="000B703C" w:rsidRPr="00112D39" w:rsidRDefault="000B703C" w:rsidP="000B703C">
                            <w:pPr>
                              <w:jc w:val="center"/>
                              <w:rPr>
                                <w:color w:val="000000"/>
                                <w:sz w:val="20"/>
                              </w:rPr>
                            </w:pPr>
                            <w:r w:rsidRPr="00112D39">
                              <w:rPr>
                                <w:color w:val="000000"/>
                                <w:sz w:val="20"/>
                              </w:rPr>
                              <w:t>1378 SG</w:t>
                            </w:r>
                          </w:p>
                        </w:tc>
                        <w:tc>
                          <w:tcPr>
                            <w:tcW w:w="806" w:type="dxa"/>
                            <w:tcBorders>
                              <w:top w:val="nil"/>
                              <w:left w:val="nil"/>
                              <w:bottom w:val="nil"/>
                              <w:right w:val="single" w:sz="4" w:space="0" w:color="auto"/>
                            </w:tcBorders>
                            <w:shd w:val="clear" w:color="auto" w:fill="auto"/>
                            <w:noWrap/>
                            <w:vAlign w:val="bottom"/>
                            <w:hideMark/>
                          </w:tcPr>
                          <w:p w14:paraId="12590E46" w14:textId="77777777" w:rsidR="000B703C" w:rsidRPr="00112D39" w:rsidRDefault="000B703C" w:rsidP="000B703C">
                            <w:pPr>
                              <w:jc w:val="center"/>
                              <w:rPr>
                                <w:color w:val="000000"/>
                                <w:sz w:val="20"/>
                              </w:rPr>
                            </w:pPr>
                            <w:r w:rsidRPr="00112D39">
                              <w:rPr>
                                <w:color w:val="000000"/>
                                <w:sz w:val="20"/>
                              </w:rPr>
                              <w:t>1378.2</w:t>
                            </w:r>
                          </w:p>
                        </w:tc>
                        <w:tc>
                          <w:tcPr>
                            <w:tcW w:w="900" w:type="dxa"/>
                            <w:tcBorders>
                              <w:top w:val="nil"/>
                              <w:left w:val="nil"/>
                              <w:bottom w:val="nil"/>
                              <w:right w:val="single" w:sz="4" w:space="0" w:color="auto"/>
                            </w:tcBorders>
                            <w:shd w:val="clear" w:color="auto" w:fill="auto"/>
                            <w:noWrap/>
                            <w:vAlign w:val="bottom"/>
                            <w:hideMark/>
                          </w:tcPr>
                          <w:p w14:paraId="7D854375" w14:textId="77777777" w:rsidR="000B703C" w:rsidRPr="00112D39" w:rsidRDefault="000B703C" w:rsidP="000B703C">
                            <w:pPr>
                              <w:jc w:val="center"/>
                              <w:rPr>
                                <w:color w:val="000000"/>
                                <w:sz w:val="20"/>
                              </w:rPr>
                            </w:pPr>
                            <w:r w:rsidRPr="00112D39">
                              <w:rPr>
                                <w:color w:val="000000"/>
                                <w:sz w:val="20"/>
                              </w:rPr>
                              <w:t>14.4</w:t>
                            </w:r>
                          </w:p>
                        </w:tc>
                        <w:tc>
                          <w:tcPr>
                            <w:tcW w:w="720" w:type="dxa"/>
                            <w:tcBorders>
                              <w:top w:val="nil"/>
                              <w:left w:val="nil"/>
                              <w:bottom w:val="nil"/>
                              <w:right w:val="single" w:sz="4" w:space="0" w:color="auto"/>
                            </w:tcBorders>
                            <w:vAlign w:val="bottom"/>
                          </w:tcPr>
                          <w:p w14:paraId="7C79C9E6" w14:textId="77777777" w:rsidR="000B703C" w:rsidRPr="00112D39" w:rsidRDefault="000B703C" w:rsidP="000B703C">
                            <w:pPr>
                              <w:jc w:val="center"/>
                              <w:rPr>
                                <w:color w:val="000000"/>
                                <w:sz w:val="20"/>
                              </w:rPr>
                            </w:pPr>
                            <w:r w:rsidRPr="00112D39">
                              <w:rPr>
                                <w:color w:val="000000"/>
                                <w:sz w:val="20"/>
                              </w:rPr>
                              <w:t>0.19</w:t>
                            </w:r>
                          </w:p>
                        </w:tc>
                        <w:tc>
                          <w:tcPr>
                            <w:tcW w:w="1181" w:type="dxa"/>
                            <w:tcBorders>
                              <w:top w:val="nil"/>
                              <w:left w:val="single" w:sz="4" w:space="0" w:color="auto"/>
                              <w:bottom w:val="nil"/>
                              <w:right w:val="single" w:sz="4" w:space="0" w:color="auto"/>
                            </w:tcBorders>
                            <w:vAlign w:val="bottom"/>
                          </w:tcPr>
                          <w:p w14:paraId="6D804B53" w14:textId="68EFBF3F" w:rsidR="000B703C" w:rsidRPr="00112D39" w:rsidRDefault="000B703C" w:rsidP="000B703C">
                            <w:pPr>
                              <w:jc w:val="center"/>
                              <w:rPr>
                                <w:color w:val="000000"/>
                                <w:sz w:val="20"/>
                              </w:rPr>
                            </w:pPr>
                            <w:r w:rsidRPr="00112D39">
                              <w:rPr>
                                <w:color w:val="000000"/>
                                <w:sz w:val="20"/>
                              </w:rPr>
                              <w:t>763</w:t>
                            </w:r>
                          </w:p>
                        </w:tc>
                      </w:tr>
                      <w:tr w:rsidR="000B703C" w:rsidRPr="00112D39" w14:paraId="6C905B57" w14:textId="55E01FB3"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22AE74E2" w14:textId="77777777" w:rsidR="000B703C" w:rsidRPr="00112D39" w:rsidRDefault="000B703C" w:rsidP="000B703C">
                            <w:pPr>
                              <w:jc w:val="center"/>
                              <w:rPr>
                                <w:color w:val="000000"/>
                                <w:sz w:val="20"/>
                              </w:rPr>
                            </w:pPr>
                            <w:r w:rsidRPr="00112D39">
                              <w:rPr>
                                <w:color w:val="000000"/>
                                <w:sz w:val="20"/>
                              </w:rPr>
                              <w:t>1615 SG</w:t>
                            </w:r>
                          </w:p>
                        </w:tc>
                        <w:tc>
                          <w:tcPr>
                            <w:tcW w:w="806" w:type="dxa"/>
                            <w:tcBorders>
                              <w:top w:val="nil"/>
                              <w:left w:val="nil"/>
                              <w:bottom w:val="nil"/>
                              <w:right w:val="single" w:sz="4" w:space="0" w:color="auto"/>
                            </w:tcBorders>
                            <w:shd w:val="clear" w:color="auto" w:fill="auto"/>
                            <w:noWrap/>
                            <w:vAlign w:val="bottom"/>
                            <w:hideMark/>
                          </w:tcPr>
                          <w:p w14:paraId="19C6B701" w14:textId="77777777" w:rsidR="000B703C" w:rsidRPr="00112D39" w:rsidRDefault="000B703C" w:rsidP="000B703C">
                            <w:pPr>
                              <w:jc w:val="center"/>
                              <w:rPr>
                                <w:color w:val="000000"/>
                                <w:sz w:val="20"/>
                              </w:rPr>
                            </w:pPr>
                            <w:r w:rsidRPr="00112D39">
                              <w:rPr>
                                <w:color w:val="000000"/>
                                <w:sz w:val="20"/>
                              </w:rPr>
                              <w:t>1619.6</w:t>
                            </w:r>
                          </w:p>
                        </w:tc>
                        <w:tc>
                          <w:tcPr>
                            <w:tcW w:w="900" w:type="dxa"/>
                            <w:tcBorders>
                              <w:top w:val="nil"/>
                              <w:left w:val="nil"/>
                              <w:bottom w:val="nil"/>
                              <w:right w:val="single" w:sz="4" w:space="0" w:color="auto"/>
                            </w:tcBorders>
                            <w:shd w:val="clear" w:color="auto" w:fill="auto"/>
                            <w:noWrap/>
                            <w:vAlign w:val="bottom"/>
                            <w:hideMark/>
                          </w:tcPr>
                          <w:p w14:paraId="77675DFA" w14:textId="77777777" w:rsidR="000B703C" w:rsidRPr="00112D39" w:rsidRDefault="000B703C" w:rsidP="000B703C">
                            <w:pPr>
                              <w:jc w:val="center"/>
                              <w:rPr>
                                <w:color w:val="000000"/>
                                <w:sz w:val="20"/>
                              </w:rPr>
                            </w:pPr>
                            <w:r w:rsidRPr="00112D39">
                              <w:rPr>
                                <w:color w:val="000000"/>
                                <w:sz w:val="20"/>
                              </w:rPr>
                              <w:t>73.7</w:t>
                            </w:r>
                          </w:p>
                        </w:tc>
                        <w:tc>
                          <w:tcPr>
                            <w:tcW w:w="720" w:type="dxa"/>
                            <w:tcBorders>
                              <w:top w:val="nil"/>
                              <w:left w:val="nil"/>
                              <w:bottom w:val="nil"/>
                              <w:right w:val="single" w:sz="4" w:space="0" w:color="auto"/>
                            </w:tcBorders>
                            <w:vAlign w:val="bottom"/>
                          </w:tcPr>
                          <w:p w14:paraId="538D3E00" w14:textId="77777777" w:rsidR="000B703C" w:rsidRPr="00112D39" w:rsidRDefault="000B703C" w:rsidP="000B703C">
                            <w:pPr>
                              <w:jc w:val="center"/>
                              <w:rPr>
                                <w:color w:val="000000"/>
                                <w:sz w:val="20"/>
                              </w:rPr>
                            </w:pPr>
                            <w:r w:rsidRPr="00112D39">
                              <w:rPr>
                                <w:color w:val="000000"/>
                                <w:sz w:val="20"/>
                              </w:rPr>
                              <w:t>0.11</w:t>
                            </w:r>
                          </w:p>
                        </w:tc>
                        <w:tc>
                          <w:tcPr>
                            <w:tcW w:w="1181" w:type="dxa"/>
                            <w:tcBorders>
                              <w:top w:val="nil"/>
                              <w:left w:val="single" w:sz="4" w:space="0" w:color="auto"/>
                              <w:bottom w:val="nil"/>
                              <w:right w:val="single" w:sz="4" w:space="0" w:color="auto"/>
                            </w:tcBorders>
                            <w:vAlign w:val="bottom"/>
                          </w:tcPr>
                          <w:p w14:paraId="5D298939" w14:textId="5088D177" w:rsidR="000B703C" w:rsidRPr="00112D39" w:rsidRDefault="000B703C" w:rsidP="000B703C">
                            <w:pPr>
                              <w:jc w:val="center"/>
                              <w:rPr>
                                <w:color w:val="000000"/>
                                <w:sz w:val="20"/>
                              </w:rPr>
                            </w:pPr>
                            <w:r w:rsidRPr="00112D39">
                              <w:rPr>
                                <w:color w:val="000000"/>
                                <w:sz w:val="20"/>
                              </w:rPr>
                              <w:t>1571</w:t>
                            </w:r>
                          </w:p>
                        </w:tc>
                      </w:tr>
                      <w:tr w:rsidR="000B703C" w:rsidRPr="00112D39" w14:paraId="1D6FEEF6" w14:textId="65255957"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790D1489" w14:textId="77777777" w:rsidR="000B703C" w:rsidRPr="00112D39" w:rsidRDefault="000B703C" w:rsidP="000B703C">
                            <w:pPr>
                              <w:jc w:val="center"/>
                              <w:rPr>
                                <w:color w:val="000000"/>
                                <w:sz w:val="20"/>
                              </w:rPr>
                            </w:pPr>
                            <w:r w:rsidRPr="00112D39">
                              <w:rPr>
                                <w:color w:val="000000"/>
                                <w:sz w:val="20"/>
                              </w:rPr>
                              <w:t>1615 HG</w:t>
                            </w:r>
                          </w:p>
                        </w:tc>
                        <w:tc>
                          <w:tcPr>
                            <w:tcW w:w="806" w:type="dxa"/>
                            <w:tcBorders>
                              <w:top w:val="nil"/>
                              <w:left w:val="nil"/>
                              <w:bottom w:val="nil"/>
                              <w:right w:val="single" w:sz="4" w:space="0" w:color="auto"/>
                            </w:tcBorders>
                            <w:shd w:val="clear" w:color="auto" w:fill="auto"/>
                            <w:noWrap/>
                            <w:vAlign w:val="bottom"/>
                            <w:hideMark/>
                          </w:tcPr>
                          <w:p w14:paraId="05D9B665" w14:textId="77777777" w:rsidR="000B703C" w:rsidRPr="00112D39" w:rsidRDefault="000B703C" w:rsidP="000B703C">
                            <w:pPr>
                              <w:jc w:val="center"/>
                              <w:rPr>
                                <w:color w:val="000000"/>
                                <w:sz w:val="20"/>
                              </w:rPr>
                            </w:pPr>
                            <w:r w:rsidRPr="00112D39">
                              <w:rPr>
                                <w:color w:val="000000"/>
                                <w:sz w:val="20"/>
                              </w:rPr>
                              <w:t>1618.0</w:t>
                            </w:r>
                          </w:p>
                        </w:tc>
                        <w:tc>
                          <w:tcPr>
                            <w:tcW w:w="900" w:type="dxa"/>
                            <w:tcBorders>
                              <w:top w:val="nil"/>
                              <w:left w:val="nil"/>
                              <w:bottom w:val="nil"/>
                              <w:right w:val="single" w:sz="4" w:space="0" w:color="auto"/>
                            </w:tcBorders>
                            <w:shd w:val="clear" w:color="auto" w:fill="auto"/>
                            <w:noWrap/>
                            <w:vAlign w:val="bottom"/>
                            <w:hideMark/>
                          </w:tcPr>
                          <w:p w14:paraId="0C370674" w14:textId="77777777" w:rsidR="000B703C" w:rsidRPr="00112D39" w:rsidRDefault="000B703C" w:rsidP="000B703C">
                            <w:pPr>
                              <w:jc w:val="center"/>
                              <w:rPr>
                                <w:color w:val="000000"/>
                                <w:sz w:val="20"/>
                              </w:rPr>
                            </w:pPr>
                            <w:r w:rsidRPr="00112D39">
                              <w:rPr>
                                <w:color w:val="000000"/>
                                <w:sz w:val="20"/>
                              </w:rPr>
                              <w:t>73.6</w:t>
                            </w:r>
                          </w:p>
                        </w:tc>
                        <w:tc>
                          <w:tcPr>
                            <w:tcW w:w="720" w:type="dxa"/>
                            <w:tcBorders>
                              <w:top w:val="nil"/>
                              <w:left w:val="nil"/>
                              <w:bottom w:val="nil"/>
                              <w:right w:val="single" w:sz="4" w:space="0" w:color="auto"/>
                            </w:tcBorders>
                            <w:vAlign w:val="bottom"/>
                          </w:tcPr>
                          <w:p w14:paraId="35FF47BD" w14:textId="77777777" w:rsidR="000B703C" w:rsidRPr="00112D39" w:rsidRDefault="000B703C" w:rsidP="000B703C">
                            <w:pPr>
                              <w:jc w:val="center"/>
                              <w:rPr>
                                <w:color w:val="000000"/>
                                <w:sz w:val="20"/>
                              </w:rPr>
                            </w:pPr>
                            <w:r w:rsidRPr="00112D39">
                              <w:rPr>
                                <w:color w:val="000000"/>
                                <w:sz w:val="20"/>
                              </w:rPr>
                              <w:t>0.11</w:t>
                            </w:r>
                          </w:p>
                        </w:tc>
                        <w:tc>
                          <w:tcPr>
                            <w:tcW w:w="1181" w:type="dxa"/>
                            <w:tcBorders>
                              <w:top w:val="nil"/>
                              <w:left w:val="single" w:sz="4" w:space="0" w:color="auto"/>
                              <w:bottom w:val="nil"/>
                              <w:right w:val="single" w:sz="4" w:space="0" w:color="auto"/>
                            </w:tcBorders>
                            <w:vAlign w:val="bottom"/>
                          </w:tcPr>
                          <w:p w14:paraId="2A2C7BBC" w14:textId="2BD8AC8E" w:rsidR="000B703C" w:rsidRPr="00112D39" w:rsidRDefault="000B703C" w:rsidP="000B703C">
                            <w:pPr>
                              <w:jc w:val="center"/>
                              <w:rPr>
                                <w:color w:val="000000"/>
                                <w:sz w:val="20"/>
                              </w:rPr>
                            </w:pPr>
                            <w:r w:rsidRPr="00112D39">
                              <w:rPr>
                                <w:color w:val="000000"/>
                                <w:sz w:val="20"/>
                              </w:rPr>
                              <w:t>12186</w:t>
                            </w:r>
                          </w:p>
                        </w:tc>
                      </w:tr>
                      <w:tr w:rsidR="000B703C" w:rsidRPr="00112D39" w14:paraId="533C4B2B" w14:textId="3005962A" w:rsidTr="000B703C">
                        <w:trPr>
                          <w:trHeight w:val="236"/>
                        </w:trPr>
                        <w:tc>
                          <w:tcPr>
                            <w:tcW w:w="983" w:type="dxa"/>
                            <w:tcBorders>
                              <w:top w:val="nil"/>
                              <w:left w:val="single" w:sz="4" w:space="0" w:color="auto"/>
                              <w:bottom w:val="nil"/>
                              <w:right w:val="single" w:sz="4" w:space="0" w:color="auto"/>
                            </w:tcBorders>
                            <w:shd w:val="clear" w:color="auto" w:fill="auto"/>
                            <w:noWrap/>
                            <w:vAlign w:val="bottom"/>
                            <w:hideMark/>
                          </w:tcPr>
                          <w:p w14:paraId="6A2F09EA" w14:textId="77777777" w:rsidR="000B703C" w:rsidRPr="00112D39" w:rsidRDefault="000B703C" w:rsidP="000B703C">
                            <w:pPr>
                              <w:jc w:val="center"/>
                              <w:rPr>
                                <w:color w:val="000000"/>
                                <w:sz w:val="20"/>
                              </w:rPr>
                            </w:pPr>
                            <w:r w:rsidRPr="00112D39">
                              <w:rPr>
                                <w:color w:val="000000"/>
                                <w:sz w:val="20"/>
                              </w:rPr>
                              <w:t>2130 SG</w:t>
                            </w:r>
                          </w:p>
                        </w:tc>
                        <w:tc>
                          <w:tcPr>
                            <w:tcW w:w="806" w:type="dxa"/>
                            <w:tcBorders>
                              <w:top w:val="nil"/>
                              <w:left w:val="nil"/>
                              <w:bottom w:val="nil"/>
                              <w:right w:val="single" w:sz="4" w:space="0" w:color="auto"/>
                            </w:tcBorders>
                            <w:shd w:val="clear" w:color="auto" w:fill="auto"/>
                            <w:noWrap/>
                            <w:vAlign w:val="bottom"/>
                            <w:hideMark/>
                          </w:tcPr>
                          <w:p w14:paraId="299C38D7" w14:textId="77777777" w:rsidR="000B703C" w:rsidRPr="00112D39" w:rsidRDefault="000B703C" w:rsidP="000B703C">
                            <w:pPr>
                              <w:jc w:val="center"/>
                              <w:rPr>
                                <w:color w:val="000000"/>
                                <w:sz w:val="20"/>
                              </w:rPr>
                            </w:pPr>
                            <w:r w:rsidRPr="00112D39">
                              <w:rPr>
                                <w:color w:val="000000"/>
                                <w:sz w:val="20"/>
                              </w:rPr>
                              <w:t>2130.6</w:t>
                            </w:r>
                          </w:p>
                        </w:tc>
                        <w:tc>
                          <w:tcPr>
                            <w:tcW w:w="900" w:type="dxa"/>
                            <w:tcBorders>
                              <w:top w:val="nil"/>
                              <w:left w:val="nil"/>
                              <w:bottom w:val="nil"/>
                              <w:right w:val="single" w:sz="4" w:space="0" w:color="auto"/>
                            </w:tcBorders>
                            <w:shd w:val="clear" w:color="auto" w:fill="auto"/>
                            <w:noWrap/>
                            <w:vAlign w:val="bottom"/>
                            <w:hideMark/>
                          </w:tcPr>
                          <w:p w14:paraId="693D59FC" w14:textId="77777777" w:rsidR="000B703C" w:rsidRPr="00112D39" w:rsidRDefault="000B703C" w:rsidP="000B703C">
                            <w:pPr>
                              <w:jc w:val="center"/>
                              <w:rPr>
                                <w:color w:val="000000"/>
                                <w:sz w:val="20"/>
                              </w:rPr>
                            </w:pPr>
                            <w:r w:rsidRPr="00112D39">
                              <w:rPr>
                                <w:color w:val="000000"/>
                                <w:sz w:val="20"/>
                              </w:rPr>
                              <w:t>49.3</w:t>
                            </w:r>
                          </w:p>
                        </w:tc>
                        <w:tc>
                          <w:tcPr>
                            <w:tcW w:w="720" w:type="dxa"/>
                            <w:tcBorders>
                              <w:top w:val="nil"/>
                              <w:left w:val="nil"/>
                              <w:bottom w:val="nil"/>
                              <w:right w:val="single" w:sz="4" w:space="0" w:color="auto"/>
                            </w:tcBorders>
                            <w:vAlign w:val="bottom"/>
                          </w:tcPr>
                          <w:p w14:paraId="71B1F621" w14:textId="77777777" w:rsidR="000B703C" w:rsidRPr="00112D39" w:rsidRDefault="000B703C" w:rsidP="000B703C">
                            <w:pPr>
                              <w:jc w:val="center"/>
                              <w:rPr>
                                <w:color w:val="000000"/>
                                <w:sz w:val="20"/>
                              </w:rPr>
                            </w:pPr>
                            <w:r w:rsidRPr="00112D39">
                              <w:rPr>
                                <w:color w:val="000000"/>
                                <w:sz w:val="20"/>
                              </w:rPr>
                              <w:t>0.12</w:t>
                            </w:r>
                          </w:p>
                        </w:tc>
                        <w:tc>
                          <w:tcPr>
                            <w:tcW w:w="1181" w:type="dxa"/>
                            <w:tcBorders>
                              <w:top w:val="nil"/>
                              <w:left w:val="single" w:sz="4" w:space="0" w:color="auto"/>
                              <w:right w:val="single" w:sz="4" w:space="0" w:color="auto"/>
                            </w:tcBorders>
                            <w:vAlign w:val="bottom"/>
                          </w:tcPr>
                          <w:p w14:paraId="4493BFAF" w14:textId="326093C3" w:rsidR="000B703C" w:rsidRPr="00112D39" w:rsidRDefault="000B703C" w:rsidP="000B703C">
                            <w:pPr>
                              <w:jc w:val="center"/>
                              <w:rPr>
                                <w:color w:val="000000"/>
                                <w:sz w:val="20"/>
                              </w:rPr>
                            </w:pPr>
                            <w:r w:rsidRPr="00112D39">
                              <w:rPr>
                                <w:color w:val="000000"/>
                                <w:sz w:val="20"/>
                              </w:rPr>
                              <w:t>4652</w:t>
                            </w:r>
                          </w:p>
                        </w:tc>
                      </w:tr>
                      <w:tr w:rsidR="000B703C" w:rsidRPr="00112D39" w14:paraId="36A0ABA3" w14:textId="043403D2" w:rsidTr="000B703C">
                        <w:trPr>
                          <w:trHeight w:val="236"/>
                        </w:trPr>
                        <w:tc>
                          <w:tcPr>
                            <w:tcW w:w="983" w:type="dxa"/>
                            <w:tcBorders>
                              <w:top w:val="nil"/>
                              <w:left w:val="single" w:sz="4" w:space="0" w:color="auto"/>
                              <w:bottom w:val="single" w:sz="4" w:space="0" w:color="auto"/>
                              <w:right w:val="single" w:sz="4" w:space="0" w:color="auto"/>
                            </w:tcBorders>
                            <w:shd w:val="clear" w:color="auto" w:fill="auto"/>
                            <w:noWrap/>
                            <w:vAlign w:val="bottom"/>
                            <w:hideMark/>
                          </w:tcPr>
                          <w:p w14:paraId="4B1CA223" w14:textId="77777777" w:rsidR="000B703C" w:rsidRPr="00112D39" w:rsidRDefault="000B703C" w:rsidP="000B703C">
                            <w:pPr>
                              <w:jc w:val="center"/>
                              <w:rPr>
                                <w:color w:val="000000"/>
                                <w:sz w:val="20"/>
                              </w:rPr>
                            </w:pPr>
                            <w:r w:rsidRPr="00112D39">
                              <w:rPr>
                                <w:color w:val="000000"/>
                                <w:sz w:val="20"/>
                              </w:rPr>
                              <w:t>2260 SG</w:t>
                            </w:r>
                          </w:p>
                        </w:tc>
                        <w:tc>
                          <w:tcPr>
                            <w:tcW w:w="806" w:type="dxa"/>
                            <w:tcBorders>
                              <w:top w:val="nil"/>
                              <w:left w:val="nil"/>
                              <w:bottom w:val="single" w:sz="4" w:space="0" w:color="auto"/>
                              <w:right w:val="single" w:sz="4" w:space="0" w:color="auto"/>
                            </w:tcBorders>
                            <w:shd w:val="clear" w:color="auto" w:fill="auto"/>
                            <w:noWrap/>
                            <w:vAlign w:val="bottom"/>
                            <w:hideMark/>
                          </w:tcPr>
                          <w:p w14:paraId="2484F9AD" w14:textId="77777777" w:rsidR="000B703C" w:rsidRPr="00112D39" w:rsidRDefault="000B703C" w:rsidP="000B703C">
                            <w:pPr>
                              <w:jc w:val="center"/>
                              <w:rPr>
                                <w:color w:val="000000"/>
                                <w:sz w:val="20"/>
                              </w:rPr>
                            </w:pPr>
                            <w:r w:rsidRPr="00112D39">
                              <w:rPr>
                                <w:color w:val="000000"/>
                                <w:sz w:val="20"/>
                              </w:rPr>
                              <w:t>2258.4</w:t>
                            </w:r>
                          </w:p>
                        </w:tc>
                        <w:tc>
                          <w:tcPr>
                            <w:tcW w:w="900" w:type="dxa"/>
                            <w:tcBorders>
                              <w:top w:val="nil"/>
                              <w:left w:val="nil"/>
                              <w:bottom w:val="single" w:sz="4" w:space="0" w:color="auto"/>
                              <w:right w:val="single" w:sz="4" w:space="0" w:color="auto"/>
                            </w:tcBorders>
                            <w:shd w:val="clear" w:color="auto" w:fill="auto"/>
                            <w:noWrap/>
                            <w:vAlign w:val="bottom"/>
                            <w:hideMark/>
                          </w:tcPr>
                          <w:p w14:paraId="1C6B16F9" w14:textId="77777777" w:rsidR="000B703C" w:rsidRPr="00112D39" w:rsidRDefault="000B703C" w:rsidP="000B703C">
                            <w:pPr>
                              <w:jc w:val="center"/>
                              <w:rPr>
                                <w:color w:val="000000"/>
                                <w:sz w:val="20"/>
                              </w:rPr>
                            </w:pPr>
                            <w:r w:rsidRPr="00112D39">
                              <w:rPr>
                                <w:color w:val="000000"/>
                                <w:sz w:val="20"/>
                              </w:rPr>
                              <w:t>72.8</w:t>
                            </w:r>
                          </w:p>
                        </w:tc>
                        <w:tc>
                          <w:tcPr>
                            <w:tcW w:w="720" w:type="dxa"/>
                            <w:tcBorders>
                              <w:top w:val="nil"/>
                              <w:left w:val="nil"/>
                              <w:bottom w:val="single" w:sz="4" w:space="0" w:color="auto"/>
                              <w:right w:val="single" w:sz="4" w:space="0" w:color="auto"/>
                            </w:tcBorders>
                            <w:vAlign w:val="bottom"/>
                          </w:tcPr>
                          <w:p w14:paraId="535D1FFA" w14:textId="77777777" w:rsidR="000B703C" w:rsidRPr="00112D39" w:rsidRDefault="000B703C" w:rsidP="000B703C">
                            <w:pPr>
                              <w:jc w:val="center"/>
                              <w:rPr>
                                <w:color w:val="000000"/>
                                <w:sz w:val="20"/>
                              </w:rPr>
                            </w:pPr>
                            <w:r w:rsidRPr="00112D39">
                              <w:rPr>
                                <w:color w:val="000000"/>
                                <w:sz w:val="20"/>
                              </w:rPr>
                              <w:t>0.18</w:t>
                            </w:r>
                          </w:p>
                        </w:tc>
                        <w:tc>
                          <w:tcPr>
                            <w:tcW w:w="1181" w:type="dxa"/>
                            <w:tcBorders>
                              <w:left w:val="single" w:sz="4" w:space="0" w:color="auto"/>
                              <w:bottom w:val="single" w:sz="4" w:space="0" w:color="auto"/>
                              <w:right w:val="single" w:sz="4" w:space="0" w:color="auto"/>
                            </w:tcBorders>
                            <w:vAlign w:val="bottom"/>
                          </w:tcPr>
                          <w:p w14:paraId="34B3F4B2" w14:textId="3E1160F4" w:rsidR="000B703C" w:rsidRPr="00112D39" w:rsidRDefault="000B703C" w:rsidP="000B703C">
                            <w:pPr>
                              <w:jc w:val="center"/>
                              <w:rPr>
                                <w:color w:val="000000"/>
                                <w:sz w:val="20"/>
                              </w:rPr>
                            </w:pPr>
                            <w:r w:rsidRPr="00112D39">
                              <w:rPr>
                                <w:color w:val="000000"/>
                                <w:sz w:val="20"/>
                              </w:rPr>
                              <w:t>6440</w:t>
                            </w:r>
                          </w:p>
                        </w:tc>
                      </w:tr>
                    </w:tbl>
                    <w:p w14:paraId="4CE562AE" w14:textId="77777777" w:rsidR="000920D7" w:rsidRPr="004A328A" w:rsidRDefault="000920D7" w:rsidP="000B703C"/>
                  </w:txbxContent>
                </v:textbox>
                <w10:wrap type="topAndBottom" anchorx="margin" anchory="margin"/>
              </v:shape>
            </w:pict>
          </mc:Fallback>
        </mc:AlternateContent>
      </w:r>
      <w:r w:rsidR="000668EC" w:rsidRPr="000668EC">
        <w:rPr>
          <w:sz w:val="20"/>
          <w:szCs w:val="16"/>
        </w:rPr>
        <w:t xml:space="preserve">The SWIR </w:t>
      </w:r>
      <w:r w:rsidR="00052CB5">
        <w:rPr>
          <w:sz w:val="20"/>
          <w:szCs w:val="16"/>
        </w:rPr>
        <w:t>D</w:t>
      </w:r>
      <w:r w:rsidR="00C132AB">
        <w:rPr>
          <w:sz w:val="20"/>
          <w:szCs w:val="16"/>
        </w:rPr>
        <w:t xml:space="preserve">etector </w:t>
      </w:r>
      <w:r w:rsidR="00052CB5">
        <w:rPr>
          <w:sz w:val="20"/>
          <w:szCs w:val="16"/>
        </w:rPr>
        <w:t xml:space="preserve">Assembly </w:t>
      </w:r>
      <w:r w:rsidR="00C629E6">
        <w:rPr>
          <w:sz w:val="20"/>
          <w:szCs w:val="16"/>
        </w:rPr>
        <w:t xml:space="preserve">provides </w:t>
      </w:r>
      <w:r w:rsidR="00AF395C">
        <w:rPr>
          <w:sz w:val="20"/>
          <w:szCs w:val="16"/>
        </w:rPr>
        <w:t>nine</w:t>
      </w:r>
      <w:r w:rsidR="00C629E6">
        <w:rPr>
          <w:sz w:val="20"/>
          <w:szCs w:val="16"/>
        </w:rPr>
        <w:t xml:space="preserve"> bands as shown in Table 1. Figure 5 shows the in-band RSR profile for each SWIR band.</w:t>
      </w:r>
      <w:r w:rsidR="00C629E6" w:rsidRPr="00C629E6">
        <w:rPr>
          <w:sz w:val="20"/>
        </w:rPr>
        <w:t xml:space="preserve"> </w:t>
      </w:r>
      <w:r w:rsidR="00C629E6">
        <w:rPr>
          <w:sz w:val="20"/>
        </w:rPr>
        <w:t>Most bands show a clear “hump” on the upper edge of the band. This is thought to be due to the edge effects of the filters. Figure 6 shows a log plot of the OOB RSR for each SWIR band. Like the hyperspectral bands, the noise floor limited the RSR to a minimum of 10</w:t>
      </w:r>
      <w:r w:rsidR="00C629E6" w:rsidRPr="00C629E6">
        <w:rPr>
          <w:sz w:val="20"/>
          <w:vertAlign w:val="superscript"/>
        </w:rPr>
        <w:t>-6</w:t>
      </w:r>
      <w:r w:rsidR="00C629E6">
        <w:rPr>
          <w:sz w:val="20"/>
        </w:rPr>
        <w:t>. There are clear OOB response features in each band with peaks up to 10</w:t>
      </w:r>
      <w:r w:rsidR="00C629E6" w:rsidRPr="00C629E6">
        <w:rPr>
          <w:sz w:val="20"/>
          <w:vertAlign w:val="superscript"/>
        </w:rPr>
        <w:t>-4</w:t>
      </w:r>
      <w:r w:rsidR="00C629E6">
        <w:rPr>
          <w:sz w:val="20"/>
        </w:rPr>
        <w:t>.</w:t>
      </w:r>
      <w:r w:rsidR="00192090">
        <w:rPr>
          <w:sz w:val="20"/>
        </w:rPr>
        <w:t xml:space="preserve"> These features were expected based on component level testing of the SDA.</w:t>
      </w:r>
    </w:p>
    <w:p w14:paraId="46269B99" w14:textId="77777777" w:rsidR="00A37F33" w:rsidRDefault="00A37F33" w:rsidP="000668EC">
      <w:pPr>
        <w:jc w:val="center"/>
        <w:rPr>
          <w:b/>
          <w:caps/>
          <w:sz w:val="20"/>
        </w:rPr>
      </w:pPr>
    </w:p>
    <w:p w14:paraId="06EB624A" w14:textId="77777777" w:rsidR="00DD3745" w:rsidRDefault="00DD3745" w:rsidP="000668EC">
      <w:pPr>
        <w:jc w:val="center"/>
        <w:rPr>
          <w:b/>
          <w:caps/>
          <w:sz w:val="20"/>
        </w:rPr>
      </w:pPr>
    </w:p>
    <w:p w14:paraId="2D8B0166" w14:textId="6B21B360" w:rsidR="000668EC" w:rsidRDefault="000668EC" w:rsidP="000668EC">
      <w:pPr>
        <w:jc w:val="center"/>
        <w:rPr>
          <w:b/>
          <w:caps/>
          <w:sz w:val="20"/>
        </w:rPr>
      </w:pPr>
      <w:r>
        <w:rPr>
          <w:b/>
          <w:caps/>
          <w:sz w:val="20"/>
        </w:rPr>
        <w:t>5. conclusion</w:t>
      </w:r>
    </w:p>
    <w:p w14:paraId="1F4A6FDA" w14:textId="05B1C861" w:rsidR="000668EC" w:rsidRDefault="000668EC" w:rsidP="000668EC">
      <w:pPr>
        <w:jc w:val="both"/>
        <w:rPr>
          <w:b/>
          <w:caps/>
          <w:sz w:val="20"/>
        </w:rPr>
      </w:pPr>
    </w:p>
    <w:p w14:paraId="1060DDF9" w14:textId="46865EC6" w:rsidR="000668EC" w:rsidRDefault="000B0193" w:rsidP="000668EC">
      <w:pPr>
        <w:jc w:val="both"/>
        <w:rPr>
          <w:b/>
          <w:caps/>
          <w:sz w:val="20"/>
        </w:rPr>
      </w:pPr>
      <w:r>
        <w:rPr>
          <w:sz w:val="20"/>
        </w:rPr>
        <w:t xml:space="preserve">The Flight test campaign completed in </w:t>
      </w:r>
      <w:r w:rsidR="008F40D1">
        <w:rPr>
          <w:sz w:val="20"/>
        </w:rPr>
        <w:t>November</w:t>
      </w:r>
      <w:r>
        <w:rPr>
          <w:sz w:val="20"/>
        </w:rPr>
        <w:t xml:space="preserve"> 2022. The </w:t>
      </w:r>
      <w:r w:rsidR="00052CB5">
        <w:rPr>
          <w:sz w:val="20"/>
        </w:rPr>
        <w:t xml:space="preserve">OCI </w:t>
      </w:r>
      <w:r>
        <w:rPr>
          <w:sz w:val="20"/>
        </w:rPr>
        <w:t xml:space="preserve">spectral </w:t>
      </w:r>
      <w:r w:rsidR="00052CB5">
        <w:rPr>
          <w:sz w:val="20"/>
        </w:rPr>
        <w:t xml:space="preserve">characteristics </w:t>
      </w:r>
      <w:r>
        <w:rPr>
          <w:sz w:val="20"/>
        </w:rPr>
        <w:t>w</w:t>
      </w:r>
      <w:r w:rsidR="00052CB5">
        <w:rPr>
          <w:sz w:val="20"/>
        </w:rPr>
        <w:t>ere</w:t>
      </w:r>
      <w:r>
        <w:rPr>
          <w:sz w:val="20"/>
        </w:rPr>
        <w:t xml:space="preserve"> measured in TVAC using GLAMR as a monochromatic source. All tested OCI bands were found to be within requirements. Measuring the spectral characteristics is a large test that requires hundreds of measurements taken over many days in TVAC. Measurements were repeated if the GLAMR source was unstable. This required real time monitoring of the GLAMR source and OCI </w:t>
      </w:r>
      <w:r w:rsidR="00C132AB">
        <w:rPr>
          <w:sz w:val="20"/>
        </w:rPr>
        <w:t xml:space="preserve">by test conductors </w:t>
      </w:r>
      <w:r>
        <w:rPr>
          <w:sz w:val="20"/>
        </w:rPr>
        <w:t xml:space="preserve">as well as daily OCI analysis to ensure all required data points were recorded within stability requirements. </w:t>
      </w:r>
      <w:r w:rsidR="00107B09">
        <w:rPr>
          <w:sz w:val="20"/>
        </w:rPr>
        <w:t xml:space="preserve">Automatic flags and then </w:t>
      </w:r>
      <w:r w:rsidR="00107B09">
        <w:rPr>
          <w:sz w:val="20"/>
        </w:rPr>
        <w:lastRenderedPageBreak/>
        <w:t>manual data quality checks were made during post processing to ensure the best collects were used for each data point.</w:t>
      </w:r>
      <w:r w:rsidR="00C132AB">
        <w:rPr>
          <w:sz w:val="20"/>
        </w:rPr>
        <w:t xml:space="preserve"> The OCI Flight Unit performed as expected based on modeling and the </w:t>
      </w:r>
      <w:r w:rsidR="00052CB5">
        <w:rPr>
          <w:sz w:val="20"/>
        </w:rPr>
        <w:t xml:space="preserve">OCI </w:t>
      </w:r>
      <w:r w:rsidR="00C132AB">
        <w:rPr>
          <w:sz w:val="20"/>
        </w:rPr>
        <w:t>Engineering Test Unit (ETU) that was characterized in 2020 and 2021 [</w:t>
      </w:r>
      <w:r w:rsidR="00A67373">
        <w:rPr>
          <w:sz w:val="20"/>
        </w:rPr>
        <w:t>8,9</w:t>
      </w:r>
      <w:r w:rsidR="00C132AB">
        <w:rPr>
          <w:sz w:val="20"/>
        </w:rPr>
        <w:t xml:space="preserve">]. The spectral characterization of the Flight Unit went very </w:t>
      </w:r>
      <w:r w:rsidR="00A67373">
        <w:rPr>
          <w:sz w:val="20"/>
        </w:rPr>
        <w:t>well</w:t>
      </w:r>
      <w:r w:rsidR="00052CB5">
        <w:rPr>
          <w:sz w:val="20"/>
        </w:rPr>
        <w:t xml:space="preserve"> </w:t>
      </w:r>
      <w:r w:rsidR="00C132AB">
        <w:rPr>
          <w:sz w:val="20"/>
        </w:rPr>
        <w:t>based on lessons learned on the ETU. In particular</w:t>
      </w:r>
      <w:r w:rsidR="007461B4">
        <w:rPr>
          <w:sz w:val="20"/>
        </w:rPr>
        <w:t>,</w:t>
      </w:r>
      <w:r w:rsidR="00C132AB">
        <w:rPr>
          <w:sz w:val="20"/>
        </w:rPr>
        <w:t xml:space="preserve"> the SWIR in-band regions were covered better and the GLAMR performance was improved to output higher radiance in the UV region from 340nm to </w:t>
      </w:r>
      <w:r w:rsidR="007461B4">
        <w:rPr>
          <w:sz w:val="20"/>
        </w:rPr>
        <w:t>550nm.</w:t>
      </w:r>
    </w:p>
    <w:p w14:paraId="741B60CC" w14:textId="77777777" w:rsidR="000668EC" w:rsidRDefault="000668EC" w:rsidP="001519BC">
      <w:pPr>
        <w:jc w:val="center"/>
        <w:rPr>
          <w:b/>
          <w:caps/>
          <w:sz w:val="20"/>
        </w:rPr>
      </w:pPr>
    </w:p>
    <w:p w14:paraId="504D2593" w14:textId="05CC243C" w:rsidR="00FB0C0F" w:rsidRDefault="002031C4" w:rsidP="001519BC">
      <w:pPr>
        <w:jc w:val="center"/>
        <w:rPr>
          <w:b/>
          <w:caps/>
          <w:sz w:val="20"/>
        </w:rPr>
      </w:pPr>
      <w:r>
        <w:rPr>
          <w:b/>
          <w:caps/>
          <w:sz w:val="20"/>
        </w:rPr>
        <w:t>6</w:t>
      </w:r>
      <w:r w:rsidR="00FB0C0F">
        <w:rPr>
          <w:b/>
          <w:caps/>
          <w:sz w:val="20"/>
        </w:rPr>
        <w:t xml:space="preserve">. </w:t>
      </w:r>
      <w:r w:rsidR="00A736B0" w:rsidRPr="00A736B0">
        <w:rPr>
          <w:b/>
          <w:caps/>
          <w:sz w:val="20"/>
        </w:rPr>
        <w:t>ACKNOWLEDGEMENTS</w:t>
      </w:r>
    </w:p>
    <w:p w14:paraId="3AA769D8" w14:textId="77777777" w:rsidR="00FB0C0F" w:rsidRDefault="00FB0C0F">
      <w:pPr>
        <w:jc w:val="both"/>
        <w:rPr>
          <w:sz w:val="20"/>
        </w:rPr>
      </w:pPr>
    </w:p>
    <w:p w14:paraId="43945D75" w14:textId="609791FC" w:rsidR="00FB0C0F" w:rsidRDefault="00A736B0">
      <w:pPr>
        <w:jc w:val="both"/>
        <w:rPr>
          <w:sz w:val="20"/>
        </w:rPr>
      </w:pPr>
      <w:r w:rsidRPr="00A736B0">
        <w:rPr>
          <w:sz w:val="20"/>
        </w:rPr>
        <w:t xml:space="preserve">The authors would like to thank the OCI test team, the GLAMR team, and the XINA team for working to provide all </w:t>
      </w:r>
      <w:r w:rsidRPr="00A736B0">
        <w:rPr>
          <w:sz w:val="20"/>
        </w:rPr>
        <w:t>the test data. The GLAMR team was especially helpful to properly understand and verify the test data used in this analysis</w:t>
      </w:r>
      <w:r w:rsidR="00E204BC" w:rsidRPr="00E204BC">
        <w:rPr>
          <w:sz w:val="20"/>
        </w:rPr>
        <w:t>.</w:t>
      </w:r>
    </w:p>
    <w:p w14:paraId="2DD2311D" w14:textId="31C8534E" w:rsidR="00E204BC" w:rsidRDefault="00F05E03">
      <w:pPr>
        <w:jc w:val="both"/>
        <w:rPr>
          <w:sz w:val="20"/>
        </w:rPr>
      </w:pPr>
      <w:r>
        <w:rPr>
          <w:noProof/>
        </w:rPr>
        <mc:AlternateContent>
          <mc:Choice Requires="wps">
            <w:drawing>
              <wp:anchor distT="0" distB="0" distL="114300" distR="114300" simplePos="0" relativeHeight="251669504" behindDoc="0" locked="0" layoutInCell="1" allowOverlap="1" wp14:anchorId="4FCAE273" wp14:editId="2E5F8C79">
                <wp:simplePos x="0" y="0"/>
                <wp:positionH relativeFrom="margin">
                  <wp:align>left</wp:align>
                </wp:positionH>
                <wp:positionV relativeFrom="margin">
                  <wp:posOffset>11430</wp:posOffset>
                </wp:positionV>
                <wp:extent cx="3063875" cy="2763520"/>
                <wp:effectExtent l="0" t="0" r="22225" b="17780"/>
                <wp:wrapTopAndBottom/>
                <wp:docPr id="16" name="Text Box 16"/>
                <wp:cNvGraphicFramePr/>
                <a:graphic xmlns:a="http://schemas.openxmlformats.org/drawingml/2006/main">
                  <a:graphicData uri="http://schemas.microsoft.com/office/word/2010/wordprocessingShape">
                    <wps:wsp>
                      <wps:cNvSpPr txBox="1"/>
                      <wps:spPr>
                        <a:xfrm>
                          <a:off x="0" y="0"/>
                          <a:ext cx="3063922" cy="2763520"/>
                        </a:xfrm>
                        <a:prstGeom prst="rect">
                          <a:avLst/>
                        </a:prstGeom>
                        <a:noFill/>
                        <a:ln w="6350">
                          <a:solidFill>
                            <a:schemeClr val="bg1"/>
                          </a:solidFill>
                        </a:ln>
                      </wps:spPr>
                      <wps:txbx>
                        <w:txbxContent>
                          <w:p w14:paraId="5B3B4C73" w14:textId="77777777" w:rsidR="000920D7" w:rsidRDefault="000920D7" w:rsidP="00C629E6">
                            <w:pPr>
                              <w:keepNext/>
                              <w:jc w:val="both"/>
                            </w:pPr>
                            <w:r>
                              <w:rPr>
                                <w:noProof/>
                                <w:sz w:val="20"/>
                                <w:szCs w:val="16"/>
                              </w:rPr>
                              <w:drawing>
                                <wp:inline distT="0" distB="0" distL="0" distR="0" wp14:anchorId="10F9508F" wp14:editId="03E8B1F2">
                                  <wp:extent cx="2907851" cy="2149203"/>
                                  <wp:effectExtent l="0" t="0" r="6985" b="381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12207" cy="2152423"/>
                                          </a:xfrm>
                                          <a:prstGeom prst="rect">
                                            <a:avLst/>
                                          </a:prstGeom>
                                          <a:noFill/>
                                          <a:ln>
                                            <a:noFill/>
                                          </a:ln>
                                        </pic:spPr>
                                      </pic:pic>
                                    </a:graphicData>
                                  </a:graphic>
                                </wp:inline>
                              </w:drawing>
                            </w:r>
                          </w:p>
                          <w:p w14:paraId="0CF0D0B7" w14:textId="77777777" w:rsidR="000920D7" w:rsidRPr="00B83D6D" w:rsidRDefault="000920D7" w:rsidP="00F05E03">
                            <w:pPr>
                              <w:pStyle w:val="Caption"/>
                              <w:jc w:val="both"/>
                            </w:pPr>
                            <w:r>
                              <w:t xml:space="preserve">Figure </w:t>
                            </w:r>
                            <w:fldSimple w:instr=" SEQ Figure \* ARABIC ">
                              <w:r>
                                <w:rPr>
                                  <w:noProof/>
                                </w:rPr>
                                <w:t>5</w:t>
                              </w:r>
                            </w:fldSimple>
                            <w:r>
                              <w:rPr>
                                <w:noProof/>
                              </w:rPr>
                              <w:t>.</w:t>
                            </w:r>
                            <w:r w:rsidRPr="008906D8">
                              <w:t xml:space="preserve"> </w:t>
                            </w:r>
                            <w:r>
                              <w:t xml:space="preserve">Measured </w:t>
                            </w:r>
                            <w:r w:rsidRPr="007C1090">
                              <w:t>in</w:t>
                            </w:r>
                            <w:r>
                              <w:t>-</w:t>
                            </w:r>
                            <w:r w:rsidRPr="007C1090">
                              <w:t xml:space="preserve">band RSR for </w:t>
                            </w:r>
                            <w:r>
                              <w:t xml:space="preserve">all </w:t>
                            </w:r>
                            <w:r w:rsidRPr="007C1090">
                              <w:t xml:space="preserve">9 </w:t>
                            </w:r>
                            <w:r>
                              <w:t>SWIR</w:t>
                            </w:r>
                            <w:r w:rsidRPr="007C1090">
                              <w:t xml:space="preserve"> bands</w:t>
                            </w:r>
                            <w:r>
                              <w:t>. Circles are individual measurements. The nominal band center is displayed on each plot.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AE273" id="Text Box 16" o:spid="_x0000_s1031" type="#_x0000_t202" style="position:absolute;left:0;text-align:left;margin-left:0;margin-top:.9pt;width:241.25pt;height:217.6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" filled="f" strokecolor="white [3212]" strokeweight=".5pt">
                <v:fill o:detectmouseclick="t"/>
                <v:textbox>
                  <w:txbxContent>
                    <w:p w14:paraId="5B3B4C73" w14:textId="77777777" w:rsidR="000920D7" w:rsidRDefault="000920D7" w:rsidP="00C629E6">
                      <w:pPr>
                        <w:keepNext/>
                        <w:jc w:val="both"/>
                      </w:pPr>
                      <w:r>
                        <w:rPr>
                          <w:noProof/>
                          <w:sz w:val="20"/>
                          <w:szCs w:val="16"/>
                        </w:rPr>
                        <w:drawing>
                          <wp:inline distT="0" distB="0" distL="0" distR="0" wp14:anchorId="10F9508F" wp14:editId="03E8B1F2">
                            <wp:extent cx="2907851" cy="2149203"/>
                            <wp:effectExtent l="0" t="0" r="6985" b="381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2207" cy="2152423"/>
                                    </a:xfrm>
                                    <a:prstGeom prst="rect">
                                      <a:avLst/>
                                    </a:prstGeom>
                                    <a:noFill/>
                                    <a:ln>
                                      <a:noFill/>
                                    </a:ln>
                                  </pic:spPr>
                                </pic:pic>
                              </a:graphicData>
                            </a:graphic>
                          </wp:inline>
                        </w:drawing>
                      </w:r>
                    </w:p>
                    <w:p w14:paraId="0CF0D0B7" w14:textId="77777777" w:rsidR="000920D7" w:rsidRPr="00B83D6D" w:rsidRDefault="000920D7" w:rsidP="00F05E03">
                      <w:pPr>
                        <w:pStyle w:val="Caption"/>
                        <w:jc w:val="both"/>
                      </w:pPr>
                      <w:r>
                        <w:t xml:space="preserve">Figure </w:t>
                      </w:r>
                      <w:r>
                        <w:fldChar w:fldCharType="begin"/>
                      </w:r>
                      <w:r>
                        <w:instrText xml:space="preserve"> SEQ Figure \* ARABIC </w:instrText>
                      </w:r>
                      <w:r>
                        <w:fldChar w:fldCharType="separate"/>
                      </w:r>
                      <w:r>
                        <w:rPr>
                          <w:noProof/>
                        </w:rPr>
                        <w:t>5</w:t>
                      </w:r>
                      <w:r>
                        <w:rPr>
                          <w:noProof/>
                        </w:rPr>
                        <w:fldChar w:fldCharType="end"/>
                      </w:r>
                      <w:r>
                        <w:rPr>
                          <w:noProof/>
                        </w:rPr>
                        <w:t>.</w:t>
                      </w:r>
                      <w:r w:rsidRPr="008906D8">
                        <w:t xml:space="preserve"> </w:t>
                      </w:r>
                      <w:r>
                        <w:t xml:space="preserve">Measured </w:t>
                      </w:r>
                      <w:r w:rsidRPr="007C1090">
                        <w:t>in</w:t>
                      </w:r>
                      <w:r>
                        <w:t>-</w:t>
                      </w:r>
                      <w:r w:rsidRPr="007C1090">
                        <w:t xml:space="preserve">band RSR for </w:t>
                      </w:r>
                      <w:r>
                        <w:t xml:space="preserve">all </w:t>
                      </w:r>
                      <w:r w:rsidRPr="007C1090">
                        <w:t xml:space="preserve">9 </w:t>
                      </w:r>
                      <w:r>
                        <w:t>SWIR</w:t>
                      </w:r>
                      <w:r w:rsidRPr="007C1090">
                        <w:t xml:space="preserve"> bands</w:t>
                      </w:r>
                      <w:r>
                        <w:t>. Circles are individual measurements. The nominal band center is displayed on each plot.</w:t>
                      </w:r>
                    </w:p>
                  </w:txbxContent>
                </v:textbox>
                <w10:wrap type="topAndBottom" anchorx="margin" anchory="margin"/>
              </v:shape>
            </w:pict>
          </mc:Fallback>
        </mc:AlternateContent>
      </w:r>
    </w:p>
    <w:p w14:paraId="73B2F6AE" w14:textId="4D0095BB" w:rsidR="00FB0C0F" w:rsidRDefault="002031C4">
      <w:pPr>
        <w:jc w:val="center"/>
        <w:rPr>
          <w:b/>
          <w:caps/>
          <w:sz w:val="20"/>
        </w:rPr>
      </w:pPr>
      <w:r>
        <w:rPr>
          <w:b/>
          <w:caps/>
          <w:sz w:val="20"/>
        </w:rPr>
        <w:t>7</w:t>
      </w:r>
      <w:r w:rsidR="00FB0C0F">
        <w:rPr>
          <w:b/>
          <w:caps/>
          <w:sz w:val="20"/>
        </w:rPr>
        <w:t>. References</w:t>
      </w:r>
    </w:p>
    <w:p w14:paraId="33AE668D" w14:textId="77777777" w:rsidR="00FB0C0F" w:rsidRDefault="00FB0C0F">
      <w:pPr>
        <w:jc w:val="both"/>
        <w:rPr>
          <w:sz w:val="20"/>
        </w:rPr>
      </w:pPr>
    </w:p>
    <w:p w14:paraId="484FB5FB" w14:textId="7AFD6F71" w:rsidR="005D4D1C" w:rsidRPr="005D4D1C" w:rsidRDefault="005D4D1C" w:rsidP="005D4D1C">
      <w:pPr>
        <w:jc w:val="both"/>
        <w:rPr>
          <w:sz w:val="18"/>
        </w:rPr>
      </w:pPr>
      <w:r w:rsidRPr="005D4D1C">
        <w:rPr>
          <w:sz w:val="18"/>
        </w:rPr>
        <w:t xml:space="preserve">[1] Werdell, P. J., et al. 2019. "The Plankton, Aerosol, Cloud, ocean Ecosystem (PACE) mission: Status, science, advances." </w:t>
      </w:r>
      <w:r w:rsidRPr="008B72E0">
        <w:rPr>
          <w:i/>
          <w:iCs/>
          <w:sz w:val="18"/>
        </w:rPr>
        <w:t>Bulletin of the American Meteorological Society, 100 (9): 1775–1794</w:t>
      </w:r>
      <w:r w:rsidRPr="005D4D1C">
        <w:rPr>
          <w:sz w:val="18"/>
        </w:rPr>
        <w:t xml:space="preserve"> (2019)</w:t>
      </w:r>
    </w:p>
    <w:p w14:paraId="517710B1" w14:textId="6F0135F3" w:rsidR="005D4D1C" w:rsidRDefault="005D4D1C" w:rsidP="005D4D1C">
      <w:pPr>
        <w:jc w:val="both"/>
        <w:rPr>
          <w:sz w:val="18"/>
        </w:rPr>
      </w:pPr>
    </w:p>
    <w:p w14:paraId="35053FBE" w14:textId="0E311AA0" w:rsidR="005D4D1C" w:rsidRPr="005D4D1C" w:rsidRDefault="005D4D1C" w:rsidP="005D4D1C">
      <w:pPr>
        <w:jc w:val="both"/>
        <w:rPr>
          <w:sz w:val="18"/>
        </w:rPr>
      </w:pPr>
      <w:r w:rsidRPr="005D4D1C">
        <w:rPr>
          <w:sz w:val="18"/>
        </w:rPr>
        <w:t>[2] Eric T. Gorman</w:t>
      </w:r>
      <w:r w:rsidR="004A04BA">
        <w:rPr>
          <w:sz w:val="18"/>
        </w:rPr>
        <w:t>, et al.</w:t>
      </w:r>
      <w:r w:rsidRPr="005D4D1C">
        <w:rPr>
          <w:sz w:val="18"/>
        </w:rPr>
        <w:t xml:space="preserve">, "The NASA Plankton, Aerosol, Cloud, ocean Ecosystem (PACE) mission: an emerging era of global, hyperspectral Earth system remote sensing," </w:t>
      </w:r>
      <w:r w:rsidRPr="008B72E0">
        <w:rPr>
          <w:i/>
          <w:iCs/>
          <w:sz w:val="18"/>
        </w:rPr>
        <w:t>Proc. SPIE 11151, Sensors, Systems, and Next-Generation Satellites XXIII, 111510G</w:t>
      </w:r>
      <w:r w:rsidRPr="005D4D1C">
        <w:rPr>
          <w:sz w:val="18"/>
        </w:rPr>
        <w:t xml:space="preserve"> (10 October 2019)</w:t>
      </w:r>
    </w:p>
    <w:p w14:paraId="1DE5E703" w14:textId="55C7B9E5" w:rsidR="005D4D1C" w:rsidRDefault="005D4D1C" w:rsidP="005D4D1C">
      <w:pPr>
        <w:jc w:val="both"/>
        <w:rPr>
          <w:sz w:val="18"/>
        </w:rPr>
      </w:pPr>
    </w:p>
    <w:p w14:paraId="256B2288" w14:textId="5FC82FFD" w:rsidR="005D4D1C" w:rsidRPr="005D4D1C" w:rsidRDefault="005D4D1C" w:rsidP="005D4D1C">
      <w:pPr>
        <w:jc w:val="both"/>
        <w:rPr>
          <w:sz w:val="18"/>
        </w:rPr>
      </w:pPr>
      <w:r w:rsidRPr="005D4D1C">
        <w:rPr>
          <w:sz w:val="18"/>
        </w:rPr>
        <w:t xml:space="preserve">[3] Barnes, W. L. and </w:t>
      </w:r>
      <w:proofErr w:type="spellStart"/>
      <w:r w:rsidRPr="005D4D1C">
        <w:rPr>
          <w:sz w:val="18"/>
        </w:rPr>
        <w:t>Salomonson</w:t>
      </w:r>
      <w:proofErr w:type="spellEnd"/>
      <w:r w:rsidRPr="005D4D1C">
        <w:rPr>
          <w:sz w:val="18"/>
        </w:rPr>
        <w:t xml:space="preserve">, V. V., “Modis: A global imaging spectroradiometer for the earth observing system,” in </w:t>
      </w:r>
      <w:r w:rsidRPr="008B72E0">
        <w:rPr>
          <w:i/>
          <w:iCs/>
          <w:sz w:val="18"/>
        </w:rPr>
        <w:t>[Optical Technologies for Aerospace Sensing: A Critical Review], 10269, 102690G, International Society for Optics and Photonics</w:t>
      </w:r>
      <w:r w:rsidRPr="005D4D1C">
        <w:rPr>
          <w:sz w:val="18"/>
        </w:rPr>
        <w:t xml:space="preserve"> (1992).</w:t>
      </w:r>
    </w:p>
    <w:p w14:paraId="71C5ABE5" w14:textId="117CF8FD" w:rsidR="005D4D1C" w:rsidRDefault="00F05E03" w:rsidP="005D4D1C">
      <w:pPr>
        <w:jc w:val="both"/>
        <w:rPr>
          <w:sz w:val="18"/>
        </w:rPr>
      </w:pPr>
      <w:r>
        <w:rPr>
          <w:noProof/>
        </w:rPr>
        <mc:AlternateContent>
          <mc:Choice Requires="wps">
            <w:drawing>
              <wp:anchor distT="0" distB="0" distL="114300" distR="114300" simplePos="0" relativeHeight="251671552" behindDoc="0" locked="0" layoutInCell="1" allowOverlap="1" wp14:anchorId="23EC6F4A" wp14:editId="2A9A3AE3">
                <wp:simplePos x="0" y="0"/>
                <wp:positionH relativeFrom="margin">
                  <wp:align>left</wp:align>
                </wp:positionH>
                <wp:positionV relativeFrom="margin">
                  <wp:posOffset>2911446</wp:posOffset>
                </wp:positionV>
                <wp:extent cx="3063875" cy="3022600"/>
                <wp:effectExtent l="0" t="0" r="22225" b="25400"/>
                <wp:wrapTopAndBottom/>
                <wp:docPr id="18" name="Text Box 18"/>
                <wp:cNvGraphicFramePr/>
                <a:graphic xmlns:a="http://schemas.openxmlformats.org/drawingml/2006/main">
                  <a:graphicData uri="http://schemas.microsoft.com/office/word/2010/wordprocessingShape">
                    <wps:wsp>
                      <wps:cNvSpPr txBox="1"/>
                      <wps:spPr>
                        <a:xfrm>
                          <a:off x="0" y="0"/>
                          <a:ext cx="3063875" cy="3022979"/>
                        </a:xfrm>
                        <a:prstGeom prst="rect">
                          <a:avLst/>
                        </a:prstGeom>
                        <a:noFill/>
                        <a:ln w="6350">
                          <a:solidFill>
                            <a:schemeClr val="bg1"/>
                          </a:solidFill>
                        </a:ln>
                      </wps:spPr>
                      <wps:txbx>
                        <w:txbxContent>
                          <w:p w14:paraId="62258527" w14:textId="77777777" w:rsidR="000920D7" w:rsidRDefault="000920D7" w:rsidP="000668EC">
                            <w:pPr>
                              <w:keepNext/>
                            </w:pPr>
                            <w:r>
                              <w:rPr>
                                <w:noProof/>
                                <w:sz w:val="20"/>
                                <w:szCs w:val="16"/>
                              </w:rPr>
                              <w:drawing>
                                <wp:inline distT="0" distB="0" distL="0" distR="0" wp14:anchorId="6E2CDC64" wp14:editId="15A69FD6">
                                  <wp:extent cx="2907957" cy="2149281"/>
                                  <wp:effectExtent l="0" t="0" r="6985" b="3810"/>
                                  <wp:docPr id="2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0053" cy="2158221"/>
                                          </a:xfrm>
                                          <a:prstGeom prst="rect">
                                            <a:avLst/>
                                          </a:prstGeom>
                                          <a:noFill/>
                                          <a:ln>
                                            <a:noFill/>
                                          </a:ln>
                                        </pic:spPr>
                                      </pic:pic>
                                    </a:graphicData>
                                  </a:graphic>
                                </wp:inline>
                              </w:drawing>
                            </w:r>
                          </w:p>
                          <w:p w14:paraId="54721849" w14:textId="3FC9FB37" w:rsidR="000920D7" w:rsidRPr="009C7BCD" w:rsidRDefault="000920D7" w:rsidP="00F05E03">
                            <w:pPr>
                              <w:pStyle w:val="Caption"/>
                              <w:jc w:val="both"/>
                            </w:pPr>
                            <w:r>
                              <w:t xml:space="preserve">Figure </w:t>
                            </w:r>
                            <w:fldSimple w:instr=" SEQ Figure \* ARABIC ">
                              <w:r>
                                <w:rPr>
                                  <w:noProof/>
                                </w:rPr>
                                <w:t>6</w:t>
                              </w:r>
                            </w:fldSimple>
                            <w:r w:rsidR="005737B4">
                              <w:rPr>
                                <w:noProof/>
                              </w:rPr>
                              <w:t>.</w:t>
                            </w:r>
                            <w:r>
                              <w:t xml:space="preserve"> </w:t>
                            </w:r>
                            <w:r w:rsidRPr="007C1090">
                              <w:t xml:space="preserve">Out-of-band RSR for all </w:t>
                            </w:r>
                            <w:r>
                              <w:t>9 SWIR</w:t>
                            </w:r>
                            <w:r w:rsidRPr="007C1090">
                              <w:t xml:space="preserve"> bands</w:t>
                            </w:r>
                            <w:r>
                              <w:t xml:space="preserve"> in log scale. The blue line is positive RSR </w:t>
                            </w:r>
                            <w:proofErr w:type="gramStart"/>
                            <w:r>
                              <w:t>values</w:t>
                            </w:r>
                            <w:proofErr w:type="gramEnd"/>
                            <w:r>
                              <w:t xml:space="preserve"> and the red dotted line is negative RSR values plotted as the absolute value. The band name is the title in each plot.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C6F4A" id="Text Box 18" o:spid="_x0000_s1032" type="#_x0000_t202" style="position:absolute;left:0;text-align:left;margin-left:0;margin-top:229.25pt;width:241.25pt;height:238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" filled="f" strokecolor="white [3212]" strokeweight=".5pt">
                <v:textbox>
                  <w:txbxContent>
                    <w:p w14:paraId="62258527" w14:textId="77777777" w:rsidR="000920D7" w:rsidRDefault="000920D7" w:rsidP="000668EC">
                      <w:pPr>
                        <w:keepNext/>
                      </w:pPr>
                      <w:r>
                        <w:rPr>
                          <w:noProof/>
                          <w:sz w:val="20"/>
                          <w:szCs w:val="16"/>
                        </w:rPr>
                        <w:drawing>
                          <wp:inline distT="0" distB="0" distL="0" distR="0" wp14:anchorId="6E2CDC64" wp14:editId="15A69FD6">
                            <wp:extent cx="2907957" cy="2149281"/>
                            <wp:effectExtent l="0" t="0" r="6985" b="3810"/>
                            <wp:docPr id="2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0053" cy="2158221"/>
                                    </a:xfrm>
                                    <a:prstGeom prst="rect">
                                      <a:avLst/>
                                    </a:prstGeom>
                                    <a:noFill/>
                                    <a:ln>
                                      <a:noFill/>
                                    </a:ln>
                                  </pic:spPr>
                                </pic:pic>
                              </a:graphicData>
                            </a:graphic>
                          </wp:inline>
                        </w:drawing>
                      </w:r>
                    </w:p>
                    <w:p w14:paraId="54721849" w14:textId="3FC9FB37" w:rsidR="000920D7" w:rsidRPr="009C7BCD" w:rsidRDefault="000920D7" w:rsidP="00F05E03">
                      <w:pPr>
                        <w:pStyle w:val="Caption"/>
                        <w:jc w:val="both"/>
                      </w:pPr>
                      <w:r>
                        <w:t xml:space="preserve">Figure </w:t>
                      </w:r>
                      <w:fldSimple w:instr=" SEQ Figure \* ARABIC ">
                        <w:r>
                          <w:rPr>
                            <w:noProof/>
                          </w:rPr>
                          <w:t>6</w:t>
                        </w:r>
                      </w:fldSimple>
                      <w:r w:rsidR="005737B4">
                        <w:rPr>
                          <w:noProof/>
                        </w:rPr>
                        <w:t>.</w:t>
                      </w:r>
                      <w:r>
                        <w:t xml:space="preserve"> </w:t>
                      </w:r>
                      <w:r w:rsidRPr="007C1090">
                        <w:t xml:space="preserve">Out-of-band RSR for all </w:t>
                      </w:r>
                      <w:r>
                        <w:t>9 SWIR</w:t>
                      </w:r>
                      <w:r w:rsidRPr="007C1090">
                        <w:t xml:space="preserve"> bands</w:t>
                      </w:r>
                      <w:r>
                        <w:t xml:space="preserve"> in log scale. The blue line is positive RSR </w:t>
                      </w:r>
                      <w:proofErr w:type="gramStart"/>
                      <w:r>
                        <w:t>values</w:t>
                      </w:r>
                      <w:proofErr w:type="gramEnd"/>
                      <w:r>
                        <w:t xml:space="preserve"> and the red dotted line is negative RSR values plotted as the absolute value. The band name is the title in each plot.</w:t>
                      </w:r>
                    </w:p>
                  </w:txbxContent>
                </v:textbox>
                <w10:wrap type="topAndBottom" anchorx="margin" anchory="margin"/>
              </v:shape>
            </w:pict>
          </mc:Fallback>
        </mc:AlternateContent>
      </w:r>
    </w:p>
    <w:p w14:paraId="1A189253" w14:textId="353D734C" w:rsidR="005D4D1C" w:rsidRPr="005D4D1C" w:rsidRDefault="005D4D1C" w:rsidP="005D4D1C">
      <w:pPr>
        <w:jc w:val="both"/>
        <w:rPr>
          <w:sz w:val="18"/>
        </w:rPr>
      </w:pPr>
      <w:r w:rsidRPr="005D4D1C">
        <w:rPr>
          <w:sz w:val="18"/>
        </w:rPr>
        <w:t xml:space="preserve">[4] Murphy, R., </w:t>
      </w:r>
      <w:r w:rsidR="004A04BA">
        <w:rPr>
          <w:sz w:val="18"/>
        </w:rPr>
        <w:t>et al.</w:t>
      </w:r>
      <w:r w:rsidRPr="005D4D1C">
        <w:rPr>
          <w:sz w:val="18"/>
        </w:rPr>
        <w:t xml:space="preserve">, “The visible infrared imaging radiometer suite,” in </w:t>
      </w:r>
      <w:r w:rsidRPr="008B72E0">
        <w:rPr>
          <w:i/>
          <w:iCs/>
          <w:sz w:val="18"/>
        </w:rPr>
        <w:t>[Earth science satellite remote sensing], 199–223, Springer</w:t>
      </w:r>
      <w:r w:rsidRPr="005D4D1C">
        <w:rPr>
          <w:sz w:val="18"/>
        </w:rPr>
        <w:t xml:space="preserve"> (2006).</w:t>
      </w:r>
    </w:p>
    <w:p w14:paraId="425EB1F2" w14:textId="77777777" w:rsidR="005D4D1C" w:rsidRDefault="005D4D1C" w:rsidP="005D4D1C">
      <w:pPr>
        <w:jc w:val="both"/>
        <w:rPr>
          <w:sz w:val="18"/>
        </w:rPr>
      </w:pPr>
    </w:p>
    <w:p w14:paraId="2C34810A" w14:textId="1DB023FE" w:rsidR="005D4D1C" w:rsidRDefault="005D4D1C" w:rsidP="005D4D1C">
      <w:pPr>
        <w:jc w:val="both"/>
        <w:rPr>
          <w:sz w:val="18"/>
        </w:rPr>
      </w:pPr>
      <w:r w:rsidRPr="005D4D1C">
        <w:rPr>
          <w:sz w:val="18"/>
        </w:rPr>
        <w:t>[</w:t>
      </w:r>
      <w:r w:rsidR="00A67373">
        <w:rPr>
          <w:sz w:val="18"/>
        </w:rPr>
        <w:t>5</w:t>
      </w:r>
      <w:r w:rsidRPr="005D4D1C">
        <w:rPr>
          <w:sz w:val="18"/>
        </w:rPr>
        <w:t>] Wilson, M. E.</w:t>
      </w:r>
      <w:r w:rsidR="004A04BA">
        <w:rPr>
          <w:sz w:val="18"/>
        </w:rPr>
        <w:t>, et al.</w:t>
      </w:r>
      <w:r w:rsidRPr="005D4D1C">
        <w:rPr>
          <w:sz w:val="18"/>
        </w:rPr>
        <w:t xml:space="preserve">, “Optical design of the ocean radiometer for carbon assessment,” in </w:t>
      </w:r>
      <w:r w:rsidRPr="005D4D1C">
        <w:rPr>
          <w:i/>
          <w:iCs/>
          <w:sz w:val="18"/>
        </w:rPr>
        <w:t>[Earth Observing Systems XVI</w:t>
      </w:r>
      <w:r>
        <w:rPr>
          <w:i/>
          <w:iCs/>
          <w:sz w:val="18"/>
        </w:rPr>
        <w:t>]</w:t>
      </w:r>
      <w:r w:rsidRPr="005D4D1C">
        <w:rPr>
          <w:i/>
          <w:iCs/>
          <w:sz w:val="18"/>
        </w:rPr>
        <w:t xml:space="preserve">, 8153, 81530S, International Society for Optics and Photonics </w:t>
      </w:r>
      <w:r w:rsidRPr="005D4D1C">
        <w:rPr>
          <w:sz w:val="18"/>
        </w:rPr>
        <w:t>(2011).</w:t>
      </w:r>
    </w:p>
    <w:p w14:paraId="517F63D5" w14:textId="77777777" w:rsidR="00A67373" w:rsidRDefault="00A67373" w:rsidP="005D4D1C">
      <w:pPr>
        <w:jc w:val="both"/>
        <w:rPr>
          <w:sz w:val="18"/>
        </w:rPr>
      </w:pPr>
    </w:p>
    <w:p w14:paraId="6C91D11C" w14:textId="77777777" w:rsidR="00A67373" w:rsidRDefault="00A67373" w:rsidP="00A67373">
      <w:pPr>
        <w:jc w:val="both"/>
        <w:rPr>
          <w:bCs/>
          <w:sz w:val="18"/>
          <w:lang w:val="it-IT"/>
        </w:rPr>
      </w:pPr>
      <w:r>
        <w:rPr>
          <w:sz w:val="18"/>
        </w:rPr>
        <w:t>[6]</w:t>
      </w:r>
      <w:r>
        <w:rPr>
          <w:bCs/>
          <w:sz w:val="18"/>
          <w:lang w:val="it-IT"/>
        </w:rPr>
        <w:t xml:space="preserve"> </w:t>
      </w:r>
      <w:r w:rsidRPr="00855587">
        <w:rPr>
          <w:bCs/>
          <w:sz w:val="18"/>
          <w:lang w:val="it-IT"/>
        </w:rPr>
        <w:t>Gerhard Meister,</w:t>
      </w:r>
      <w:r>
        <w:rPr>
          <w:bCs/>
          <w:sz w:val="18"/>
          <w:lang w:val="it-IT"/>
        </w:rPr>
        <w:t xml:space="preserve"> et al., “</w:t>
      </w:r>
      <w:r w:rsidRPr="00C76250">
        <w:rPr>
          <w:sz w:val="18"/>
        </w:rPr>
        <w:t>Initial Look at the Results from the Prelaunch Characterization Campaign of OCI on the PACE mission</w:t>
      </w:r>
      <w:r>
        <w:rPr>
          <w:bCs/>
          <w:sz w:val="18"/>
          <w:lang w:val="it-IT"/>
        </w:rPr>
        <w:t xml:space="preserve">”, </w:t>
      </w:r>
      <w:r w:rsidRPr="0084389A">
        <w:rPr>
          <w:bCs/>
          <w:i/>
          <w:iCs/>
          <w:sz w:val="18"/>
          <w:lang w:val="it-IT"/>
        </w:rPr>
        <w:t>TH1.R6: NASA PACE Mission, IGARSS 2023</w:t>
      </w:r>
      <w:r>
        <w:rPr>
          <w:bCs/>
          <w:sz w:val="18"/>
          <w:lang w:val="it-IT"/>
        </w:rPr>
        <w:t>, accepted.</w:t>
      </w:r>
    </w:p>
    <w:p w14:paraId="318D5C66" w14:textId="77777777" w:rsidR="0049501B" w:rsidRDefault="0049501B" w:rsidP="005D4D1C">
      <w:pPr>
        <w:jc w:val="both"/>
        <w:rPr>
          <w:sz w:val="18"/>
        </w:rPr>
      </w:pPr>
    </w:p>
    <w:p w14:paraId="2C7C8961" w14:textId="146D0C6A" w:rsidR="005D4D1C" w:rsidRDefault="005D4D1C" w:rsidP="005D4D1C">
      <w:pPr>
        <w:jc w:val="both"/>
        <w:rPr>
          <w:sz w:val="18"/>
        </w:rPr>
      </w:pPr>
      <w:r w:rsidRPr="005D4D1C">
        <w:rPr>
          <w:sz w:val="18"/>
        </w:rPr>
        <w:t>[</w:t>
      </w:r>
      <w:r w:rsidR="00A67373">
        <w:rPr>
          <w:sz w:val="18"/>
        </w:rPr>
        <w:t>7</w:t>
      </w:r>
      <w:r w:rsidRPr="005D4D1C">
        <w:rPr>
          <w:sz w:val="18"/>
        </w:rPr>
        <w:t>] Julia A. Barsi</w:t>
      </w:r>
      <w:r w:rsidR="004A04BA">
        <w:rPr>
          <w:sz w:val="18"/>
        </w:rPr>
        <w:t>, et al.</w:t>
      </w:r>
      <w:r w:rsidRPr="005D4D1C">
        <w:rPr>
          <w:sz w:val="18"/>
        </w:rPr>
        <w:t xml:space="preserve">, "Spectral testing of the Landsat-9 OLI-2 instrument using the Goddard Laser Absolute Measurement of Radiance (GLAMR)," </w:t>
      </w:r>
      <w:r w:rsidRPr="005D4D1C">
        <w:rPr>
          <w:i/>
          <w:iCs/>
          <w:sz w:val="18"/>
        </w:rPr>
        <w:t xml:space="preserve">Proc. SPIE 10764, Earth Observing Systems XXIII, </w:t>
      </w:r>
      <w:r w:rsidRPr="005D4D1C">
        <w:rPr>
          <w:sz w:val="18"/>
        </w:rPr>
        <w:t>1076405 (7 September 2018).</w:t>
      </w:r>
    </w:p>
    <w:p w14:paraId="5E19B79A" w14:textId="1BA565F1" w:rsidR="00210C76" w:rsidRDefault="00210C76" w:rsidP="005D4D1C">
      <w:pPr>
        <w:jc w:val="both"/>
        <w:rPr>
          <w:sz w:val="18"/>
        </w:rPr>
      </w:pPr>
    </w:p>
    <w:p w14:paraId="33447D9B" w14:textId="34356AD0" w:rsidR="00210C76" w:rsidRDefault="00210C76" w:rsidP="005D4D1C">
      <w:pPr>
        <w:jc w:val="both"/>
        <w:rPr>
          <w:sz w:val="18"/>
        </w:rPr>
      </w:pPr>
      <w:r>
        <w:rPr>
          <w:sz w:val="18"/>
        </w:rPr>
        <w:t>[</w:t>
      </w:r>
      <w:r w:rsidR="00A67373">
        <w:rPr>
          <w:sz w:val="18"/>
        </w:rPr>
        <w:t>8</w:t>
      </w:r>
      <w:r>
        <w:rPr>
          <w:sz w:val="18"/>
        </w:rPr>
        <w:t xml:space="preserve">] </w:t>
      </w:r>
      <w:r w:rsidRPr="00210C76">
        <w:rPr>
          <w:sz w:val="18"/>
        </w:rPr>
        <w:t>Samuel Kitchen-McKinley</w:t>
      </w:r>
      <w:r w:rsidR="004A04BA">
        <w:rPr>
          <w:sz w:val="18"/>
        </w:rPr>
        <w:t>, et al.</w:t>
      </w:r>
      <w:r w:rsidRPr="00210C76">
        <w:rPr>
          <w:sz w:val="18"/>
        </w:rPr>
        <w:t xml:space="preserve">, "PACE OCI pre-launch ETU spectral characterization and performance," </w:t>
      </w:r>
      <w:r w:rsidRPr="00210C76">
        <w:rPr>
          <w:i/>
          <w:iCs/>
          <w:sz w:val="18"/>
        </w:rPr>
        <w:t>Proc. SPIE 11829, Earth Observing Systems XXVI</w:t>
      </w:r>
      <w:r w:rsidRPr="00210C76">
        <w:rPr>
          <w:sz w:val="18"/>
        </w:rPr>
        <w:t>, 118290Q (1 August 2021)</w:t>
      </w:r>
    </w:p>
    <w:p w14:paraId="6EAA46E6" w14:textId="77777777" w:rsidR="0099255C" w:rsidRDefault="0099255C" w:rsidP="005D4D1C">
      <w:pPr>
        <w:jc w:val="both"/>
        <w:rPr>
          <w:sz w:val="18"/>
        </w:rPr>
      </w:pPr>
    </w:p>
    <w:p w14:paraId="77A1E35F" w14:textId="6EF63DD2" w:rsidR="0099255C" w:rsidRPr="0099255C" w:rsidRDefault="0099255C" w:rsidP="0099255C">
      <w:pPr>
        <w:jc w:val="both"/>
        <w:rPr>
          <w:sz w:val="18"/>
        </w:rPr>
      </w:pPr>
      <w:r w:rsidRPr="0099255C">
        <w:rPr>
          <w:sz w:val="18"/>
        </w:rPr>
        <w:t>[</w:t>
      </w:r>
      <w:r w:rsidR="00A67373">
        <w:rPr>
          <w:sz w:val="18"/>
        </w:rPr>
        <w:t>9</w:t>
      </w:r>
      <w:r w:rsidRPr="0099255C">
        <w:rPr>
          <w:sz w:val="18"/>
        </w:rPr>
        <w:t>] G</w:t>
      </w:r>
      <w:r>
        <w:rPr>
          <w:sz w:val="18"/>
        </w:rPr>
        <w:t>erhard</w:t>
      </w:r>
      <w:r w:rsidRPr="0099255C">
        <w:rPr>
          <w:sz w:val="18"/>
        </w:rPr>
        <w:t xml:space="preserve"> Meister, </w:t>
      </w:r>
      <w:r>
        <w:rPr>
          <w:sz w:val="18"/>
        </w:rPr>
        <w:t>et al.</w:t>
      </w:r>
      <w:r w:rsidRPr="0099255C">
        <w:rPr>
          <w:sz w:val="18"/>
        </w:rPr>
        <w:t xml:space="preserve">, “Test Results from the Prelaunch Characterization Campaign of the Engineering Test Unit of the Ocean Color Instrument of NASA’s Plankton, Aerosol, Cloud and Ocean Ecosystem Mission” </w:t>
      </w:r>
      <w:r w:rsidRPr="0084389A">
        <w:rPr>
          <w:i/>
          <w:iCs/>
          <w:sz w:val="18"/>
        </w:rPr>
        <w:t>Front. Remote Sens., Sec. Multi- and Hyper-Spectral Imaging</w:t>
      </w:r>
      <w:r w:rsidR="0084389A">
        <w:rPr>
          <w:sz w:val="18"/>
        </w:rPr>
        <w:t xml:space="preserve">, </w:t>
      </w:r>
      <w:r w:rsidRPr="0099255C">
        <w:rPr>
          <w:sz w:val="18"/>
        </w:rPr>
        <w:t xml:space="preserve">23 June 2022.  </w:t>
      </w:r>
    </w:p>
    <w:p w14:paraId="331EAA87" w14:textId="77777777" w:rsidR="007230FA" w:rsidRDefault="007230FA" w:rsidP="005D4D1C">
      <w:pPr>
        <w:jc w:val="both"/>
        <w:rPr>
          <w:sz w:val="18"/>
        </w:rPr>
      </w:pPr>
    </w:p>
    <w:p w14:paraId="62321452" w14:textId="77777777" w:rsidR="007230FA" w:rsidRDefault="007230FA" w:rsidP="005D4D1C">
      <w:pPr>
        <w:jc w:val="both"/>
        <w:rPr>
          <w:sz w:val="18"/>
        </w:rPr>
      </w:pPr>
    </w:p>
    <w:sectPr w:rsidR="007230FA">
      <w:type w:val="continuous"/>
      <w:pgSz w:w="12240" w:h="15840" w:code="1"/>
      <w:pgMar w:top="1411" w:right="1080" w:bottom="1411" w:left="1080" w:header="720" w:footer="720" w:gutter="0"/>
      <w:cols w:num="2" w:space="3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CCDC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A2B2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8CCB7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7451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9F404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6828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8484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38CC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AE4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A41EAE"/>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CD"/>
    <w:rsid w:val="00006455"/>
    <w:rsid w:val="0001392D"/>
    <w:rsid w:val="00052CB5"/>
    <w:rsid w:val="000668EC"/>
    <w:rsid w:val="00066937"/>
    <w:rsid w:val="00077B7D"/>
    <w:rsid w:val="000920D7"/>
    <w:rsid w:val="000B0193"/>
    <w:rsid w:val="000B703C"/>
    <w:rsid w:val="000C4B17"/>
    <w:rsid w:val="000D1A2E"/>
    <w:rsid w:val="00107B09"/>
    <w:rsid w:val="00112D39"/>
    <w:rsid w:val="001152BB"/>
    <w:rsid w:val="001519BC"/>
    <w:rsid w:val="001652E5"/>
    <w:rsid w:val="00185C13"/>
    <w:rsid w:val="00192090"/>
    <w:rsid w:val="001A484A"/>
    <w:rsid w:val="001D10BD"/>
    <w:rsid w:val="001F2E56"/>
    <w:rsid w:val="002031C4"/>
    <w:rsid w:val="00210C76"/>
    <w:rsid w:val="00262306"/>
    <w:rsid w:val="00271E1D"/>
    <w:rsid w:val="00280591"/>
    <w:rsid w:val="00291486"/>
    <w:rsid w:val="00293185"/>
    <w:rsid w:val="002B39AA"/>
    <w:rsid w:val="003C1965"/>
    <w:rsid w:val="003D39EB"/>
    <w:rsid w:val="003D6DC2"/>
    <w:rsid w:val="0049501B"/>
    <w:rsid w:val="004A04BA"/>
    <w:rsid w:val="004D0672"/>
    <w:rsid w:val="004D3EAE"/>
    <w:rsid w:val="00531364"/>
    <w:rsid w:val="00565565"/>
    <w:rsid w:val="005737B4"/>
    <w:rsid w:val="005777B6"/>
    <w:rsid w:val="005B04E6"/>
    <w:rsid w:val="005D4D1C"/>
    <w:rsid w:val="0065487E"/>
    <w:rsid w:val="0068633F"/>
    <w:rsid w:val="006E1B5E"/>
    <w:rsid w:val="006F1211"/>
    <w:rsid w:val="00711FB2"/>
    <w:rsid w:val="007230FA"/>
    <w:rsid w:val="00741A4B"/>
    <w:rsid w:val="007461B4"/>
    <w:rsid w:val="007A350E"/>
    <w:rsid w:val="007C1BF7"/>
    <w:rsid w:val="007D1AB0"/>
    <w:rsid w:val="007D60D9"/>
    <w:rsid w:val="008437E9"/>
    <w:rsid w:val="0084389A"/>
    <w:rsid w:val="0085333F"/>
    <w:rsid w:val="008906D8"/>
    <w:rsid w:val="008B46F3"/>
    <w:rsid w:val="008B72E0"/>
    <w:rsid w:val="008D7150"/>
    <w:rsid w:val="008F2084"/>
    <w:rsid w:val="008F40D1"/>
    <w:rsid w:val="00904DDF"/>
    <w:rsid w:val="00945A78"/>
    <w:rsid w:val="00946F9C"/>
    <w:rsid w:val="0099255C"/>
    <w:rsid w:val="009C183C"/>
    <w:rsid w:val="00A37F33"/>
    <w:rsid w:val="00A67373"/>
    <w:rsid w:val="00A736B0"/>
    <w:rsid w:val="00AF110F"/>
    <w:rsid w:val="00AF395C"/>
    <w:rsid w:val="00B01DDE"/>
    <w:rsid w:val="00B205D4"/>
    <w:rsid w:val="00B32CAB"/>
    <w:rsid w:val="00B50D76"/>
    <w:rsid w:val="00B67607"/>
    <w:rsid w:val="00B859CA"/>
    <w:rsid w:val="00C132AB"/>
    <w:rsid w:val="00C629E6"/>
    <w:rsid w:val="00C76250"/>
    <w:rsid w:val="00CE01CD"/>
    <w:rsid w:val="00CE62F7"/>
    <w:rsid w:val="00CF63F8"/>
    <w:rsid w:val="00CF7597"/>
    <w:rsid w:val="00D038B7"/>
    <w:rsid w:val="00DC07C1"/>
    <w:rsid w:val="00DC23B8"/>
    <w:rsid w:val="00DD3745"/>
    <w:rsid w:val="00E204BC"/>
    <w:rsid w:val="00E312B1"/>
    <w:rsid w:val="00E570A0"/>
    <w:rsid w:val="00EA59FF"/>
    <w:rsid w:val="00EB2529"/>
    <w:rsid w:val="00EC31F7"/>
    <w:rsid w:val="00F05E03"/>
    <w:rsid w:val="00F238F8"/>
    <w:rsid w:val="00F63658"/>
    <w:rsid w:val="00F92B73"/>
    <w:rsid w:val="00F957E2"/>
    <w:rsid w:val="00FB0C0F"/>
    <w:rsid w:val="00FC5B09"/>
    <w:rsid w:val="00FE66F2"/>
    <w:rsid w:val="00FF3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40FC4"/>
  <w15:chartTrackingRefBased/>
  <w15:docId w15:val="{DC1DFA22-6252-401C-9EF0-7DE7CDE9E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spacing w:before="60"/>
      <w:outlineLvl w:val="0"/>
    </w:pPr>
    <w:rPr>
      <w:rFonts w:ascii="Britannic Bold" w:hAnsi="Britannic Bold"/>
      <w:kern w:val="28"/>
    </w:rPr>
  </w:style>
  <w:style w:type="paragraph" w:styleId="Heading2">
    <w:name w:val="heading 2"/>
    <w:basedOn w:val="Normal"/>
    <w:next w:val="Normal"/>
    <w:qFormat/>
    <w:pPr>
      <w:keepNext/>
      <w:tabs>
        <w:tab w:val="left" w:pos="1440"/>
      </w:tabs>
      <w:spacing w:before="40"/>
      <w:ind w:firstLine="360"/>
      <w:outlineLvl w:val="1"/>
    </w:pPr>
    <w:rPr>
      <w:sz w:val="22"/>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jc w:val="center"/>
      <w:outlineLvl w:val="3"/>
    </w:pPr>
    <w:rPr>
      <w:b/>
      <w:caps/>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Cs w:val="24"/>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1">
    <w:name w:val="ai1"/>
    <w:basedOn w:val="Normal"/>
    <w:pPr>
      <w:tabs>
        <w:tab w:val="right" w:leader="dot" w:pos="3960"/>
      </w:tabs>
    </w:pPr>
  </w:style>
  <w:style w:type="paragraph" w:customStyle="1" w:styleId="ai2">
    <w:name w:val="ai2"/>
    <w:basedOn w:val="Normal"/>
    <w:pPr>
      <w:tabs>
        <w:tab w:val="right" w:leader="dot" w:pos="3960"/>
      </w:tabs>
    </w:pPr>
  </w:style>
  <w:style w:type="paragraph" w:customStyle="1" w:styleId="ArticleTitle">
    <w:name w:val="Article Title"/>
    <w:basedOn w:val="Normal"/>
    <w:pPr>
      <w:spacing w:before="60"/>
      <w:ind w:left="360"/>
    </w:pPr>
    <w:rPr>
      <w:sz w:val="21"/>
    </w:rPr>
  </w:style>
  <w:style w:type="paragraph" w:customStyle="1" w:styleId="Author">
    <w:name w:val="Author"/>
    <w:basedOn w:val="Normal"/>
    <w:pPr>
      <w:tabs>
        <w:tab w:val="right" w:leader="dot" w:pos="9360"/>
      </w:tabs>
      <w:ind w:firstLine="720"/>
    </w:pPr>
    <w:rPr>
      <w:i/>
      <w:sz w:val="21"/>
    </w:rPr>
  </w:style>
  <w:style w:type="paragraph" w:styleId="Header">
    <w:name w:val="header"/>
    <w:basedOn w:val="Normal"/>
    <w:semiHidden/>
    <w:pPr>
      <w:tabs>
        <w:tab w:val="center" w:pos="4320"/>
        <w:tab w:val="right" w:pos="8640"/>
      </w:tabs>
    </w:pPr>
  </w:style>
  <w:style w:type="paragraph" w:customStyle="1" w:styleId="PageNumber1">
    <w:name w:val="Page Number1"/>
    <w:basedOn w:val="Normal"/>
    <w:pPr>
      <w:jc w:val="center"/>
    </w:pPr>
    <w:rPr>
      <w:rFonts w:ascii="Times" w:hAnsi="Times"/>
    </w:rPr>
  </w:style>
  <w:style w:type="paragraph" w:styleId="Title">
    <w:name w:val="Title"/>
    <w:basedOn w:val="Normal"/>
    <w:qFormat/>
    <w:pPr>
      <w:jc w:val="center"/>
    </w:pPr>
    <w:rPr>
      <w:rFonts w:ascii="Britannic Bold" w:hAnsi="Britannic Bold"/>
      <w:b/>
      <w:kern w:val="28"/>
      <w:sz w:val="36"/>
    </w:rPr>
  </w:style>
  <w:style w:type="paragraph" w:styleId="BodyTextIndent">
    <w:name w:val="Body Text Indent"/>
    <w:basedOn w:val="Normal"/>
    <w:semiHidden/>
    <w:pPr>
      <w:ind w:firstLine="245"/>
      <w:jc w:val="both"/>
    </w:pPr>
    <w:rPr>
      <w:i/>
      <w:sz w:val="20"/>
    </w:rPr>
  </w:style>
  <w:style w:type="paragraph" w:styleId="BodyTextIndent2">
    <w:name w:val="Body Text Indent 2"/>
    <w:basedOn w:val="Normal"/>
    <w:semiHidden/>
    <w:pPr>
      <w:ind w:firstLine="245"/>
      <w:jc w:val="both"/>
    </w:pPr>
    <w:rPr>
      <w:sz w:val="20"/>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
    <w:name w:val="Body Text"/>
    <w:basedOn w:val="Normal"/>
    <w:semiHidden/>
    <w:pPr>
      <w:jc w:val="center"/>
    </w:pPr>
    <w:rPr>
      <w:b/>
      <w:caps/>
    </w:rPr>
  </w:style>
  <w:style w:type="paragraph" w:styleId="BodyTextIndent3">
    <w:name w:val="Body Text Indent 3"/>
    <w:basedOn w:val="Normal"/>
    <w:semiHidden/>
    <w:pPr>
      <w:ind w:firstLine="270"/>
      <w:jc w:val="both"/>
    </w:pPr>
    <w:rPr>
      <w:sz w:val="20"/>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spacing w:after="120"/>
      <w:ind w:firstLine="210"/>
      <w:jc w:val="left"/>
    </w:pPr>
    <w:rPr>
      <w:b w:val="0"/>
      <w:caps w:val="0"/>
    </w:rPr>
  </w:style>
  <w:style w:type="paragraph" w:styleId="BodyTextFirstIndent2">
    <w:name w:val="Body Text First Indent 2"/>
    <w:basedOn w:val="BodyTextIndent"/>
    <w:semiHidden/>
    <w:pPr>
      <w:spacing w:after="120"/>
      <w:ind w:left="360" w:firstLine="210"/>
      <w:jc w:val="left"/>
    </w:pPr>
    <w:rPr>
      <w:i w:val="0"/>
      <w:sz w:val="24"/>
    </w:rPr>
  </w:style>
  <w:style w:type="paragraph" w:styleId="Caption">
    <w:name w:val="caption"/>
    <w:basedOn w:val="Normal"/>
    <w:next w:val="Normal"/>
    <w:qFormat/>
    <w:pPr>
      <w:spacing w:before="120" w:after="120"/>
    </w:pPr>
    <w:rPr>
      <w:b/>
      <w:bCs/>
      <w:sz w:val="20"/>
    </w:rPr>
  </w:style>
  <w:style w:type="paragraph" w:styleId="Closing">
    <w:name w:val="Closing"/>
    <w:basedOn w:val="Normal"/>
    <w:semiHidden/>
    <w:pPr>
      <w:ind w:left="4320"/>
    </w:pPr>
  </w:style>
  <w:style w:type="paragraph" w:styleId="CommentText">
    <w:name w:val="annotation text"/>
    <w:basedOn w:val="Normal"/>
    <w:link w:val="CommentTextChar"/>
    <w:semiHidden/>
    <w:rPr>
      <w:sz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emiHidden/>
  </w:style>
  <w:style w:type="paragraph" w:styleId="EndnoteText">
    <w:name w:val="endnote text"/>
    <w:basedOn w:val="Normal"/>
    <w:semiHidden/>
    <w:rPr>
      <w:sz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paragraph" w:styleId="Footer">
    <w:name w:val="footer"/>
    <w:basedOn w:val="Normal"/>
    <w:semiHidden/>
    <w:pPr>
      <w:tabs>
        <w:tab w:val="center" w:pos="4320"/>
        <w:tab w:val="right" w:pos="8640"/>
      </w:tabs>
    </w:pPr>
  </w:style>
  <w:style w:type="paragraph" w:styleId="FootnoteText">
    <w:name w:val="footnote text"/>
    <w:basedOn w:val="Normal"/>
    <w:semiHidden/>
    <w:rPr>
      <w:sz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UnresolvedMention">
    <w:name w:val="Unresolved Mention"/>
    <w:uiPriority w:val="99"/>
    <w:semiHidden/>
    <w:unhideWhenUsed/>
    <w:rsid w:val="00210C76"/>
    <w:rPr>
      <w:color w:val="605E5C"/>
      <w:shd w:val="clear" w:color="auto" w:fill="E1DFDD"/>
    </w:rPr>
  </w:style>
  <w:style w:type="character" w:styleId="CommentReference">
    <w:name w:val="annotation reference"/>
    <w:basedOn w:val="DefaultParagraphFont"/>
    <w:uiPriority w:val="99"/>
    <w:semiHidden/>
    <w:unhideWhenUsed/>
    <w:rsid w:val="00FC5B09"/>
    <w:rPr>
      <w:sz w:val="16"/>
      <w:szCs w:val="16"/>
    </w:rPr>
  </w:style>
  <w:style w:type="paragraph" w:styleId="CommentSubject">
    <w:name w:val="annotation subject"/>
    <w:basedOn w:val="CommentText"/>
    <w:next w:val="CommentText"/>
    <w:link w:val="CommentSubjectChar"/>
    <w:uiPriority w:val="99"/>
    <w:semiHidden/>
    <w:unhideWhenUsed/>
    <w:rsid w:val="00FC5B09"/>
    <w:rPr>
      <w:b/>
      <w:bCs/>
    </w:rPr>
  </w:style>
  <w:style w:type="character" w:customStyle="1" w:styleId="CommentTextChar">
    <w:name w:val="Comment Text Char"/>
    <w:basedOn w:val="DefaultParagraphFont"/>
    <w:link w:val="CommentText"/>
    <w:semiHidden/>
    <w:rsid w:val="00FC5B09"/>
  </w:style>
  <w:style w:type="character" w:customStyle="1" w:styleId="CommentSubjectChar">
    <w:name w:val="Comment Subject Char"/>
    <w:basedOn w:val="CommentTextChar"/>
    <w:link w:val="CommentSubject"/>
    <w:uiPriority w:val="99"/>
    <w:semiHidden/>
    <w:rsid w:val="00FC5B09"/>
    <w:rPr>
      <w:b/>
      <w:bCs/>
    </w:rPr>
  </w:style>
  <w:style w:type="paragraph" w:styleId="Revision">
    <w:name w:val="Revision"/>
    <w:hidden/>
    <w:uiPriority w:val="99"/>
    <w:semiHidden/>
    <w:rsid w:val="00FC5B0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00860">
      <w:bodyDiv w:val="1"/>
      <w:marLeft w:val="0"/>
      <w:marRight w:val="0"/>
      <w:marTop w:val="0"/>
      <w:marBottom w:val="0"/>
      <w:divBdr>
        <w:top w:val="none" w:sz="0" w:space="0" w:color="auto"/>
        <w:left w:val="none" w:sz="0" w:space="0" w:color="auto"/>
        <w:bottom w:val="none" w:sz="0" w:space="0" w:color="auto"/>
        <w:right w:val="none" w:sz="0" w:space="0" w:color="auto"/>
      </w:divBdr>
    </w:div>
    <w:div w:id="37292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0.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0.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942</TotalTime>
  <Pages>4</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Author Guidelines for 8</vt:lpstr>
    </vt:vector>
  </TitlesOfParts>
  <Company>IEEE Computer Society</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for 8</dc:title>
  <dc:subject/>
  <dc:creator>foobar</dc:creator>
  <cp:keywords/>
  <dc:description/>
  <cp:lastModifiedBy>Samuel Kitchen-McKinley</cp:lastModifiedBy>
  <cp:revision>12</cp:revision>
  <cp:lastPrinted>2000-05-02T22:54:00Z</cp:lastPrinted>
  <dcterms:created xsi:type="dcterms:W3CDTF">2023-05-24T22:52:00Z</dcterms:created>
  <dcterms:modified xsi:type="dcterms:W3CDTF">2023-05-25T18:03:00Z</dcterms:modified>
</cp:coreProperties>
</file>