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922EC" w14:textId="77777777" w:rsidR="00C57F64" w:rsidRPr="0066138C" w:rsidRDefault="00C57F64" w:rsidP="00C57F64">
      <w:pPr>
        <w:tabs>
          <w:tab w:val="left" w:pos="7329"/>
        </w:tabs>
        <w:spacing w:after="0" w:line="240" w:lineRule="auto"/>
        <w:jc w:val="right"/>
        <w:rPr>
          <w:rFonts w:ascii="Garamond" w:hAnsi="Garamond" w:cs="Arial"/>
          <w:sz w:val="40"/>
          <w:szCs w:val="40"/>
        </w:rPr>
      </w:pPr>
      <w:r w:rsidRPr="47BAFFBC">
        <w:rPr>
          <w:rFonts w:ascii="Garamond" w:hAnsi="Garamond" w:cs="Arial"/>
          <w:sz w:val="40"/>
          <w:szCs w:val="40"/>
        </w:rPr>
        <w:t>Lake Anna Water Resources</w:t>
      </w:r>
    </w:p>
    <w:p w14:paraId="023D8B6F" w14:textId="1FFADC8C" w:rsidR="00C57F64" w:rsidRDefault="00C57F64" w:rsidP="00C57F64">
      <w:pPr>
        <w:spacing w:after="0" w:line="240" w:lineRule="auto"/>
        <w:jc w:val="right"/>
        <w:rPr>
          <w:rFonts w:ascii="Garamond" w:hAnsi="Garamond" w:cs="Arial"/>
          <w:sz w:val="28"/>
          <w:szCs w:val="28"/>
        </w:rPr>
      </w:pPr>
      <w:r w:rsidRPr="27C63BA6">
        <w:rPr>
          <w:rFonts w:ascii="Garamond" w:hAnsi="Garamond" w:cs="Arial"/>
          <w:sz w:val="28"/>
          <w:szCs w:val="28"/>
        </w:rPr>
        <w:t>Using NASA Earth Observations to Identify Algal Event Risk Factors in Lake Anna and Help Inform Future Management Practices</w:t>
      </w:r>
    </w:p>
    <w:p w14:paraId="0E1AD0AF" w14:textId="77777777" w:rsidR="00C57F64" w:rsidRPr="0066138C" w:rsidRDefault="00C57F64" w:rsidP="00C57F64">
      <w:pPr>
        <w:spacing w:after="0" w:line="240" w:lineRule="auto"/>
        <w:rPr>
          <w:rFonts w:ascii="Garamond" w:hAnsi="Garamond" w:cs="Arial"/>
          <w:sz w:val="32"/>
        </w:rPr>
      </w:pPr>
    </w:p>
    <w:p w14:paraId="35C47543" w14:textId="77777777" w:rsidR="00C57F64" w:rsidRPr="0066138C" w:rsidRDefault="00C57F64" w:rsidP="00C57F64">
      <w:pPr>
        <w:spacing w:after="0" w:line="240" w:lineRule="auto"/>
        <w:rPr>
          <w:rFonts w:ascii="Garamond" w:hAnsi="Garamond" w:cs="Arial"/>
          <w:sz w:val="32"/>
        </w:rPr>
      </w:pPr>
    </w:p>
    <w:p w14:paraId="4CD351D9" w14:textId="77777777" w:rsidR="00C57F64" w:rsidRPr="0066138C" w:rsidRDefault="00C57F64" w:rsidP="00C57F64">
      <w:pPr>
        <w:spacing w:after="0" w:line="240" w:lineRule="auto"/>
        <w:rPr>
          <w:rFonts w:ascii="Garamond" w:hAnsi="Garamond" w:cs="Arial"/>
          <w:sz w:val="32"/>
        </w:rPr>
      </w:pPr>
    </w:p>
    <w:p w14:paraId="61F7C8BF" w14:textId="77777777" w:rsidR="00C57F64" w:rsidRPr="0066138C" w:rsidRDefault="00C57F64" w:rsidP="00C57F64">
      <w:pPr>
        <w:spacing w:after="0" w:line="240" w:lineRule="auto"/>
        <w:rPr>
          <w:rFonts w:ascii="Garamond" w:hAnsi="Garamond" w:cs="Arial"/>
          <w:sz w:val="32"/>
        </w:rPr>
      </w:pPr>
    </w:p>
    <w:p w14:paraId="79DD3C32" w14:textId="77777777" w:rsidR="00C57F64" w:rsidRPr="0066138C" w:rsidRDefault="00C57F64" w:rsidP="00C57F64">
      <w:pPr>
        <w:spacing w:after="0" w:line="240" w:lineRule="auto"/>
        <w:jc w:val="center"/>
        <w:rPr>
          <w:rFonts w:ascii="Garamond" w:hAnsi="Garamond" w:cs="Arial"/>
          <w:b/>
          <w:sz w:val="32"/>
        </w:rPr>
      </w:pPr>
    </w:p>
    <w:p w14:paraId="375B5130" w14:textId="77777777" w:rsidR="00C57F64" w:rsidRPr="0066138C" w:rsidRDefault="00C57F64" w:rsidP="00C57F64">
      <w:pPr>
        <w:spacing w:after="0" w:line="240" w:lineRule="auto"/>
        <w:jc w:val="center"/>
        <w:rPr>
          <w:rFonts w:ascii="Garamond" w:hAnsi="Garamond" w:cs="Arial"/>
          <w:b/>
          <w:sz w:val="32"/>
        </w:rPr>
      </w:pPr>
    </w:p>
    <w:p w14:paraId="45465E34" w14:textId="77777777" w:rsidR="00C57F64" w:rsidRPr="0066138C" w:rsidRDefault="00C57F64" w:rsidP="00C57F64">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9264" behindDoc="0" locked="0" layoutInCell="1" allowOverlap="1" wp14:anchorId="058CB24E" wp14:editId="01A10426">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Technical Report</w:t>
      </w:r>
    </w:p>
    <w:p w14:paraId="3798BA79" w14:textId="77777777" w:rsidR="00C57F64" w:rsidRPr="0066138C" w:rsidDel="00E6103B" w:rsidRDefault="00C57F64" w:rsidP="00C57F64">
      <w:pPr>
        <w:spacing w:after="0" w:line="240" w:lineRule="auto"/>
        <w:jc w:val="center"/>
        <w:rPr>
          <w:rFonts w:ascii="Garamond" w:hAnsi="Garamond" w:cs="Arial"/>
          <w:sz w:val="28"/>
          <w:szCs w:val="28"/>
        </w:rPr>
      </w:pPr>
      <w:r w:rsidRPr="3E42A514">
        <w:rPr>
          <w:rFonts w:ascii="Garamond" w:hAnsi="Garamond" w:cs="Arial"/>
          <w:sz w:val="28"/>
          <w:szCs w:val="28"/>
        </w:rPr>
        <w:t>August 11</w:t>
      </w:r>
      <w:r w:rsidRPr="3E42A514">
        <w:rPr>
          <w:rFonts w:ascii="Garamond" w:hAnsi="Garamond" w:cs="Arial"/>
          <w:sz w:val="28"/>
          <w:szCs w:val="28"/>
          <w:vertAlign w:val="superscript"/>
        </w:rPr>
        <w:t>th</w:t>
      </w:r>
      <w:r w:rsidRPr="3E42A514">
        <w:rPr>
          <w:rFonts w:ascii="Garamond" w:hAnsi="Garamond" w:cs="Arial"/>
          <w:sz w:val="28"/>
          <w:szCs w:val="28"/>
        </w:rPr>
        <w:t>, 2023</w:t>
      </w:r>
    </w:p>
    <w:p w14:paraId="793675AA" w14:textId="77777777" w:rsidR="00C57F64" w:rsidRPr="00AA4C5F" w:rsidRDefault="00C57F64" w:rsidP="00C57F64">
      <w:pPr>
        <w:spacing w:after="0" w:line="240" w:lineRule="auto"/>
        <w:jc w:val="center"/>
        <w:rPr>
          <w:rFonts w:ascii="Garamond" w:hAnsi="Garamond" w:cs="Arial"/>
          <w:sz w:val="20"/>
          <w:szCs w:val="24"/>
        </w:rPr>
      </w:pPr>
    </w:p>
    <w:p w14:paraId="394D066D" w14:textId="77777777" w:rsidR="00C57F64" w:rsidRPr="004D75CF" w:rsidRDefault="00C57F64" w:rsidP="00C57F64">
      <w:pPr>
        <w:spacing w:after="0" w:line="240" w:lineRule="auto"/>
        <w:jc w:val="center"/>
        <w:rPr>
          <w:rFonts w:ascii="Garamond" w:hAnsi="Garamond" w:cs="Arial"/>
          <w:sz w:val="20"/>
          <w:szCs w:val="20"/>
        </w:rPr>
      </w:pPr>
      <w:r w:rsidRPr="47BAFFBC">
        <w:rPr>
          <w:rFonts w:ascii="Garamond" w:hAnsi="Garamond" w:cs="Arial"/>
          <w:sz w:val="20"/>
          <w:szCs w:val="20"/>
        </w:rPr>
        <w:t>Olivia Etherton (Project Lead)</w:t>
      </w:r>
    </w:p>
    <w:p w14:paraId="5AFC4D40" w14:textId="77777777" w:rsidR="00C57F64" w:rsidRPr="004D75CF" w:rsidRDefault="00C57F64" w:rsidP="00C57F64">
      <w:pPr>
        <w:spacing w:after="0" w:line="240" w:lineRule="auto"/>
        <w:jc w:val="center"/>
        <w:rPr>
          <w:rFonts w:ascii="Garamond" w:hAnsi="Garamond" w:cs="Arial"/>
          <w:sz w:val="20"/>
          <w:szCs w:val="20"/>
        </w:rPr>
      </w:pPr>
      <w:r w:rsidRPr="27C63BA6">
        <w:rPr>
          <w:rFonts w:ascii="Garamond" w:hAnsi="Garamond" w:cs="Arial"/>
          <w:sz w:val="20"/>
          <w:szCs w:val="20"/>
        </w:rPr>
        <w:t>Caroline Bahun</w:t>
      </w:r>
    </w:p>
    <w:p w14:paraId="1C2C7F4C" w14:textId="77777777" w:rsidR="00C57F64" w:rsidRPr="004D75CF" w:rsidRDefault="00C57F64" w:rsidP="00C57F64">
      <w:pPr>
        <w:spacing w:after="0" w:line="240" w:lineRule="auto"/>
        <w:jc w:val="center"/>
        <w:rPr>
          <w:rFonts w:ascii="Garamond" w:hAnsi="Garamond" w:cs="Arial"/>
          <w:sz w:val="20"/>
          <w:szCs w:val="20"/>
        </w:rPr>
      </w:pPr>
      <w:r w:rsidRPr="27C63BA6">
        <w:rPr>
          <w:rFonts w:ascii="Garamond" w:hAnsi="Garamond" w:cs="Arial"/>
          <w:sz w:val="20"/>
          <w:szCs w:val="20"/>
        </w:rPr>
        <w:t>Alexander Krest</w:t>
      </w:r>
    </w:p>
    <w:p w14:paraId="721C416D" w14:textId="77777777" w:rsidR="00C57F64" w:rsidRDefault="00C57F64" w:rsidP="00C57F64">
      <w:pPr>
        <w:spacing w:after="0" w:line="240" w:lineRule="auto"/>
        <w:jc w:val="center"/>
        <w:rPr>
          <w:rFonts w:ascii="Garamond" w:hAnsi="Garamond" w:cs="Arial"/>
          <w:sz w:val="20"/>
          <w:szCs w:val="20"/>
        </w:rPr>
      </w:pPr>
      <w:r w:rsidRPr="47BAFFBC">
        <w:rPr>
          <w:rFonts w:ascii="Garamond" w:hAnsi="Garamond" w:cs="Arial"/>
          <w:sz w:val="20"/>
          <w:szCs w:val="20"/>
        </w:rPr>
        <w:t>Justin Wilder</w:t>
      </w:r>
    </w:p>
    <w:p w14:paraId="4106E2FE" w14:textId="77777777" w:rsidR="00C57F64" w:rsidRDefault="00C57F64" w:rsidP="00C57F64">
      <w:pPr>
        <w:spacing w:after="0" w:line="240" w:lineRule="auto"/>
        <w:jc w:val="center"/>
        <w:rPr>
          <w:rFonts w:ascii="Garamond" w:hAnsi="Garamond" w:cs="Arial"/>
          <w:sz w:val="20"/>
        </w:rPr>
      </w:pPr>
    </w:p>
    <w:p w14:paraId="403EEF6F" w14:textId="77777777" w:rsidR="00C57F64" w:rsidRPr="00611ACB" w:rsidRDefault="00C57F64" w:rsidP="00C57F64">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497441E7" w14:textId="77777777" w:rsidR="00C57F64" w:rsidRPr="004D75CF" w:rsidRDefault="00C57F64" w:rsidP="00C57F64">
      <w:pPr>
        <w:spacing w:after="0" w:line="240" w:lineRule="auto"/>
        <w:jc w:val="center"/>
        <w:rPr>
          <w:rFonts w:ascii="Garamond" w:hAnsi="Garamond" w:cs="Arial"/>
          <w:sz w:val="20"/>
          <w:szCs w:val="20"/>
        </w:rPr>
      </w:pPr>
      <w:r w:rsidRPr="27C63BA6">
        <w:rPr>
          <w:rFonts w:ascii="Garamond" w:hAnsi="Garamond" w:cs="Arial"/>
          <w:sz w:val="20"/>
          <w:szCs w:val="20"/>
        </w:rPr>
        <w:t>Dr. Kenton Ross, NASA Langley Research Center (Science Advisor)</w:t>
      </w:r>
    </w:p>
    <w:p w14:paraId="0C1106D3" w14:textId="77777777" w:rsidR="00C57F64" w:rsidRPr="004D75CF" w:rsidRDefault="00C57F64" w:rsidP="00C57F64">
      <w:pPr>
        <w:spacing w:after="0" w:line="240" w:lineRule="auto"/>
        <w:jc w:val="center"/>
        <w:rPr>
          <w:rFonts w:ascii="Garamond" w:hAnsi="Garamond" w:cs="Arial"/>
          <w:sz w:val="20"/>
          <w:szCs w:val="20"/>
        </w:rPr>
      </w:pPr>
      <w:r w:rsidRPr="27C63BA6">
        <w:rPr>
          <w:rFonts w:ascii="Garamond" w:hAnsi="Garamond" w:cs="Arial"/>
          <w:sz w:val="20"/>
          <w:szCs w:val="20"/>
        </w:rPr>
        <w:t>Lauren Childs-Gleason, NASA Langley Research Center (Science Advisor)</w:t>
      </w:r>
    </w:p>
    <w:p w14:paraId="043F8035" w14:textId="77777777" w:rsidR="00C57F64" w:rsidRPr="004D75CF" w:rsidRDefault="00C57F64" w:rsidP="00C57F64">
      <w:pPr>
        <w:spacing w:after="0" w:line="240" w:lineRule="auto"/>
        <w:jc w:val="center"/>
        <w:rPr>
          <w:rFonts w:ascii="Garamond" w:hAnsi="Garamond" w:cs="Arial"/>
          <w:sz w:val="20"/>
        </w:rPr>
      </w:pPr>
    </w:p>
    <w:p w14:paraId="13262389" w14:textId="77777777" w:rsidR="00C57F64" w:rsidRDefault="00C57F64" w:rsidP="00C57F64">
      <w:pPr>
        <w:spacing w:after="0" w:line="240" w:lineRule="auto"/>
        <w:jc w:val="center"/>
        <w:rPr>
          <w:rFonts w:ascii="Garamond" w:hAnsi="Garamond" w:cs="Arial"/>
          <w:sz w:val="20"/>
          <w:szCs w:val="20"/>
        </w:rPr>
      </w:pPr>
    </w:p>
    <w:p w14:paraId="392DEDAD" w14:textId="77777777" w:rsidR="00C57F64" w:rsidRDefault="00C57F64" w:rsidP="00C57F64">
      <w:pPr>
        <w:spacing w:after="0" w:line="240" w:lineRule="auto"/>
        <w:jc w:val="center"/>
        <w:rPr>
          <w:rFonts w:ascii="Garamond" w:hAnsi="Garamond" w:cs="Arial"/>
          <w:sz w:val="20"/>
          <w:szCs w:val="20"/>
        </w:rPr>
      </w:pPr>
      <w:r w:rsidRPr="27C63BA6">
        <w:rPr>
          <w:rFonts w:ascii="Garamond" w:hAnsi="Garamond" w:cs="Arial"/>
          <w:b/>
          <w:bCs/>
          <w:i/>
          <w:iCs/>
          <w:sz w:val="20"/>
          <w:szCs w:val="20"/>
        </w:rPr>
        <w:t>Fellow:</w:t>
      </w:r>
      <w:r>
        <w:br/>
      </w:r>
      <w:r w:rsidRPr="27C63BA6">
        <w:rPr>
          <w:rFonts w:ascii="Garamond" w:hAnsi="Garamond" w:cs="Arial"/>
          <w:sz w:val="20"/>
          <w:szCs w:val="20"/>
        </w:rPr>
        <w:t>Olivia Landry (NASA Langley Research Center)</w:t>
      </w:r>
    </w:p>
    <w:p w14:paraId="3203D473" w14:textId="77777777" w:rsidR="00C57F64" w:rsidRPr="0066138C" w:rsidRDefault="00C57F64" w:rsidP="00C57F64">
      <w:pPr>
        <w:spacing w:after="0" w:line="240" w:lineRule="auto"/>
        <w:rPr>
          <w:rFonts w:ascii="Garamond" w:hAnsi="Garamond" w:cs="Arial"/>
          <w:sz w:val="20"/>
          <w:szCs w:val="20"/>
        </w:rPr>
      </w:pPr>
      <w:r w:rsidRPr="0066138C">
        <w:rPr>
          <w:rFonts w:ascii="Garamond" w:hAnsi="Garamond" w:cs="Arial"/>
          <w:b/>
          <w:bCs/>
          <w:sz w:val="20"/>
          <w:szCs w:val="20"/>
        </w:rPr>
        <w:br w:type="page"/>
      </w:r>
    </w:p>
    <w:p w14:paraId="57FA0802" w14:textId="77777777" w:rsidR="00C57F64" w:rsidRPr="0066138C" w:rsidRDefault="00C57F64" w:rsidP="00C57F64">
      <w:pPr>
        <w:pStyle w:val="Heading1"/>
        <w:keepNext w:val="0"/>
        <w:keepLines w:val="0"/>
        <w:spacing w:before="0" w:line="240" w:lineRule="auto"/>
        <w:rPr>
          <w:rFonts w:ascii="Garamond" w:hAnsi="Garamond"/>
        </w:rPr>
      </w:pPr>
      <w:r w:rsidRPr="69E78D4D">
        <w:rPr>
          <w:rFonts w:ascii="Garamond" w:hAnsi="Garamond"/>
        </w:rPr>
        <w:lastRenderedPageBreak/>
        <w:t xml:space="preserve">1. Abstract </w:t>
      </w:r>
    </w:p>
    <w:p w14:paraId="2E121277" w14:textId="77777777" w:rsidR="00C57F64" w:rsidRDefault="00C57F64" w:rsidP="00C57F64">
      <w:pPr>
        <w:spacing w:after="0" w:line="240" w:lineRule="auto"/>
        <w:contextualSpacing/>
        <w:rPr>
          <w:rFonts w:ascii="Garamond" w:hAnsi="Garamond"/>
        </w:rPr>
      </w:pPr>
      <w:r w:rsidRPr="650BC94A">
        <w:rPr>
          <w:rFonts w:ascii="Garamond" w:eastAsia="Garamond" w:hAnsi="Garamond" w:cs="Garamond"/>
          <w:color w:val="000000" w:themeColor="text1"/>
        </w:rPr>
        <w:t xml:space="preserve">Lake Anna is a man-made reservoir and popular recreation destination that spans over 13,000 acres—9,600 public and 3,400 </w:t>
      </w:r>
      <w:bookmarkStart w:id="0" w:name="_Int_krS5iRss"/>
      <w:r w:rsidRPr="650BC94A">
        <w:rPr>
          <w:rFonts w:ascii="Garamond" w:eastAsia="Garamond" w:hAnsi="Garamond" w:cs="Garamond"/>
          <w:color w:val="000000" w:themeColor="text1"/>
        </w:rPr>
        <w:t>private</w:t>
      </w:r>
      <w:bookmarkEnd w:id="0"/>
      <w:r w:rsidRPr="650BC94A">
        <w:rPr>
          <w:rFonts w:ascii="Garamond" w:eastAsia="Garamond" w:hAnsi="Garamond" w:cs="Garamond"/>
          <w:color w:val="000000" w:themeColor="text1"/>
        </w:rPr>
        <w:t xml:space="preserve">—in the Piedmont region of Virginia. The Lake has recently seen a rise in documented harmful algal blooms (HABs), which pose a variety of community and ecological concerns and are often exacerbated by anthropogenic factors, such as excess nutrient loads from agricultural runoff. NASA DEVELOP has partnered with the Virginia </w:t>
      </w:r>
      <w:r w:rsidRPr="650BC94A">
        <w:rPr>
          <w:rFonts w:ascii="Garamond" w:eastAsia="Garamond" w:hAnsi="Garamond" w:cs="Garamond"/>
        </w:rPr>
        <w:t>Department of Environmental Quality (DEQ) to help</w:t>
      </w:r>
      <w:r w:rsidRPr="650BC94A">
        <w:rPr>
          <w:rFonts w:ascii="Garamond" w:eastAsia="Garamond" w:hAnsi="Garamond" w:cs="Garamond"/>
          <w:color w:val="000000" w:themeColor="text1"/>
        </w:rPr>
        <w:t xml:space="preserve"> monitor cyanobacteria and nutrient pollution indicators across Lake Anna. The team utilized Earth observations (EO) and </w:t>
      </w:r>
      <w:r w:rsidRPr="650BC94A">
        <w:rPr>
          <w:rFonts w:ascii="Garamond" w:eastAsia="Garamond" w:hAnsi="Garamond" w:cs="Garamond"/>
          <w:i/>
          <w:iCs/>
          <w:color w:val="000000" w:themeColor="text1"/>
        </w:rPr>
        <w:t>in situ</w:t>
      </w:r>
      <w:r w:rsidRPr="650BC94A">
        <w:rPr>
          <w:rFonts w:ascii="Garamond" w:eastAsia="Garamond" w:hAnsi="Garamond" w:cs="Garamond"/>
          <w:color w:val="000000" w:themeColor="text1"/>
        </w:rPr>
        <w:t xml:space="preserve"> ancillary data to identify and monitor algal bloom trends. The team used Landsat 8 Operational Land Imager (OLI), Landsat 9 OLI-2, Sentinel-2 Multispectral Instrument (MSI), and Sentinel-3 Ocean and Land Color Instrument (OLCI) to analyze water quality variables such as chlorophyll-a, turbidity, surface temperature, and cyanobacteria. Due to the lack of comprehensive </w:t>
      </w:r>
      <w:r w:rsidRPr="650BC94A">
        <w:rPr>
          <w:rFonts w:ascii="Garamond" w:eastAsia="Garamond" w:hAnsi="Garamond" w:cs="Garamond"/>
          <w:i/>
          <w:iCs/>
          <w:color w:val="000000" w:themeColor="text1"/>
        </w:rPr>
        <w:t>in situ</w:t>
      </w:r>
      <w:r w:rsidRPr="650BC94A">
        <w:rPr>
          <w:rFonts w:ascii="Garamond" w:eastAsia="Garamond" w:hAnsi="Garamond" w:cs="Garamond"/>
          <w:color w:val="000000" w:themeColor="text1"/>
        </w:rPr>
        <w:t xml:space="preserve"> data and historic HAB event records, our ability to compare and validate EOs was limited. Additionally, deficient spatial resolutions, along with a geographically complicated shoreline, accentuated the spatial constraints we faced in our analysis. After examining EOs, our results indicated conditions conducive to the formation of HABs within the upper reaches of Lake Anna. Yet, spatially dependent limiting factors may have also influenced where these phenomena developed. </w:t>
      </w:r>
      <w:r w:rsidRPr="650BC94A">
        <w:rPr>
          <w:rFonts w:ascii="Garamond" w:hAnsi="Garamond"/>
        </w:rPr>
        <w:t xml:space="preserve">When used in concert with existing </w:t>
      </w:r>
      <w:r w:rsidRPr="650BC94A">
        <w:rPr>
          <w:rFonts w:ascii="Garamond" w:hAnsi="Garamond"/>
          <w:i/>
          <w:iCs/>
        </w:rPr>
        <w:t>in situ</w:t>
      </w:r>
      <w:r w:rsidRPr="650BC94A">
        <w:rPr>
          <w:rFonts w:ascii="Garamond" w:hAnsi="Garamond"/>
        </w:rPr>
        <w:t xml:space="preserve"> datasets, NASA EOs provide relevant stakeholders with more comprehensive analyses with which to engage in enhanced monitoring and watershed management.</w:t>
      </w:r>
    </w:p>
    <w:p w14:paraId="065B1BA0" w14:textId="77777777" w:rsidR="00C57F64" w:rsidRDefault="00C57F64" w:rsidP="00C57F64">
      <w:pPr>
        <w:spacing w:after="0" w:line="240" w:lineRule="auto"/>
        <w:rPr>
          <w:rFonts w:ascii="Garamond" w:hAnsi="Garamond"/>
        </w:rPr>
      </w:pPr>
    </w:p>
    <w:p w14:paraId="703F8C09" w14:textId="77777777" w:rsidR="00C57F64" w:rsidRPr="0066138C" w:rsidRDefault="00C57F64" w:rsidP="00C57F64">
      <w:pPr>
        <w:spacing w:after="0" w:line="240" w:lineRule="auto"/>
        <w:contextualSpacing/>
        <w:rPr>
          <w:rFonts w:ascii="Garamond" w:hAnsi="Garamond" w:cs="Arial"/>
          <w:b/>
          <w:bCs/>
        </w:rPr>
      </w:pPr>
      <w:r w:rsidRPr="27C63BA6">
        <w:rPr>
          <w:rFonts w:ascii="Garamond" w:hAnsi="Garamond" w:cs="Arial"/>
          <w:b/>
          <w:bCs/>
        </w:rPr>
        <w:t>Key Terms</w:t>
      </w:r>
    </w:p>
    <w:p w14:paraId="50EC16FA" w14:textId="77777777" w:rsidR="00C57F64" w:rsidRDefault="00C57F64" w:rsidP="00C57F64">
      <w:pPr>
        <w:spacing w:after="0" w:line="240" w:lineRule="auto"/>
        <w:contextualSpacing/>
        <w:rPr>
          <w:rFonts w:ascii="Garamond" w:hAnsi="Garamond" w:cs="Arial"/>
        </w:rPr>
      </w:pPr>
      <w:r w:rsidRPr="5150B811">
        <w:rPr>
          <w:rFonts w:ascii="Garamond" w:hAnsi="Garamond" w:cs="Arial"/>
        </w:rPr>
        <w:t xml:space="preserve">cyanobacteria, harmful algal blooms, phycocyanin, </w:t>
      </w:r>
      <w:r w:rsidRPr="4B91EDB0">
        <w:rPr>
          <w:rFonts w:ascii="Garamond" w:hAnsi="Garamond" w:cs="Arial"/>
        </w:rPr>
        <w:t>NDCI, NDTI</w:t>
      </w:r>
      <w:r w:rsidRPr="2DC6A4CF">
        <w:rPr>
          <w:rFonts w:ascii="Garamond" w:hAnsi="Garamond" w:cs="Arial"/>
        </w:rPr>
        <w:t xml:space="preserve">, </w:t>
      </w:r>
      <w:r w:rsidRPr="5150B811">
        <w:rPr>
          <w:rFonts w:ascii="Garamond" w:hAnsi="Garamond" w:cs="Arial"/>
        </w:rPr>
        <w:t xml:space="preserve">Sentinel, Landsat, </w:t>
      </w:r>
      <w:r w:rsidRPr="3F884A43">
        <w:rPr>
          <w:rFonts w:ascii="Garamond" w:hAnsi="Garamond" w:cs="Arial"/>
        </w:rPr>
        <w:t>Google Earth Engine</w:t>
      </w:r>
    </w:p>
    <w:p w14:paraId="0C3A4945" w14:textId="77777777" w:rsidR="00C57F64" w:rsidRPr="0066138C" w:rsidRDefault="00C57F64" w:rsidP="00C57F64">
      <w:pPr>
        <w:spacing w:after="0" w:line="240" w:lineRule="auto"/>
        <w:rPr>
          <w:rFonts w:ascii="Garamond" w:hAnsi="Garamond" w:cs="Arial"/>
        </w:rPr>
      </w:pPr>
      <w:bookmarkStart w:id="1" w:name="_Toc334198720"/>
    </w:p>
    <w:p w14:paraId="33198461" w14:textId="77777777" w:rsidR="00C57F64" w:rsidRPr="0066138C" w:rsidRDefault="00C57F64" w:rsidP="00C57F64">
      <w:pPr>
        <w:pStyle w:val="Heading1"/>
        <w:keepNext w:val="0"/>
        <w:keepLines w:val="0"/>
        <w:spacing w:before="0" w:line="240" w:lineRule="auto"/>
        <w:rPr>
          <w:rFonts w:ascii="Garamond" w:hAnsi="Garamond"/>
        </w:rPr>
      </w:pPr>
      <w:r w:rsidRPr="0066138C">
        <w:rPr>
          <w:rFonts w:ascii="Garamond" w:hAnsi="Garamond"/>
        </w:rPr>
        <w:t>2. Introduction</w:t>
      </w:r>
      <w:bookmarkEnd w:id="1"/>
    </w:p>
    <w:p w14:paraId="74F84C6F" w14:textId="77777777" w:rsidR="00C57F64" w:rsidRDefault="00C57F64" w:rsidP="00C57F64">
      <w:pPr>
        <w:spacing w:after="0" w:line="240" w:lineRule="auto"/>
        <w:rPr>
          <w:rFonts w:ascii="Garamond" w:hAnsi="Garamond"/>
          <w:b/>
          <w:bCs/>
          <w:i/>
          <w:iCs/>
        </w:rPr>
      </w:pPr>
      <w:bookmarkStart w:id="2" w:name="_Toc334198721"/>
      <w:r w:rsidRPr="5150B811">
        <w:rPr>
          <w:rFonts w:ascii="Garamond" w:hAnsi="Garamond"/>
          <w:b/>
          <w:bCs/>
          <w:i/>
          <w:iCs/>
        </w:rPr>
        <w:t>2.1 Background Information</w:t>
      </w:r>
      <w:bookmarkEnd w:id="2"/>
    </w:p>
    <w:p w14:paraId="74993E4D" w14:textId="3543339D" w:rsidR="00C57F64" w:rsidRDefault="00C57F64" w:rsidP="00C57F64">
      <w:pPr>
        <w:spacing w:after="0" w:line="240" w:lineRule="auto"/>
        <w:rPr>
          <w:rFonts w:ascii="Garamond" w:eastAsia="Garamond" w:hAnsi="Garamond" w:cs="Garamond"/>
        </w:rPr>
      </w:pPr>
      <w:r w:rsidRPr="5150B811">
        <w:rPr>
          <w:rFonts w:ascii="Garamond" w:eastAsia="Garamond" w:hAnsi="Garamond" w:cs="Garamond"/>
        </w:rPr>
        <w:t xml:space="preserve">Harmful algal blooms (HABs), often associated with coastal waters, are becoming an increasingly urgent issue for inland waterbodies across the country. As photosynthetic aquatic organisms, algae are important oxygen-producers in a balanced aquatic ecosystem. Instances of algal overgrowth, called blooms, may occur within relatively unspoiled, nutrient-limited ecosystems, however, anthropogenic stressors often exacerbate their frequency and intensity. Excess nutrients in waterways, </w:t>
      </w:r>
      <w:r w:rsidRPr="7E64A2B5">
        <w:rPr>
          <w:rFonts w:ascii="Garamond" w:eastAsia="Garamond" w:hAnsi="Garamond" w:cs="Garamond"/>
        </w:rPr>
        <w:t>particularly phosphorous and nitrogen</w:t>
      </w:r>
      <w:r>
        <w:rPr>
          <w:rFonts w:ascii="Garamond" w:eastAsia="Garamond" w:hAnsi="Garamond" w:cs="Garamond"/>
        </w:rPr>
        <w:t xml:space="preserve">, are </w:t>
      </w:r>
      <w:r w:rsidRPr="5150B811">
        <w:rPr>
          <w:rFonts w:ascii="Garamond" w:eastAsia="Garamond" w:hAnsi="Garamond" w:cs="Garamond"/>
        </w:rPr>
        <w:t>often carried by runoff from agricultural fields, sewage, and industrial activities</w:t>
      </w:r>
      <w:r>
        <w:rPr>
          <w:rFonts w:ascii="Garamond" w:eastAsia="Garamond" w:hAnsi="Garamond" w:cs="Garamond"/>
        </w:rPr>
        <w:t xml:space="preserve"> and</w:t>
      </w:r>
      <w:r w:rsidRPr="5150B811">
        <w:rPr>
          <w:rFonts w:ascii="Garamond" w:eastAsia="Garamond" w:hAnsi="Garamond" w:cs="Garamond"/>
        </w:rPr>
        <w:t xml:space="preserve"> can cause eutrophication</w:t>
      </w:r>
      <w:r>
        <w:rPr>
          <w:rFonts w:ascii="Garamond" w:eastAsia="Garamond" w:hAnsi="Garamond" w:cs="Garamond"/>
        </w:rPr>
        <w:t>—a</w:t>
      </w:r>
      <w:r w:rsidRPr="3E84361D">
        <w:rPr>
          <w:rFonts w:ascii="Garamond" w:eastAsia="Garamond" w:hAnsi="Garamond" w:cs="Garamond"/>
        </w:rPr>
        <w:t xml:space="preserve"> process by which rapid algal</w:t>
      </w:r>
      <w:r w:rsidRPr="5150B811">
        <w:rPr>
          <w:rFonts w:ascii="Garamond" w:eastAsia="Garamond" w:hAnsi="Garamond" w:cs="Garamond"/>
        </w:rPr>
        <w:t xml:space="preserve"> growth and die-off can drastically deplete dissolved oxygen critical to sustaining aquatic life</w:t>
      </w:r>
      <w:r>
        <w:rPr>
          <w:rFonts w:ascii="Garamond" w:eastAsia="Garamond" w:hAnsi="Garamond" w:cs="Garamond"/>
        </w:rPr>
        <w:t xml:space="preserve"> </w:t>
      </w:r>
      <w:r w:rsidRPr="7E64A2B5">
        <w:rPr>
          <w:rFonts w:ascii="Garamond" w:eastAsia="Garamond" w:hAnsi="Garamond" w:cs="Garamond"/>
        </w:rPr>
        <w:t>(Misra et al</w:t>
      </w:r>
      <w:r w:rsidR="00132BF4">
        <w:rPr>
          <w:rFonts w:ascii="Garamond" w:eastAsia="Garamond" w:hAnsi="Garamond" w:cs="Garamond"/>
        </w:rPr>
        <w:t>.</w:t>
      </w:r>
      <w:r w:rsidRPr="7E64A2B5">
        <w:rPr>
          <w:rFonts w:ascii="Garamond" w:eastAsia="Garamond" w:hAnsi="Garamond" w:cs="Garamond"/>
        </w:rPr>
        <w:t>, 2011). When present in sufficient concentrations,</w:t>
      </w:r>
      <w:r>
        <w:rPr>
          <w:rFonts w:ascii="Garamond" w:eastAsia="Garamond" w:hAnsi="Garamond" w:cs="Garamond"/>
        </w:rPr>
        <w:t xml:space="preserve"> </w:t>
      </w:r>
      <w:r w:rsidRPr="366CFE35">
        <w:rPr>
          <w:rFonts w:ascii="Garamond" w:eastAsia="Garamond" w:hAnsi="Garamond" w:cs="Garamond"/>
        </w:rPr>
        <w:t xml:space="preserve">HABs </w:t>
      </w:r>
      <w:r w:rsidRPr="7E64A2B5">
        <w:rPr>
          <w:rFonts w:ascii="Garamond" w:eastAsia="Garamond" w:hAnsi="Garamond" w:cs="Garamond"/>
        </w:rPr>
        <w:t>composed</w:t>
      </w:r>
      <w:r w:rsidRPr="5150B811">
        <w:rPr>
          <w:rFonts w:ascii="Garamond" w:eastAsia="Garamond" w:hAnsi="Garamond" w:cs="Garamond"/>
        </w:rPr>
        <w:t xml:space="preserve"> of toxigenic </w:t>
      </w:r>
      <w:r w:rsidRPr="7E64A2B5">
        <w:rPr>
          <w:rFonts w:ascii="Garamond" w:eastAsia="Garamond" w:hAnsi="Garamond" w:cs="Garamond"/>
        </w:rPr>
        <w:t xml:space="preserve">cyanobacteria, such as those of the genus </w:t>
      </w:r>
      <w:r w:rsidRPr="7E64A2B5">
        <w:rPr>
          <w:rFonts w:ascii="Garamond" w:eastAsia="Garamond" w:hAnsi="Garamond" w:cs="Garamond"/>
          <w:i/>
          <w:iCs/>
        </w:rPr>
        <w:t>Microcystis</w:t>
      </w:r>
      <w:r w:rsidRPr="7E64A2B5">
        <w:rPr>
          <w:rFonts w:ascii="Garamond" w:eastAsia="Garamond" w:hAnsi="Garamond" w:cs="Garamond"/>
        </w:rPr>
        <w:t>, may</w:t>
      </w:r>
      <w:r w:rsidRPr="5150B811">
        <w:rPr>
          <w:rFonts w:ascii="Garamond" w:eastAsia="Garamond" w:hAnsi="Garamond" w:cs="Garamond"/>
        </w:rPr>
        <w:t xml:space="preserve"> create </w:t>
      </w:r>
      <w:r w:rsidRPr="7E64A2B5">
        <w:rPr>
          <w:rFonts w:ascii="Garamond" w:eastAsia="Garamond" w:hAnsi="Garamond" w:cs="Garamond"/>
        </w:rPr>
        <w:t xml:space="preserve">water quality </w:t>
      </w:r>
      <w:r w:rsidRPr="5150B811">
        <w:rPr>
          <w:rFonts w:ascii="Garamond" w:eastAsia="Garamond" w:hAnsi="Garamond" w:cs="Garamond"/>
        </w:rPr>
        <w:t xml:space="preserve">conditions </w:t>
      </w:r>
      <w:r w:rsidRPr="7E64A2B5">
        <w:rPr>
          <w:rFonts w:ascii="Garamond" w:eastAsia="Garamond" w:hAnsi="Garamond" w:cs="Garamond"/>
        </w:rPr>
        <w:t>detrimental</w:t>
      </w:r>
      <w:r w:rsidRPr="5150B811">
        <w:rPr>
          <w:rFonts w:ascii="Garamond" w:eastAsia="Garamond" w:hAnsi="Garamond" w:cs="Garamond"/>
        </w:rPr>
        <w:t xml:space="preserve"> to </w:t>
      </w:r>
      <w:r w:rsidRPr="7E64A2B5">
        <w:rPr>
          <w:rFonts w:ascii="Garamond" w:eastAsia="Garamond" w:hAnsi="Garamond" w:cs="Garamond"/>
        </w:rPr>
        <w:t>the well-being of wildlife</w:t>
      </w:r>
      <w:r w:rsidRPr="5150B811">
        <w:rPr>
          <w:rFonts w:ascii="Garamond" w:eastAsia="Garamond" w:hAnsi="Garamond" w:cs="Garamond"/>
        </w:rPr>
        <w:t xml:space="preserve"> and </w:t>
      </w:r>
      <w:r w:rsidRPr="7E64A2B5">
        <w:rPr>
          <w:rFonts w:ascii="Garamond" w:eastAsia="Garamond" w:hAnsi="Garamond" w:cs="Garamond"/>
        </w:rPr>
        <w:t>humans alike (Refsnider et al</w:t>
      </w:r>
      <w:r w:rsidR="00132BF4">
        <w:rPr>
          <w:rFonts w:ascii="Garamond" w:eastAsia="Garamond" w:hAnsi="Garamond" w:cs="Garamond"/>
        </w:rPr>
        <w:t>.</w:t>
      </w:r>
      <w:r w:rsidRPr="7E64A2B5">
        <w:rPr>
          <w:rFonts w:ascii="Garamond" w:eastAsia="Garamond" w:hAnsi="Garamond" w:cs="Garamond"/>
        </w:rPr>
        <w:t>, 2021).</w:t>
      </w:r>
      <w:r w:rsidRPr="5150B811">
        <w:rPr>
          <w:rFonts w:ascii="Garamond" w:eastAsia="Garamond" w:hAnsi="Garamond" w:cs="Garamond"/>
        </w:rPr>
        <w:t xml:space="preserve"> Cyanobacteria (blue-green algae) species are the most common </w:t>
      </w:r>
      <w:r>
        <w:rPr>
          <w:rFonts w:ascii="Garamond" w:eastAsia="Garamond" w:hAnsi="Garamond" w:cs="Garamond"/>
        </w:rPr>
        <w:t xml:space="preserve">sources of toxins in </w:t>
      </w:r>
      <w:r w:rsidRPr="5150B811">
        <w:rPr>
          <w:rFonts w:ascii="Garamond" w:eastAsia="Garamond" w:hAnsi="Garamond" w:cs="Garamond"/>
        </w:rPr>
        <w:t>freshwater blooms</w:t>
      </w:r>
      <w:r>
        <w:rPr>
          <w:rFonts w:ascii="Garamond" w:eastAsia="Garamond" w:hAnsi="Garamond" w:cs="Garamond"/>
        </w:rPr>
        <w:t xml:space="preserve">, including neuro- and hepatotoxins, which can cause a range of health complications for the </w:t>
      </w:r>
      <w:r w:rsidRPr="5150B811">
        <w:rPr>
          <w:rFonts w:ascii="Garamond" w:eastAsia="Garamond" w:hAnsi="Garamond" w:cs="Garamond"/>
        </w:rPr>
        <w:t>human respiratory, gastrointestinal, and nervous systems (</w:t>
      </w:r>
      <w:r w:rsidRPr="7E64A2B5">
        <w:rPr>
          <w:rFonts w:ascii="Garamond" w:eastAsia="Garamond" w:hAnsi="Garamond" w:cs="Garamond"/>
        </w:rPr>
        <w:t>Virginia Department of Health, 2021).</w:t>
      </w:r>
      <w:r>
        <w:rPr>
          <w:rFonts w:ascii="Garamond" w:eastAsia="Garamond" w:hAnsi="Garamond" w:cs="Garamond"/>
        </w:rPr>
        <w:t xml:space="preserve"> </w:t>
      </w:r>
      <w:r w:rsidRPr="5150B811">
        <w:rPr>
          <w:rFonts w:ascii="Garamond" w:eastAsia="Garamond" w:hAnsi="Garamond" w:cs="Garamond"/>
        </w:rPr>
        <w:t>The ecological and public health impacts of persistent HAB events can also contribute to loss of recreation and subsistence opportunities, impaired landscape aesthetics, property devaluation of adjoining sites, and the contamination of drinking water supplies (Wolf and Klaiber, 2017</w:t>
      </w:r>
      <w:r w:rsidRPr="3E84361D">
        <w:rPr>
          <w:rFonts w:ascii="Garamond" w:eastAsia="Garamond" w:hAnsi="Garamond" w:cs="Garamond"/>
        </w:rPr>
        <w:t xml:space="preserve">; </w:t>
      </w:r>
      <w:r w:rsidRPr="5150B811">
        <w:rPr>
          <w:rFonts w:ascii="Garamond" w:eastAsia="Garamond" w:hAnsi="Garamond" w:cs="Garamond"/>
        </w:rPr>
        <w:t>Heil and Muni-Morgan, 2021).</w:t>
      </w:r>
    </w:p>
    <w:p w14:paraId="35F7F31B" w14:textId="77777777" w:rsidR="00C57F64" w:rsidRDefault="00C57F64" w:rsidP="00C57F64">
      <w:pPr>
        <w:spacing w:after="0" w:line="240" w:lineRule="auto"/>
        <w:rPr>
          <w:rFonts w:ascii="Garamond" w:eastAsia="Garamond" w:hAnsi="Garamond" w:cs="Garamond"/>
        </w:rPr>
      </w:pPr>
    </w:p>
    <w:p w14:paraId="04361247" w14:textId="658DE9E2" w:rsidR="00C57F64" w:rsidRDefault="00C57F64" w:rsidP="00C57F64">
      <w:pPr>
        <w:spacing w:after="0" w:line="240" w:lineRule="auto"/>
        <w:rPr>
          <w:rFonts w:ascii="Segoe UI Emoji" w:eastAsia="Segoe UI Emoji" w:hAnsi="Segoe UI Emoji" w:cs="Segoe UI Emoji"/>
        </w:rPr>
      </w:pPr>
      <w:r w:rsidRPr="7E64A2B5">
        <w:rPr>
          <w:rFonts w:ascii="Garamond" w:eastAsia="Garamond" w:hAnsi="Garamond" w:cs="Garamond"/>
        </w:rPr>
        <w:t>This project studied Lake Anna, an existing area of need identified by the state for its increasing susceptibility to HABs. Spanning 13,000 acres of Virginia’s Orange, Spotsylvania, and Louisa</w:t>
      </w:r>
      <w:r>
        <w:rPr>
          <w:rFonts w:ascii="Garamond" w:eastAsia="Garamond" w:hAnsi="Garamond" w:cs="Garamond"/>
        </w:rPr>
        <w:t xml:space="preserve"> counties</w:t>
      </w:r>
      <w:r w:rsidRPr="7E64A2B5">
        <w:rPr>
          <w:rFonts w:ascii="Garamond" w:eastAsia="Garamond" w:hAnsi="Garamond" w:cs="Garamond"/>
        </w:rPr>
        <w:t xml:space="preserve">, this man-made reservoir was constructed in 1972 to act as a stable cooling supply for the North Anna Power Station. With roughly 3,400 acres of the lake privately managed as a Waste Heat Treatment Facility (WHTF) for resulting outflow from the Power Station, the importance of this legacy use cannot be understated. For example, the North Anna Power Station currently generates 17% of Virginia’s total electricity, including power for 450,000 homes across the region (Thrasher, 2023). However, since Lake Anna’s creation its uses have expanded far beyond this singular goal, the most pertinent being the waterway’s role as a recreational site. Not only important for local residents' quality of life, </w:t>
      </w:r>
      <w:r w:rsidR="00CF7C01">
        <w:rPr>
          <w:rFonts w:ascii="Garamond" w:eastAsia="Garamond" w:hAnsi="Garamond" w:cs="Garamond"/>
        </w:rPr>
        <w:t xml:space="preserve">but </w:t>
      </w:r>
      <w:r w:rsidRPr="7E64A2B5">
        <w:rPr>
          <w:rFonts w:ascii="Garamond" w:eastAsia="Garamond" w:hAnsi="Garamond" w:cs="Garamond"/>
        </w:rPr>
        <w:t xml:space="preserve">visitors </w:t>
      </w:r>
      <w:r>
        <w:rPr>
          <w:rFonts w:ascii="Garamond" w:eastAsia="Garamond" w:hAnsi="Garamond" w:cs="Garamond"/>
        </w:rPr>
        <w:t>also come</w:t>
      </w:r>
      <w:r w:rsidRPr="7E64A2B5">
        <w:rPr>
          <w:rFonts w:ascii="Garamond" w:eastAsia="Garamond" w:hAnsi="Garamond" w:cs="Garamond"/>
        </w:rPr>
        <w:t xml:space="preserve"> to enjoy the recreational opportunities at Lake Anna State Park </w:t>
      </w:r>
      <w:r w:rsidR="00CF7C01">
        <w:rPr>
          <w:rFonts w:ascii="Garamond" w:eastAsia="Garamond" w:hAnsi="Garamond" w:cs="Garamond"/>
        </w:rPr>
        <w:t xml:space="preserve">and </w:t>
      </w:r>
      <w:r w:rsidRPr="7E64A2B5">
        <w:rPr>
          <w:rFonts w:ascii="Garamond" w:eastAsia="Garamond" w:hAnsi="Garamond" w:cs="Garamond"/>
        </w:rPr>
        <w:t xml:space="preserve">have contributed $10 million annually to the local economy (Magnini, 2020). </w:t>
      </w:r>
      <w:r w:rsidRPr="7E64A2B5">
        <w:rPr>
          <w:rFonts w:ascii="Garamond" w:eastAsia="Garamond" w:hAnsi="Garamond" w:cs="Garamond"/>
        </w:rPr>
        <w:lastRenderedPageBreak/>
        <w:t xml:space="preserve">Unfortunately, the prospect of worsening and more frequent HABs, particularly within popular multi-use reservoirs such as this, threaten the very direct and in-direct services provided by the lake today. </w:t>
      </w:r>
      <w:r>
        <w:rPr>
          <w:rFonts w:ascii="Garamond" w:eastAsia="Garamond" w:hAnsi="Garamond" w:cs="Garamond"/>
        </w:rPr>
        <w:t>T</w:t>
      </w:r>
      <w:r w:rsidRPr="7E64A2B5">
        <w:rPr>
          <w:rFonts w:ascii="Garamond" w:eastAsia="Garamond" w:hAnsi="Garamond" w:cs="Garamond"/>
        </w:rPr>
        <w:t>he use of novel management approaches such as the incorporation of remotely sensed data will be required to abate such eventualities.</w:t>
      </w:r>
    </w:p>
    <w:p w14:paraId="2967DB80" w14:textId="77777777" w:rsidR="00C57F64" w:rsidRDefault="00C57F64" w:rsidP="00C57F64">
      <w:pPr>
        <w:spacing w:after="0" w:line="240" w:lineRule="auto"/>
        <w:rPr>
          <w:rFonts w:ascii="Garamond" w:eastAsia="Garamond" w:hAnsi="Garamond" w:cs="Garamond"/>
        </w:rPr>
      </w:pPr>
    </w:p>
    <w:p w14:paraId="105C8FB3" w14:textId="027000AC" w:rsidR="00C57F64" w:rsidRPr="0066138C" w:rsidRDefault="00C57F64" w:rsidP="00C57F64">
      <w:pPr>
        <w:spacing w:after="0" w:line="240" w:lineRule="auto"/>
        <w:rPr>
          <w:rFonts w:ascii="Garamond" w:eastAsia="Garamond" w:hAnsi="Garamond" w:cs="Garamond"/>
        </w:rPr>
      </w:pPr>
      <w:r w:rsidRPr="7E64A2B5">
        <w:rPr>
          <w:rFonts w:ascii="Garamond" w:eastAsia="Garamond" w:hAnsi="Garamond" w:cs="Garamond"/>
        </w:rPr>
        <w:t xml:space="preserve">This study explored the use of NASA and European Space Agency (ESA)-derived Earth observations to monitor cyanobacteria and nutrient pollution indicators for enhanced management of the Lake Anna watershed. Our team used several parameters as proxies for algae and cyanobacteria presence: phycocyanin, chlorophyll-a, and turbidity. Water surface temperature and nutrient levels served as indicators of environmental conditions favorable for algal bloom development. We employed Sentinel-2's Multi-Spectral Instrument (MSI) to examine chlorophyll-a and turbidity. Chlorophyll-a, a predominant pigment in algae, can serve as a generalized indicator of algal growth. Turbidity, a measure of light penetration into water, can serve as a proxy for algal presence because suspended algae at the water’s surface blocks sunlight (Ministry of Environment, 2022). Using Sentinel-3 Ocean and Land Color Instrument (OLCI), we also examined phycocyanin, a photosynthetic pigment which can be used to distinguish cyanobacteria from algae in a bloom. From Landsat 8’s Thermal Infrared Sensor (TIRS) and Landsat 9’s TIRS-2, we acquired lake surface temperature readings. A water temperature range between 25 </w:t>
      </w:r>
      <w:r w:rsidR="008842BC">
        <w:rPr>
          <w:rFonts w:ascii="Garamond" w:eastAsia="Garamond" w:hAnsi="Garamond" w:cs="Garamond"/>
        </w:rPr>
        <w:t>–</w:t>
      </w:r>
      <w:r w:rsidRPr="7E64A2B5">
        <w:rPr>
          <w:rFonts w:ascii="Garamond" w:eastAsia="Garamond" w:hAnsi="Garamond" w:cs="Garamond"/>
        </w:rPr>
        <w:t xml:space="preserve"> 3</w:t>
      </w:r>
      <w:r w:rsidRPr="7E64A2B5">
        <w:rPr>
          <w:rFonts w:ascii="Garamond" w:eastAsia="Garamond" w:hAnsi="Garamond" w:cs="Garamond"/>
          <w:color w:val="000000" w:themeColor="text1"/>
        </w:rPr>
        <w:t>5</w:t>
      </w:r>
      <w:r w:rsidRPr="7E64A2B5">
        <w:rPr>
          <w:rFonts w:ascii="Roboto" w:eastAsia="Roboto" w:hAnsi="Roboto" w:cs="Roboto"/>
          <w:color w:val="4D5156"/>
          <w:sz w:val="21"/>
          <w:szCs w:val="21"/>
        </w:rPr>
        <w:t>°</w:t>
      </w:r>
      <w:r w:rsidRPr="7E64A2B5">
        <w:rPr>
          <w:rFonts w:ascii="Garamond" w:eastAsia="Garamond" w:hAnsi="Garamond" w:cs="Garamond"/>
          <w:color w:val="000000" w:themeColor="text1"/>
        </w:rPr>
        <w:t>C</w:t>
      </w:r>
      <w:r w:rsidRPr="7E64A2B5">
        <w:rPr>
          <w:rFonts w:ascii="Garamond" w:eastAsia="Garamond" w:hAnsi="Garamond" w:cs="Garamond"/>
        </w:rPr>
        <w:t xml:space="preserve"> is optimal for freshwater cyanobacteria; in fact, upwards of 2</w:t>
      </w:r>
      <w:r w:rsidRPr="7E64A2B5">
        <w:rPr>
          <w:rFonts w:ascii="Garamond" w:eastAsia="Garamond" w:hAnsi="Garamond" w:cs="Garamond"/>
          <w:color w:val="000000" w:themeColor="text1"/>
        </w:rPr>
        <w:t>5</w:t>
      </w:r>
      <w:r w:rsidRPr="7E64A2B5">
        <w:rPr>
          <w:rFonts w:ascii="Roboto" w:eastAsia="Roboto" w:hAnsi="Roboto" w:cs="Roboto"/>
          <w:color w:val="4D5156"/>
          <w:sz w:val="21"/>
          <w:szCs w:val="21"/>
        </w:rPr>
        <w:t>°</w:t>
      </w:r>
      <w:r w:rsidRPr="7E64A2B5">
        <w:rPr>
          <w:rFonts w:ascii="Garamond" w:eastAsia="Garamond" w:hAnsi="Garamond" w:cs="Garamond"/>
          <w:color w:val="000000" w:themeColor="text1"/>
        </w:rPr>
        <w:t>C</w:t>
      </w:r>
      <w:r w:rsidRPr="7E64A2B5">
        <w:rPr>
          <w:rFonts w:ascii="Garamond" w:eastAsia="Garamond" w:hAnsi="Garamond" w:cs="Garamond"/>
        </w:rPr>
        <w:t xml:space="preserve"> cyanobacteria have a competitive advantage over algae, which typically have lower temperature optima (Berg, 2015; Ministry of Environment, 2022). </w:t>
      </w:r>
      <w:r w:rsidRPr="7E64A2B5">
        <w:rPr>
          <w:rFonts w:ascii="Garamond" w:eastAsia="Garamond" w:hAnsi="Garamond" w:cs="Garamond"/>
          <w:i/>
          <w:iCs/>
        </w:rPr>
        <w:t>In situ</w:t>
      </w:r>
      <w:r w:rsidRPr="7E64A2B5">
        <w:rPr>
          <w:rFonts w:ascii="Garamond" w:eastAsia="Garamond" w:hAnsi="Garamond" w:cs="Garamond"/>
        </w:rPr>
        <w:t xml:space="preserve"> and ancillary datasets augmented these </w:t>
      </w:r>
      <w:r w:rsidR="0051677C" w:rsidRPr="650BC94A">
        <w:rPr>
          <w:rFonts w:ascii="Garamond" w:eastAsia="Garamond" w:hAnsi="Garamond" w:cs="Garamond"/>
          <w:color w:val="000000" w:themeColor="text1"/>
        </w:rPr>
        <w:t xml:space="preserve">Earth observations </w:t>
      </w:r>
      <w:r w:rsidR="0051677C">
        <w:rPr>
          <w:rFonts w:ascii="Garamond" w:eastAsia="Garamond" w:hAnsi="Garamond" w:cs="Garamond"/>
          <w:color w:val="000000" w:themeColor="text1"/>
        </w:rPr>
        <w:t>(</w:t>
      </w:r>
      <w:r w:rsidRPr="7E64A2B5">
        <w:rPr>
          <w:rFonts w:ascii="Garamond" w:eastAsia="Garamond" w:hAnsi="Garamond" w:cs="Garamond"/>
        </w:rPr>
        <w:t>EO</w:t>
      </w:r>
      <w:r w:rsidR="0051677C">
        <w:rPr>
          <w:rFonts w:ascii="Garamond" w:eastAsia="Garamond" w:hAnsi="Garamond" w:cs="Garamond"/>
        </w:rPr>
        <w:t>)</w:t>
      </w:r>
      <w:r w:rsidRPr="7E64A2B5">
        <w:rPr>
          <w:rFonts w:ascii="Garamond" w:eastAsia="Garamond" w:hAnsi="Garamond" w:cs="Garamond"/>
        </w:rPr>
        <w:t xml:space="preserve"> with data on phosphorous, nitrogen, and other water quality parameters. While not a substitute for </w:t>
      </w:r>
      <w:r w:rsidRPr="7E64A2B5">
        <w:rPr>
          <w:rFonts w:ascii="Garamond" w:eastAsia="Garamond" w:hAnsi="Garamond" w:cs="Garamond"/>
          <w:i/>
          <w:iCs/>
        </w:rPr>
        <w:t>in situ</w:t>
      </w:r>
      <w:r w:rsidRPr="7E64A2B5">
        <w:rPr>
          <w:rFonts w:ascii="Garamond" w:eastAsia="Garamond" w:hAnsi="Garamond" w:cs="Garamond"/>
        </w:rPr>
        <w:t xml:space="preserve"> monitoring efforts, leveraging EO data using GIS can provide a wealth of supplementary information that may enable decision-makers to decipher key contributors to macro-level processes and inform more holistic management (Mahrad et al., 2020; Weng, 2001).</w:t>
      </w:r>
    </w:p>
    <w:p w14:paraId="4A018378" w14:textId="77777777" w:rsidR="00C57F64" w:rsidRPr="0066138C" w:rsidRDefault="00C57F64" w:rsidP="00C57F64">
      <w:pPr>
        <w:spacing w:after="0" w:line="240" w:lineRule="auto"/>
        <w:rPr>
          <w:rFonts w:ascii="Garamond" w:eastAsia="Garamond" w:hAnsi="Garamond" w:cs="Garamond"/>
        </w:rPr>
      </w:pPr>
    </w:p>
    <w:p w14:paraId="371D6A56" w14:textId="6C15AAF4" w:rsidR="00C57F64" w:rsidRPr="0066138C" w:rsidRDefault="00C57F64" w:rsidP="00C57F64">
      <w:pPr>
        <w:spacing w:after="0" w:line="240" w:lineRule="auto"/>
        <w:rPr>
          <w:rFonts w:ascii="Garamond" w:eastAsia="Garamond" w:hAnsi="Garamond" w:cs="Garamond"/>
        </w:rPr>
      </w:pPr>
      <w:r w:rsidRPr="7E64A2B5">
        <w:rPr>
          <w:rFonts w:ascii="Garamond" w:eastAsia="Garamond" w:hAnsi="Garamond" w:cs="Garamond"/>
        </w:rPr>
        <w:t xml:space="preserve">For the purposes of this project, we considered the WHTF to be part of the Lake Anna system due to the interconnected hydrology of these two waterbodies. However, we also emphasize that only the publicly regulated reservoir, and not the privately-owned and managed WHTF, fall under the regulatory oversight of the </w:t>
      </w:r>
      <w:r w:rsidR="008842BC" w:rsidRPr="650BC94A">
        <w:rPr>
          <w:rFonts w:ascii="Garamond" w:eastAsia="Garamond" w:hAnsi="Garamond" w:cs="Garamond"/>
          <w:color w:val="000000" w:themeColor="text1"/>
        </w:rPr>
        <w:t xml:space="preserve">Virginia </w:t>
      </w:r>
      <w:r w:rsidR="008842BC" w:rsidRPr="650BC94A">
        <w:rPr>
          <w:rFonts w:ascii="Garamond" w:eastAsia="Garamond" w:hAnsi="Garamond" w:cs="Garamond"/>
        </w:rPr>
        <w:t xml:space="preserve">Department of Environmental Quality </w:t>
      </w:r>
      <w:r w:rsidR="008842BC">
        <w:rPr>
          <w:rFonts w:ascii="Garamond" w:eastAsia="Garamond" w:hAnsi="Garamond" w:cs="Garamond"/>
        </w:rPr>
        <w:t>(</w:t>
      </w:r>
      <w:r w:rsidRPr="7E64A2B5">
        <w:rPr>
          <w:rFonts w:ascii="Garamond" w:eastAsia="Garamond" w:hAnsi="Garamond" w:cs="Garamond"/>
        </w:rPr>
        <w:t>DEQ</w:t>
      </w:r>
      <w:r w:rsidR="008842BC">
        <w:rPr>
          <w:rFonts w:ascii="Garamond" w:eastAsia="Garamond" w:hAnsi="Garamond" w:cs="Garamond"/>
        </w:rPr>
        <w:t>)</w:t>
      </w:r>
      <w:r w:rsidRPr="7E64A2B5">
        <w:rPr>
          <w:rFonts w:ascii="Garamond" w:eastAsia="Garamond" w:hAnsi="Garamond" w:cs="Garamond"/>
        </w:rPr>
        <w:t>. Additionally, any reference to a northern (upper) or southern (lower) portion of the lake, refers to those areas located to the north or south of Rt. 208. Our team examined dates between 2016 and 2022, a period which coincides with enhanced monitoring efforts by the Commonwealth of Virginia and that saw a near continuous rise in HAB advisories within the lake (Gibala-Smith, 2018). We primarily conducted our analyses on the recreation season, which the Virginia Department of Health (VDH) defines as May 1</w:t>
      </w:r>
      <w:r w:rsidRPr="7E64A2B5">
        <w:rPr>
          <w:rFonts w:ascii="Garamond" w:eastAsia="Garamond" w:hAnsi="Garamond" w:cs="Garamond"/>
          <w:vertAlign w:val="superscript"/>
        </w:rPr>
        <w:t>st</w:t>
      </w:r>
      <w:r w:rsidRPr="7E64A2B5">
        <w:rPr>
          <w:rFonts w:ascii="Garamond" w:eastAsia="Garamond" w:hAnsi="Garamond" w:cs="Garamond"/>
        </w:rPr>
        <w:t xml:space="preserve"> to Oct 31</w:t>
      </w:r>
      <w:r w:rsidRPr="7E64A2B5">
        <w:rPr>
          <w:rFonts w:ascii="Garamond" w:eastAsia="Garamond" w:hAnsi="Garamond" w:cs="Garamond"/>
          <w:vertAlign w:val="superscript"/>
        </w:rPr>
        <w:t>st</w:t>
      </w:r>
      <w:r w:rsidRPr="7E64A2B5">
        <w:rPr>
          <w:rFonts w:ascii="Garamond" w:eastAsia="Garamond" w:hAnsi="Garamond" w:cs="Garamond"/>
        </w:rPr>
        <w:t>.</w:t>
      </w:r>
    </w:p>
    <w:p w14:paraId="7E85339D" w14:textId="77777777" w:rsidR="00C57F64" w:rsidRPr="0066138C" w:rsidRDefault="00C57F64" w:rsidP="00C57F64">
      <w:pPr>
        <w:spacing w:after="0" w:line="257" w:lineRule="auto"/>
        <w:jc w:val="center"/>
      </w:pPr>
      <w:r>
        <w:rPr>
          <w:noProof/>
        </w:rPr>
        <w:lastRenderedPageBreak/>
        <w:drawing>
          <wp:inline distT="0" distB="0" distL="0" distR="0" wp14:anchorId="1928E6EC" wp14:editId="512F994B">
            <wp:extent cx="4806462" cy="3714995"/>
            <wp:effectExtent l="0" t="0" r="0" b="0"/>
            <wp:docPr id="500813510" name="Picture 50081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824" cy="3726096"/>
                    </a:xfrm>
                    <a:prstGeom prst="rect">
                      <a:avLst/>
                    </a:prstGeom>
                  </pic:spPr>
                </pic:pic>
              </a:graphicData>
            </a:graphic>
          </wp:inline>
        </w:drawing>
      </w:r>
    </w:p>
    <w:p w14:paraId="571A0E16" w14:textId="77777777" w:rsidR="00C57F64" w:rsidRPr="0066138C" w:rsidRDefault="00C57F64" w:rsidP="00C57F64">
      <w:pPr>
        <w:spacing w:after="0" w:line="240" w:lineRule="auto"/>
        <w:jc w:val="center"/>
        <w:rPr>
          <w:rFonts w:ascii="Garamond" w:eastAsia="Garamond" w:hAnsi="Garamond" w:cs="Garamond"/>
        </w:rPr>
      </w:pPr>
      <w:r w:rsidRPr="1D1D1DC1">
        <w:rPr>
          <w:rFonts w:ascii="Garamond" w:eastAsia="Garamond" w:hAnsi="Garamond" w:cs="Garamond"/>
          <w:i/>
        </w:rPr>
        <w:t>Figure 1</w:t>
      </w:r>
      <w:r w:rsidRPr="1D1D1DC1">
        <w:rPr>
          <w:rFonts w:ascii="Garamond" w:eastAsia="Garamond" w:hAnsi="Garamond" w:cs="Garamond"/>
          <w:i/>
          <w:iCs/>
        </w:rPr>
        <w:t>.</w:t>
      </w:r>
      <w:r w:rsidRPr="7BF8A696">
        <w:rPr>
          <w:rFonts w:ascii="Garamond" w:eastAsia="Garamond" w:hAnsi="Garamond" w:cs="Garamond"/>
        </w:rPr>
        <w:t xml:space="preserve"> Our </w:t>
      </w:r>
      <w:r w:rsidRPr="3A0A0838">
        <w:rPr>
          <w:rFonts w:ascii="Garamond" w:eastAsia="Garamond" w:hAnsi="Garamond" w:cs="Garamond"/>
        </w:rPr>
        <w:t xml:space="preserve">study area, including Lake </w:t>
      </w:r>
      <w:r w:rsidRPr="7BF8A696">
        <w:rPr>
          <w:rFonts w:ascii="Garamond" w:eastAsia="Garamond" w:hAnsi="Garamond" w:cs="Garamond"/>
        </w:rPr>
        <w:t xml:space="preserve">Anna </w:t>
      </w:r>
      <w:r w:rsidRPr="3A0A0838">
        <w:rPr>
          <w:rFonts w:ascii="Garamond" w:eastAsia="Garamond" w:hAnsi="Garamond" w:cs="Garamond"/>
        </w:rPr>
        <w:t xml:space="preserve">proper and </w:t>
      </w:r>
      <w:r w:rsidRPr="7BF8A696">
        <w:rPr>
          <w:rFonts w:ascii="Garamond" w:eastAsia="Garamond" w:hAnsi="Garamond" w:cs="Garamond"/>
        </w:rPr>
        <w:t xml:space="preserve">its </w:t>
      </w:r>
      <w:r w:rsidRPr="3A0A0838">
        <w:rPr>
          <w:rFonts w:ascii="Garamond" w:eastAsia="Garamond" w:hAnsi="Garamond" w:cs="Garamond"/>
        </w:rPr>
        <w:t>primary watershed based on a combined HUC 12 classification</w:t>
      </w:r>
      <w:r w:rsidRPr="7BF8A696">
        <w:rPr>
          <w:rFonts w:ascii="Garamond" w:eastAsia="Garamond" w:hAnsi="Garamond" w:cs="Garamond"/>
        </w:rPr>
        <w:t>, as well as the Waste Heat Treatment Facility operated by Dominion Energy</w:t>
      </w:r>
      <w:r w:rsidRPr="3A0A0838">
        <w:rPr>
          <w:rFonts w:ascii="Garamond" w:eastAsia="Garamond" w:hAnsi="Garamond" w:cs="Garamond"/>
        </w:rPr>
        <w:t>.</w:t>
      </w:r>
    </w:p>
    <w:p w14:paraId="1D9B4C2B" w14:textId="77777777" w:rsidR="00C57F64" w:rsidRPr="0066138C" w:rsidRDefault="00C57F64" w:rsidP="00C57F64">
      <w:pPr>
        <w:spacing w:after="0" w:line="257" w:lineRule="auto"/>
      </w:pPr>
    </w:p>
    <w:p w14:paraId="69C5CFDB" w14:textId="77777777" w:rsidR="00C57F64" w:rsidRPr="0066138C" w:rsidRDefault="00C57F64" w:rsidP="00C57F64">
      <w:pPr>
        <w:spacing w:after="0" w:line="240" w:lineRule="auto"/>
        <w:rPr>
          <w:rFonts w:ascii="Garamond" w:hAnsi="Garamond"/>
          <w:b/>
          <w:bCs/>
          <w:i/>
          <w:iCs/>
        </w:rPr>
      </w:pPr>
      <w:r w:rsidRPr="47BAFFBC">
        <w:rPr>
          <w:rFonts w:ascii="Garamond" w:hAnsi="Garamond"/>
          <w:b/>
          <w:bCs/>
          <w:i/>
          <w:iCs/>
        </w:rPr>
        <w:t>2.2 Project Partners &amp; Objectives</w:t>
      </w:r>
    </w:p>
    <w:p w14:paraId="64C3F446" w14:textId="119CB40B" w:rsidR="00C57F64" w:rsidRDefault="00C57F64" w:rsidP="00C57F64">
      <w:pPr>
        <w:spacing w:after="0" w:line="240" w:lineRule="auto"/>
        <w:rPr>
          <w:rFonts w:ascii="Garamond" w:eastAsia="Garamond" w:hAnsi="Garamond" w:cs="Garamond"/>
        </w:rPr>
      </w:pPr>
      <w:r w:rsidRPr="47BAFFBC">
        <w:rPr>
          <w:rFonts w:ascii="Garamond" w:eastAsia="Garamond" w:hAnsi="Garamond" w:cs="Garamond"/>
        </w:rPr>
        <w:t xml:space="preserve">The Virginia Department of Environmental Quality (DEQ) is responsible for administering laws and regulations </w:t>
      </w:r>
      <w:r w:rsidRPr="7E64A2B5">
        <w:rPr>
          <w:rFonts w:ascii="Garamond" w:eastAsia="Garamond" w:hAnsi="Garamond" w:cs="Garamond"/>
        </w:rPr>
        <w:t>on</w:t>
      </w:r>
      <w:r w:rsidRPr="47BAFFBC">
        <w:rPr>
          <w:rFonts w:ascii="Garamond" w:eastAsia="Garamond" w:hAnsi="Garamond" w:cs="Garamond"/>
        </w:rPr>
        <w:t xml:space="preserve"> a variety of </w:t>
      </w:r>
      <w:r w:rsidRPr="7E64A2B5">
        <w:rPr>
          <w:rFonts w:ascii="Garamond" w:eastAsia="Garamond" w:hAnsi="Garamond" w:cs="Garamond"/>
        </w:rPr>
        <w:t>environmental</w:t>
      </w:r>
      <w:r w:rsidRPr="47BAFFBC">
        <w:rPr>
          <w:rFonts w:ascii="Garamond" w:eastAsia="Garamond" w:hAnsi="Garamond" w:cs="Garamond"/>
        </w:rPr>
        <w:t xml:space="preserve"> initiatives, </w:t>
      </w:r>
      <w:r w:rsidRPr="7E64A2B5">
        <w:rPr>
          <w:rFonts w:ascii="Garamond" w:eastAsia="Garamond" w:hAnsi="Garamond" w:cs="Garamond"/>
        </w:rPr>
        <w:t>including setting</w:t>
      </w:r>
      <w:r w:rsidRPr="47BAFFBC">
        <w:rPr>
          <w:rFonts w:ascii="Garamond" w:eastAsia="Garamond" w:hAnsi="Garamond" w:cs="Garamond"/>
        </w:rPr>
        <w:t xml:space="preserve"> water quality </w:t>
      </w:r>
      <w:proofErr w:type="gramStart"/>
      <w:r w:rsidRPr="7E64A2B5">
        <w:rPr>
          <w:rFonts w:ascii="Garamond" w:eastAsia="Garamond" w:hAnsi="Garamond" w:cs="Garamond"/>
        </w:rPr>
        <w:t>standards</w:t>
      </w:r>
      <w:proofErr w:type="gramEnd"/>
      <w:r w:rsidRPr="7E64A2B5">
        <w:rPr>
          <w:rFonts w:ascii="Garamond" w:eastAsia="Garamond" w:hAnsi="Garamond" w:cs="Garamond"/>
        </w:rPr>
        <w:t xml:space="preserve"> and facilitating HABs monitoring statewide (DEQ, 2022a).</w:t>
      </w:r>
      <w:r w:rsidRPr="47BAFFBC">
        <w:rPr>
          <w:rFonts w:ascii="Garamond" w:eastAsia="Garamond" w:hAnsi="Garamond" w:cs="Garamond"/>
        </w:rPr>
        <w:t xml:space="preserve"> While the Virginia Department of Health (</w:t>
      </w:r>
      <w:r w:rsidRPr="3E84361D">
        <w:rPr>
          <w:rFonts w:ascii="Garamond" w:eastAsia="Garamond" w:hAnsi="Garamond" w:cs="Garamond"/>
        </w:rPr>
        <w:t>VDH) is responsible for</w:t>
      </w:r>
      <w:r w:rsidRPr="47BAFFBC">
        <w:rPr>
          <w:rFonts w:ascii="Garamond" w:eastAsia="Garamond" w:hAnsi="Garamond" w:cs="Garamond"/>
        </w:rPr>
        <w:t xml:space="preserve"> issuing HAB advisories, the DEQ plays a major role in researching the phenomenon. Therefore, this study should be made easily transferable between relevant agencies including the Virginia Department of Agriculture and Consumer Services (DACS) as this agency along with the DEQ and </w:t>
      </w:r>
      <w:r w:rsidR="0051677C">
        <w:rPr>
          <w:rFonts w:ascii="Garamond" w:eastAsia="Garamond" w:hAnsi="Garamond" w:cs="Garamond"/>
        </w:rPr>
        <w:t>V</w:t>
      </w:r>
      <w:r w:rsidRPr="47BAFFBC">
        <w:rPr>
          <w:rFonts w:ascii="Garamond" w:eastAsia="Garamond" w:hAnsi="Garamond" w:cs="Garamond"/>
        </w:rPr>
        <w:t>DH comprise the state’s HAB workgroup (DEQ 2021).</w:t>
      </w:r>
    </w:p>
    <w:p w14:paraId="4C7F1AF7" w14:textId="77777777" w:rsidR="00C57F64" w:rsidRDefault="00C57F64" w:rsidP="00C57F64">
      <w:pPr>
        <w:spacing w:after="0" w:line="240" w:lineRule="auto"/>
        <w:rPr>
          <w:rFonts w:ascii="Garamond" w:eastAsia="Garamond" w:hAnsi="Garamond" w:cs="Garamond"/>
        </w:rPr>
      </w:pPr>
    </w:p>
    <w:p w14:paraId="433A4109" w14:textId="77777777" w:rsidR="00C57F64" w:rsidRDefault="00C57F64" w:rsidP="00C57F64">
      <w:pPr>
        <w:spacing w:after="0" w:line="240" w:lineRule="auto"/>
        <w:rPr>
          <w:rFonts w:ascii="Garamond" w:eastAsia="Garamond" w:hAnsi="Garamond" w:cs="Garamond"/>
        </w:rPr>
      </w:pPr>
      <w:r w:rsidRPr="7E64A2B5">
        <w:rPr>
          <w:rFonts w:ascii="Garamond" w:eastAsia="Garamond" w:hAnsi="Garamond" w:cs="Garamond"/>
        </w:rPr>
        <w:t xml:space="preserve">Due in part to heightened public engagement with HABs, which recently prompted appropriations from the State’s General Assembly, the DEQ has renewed interest in addressing HABs across the state (DEQ, 2022b). The agency has been directed to pay particular attention to Lake Anna due to its recreational value and also likely because of the North Anna Power Station for which the Lake was constructed (DEQ, 2022b). Therefore, through a combination of processed NASA and ESA-derived Earth observing data, along with managed GIS outputs, this study aimed to monitor cyanobacteria and nutrient pollution indicators across Lake Anna and its primary watershed. Prior to this project, the agency relied upon in-house hotspot maps produced using GIS and </w:t>
      </w:r>
      <w:r w:rsidRPr="7E64A2B5">
        <w:rPr>
          <w:rFonts w:ascii="Garamond" w:eastAsia="Garamond" w:hAnsi="Garamond" w:cs="Garamond"/>
          <w:i/>
          <w:iCs/>
        </w:rPr>
        <w:t>in situ</w:t>
      </w:r>
      <w:r w:rsidRPr="7E64A2B5">
        <w:rPr>
          <w:rFonts w:ascii="Garamond" w:eastAsia="Garamond" w:hAnsi="Garamond" w:cs="Garamond"/>
        </w:rPr>
        <w:t xml:space="preserve"> HAB data collection and did not utilize NASA EO data due to a lack of expertise and capacity. Our team developed map products capturing algal distribution trends, cyanobacteria concentrations and associated timeseries, bloom proxies, and risk factors to enhance the DEQ’s capacity to mobilize </w:t>
      </w:r>
      <w:r w:rsidRPr="7E64A2B5">
        <w:rPr>
          <w:rFonts w:ascii="Garamond" w:eastAsia="Garamond" w:hAnsi="Garamond" w:cs="Garamond"/>
          <w:i/>
          <w:iCs/>
        </w:rPr>
        <w:t>in situ</w:t>
      </w:r>
      <w:r w:rsidRPr="7E64A2B5">
        <w:rPr>
          <w:rFonts w:ascii="Garamond" w:eastAsia="Garamond" w:hAnsi="Garamond" w:cs="Garamond"/>
        </w:rPr>
        <w:t xml:space="preserve"> monitoring resources and inform decision-making regarding watershed management.</w:t>
      </w:r>
    </w:p>
    <w:p w14:paraId="2CDDBECD" w14:textId="77777777" w:rsidR="00C57F64" w:rsidRDefault="00C57F64" w:rsidP="00C57F64">
      <w:pPr>
        <w:spacing w:after="0" w:line="240" w:lineRule="auto"/>
        <w:rPr>
          <w:rFonts w:ascii="Garamond" w:eastAsia="Garamond" w:hAnsi="Garamond" w:cs="Garamond"/>
        </w:rPr>
      </w:pPr>
    </w:p>
    <w:p w14:paraId="51ED91B8" w14:textId="77777777" w:rsidR="00C57F64" w:rsidRDefault="00C57F64" w:rsidP="00C57F64">
      <w:pPr>
        <w:pStyle w:val="Heading1"/>
        <w:keepNext w:val="0"/>
        <w:keepLines w:val="0"/>
        <w:spacing w:before="0" w:line="240" w:lineRule="auto"/>
        <w:rPr>
          <w:rFonts w:ascii="Garamond" w:hAnsi="Garamond"/>
        </w:rPr>
      </w:pPr>
      <w:bookmarkStart w:id="3" w:name="_Toc334198726"/>
      <w:r w:rsidRPr="3A0A0838">
        <w:rPr>
          <w:rFonts w:ascii="Garamond" w:hAnsi="Garamond"/>
        </w:rPr>
        <w:t>3. Methodology</w:t>
      </w:r>
      <w:bookmarkEnd w:id="3"/>
    </w:p>
    <w:p w14:paraId="21FC121E" w14:textId="77777777" w:rsidR="00C57F64" w:rsidRDefault="00C57F64" w:rsidP="00C57F64">
      <w:pPr>
        <w:spacing w:after="0" w:line="240" w:lineRule="auto"/>
        <w:rPr>
          <w:rFonts w:ascii="Garamond" w:hAnsi="Garamond" w:cs="Arial"/>
          <w:b/>
          <w:bCs/>
          <w:i/>
          <w:iCs/>
        </w:rPr>
      </w:pPr>
      <w:r w:rsidRPr="2EAA127D">
        <w:rPr>
          <w:rFonts w:ascii="Garamond" w:hAnsi="Garamond" w:cs="Arial"/>
          <w:b/>
          <w:bCs/>
          <w:i/>
          <w:iCs/>
        </w:rPr>
        <w:t xml:space="preserve">3.1 </w:t>
      </w:r>
      <w:r w:rsidRPr="2EAA127D">
        <w:rPr>
          <w:rFonts w:ascii="Garamond" w:hAnsi="Garamond"/>
          <w:b/>
          <w:bCs/>
          <w:i/>
          <w:iCs/>
        </w:rPr>
        <w:t>Data Acquisition</w:t>
      </w:r>
      <w:r w:rsidRPr="2EAA127D">
        <w:rPr>
          <w:rFonts w:ascii="Garamond" w:hAnsi="Garamond" w:cs="Arial"/>
          <w:b/>
          <w:bCs/>
          <w:i/>
          <w:iCs/>
        </w:rPr>
        <w:t xml:space="preserve"> </w:t>
      </w:r>
    </w:p>
    <w:p w14:paraId="5E4FCD4E" w14:textId="77777777" w:rsidR="00C57F64" w:rsidRDefault="00C57F64" w:rsidP="00C57F64">
      <w:pPr>
        <w:spacing w:after="0" w:line="240" w:lineRule="auto"/>
        <w:rPr>
          <w:rFonts w:ascii="Garamond" w:hAnsi="Garamond" w:cs="Arial"/>
          <w:i/>
          <w:iCs/>
        </w:rPr>
      </w:pPr>
      <w:r w:rsidRPr="5AD089C2">
        <w:rPr>
          <w:rFonts w:ascii="Garamond" w:hAnsi="Garamond" w:cs="Arial"/>
          <w:i/>
          <w:iCs/>
        </w:rPr>
        <w:t>3.1.1 Cyanobacteria</w:t>
      </w:r>
    </w:p>
    <w:p w14:paraId="36842352" w14:textId="44BD6B9E" w:rsidR="00C57F64" w:rsidRDefault="00C57F64" w:rsidP="00C57F64">
      <w:pPr>
        <w:spacing w:after="0" w:line="240" w:lineRule="auto"/>
        <w:rPr>
          <w:rFonts w:ascii="Garamond" w:hAnsi="Garamond" w:cs="Arial"/>
        </w:rPr>
      </w:pPr>
      <w:r w:rsidRPr="1D1D1DC1">
        <w:rPr>
          <w:rFonts w:ascii="Garamond" w:hAnsi="Garamond" w:cs="Arial"/>
        </w:rPr>
        <w:lastRenderedPageBreak/>
        <w:t>This</w:t>
      </w:r>
      <w:r w:rsidRPr="3E84361D">
        <w:rPr>
          <w:rFonts w:ascii="Garamond" w:hAnsi="Garamond" w:cs="Arial"/>
        </w:rPr>
        <w:t xml:space="preserve"> </w:t>
      </w:r>
      <w:r w:rsidRPr="47BAFFBC">
        <w:rPr>
          <w:rFonts w:ascii="Garamond" w:hAnsi="Garamond" w:cs="Arial"/>
        </w:rPr>
        <w:t>project utilized 300m resolution imagery</w:t>
      </w:r>
      <w:r w:rsidRPr="3E84361D">
        <w:rPr>
          <w:rFonts w:ascii="Garamond" w:eastAsia="Garamond" w:hAnsi="Garamond" w:cs="Garamond"/>
        </w:rPr>
        <w:t xml:space="preserve"> </w:t>
      </w:r>
      <w:r w:rsidRPr="47BAFFBC">
        <w:rPr>
          <w:rFonts w:ascii="Garamond" w:eastAsia="Garamond" w:hAnsi="Garamond" w:cs="Garamond"/>
        </w:rPr>
        <w:t>from Sentinel-3's</w:t>
      </w:r>
      <w:r w:rsidRPr="47BAFFBC">
        <w:rPr>
          <w:rFonts w:ascii="Garamond" w:hAnsi="Garamond" w:cs="Arial"/>
        </w:rPr>
        <w:t xml:space="preserve"> Ocean and Land Colour Instrument (OLCI) Level-2 Water Full Resolution collection</w:t>
      </w:r>
      <w:r w:rsidRPr="3E84361D">
        <w:rPr>
          <w:rFonts w:ascii="Garamond" w:hAnsi="Garamond" w:cs="Arial"/>
        </w:rPr>
        <w:t xml:space="preserve"> to investigate </w:t>
      </w:r>
      <w:r w:rsidRPr="1D1D1DC1">
        <w:rPr>
          <w:rFonts w:ascii="Garamond" w:hAnsi="Garamond" w:cs="Arial"/>
        </w:rPr>
        <w:t>cyanobacterial presence through the detection of associated</w:t>
      </w:r>
      <w:r w:rsidRPr="3E84361D">
        <w:rPr>
          <w:rFonts w:ascii="Garamond" w:hAnsi="Garamond" w:cs="Arial"/>
        </w:rPr>
        <w:t xml:space="preserve"> phycocyanin</w:t>
      </w:r>
      <w:r w:rsidRPr="1D1D1DC1">
        <w:rPr>
          <w:rFonts w:ascii="Garamond" w:hAnsi="Garamond" w:cs="Arial"/>
        </w:rPr>
        <w:t xml:space="preserve"> pigmentation</w:t>
      </w:r>
      <w:r>
        <w:rPr>
          <w:rFonts w:ascii="Garamond" w:hAnsi="Garamond" w:cs="Arial"/>
        </w:rPr>
        <w:t xml:space="preserve"> (Table 1)</w:t>
      </w:r>
      <w:r w:rsidRPr="1D1D1DC1">
        <w:rPr>
          <w:rFonts w:ascii="Garamond" w:hAnsi="Garamond" w:cs="Arial"/>
        </w:rPr>
        <w:t>.</w:t>
      </w:r>
      <w:r w:rsidRPr="3E84361D">
        <w:rPr>
          <w:rFonts w:ascii="Garamond" w:hAnsi="Garamond" w:cs="Arial"/>
        </w:rPr>
        <w:t xml:space="preserve"> We accessed this dataset</w:t>
      </w:r>
      <w:r w:rsidRPr="47BAFFBC">
        <w:rPr>
          <w:rFonts w:ascii="Garamond" w:hAnsi="Garamond" w:cs="Arial"/>
        </w:rPr>
        <w:t xml:space="preserve"> through the European Organisation for the Exploitation of Meteorological Satellites (EUMETSAT) Data </w:t>
      </w:r>
      <w:r w:rsidRPr="3E84361D">
        <w:rPr>
          <w:rFonts w:ascii="Garamond" w:hAnsi="Garamond" w:cs="Arial"/>
        </w:rPr>
        <w:t>Store.</w:t>
      </w:r>
      <w:r w:rsidRPr="1D1D1DC1">
        <w:rPr>
          <w:rFonts w:ascii="Garamond" w:hAnsi="Garamond" w:cs="Arial"/>
        </w:rPr>
        <w:t xml:space="preserve"> We selected candidate images based on a visual inspection that looked</w:t>
      </w:r>
      <w:r w:rsidRPr="47BAFFBC">
        <w:rPr>
          <w:rFonts w:ascii="Garamond" w:hAnsi="Garamond" w:cs="Arial"/>
        </w:rPr>
        <w:t xml:space="preserve"> to </w:t>
      </w:r>
      <w:r w:rsidRPr="1D1D1DC1">
        <w:rPr>
          <w:rFonts w:ascii="Garamond" w:hAnsi="Garamond" w:cs="Arial"/>
        </w:rPr>
        <w:t>provide the clearest skies over our study area. Our group then downloaded one image from every 7-day period beginning July 1st and ending November 3rd from 2016</w:t>
      </w:r>
      <w:r w:rsidR="0051677C">
        <w:rPr>
          <w:rFonts w:ascii="Garamond" w:hAnsi="Garamond" w:cs="Arial"/>
        </w:rPr>
        <w:t>–</w:t>
      </w:r>
      <w:r w:rsidRPr="1D1D1DC1">
        <w:rPr>
          <w:rFonts w:ascii="Garamond" w:hAnsi="Garamond" w:cs="Arial"/>
        </w:rPr>
        <w:t>2022.</w:t>
      </w:r>
    </w:p>
    <w:p w14:paraId="064BCF8B" w14:textId="77777777" w:rsidR="00C57F64" w:rsidRDefault="00C57F64" w:rsidP="00C57F64">
      <w:pPr>
        <w:spacing w:after="0" w:line="240" w:lineRule="auto"/>
        <w:rPr>
          <w:rFonts w:ascii="Garamond" w:hAnsi="Garamond" w:cs="Arial"/>
        </w:rPr>
      </w:pPr>
    </w:p>
    <w:p w14:paraId="2565B74D" w14:textId="77777777" w:rsidR="00C57F64" w:rsidRDefault="00C57F64" w:rsidP="00C57F64">
      <w:pPr>
        <w:spacing w:after="0" w:line="240" w:lineRule="auto"/>
        <w:rPr>
          <w:rFonts w:ascii="Garamond" w:eastAsia="Garamond" w:hAnsi="Garamond" w:cs="Garamond"/>
          <w:i/>
          <w:iCs/>
        </w:rPr>
      </w:pPr>
      <w:r w:rsidRPr="7BF8A696">
        <w:rPr>
          <w:rFonts w:ascii="Garamond" w:eastAsia="Garamond" w:hAnsi="Garamond" w:cs="Garamond"/>
          <w:i/>
          <w:iCs/>
        </w:rPr>
        <w:t>3.1.2 Chlorophyll-a, Turbidity</w:t>
      </w:r>
      <w:r w:rsidRPr="1D1D1DC1">
        <w:rPr>
          <w:rFonts w:ascii="Garamond" w:eastAsia="Garamond" w:hAnsi="Garamond" w:cs="Garamond"/>
          <w:i/>
          <w:iCs/>
        </w:rPr>
        <w:t>, &amp; Surface Temperature</w:t>
      </w:r>
    </w:p>
    <w:p w14:paraId="4A35DA77" w14:textId="7C4A14E6" w:rsidR="00C57F64" w:rsidRDefault="00C57F64" w:rsidP="00C57F64">
      <w:pPr>
        <w:spacing w:after="0" w:line="240" w:lineRule="auto"/>
        <w:rPr>
          <w:rFonts w:ascii="Garamond" w:eastAsia="Garamond" w:hAnsi="Garamond" w:cs="Garamond"/>
        </w:rPr>
      </w:pPr>
      <w:r w:rsidRPr="1D1D1DC1">
        <w:rPr>
          <w:rFonts w:ascii="Garamond" w:eastAsia="Garamond" w:hAnsi="Garamond" w:cs="Garamond"/>
        </w:rPr>
        <w:t xml:space="preserve">Our team used </w:t>
      </w:r>
      <w:r w:rsidR="008610DC" w:rsidRPr="3F884A43">
        <w:rPr>
          <w:rFonts w:ascii="Garamond" w:hAnsi="Garamond" w:cs="Arial"/>
        </w:rPr>
        <w:t>Google Earth Engine</w:t>
      </w:r>
      <w:r w:rsidR="008610DC" w:rsidRPr="1D1D1DC1">
        <w:rPr>
          <w:rFonts w:ascii="Garamond" w:eastAsia="Garamond" w:hAnsi="Garamond" w:cs="Garamond"/>
        </w:rPr>
        <w:t xml:space="preserve"> </w:t>
      </w:r>
      <w:r w:rsidR="008610DC">
        <w:rPr>
          <w:rFonts w:ascii="Garamond" w:eastAsia="Garamond" w:hAnsi="Garamond" w:cs="Garamond"/>
        </w:rPr>
        <w:t>(</w:t>
      </w:r>
      <w:r w:rsidRPr="1D1D1DC1">
        <w:rPr>
          <w:rFonts w:ascii="Garamond" w:eastAsia="Garamond" w:hAnsi="Garamond" w:cs="Garamond"/>
        </w:rPr>
        <w:t>GEE</w:t>
      </w:r>
      <w:r w:rsidR="008610DC">
        <w:rPr>
          <w:rFonts w:ascii="Garamond" w:eastAsia="Garamond" w:hAnsi="Garamond" w:cs="Garamond"/>
        </w:rPr>
        <w:t>)</w:t>
      </w:r>
      <w:r w:rsidRPr="1D1D1DC1">
        <w:rPr>
          <w:rFonts w:ascii="Garamond" w:eastAsia="Garamond" w:hAnsi="Garamond" w:cs="Garamond"/>
        </w:rPr>
        <w:t xml:space="preserve"> to acquire data on chlorophyll, turbidity, and surface temperature. </w:t>
      </w:r>
      <w:r w:rsidRPr="47BAFFBC">
        <w:rPr>
          <w:rFonts w:ascii="Garamond" w:eastAsia="Garamond" w:hAnsi="Garamond" w:cs="Garamond"/>
        </w:rPr>
        <w:t>We retrieved ESA’s Sentinel-2 MultiSpectral Instrument (MSI</w:t>
      </w:r>
      <w:r w:rsidRPr="1D1D1DC1">
        <w:rPr>
          <w:rFonts w:ascii="Garamond" w:eastAsia="Garamond" w:hAnsi="Garamond" w:cs="Garamond"/>
        </w:rPr>
        <w:t>), Level-2A data</w:t>
      </w:r>
      <w:r w:rsidRPr="3E84361D">
        <w:rPr>
          <w:rFonts w:ascii="Garamond" w:eastAsia="Garamond" w:hAnsi="Garamond" w:cs="Garamond"/>
        </w:rPr>
        <w:t xml:space="preserve"> </w:t>
      </w:r>
      <w:r w:rsidRPr="47BAFFBC">
        <w:rPr>
          <w:rFonts w:ascii="Garamond" w:eastAsia="Garamond" w:hAnsi="Garamond" w:cs="Garamond"/>
        </w:rPr>
        <w:t xml:space="preserve">for </w:t>
      </w:r>
      <w:r w:rsidRPr="1D1D1DC1">
        <w:rPr>
          <w:rFonts w:ascii="Garamond" w:eastAsia="Garamond" w:hAnsi="Garamond" w:cs="Garamond"/>
        </w:rPr>
        <w:t>a</w:t>
      </w:r>
      <w:r w:rsidRPr="47BAFFBC">
        <w:rPr>
          <w:rFonts w:ascii="Garamond" w:eastAsia="Garamond" w:hAnsi="Garamond" w:cs="Garamond"/>
        </w:rPr>
        <w:t xml:space="preserve"> Normalized Difference Chlorophyll Index (NDCI) and Normalized Difference Turbidity Index (NDTI</w:t>
      </w:r>
      <w:r>
        <w:rPr>
          <w:rFonts w:ascii="Garamond" w:eastAsia="Garamond" w:hAnsi="Garamond" w:cs="Garamond"/>
        </w:rPr>
        <w:t>)</w:t>
      </w:r>
      <w:r w:rsidRPr="47BAFFBC">
        <w:rPr>
          <w:rFonts w:ascii="Garamond" w:eastAsia="Garamond" w:hAnsi="Garamond" w:cs="Garamond"/>
        </w:rPr>
        <w:t>. We used spectral bands ranging from 10m to 20m resolution, in order to better view chlorophyll concentrations and turbidity.</w:t>
      </w:r>
      <w:r>
        <w:rPr>
          <w:rFonts w:ascii="Garamond" w:eastAsia="Garamond" w:hAnsi="Garamond" w:cs="Garamond"/>
        </w:rPr>
        <w:t xml:space="preserve"> </w:t>
      </w:r>
      <w:r w:rsidRPr="3E84361D">
        <w:rPr>
          <w:rFonts w:ascii="Garamond" w:eastAsia="Garamond" w:hAnsi="Garamond" w:cs="Garamond"/>
        </w:rPr>
        <w:t>Our team acquired Level 2, Collection 2, Tier 1 Surface Temperature (ST) products from Landsat 8’s Thermal Infrared Sensor (TIRS) and Landsat 9 TIRS-2 to examine lake surface temperature at a 30m resolution</w:t>
      </w:r>
      <w:r>
        <w:rPr>
          <w:rFonts w:ascii="Garamond" w:eastAsia="Garamond" w:hAnsi="Garamond" w:cs="Garamond"/>
        </w:rPr>
        <w:t xml:space="preserve"> (Table 1)</w:t>
      </w:r>
      <w:r w:rsidRPr="3E84361D">
        <w:rPr>
          <w:rFonts w:ascii="Garamond" w:eastAsia="Garamond" w:hAnsi="Garamond" w:cs="Garamond"/>
        </w:rPr>
        <w:t>.</w:t>
      </w:r>
    </w:p>
    <w:p w14:paraId="0F0AEABD" w14:textId="77777777" w:rsidR="00C57F64" w:rsidRDefault="00C57F64" w:rsidP="00C57F64">
      <w:pPr>
        <w:spacing w:after="0" w:line="240" w:lineRule="auto"/>
        <w:rPr>
          <w:rFonts w:ascii="Garamond" w:hAnsi="Garamond" w:cs="Arial"/>
        </w:rPr>
      </w:pPr>
    </w:p>
    <w:p w14:paraId="30DC1087" w14:textId="77777777" w:rsidR="00C57F64" w:rsidRDefault="00C57F64" w:rsidP="00C57F64">
      <w:pPr>
        <w:spacing w:after="0" w:line="240" w:lineRule="auto"/>
        <w:rPr>
          <w:rFonts w:ascii="Garamond" w:hAnsi="Garamond" w:cs="Arial"/>
          <w:i/>
          <w:iCs/>
        </w:rPr>
      </w:pPr>
      <w:r w:rsidRPr="7BF8A696">
        <w:rPr>
          <w:rFonts w:ascii="Garamond" w:hAnsi="Garamond" w:cs="Arial"/>
          <w:i/>
          <w:iCs/>
        </w:rPr>
        <w:t xml:space="preserve">3.1.3 </w:t>
      </w:r>
      <w:r w:rsidRPr="005143D1">
        <w:rPr>
          <w:rFonts w:ascii="Garamond" w:hAnsi="Garamond" w:cs="Arial"/>
        </w:rPr>
        <w:t>In Situ</w:t>
      </w:r>
      <w:r w:rsidRPr="7BF8A696">
        <w:rPr>
          <w:rFonts w:ascii="Garamond" w:hAnsi="Garamond" w:cs="Arial"/>
          <w:i/>
          <w:iCs/>
        </w:rPr>
        <w:t xml:space="preserve"> &amp; Ancillary Data</w:t>
      </w:r>
    </w:p>
    <w:p w14:paraId="0572E9E8" w14:textId="769A0395" w:rsidR="00C57F64" w:rsidRDefault="00C57F64" w:rsidP="00C57F64">
      <w:pPr>
        <w:spacing w:after="0" w:line="240" w:lineRule="auto"/>
        <w:rPr>
          <w:rFonts w:ascii="Garamond" w:hAnsi="Garamond" w:cs="Arial"/>
        </w:rPr>
      </w:pPr>
      <w:r w:rsidRPr="3E84361D">
        <w:rPr>
          <w:rFonts w:ascii="Garamond" w:hAnsi="Garamond" w:cs="Arial"/>
        </w:rPr>
        <w:t xml:space="preserve">We retrieved three ancillary datasets from the Virginia Open Data Portal: the 2019 Virginia Census Counties &amp; County Equivalents (VCCCE), Lakes/Reservoirs Water Quality Standards (L&amp;R WQS), and 6th Order </w:t>
      </w:r>
      <w:r>
        <w:rPr>
          <w:rFonts w:ascii="Garamond" w:hAnsi="Garamond" w:cs="Arial"/>
        </w:rPr>
        <w:t>National Watershed Boundary Dataset (</w:t>
      </w:r>
      <w:r w:rsidRPr="3E84361D">
        <w:rPr>
          <w:rFonts w:ascii="Garamond" w:hAnsi="Garamond" w:cs="Arial"/>
        </w:rPr>
        <w:t>NWBD</w:t>
      </w:r>
      <w:r>
        <w:rPr>
          <w:rFonts w:ascii="Garamond" w:hAnsi="Garamond" w:cs="Arial"/>
        </w:rPr>
        <w:t>)</w:t>
      </w:r>
      <w:r w:rsidRPr="3E84361D">
        <w:rPr>
          <w:rFonts w:ascii="Garamond" w:hAnsi="Garamond" w:cs="Arial"/>
        </w:rPr>
        <w:t xml:space="preserve"> HUC 12 Watersheds (HUC12) shapefiles. Additionally, our team acquired the USDA annual Cropland Data Layer for each available year of our study (2016</w:t>
      </w:r>
      <w:r w:rsidR="00D76F21">
        <w:rPr>
          <w:rFonts w:ascii="Garamond" w:hAnsi="Garamond" w:cs="Arial"/>
        </w:rPr>
        <w:t>–</w:t>
      </w:r>
      <w:r w:rsidRPr="3E84361D">
        <w:rPr>
          <w:rFonts w:ascii="Garamond" w:hAnsi="Garamond" w:cs="Arial"/>
        </w:rPr>
        <w:t xml:space="preserve">2022) using the USDA’s CroplandCROS web app. Through these datasets our team was able establish a basic visualization of our study area as well as account for surrounding land use types that may be influencing water quality conditions in Lake Anna. Our team also obtained tabular </w:t>
      </w:r>
      <w:r w:rsidRPr="3E84361D">
        <w:rPr>
          <w:rFonts w:ascii="Garamond" w:hAnsi="Garamond" w:cs="Arial"/>
          <w:i/>
          <w:iCs/>
        </w:rPr>
        <w:t>in situ</w:t>
      </w:r>
      <w:r w:rsidRPr="3E84361D">
        <w:rPr>
          <w:rFonts w:ascii="Garamond" w:hAnsi="Garamond" w:cs="Arial"/>
        </w:rPr>
        <w:t xml:space="preserve"> water quality data directly from the DEQ. This dataset compiled existing sampling records from monitoring sites on Lake Anna and included parameters such as chlorophyll-a, total nitrogen, total phosphorus, pH, temperature, and dissolved oxygen.</w:t>
      </w:r>
      <w:r w:rsidRPr="30FE2234">
        <w:rPr>
          <w:rFonts w:ascii="Garamond" w:hAnsi="Garamond" w:cs="Arial"/>
        </w:rPr>
        <w:t xml:space="preserve"> </w:t>
      </w:r>
      <w:r w:rsidRPr="158273FF">
        <w:rPr>
          <w:rFonts w:ascii="Garamond" w:hAnsi="Garamond" w:cs="Arial"/>
        </w:rPr>
        <w:t>Additionally</w:t>
      </w:r>
      <w:r w:rsidRPr="5818BD07">
        <w:rPr>
          <w:rFonts w:ascii="Garamond" w:hAnsi="Garamond" w:cs="Arial"/>
        </w:rPr>
        <w:t xml:space="preserve">, </w:t>
      </w:r>
      <w:r w:rsidRPr="3D9EA3AB">
        <w:rPr>
          <w:rFonts w:ascii="Garamond" w:hAnsi="Garamond" w:cs="Arial"/>
        </w:rPr>
        <w:t>our</w:t>
      </w:r>
      <w:r w:rsidRPr="5818BD07">
        <w:rPr>
          <w:rFonts w:ascii="Garamond" w:hAnsi="Garamond" w:cs="Arial"/>
        </w:rPr>
        <w:t xml:space="preserve"> team </w:t>
      </w:r>
      <w:r w:rsidRPr="7828008F">
        <w:rPr>
          <w:rFonts w:ascii="Garamond" w:hAnsi="Garamond" w:cs="Arial"/>
        </w:rPr>
        <w:t>gathered historical</w:t>
      </w:r>
      <w:r w:rsidRPr="5818BD07">
        <w:rPr>
          <w:rFonts w:ascii="Garamond" w:hAnsi="Garamond" w:cs="Arial"/>
        </w:rPr>
        <w:t xml:space="preserve"> advisory data from the VDH’s archived press releases regarding HABs within Lake</w:t>
      </w:r>
      <w:r w:rsidRPr="7A04A6EF">
        <w:rPr>
          <w:rFonts w:ascii="Garamond" w:hAnsi="Garamond" w:cs="Arial"/>
        </w:rPr>
        <w:t xml:space="preserve"> </w:t>
      </w:r>
      <w:r w:rsidRPr="05D51EFE">
        <w:rPr>
          <w:rFonts w:ascii="Garamond" w:hAnsi="Garamond" w:cs="Arial"/>
        </w:rPr>
        <w:t>Anna.</w:t>
      </w:r>
    </w:p>
    <w:p w14:paraId="24841B1C" w14:textId="77777777" w:rsidR="00C57F64" w:rsidRDefault="00C57F64" w:rsidP="00C57F64">
      <w:pPr>
        <w:spacing w:after="0" w:line="240" w:lineRule="auto"/>
        <w:rPr>
          <w:rFonts w:ascii="Garamond" w:hAnsi="Garamond" w:cs="Arial"/>
        </w:rPr>
      </w:pPr>
    </w:p>
    <w:p w14:paraId="7B10D2FE" w14:textId="77777777" w:rsidR="00C57F64" w:rsidRDefault="00C57F64" w:rsidP="00C57F64">
      <w:pPr>
        <w:spacing w:after="0" w:line="240" w:lineRule="auto"/>
        <w:rPr>
          <w:rFonts w:ascii="Garamond" w:eastAsia="Times New Roman" w:hAnsi="Garamond" w:cs="Arial"/>
        </w:rPr>
      </w:pPr>
      <w:r w:rsidRPr="47BAFFBC">
        <w:rPr>
          <w:rFonts w:ascii="Garamond" w:eastAsia="Times New Roman" w:hAnsi="Garamond" w:cs="Arial"/>
        </w:rPr>
        <w:t>Table 1.</w:t>
      </w:r>
    </w:p>
    <w:p w14:paraId="4F7B4199" w14:textId="77777777" w:rsidR="00C57F64" w:rsidRDefault="00C57F64" w:rsidP="00C57F64">
      <w:pPr>
        <w:spacing w:after="0" w:line="240" w:lineRule="auto"/>
        <w:rPr>
          <w:rFonts w:ascii="Garamond" w:eastAsia="Times New Roman" w:hAnsi="Garamond" w:cs="Arial"/>
          <w:i/>
          <w:iCs/>
        </w:rPr>
      </w:pPr>
      <w:r w:rsidRPr="5150B811">
        <w:rPr>
          <w:rFonts w:ascii="Garamond" w:eastAsia="Times New Roman" w:hAnsi="Garamond" w:cs="Arial"/>
          <w:i/>
          <w:iCs/>
        </w:rPr>
        <w:t>Earth observation datasets acquired:</w:t>
      </w:r>
    </w:p>
    <w:tbl>
      <w:tblPr>
        <w:tblStyle w:val="TableGrid"/>
        <w:tblW w:w="9351" w:type="dxa"/>
        <w:tblInd w:w="0" w:type="dxa"/>
        <w:tblBorders>
          <w:left w:val="none" w:sz="4" w:space="0" w:color="000000" w:themeColor="text1"/>
          <w:right w:val="none" w:sz="4" w:space="0" w:color="1E8BCD"/>
          <w:insideH w:val="single" w:sz="2" w:space="0" w:color="000000" w:themeColor="text1"/>
          <w:insideV w:val="none" w:sz="4" w:space="0" w:color="000000" w:themeColor="text1"/>
        </w:tblBorders>
        <w:tblLayout w:type="fixed"/>
        <w:tblLook w:val="06A0" w:firstRow="1" w:lastRow="0" w:firstColumn="1" w:lastColumn="0" w:noHBand="1" w:noVBand="1"/>
      </w:tblPr>
      <w:tblGrid>
        <w:gridCol w:w="1800"/>
        <w:gridCol w:w="1440"/>
        <w:gridCol w:w="1710"/>
        <w:gridCol w:w="1170"/>
        <w:gridCol w:w="1401"/>
        <w:gridCol w:w="1830"/>
      </w:tblGrid>
      <w:tr w:rsidR="00C57F64" w14:paraId="59BABD19" w14:textId="77777777" w:rsidTr="00C71097">
        <w:trPr>
          <w:trHeight w:val="615"/>
        </w:trPr>
        <w:tc>
          <w:tcPr>
            <w:tcW w:w="1800" w:type="dxa"/>
            <w:tcBorders>
              <w:top w:val="single" w:sz="4" w:space="0" w:color="000000" w:themeColor="text1"/>
              <w:bottom w:val="single" w:sz="4" w:space="0" w:color="404040" w:themeColor="text1" w:themeTint="BF"/>
            </w:tcBorders>
            <w:shd w:val="clear" w:color="auto" w:fill="DAEEF3" w:themeFill="accent5" w:themeFillTint="33"/>
            <w:vAlign w:val="bottom"/>
          </w:tcPr>
          <w:p w14:paraId="46907701" w14:textId="77777777" w:rsidR="00C57F64" w:rsidRDefault="00C57F64" w:rsidP="00C71097">
            <w:pPr>
              <w:spacing w:before="80" w:after="80"/>
              <w:jc w:val="center"/>
              <w:rPr>
                <w:rFonts w:ascii="Garamond" w:eastAsia="Times New Roman" w:hAnsi="Garamond" w:cs="Arial"/>
                <w:b/>
              </w:rPr>
            </w:pPr>
            <w:r w:rsidRPr="0E4EFE66">
              <w:rPr>
                <w:rFonts w:ascii="Garamond" w:eastAsia="Times New Roman" w:hAnsi="Garamond" w:cs="Arial"/>
                <w:b/>
              </w:rPr>
              <w:t>Sensor/Dataset</w:t>
            </w:r>
          </w:p>
        </w:tc>
        <w:tc>
          <w:tcPr>
            <w:tcW w:w="1440" w:type="dxa"/>
            <w:tcBorders>
              <w:top w:val="single" w:sz="4" w:space="0" w:color="000000" w:themeColor="text1"/>
              <w:bottom w:val="single" w:sz="4" w:space="0" w:color="404040" w:themeColor="text1" w:themeTint="BF"/>
            </w:tcBorders>
            <w:shd w:val="clear" w:color="auto" w:fill="DAEEF3" w:themeFill="accent5" w:themeFillTint="33"/>
            <w:vAlign w:val="bottom"/>
          </w:tcPr>
          <w:p w14:paraId="2F3234D6" w14:textId="77777777" w:rsidR="00C57F64" w:rsidRDefault="00C57F64" w:rsidP="00C71097">
            <w:pPr>
              <w:spacing w:before="80" w:after="80"/>
              <w:jc w:val="center"/>
              <w:rPr>
                <w:rFonts w:ascii="Garamond" w:eastAsia="Times New Roman" w:hAnsi="Garamond" w:cs="Arial"/>
                <w:b/>
              </w:rPr>
            </w:pPr>
            <w:r w:rsidRPr="0E4EFE66">
              <w:rPr>
                <w:rFonts w:ascii="Garamond" w:eastAsia="Times New Roman" w:hAnsi="Garamond" w:cs="Arial"/>
                <w:b/>
              </w:rPr>
              <w:t>Parameter</w:t>
            </w:r>
          </w:p>
        </w:tc>
        <w:tc>
          <w:tcPr>
            <w:tcW w:w="1710" w:type="dxa"/>
            <w:tcBorders>
              <w:top w:val="single" w:sz="4" w:space="0" w:color="000000" w:themeColor="text1"/>
              <w:bottom w:val="single" w:sz="4" w:space="0" w:color="404040" w:themeColor="text1" w:themeTint="BF"/>
            </w:tcBorders>
            <w:shd w:val="clear" w:color="auto" w:fill="DAEEF3" w:themeFill="accent5" w:themeFillTint="33"/>
            <w:vAlign w:val="bottom"/>
          </w:tcPr>
          <w:p w14:paraId="3421B68E" w14:textId="77777777" w:rsidR="00C57F64" w:rsidRDefault="00C57F64" w:rsidP="00C71097">
            <w:pPr>
              <w:spacing w:before="80" w:after="80"/>
              <w:jc w:val="center"/>
              <w:rPr>
                <w:rFonts w:ascii="Garamond" w:eastAsia="Times New Roman" w:hAnsi="Garamond" w:cs="Arial"/>
                <w:b/>
              </w:rPr>
            </w:pPr>
            <w:r w:rsidRPr="0E4EFE66">
              <w:rPr>
                <w:rFonts w:ascii="Garamond" w:eastAsia="Times New Roman" w:hAnsi="Garamond" w:cs="Arial"/>
                <w:b/>
              </w:rPr>
              <w:t>Processing Level</w:t>
            </w:r>
          </w:p>
        </w:tc>
        <w:tc>
          <w:tcPr>
            <w:tcW w:w="1170" w:type="dxa"/>
            <w:tcBorders>
              <w:top w:val="single" w:sz="4" w:space="0" w:color="000000" w:themeColor="text1"/>
              <w:bottom w:val="single" w:sz="4" w:space="0" w:color="404040" w:themeColor="text1" w:themeTint="BF"/>
            </w:tcBorders>
            <w:shd w:val="clear" w:color="auto" w:fill="DAEEF3" w:themeFill="accent5" w:themeFillTint="33"/>
            <w:vAlign w:val="bottom"/>
          </w:tcPr>
          <w:p w14:paraId="0C654400" w14:textId="77777777" w:rsidR="00C57F64" w:rsidRDefault="00C57F64" w:rsidP="00C71097">
            <w:pPr>
              <w:spacing w:before="80" w:after="80"/>
              <w:jc w:val="center"/>
              <w:rPr>
                <w:rFonts w:ascii="Garamond" w:eastAsia="Times New Roman" w:hAnsi="Garamond" w:cs="Arial"/>
                <w:b/>
              </w:rPr>
            </w:pPr>
            <w:r w:rsidRPr="0E4EFE66">
              <w:rPr>
                <w:rFonts w:ascii="Garamond" w:eastAsia="Times New Roman" w:hAnsi="Garamond" w:cs="Arial"/>
                <w:b/>
              </w:rPr>
              <w:t>Date(s)</w:t>
            </w:r>
          </w:p>
        </w:tc>
        <w:tc>
          <w:tcPr>
            <w:tcW w:w="1401" w:type="dxa"/>
            <w:tcBorders>
              <w:top w:val="single" w:sz="4" w:space="0" w:color="000000" w:themeColor="text1"/>
              <w:bottom w:val="single" w:sz="4" w:space="0" w:color="404040" w:themeColor="text1" w:themeTint="BF"/>
            </w:tcBorders>
            <w:shd w:val="clear" w:color="auto" w:fill="DAEEF3" w:themeFill="accent5" w:themeFillTint="33"/>
            <w:vAlign w:val="bottom"/>
          </w:tcPr>
          <w:p w14:paraId="23EE6262" w14:textId="77777777" w:rsidR="00C57F64" w:rsidRDefault="00C57F64" w:rsidP="00C71097">
            <w:pPr>
              <w:spacing w:before="80" w:after="80"/>
              <w:jc w:val="center"/>
              <w:rPr>
                <w:rFonts w:ascii="Garamond" w:eastAsia="Garamond" w:hAnsi="Garamond" w:cs="Garamond"/>
                <w:b/>
              </w:rPr>
            </w:pPr>
            <w:r w:rsidRPr="0E4EFE66">
              <w:rPr>
                <w:rFonts w:ascii="Garamond" w:eastAsia="Garamond" w:hAnsi="Garamond" w:cs="Garamond"/>
                <w:b/>
              </w:rPr>
              <w:t>Acquisition Method</w:t>
            </w:r>
          </w:p>
        </w:tc>
        <w:tc>
          <w:tcPr>
            <w:tcW w:w="1830" w:type="dxa"/>
            <w:tcBorders>
              <w:top w:val="single" w:sz="4" w:space="0" w:color="000000" w:themeColor="text1"/>
              <w:bottom w:val="single" w:sz="4" w:space="0" w:color="404040" w:themeColor="text1" w:themeTint="BF"/>
            </w:tcBorders>
            <w:shd w:val="clear" w:color="auto" w:fill="DAEEF3" w:themeFill="accent5" w:themeFillTint="33"/>
            <w:vAlign w:val="bottom"/>
          </w:tcPr>
          <w:p w14:paraId="0B410DCA" w14:textId="77777777" w:rsidR="00C57F64" w:rsidRDefault="00C57F64" w:rsidP="00C71097">
            <w:pPr>
              <w:spacing w:before="80" w:after="80"/>
              <w:jc w:val="center"/>
              <w:rPr>
                <w:rFonts w:ascii="Garamond" w:eastAsia="Times New Roman" w:hAnsi="Garamond" w:cs="Arial"/>
                <w:b/>
              </w:rPr>
            </w:pPr>
            <w:r w:rsidRPr="0E4EFE66">
              <w:rPr>
                <w:rFonts w:ascii="Garamond" w:eastAsia="Times New Roman" w:hAnsi="Garamond" w:cs="Arial"/>
                <w:b/>
              </w:rPr>
              <w:t>Product ID</w:t>
            </w:r>
          </w:p>
        </w:tc>
      </w:tr>
      <w:tr w:rsidR="00C57F64" w14:paraId="7EF3D249" w14:textId="77777777" w:rsidTr="00C71097">
        <w:trPr>
          <w:trHeight w:val="1007"/>
        </w:trPr>
        <w:tc>
          <w:tcPr>
            <w:tcW w:w="1800" w:type="dxa"/>
            <w:tcBorders>
              <w:top w:val="single" w:sz="4" w:space="0" w:color="404040" w:themeColor="text1" w:themeTint="BF"/>
              <w:left w:val="nil"/>
              <w:bottom w:val="single" w:sz="4" w:space="0" w:color="595959" w:themeColor="text1" w:themeTint="A6"/>
              <w:right w:val="nil"/>
            </w:tcBorders>
            <w:vAlign w:val="center"/>
          </w:tcPr>
          <w:p w14:paraId="6BF54331" w14:textId="77777777"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Sentinel-3 OLCI</w:t>
            </w:r>
          </w:p>
        </w:tc>
        <w:tc>
          <w:tcPr>
            <w:tcW w:w="1440" w:type="dxa"/>
            <w:tcBorders>
              <w:top w:val="single" w:sz="4" w:space="0" w:color="404040" w:themeColor="text1" w:themeTint="BF"/>
              <w:left w:val="nil"/>
              <w:bottom w:val="single" w:sz="4" w:space="0" w:color="595959" w:themeColor="text1" w:themeTint="A6"/>
              <w:right w:val="nil"/>
            </w:tcBorders>
            <w:vAlign w:val="center"/>
          </w:tcPr>
          <w:p w14:paraId="3B1FAA35" w14:textId="77777777"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Phycocyanin</w:t>
            </w:r>
          </w:p>
        </w:tc>
        <w:tc>
          <w:tcPr>
            <w:tcW w:w="1710" w:type="dxa"/>
            <w:tcBorders>
              <w:top w:val="single" w:sz="4" w:space="0" w:color="404040" w:themeColor="text1" w:themeTint="BF"/>
              <w:left w:val="nil"/>
              <w:bottom w:val="single" w:sz="4" w:space="0" w:color="595959" w:themeColor="text1" w:themeTint="A6"/>
              <w:right w:val="nil"/>
            </w:tcBorders>
            <w:vAlign w:val="center"/>
          </w:tcPr>
          <w:p w14:paraId="48D19363" w14:textId="77777777" w:rsidR="00C57F64" w:rsidRDefault="00C57F64" w:rsidP="00C71097">
            <w:pPr>
              <w:spacing w:before="60" w:after="60"/>
              <w:jc w:val="center"/>
              <w:rPr>
                <w:rFonts w:ascii="Garamond" w:eastAsia="Times New Roman" w:hAnsi="Garamond" w:cs="Arial"/>
              </w:rPr>
            </w:pPr>
            <w:r w:rsidRPr="138D6C8D">
              <w:rPr>
                <w:rFonts w:ascii="Garamond" w:eastAsia="Times New Roman" w:hAnsi="Garamond" w:cs="Arial"/>
              </w:rPr>
              <w:t>Level 2 / WFR / Reprocessed</w:t>
            </w:r>
          </w:p>
        </w:tc>
        <w:tc>
          <w:tcPr>
            <w:tcW w:w="1170" w:type="dxa"/>
            <w:tcBorders>
              <w:top w:val="single" w:sz="4" w:space="0" w:color="404040" w:themeColor="text1" w:themeTint="BF"/>
              <w:left w:val="nil"/>
              <w:bottom w:val="single" w:sz="4" w:space="0" w:color="595959" w:themeColor="text1" w:themeTint="A6"/>
              <w:right w:val="nil"/>
            </w:tcBorders>
            <w:vAlign w:val="center"/>
          </w:tcPr>
          <w:p w14:paraId="2B101887" w14:textId="068DC60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2016</w:t>
            </w:r>
            <w:r w:rsidR="00D76F21">
              <w:rPr>
                <w:rFonts w:ascii="Garamond" w:eastAsia="Times New Roman" w:hAnsi="Garamond" w:cs="Arial"/>
              </w:rPr>
              <w:t>–</w:t>
            </w:r>
            <w:r w:rsidRPr="5594FBC1">
              <w:rPr>
                <w:rFonts w:ascii="Garamond" w:eastAsia="Times New Roman" w:hAnsi="Garamond" w:cs="Arial"/>
              </w:rPr>
              <w:t>2020</w:t>
            </w:r>
          </w:p>
        </w:tc>
        <w:tc>
          <w:tcPr>
            <w:tcW w:w="1401" w:type="dxa"/>
            <w:tcBorders>
              <w:top w:val="single" w:sz="4" w:space="0" w:color="404040" w:themeColor="text1" w:themeTint="BF"/>
              <w:left w:val="nil"/>
              <w:bottom w:val="single" w:sz="4" w:space="0" w:color="595959" w:themeColor="text1" w:themeTint="A6"/>
              <w:right w:val="nil"/>
            </w:tcBorders>
            <w:vAlign w:val="center"/>
          </w:tcPr>
          <w:p w14:paraId="2389CB89" w14:textId="77777777" w:rsidR="00C57F64" w:rsidRDefault="00C57F64" w:rsidP="00C71097">
            <w:pPr>
              <w:spacing w:before="60" w:after="60"/>
              <w:jc w:val="center"/>
              <w:rPr>
                <w:rFonts w:ascii="Garamond" w:eastAsia="Times New Roman" w:hAnsi="Garamond" w:cs="Arial"/>
              </w:rPr>
            </w:pPr>
            <w:r w:rsidRPr="2EAA127D">
              <w:rPr>
                <w:rFonts w:ascii="Garamond" w:eastAsia="Times New Roman" w:hAnsi="Garamond" w:cs="Arial"/>
              </w:rPr>
              <w:t>EUMETSAT</w:t>
            </w:r>
          </w:p>
        </w:tc>
        <w:tc>
          <w:tcPr>
            <w:tcW w:w="1830" w:type="dxa"/>
            <w:tcBorders>
              <w:top w:val="single" w:sz="4" w:space="0" w:color="404040" w:themeColor="text1" w:themeTint="BF"/>
              <w:left w:val="nil"/>
              <w:bottom w:val="single" w:sz="4" w:space="0" w:color="595959" w:themeColor="text1" w:themeTint="A6"/>
              <w:right w:val="nil"/>
            </w:tcBorders>
            <w:vAlign w:val="center"/>
          </w:tcPr>
          <w:p w14:paraId="78520E19" w14:textId="77777777" w:rsidR="00C57F64" w:rsidRDefault="00C57F64" w:rsidP="00C71097">
            <w:pPr>
              <w:spacing w:before="60" w:after="60"/>
              <w:jc w:val="center"/>
              <w:rPr>
                <w:rFonts w:ascii="Garamond" w:eastAsia="Times New Roman" w:hAnsi="Garamond" w:cs="Arial"/>
              </w:rPr>
            </w:pPr>
            <w:r w:rsidRPr="138D6C8D">
              <w:rPr>
                <w:rFonts w:ascii="Garamond" w:eastAsia="Times New Roman" w:hAnsi="Garamond" w:cs="Arial"/>
              </w:rPr>
              <w:t>COPERNICUS / S3 / OLCI / (version BC003)</w:t>
            </w:r>
          </w:p>
        </w:tc>
      </w:tr>
      <w:tr w:rsidR="00C57F64" w14:paraId="447ABC8D" w14:textId="77777777" w:rsidTr="00C71097">
        <w:trPr>
          <w:trHeight w:val="710"/>
        </w:trPr>
        <w:tc>
          <w:tcPr>
            <w:tcW w:w="1800" w:type="dxa"/>
            <w:tcBorders>
              <w:top w:val="single" w:sz="4" w:space="0" w:color="595959" w:themeColor="text1" w:themeTint="A6"/>
              <w:left w:val="nil"/>
              <w:bottom w:val="single" w:sz="4" w:space="0" w:color="595959" w:themeColor="text1" w:themeTint="A6"/>
              <w:right w:val="nil"/>
            </w:tcBorders>
            <w:vAlign w:val="center"/>
          </w:tcPr>
          <w:p w14:paraId="6AD72870" w14:textId="7777777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Sentinel-3 OLCI</w:t>
            </w:r>
          </w:p>
        </w:tc>
        <w:tc>
          <w:tcPr>
            <w:tcW w:w="1440" w:type="dxa"/>
            <w:tcBorders>
              <w:top w:val="single" w:sz="4" w:space="0" w:color="595959" w:themeColor="text1" w:themeTint="A6"/>
              <w:left w:val="nil"/>
              <w:bottom w:val="single" w:sz="4" w:space="0" w:color="595959" w:themeColor="text1" w:themeTint="A6"/>
              <w:right w:val="nil"/>
            </w:tcBorders>
            <w:vAlign w:val="center"/>
          </w:tcPr>
          <w:p w14:paraId="5B373C82" w14:textId="7777777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Phycocyanin</w:t>
            </w:r>
          </w:p>
        </w:tc>
        <w:tc>
          <w:tcPr>
            <w:tcW w:w="1710" w:type="dxa"/>
            <w:tcBorders>
              <w:top w:val="single" w:sz="4" w:space="0" w:color="595959" w:themeColor="text1" w:themeTint="A6"/>
              <w:left w:val="nil"/>
              <w:bottom w:val="single" w:sz="4" w:space="0" w:color="595959" w:themeColor="text1" w:themeTint="A6"/>
              <w:right w:val="nil"/>
            </w:tcBorders>
            <w:vAlign w:val="center"/>
          </w:tcPr>
          <w:p w14:paraId="71192FC0" w14:textId="7777777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Level 2 / WFR</w:t>
            </w:r>
          </w:p>
        </w:tc>
        <w:tc>
          <w:tcPr>
            <w:tcW w:w="1170" w:type="dxa"/>
            <w:tcBorders>
              <w:top w:val="single" w:sz="4" w:space="0" w:color="595959" w:themeColor="text1" w:themeTint="A6"/>
              <w:left w:val="nil"/>
              <w:bottom w:val="single" w:sz="4" w:space="0" w:color="595959" w:themeColor="text1" w:themeTint="A6"/>
              <w:right w:val="nil"/>
            </w:tcBorders>
            <w:vAlign w:val="center"/>
          </w:tcPr>
          <w:p w14:paraId="6E49C17F" w14:textId="2FBBFC5A"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2021</w:t>
            </w:r>
            <w:r w:rsidR="00D76F21">
              <w:rPr>
                <w:rFonts w:ascii="Garamond" w:eastAsia="Times New Roman" w:hAnsi="Garamond" w:cs="Arial"/>
              </w:rPr>
              <w:t>–</w:t>
            </w:r>
            <w:r w:rsidRPr="5594FBC1">
              <w:rPr>
                <w:rFonts w:ascii="Garamond" w:eastAsia="Times New Roman" w:hAnsi="Garamond" w:cs="Arial"/>
              </w:rPr>
              <w:t>2022</w:t>
            </w:r>
          </w:p>
        </w:tc>
        <w:tc>
          <w:tcPr>
            <w:tcW w:w="1401" w:type="dxa"/>
            <w:tcBorders>
              <w:top w:val="single" w:sz="4" w:space="0" w:color="595959" w:themeColor="text1" w:themeTint="A6"/>
              <w:left w:val="nil"/>
              <w:bottom w:val="single" w:sz="4" w:space="0" w:color="595959" w:themeColor="text1" w:themeTint="A6"/>
              <w:right w:val="nil"/>
            </w:tcBorders>
            <w:vAlign w:val="center"/>
          </w:tcPr>
          <w:p w14:paraId="1E9122F2" w14:textId="7777777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EUMETSAT</w:t>
            </w:r>
          </w:p>
        </w:tc>
        <w:tc>
          <w:tcPr>
            <w:tcW w:w="1830" w:type="dxa"/>
            <w:tcBorders>
              <w:top w:val="single" w:sz="4" w:space="0" w:color="595959" w:themeColor="text1" w:themeTint="A6"/>
              <w:left w:val="nil"/>
              <w:bottom w:val="single" w:sz="4" w:space="0" w:color="595959" w:themeColor="text1" w:themeTint="A6"/>
              <w:right w:val="nil"/>
            </w:tcBorders>
            <w:vAlign w:val="center"/>
          </w:tcPr>
          <w:p w14:paraId="40F6507E" w14:textId="77777777" w:rsidR="00C57F64" w:rsidRDefault="00C57F64" w:rsidP="00C71097">
            <w:pPr>
              <w:spacing w:before="60" w:after="60"/>
              <w:jc w:val="center"/>
              <w:rPr>
                <w:rFonts w:ascii="Garamond" w:eastAsia="Times New Roman" w:hAnsi="Garamond" w:cs="Arial"/>
              </w:rPr>
            </w:pPr>
            <w:r w:rsidRPr="5594FBC1">
              <w:rPr>
                <w:rFonts w:ascii="Garamond" w:eastAsia="Times New Roman" w:hAnsi="Garamond" w:cs="Arial"/>
              </w:rPr>
              <w:t>COPERNICUS / S3 / OLCI /</w:t>
            </w:r>
          </w:p>
        </w:tc>
      </w:tr>
      <w:tr w:rsidR="00C57F64" w14:paraId="61098EBD" w14:textId="77777777" w:rsidTr="00C71097">
        <w:trPr>
          <w:trHeight w:val="935"/>
        </w:trPr>
        <w:tc>
          <w:tcPr>
            <w:tcW w:w="1800" w:type="dxa"/>
            <w:tcBorders>
              <w:top w:val="single" w:sz="4" w:space="0" w:color="595959" w:themeColor="text1" w:themeTint="A6"/>
              <w:left w:val="nil"/>
              <w:bottom w:val="single" w:sz="4" w:space="0" w:color="595959" w:themeColor="text1" w:themeTint="A6"/>
              <w:right w:val="nil"/>
            </w:tcBorders>
            <w:vAlign w:val="center"/>
          </w:tcPr>
          <w:p w14:paraId="33A051B4" w14:textId="77777777"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Sentinel-2 MSI</w:t>
            </w:r>
          </w:p>
        </w:tc>
        <w:tc>
          <w:tcPr>
            <w:tcW w:w="1440" w:type="dxa"/>
            <w:tcBorders>
              <w:top w:val="single" w:sz="4" w:space="0" w:color="595959" w:themeColor="text1" w:themeTint="A6"/>
              <w:left w:val="nil"/>
              <w:bottom w:val="single" w:sz="4" w:space="0" w:color="595959" w:themeColor="text1" w:themeTint="A6"/>
              <w:right w:val="nil"/>
            </w:tcBorders>
            <w:vAlign w:val="center"/>
          </w:tcPr>
          <w:p w14:paraId="286B301F" w14:textId="77777777"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NDCI / NDTI</w:t>
            </w:r>
          </w:p>
        </w:tc>
        <w:tc>
          <w:tcPr>
            <w:tcW w:w="1710" w:type="dxa"/>
            <w:tcBorders>
              <w:top w:val="single" w:sz="4" w:space="0" w:color="595959" w:themeColor="text1" w:themeTint="A6"/>
              <w:left w:val="nil"/>
              <w:bottom w:val="single" w:sz="4" w:space="0" w:color="595959" w:themeColor="text1" w:themeTint="A6"/>
              <w:right w:val="nil"/>
            </w:tcBorders>
            <w:vAlign w:val="center"/>
          </w:tcPr>
          <w:p w14:paraId="3321E4E9" w14:textId="77777777" w:rsidR="00C57F64" w:rsidRDefault="00C57F64" w:rsidP="00C71097">
            <w:pPr>
              <w:spacing w:before="60" w:after="60"/>
              <w:jc w:val="center"/>
              <w:rPr>
                <w:rFonts w:ascii="Garamond" w:eastAsia="Garamond" w:hAnsi="Garamond" w:cs="Garamond"/>
              </w:rPr>
            </w:pPr>
            <w:r w:rsidRPr="3A0A0838">
              <w:rPr>
                <w:rFonts w:ascii="Garamond" w:eastAsia="Garamond" w:hAnsi="Garamond" w:cs="Garamond"/>
                <w:color w:val="212121"/>
              </w:rPr>
              <w:t>Level-2A</w:t>
            </w:r>
          </w:p>
        </w:tc>
        <w:tc>
          <w:tcPr>
            <w:tcW w:w="1170" w:type="dxa"/>
            <w:tcBorders>
              <w:top w:val="single" w:sz="4" w:space="0" w:color="595959" w:themeColor="text1" w:themeTint="A6"/>
              <w:left w:val="nil"/>
              <w:bottom w:val="single" w:sz="4" w:space="0" w:color="595959" w:themeColor="text1" w:themeTint="A6"/>
              <w:right w:val="nil"/>
            </w:tcBorders>
            <w:vAlign w:val="center"/>
          </w:tcPr>
          <w:p w14:paraId="36579BB5" w14:textId="21B4419C"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2016</w:t>
            </w:r>
            <w:r w:rsidR="00D76F21">
              <w:rPr>
                <w:rFonts w:ascii="Garamond" w:eastAsia="Times New Roman" w:hAnsi="Garamond" w:cs="Arial"/>
              </w:rPr>
              <w:t>–</w:t>
            </w:r>
            <w:r w:rsidRPr="3A0A0838">
              <w:rPr>
                <w:rFonts w:ascii="Garamond" w:eastAsia="Times New Roman" w:hAnsi="Garamond" w:cs="Arial"/>
              </w:rPr>
              <w:t>2023</w:t>
            </w:r>
          </w:p>
        </w:tc>
        <w:tc>
          <w:tcPr>
            <w:tcW w:w="1401" w:type="dxa"/>
            <w:tcBorders>
              <w:top w:val="single" w:sz="4" w:space="0" w:color="595959" w:themeColor="text1" w:themeTint="A6"/>
              <w:left w:val="nil"/>
              <w:bottom w:val="single" w:sz="4" w:space="0" w:color="595959" w:themeColor="text1" w:themeTint="A6"/>
              <w:right w:val="nil"/>
            </w:tcBorders>
            <w:vAlign w:val="center"/>
          </w:tcPr>
          <w:p w14:paraId="59FD3928" w14:textId="77777777" w:rsidR="00C57F64" w:rsidRDefault="00C57F64" w:rsidP="00C71097">
            <w:pPr>
              <w:spacing w:before="60" w:after="60"/>
              <w:jc w:val="center"/>
              <w:rPr>
                <w:rFonts w:ascii="Garamond" w:eastAsia="Times New Roman" w:hAnsi="Garamond" w:cs="Arial"/>
              </w:rPr>
            </w:pPr>
            <w:r w:rsidRPr="3A0A0838">
              <w:rPr>
                <w:rFonts w:ascii="Garamond" w:eastAsia="Times New Roman" w:hAnsi="Garamond" w:cs="Arial"/>
              </w:rPr>
              <w:t>GEE</w:t>
            </w:r>
          </w:p>
        </w:tc>
        <w:tc>
          <w:tcPr>
            <w:tcW w:w="1830" w:type="dxa"/>
            <w:tcBorders>
              <w:top w:val="single" w:sz="4" w:space="0" w:color="595959" w:themeColor="text1" w:themeTint="A6"/>
              <w:left w:val="nil"/>
              <w:bottom w:val="single" w:sz="4" w:space="0" w:color="595959" w:themeColor="text1" w:themeTint="A6"/>
              <w:right w:val="nil"/>
            </w:tcBorders>
            <w:vAlign w:val="center"/>
          </w:tcPr>
          <w:p w14:paraId="62869B88" w14:textId="77777777" w:rsidR="00C57F64" w:rsidRDefault="00C57F64" w:rsidP="00C71097">
            <w:pPr>
              <w:spacing w:before="60" w:after="60"/>
              <w:jc w:val="center"/>
              <w:rPr>
                <w:rFonts w:ascii="Garamond" w:eastAsia="Garamond" w:hAnsi="Garamond" w:cs="Garamond"/>
              </w:rPr>
            </w:pPr>
            <w:r w:rsidRPr="138D6C8D">
              <w:rPr>
                <w:rFonts w:ascii="Garamond" w:eastAsia="Garamond" w:hAnsi="Garamond" w:cs="Garamond"/>
                <w:color w:val="212121"/>
              </w:rPr>
              <w:t>COPERNICUS/S2_SR_HARMONIZED</w:t>
            </w:r>
          </w:p>
        </w:tc>
      </w:tr>
      <w:tr w:rsidR="00C57F64" w14:paraId="685CB9EA" w14:textId="77777777" w:rsidTr="00C71097">
        <w:trPr>
          <w:trHeight w:val="1340"/>
        </w:trPr>
        <w:tc>
          <w:tcPr>
            <w:tcW w:w="1800"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46B5DCCD" w14:textId="77777777" w:rsidR="00C57F64" w:rsidRDefault="00C57F64" w:rsidP="00C71097">
            <w:pPr>
              <w:spacing w:before="60" w:after="60"/>
              <w:jc w:val="center"/>
              <w:rPr>
                <w:rFonts w:ascii="Garamond" w:eastAsia="Times New Roman" w:hAnsi="Garamond" w:cs="Arial"/>
              </w:rPr>
            </w:pPr>
            <w:r w:rsidRPr="2BBAC4A8">
              <w:rPr>
                <w:rFonts w:ascii="Garamond" w:eastAsia="Times New Roman" w:hAnsi="Garamond" w:cs="Arial"/>
              </w:rPr>
              <w:t>Landsat 8 /</w:t>
            </w:r>
            <w:r w:rsidRPr="033FC0A2">
              <w:rPr>
                <w:rFonts w:ascii="Garamond" w:eastAsia="Times New Roman" w:hAnsi="Garamond" w:cs="Arial"/>
              </w:rPr>
              <w:t xml:space="preserve"> </w:t>
            </w:r>
            <w:r w:rsidRPr="2BBAC4A8">
              <w:rPr>
                <w:rFonts w:ascii="Garamond" w:eastAsia="Times New Roman" w:hAnsi="Garamond" w:cs="Arial"/>
              </w:rPr>
              <w:t>9 TIRS / TIRS-2</w:t>
            </w:r>
          </w:p>
        </w:tc>
        <w:tc>
          <w:tcPr>
            <w:tcW w:w="1440"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49E46CC7" w14:textId="77777777" w:rsidR="00C57F64" w:rsidRDefault="00C57F64" w:rsidP="00C71097">
            <w:pPr>
              <w:spacing w:before="60" w:after="60" w:line="276" w:lineRule="auto"/>
              <w:jc w:val="center"/>
              <w:rPr>
                <w:rFonts w:ascii="Garamond" w:eastAsia="Times New Roman" w:hAnsi="Garamond" w:cs="Arial"/>
              </w:rPr>
            </w:pPr>
            <w:r w:rsidRPr="09D65290">
              <w:rPr>
                <w:rFonts w:ascii="Garamond" w:eastAsia="Times New Roman" w:hAnsi="Garamond" w:cs="Arial"/>
              </w:rPr>
              <w:t>Surface Temperature</w:t>
            </w:r>
          </w:p>
        </w:tc>
        <w:tc>
          <w:tcPr>
            <w:tcW w:w="1710"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5B2DF2FF" w14:textId="77777777" w:rsidR="00C57F64" w:rsidRDefault="00C57F64" w:rsidP="00C71097">
            <w:pPr>
              <w:spacing w:before="60" w:after="60"/>
              <w:jc w:val="center"/>
              <w:rPr>
                <w:rFonts w:ascii="Garamond" w:eastAsia="Times New Roman" w:hAnsi="Garamond" w:cs="Arial"/>
              </w:rPr>
            </w:pPr>
            <w:r w:rsidRPr="5A5DA0FF">
              <w:rPr>
                <w:rFonts w:ascii="Garamond" w:eastAsia="Times New Roman" w:hAnsi="Garamond" w:cs="Arial"/>
              </w:rPr>
              <w:t>Tier 1, Level 2 ST</w:t>
            </w:r>
          </w:p>
        </w:tc>
        <w:tc>
          <w:tcPr>
            <w:tcW w:w="1170"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0CCFFF46" w14:textId="57C82CEF" w:rsidR="00C57F64" w:rsidRDefault="00C57F64" w:rsidP="00C71097">
            <w:pPr>
              <w:spacing w:before="60" w:after="60" w:line="276" w:lineRule="auto"/>
              <w:jc w:val="center"/>
            </w:pPr>
            <w:r w:rsidRPr="3873D212">
              <w:rPr>
                <w:rFonts w:ascii="Garamond" w:eastAsia="Times New Roman" w:hAnsi="Garamond" w:cs="Arial"/>
              </w:rPr>
              <w:t>2016</w:t>
            </w:r>
            <w:r w:rsidR="00D76F21">
              <w:rPr>
                <w:rFonts w:ascii="Garamond" w:eastAsia="Times New Roman" w:hAnsi="Garamond" w:cs="Arial"/>
              </w:rPr>
              <w:t>–</w:t>
            </w:r>
            <w:r w:rsidRPr="56E3345D">
              <w:rPr>
                <w:rFonts w:ascii="Garamond" w:eastAsia="Times New Roman" w:hAnsi="Garamond" w:cs="Arial"/>
              </w:rPr>
              <w:t>2023</w:t>
            </w:r>
          </w:p>
        </w:tc>
        <w:tc>
          <w:tcPr>
            <w:tcW w:w="1401"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2280E3B8"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GEE</w:t>
            </w:r>
          </w:p>
        </w:tc>
        <w:tc>
          <w:tcPr>
            <w:tcW w:w="1830" w:type="dxa"/>
            <w:tcBorders>
              <w:top w:val="single" w:sz="4" w:space="0" w:color="595959" w:themeColor="text1" w:themeTint="A6"/>
              <w:left w:val="nil"/>
              <w:bottom w:val="single" w:sz="4" w:space="0" w:color="595959" w:themeColor="text1" w:themeTint="A6"/>
              <w:right w:val="nil"/>
            </w:tcBorders>
            <w:shd w:val="clear" w:color="auto" w:fill="FFFFFF" w:themeFill="background1"/>
            <w:vAlign w:val="center"/>
          </w:tcPr>
          <w:p w14:paraId="45ACC1AA" w14:textId="3570AB4F"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LANDSAT/LC08/CO2/T1_L2</w:t>
            </w:r>
            <w:r w:rsidRPr="0A2BBB08">
              <w:rPr>
                <w:rFonts w:ascii="Garamond" w:eastAsia="Times New Roman" w:hAnsi="Garamond" w:cs="Arial"/>
              </w:rPr>
              <w:t xml:space="preserve"> </w:t>
            </w:r>
            <w:r w:rsidRPr="47BAFFBC">
              <w:rPr>
                <w:rFonts w:ascii="Garamond" w:eastAsia="Times New Roman" w:hAnsi="Garamond" w:cs="Arial"/>
              </w:rPr>
              <w:t>&amp;</w:t>
            </w:r>
          </w:p>
          <w:p w14:paraId="0F8E7CF7"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LANDSAT/LC09/CO2/T1_L2</w:t>
            </w:r>
          </w:p>
        </w:tc>
      </w:tr>
    </w:tbl>
    <w:p w14:paraId="485529F6" w14:textId="77777777" w:rsidR="00C57F64" w:rsidRDefault="00C57F64" w:rsidP="00C57F64">
      <w:pPr>
        <w:tabs>
          <w:tab w:val="left" w:pos="4155"/>
        </w:tabs>
        <w:spacing w:after="0" w:line="240" w:lineRule="auto"/>
      </w:pPr>
    </w:p>
    <w:p w14:paraId="0637A80C" w14:textId="77777777" w:rsidR="00C57F64" w:rsidRDefault="00C57F64" w:rsidP="00C57F64">
      <w:pPr>
        <w:tabs>
          <w:tab w:val="left" w:pos="4155"/>
        </w:tabs>
        <w:spacing w:after="0" w:line="240" w:lineRule="auto"/>
      </w:pPr>
      <w:r>
        <w:lastRenderedPageBreak/>
        <w:tab/>
      </w:r>
    </w:p>
    <w:p w14:paraId="20369A7F" w14:textId="77777777" w:rsidR="00C57F64" w:rsidRDefault="00C57F64" w:rsidP="00C57F64">
      <w:pPr>
        <w:spacing w:before="80" w:after="0" w:line="240" w:lineRule="auto"/>
        <w:rPr>
          <w:rFonts w:ascii="Garamond" w:eastAsia="Times New Roman" w:hAnsi="Garamond" w:cs="Arial"/>
          <w:sz w:val="24"/>
          <w:szCs w:val="24"/>
        </w:rPr>
      </w:pPr>
      <w:r w:rsidRPr="47BAFFBC">
        <w:rPr>
          <w:rFonts w:ascii="Garamond" w:eastAsia="Times New Roman" w:hAnsi="Garamond" w:cs="Arial"/>
        </w:rPr>
        <w:t xml:space="preserve">Table 2. </w:t>
      </w:r>
    </w:p>
    <w:p w14:paraId="69D1AE36" w14:textId="77777777" w:rsidR="00C57F64" w:rsidRPr="0066138C" w:rsidRDefault="00C57F64" w:rsidP="00C57F64">
      <w:pPr>
        <w:spacing w:after="0" w:line="240" w:lineRule="auto"/>
        <w:rPr>
          <w:rFonts w:ascii="Garamond" w:eastAsia="Times New Roman" w:hAnsi="Garamond" w:cs="Arial"/>
          <w:i/>
        </w:rPr>
      </w:pPr>
      <w:r w:rsidRPr="5150B811">
        <w:rPr>
          <w:rFonts w:ascii="Garamond" w:eastAsia="Times New Roman" w:hAnsi="Garamond" w:cs="Arial"/>
          <w:i/>
          <w:iCs/>
        </w:rPr>
        <w:t>Ancillary &amp;</w:t>
      </w:r>
      <w:r w:rsidRPr="5150B811">
        <w:rPr>
          <w:rFonts w:ascii="Garamond" w:eastAsia="Times New Roman" w:hAnsi="Garamond" w:cs="Arial"/>
        </w:rPr>
        <w:t xml:space="preserve"> </w:t>
      </w:r>
      <w:r w:rsidRPr="7AB1D1CA">
        <w:rPr>
          <w:rFonts w:ascii="Garamond" w:eastAsia="Times New Roman" w:hAnsi="Garamond" w:cs="Arial"/>
          <w:i/>
        </w:rPr>
        <w:t>in</w:t>
      </w:r>
      <w:r w:rsidRPr="3E84361D">
        <w:rPr>
          <w:rFonts w:ascii="Garamond" w:eastAsia="Times New Roman" w:hAnsi="Garamond" w:cs="Arial"/>
          <w:i/>
          <w:iCs/>
        </w:rPr>
        <w:t xml:space="preserve"> </w:t>
      </w:r>
      <w:r w:rsidRPr="7AB1D1CA">
        <w:rPr>
          <w:rFonts w:ascii="Garamond" w:eastAsia="Times New Roman" w:hAnsi="Garamond" w:cs="Arial"/>
          <w:i/>
        </w:rPr>
        <w:t>situ</w:t>
      </w:r>
      <w:r w:rsidRPr="5150B811">
        <w:rPr>
          <w:rFonts w:ascii="Garamond" w:eastAsia="Times New Roman" w:hAnsi="Garamond" w:cs="Arial"/>
        </w:rPr>
        <w:t xml:space="preserve"> </w:t>
      </w:r>
      <w:r w:rsidRPr="7AB1D1CA">
        <w:rPr>
          <w:rFonts w:ascii="Garamond" w:eastAsia="Times New Roman" w:hAnsi="Garamond" w:cs="Arial"/>
          <w:i/>
        </w:rPr>
        <w:t>d</w:t>
      </w:r>
      <w:r w:rsidRPr="5150B811">
        <w:rPr>
          <w:rFonts w:ascii="Garamond" w:eastAsia="Times New Roman" w:hAnsi="Garamond" w:cs="Arial"/>
          <w:i/>
          <w:iCs/>
        </w:rPr>
        <w:t>atasets acquired:</w:t>
      </w:r>
    </w:p>
    <w:tbl>
      <w:tblPr>
        <w:tblStyle w:val="TableGrid"/>
        <w:tblW w:w="0" w:type="auto"/>
        <w:tblInd w:w="0" w:type="dxa"/>
        <w:tblBorders>
          <w:right w:val="none" w:sz="4" w:space="0" w:color="000000" w:themeColor="text1"/>
          <w:insideV w:val="none" w:sz="4" w:space="0" w:color="000000" w:themeColor="text1"/>
        </w:tblBorders>
        <w:tblLayout w:type="fixed"/>
        <w:tblLook w:val="06A0" w:firstRow="1" w:lastRow="0" w:firstColumn="1" w:lastColumn="0" w:noHBand="1" w:noVBand="1"/>
      </w:tblPr>
      <w:tblGrid>
        <w:gridCol w:w="2340"/>
        <w:gridCol w:w="2340"/>
        <w:gridCol w:w="2340"/>
        <w:gridCol w:w="2340"/>
      </w:tblGrid>
      <w:tr w:rsidR="00C57F64" w14:paraId="70E1129A" w14:textId="77777777" w:rsidTr="00C71097">
        <w:trPr>
          <w:trHeight w:val="300"/>
        </w:trPr>
        <w:tc>
          <w:tcPr>
            <w:tcW w:w="2340" w:type="dxa"/>
            <w:tcBorders>
              <w:left w:val="none" w:sz="4" w:space="0" w:color="000000" w:themeColor="text1"/>
            </w:tcBorders>
            <w:shd w:val="clear" w:color="auto" w:fill="DAEEF3" w:themeFill="accent5" w:themeFillTint="33"/>
            <w:vAlign w:val="center"/>
          </w:tcPr>
          <w:p w14:paraId="2C1530AD" w14:textId="77777777" w:rsidR="00C57F64" w:rsidRDefault="00C57F64" w:rsidP="00C71097">
            <w:pPr>
              <w:spacing w:before="80" w:after="80"/>
              <w:jc w:val="center"/>
              <w:rPr>
                <w:rFonts w:ascii="Garamond" w:hAnsi="Garamond" w:cs="Arial"/>
                <w:b/>
              </w:rPr>
            </w:pPr>
            <w:r w:rsidRPr="0D7EE10C">
              <w:rPr>
                <w:rFonts w:ascii="Garamond" w:hAnsi="Garamond" w:cs="Arial"/>
                <w:b/>
              </w:rPr>
              <w:t xml:space="preserve">Dataset </w:t>
            </w:r>
          </w:p>
        </w:tc>
        <w:tc>
          <w:tcPr>
            <w:tcW w:w="2340" w:type="dxa"/>
            <w:shd w:val="clear" w:color="auto" w:fill="DAEEF3" w:themeFill="accent5" w:themeFillTint="33"/>
            <w:vAlign w:val="center"/>
          </w:tcPr>
          <w:p w14:paraId="43F91545" w14:textId="77777777" w:rsidR="00C57F64" w:rsidRDefault="00C57F64" w:rsidP="00C71097">
            <w:pPr>
              <w:spacing w:before="80" w:after="80"/>
              <w:jc w:val="center"/>
              <w:rPr>
                <w:rFonts w:ascii="Garamond" w:hAnsi="Garamond" w:cs="Arial"/>
                <w:b/>
              </w:rPr>
            </w:pPr>
            <w:r w:rsidRPr="0D7EE10C">
              <w:rPr>
                <w:rFonts w:ascii="Garamond" w:hAnsi="Garamond" w:cs="Arial"/>
                <w:b/>
              </w:rPr>
              <w:t>Parameter</w:t>
            </w:r>
          </w:p>
        </w:tc>
        <w:tc>
          <w:tcPr>
            <w:tcW w:w="2340" w:type="dxa"/>
            <w:shd w:val="clear" w:color="auto" w:fill="DAEEF3" w:themeFill="accent5" w:themeFillTint="33"/>
            <w:vAlign w:val="center"/>
          </w:tcPr>
          <w:p w14:paraId="45B1C94A" w14:textId="77777777" w:rsidR="00C57F64" w:rsidRDefault="00C57F64" w:rsidP="00C71097">
            <w:pPr>
              <w:spacing w:before="80" w:after="80"/>
              <w:jc w:val="center"/>
              <w:rPr>
                <w:rFonts w:ascii="Garamond" w:hAnsi="Garamond" w:cs="Arial"/>
                <w:b/>
              </w:rPr>
            </w:pPr>
            <w:r w:rsidRPr="0D7EE10C">
              <w:rPr>
                <w:rFonts w:ascii="Garamond" w:hAnsi="Garamond" w:cs="Arial"/>
                <w:b/>
              </w:rPr>
              <w:t>Dates</w:t>
            </w:r>
          </w:p>
        </w:tc>
        <w:tc>
          <w:tcPr>
            <w:tcW w:w="2340" w:type="dxa"/>
            <w:shd w:val="clear" w:color="auto" w:fill="DAEEF3" w:themeFill="accent5" w:themeFillTint="33"/>
            <w:vAlign w:val="center"/>
          </w:tcPr>
          <w:p w14:paraId="5083F1D3" w14:textId="77777777" w:rsidR="00C57F64" w:rsidRDefault="00C57F64" w:rsidP="00C71097">
            <w:pPr>
              <w:spacing w:before="80" w:after="80"/>
              <w:jc w:val="center"/>
              <w:rPr>
                <w:rFonts w:ascii="Garamond" w:hAnsi="Garamond" w:cs="Arial"/>
                <w:b/>
              </w:rPr>
            </w:pPr>
            <w:r w:rsidRPr="0D7EE10C">
              <w:rPr>
                <w:rFonts w:ascii="Garamond" w:hAnsi="Garamond" w:cs="Arial"/>
                <w:b/>
              </w:rPr>
              <w:t>Acquisition Method</w:t>
            </w:r>
          </w:p>
        </w:tc>
      </w:tr>
      <w:tr w:rsidR="00C57F64" w14:paraId="17FF3B90" w14:textId="77777777" w:rsidTr="00C71097">
        <w:trPr>
          <w:trHeight w:val="300"/>
        </w:trPr>
        <w:tc>
          <w:tcPr>
            <w:tcW w:w="2340" w:type="dxa"/>
            <w:tcBorders>
              <w:left w:val="none" w:sz="4" w:space="0" w:color="000000" w:themeColor="text1"/>
            </w:tcBorders>
            <w:vAlign w:val="center"/>
          </w:tcPr>
          <w:p w14:paraId="05938DD1" w14:textId="77777777" w:rsidR="00C57F64" w:rsidRDefault="00C57F64" w:rsidP="00C71097">
            <w:pPr>
              <w:spacing w:before="60" w:after="60"/>
              <w:jc w:val="center"/>
              <w:rPr>
                <w:rFonts w:ascii="Garamond" w:hAnsi="Garamond" w:cs="Arial"/>
              </w:rPr>
            </w:pPr>
            <w:r w:rsidRPr="47BAFFBC">
              <w:rPr>
                <w:rFonts w:ascii="Garamond" w:hAnsi="Garamond" w:cs="Arial"/>
              </w:rPr>
              <w:t>2019 VCCCE* /</w:t>
            </w:r>
          </w:p>
          <w:p w14:paraId="08B445C0" w14:textId="77777777" w:rsidR="00C57F64" w:rsidRDefault="00C57F64" w:rsidP="00C71097">
            <w:pPr>
              <w:spacing w:before="60" w:after="60"/>
              <w:jc w:val="center"/>
              <w:rPr>
                <w:rFonts w:ascii="Garamond" w:hAnsi="Garamond" w:cs="Arial"/>
              </w:rPr>
            </w:pPr>
            <w:r w:rsidRPr="47BAFFBC">
              <w:rPr>
                <w:rFonts w:ascii="Garamond" w:hAnsi="Garamond" w:cs="Arial"/>
              </w:rPr>
              <w:t>L&amp;R WQS* /</w:t>
            </w:r>
          </w:p>
          <w:p w14:paraId="06E47A6B" w14:textId="77777777" w:rsidR="00C57F64" w:rsidRDefault="00C57F64" w:rsidP="00C71097">
            <w:pPr>
              <w:spacing w:before="60" w:after="60"/>
              <w:jc w:val="center"/>
              <w:rPr>
                <w:rFonts w:ascii="Garamond" w:hAnsi="Garamond" w:cs="Arial"/>
              </w:rPr>
            </w:pPr>
            <w:r w:rsidRPr="47BAFFBC">
              <w:rPr>
                <w:rFonts w:ascii="Garamond" w:hAnsi="Garamond" w:cs="Arial"/>
              </w:rPr>
              <w:t xml:space="preserve">HUC* </w:t>
            </w:r>
            <w:r w:rsidRPr="7E64A2B5">
              <w:rPr>
                <w:rFonts w:ascii="Garamond" w:hAnsi="Garamond" w:cs="Arial"/>
              </w:rPr>
              <w:t xml:space="preserve"> </w:t>
            </w:r>
          </w:p>
        </w:tc>
        <w:tc>
          <w:tcPr>
            <w:tcW w:w="2340" w:type="dxa"/>
            <w:vAlign w:val="center"/>
          </w:tcPr>
          <w:p w14:paraId="06392009" w14:textId="77777777" w:rsidR="00C57F64" w:rsidRDefault="00C57F64" w:rsidP="00C71097">
            <w:pPr>
              <w:spacing w:before="60" w:after="60"/>
              <w:jc w:val="center"/>
              <w:rPr>
                <w:rFonts w:ascii="Garamond" w:hAnsi="Garamond" w:cs="Arial"/>
              </w:rPr>
            </w:pPr>
            <w:r w:rsidRPr="47BAFFBC">
              <w:rPr>
                <w:rFonts w:ascii="Garamond" w:hAnsi="Garamond" w:cs="Arial"/>
              </w:rPr>
              <w:t>County Boundaries /</w:t>
            </w:r>
          </w:p>
          <w:p w14:paraId="588E9F7B" w14:textId="77777777" w:rsidR="00C57F64" w:rsidRDefault="00C57F64" w:rsidP="00C71097">
            <w:pPr>
              <w:spacing w:before="60" w:after="60"/>
              <w:jc w:val="center"/>
              <w:rPr>
                <w:rFonts w:ascii="Garamond" w:hAnsi="Garamond" w:cs="Arial"/>
              </w:rPr>
            </w:pPr>
            <w:r w:rsidRPr="47BAFFBC">
              <w:rPr>
                <w:rFonts w:ascii="Garamond" w:hAnsi="Garamond" w:cs="Arial"/>
              </w:rPr>
              <w:t xml:space="preserve"> Waterbodies /</w:t>
            </w:r>
          </w:p>
          <w:p w14:paraId="728923F2" w14:textId="77777777" w:rsidR="00C57F64" w:rsidRDefault="00C57F64" w:rsidP="00C71097">
            <w:pPr>
              <w:spacing w:before="60" w:after="60"/>
              <w:jc w:val="center"/>
              <w:rPr>
                <w:rFonts w:ascii="Garamond" w:hAnsi="Garamond" w:cs="Arial"/>
              </w:rPr>
            </w:pPr>
            <w:r w:rsidRPr="47BAFFBC">
              <w:rPr>
                <w:rFonts w:ascii="Garamond" w:hAnsi="Garamond" w:cs="Arial"/>
              </w:rPr>
              <w:t xml:space="preserve"> Watersheds  </w:t>
            </w:r>
          </w:p>
        </w:tc>
        <w:tc>
          <w:tcPr>
            <w:tcW w:w="2340" w:type="dxa"/>
            <w:vAlign w:val="center"/>
          </w:tcPr>
          <w:p w14:paraId="1234FB32" w14:textId="77777777" w:rsidR="00C57F64" w:rsidRDefault="00C57F64" w:rsidP="00C71097">
            <w:pPr>
              <w:spacing w:before="60" w:after="60"/>
              <w:jc w:val="center"/>
              <w:rPr>
                <w:rFonts w:ascii="Garamond" w:hAnsi="Garamond" w:cs="Arial"/>
              </w:rPr>
            </w:pPr>
            <w:r w:rsidRPr="47BAFFBC">
              <w:rPr>
                <w:rFonts w:ascii="Garamond" w:hAnsi="Garamond" w:cs="Arial"/>
              </w:rPr>
              <w:t>2019 /</w:t>
            </w:r>
          </w:p>
          <w:p w14:paraId="15955F72" w14:textId="77777777" w:rsidR="00C57F64" w:rsidRDefault="00C57F64" w:rsidP="00C71097">
            <w:pPr>
              <w:spacing w:before="60" w:after="60"/>
              <w:jc w:val="center"/>
              <w:rPr>
                <w:rFonts w:ascii="Garamond" w:hAnsi="Garamond" w:cs="Arial"/>
              </w:rPr>
            </w:pPr>
            <w:r w:rsidRPr="47BAFFBC">
              <w:rPr>
                <w:rFonts w:ascii="Garamond" w:hAnsi="Garamond" w:cs="Arial"/>
              </w:rPr>
              <w:t>2020 /</w:t>
            </w:r>
          </w:p>
          <w:p w14:paraId="1E7B4752" w14:textId="77777777" w:rsidR="00C57F64" w:rsidRDefault="00C57F64" w:rsidP="00C71097">
            <w:pPr>
              <w:spacing w:before="60" w:after="60"/>
              <w:jc w:val="center"/>
              <w:rPr>
                <w:rFonts w:ascii="Garamond" w:hAnsi="Garamond" w:cs="Arial"/>
              </w:rPr>
            </w:pPr>
            <w:r w:rsidRPr="47BAFFBC">
              <w:rPr>
                <w:rFonts w:ascii="Garamond" w:hAnsi="Garamond" w:cs="Arial"/>
              </w:rPr>
              <w:t xml:space="preserve">2020  </w:t>
            </w:r>
          </w:p>
        </w:tc>
        <w:tc>
          <w:tcPr>
            <w:tcW w:w="2340" w:type="dxa"/>
            <w:vAlign w:val="center"/>
          </w:tcPr>
          <w:p w14:paraId="7A6BE363"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Virginia Open Data Portal</w:t>
            </w:r>
          </w:p>
        </w:tc>
      </w:tr>
      <w:tr w:rsidR="00C57F64" w14:paraId="79BC8ECC" w14:textId="77777777" w:rsidTr="00C71097">
        <w:trPr>
          <w:trHeight w:val="300"/>
        </w:trPr>
        <w:tc>
          <w:tcPr>
            <w:tcW w:w="2340" w:type="dxa"/>
            <w:tcBorders>
              <w:left w:val="none" w:sz="4" w:space="0" w:color="000000" w:themeColor="text1"/>
            </w:tcBorders>
            <w:vAlign w:val="center"/>
          </w:tcPr>
          <w:p w14:paraId="359CBAAF" w14:textId="77777777" w:rsidR="00C57F64" w:rsidRDefault="00C57F64" w:rsidP="00C71097">
            <w:pPr>
              <w:spacing w:before="60" w:after="60"/>
              <w:jc w:val="center"/>
              <w:rPr>
                <w:rFonts w:ascii="Garamond" w:hAnsi="Garamond" w:cs="Arial"/>
              </w:rPr>
            </w:pPr>
            <w:r w:rsidRPr="7AB1D1CA">
              <w:rPr>
                <w:rFonts w:ascii="Garamond" w:hAnsi="Garamond" w:cs="Arial"/>
                <w:i/>
              </w:rPr>
              <w:t>In</w:t>
            </w:r>
            <w:r w:rsidRPr="3E84361D">
              <w:rPr>
                <w:rFonts w:ascii="Garamond" w:hAnsi="Garamond" w:cs="Arial"/>
                <w:i/>
                <w:iCs/>
              </w:rPr>
              <w:t xml:space="preserve"> </w:t>
            </w:r>
            <w:r w:rsidRPr="7AB1D1CA">
              <w:rPr>
                <w:rFonts w:ascii="Garamond" w:hAnsi="Garamond" w:cs="Arial"/>
                <w:i/>
              </w:rPr>
              <w:t>situ</w:t>
            </w:r>
            <w:r w:rsidRPr="47BAFFBC">
              <w:rPr>
                <w:rFonts w:ascii="Garamond" w:hAnsi="Garamond" w:cs="Arial"/>
              </w:rPr>
              <w:t xml:space="preserve"> Sampling   </w:t>
            </w:r>
          </w:p>
        </w:tc>
        <w:tc>
          <w:tcPr>
            <w:tcW w:w="2340" w:type="dxa"/>
            <w:vAlign w:val="center"/>
          </w:tcPr>
          <w:p w14:paraId="58B2AE54"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Chlorophyll-a, Phosphorus, Nitrogen</w:t>
            </w:r>
          </w:p>
        </w:tc>
        <w:tc>
          <w:tcPr>
            <w:tcW w:w="2340" w:type="dxa"/>
            <w:vAlign w:val="center"/>
          </w:tcPr>
          <w:p w14:paraId="59D6B5CA" w14:textId="72074A09"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2016</w:t>
            </w:r>
            <w:r w:rsidR="00D76F21">
              <w:rPr>
                <w:rFonts w:ascii="Garamond" w:eastAsia="Times New Roman" w:hAnsi="Garamond" w:cs="Arial"/>
              </w:rPr>
              <w:t>–</w:t>
            </w:r>
            <w:r w:rsidRPr="47BAFFBC">
              <w:rPr>
                <w:rFonts w:ascii="Garamond" w:eastAsia="Times New Roman" w:hAnsi="Garamond" w:cs="Arial"/>
              </w:rPr>
              <w:t>2022</w:t>
            </w:r>
          </w:p>
        </w:tc>
        <w:tc>
          <w:tcPr>
            <w:tcW w:w="2340" w:type="dxa"/>
            <w:vAlign w:val="center"/>
          </w:tcPr>
          <w:p w14:paraId="1D08E817"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Virginia DEQ</w:t>
            </w:r>
          </w:p>
        </w:tc>
      </w:tr>
      <w:tr w:rsidR="00C57F64" w14:paraId="2397AE70" w14:textId="77777777" w:rsidTr="00C71097">
        <w:trPr>
          <w:trHeight w:val="300"/>
        </w:trPr>
        <w:tc>
          <w:tcPr>
            <w:tcW w:w="2340" w:type="dxa"/>
            <w:tcBorders>
              <w:left w:val="none" w:sz="4" w:space="0" w:color="000000" w:themeColor="text1"/>
            </w:tcBorders>
            <w:vAlign w:val="center"/>
          </w:tcPr>
          <w:p w14:paraId="51BF1D26"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USDA Cropland Data Layer</w:t>
            </w:r>
          </w:p>
        </w:tc>
        <w:tc>
          <w:tcPr>
            <w:tcW w:w="2340" w:type="dxa"/>
            <w:vAlign w:val="center"/>
          </w:tcPr>
          <w:p w14:paraId="2BCE0A28" w14:textId="77777777"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Agricultural Land Use</w:t>
            </w:r>
          </w:p>
        </w:tc>
        <w:tc>
          <w:tcPr>
            <w:tcW w:w="2340" w:type="dxa"/>
            <w:vAlign w:val="center"/>
          </w:tcPr>
          <w:p w14:paraId="1A6861B9" w14:textId="645A9172" w:rsidR="00C57F64" w:rsidRDefault="00C57F64" w:rsidP="00C71097">
            <w:pPr>
              <w:spacing w:before="60" w:after="60"/>
              <w:jc w:val="center"/>
              <w:rPr>
                <w:rFonts w:ascii="Garamond" w:eastAsia="Times New Roman" w:hAnsi="Garamond" w:cs="Arial"/>
              </w:rPr>
            </w:pPr>
            <w:r w:rsidRPr="47BAFFBC">
              <w:rPr>
                <w:rFonts w:ascii="Garamond" w:eastAsia="Times New Roman" w:hAnsi="Garamond" w:cs="Arial"/>
              </w:rPr>
              <w:t>2016</w:t>
            </w:r>
            <w:r w:rsidR="00D76F21">
              <w:rPr>
                <w:rFonts w:ascii="Garamond" w:eastAsia="Times New Roman" w:hAnsi="Garamond" w:cs="Arial"/>
              </w:rPr>
              <w:t>–</w:t>
            </w:r>
            <w:r w:rsidRPr="47BAFFBC">
              <w:rPr>
                <w:rFonts w:ascii="Garamond" w:eastAsia="Times New Roman" w:hAnsi="Garamond" w:cs="Arial"/>
              </w:rPr>
              <w:t>2022</w:t>
            </w:r>
          </w:p>
        </w:tc>
        <w:tc>
          <w:tcPr>
            <w:tcW w:w="2340" w:type="dxa"/>
            <w:vAlign w:val="center"/>
          </w:tcPr>
          <w:p w14:paraId="3179AABC" w14:textId="77777777" w:rsidR="00C57F64" w:rsidRDefault="00C57F64" w:rsidP="00C71097">
            <w:pPr>
              <w:spacing w:before="60" w:after="60"/>
              <w:jc w:val="center"/>
              <w:rPr>
                <w:rFonts w:ascii="Garamond" w:eastAsia="Times New Roman" w:hAnsi="Garamond" w:cs="Arial"/>
              </w:rPr>
            </w:pPr>
            <w:r w:rsidRPr="033FC0A2">
              <w:rPr>
                <w:rFonts w:ascii="Garamond" w:eastAsia="Times New Roman" w:hAnsi="Garamond" w:cs="Arial"/>
              </w:rPr>
              <w:t>USDA CroplandCROS</w:t>
            </w:r>
          </w:p>
        </w:tc>
      </w:tr>
    </w:tbl>
    <w:p w14:paraId="0D0BC4C0" w14:textId="1DB3C1D2" w:rsidR="00C57F64" w:rsidRDefault="00C57F64" w:rsidP="00C57F64">
      <w:pPr>
        <w:spacing w:after="0" w:line="240" w:lineRule="auto"/>
        <w:rPr>
          <w:rFonts w:ascii="Garamond" w:eastAsia="Times New Roman" w:hAnsi="Garamond" w:cs="Arial"/>
          <w:sz w:val="20"/>
          <w:szCs w:val="20"/>
        </w:rPr>
      </w:pPr>
      <w:r w:rsidRPr="47BAFFBC">
        <w:rPr>
          <w:rFonts w:ascii="Garamond" w:eastAsia="Times New Roman" w:hAnsi="Garamond" w:cs="Arial"/>
          <w:sz w:val="20"/>
          <w:szCs w:val="20"/>
        </w:rPr>
        <w:t xml:space="preserve">* 2019 VCCCE </w:t>
      </w:r>
      <w:r w:rsidR="00D76F21">
        <w:rPr>
          <w:rFonts w:ascii="Garamond" w:eastAsia="Times New Roman" w:hAnsi="Garamond" w:cs="Arial"/>
          <w:sz w:val="20"/>
          <w:szCs w:val="20"/>
        </w:rPr>
        <w:t>–</w:t>
      </w:r>
      <w:r w:rsidRPr="47BAFFBC">
        <w:rPr>
          <w:rFonts w:ascii="Garamond" w:eastAsia="Times New Roman" w:hAnsi="Garamond" w:cs="Arial"/>
          <w:sz w:val="20"/>
          <w:szCs w:val="20"/>
        </w:rPr>
        <w:t xml:space="preserve"> 2019 Virginia Census Counties &amp; County Equivalents</w:t>
      </w:r>
    </w:p>
    <w:p w14:paraId="1787A6DC" w14:textId="77777777" w:rsidR="00C57F64" w:rsidRDefault="00C57F64" w:rsidP="00C57F64">
      <w:pPr>
        <w:spacing w:after="0" w:line="240" w:lineRule="auto"/>
        <w:rPr>
          <w:rFonts w:ascii="Garamond" w:eastAsia="Times New Roman" w:hAnsi="Garamond" w:cs="Arial"/>
          <w:sz w:val="20"/>
          <w:szCs w:val="20"/>
        </w:rPr>
      </w:pPr>
      <w:r w:rsidRPr="47BAFFBC">
        <w:rPr>
          <w:rFonts w:ascii="Garamond" w:eastAsia="Times New Roman" w:hAnsi="Garamond" w:cs="Arial"/>
          <w:sz w:val="20"/>
          <w:szCs w:val="20"/>
        </w:rPr>
        <w:t>* L&amp;R WQS – Lakes/Reservoirs WQS</w:t>
      </w:r>
    </w:p>
    <w:p w14:paraId="4A1906BC" w14:textId="10A9B070" w:rsidR="00C57F64" w:rsidRDefault="00C57F64" w:rsidP="00C57F64">
      <w:pPr>
        <w:spacing w:after="0" w:line="240" w:lineRule="auto"/>
        <w:rPr>
          <w:rFonts w:ascii="Garamond" w:eastAsia="Times New Roman" w:hAnsi="Garamond" w:cs="Arial"/>
          <w:sz w:val="20"/>
          <w:szCs w:val="20"/>
        </w:rPr>
      </w:pPr>
      <w:r w:rsidRPr="47BAFFBC">
        <w:rPr>
          <w:rFonts w:ascii="Garamond" w:eastAsia="Times New Roman" w:hAnsi="Garamond" w:cs="Arial"/>
          <w:sz w:val="20"/>
          <w:szCs w:val="20"/>
        </w:rPr>
        <w:t xml:space="preserve">* HUC </w:t>
      </w:r>
      <w:r w:rsidR="00D76F21">
        <w:rPr>
          <w:rFonts w:ascii="Garamond" w:eastAsia="Times New Roman" w:hAnsi="Garamond" w:cs="Arial"/>
          <w:sz w:val="20"/>
          <w:szCs w:val="20"/>
        </w:rPr>
        <w:t>–</w:t>
      </w:r>
      <w:r w:rsidRPr="47BAFFBC">
        <w:rPr>
          <w:rFonts w:ascii="Garamond" w:eastAsia="Times New Roman" w:hAnsi="Garamond" w:cs="Arial"/>
          <w:sz w:val="20"/>
          <w:szCs w:val="20"/>
        </w:rPr>
        <w:t xml:space="preserve"> 6th Order NWBD HUC 12 Watersheds</w:t>
      </w:r>
    </w:p>
    <w:p w14:paraId="3D2438B5" w14:textId="77777777" w:rsidR="00C57F64" w:rsidRDefault="00C57F64" w:rsidP="00C57F64">
      <w:pPr>
        <w:spacing w:after="0" w:line="240" w:lineRule="auto"/>
        <w:rPr>
          <w:rFonts w:ascii="Garamond" w:hAnsi="Garamond" w:cs="Arial"/>
        </w:rPr>
      </w:pPr>
    </w:p>
    <w:p w14:paraId="31A04C80" w14:textId="77777777" w:rsidR="00C57F64" w:rsidRPr="0066138C" w:rsidRDefault="00C57F64" w:rsidP="00C57F64">
      <w:pPr>
        <w:spacing w:after="0" w:line="240" w:lineRule="auto"/>
        <w:rPr>
          <w:rFonts w:ascii="Garamond" w:hAnsi="Garamond" w:cs="Arial"/>
          <w:b/>
          <w:bCs/>
          <w:i/>
          <w:iCs/>
        </w:rPr>
      </w:pPr>
      <w:r w:rsidRPr="69E78D4D">
        <w:rPr>
          <w:rFonts w:ascii="Garamond" w:hAnsi="Garamond" w:cs="Arial"/>
          <w:b/>
          <w:bCs/>
          <w:i/>
          <w:iCs/>
        </w:rPr>
        <w:t>3.2 Data Processing</w:t>
      </w:r>
    </w:p>
    <w:p w14:paraId="6DA38EAF" w14:textId="77777777" w:rsidR="00C57F64" w:rsidRDefault="00C57F64" w:rsidP="00C57F64">
      <w:pPr>
        <w:spacing w:after="0" w:line="240" w:lineRule="auto"/>
        <w:rPr>
          <w:rFonts w:ascii="Garamond" w:eastAsia="Garamond" w:hAnsi="Garamond" w:cs="Garamond"/>
          <w:i/>
          <w:iCs/>
        </w:rPr>
      </w:pPr>
      <w:r w:rsidRPr="63AF749C">
        <w:rPr>
          <w:rFonts w:ascii="Garamond" w:eastAsia="Garamond" w:hAnsi="Garamond" w:cs="Garamond"/>
          <w:i/>
          <w:iCs/>
        </w:rPr>
        <w:t>3.2.1 Cyanobacteria</w:t>
      </w:r>
    </w:p>
    <w:p w14:paraId="36A5B4A7" w14:textId="402FA181" w:rsidR="00C57F64" w:rsidRDefault="00C57F64" w:rsidP="00C57F64">
      <w:pPr>
        <w:widowControl w:val="0"/>
        <w:spacing w:after="0" w:line="240" w:lineRule="auto"/>
        <w:rPr>
          <w:rFonts w:ascii="Garamond" w:eastAsia="Garamond" w:hAnsi="Garamond" w:cs="Garamond"/>
        </w:rPr>
      </w:pPr>
      <w:r w:rsidRPr="3E84361D">
        <w:rPr>
          <w:rFonts w:ascii="Garamond" w:eastAsia="Garamond" w:hAnsi="Garamond" w:cs="Garamond"/>
        </w:rPr>
        <w:t xml:space="preserve">The images we </w:t>
      </w:r>
      <w:r w:rsidRPr="5150B811">
        <w:rPr>
          <w:rFonts w:ascii="Garamond" w:eastAsia="Garamond" w:hAnsi="Garamond" w:cs="Garamond"/>
        </w:rPr>
        <w:t xml:space="preserve">used for </w:t>
      </w:r>
      <w:r w:rsidRPr="5AD089C2">
        <w:rPr>
          <w:rFonts w:ascii="Garamond" w:eastAsia="Garamond" w:hAnsi="Garamond" w:cs="Garamond"/>
        </w:rPr>
        <w:t>cyanobacteria monitoring</w:t>
      </w:r>
      <w:r w:rsidRPr="5150B811">
        <w:rPr>
          <w:rFonts w:ascii="Garamond" w:eastAsia="Garamond" w:hAnsi="Garamond" w:cs="Garamond"/>
        </w:rPr>
        <w:t xml:space="preserve"> from Sentinel-3 OLCI, Level-2 Water Full Resolution </w:t>
      </w:r>
      <w:r>
        <w:rPr>
          <w:rFonts w:ascii="Garamond" w:eastAsia="Garamond" w:hAnsi="Garamond" w:cs="Garamond"/>
        </w:rPr>
        <w:t xml:space="preserve">(WFR) </w:t>
      </w:r>
      <w:r w:rsidRPr="5150B811">
        <w:rPr>
          <w:rFonts w:ascii="Garamond" w:eastAsia="Garamond" w:hAnsi="Garamond" w:cs="Garamond"/>
        </w:rPr>
        <w:t xml:space="preserve">collection and </w:t>
      </w:r>
      <w:r>
        <w:rPr>
          <w:rFonts w:ascii="Garamond" w:eastAsia="Garamond" w:hAnsi="Garamond" w:cs="Garamond"/>
        </w:rPr>
        <w:t>V</w:t>
      </w:r>
      <w:r w:rsidRPr="5150B811">
        <w:rPr>
          <w:rFonts w:ascii="Garamond" w:eastAsia="Garamond" w:hAnsi="Garamond" w:cs="Garamond"/>
        </w:rPr>
        <w:t>ersion BC003 reprocessed collection</w:t>
      </w:r>
      <w:r>
        <w:rPr>
          <w:rFonts w:ascii="Garamond" w:eastAsia="Garamond" w:hAnsi="Garamond" w:cs="Garamond"/>
        </w:rPr>
        <w:t>,</w:t>
      </w:r>
      <w:r w:rsidRPr="5150B811">
        <w:rPr>
          <w:rFonts w:ascii="Garamond" w:eastAsia="Garamond" w:hAnsi="Garamond" w:cs="Garamond"/>
        </w:rPr>
        <w:t xml:space="preserve"> had undergone significant third-party pre-processing </w:t>
      </w:r>
      <w:r w:rsidRPr="3E84361D">
        <w:rPr>
          <w:rFonts w:ascii="Garamond" w:eastAsia="Garamond" w:hAnsi="Garamond" w:cs="Garamond"/>
        </w:rPr>
        <w:t xml:space="preserve">by </w:t>
      </w:r>
      <w:r w:rsidRPr="5AD089C2">
        <w:rPr>
          <w:rFonts w:ascii="Garamond" w:eastAsia="Garamond" w:hAnsi="Garamond" w:cs="Garamond"/>
        </w:rPr>
        <w:t xml:space="preserve">EUMETSAT </w:t>
      </w:r>
      <w:r w:rsidRPr="5150B811">
        <w:rPr>
          <w:rFonts w:ascii="Garamond" w:eastAsia="Garamond" w:hAnsi="Garamond" w:cs="Garamond"/>
        </w:rPr>
        <w:t xml:space="preserve">prior to acquisition for this project. As a Level-2 dataset, band data within the images we retrieved had already been converted from their initial radiance values to those of water-leaving reflectance, </w:t>
      </w:r>
      <w:r w:rsidRPr="3E84361D">
        <w:rPr>
          <w:rFonts w:ascii="Garamond" w:eastAsia="Garamond" w:hAnsi="Garamond" w:cs="Garamond"/>
        </w:rPr>
        <w:t>which</w:t>
      </w:r>
      <w:r w:rsidRPr="5150B811">
        <w:rPr>
          <w:rFonts w:ascii="Garamond" w:eastAsia="Garamond" w:hAnsi="Garamond" w:cs="Garamond"/>
        </w:rPr>
        <w:t xml:space="preserve"> had been corrected for atmospheric and sun specular interference (ESA, 2023). </w:t>
      </w:r>
      <w:r w:rsidRPr="5AD089C2">
        <w:rPr>
          <w:rFonts w:ascii="Garamond" w:eastAsia="Garamond" w:hAnsi="Garamond" w:cs="Garamond"/>
        </w:rPr>
        <w:t>We</w:t>
      </w:r>
      <w:r w:rsidRPr="3E84361D">
        <w:rPr>
          <w:rFonts w:ascii="Garamond" w:eastAsia="Garamond" w:hAnsi="Garamond" w:cs="Garamond"/>
        </w:rPr>
        <w:t xml:space="preserve"> </w:t>
      </w:r>
      <w:r w:rsidRPr="5150B811">
        <w:rPr>
          <w:rFonts w:ascii="Garamond" w:eastAsia="Garamond" w:hAnsi="Garamond" w:cs="Garamond"/>
        </w:rPr>
        <w:t xml:space="preserve">further processed </w:t>
      </w:r>
      <w:r w:rsidRPr="3E84361D">
        <w:rPr>
          <w:rFonts w:ascii="Garamond" w:eastAsia="Garamond" w:hAnsi="Garamond" w:cs="Garamond"/>
        </w:rPr>
        <w:t xml:space="preserve">these files </w:t>
      </w:r>
      <w:r w:rsidRPr="5150B811">
        <w:rPr>
          <w:rFonts w:ascii="Garamond" w:eastAsia="Garamond" w:hAnsi="Garamond" w:cs="Garamond"/>
        </w:rPr>
        <w:t>in the Sentinel Application Platform (SNAP</w:t>
      </w:r>
      <w:r w:rsidR="005A1E4D">
        <w:rPr>
          <w:rFonts w:ascii="Garamond" w:eastAsia="Garamond" w:hAnsi="Garamond" w:cs="Garamond"/>
        </w:rPr>
        <w:t xml:space="preserve">; </w:t>
      </w:r>
      <w:r w:rsidRPr="3E84361D">
        <w:rPr>
          <w:rFonts w:ascii="Garamond" w:eastAsia="Garamond" w:hAnsi="Garamond" w:cs="Garamond"/>
        </w:rPr>
        <w:t>version 9.0.0</w:t>
      </w:r>
      <w:r w:rsidRPr="5150B811">
        <w:rPr>
          <w:rFonts w:ascii="Garamond" w:eastAsia="Garamond" w:hAnsi="Garamond" w:cs="Garamond"/>
        </w:rPr>
        <w:t xml:space="preserve">), a software package developed by ESA for the purpose of Earth </w:t>
      </w:r>
      <w:r w:rsidRPr="5AD089C2">
        <w:rPr>
          <w:rFonts w:ascii="Garamond" w:eastAsia="Garamond" w:hAnsi="Garamond" w:cs="Garamond"/>
        </w:rPr>
        <w:t>observation</w:t>
      </w:r>
      <w:r w:rsidRPr="5150B811">
        <w:rPr>
          <w:rFonts w:ascii="Garamond" w:eastAsia="Garamond" w:hAnsi="Garamond" w:cs="Garamond"/>
        </w:rPr>
        <w:t xml:space="preserve"> processing and analysis. Within SNAP, we spatially and spectrally subset images to reduce their resulting file size, with the final image containing reflectance bands 7, 8, and 10.</w:t>
      </w:r>
    </w:p>
    <w:p w14:paraId="0E1045DC" w14:textId="77777777" w:rsidR="00C57F64" w:rsidRDefault="00C57F64" w:rsidP="00C57F64">
      <w:pPr>
        <w:widowControl w:val="0"/>
        <w:spacing w:after="0" w:line="240" w:lineRule="auto"/>
        <w:rPr>
          <w:rFonts w:ascii="Garamond" w:eastAsia="Garamond" w:hAnsi="Garamond" w:cs="Garamond"/>
        </w:rPr>
      </w:pPr>
    </w:p>
    <w:p w14:paraId="2154BE93" w14:textId="7E53A568" w:rsidR="00C57F64" w:rsidRDefault="00C57F64" w:rsidP="00C57F64">
      <w:pPr>
        <w:widowControl w:val="0"/>
        <w:spacing w:after="0" w:line="240" w:lineRule="auto"/>
        <w:rPr>
          <w:rFonts w:ascii="Garamond" w:eastAsia="Garamond" w:hAnsi="Garamond" w:cs="Garamond"/>
        </w:rPr>
      </w:pPr>
      <w:r w:rsidRPr="5150B811">
        <w:rPr>
          <w:rFonts w:ascii="Garamond" w:eastAsia="Garamond" w:hAnsi="Garamond" w:cs="Garamond"/>
        </w:rPr>
        <w:t>Upon importing processed Sentinel-3 OLCI WFR images from SNAP into GEE, we merged the selected images into monthly groupings (July – October</w:t>
      </w:r>
      <w:r w:rsidRPr="1D1D1DC1">
        <w:rPr>
          <w:rFonts w:ascii="Garamond" w:eastAsia="Garamond" w:hAnsi="Garamond" w:cs="Garamond"/>
        </w:rPr>
        <w:t>). Our team then</w:t>
      </w:r>
      <w:r w:rsidRPr="5150B811">
        <w:rPr>
          <w:rFonts w:ascii="Garamond" w:eastAsia="Garamond" w:hAnsi="Garamond" w:cs="Garamond"/>
        </w:rPr>
        <w:t xml:space="preserve"> aggregated these image collections using a 95</w:t>
      </w:r>
      <w:r w:rsidRPr="5150B811">
        <w:rPr>
          <w:rFonts w:ascii="Garamond" w:eastAsia="Garamond" w:hAnsi="Garamond" w:cs="Garamond"/>
          <w:vertAlign w:val="superscript"/>
        </w:rPr>
        <w:t>th</w:t>
      </w:r>
      <w:r w:rsidRPr="5150B811">
        <w:rPr>
          <w:rFonts w:ascii="Garamond" w:eastAsia="Garamond" w:hAnsi="Garamond" w:cs="Garamond"/>
        </w:rPr>
        <w:t xml:space="preserve"> percentile reducer to produce a monthly composite image. </w:t>
      </w:r>
      <w:r w:rsidRPr="0D2E96B7">
        <w:rPr>
          <w:rFonts w:ascii="Garamond" w:eastAsia="Garamond" w:hAnsi="Garamond" w:cs="Garamond"/>
        </w:rPr>
        <w:t xml:space="preserve">Our </w:t>
      </w:r>
      <w:r w:rsidRPr="678C364F">
        <w:rPr>
          <w:rFonts w:ascii="Garamond" w:eastAsia="Garamond" w:hAnsi="Garamond" w:cs="Garamond"/>
        </w:rPr>
        <w:t>members</w:t>
      </w:r>
      <w:r w:rsidRPr="0D2E96B7">
        <w:rPr>
          <w:rFonts w:ascii="Garamond" w:eastAsia="Garamond" w:hAnsi="Garamond" w:cs="Garamond"/>
        </w:rPr>
        <w:t xml:space="preserve"> processed each reduced monthly composite image, through the CIcyano algorithm as described by Lunetta et al. </w:t>
      </w:r>
      <w:r>
        <w:rPr>
          <w:rFonts w:ascii="Garamond" w:eastAsia="Garamond" w:hAnsi="Garamond" w:cs="Garamond"/>
        </w:rPr>
        <w:t>(</w:t>
      </w:r>
      <w:r w:rsidRPr="0D2E96B7">
        <w:rPr>
          <w:rFonts w:ascii="Garamond" w:eastAsia="Garamond" w:hAnsi="Garamond" w:cs="Garamond"/>
        </w:rPr>
        <w:t>2015). Within this equation, the Rayleigh-corrected reflectance (R) values of Sentinel-3 bands 7,</w:t>
      </w:r>
      <w:r w:rsidR="00211EC0">
        <w:rPr>
          <w:rFonts w:ascii="Garamond" w:eastAsia="Garamond" w:hAnsi="Garamond" w:cs="Garamond"/>
        </w:rPr>
        <w:t xml:space="preserve"> </w:t>
      </w:r>
      <w:r w:rsidRPr="0D2E96B7">
        <w:rPr>
          <w:rFonts w:ascii="Garamond" w:eastAsia="Garamond" w:hAnsi="Garamond" w:cs="Garamond"/>
        </w:rPr>
        <w:t>8, and 10 (centered at 620nm, 665nm, and 681nm respectively) were manipulated in a manner that produces an output conditioned to detect spectral signatures synonymous with the absorption peak of phycocyanin.</w:t>
      </w:r>
      <w:r w:rsidRPr="253D9E59">
        <w:rPr>
          <w:rFonts w:ascii="Garamond" w:eastAsia="Garamond" w:hAnsi="Garamond" w:cs="Garamond"/>
        </w:rPr>
        <w:t xml:space="preserve"> </w:t>
      </w:r>
    </w:p>
    <w:p w14:paraId="4B1FC2FA" w14:textId="77777777" w:rsidR="00C57F64" w:rsidRDefault="00C57F64" w:rsidP="00C57F64">
      <w:pPr>
        <w:widowControl w:val="0"/>
        <w:spacing w:after="0" w:line="240" w:lineRule="auto"/>
        <w:rPr>
          <w:rFonts w:ascii="Garamond" w:hAnsi="Garamond" w:cs="Arial"/>
        </w:rPr>
      </w:pPr>
    </w:p>
    <w:p w14:paraId="1C87C5CB" w14:textId="77777777" w:rsidR="00C57F64" w:rsidRDefault="00C57F64" w:rsidP="00C57F64">
      <w:pPr>
        <w:widowControl w:val="0"/>
        <w:spacing w:after="0" w:line="240" w:lineRule="auto"/>
        <w:rPr>
          <w:rFonts w:ascii="Garamond" w:hAnsi="Garamond" w:cs="Arial"/>
        </w:rPr>
      </w:pPr>
      <w:r w:rsidRPr="5AD089C2">
        <w:rPr>
          <w:rFonts w:ascii="Garamond" w:hAnsi="Garamond" w:cs="Arial"/>
        </w:rPr>
        <w:t>With these readings, we then differentiated between areas of cyanobacterial presence and advisory level conditions based on the (CIcyano &gt; 0.0001) detection threshold as described by Schaeffer et al., 2022 and (</w:t>
      </w:r>
      <w:proofErr w:type="spellStart"/>
      <w:r w:rsidRPr="5AD089C2">
        <w:rPr>
          <w:rFonts w:ascii="Garamond" w:hAnsi="Garamond" w:cs="Arial"/>
        </w:rPr>
        <w:t>CIcyano</w:t>
      </w:r>
      <w:proofErr w:type="spellEnd"/>
      <w:r w:rsidRPr="5AD089C2">
        <w:rPr>
          <w:rFonts w:ascii="Garamond" w:hAnsi="Garamond" w:cs="Arial"/>
        </w:rPr>
        <w:t xml:space="preserve"> &gt; 0.001) representing approximately 100,000 potentially toxigenic (PTOX) cyanobacteria cells/mL as well as the state regulated swimming advisory threshold (VDH, 2021). We processed resulting outputs through a 300m inward buffer from the shoreline of Lake Anna to avoid any land-based contamination associated with Sentinel-3's 300x300m spatial resolution. Considering these contamination constraints, the team decided to only include whole pixels found within the 300m buffer for the final analysis. We then exported the refined rasters into ArcGIS Pro, where a series of final adjustments were made. We converted cell values to integers and reprojected the layers to WGS 1984 </w:t>
      </w:r>
      <w:r>
        <w:rPr>
          <w:rFonts w:ascii="Garamond" w:hAnsi="Garamond" w:cs="Arial"/>
        </w:rPr>
        <w:t>Universal Transverse Mercator (</w:t>
      </w:r>
      <w:r w:rsidRPr="5AD089C2">
        <w:rPr>
          <w:rFonts w:ascii="Garamond" w:hAnsi="Garamond" w:cs="Arial"/>
        </w:rPr>
        <w:t>UTM</w:t>
      </w:r>
      <w:r>
        <w:rPr>
          <w:rFonts w:ascii="Garamond" w:hAnsi="Garamond" w:cs="Arial"/>
        </w:rPr>
        <w:t>)</w:t>
      </w:r>
      <w:r w:rsidRPr="5AD089C2">
        <w:rPr>
          <w:rFonts w:ascii="Garamond" w:hAnsi="Garamond" w:cs="Arial"/>
        </w:rPr>
        <w:t xml:space="preserve"> Zone 18N to ensure proper display and aid in area calculation, thus transforming area unit data from degrees to meters. Following this step, we then performed a raster to polygon conversion while retaining multi-part features. Our members separately processed the data associated with areas (</w:t>
      </w:r>
      <w:r w:rsidRPr="5AD089C2">
        <w:rPr>
          <w:rFonts w:ascii="Garamond" w:eastAsia="Garamond" w:hAnsi="Garamond" w:cs="Garamond"/>
        </w:rPr>
        <w:t>km</w:t>
      </w:r>
      <w:r w:rsidRPr="5AD089C2">
        <w:rPr>
          <w:rFonts w:ascii="Garamond" w:eastAsia="Garamond" w:hAnsi="Garamond" w:cs="Garamond"/>
          <w:vertAlign w:val="superscript"/>
        </w:rPr>
        <w:t>2</w:t>
      </w:r>
      <w:r w:rsidRPr="5AD089C2">
        <w:rPr>
          <w:rFonts w:ascii="Garamond" w:hAnsi="Garamond" w:cs="Arial"/>
        </w:rPr>
        <w:t>) of CIcyano values greater than 0.001 and the total area in which cyanobacteria concentrations were detected by utilizing the select by attributes tool to manually separate and export these desired range of values.</w:t>
      </w:r>
    </w:p>
    <w:p w14:paraId="1FBBAF7A" w14:textId="77777777" w:rsidR="00C57F64" w:rsidRDefault="00C57F64" w:rsidP="00C57F64">
      <w:pPr>
        <w:widowControl w:val="0"/>
        <w:spacing w:after="0" w:line="240" w:lineRule="auto"/>
        <w:rPr>
          <w:rFonts w:ascii="Garamond" w:hAnsi="Garamond" w:cs="Arial"/>
        </w:rPr>
      </w:pPr>
    </w:p>
    <w:p w14:paraId="7E478DAB" w14:textId="77777777" w:rsidR="00C57F64" w:rsidRDefault="00C57F64" w:rsidP="00C57F64">
      <w:pPr>
        <w:widowControl w:val="0"/>
        <w:spacing w:after="0" w:line="240" w:lineRule="auto"/>
        <w:rPr>
          <w:rFonts w:ascii="Garamond" w:eastAsia="Garamond" w:hAnsi="Garamond" w:cs="Garamond"/>
          <w:i/>
          <w:iCs/>
        </w:rPr>
      </w:pPr>
      <w:r w:rsidRPr="5AD089C2">
        <w:rPr>
          <w:rFonts w:ascii="Garamond" w:eastAsia="Garamond" w:hAnsi="Garamond" w:cs="Garamond"/>
          <w:i/>
          <w:iCs/>
        </w:rPr>
        <w:t>3.2.2 Chlorophyll-a</w:t>
      </w:r>
    </w:p>
    <w:p w14:paraId="1A12DBB9" w14:textId="2651DE9F" w:rsidR="00C57F64" w:rsidRDefault="00C57F64" w:rsidP="00C57F64">
      <w:pPr>
        <w:widowControl w:val="0"/>
        <w:spacing w:after="0" w:line="240" w:lineRule="auto"/>
        <w:rPr>
          <w:rFonts w:ascii="Garamond" w:eastAsia="Garamond" w:hAnsi="Garamond" w:cs="Garamond"/>
        </w:rPr>
      </w:pPr>
      <w:r w:rsidRPr="5AD089C2">
        <w:rPr>
          <w:rFonts w:ascii="Garamond" w:eastAsia="Garamond" w:hAnsi="Garamond" w:cs="Garamond"/>
        </w:rPr>
        <w:t xml:space="preserve">We used Sentinel-2 MSI, Level 2A to conduct </w:t>
      </w:r>
      <w:r>
        <w:rPr>
          <w:rFonts w:ascii="Garamond" w:eastAsia="Garamond" w:hAnsi="Garamond" w:cs="Garamond"/>
        </w:rPr>
        <w:t>a chlorophyll-a</w:t>
      </w:r>
      <w:r w:rsidRPr="5AD089C2">
        <w:rPr>
          <w:rFonts w:ascii="Garamond" w:eastAsia="Garamond" w:hAnsi="Garamond" w:cs="Garamond"/>
        </w:rPr>
        <w:t xml:space="preserve"> analysis o</w:t>
      </w:r>
      <w:r>
        <w:rPr>
          <w:rFonts w:ascii="Garamond" w:eastAsia="Garamond" w:hAnsi="Garamond" w:cs="Garamond"/>
        </w:rPr>
        <w:t>f</w:t>
      </w:r>
      <w:r w:rsidRPr="5AD089C2">
        <w:rPr>
          <w:rFonts w:ascii="Garamond" w:eastAsia="Garamond" w:hAnsi="Garamond" w:cs="Garamond"/>
        </w:rPr>
        <w:t xml:space="preserve"> Lake Anna</w:t>
      </w:r>
      <w:r>
        <w:rPr>
          <w:rFonts w:ascii="Garamond" w:eastAsia="Garamond" w:hAnsi="Garamond" w:cs="Garamond"/>
        </w:rPr>
        <w:t xml:space="preserve"> using NDCI (Equation 1)</w:t>
      </w:r>
      <w:r w:rsidRPr="5AD089C2">
        <w:rPr>
          <w:rFonts w:ascii="Garamond" w:eastAsia="Garamond" w:hAnsi="Garamond" w:cs="Garamond"/>
        </w:rPr>
        <w:t>.</w:t>
      </w:r>
      <w:r>
        <w:rPr>
          <w:rFonts w:ascii="Garamond" w:eastAsia="Garamond" w:hAnsi="Garamond" w:cs="Garamond"/>
        </w:rPr>
        <w:t xml:space="preserve"> B</w:t>
      </w:r>
      <w:r w:rsidRPr="5AD089C2">
        <w:rPr>
          <w:rFonts w:ascii="Garamond" w:eastAsia="Garamond" w:hAnsi="Garamond" w:cs="Garamond"/>
        </w:rPr>
        <w:t xml:space="preserve">efore we ran this index, our team applied a series of masks in GEE on top of the image collection. First, we applied a cloud mask to improve the quality and clarity of the satellite images by removing pixels impacted by clouds. This was done by using Sentinel-2 MSI metadata property called Cloud Pixel Percentage to keep pixels that contain less than one percent cloud coverage. Lastly, we applied a water index on the images to enhance open water presence. After our team processed the Sentinel-2 MSI image collection, we ran the NDCI by pulling the Red Edge 1 and Red spectral bands from the satellite images and inserted in the formula provided by NASA </w:t>
      </w:r>
      <w:r w:rsidRPr="7E64A2B5">
        <w:rPr>
          <w:rFonts w:ascii="Garamond" w:eastAsia="Garamond" w:hAnsi="Garamond" w:cs="Garamond"/>
        </w:rPr>
        <w:t>2000,</w:t>
      </w:r>
      <w:r w:rsidRPr="5AD089C2">
        <w:rPr>
          <w:rFonts w:ascii="Garamond" w:eastAsia="Garamond" w:hAnsi="Garamond" w:cs="Garamond"/>
        </w:rPr>
        <w:t xml:space="preserve"> as shown below. These bands were used to identify chlorophyll-a concentrations throughout Lake Anna’s parameters. After the NDCI was run, our team merged each recreation season into one dataset.</w:t>
      </w:r>
    </w:p>
    <w:p w14:paraId="608412C2" w14:textId="77777777" w:rsidR="00C57F64" w:rsidRDefault="00C57F64" w:rsidP="00C57F64">
      <w:pPr>
        <w:widowControl w:val="0"/>
        <w:spacing w:after="0" w:line="240" w:lineRule="auto"/>
        <w:rPr>
          <w:rFonts w:ascii="Garamond" w:eastAsia="Garamond" w:hAnsi="Garamond" w:cs="Garamond"/>
        </w:rPr>
      </w:pPr>
    </w:p>
    <w:p w14:paraId="45D0926A" w14:textId="77777777" w:rsidR="00C57F64" w:rsidRDefault="00C57F64" w:rsidP="00C57F64">
      <w:pPr>
        <w:widowControl w:val="0"/>
        <w:spacing w:after="0" w:line="240" w:lineRule="auto"/>
        <w:ind w:left="2880" w:firstLine="720"/>
        <w:rPr>
          <w:rFonts w:ascii="Garamond" w:eastAsia="Garamond" w:hAnsi="Garamond" w:cs="Garamond"/>
        </w:rPr>
      </w:pPr>
      <m:oMath>
        <m:r>
          <w:rPr>
            <w:rFonts w:ascii="Cambria Math" w:eastAsia="Garamond" w:hAnsi="Cambria Math" w:cs="Garamond"/>
          </w:rPr>
          <m:t>NDCI=</m:t>
        </m:r>
        <m:f>
          <m:fPr>
            <m:ctrlPr>
              <w:rPr>
                <w:rFonts w:ascii="Cambria Math" w:eastAsia="Garamond" w:hAnsi="Cambria Math" w:cs="Garamond"/>
                <w:i/>
              </w:rPr>
            </m:ctrlPr>
          </m:fPr>
          <m:num>
            <m:d>
              <m:dPr>
                <m:ctrlPr>
                  <w:rPr>
                    <w:rFonts w:ascii="Cambria Math" w:eastAsia="Garamond" w:hAnsi="Cambria Math" w:cs="Garamond"/>
                    <w:i/>
                  </w:rPr>
                </m:ctrlPr>
              </m:dPr>
              <m:e>
                <m:r>
                  <w:rPr>
                    <w:rFonts w:ascii="Cambria Math" w:eastAsia="Garamond" w:hAnsi="Cambria Math" w:cs="Garamond"/>
                  </w:rPr>
                  <m:t>Red Edge 1 - Red</m:t>
                </m:r>
              </m:e>
            </m:d>
          </m:num>
          <m:den>
            <m:r>
              <w:rPr>
                <w:rFonts w:ascii="Cambria Math" w:eastAsia="Garamond" w:hAnsi="Cambria Math" w:cs="Garamond"/>
              </w:rPr>
              <m:t>(Red Edge 1 + Red)</m:t>
            </m:r>
          </m:den>
        </m:f>
      </m:oMath>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(1</w:t>
      </w:r>
      <w:r w:rsidRPr="5AD089C2">
        <w:rPr>
          <w:rFonts w:ascii="Garamond" w:eastAsia="Garamond" w:hAnsi="Garamond" w:cs="Garamond"/>
        </w:rPr>
        <w:t>)</w:t>
      </w:r>
    </w:p>
    <w:p w14:paraId="6D8DC299" w14:textId="77777777" w:rsidR="00C57F64" w:rsidRDefault="00C57F64" w:rsidP="00C57F64">
      <w:pPr>
        <w:widowControl w:val="0"/>
        <w:spacing w:after="0" w:line="240" w:lineRule="auto"/>
        <w:rPr>
          <w:rFonts w:ascii="Garamond" w:eastAsia="Garamond" w:hAnsi="Garamond" w:cs="Garamond"/>
        </w:rPr>
      </w:pPr>
    </w:p>
    <w:p w14:paraId="726F5C78" w14:textId="77777777" w:rsidR="00C57F64" w:rsidRDefault="00C57F64" w:rsidP="00C57F64">
      <w:pPr>
        <w:widowControl w:val="0"/>
        <w:spacing w:after="0" w:line="240" w:lineRule="auto"/>
        <w:rPr>
          <w:rFonts w:ascii="Garamond" w:eastAsia="Garamond" w:hAnsi="Garamond" w:cs="Garamond"/>
        </w:rPr>
      </w:pPr>
      <w:r w:rsidRPr="20B9F020">
        <w:rPr>
          <w:rFonts w:ascii="Garamond" w:eastAsia="Garamond" w:hAnsi="Garamond" w:cs="Garamond"/>
          <w:i/>
          <w:iCs/>
        </w:rPr>
        <w:t>3.2.3 Turbidity</w:t>
      </w:r>
    </w:p>
    <w:p w14:paraId="353B4F38" w14:textId="77777777" w:rsidR="00C57F64" w:rsidRDefault="00C57F64" w:rsidP="00C57F64">
      <w:pPr>
        <w:widowControl w:val="0"/>
        <w:spacing w:after="0" w:line="240" w:lineRule="auto"/>
        <w:rPr>
          <w:rFonts w:ascii="Garamond" w:eastAsia="Garamond" w:hAnsi="Garamond" w:cs="Garamond"/>
        </w:rPr>
      </w:pPr>
      <w:r w:rsidRPr="5AD089C2">
        <w:rPr>
          <w:rFonts w:ascii="Garamond" w:eastAsia="Garamond" w:hAnsi="Garamond" w:cs="Garamond"/>
        </w:rPr>
        <w:t>Sentinel-2, Level 2A</w:t>
      </w:r>
      <w:r>
        <w:rPr>
          <w:rFonts w:ascii="Garamond" w:eastAsia="Garamond" w:hAnsi="Garamond" w:cs="Garamond"/>
        </w:rPr>
        <w:t xml:space="preserve"> data were</w:t>
      </w:r>
      <w:r w:rsidRPr="5AD089C2">
        <w:rPr>
          <w:rFonts w:ascii="Garamond" w:eastAsia="Garamond" w:hAnsi="Garamond" w:cs="Garamond"/>
        </w:rPr>
        <w:t xml:space="preserve"> also used to calculate turbidity in Lake Anna</w:t>
      </w:r>
      <w:r>
        <w:rPr>
          <w:rFonts w:ascii="Garamond" w:eastAsia="Garamond" w:hAnsi="Garamond" w:cs="Garamond"/>
        </w:rPr>
        <w:t xml:space="preserve"> via NDTI (Equation 2)</w:t>
      </w:r>
      <w:r w:rsidRPr="5AD089C2">
        <w:rPr>
          <w:rFonts w:ascii="Garamond" w:eastAsia="Garamond" w:hAnsi="Garamond" w:cs="Garamond"/>
        </w:rPr>
        <w:t>. Turbidity demonstrates areas with potential algal blooms since algal blooms cause higher turbidity in water. To run the NDTI analysis, the same formula used to calculate the NDCI was used to calculate the turbidity levels. However, we pulled Green and Red spectral reflectance bands from the satellite images to measure the turbidity levels. Once the index was run, we merged each of the recreation seasons data layers in GEE to compose one dataset.</w:t>
      </w:r>
    </w:p>
    <w:p w14:paraId="3F5AF947" w14:textId="77777777" w:rsidR="00C57F64" w:rsidRDefault="00C57F64" w:rsidP="00C57F64">
      <w:pPr>
        <w:widowControl w:val="0"/>
        <w:spacing w:after="0" w:line="240" w:lineRule="auto"/>
        <w:rPr>
          <w:rFonts w:ascii="Garamond" w:eastAsia="Garamond" w:hAnsi="Garamond" w:cs="Garamond"/>
        </w:rPr>
      </w:pPr>
    </w:p>
    <w:p w14:paraId="2019DBC8" w14:textId="77777777" w:rsidR="00C57F64" w:rsidRDefault="00C57F64" w:rsidP="00C57F64">
      <w:pPr>
        <w:widowControl w:val="0"/>
        <w:spacing w:after="0" w:line="240" w:lineRule="auto"/>
        <w:ind w:left="3600"/>
        <w:rPr>
          <w:rFonts w:ascii="Garamond" w:eastAsia="Garamond" w:hAnsi="Garamond" w:cs="Garamond"/>
        </w:rPr>
      </w:pPr>
      <m:oMath>
        <m:r>
          <w:rPr>
            <w:rFonts w:ascii="Cambria Math" w:eastAsia="Garamond" w:hAnsi="Cambria Math" w:cs="Garamond"/>
          </w:rPr>
          <m:t>NDTI=</m:t>
        </m:r>
        <m:f>
          <m:fPr>
            <m:ctrlPr>
              <w:rPr>
                <w:rFonts w:ascii="Cambria Math" w:eastAsia="Garamond" w:hAnsi="Cambria Math" w:cs="Garamond"/>
                <w:i/>
              </w:rPr>
            </m:ctrlPr>
          </m:fPr>
          <m:num>
            <m:d>
              <m:dPr>
                <m:ctrlPr>
                  <w:rPr>
                    <w:rFonts w:ascii="Cambria Math" w:eastAsia="Garamond" w:hAnsi="Cambria Math" w:cs="Garamond"/>
                    <w:i/>
                  </w:rPr>
                </m:ctrlPr>
              </m:dPr>
              <m:e>
                <m:r>
                  <w:rPr>
                    <w:rFonts w:ascii="Cambria Math" w:eastAsia="Garamond" w:hAnsi="Cambria Math" w:cs="Garamond"/>
                  </w:rPr>
                  <m:t>Red - Green</m:t>
                </m:r>
              </m:e>
            </m:d>
          </m:num>
          <m:den>
            <m:r>
              <w:rPr>
                <w:rFonts w:ascii="Cambria Math" w:eastAsia="Garamond" w:hAnsi="Cambria Math" w:cs="Garamond"/>
              </w:rPr>
              <m:t>(Red + Green)</m:t>
            </m:r>
          </m:den>
        </m:f>
      </m:oMath>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(2)</w:t>
      </w:r>
    </w:p>
    <w:p w14:paraId="1B1149F8" w14:textId="77777777" w:rsidR="00C57F64" w:rsidRDefault="00C57F64" w:rsidP="00C57F64">
      <w:pPr>
        <w:widowControl w:val="0"/>
        <w:spacing w:after="0" w:line="240" w:lineRule="auto"/>
        <w:rPr>
          <w:rFonts w:ascii="Garamond" w:eastAsia="Garamond" w:hAnsi="Garamond" w:cs="Garamond"/>
          <w:i/>
          <w:iCs/>
        </w:rPr>
      </w:pPr>
    </w:p>
    <w:p w14:paraId="014F7F6C" w14:textId="77777777" w:rsidR="00C57F64" w:rsidRDefault="00C57F64" w:rsidP="00C57F64">
      <w:pPr>
        <w:widowControl w:val="0"/>
        <w:spacing w:after="0" w:line="240" w:lineRule="auto"/>
        <w:rPr>
          <w:rFonts w:ascii="Garamond" w:eastAsia="Garamond" w:hAnsi="Garamond" w:cs="Garamond"/>
          <w:i/>
          <w:iCs/>
        </w:rPr>
      </w:pPr>
      <w:r w:rsidRPr="20B9F020">
        <w:rPr>
          <w:rFonts w:ascii="Garamond" w:eastAsia="Garamond" w:hAnsi="Garamond" w:cs="Garamond"/>
          <w:i/>
          <w:iCs/>
        </w:rPr>
        <w:t xml:space="preserve">3.2.4 </w:t>
      </w:r>
      <w:r w:rsidRPr="1D1D1DC1">
        <w:rPr>
          <w:rFonts w:ascii="Garamond" w:eastAsia="Garamond" w:hAnsi="Garamond" w:cs="Garamond"/>
          <w:i/>
          <w:iCs/>
        </w:rPr>
        <w:t>Surface Temperature</w:t>
      </w:r>
    </w:p>
    <w:p w14:paraId="61D7FAEB" w14:textId="77777777" w:rsidR="00C57F64" w:rsidRDefault="00C57F64" w:rsidP="00C57F64">
      <w:pPr>
        <w:widowControl w:val="0"/>
        <w:spacing w:after="0" w:line="240" w:lineRule="auto"/>
        <w:rPr>
          <w:rFonts w:ascii="Garamond" w:hAnsi="Garamond" w:cs="Arial"/>
          <w:i/>
          <w:iCs/>
        </w:rPr>
      </w:pPr>
      <w:r w:rsidRPr="1D1D1DC1">
        <w:rPr>
          <w:rFonts w:ascii="Garamond" w:eastAsia="Garamond" w:hAnsi="Garamond" w:cs="Garamond"/>
        </w:rPr>
        <w:t xml:space="preserve">The </w:t>
      </w:r>
      <w:r w:rsidRPr="6F84FB3E">
        <w:rPr>
          <w:rFonts w:ascii="Garamond" w:eastAsia="Garamond" w:hAnsi="Garamond" w:cs="Garamond"/>
        </w:rPr>
        <w:t>Landsat 8</w:t>
      </w:r>
      <w:r>
        <w:rPr>
          <w:rFonts w:ascii="Garamond" w:eastAsia="Garamond" w:hAnsi="Garamond" w:cs="Garamond"/>
        </w:rPr>
        <w:t xml:space="preserve"> &amp; </w:t>
      </w:r>
      <w:r w:rsidRPr="6F84FB3E">
        <w:rPr>
          <w:rFonts w:ascii="Garamond" w:eastAsia="Garamond" w:hAnsi="Garamond" w:cs="Garamond"/>
        </w:rPr>
        <w:t xml:space="preserve">9 ST </w:t>
      </w:r>
      <w:r w:rsidRPr="1D1D1DC1">
        <w:rPr>
          <w:rFonts w:ascii="Garamond" w:eastAsia="Garamond" w:hAnsi="Garamond" w:cs="Garamond"/>
        </w:rPr>
        <w:t xml:space="preserve">data </w:t>
      </w:r>
      <w:r w:rsidRPr="6F84FB3E">
        <w:rPr>
          <w:rFonts w:ascii="Garamond" w:eastAsia="Garamond" w:hAnsi="Garamond" w:cs="Garamond"/>
        </w:rPr>
        <w:t xml:space="preserve">products </w:t>
      </w:r>
      <w:r w:rsidRPr="1D1D1DC1">
        <w:rPr>
          <w:rFonts w:ascii="Garamond" w:eastAsia="Garamond" w:hAnsi="Garamond" w:cs="Garamond"/>
        </w:rPr>
        <w:t xml:space="preserve">are preprocessed collections </w:t>
      </w:r>
      <w:r w:rsidRPr="6F84FB3E">
        <w:rPr>
          <w:rFonts w:ascii="Garamond" w:eastAsia="Garamond" w:hAnsi="Garamond" w:cs="Garamond"/>
        </w:rPr>
        <w:t xml:space="preserve">created </w:t>
      </w:r>
      <w:r w:rsidRPr="1D1D1DC1">
        <w:rPr>
          <w:rFonts w:ascii="Garamond" w:eastAsia="Garamond" w:hAnsi="Garamond" w:cs="Garamond"/>
        </w:rPr>
        <w:t>using</w:t>
      </w:r>
      <w:r w:rsidRPr="6F84FB3E">
        <w:rPr>
          <w:rFonts w:ascii="Garamond" w:eastAsia="Garamond" w:hAnsi="Garamond" w:cs="Garamond"/>
        </w:rPr>
        <w:t xml:space="preserve"> the single channel algorithm (version 1.3.0) developed jointly by the Rochester Institute of Technology (RIT) and NASA’s Jet Propulsion Laboratory. Our team used GEE to import the Landsat 8-9 ST datasets, filter by the geographic and temporal bounds of our study, apply scaling and temperature conversion factors, cloud-mask, isolate our band of interest (ST_B10), buffer, and clip the imagery to our study area shapefile of the Lake Anna watershed. We retrieved ST data for our full study period, first using Landsat 8 but opting for Landsat 9 once it became available from October 31, 2021, onward. We applied a 100-meter inward buffer to minimize the contamination of retrievals by land pixels. To cloud mask, we developed a bitmask using bits 8-9 (cloud confidence) and 10-11 (cloud shadow confidence) of the QAPIXEL band.</w:t>
      </w:r>
    </w:p>
    <w:p w14:paraId="35C1FB6A" w14:textId="77777777" w:rsidR="00C57F64" w:rsidRDefault="00C57F64" w:rsidP="00C57F64">
      <w:pPr>
        <w:widowControl w:val="0"/>
        <w:spacing w:after="0" w:line="240" w:lineRule="auto"/>
        <w:rPr>
          <w:rFonts w:ascii="Garamond" w:eastAsia="Garamond" w:hAnsi="Garamond" w:cs="Garamond"/>
        </w:rPr>
      </w:pPr>
    </w:p>
    <w:p w14:paraId="6DD6E1FA" w14:textId="77777777" w:rsidR="00C57F64" w:rsidRDefault="00C57F64" w:rsidP="00C57F64">
      <w:pPr>
        <w:widowControl w:val="0"/>
        <w:spacing w:after="0" w:line="240" w:lineRule="auto"/>
        <w:rPr>
          <w:rFonts w:ascii="Garamond" w:hAnsi="Garamond" w:cs="Arial"/>
        </w:rPr>
      </w:pPr>
      <w:r w:rsidRPr="5AD089C2">
        <w:rPr>
          <w:rFonts w:ascii="Garamond" w:hAnsi="Garamond" w:cs="Arial"/>
          <w:i/>
          <w:iCs/>
        </w:rPr>
        <w:t xml:space="preserve">3.2.5 </w:t>
      </w:r>
      <w:r w:rsidRPr="005143D1">
        <w:rPr>
          <w:rFonts w:ascii="Garamond" w:hAnsi="Garamond" w:cs="Arial"/>
        </w:rPr>
        <w:t>In Situ</w:t>
      </w:r>
      <w:r w:rsidRPr="28F3938E">
        <w:rPr>
          <w:rFonts w:ascii="Garamond" w:hAnsi="Garamond" w:cs="Arial"/>
          <w:i/>
          <w:iCs/>
        </w:rPr>
        <w:t xml:space="preserve"> </w:t>
      </w:r>
      <w:r w:rsidRPr="776C165B">
        <w:rPr>
          <w:rFonts w:ascii="Garamond" w:hAnsi="Garamond" w:cs="Arial"/>
          <w:i/>
        </w:rPr>
        <w:t>&amp;</w:t>
      </w:r>
      <w:r w:rsidRPr="28F3938E">
        <w:rPr>
          <w:rFonts w:ascii="Garamond" w:hAnsi="Garamond" w:cs="Arial"/>
          <w:i/>
          <w:iCs/>
        </w:rPr>
        <w:t xml:space="preserve"> Ancillary </w:t>
      </w:r>
      <w:r w:rsidRPr="3290EB01">
        <w:rPr>
          <w:rFonts w:ascii="Garamond" w:hAnsi="Garamond" w:cs="Arial"/>
          <w:i/>
          <w:iCs/>
        </w:rPr>
        <w:t>Data</w:t>
      </w:r>
    </w:p>
    <w:p w14:paraId="67A8372B" w14:textId="77777777" w:rsidR="00C57F64" w:rsidRDefault="00C57F64" w:rsidP="00C57F64">
      <w:pPr>
        <w:widowControl w:val="0"/>
        <w:spacing w:after="0" w:line="240" w:lineRule="auto"/>
        <w:rPr>
          <w:rFonts w:ascii="Garamond" w:hAnsi="Garamond" w:cs="Arial"/>
        </w:rPr>
      </w:pPr>
      <w:r w:rsidRPr="3E84361D">
        <w:rPr>
          <w:rFonts w:ascii="Garamond" w:hAnsi="Garamond" w:cs="Arial"/>
        </w:rPr>
        <w:t xml:space="preserve">Our team reformatted and filtered Excel files of </w:t>
      </w:r>
      <w:r w:rsidRPr="3E84361D">
        <w:rPr>
          <w:rFonts w:ascii="Garamond" w:hAnsi="Garamond" w:cs="Arial"/>
          <w:i/>
          <w:iCs/>
        </w:rPr>
        <w:t>in situ</w:t>
      </w:r>
      <w:r w:rsidRPr="3E84361D">
        <w:rPr>
          <w:rFonts w:ascii="Garamond" w:hAnsi="Garamond" w:cs="Arial"/>
        </w:rPr>
        <w:t xml:space="preserve"> data as needed to prepare them for import into ArcGIS Pro and for various statistical analyses. Dependent upon our needs, filters may have focused on a variety of spatial, temporal and or variable based scales. Additionally, we created a suite of shapefiles for which to </w:t>
      </w:r>
      <w:r w:rsidRPr="1D1D1DC1">
        <w:rPr>
          <w:rFonts w:ascii="Garamond" w:hAnsi="Garamond" w:cs="Arial"/>
        </w:rPr>
        <w:t>set</w:t>
      </w:r>
      <w:r w:rsidRPr="3E84361D">
        <w:rPr>
          <w:rFonts w:ascii="Garamond" w:hAnsi="Garamond" w:cs="Arial"/>
        </w:rPr>
        <w:t xml:space="preserve"> data for investigation and to aid in the visualization of such data.</w:t>
      </w:r>
    </w:p>
    <w:p w14:paraId="3B59567F" w14:textId="77777777" w:rsidR="00C57F64" w:rsidRDefault="00C57F64" w:rsidP="00C57F64">
      <w:pPr>
        <w:widowControl w:val="0"/>
        <w:spacing w:after="0" w:line="240" w:lineRule="auto"/>
        <w:jc w:val="center"/>
        <w:rPr>
          <w:rFonts w:ascii="Garamond" w:hAnsi="Garamond"/>
          <w:color w:val="4F81BD" w:themeColor="accent1"/>
        </w:rPr>
      </w:pPr>
    </w:p>
    <w:p w14:paraId="6D5812DC" w14:textId="77777777" w:rsidR="00C57F64" w:rsidRPr="0066138C" w:rsidRDefault="00C57F64" w:rsidP="00C57F64">
      <w:pPr>
        <w:widowControl w:val="0"/>
        <w:spacing w:after="0" w:line="240" w:lineRule="auto"/>
        <w:rPr>
          <w:rFonts w:ascii="Garamond" w:hAnsi="Garamond" w:cs="Arial"/>
          <w:b/>
          <w:i/>
        </w:rPr>
      </w:pPr>
      <w:r w:rsidRPr="35BBF586">
        <w:rPr>
          <w:rFonts w:ascii="Garamond" w:hAnsi="Garamond" w:cs="Arial"/>
          <w:b/>
          <w:i/>
        </w:rPr>
        <w:t>3.3 Data Analysis</w:t>
      </w:r>
    </w:p>
    <w:p w14:paraId="66D8821F" w14:textId="77777777" w:rsidR="00C57F64" w:rsidRDefault="00C57F64" w:rsidP="00C57F64">
      <w:pPr>
        <w:widowControl w:val="0"/>
        <w:spacing w:after="0" w:line="240" w:lineRule="auto"/>
        <w:rPr>
          <w:rFonts w:ascii="Garamond" w:hAnsi="Garamond" w:cs="Arial"/>
          <w:i/>
          <w:iCs/>
        </w:rPr>
      </w:pPr>
      <w:r w:rsidRPr="20B9F020">
        <w:rPr>
          <w:rFonts w:ascii="Garamond" w:hAnsi="Garamond" w:cs="Arial"/>
          <w:i/>
          <w:iCs/>
        </w:rPr>
        <w:t xml:space="preserve">3.3.1 </w:t>
      </w:r>
      <w:r w:rsidRPr="1D1D1DC1">
        <w:rPr>
          <w:rFonts w:ascii="Garamond" w:hAnsi="Garamond" w:cs="Arial"/>
          <w:i/>
          <w:iCs/>
        </w:rPr>
        <w:t>Cyanobacteria</w:t>
      </w:r>
    </w:p>
    <w:p w14:paraId="1B04D760" w14:textId="77777777" w:rsidR="00C57F64" w:rsidRDefault="00C57F64" w:rsidP="00C57F64">
      <w:pPr>
        <w:widowControl w:val="0"/>
        <w:spacing w:after="0" w:line="240" w:lineRule="auto"/>
        <w:rPr>
          <w:rFonts w:ascii="Garamond" w:hAnsi="Garamond" w:cs="Arial"/>
        </w:rPr>
      </w:pPr>
      <w:r w:rsidRPr="494816B1">
        <w:rPr>
          <w:rFonts w:ascii="Garamond" w:hAnsi="Garamond" w:cs="Arial"/>
        </w:rPr>
        <w:t xml:space="preserve">Our team </w:t>
      </w:r>
      <w:r w:rsidRPr="7DC190F5">
        <w:rPr>
          <w:rFonts w:ascii="Garamond" w:hAnsi="Garamond" w:cs="Arial"/>
        </w:rPr>
        <w:t>assessed</w:t>
      </w:r>
      <w:r w:rsidRPr="15A23B04">
        <w:rPr>
          <w:rFonts w:ascii="Garamond" w:hAnsi="Garamond" w:cs="Arial"/>
        </w:rPr>
        <w:t xml:space="preserve"> </w:t>
      </w:r>
      <w:r w:rsidRPr="0A9D5C0F">
        <w:rPr>
          <w:rFonts w:ascii="Garamond" w:hAnsi="Garamond" w:cs="Arial"/>
        </w:rPr>
        <w:t>cyanobacterial</w:t>
      </w:r>
      <w:r w:rsidRPr="732F7B52">
        <w:rPr>
          <w:rFonts w:ascii="Garamond" w:hAnsi="Garamond" w:cs="Arial"/>
        </w:rPr>
        <w:t xml:space="preserve"> </w:t>
      </w:r>
      <w:r w:rsidRPr="753BA0FA">
        <w:rPr>
          <w:rFonts w:ascii="Garamond" w:hAnsi="Garamond" w:cs="Arial"/>
        </w:rPr>
        <w:t>metrics</w:t>
      </w:r>
      <w:r w:rsidRPr="215DFAC1">
        <w:rPr>
          <w:rFonts w:ascii="Garamond" w:hAnsi="Garamond" w:cs="Arial"/>
        </w:rPr>
        <w:t xml:space="preserve"> through</w:t>
      </w:r>
      <w:r w:rsidRPr="6E3CED85">
        <w:rPr>
          <w:rFonts w:ascii="Garamond" w:hAnsi="Garamond" w:cs="Arial"/>
        </w:rPr>
        <w:t xml:space="preserve"> a variety of</w:t>
      </w:r>
      <w:r w:rsidRPr="5150B811">
        <w:rPr>
          <w:rFonts w:ascii="Garamond" w:hAnsi="Garamond" w:cs="Arial"/>
        </w:rPr>
        <w:t xml:space="preserve"> </w:t>
      </w:r>
      <w:r w:rsidRPr="03AE1271">
        <w:rPr>
          <w:rFonts w:ascii="Garamond" w:hAnsi="Garamond" w:cs="Arial"/>
        </w:rPr>
        <w:t>visual and</w:t>
      </w:r>
      <w:r w:rsidRPr="1E0876DD">
        <w:rPr>
          <w:rFonts w:ascii="Garamond" w:hAnsi="Garamond" w:cs="Arial"/>
        </w:rPr>
        <w:t xml:space="preserve"> </w:t>
      </w:r>
      <w:r w:rsidRPr="645BD2B8">
        <w:rPr>
          <w:rFonts w:ascii="Garamond" w:hAnsi="Garamond" w:cs="Arial"/>
        </w:rPr>
        <w:t>statistical</w:t>
      </w:r>
      <w:r w:rsidRPr="52FCD9CF">
        <w:rPr>
          <w:rFonts w:ascii="Garamond" w:hAnsi="Garamond" w:cs="Arial"/>
        </w:rPr>
        <w:t xml:space="preserve"> </w:t>
      </w:r>
      <w:r w:rsidRPr="749BE5B9">
        <w:rPr>
          <w:rFonts w:ascii="Garamond" w:hAnsi="Garamond" w:cs="Arial"/>
        </w:rPr>
        <w:t>approaches.</w:t>
      </w:r>
      <w:r w:rsidRPr="0EFE9B58">
        <w:rPr>
          <w:rFonts w:ascii="Garamond" w:hAnsi="Garamond" w:cs="Arial"/>
        </w:rPr>
        <w:t xml:space="preserve"> </w:t>
      </w:r>
      <w:r w:rsidRPr="14B5207C">
        <w:rPr>
          <w:rFonts w:ascii="Garamond" w:hAnsi="Garamond" w:cs="Arial"/>
        </w:rPr>
        <w:t xml:space="preserve">We created </w:t>
      </w:r>
      <w:r w:rsidRPr="65A1BC0C">
        <w:rPr>
          <w:rFonts w:ascii="Garamond" w:hAnsi="Garamond" w:cs="Arial"/>
        </w:rPr>
        <w:t>time</w:t>
      </w:r>
      <w:r w:rsidRPr="5150B811">
        <w:rPr>
          <w:rFonts w:ascii="Garamond" w:hAnsi="Garamond" w:cs="Arial"/>
        </w:rPr>
        <w:t xml:space="preserve">-series </w:t>
      </w:r>
      <w:r w:rsidRPr="64230F1C">
        <w:rPr>
          <w:rFonts w:ascii="Garamond" w:hAnsi="Garamond" w:cs="Arial"/>
        </w:rPr>
        <w:t>maps</w:t>
      </w:r>
      <w:r w:rsidRPr="3E6037E2">
        <w:rPr>
          <w:rFonts w:ascii="Garamond" w:hAnsi="Garamond" w:cs="Arial"/>
        </w:rPr>
        <w:t xml:space="preserve"> </w:t>
      </w:r>
      <w:r w:rsidRPr="75CB6A72">
        <w:rPr>
          <w:rFonts w:ascii="Garamond" w:hAnsi="Garamond" w:cs="Arial"/>
        </w:rPr>
        <w:t>and</w:t>
      </w:r>
      <w:r w:rsidRPr="7AF3151D">
        <w:rPr>
          <w:rFonts w:ascii="Garamond" w:hAnsi="Garamond" w:cs="Arial"/>
        </w:rPr>
        <w:t xml:space="preserve"> </w:t>
      </w:r>
      <w:r w:rsidRPr="080727C6">
        <w:rPr>
          <w:rFonts w:ascii="Garamond" w:hAnsi="Garamond" w:cs="Arial"/>
        </w:rPr>
        <w:t xml:space="preserve">associated bar </w:t>
      </w:r>
      <w:r>
        <w:rPr>
          <w:rFonts w:ascii="Garamond" w:hAnsi="Garamond" w:cs="Arial"/>
        </w:rPr>
        <w:t>and</w:t>
      </w:r>
      <w:r w:rsidRPr="080727C6">
        <w:rPr>
          <w:rFonts w:ascii="Garamond" w:hAnsi="Garamond" w:cs="Arial"/>
        </w:rPr>
        <w:t xml:space="preserve"> box-</w:t>
      </w:r>
      <w:r w:rsidRPr="5E729AEB">
        <w:rPr>
          <w:rFonts w:ascii="Garamond" w:hAnsi="Garamond" w:cs="Arial"/>
        </w:rPr>
        <w:t xml:space="preserve">whisker plots </w:t>
      </w:r>
      <w:r w:rsidRPr="7E64A2B5">
        <w:rPr>
          <w:rFonts w:ascii="Garamond" w:hAnsi="Garamond" w:cs="Arial"/>
        </w:rPr>
        <w:t>of</w:t>
      </w:r>
      <w:r w:rsidRPr="60175F89">
        <w:rPr>
          <w:rFonts w:ascii="Garamond" w:hAnsi="Garamond" w:cs="Arial"/>
        </w:rPr>
        <w:t xml:space="preserve"> </w:t>
      </w:r>
      <w:r w:rsidRPr="6B232EEA">
        <w:rPr>
          <w:rFonts w:ascii="Garamond" w:hAnsi="Garamond" w:cs="Arial"/>
        </w:rPr>
        <w:t xml:space="preserve">cyanobacteria coverage within ArcGIS Pro and </w:t>
      </w:r>
      <w:r w:rsidRPr="03C25BC3">
        <w:rPr>
          <w:rFonts w:ascii="Garamond" w:hAnsi="Garamond" w:cs="Arial"/>
        </w:rPr>
        <w:t>Micr</w:t>
      </w:r>
      <w:r>
        <w:rPr>
          <w:rFonts w:ascii="Garamond" w:hAnsi="Garamond" w:cs="Arial"/>
        </w:rPr>
        <w:t>o</w:t>
      </w:r>
      <w:r w:rsidRPr="03C25BC3">
        <w:rPr>
          <w:rFonts w:ascii="Garamond" w:hAnsi="Garamond" w:cs="Arial"/>
        </w:rPr>
        <w:t>soft Excel</w:t>
      </w:r>
      <w:r w:rsidRPr="7E64A2B5">
        <w:rPr>
          <w:rFonts w:ascii="Garamond" w:hAnsi="Garamond" w:cs="Arial"/>
        </w:rPr>
        <w:t>,</w:t>
      </w:r>
      <w:r w:rsidRPr="3EAC1F3D">
        <w:rPr>
          <w:rFonts w:ascii="Garamond" w:hAnsi="Garamond" w:cs="Arial"/>
        </w:rPr>
        <w:t xml:space="preserve"> </w:t>
      </w:r>
      <w:r w:rsidRPr="5C538D27">
        <w:rPr>
          <w:rFonts w:ascii="Garamond" w:hAnsi="Garamond" w:cs="Arial"/>
        </w:rPr>
        <w:t>respectively.</w:t>
      </w:r>
      <w:r w:rsidRPr="7B045E0F">
        <w:rPr>
          <w:rFonts w:ascii="Garamond" w:hAnsi="Garamond" w:cs="Arial"/>
        </w:rPr>
        <w:t xml:space="preserve"> </w:t>
      </w:r>
      <w:r w:rsidRPr="1007E125">
        <w:rPr>
          <w:rFonts w:ascii="Garamond" w:hAnsi="Garamond" w:cs="Arial"/>
        </w:rPr>
        <w:t xml:space="preserve">Following the </w:t>
      </w:r>
      <w:r w:rsidRPr="41782482">
        <w:rPr>
          <w:rFonts w:ascii="Garamond" w:hAnsi="Garamond" w:cs="Arial"/>
        </w:rPr>
        <w:t xml:space="preserve">creation and </w:t>
      </w:r>
      <w:r w:rsidRPr="76A95F07">
        <w:rPr>
          <w:rFonts w:ascii="Garamond" w:hAnsi="Garamond" w:cs="Arial"/>
        </w:rPr>
        <w:t xml:space="preserve">conglomeration </w:t>
      </w:r>
      <w:r w:rsidRPr="021ED0AD">
        <w:rPr>
          <w:rFonts w:ascii="Garamond" w:hAnsi="Garamond" w:cs="Arial"/>
        </w:rPr>
        <w:t xml:space="preserve">of </w:t>
      </w:r>
      <w:r w:rsidRPr="7A783707">
        <w:rPr>
          <w:rFonts w:ascii="Garamond" w:hAnsi="Garamond" w:cs="Arial"/>
        </w:rPr>
        <w:t xml:space="preserve">these </w:t>
      </w:r>
      <w:r w:rsidRPr="48321E71">
        <w:rPr>
          <w:rFonts w:ascii="Garamond" w:hAnsi="Garamond" w:cs="Arial"/>
        </w:rPr>
        <w:t xml:space="preserve">monthly </w:t>
      </w:r>
      <w:r w:rsidRPr="070B0586">
        <w:rPr>
          <w:rFonts w:ascii="Garamond" w:hAnsi="Garamond" w:cs="Arial"/>
        </w:rPr>
        <w:t>composite images</w:t>
      </w:r>
      <w:r w:rsidRPr="50EF892A">
        <w:rPr>
          <w:rFonts w:ascii="Garamond" w:hAnsi="Garamond" w:cs="Arial"/>
        </w:rPr>
        <w:t>,</w:t>
      </w:r>
      <w:r w:rsidRPr="070B0586">
        <w:rPr>
          <w:rFonts w:ascii="Garamond" w:hAnsi="Garamond" w:cs="Arial"/>
        </w:rPr>
        <w:t xml:space="preserve"> </w:t>
      </w:r>
      <w:r w:rsidRPr="65B86DD6">
        <w:rPr>
          <w:rFonts w:ascii="Garamond" w:hAnsi="Garamond" w:cs="Arial"/>
        </w:rPr>
        <w:t xml:space="preserve">our team </w:t>
      </w:r>
      <w:r w:rsidRPr="3E14825D">
        <w:rPr>
          <w:rFonts w:ascii="Garamond" w:hAnsi="Garamond" w:cs="Arial"/>
        </w:rPr>
        <w:t>overlayed those</w:t>
      </w:r>
      <w:r w:rsidRPr="26393FBC">
        <w:rPr>
          <w:rFonts w:ascii="Garamond" w:hAnsi="Garamond" w:cs="Arial"/>
        </w:rPr>
        <w:t xml:space="preserve"> layers </w:t>
      </w:r>
      <w:r w:rsidRPr="319A7795">
        <w:rPr>
          <w:rFonts w:ascii="Garamond" w:hAnsi="Garamond" w:cs="Arial"/>
        </w:rPr>
        <w:t>containing</w:t>
      </w:r>
      <w:r w:rsidRPr="5F7758C4">
        <w:rPr>
          <w:rFonts w:ascii="Garamond" w:hAnsi="Garamond" w:cs="Arial"/>
        </w:rPr>
        <w:t xml:space="preserve"> </w:t>
      </w:r>
      <w:r w:rsidRPr="3317F595">
        <w:rPr>
          <w:rFonts w:ascii="Garamond" w:hAnsi="Garamond" w:cs="Arial"/>
        </w:rPr>
        <w:t xml:space="preserve">values </w:t>
      </w:r>
      <w:r w:rsidRPr="37497F6D">
        <w:rPr>
          <w:rFonts w:ascii="Garamond" w:hAnsi="Garamond" w:cs="Arial"/>
        </w:rPr>
        <w:t>(</w:t>
      </w:r>
      <w:r w:rsidRPr="78107731">
        <w:rPr>
          <w:rFonts w:ascii="Garamond" w:hAnsi="Garamond" w:cs="Arial"/>
        </w:rPr>
        <w:t>CIcyano</w:t>
      </w:r>
      <w:r w:rsidRPr="0218DC60">
        <w:rPr>
          <w:rFonts w:ascii="Garamond" w:eastAsia="Garamond" w:hAnsi="Garamond" w:cs="Garamond"/>
          <w:sz w:val="24"/>
          <w:szCs w:val="24"/>
        </w:rPr>
        <w:t xml:space="preserve"> </w:t>
      </w:r>
      <w:r w:rsidRPr="33BD35E4">
        <w:rPr>
          <w:rFonts w:ascii="Garamond" w:hAnsi="Garamond" w:cs="Arial"/>
        </w:rPr>
        <w:t>&gt;</w:t>
      </w:r>
      <w:r w:rsidRPr="0218DC60">
        <w:rPr>
          <w:rFonts w:ascii="Garamond" w:eastAsia="Garamond" w:hAnsi="Garamond" w:cs="Garamond"/>
          <w:color w:val="71777D"/>
        </w:rPr>
        <w:t xml:space="preserve"> </w:t>
      </w:r>
      <w:r w:rsidRPr="474C648F">
        <w:rPr>
          <w:rFonts w:ascii="Garamond" w:eastAsia="Garamond" w:hAnsi="Garamond" w:cs="Garamond"/>
          <w:color w:val="404040" w:themeColor="text1" w:themeTint="BF"/>
        </w:rPr>
        <w:t>0.001)</w:t>
      </w:r>
      <w:r w:rsidRPr="0218DC60">
        <w:rPr>
          <w:rFonts w:ascii="Garamond" w:eastAsia="Garamond" w:hAnsi="Garamond" w:cs="Garamond"/>
          <w:sz w:val="24"/>
          <w:szCs w:val="24"/>
        </w:rPr>
        <w:t xml:space="preserve"> </w:t>
      </w:r>
      <w:r w:rsidRPr="6AC359B7">
        <w:rPr>
          <w:rFonts w:ascii="Garamond" w:eastAsia="Garamond" w:hAnsi="Garamond" w:cs="Garamond"/>
          <w:sz w:val="24"/>
          <w:szCs w:val="24"/>
        </w:rPr>
        <w:t xml:space="preserve">within </w:t>
      </w:r>
      <w:r w:rsidRPr="4A4BDDEE">
        <w:rPr>
          <w:rFonts w:ascii="Garamond" w:eastAsia="Garamond" w:hAnsi="Garamond" w:cs="Garamond"/>
          <w:sz w:val="24"/>
          <w:szCs w:val="24"/>
        </w:rPr>
        <w:t xml:space="preserve">ArcGIS Pro </w:t>
      </w:r>
      <w:r w:rsidRPr="4A4BDDEE">
        <w:rPr>
          <w:rFonts w:ascii="Garamond" w:hAnsi="Garamond" w:cs="Arial"/>
        </w:rPr>
        <w:t>and</w:t>
      </w:r>
      <w:r w:rsidRPr="7E64A2B5">
        <w:rPr>
          <w:rFonts w:ascii="Garamond" w:hAnsi="Garamond" w:cs="Arial"/>
        </w:rPr>
        <w:t>,</w:t>
      </w:r>
      <w:r w:rsidRPr="14FB9DE2">
        <w:rPr>
          <w:rFonts w:ascii="Garamond" w:hAnsi="Garamond" w:cs="Arial"/>
        </w:rPr>
        <w:t xml:space="preserve"> </w:t>
      </w:r>
      <w:r w:rsidRPr="0C30B6F8">
        <w:rPr>
          <w:rFonts w:ascii="Garamond" w:hAnsi="Garamond" w:cs="Arial"/>
        </w:rPr>
        <w:t xml:space="preserve">using the </w:t>
      </w:r>
      <w:r w:rsidRPr="7A78CE7F">
        <w:rPr>
          <w:rFonts w:ascii="Garamond" w:hAnsi="Garamond" w:cs="Arial"/>
        </w:rPr>
        <w:t xml:space="preserve">count overlapping </w:t>
      </w:r>
      <w:r w:rsidRPr="7FEC6085">
        <w:rPr>
          <w:rFonts w:ascii="Garamond" w:hAnsi="Garamond" w:cs="Arial"/>
        </w:rPr>
        <w:t xml:space="preserve">features </w:t>
      </w:r>
      <w:r w:rsidRPr="2ACE45B5">
        <w:rPr>
          <w:rFonts w:ascii="Garamond" w:hAnsi="Garamond" w:cs="Arial"/>
        </w:rPr>
        <w:t>tool</w:t>
      </w:r>
      <w:r w:rsidRPr="7E64A2B5">
        <w:rPr>
          <w:rFonts w:ascii="Garamond" w:hAnsi="Garamond" w:cs="Arial"/>
        </w:rPr>
        <w:t>,</w:t>
      </w:r>
      <w:r w:rsidRPr="4A4BDDEE">
        <w:rPr>
          <w:rFonts w:ascii="Garamond" w:hAnsi="Garamond" w:cs="Arial"/>
        </w:rPr>
        <w:t xml:space="preserve"> </w:t>
      </w:r>
      <w:r w:rsidRPr="7D7CB329">
        <w:rPr>
          <w:rFonts w:ascii="Garamond" w:hAnsi="Garamond" w:cs="Arial"/>
        </w:rPr>
        <w:t xml:space="preserve">created a </w:t>
      </w:r>
      <w:r w:rsidRPr="34394C87">
        <w:rPr>
          <w:rFonts w:ascii="Garamond" w:hAnsi="Garamond" w:cs="Arial"/>
        </w:rPr>
        <w:t xml:space="preserve">heat map </w:t>
      </w:r>
      <w:r w:rsidRPr="72EAF795">
        <w:rPr>
          <w:rFonts w:ascii="Garamond" w:hAnsi="Garamond" w:cs="Arial"/>
        </w:rPr>
        <w:t xml:space="preserve">that </w:t>
      </w:r>
      <w:r w:rsidRPr="6FFFD5A6">
        <w:rPr>
          <w:rFonts w:ascii="Garamond" w:hAnsi="Garamond" w:cs="Arial"/>
        </w:rPr>
        <w:t>spanned</w:t>
      </w:r>
      <w:r w:rsidRPr="72EAF795">
        <w:rPr>
          <w:rFonts w:ascii="Garamond" w:hAnsi="Garamond" w:cs="Arial"/>
        </w:rPr>
        <w:t xml:space="preserve"> the associated 28</w:t>
      </w:r>
      <w:r w:rsidRPr="6FFFD5A6">
        <w:rPr>
          <w:rFonts w:ascii="Garamond" w:hAnsi="Garamond" w:cs="Arial"/>
        </w:rPr>
        <w:t>-</w:t>
      </w:r>
      <w:r w:rsidRPr="72EAF795">
        <w:rPr>
          <w:rFonts w:ascii="Garamond" w:hAnsi="Garamond" w:cs="Arial"/>
        </w:rPr>
        <w:t xml:space="preserve">month </w:t>
      </w:r>
      <w:r w:rsidRPr="6FFFD5A6">
        <w:rPr>
          <w:rFonts w:ascii="Garamond" w:hAnsi="Garamond" w:cs="Arial"/>
        </w:rPr>
        <w:t>study period.</w:t>
      </w:r>
      <w:r w:rsidRPr="681D935E">
        <w:rPr>
          <w:rFonts w:ascii="Garamond" w:hAnsi="Garamond" w:cs="Arial"/>
        </w:rPr>
        <w:t xml:space="preserve"> </w:t>
      </w:r>
      <w:r w:rsidRPr="14640F1D">
        <w:rPr>
          <w:rFonts w:ascii="Garamond" w:hAnsi="Garamond" w:cs="Arial"/>
        </w:rPr>
        <w:t xml:space="preserve">Through this approach we were able </w:t>
      </w:r>
      <w:r w:rsidRPr="6F8AF9F8">
        <w:rPr>
          <w:rFonts w:ascii="Garamond" w:hAnsi="Garamond" w:cs="Arial"/>
        </w:rPr>
        <w:t xml:space="preserve">to visually assess </w:t>
      </w:r>
      <w:r w:rsidRPr="3DA13A46">
        <w:rPr>
          <w:rFonts w:ascii="Garamond" w:hAnsi="Garamond" w:cs="Arial"/>
        </w:rPr>
        <w:t xml:space="preserve">regions of the </w:t>
      </w:r>
      <w:r w:rsidRPr="2B3AB89B">
        <w:rPr>
          <w:rFonts w:ascii="Garamond" w:hAnsi="Garamond" w:cs="Arial"/>
        </w:rPr>
        <w:t xml:space="preserve">Lake that suffered from recurrent </w:t>
      </w:r>
      <w:r w:rsidRPr="027C00FA">
        <w:rPr>
          <w:rFonts w:ascii="Garamond" w:hAnsi="Garamond" w:cs="Arial"/>
        </w:rPr>
        <w:t xml:space="preserve">bouts </w:t>
      </w:r>
      <w:r w:rsidRPr="027C00FA">
        <w:rPr>
          <w:rFonts w:ascii="Garamond" w:hAnsi="Garamond" w:cs="Arial"/>
        </w:rPr>
        <w:lastRenderedPageBreak/>
        <w:t xml:space="preserve">of </w:t>
      </w:r>
      <w:r w:rsidRPr="5236FB4D">
        <w:rPr>
          <w:rFonts w:ascii="Garamond" w:hAnsi="Garamond" w:cs="Arial"/>
        </w:rPr>
        <w:t xml:space="preserve">advisory level HAB </w:t>
      </w:r>
      <w:r w:rsidRPr="0DD64867">
        <w:rPr>
          <w:rFonts w:ascii="Garamond" w:hAnsi="Garamond" w:cs="Arial"/>
        </w:rPr>
        <w:t>events.</w:t>
      </w:r>
      <w:r w:rsidRPr="645A7F42">
        <w:rPr>
          <w:rFonts w:ascii="Garamond" w:hAnsi="Garamond" w:cs="Arial"/>
        </w:rPr>
        <w:t xml:space="preserve"> </w:t>
      </w:r>
      <w:r w:rsidRPr="0092050F">
        <w:rPr>
          <w:rFonts w:ascii="Garamond" w:hAnsi="Garamond" w:cs="Arial"/>
        </w:rPr>
        <w:t>The team employed a Kruskal-Wallis test to compare the change in area occupied by the advisory level and total detected cyanobacterial concentrations over monthly and yearly timespans. We utilized the Kruskal-Wallis test instead of a traditional ANOVA as our data failed to meet the assumption of normality. Following this non-parametric approach, our team also employed a post-hoc Dunn’s test to elucidate multiple comparisons among sample means.</w:t>
      </w:r>
      <w:r w:rsidRPr="06D098F3">
        <w:rPr>
          <w:rFonts w:ascii="Garamond" w:hAnsi="Garamond" w:cs="Arial"/>
        </w:rPr>
        <w:t xml:space="preserve"> </w:t>
      </w:r>
      <w:r w:rsidRPr="4E71D640">
        <w:rPr>
          <w:rFonts w:ascii="Garamond" w:hAnsi="Garamond" w:cs="Arial"/>
        </w:rPr>
        <w:t>Additionally</w:t>
      </w:r>
      <w:r w:rsidRPr="6E455B5D">
        <w:rPr>
          <w:rFonts w:ascii="Garamond" w:hAnsi="Garamond" w:cs="Arial"/>
        </w:rPr>
        <w:t xml:space="preserve">, </w:t>
      </w:r>
      <w:r w:rsidRPr="23F0A9B0">
        <w:rPr>
          <w:rFonts w:ascii="Garamond" w:hAnsi="Garamond" w:cs="Arial"/>
        </w:rPr>
        <w:t xml:space="preserve">although </w:t>
      </w:r>
      <w:r w:rsidRPr="42CC3EF0">
        <w:rPr>
          <w:rFonts w:ascii="Garamond" w:hAnsi="Garamond" w:cs="Arial"/>
        </w:rPr>
        <w:t>our analysis did not</w:t>
      </w:r>
      <w:r w:rsidRPr="70DE3CFD">
        <w:rPr>
          <w:rFonts w:ascii="Garamond" w:hAnsi="Garamond" w:cs="Arial"/>
        </w:rPr>
        <w:t xml:space="preserve"> </w:t>
      </w:r>
      <w:r w:rsidRPr="466857F2">
        <w:rPr>
          <w:rFonts w:ascii="Garamond" w:hAnsi="Garamond" w:cs="Arial"/>
        </w:rPr>
        <w:t xml:space="preserve">ostensibly </w:t>
      </w:r>
      <w:r w:rsidRPr="4D0496F8">
        <w:rPr>
          <w:rFonts w:ascii="Garamond" w:hAnsi="Garamond" w:cs="Arial"/>
        </w:rPr>
        <w:t xml:space="preserve">delve </w:t>
      </w:r>
      <w:r w:rsidRPr="753960BB">
        <w:rPr>
          <w:rFonts w:ascii="Garamond" w:hAnsi="Garamond" w:cs="Arial"/>
        </w:rPr>
        <w:t xml:space="preserve">into </w:t>
      </w:r>
      <w:r w:rsidRPr="1827632A">
        <w:rPr>
          <w:rFonts w:ascii="Garamond" w:hAnsi="Garamond" w:cs="Arial"/>
        </w:rPr>
        <w:t>the</w:t>
      </w:r>
      <w:r w:rsidRPr="670468E8">
        <w:rPr>
          <w:rFonts w:ascii="Garamond" w:hAnsi="Garamond" w:cs="Arial"/>
        </w:rPr>
        <w:t xml:space="preserve"> statistical</w:t>
      </w:r>
      <w:r w:rsidRPr="76C4BF93">
        <w:rPr>
          <w:rFonts w:ascii="Garamond" w:hAnsi="Garamond" w:cs="Arial"/>
        </w:rPr>
        <w:t xml:space="preserve"> analysis of </w:t>
      </w:r>
      <w:r w:rsidRPr="4968E29D">
        <w:rPr>
          <w:rFonts w:ascii="Garamond" w:hAnsi="Garamond" w:cs="Arial"/>
        </w:rPr>
        <w:t xml:space="preserve">PTOX cell </w:t>
      </w:r>
      <w:r w:rsidRPr="23C60A0E">
        <w:rPr>
          <w:rFonts w:ascii="Garamond" w:hAnsi="Garamond" w:cs="Arial"/>
        </w:rPr>
        <w:t>concentrations</w:t>
      </w:r>
      <w:r w:rsidRPr="1D54CF51">
        <w:rPr>
          <w:rFonts w:ascii="Garamond" w:hAnsi="Garamond" w:cs="Arial"/>
        </w:rPr>
        <w:t xml:space="preserve">, </w:t>
      </w:r>
      <w:r w:rsidRPr="33BAE61F">
        <w:rPr>
          <w:rFonts w:ascii="Garamond" w:hAnsi="Garamond" w:cs="Arial"/>
        </w:rPr>
        <w:t>resulting</w:t>
      </w:r>
      <w:r w:rsidRPr="375E225E">
        <w:rPr>
          <w:rFonts w:ascii="Garamond" w:hAnsi="Garamond" w:cs="Arial"/>
        </w:rPr>
        <w:t xml:space="preserve"> </w:t>
      </w:r>
      <w:r w:rsidRPr="758D6772">
        <w:rPr>
          <w:rFonts w:ascii="Garamond" w:hAnsi="Garamond" w:cs="Arial"/>
        </w:rPr>
        <w:t>values</w:t>
      </w:r>
      <w:r w:rsidRPr="374EDFC5">
        <w:rPr>
          <w:rFonts w:ascii="Garamond" w:hAnsi="Garamond" w:cs="Arial"/>
        </w:rPr>
        <w:t xml:space="preserve"> were </w:t>
      </w:r>
      <w:r w:rsidRPr="1E77BAD5">
        <w:rPr>
          <w:rFonts w:ascii="Garamond" w:hAnsi="Garamond" w:cs="Arial"/>
        </w:rPr>
        <w:t xml:space="preserve">used as </w:t>
      </w:r>
      <w:r w:rsidRPr="4B23055F">
        <w:rPr>
          <w:rFonts w:ascii="Garamond" w:hAnsi="Garamond" w:cs="Arial"/>
        </w:rPr>
        <w:t xml:space="preserve">reference and </w:t>
      </w:r>
      <w:r w:rsidRPr="550FA8DD">
        <w:rPr>
          <w:rFonts w:ascii="Garamond" w:hAnsi="Garamond" w:cs="Arial"/>
        </w:rPr>
        <w:t>verification points when</w:t>
      </w:r>
      <w:r w:rsidRPr="1AB6C3AD">
        <w:rPr>
          <w:rFonts w:ascii="Garamond" w:hAnsi="Garamond" w:cs="Arial"/>
        </w:rPr>
        <w:t xml:space="preserve"> </w:t>
      </w:r>
      <w:r w:rsidRPr="79ED1DBC">
        <w:rPr>
          <w:rFonts w:ascii="Garamond" w:hAnsi="Garamond" w:cs="Arial"/>
        </w:rPr>
        <w:t>able.</w:t>
      </w:r>
    </w:p>
    <w:p w14:paraId="23C737DF" w14:textId="77777777" w:rsidR="00C57F64" w:rsidRDefault="00C57F64" w:rsidP="00C57F64">
      <w:pPr>
        <w:widowControl w:val="0"/>
        <w:spacing w:after="0" w:line="240" w:lineRule="auto"/>
        <w:rPr>
          <w:rFonts w:ascii="Garamond" w:hAnsi="Garamond" w:cs="Arial"/>
        </w:rPr>
      </w:pPr>
    </w:p>
    <w:p w14:paraId="2CB7301E" w14:textId="1D5A30B3" w:rsidR="00C57F64" w:rsidRDefault="00C57F64" w:rsidP="00C57F64">
      <w:pPr>
        <w:widowControl w:val="0"/>
        <w:spacing w:after="0" w:line="240" w:lineRule="auto"/>
        <w:rPr>
          <w:rFonts w:ascii="Garamond" w:hAnsi="Garamond" w:cs="Arial"/>
        </w:rPr>
      </w:pPr>
      <w:r w:rsidRPr="5AD089C2">
        <w:rPr>
          <w:rFonts w:ascii="Garamond" w:hAnsi="Garamond" w:cs="Arial"/>
        </w:rPr>
        <w:t>In an aside, our team briefly tested Wynne’s Cyanobacteria Index against Lunetta’s CIcyano algorithm to compare detection rates among these similar indices. As described in Wynne et al</w:t>
      </w:r>
      <w:r w:rsidR="007F7BD8">
        <w:rPr>
          <w:rFonts w:ascii="Garamond" w:hAnsi="Garamond" w:cs="Arial"/>
        </w:rPr>
        <w:t>.</w:t>
      </w:r>
      <w:r w:rsidRPr="5AD089C2">
        <w:rPr>
          <w:rFonts w:ascii="Garamond" w:hAnsi="Garamond" w:cs="Arial"/>
        </w:rPr>
        <w:t xml:space="preserve"> </w:t>
      </w:r>
      <w:r w:rsidR="007F7BD8">
        <w:rPr>
          <w:rFonts w:ascii="Garamond" w:hAnsi="Garamond" w:cs="Arial"/>
        </w:rPr>
        <w:t>(</w:t>
      </w:r>
      <w:r w:rsidRPr="5AD089C2">
        <w:rPr>
          <w:rFonts w:ascii="Garamond" w:hAnsi="Garamond" w:cs="Arial"/>
        </w:rPr>
        <w:t>2008</w:t>
      </w:r>
      <w:r w:rsidR="007F7BD8">
        <w:rPr>
          <w:rFonts w:ascii="Garamond" w:hAnsi="Garamond" w:cs="Arial"/>
        </w:rPr>
        <w:t>)</w:t>
      </w:r>
      <w:r w:rsidRPr="5AD089C2">
        <w:rPr>
          <w:rFonts w:ascii="Garamond" w:hAnsi="Garamond" w:cs="Arial"/>
        </w:rPr>
        <w:t xml:space="preserve">, the Cyanobacteria Index utilizes </w:t>
      </w:r>
      <w:r w:rsidRPr="5AD089C2">
        <w:rPr>
          <w:rFonts w:ascii="Garamond" w:eastAsia="Garamond" w:hAnsi="Garamond" w:cs="Garamond"/>
        </w:rPr>
        <w:t>Rayleigh-corrected reflectance (R) values of Sentinel-3 bands 8,</w:t>
      </w:r>
      <w:r w:rsidR="007F7BD8">
        <w:rPr>
          <w:rFonts w:ascii="Garamond" w:eastAsia="Garamond" w:hAnsi="Garamond" w:cs="Garamond"/>
        </w:rPr>
        <w:t xml:space="preserve"> </w:t>
      </w:r>
      <w:r w:rsidRPr="5AD089C2">
        <w:rPr>
          <w:rFonts w:ascii="Garamond" w:eastAsia="Garamond" w:hAnsi="Garamond" w:cs="Garamond"/>
        </w:rPr>
        <w:t>10, and 11 (centered at 665nm, 681nm, and 709nm respectively</w:t>
      </w:r>
      <w:r>
        <w:rPr>
          <w:rFonts w:ascii="Garamond" w:eastAsia="Garamond" w:hAnsi="Garamond" w:cs="Garamond"/>
        </w:rPr>
        <w:t>; Equation 3</w:t>
      </w:r>
      <w:r w:rsidRPr="5AD089C2">
        <w:rPr>
          <w:rFonts w:ascii="Garamond" w:eastAsia="Garamond" w:hAnsi="Garamond" w:cs="Garamond"/>
        </w:rPr>
        <w:t xml:space="preserve">). </w:t>
      </w:r>
    </w:p>
    <w:p w14:paraId="0ABDBB07" w14:textId="77777777" w:rsidR="00C57F64" w:rsidRDefault="00C57F64" w:rsidP="00C57F64">
      <w:pPr>
        <w:widowControl w:val="0"/>
        <w:spacing w:after="0" w:line="240" w:lineRule="auto"/>
        <w:rPr>
          <w:rFonts w:ascii="Garamond" w:eastAsia="Garamond" w:hAnsi="Garamond" w:cs="Garamond"/>
        </w:rPr>
      </w:pPr>
    </w:p>
    <w:p w14:paraId="2BBCC400" w14:textId="77777777" w:rsidR="00C57F64" w:rsidRDefault="00C57F64" w:rsidP="00C57F64">
      <w:pPr>
        <w:widowControl w:val="0"/>
        <w:spacing w:after="0" w:line="240" w:lineRule="auto"/>
        <w:ind w:left="720" w:firstLine="720"/>
        <w:jc w:val="center"/>
        <w:rPr>
          <w:rFonts w:ascii="Garamond" w:hAnsi="Garamond" w:cs="Arial"/>
        </w:rPr>
      </w:pPr>
      <m:oMath>
        <m:r>
          <w:rPr>
            <w:rFonts w:ascii="Cambria Math" w:hAnsi="Cambria Math"/>
          </w:rPr>
          <m:t>CI=-</m:t>
        </m:r>
        <m:d>
          <m:dPr>
            <m:begChr m:val="["/>
            <m:endChr m:val="]"/>
            <m:ctrlPr>
              <w:rPr>
                <w:rFonts w:ascii="Cambria Math" w:hAnsi="Cambria Math"/>
              </w:rPr>
            </m:ctrlPr>
          </m:dPr>
          <m:e>
            <m:r>
              <w:rPr>
                <w:rFonts w:ascii="Cambria Math" w:hAnsi="Cambria Math"/>
              </w:rPr>
              <m:t>R</m:t>
            </m:r>
            <m:d>
              <m:dPr>
                <m:ctrlPr>
                  <w:rPr>
                    <w:rFonts w:ascii="Cambria Math" w:hAnsi="Cambria Math"/>
                  </w:rPr>
                </m:ctrlPr>
              </m:dPr>
              <m:e>
                <m:r>
                  <w:rPr>
                    <w:rFonts w:ascii="Cambria Math" w:hAnsi="Cambria Math"/>
                  </w:rPr>
                  <m:t>681</m:t>
                </m:r>
              </m:e>
            </m:d>
            <m:r>
              <w:rPr>
                <w:rFonts w:ascii="Cambria Math" w:hAnsi="Cambria Math"/>
              </w:rPr>
              <m:t>-R</m:t>
            </m:r>
            <m:d>
              <m:dPr>
                <m:ctrlPr>
                  <w:rPr>
                    <w:rFonts w:ascii="Cambria Math" w:hAnsi="Cambria Math"/>
                  </w:rPr>
                </m:ctrlPr>
              </m:dPr>
              <m:e>
                <m:r>
                  <w:rPr>
                    <w:rFonts w:ascii="Cambria Math" w:hAnsi="Cambria Math"/>
                  </w:rPr>
                  <m:t>665</m:t>
                </m:r>
              </m:e>
            </m:d>
            <m:r>
              <w:rPr>
                <w:rFonts w:ascii="Cambria Math" w:hAnsi="Cambria Math"/>
              </w:rPr>
              <m:t>+</m:t>
            </m:r>
            <m:d>
              <m:dPr>
                <m:begChr m:val="["/>
                <m:endChr m:val="]"/>
                <m:ctrlPr>
                  <w:rPr>
                    <w:rFonts w:ascii="Cambria Math" w:hAnsi="Cambria Math"/>
                  </w:rPr>
                </m:ctrlPr>
              </m:dPr>
              <m:e>
                <m:r>
                  <w:rPr>
                    <w:rFonts w:ascii="Cambria Math" w:hAnsi="Cambria Math"/>
                  </w:rPr>
                  <m:t>R</m:t>
                </m:r>
                <m:d>
                  <m:dPr>
                    <m:ctrlPr>
                      <w:rPr>
                        <w:rFonts w:ascii="Cambria Math" w:hAnsi="Cambria Math"/>
                      </w:rPr>
                    </m:ctrlPr>
                  </m:dPr>
                  <m:e>
                    <m:r>
                      <w:rPr>
                        <w:rFonts w:ascii="Cambria Math" w:hAnsi="Cambria Math"/>
                      </w:rPr>
                      <m:t>709</m:t>
                    </m:r>
                  </m:e>
                </m:d>
                <m:r>
                  <w:rPr>
                    <w:rFonts w:ascii="Cambria Math" w:hAnsi="Cambria Math"/>
                  </w:rPr>
                  <m:t>-R</m:t>
                </m:r>
                <m:d>
                  <m:dPr>
                    <m:ctrlPr>
                      <w:rPr>
                        <w:rFonts w:ascii="Cambria Math" w:hAnsi="Cambria Math"/>
                      </w:rPr>
                    </m:ctrlPr>
                  </m:dPr>
                  <m:e>
                    <m:r>
                      <w:rPr>
                        <w:rFonts w:ascii="Cambria Math" w:hAnsi="Cambria Math"/>
                      </w:rPr>
                      <m:t>665</m:t>
                    </m:r>
                  </m:e>
                </m:d>
              </m:e>
            </m:d>
            <m:r>
              <w:rPr>
                <w:rFonts w:ascii="Cambria Math" w:hAnsi="Cambria Math"/>
              </w:rPr>
              <m:t>⋅</m:t>
            </m:r>
            <m:f>
              <m:fPr>
                <m:ctrlPr>
                  <w:rPr>
                    <w:rFonts w:ascii="Cambria Math" w:hAnsi="Cambria Math"/>
                  </w:rPr>
                </m:ctrlPr>
              </m:fPr>
              <m:num>
                <m:d>
                  <m:dPr>
                    <m:ctrlPr>
                      <w:rPr>
                        <w:rFonts w:ascii="Cambria Math" w:hAnsi="Cambria Math"/>
                      </w:rPr>
                    </m:ctrlPr>
                  </m:dPr>
                  <m:e>
                    <m:d>
                      <m:dPr>
                        <m:ctrlPr>
                          <w:rPr>
                            <w:rFonts w:ascii="Cambria Math" w:hAnsi="Cambria Math"/>
                          </w:rPr>
                        </m:ctrlPr>
                      </m:dPr>
                      <m:e>
                        <m:r>
                          <w:rPr>
                            <w:rFonts w:ascii="Cambria Math" w:hAnsi="Cambria Math"/>
                          </w:rPr>
                          <m:t>681-665</m:t>
                        </m:r>
                      </m:e>
                    </m:d>
                  </m:e>
                </m:d>
              </m:num>
              <m:den>
                <m:d>
                  <m:dPr>
                    <m:ctrlPr>
                      <w:rPr>
                        <w:rFonts w:ascii="Cambria Math" w:hAnsi="Cambria Math"/>
                      </w:rPr>
                    </m:ctrlPr>
                  </m:dPr>
                  <m:e>
                    <m:d>
                      <m:dPr>
                        <m:ctrlPr>
                          <w:rPr>
                            <w:rFonts w:ascii="Cambria Math" w:hAnsi="Cambria Math"/>
                          </w:rPr>
                        </m:ctrlPr>
                      </m:dPr>
                      <m:e>
                        <m:r>
                          <w:rPr>
                            <w:rFonts w:ascii="Cambria Math" w:hAnsi="Cambria Math"/>
                          </w:rPr>
                          <m:t>709-665</m:t>
                        </m:r>
                      </m:e>
                    </m:d>
                  </m:e>
                </m:d>
              </m:den>
            </m:f>
          </m:e>
        </m:d>
      </m:oMath>
      <w:r>
        <w:rPr>
          <w:rFonts w:ascii="Garamond" w:hAnsi="Garamond" w:cs="Arial"/>
        </w:rPr>
        <w:t xml:space="preserve"> </w:t>
      </w:r>
      <w:r>
        <w:rPr>
          <w:rFonts w:ascii="Garamond" w:hAnsi="Garamond" w:cs="Arial"/>
        </w:rPr>
        <w:tab/>
      </w:r>
      <w:r>
        <w:rPr>
          <w:rFonts w:ascii="Garamond" w:hAnsi="Garamond" w:cs="Arial"/>
        </w:rPr>
        <w:tab/>
      </w:r>
      <w:r>
        <w:rPr>
          <w:rFonts w:ascii="Garamond" w:hAnsi="Garamond" w:cs="Arial"/>
        </w:rPr>
        <w:tab/>
        <w:t>(3)</w:t>
      </w:r>
    </w:p>
    <w:p w14:paraId="03B80048" w14:textId="77777777" w:rsidR="00C57F64" w:rsidRDefault="00C57F64" w:rsidP="00C57F64">
      <w:pPr>
        <w:widowControl w:val="0"/>
        <w:spacing w:after="0" w:line="240" w:lineRule="auto"/>
        <w:rPr>
          <w:rFonts w:ascii="Garamond" w:hAnsi="Garamond" w:cs="Arial"/>
        </w:rPr>
      </w:pPr>
    </w:p>
    <w:p w14:paraId="44EF7A2F" w14:textId="77777777" w:rsidR="00C57F64" w:rsidRDefault="00C57F64" w:rsidP="00C57F64">
      <w:pPr>
        <w:widowControl w:val="0"/>
        <w:spacing w:after="0" w:line="240" w:lineRule="auto"/>
        <w:rPr>
          <w:rFonts w:ascii="Garamond" w:hAnsi="Garamond" w:cs="Arial"/>
        </w:rPr>
      </w:pPr>
      <w:r w:rsidRPr="10BA30EE">
        <w:rPr>
          <w:rFonts w:ascii="Garamond" w:hAnsi="Garamond" w:cs="Arial"/>
        </w:rPr>
        <w:t xml:space="preserve">Our team ran this comparison during the month of October 2017, for which a relatively low amount of cyanobacteria was detected by the CIcyano algorithm. We chose this month to test the efficacy of the Cyanobacteria Index, an equation that has been shown to be vulnerable to generating false positives, </w:t>
      </w:r>
      <w:r w:rsidRPr="429E48CD">
        <w:rPr>
          <w:rFonts w:ascii="Garamond" w:hAnsi="Garamond" w:cs="Arial"/>
        </w:rPr>
        <w:t>thus</w:t>
      </w:r>
      <w:r w:rsidRPr="10BA30EE">
        <w:rPr>
          <w:rFonts w:ascii="Garamond" w:hAnsi="Garamond" w:cs="Arial"/>
        </w:rPr>
        <w:t xml:space="preserve"> expanding the number of detections due to the presence of various green algae species (Wynne et al., </w:t>
      </w:r>
      <w:r>
        <w:rPr>
          <w:rFonts w:ascii="Garamond" w:hAnsi="Garamond" w:cs="Arial"/>
        </w:rPr>
        <w:t>2021</w:t>
      </w:r>
      <w:r w:rsidRPr="429E48CD">
        <w:rPr>
          <w:rFonts w:ascii="Garamond" w:hAnsi="Garamond" w:cs="Arial"/>
        </w:rPr>
        <w:t xml:space="preserve">). </w:t>
      </w:r>
    </w:p>
    <w:p w14:paraId="322F4779" w14:textId="77777777" w:rsidR="00C57F64" w:rsidRDefault="00C57F64" w:rsidP="00C57F64">
      <w:pPr>
        <w:widowControl w:val="0"/>
        <w:spacing w:after="0" w:line="240" w:lineRule="auto"/>
        <w:rPr>
          <w:rFonts w:ascii="Garamond" w:eastAsia="Garamond" w:hAnsi="Garamond" w:cs="Garamond"/>
        </w:rPr>
      </w:pPr>
    </w:p>
    <w:p w14:paraId="5AD5C419" w14:textId="77777777" w:rsidR="00C57F64" w:rsidRDefault="00C57F64" w:rsidP="00C57F64">
      <w:pPr>
        <w:widowControl w:val="0"/>
        <w:spacing w:after="0" w:line="240" w:lineRule="auto"/>
        <w:rPr>
          <w:rFonts w:ascii="Garamond" w:hAnsi="Garamond" w:cs="Arial"/>
        </w:rPr>
      </w:pPr>
      <w:r w:rsidRPr="528E92F1">
        <w:rPr>
          <w:rFonts w:ascii="Garamond" w:hAnsi="Garamond" w:cs="Arial"/>
          <w:i/>
          <w:iCs/>
        </w:rPr>
        <w:t>3.3.</w:t>
      </w:r>
      <w:r w:rsidRPr="31317E06">
        <w:rPr>
          <w:rFonts w:ascii="Garamond" w:hAnsi="Garamond" w:cs="Arial"/>
          <w:i/>
          <w:iCs/>
        </w:rPr>
        <w:t xml:space="preserve">2 </w:t>
      </w:r>
      <w:r w:rsidRPr="750AD3BF">
        <w:rPr>
          <w:rFonts w:ascii="Garamond" w:hAnsi="Garamond" w:cs="Arial"/>
          <w:i/>
          <w:iCs/>
        </w:rPr>
        <w:t>Chlorophyll</w:t>
      </w:r>
      <w:r w:rsidRPr="1D3F9D83">
        <w:rPr>
          <w:rFonts w:ascii="Garamond" w:hAnsi="Garamond" w:cs="Arial"/>
          <w:i/>
          <w:iCs/>
        </w:rPr>
        <w:t>-a</w:t>
      </w:r>
    </w:p>
    <w:p w14:paraId="55D0D670" w14:textId="77777777" w:rsidR="00C57F64" w:rsidRPr="00415278" w:rsidRDefault="00C57F64" w:rsidP="00C57F64">
      <w:pPr>
        <w:widowControl w:val="0"/>
        <w:spacing w:after="0" w:line="240" w:lineRule="auto"/>
        <w:rPr>
          <w:rFonts w:ascii="Garamond" w:eastAsia="Garamond" w:hAnsi="Garamond" w:cs="Garamond"/>
        </w:rPr>
      </w:pPr>
      <w:r w:rsidRPr="5AD089C2">
        <w:rPr>
          <w:rFonts w:ascii="Garamond" w:eastAsia="Garamond" w:hAnsi="Garamond" w:cs="Garamond"/>
        </w:rPr>
        <w:t>The mean of the NDCI was taken from the recreation season of the entire study period. Our team looked into the standard deviation of the index values, specifically the 25</w:t>
      </w:r>
      <w:r w:rsidRPr="5AD089C2">
        <w:rPr>
          <w:rFonts w:ascii="Garamond" w:eastAsia="Garamond" w:hAnsi="Garamond" w:cs="Garamond"/>
          <w:vertAlign w:val="superscript"/>
        </w:rPr>
        <w:t>th</w:t>
      </w:r>
      <w:r w:rsidRPr="5AD089C2">
        <w:rPr>
          <w:rFonts w:ascii="Garamond" w:eastAsia="Garamond" w:hAnsi="Garamond" w:cs="Garamond"/>
        </w:rPr>
        <w:t>, 50</w:t>
      </w:r>
      <w:r w:rsidRPr="5AD089C2">
        <w:rPr>
          <w:rFonts w:ascii="Garamond" w:eastAsia="Garamond" w:hAnsi="Garamond" w:cs="Garamond"/>
          <w:vertAlign w:val="superscript"/>
        </w:rPr>
        <w:t>th</w:t>
      </w:r>
      <w:r w:rsidRPr="5AD089C2">
        <w:rPr>
          <w:rFonts w:ascii="Garamond" w:eastAsia="Garamond" w:hAnsi="Garamond" w:cs="Garamond"/>
        </w:rPr>
        <w:t>, 75</w:t>
      </w:r>
      <w:r w:rsidRPr="5AD089C2">
        <w:rPr>
          <w:rFonts w:ascii="Garamond" w:eastAsia="Garamond" w:hAnsi="Garamond" w:cs="Garamond"/>
          <w:vertAlign w:val="superscript"/>
        </w:rPr>
        <w:t>th</w:t>
      </w:r>
      <w:r w:rsidRPr="5AD089C2">
        <w:rPr>
          <w:rFonts w:ascii="Garamond" w:eastAsia="Garamond" w:hAnsi="Garamond" w:cs="Garamond"/>
        </w:rPr>
        <w:t>, and 90</w:t>
      </w:r>
      <w:r w:rsidRPr="5AD089C2">
        <w:rPr>
          <w:rFonts w:ascii="Garamond" w:eastAsia="Garamond" w:hAnsi="Garamond" w:cs="Garamond"/>
          <w:vertAlign w:val="superscript"/>
        </w:rPr>
        <w:t>th</w:t>
      </w:r>
      <w:r w:rsidRPr="5AD089C2">
        <w:rPr>
          <w:rFonts w:ascii="Garamond" w:eastAsia="Garamond" w:hAnsi="Garamond" w:cs="Garamond"/>
        </w:rPr>
        <w:t xml:space="preserve"> percentiles. The 100</w:t>
      </w:r>
      <w:r w:rsidRPr="5AD089C2">
        <w:rPr>
          <w:rFonts w:ascii="Garamond" w:eastAsia="Garamond" w:hAnsi="Garamond" w:cs="Garamond"/>
          <w:vertAlign w:val="superscript"/>
        </w:rPr>
        <w:t>th</w:t>
      </w:r>
      <w:r w:rsidRPr="5AD089C2">
        <w:rPr>
          <w:rFonts w:ascii="Garamond" w:eastAsia="Garamond" w:hAnsi="Garamond" w:cs="Garamond"/>
        </w:rPr>
        <w:t xml:space="preserve"> percentile was not included as it was not a good representation of the dispersion of chlorophyll-a concentrations. This is because the 100</w:t>
      </w:r>
      <w:r w:rsidRPr="5AD089C2">
        <w:rPr>
          <w:rFonts w:ascii="Garamond" w:eastAsia="Garamond" w:hAnsi="Garamond" w:cs="Garamond"/>
          <w:vertAlign w:val="superscript"/>
        </w:rPr>
        <w:t>th</w:t>
      </w:r>
      <w:r w:rsidRPr="5AD089C2">
        <w:rPr>
          <w:rFonts w:ascii="Garamond" w:eastAsia="Garamond" w:hAnsi="Garamond" w:cs="Garamond"/>
        </w:rPr>
        <w:t xml:space="preserve"> percentile is most likely skewed by outside factors, such as land contamination. We lastly exported these layers to ArcGIS Pro to be configured into algal bloom trend maps. </w:t>
      </w:r>
    </w:p>
    <w:p w14:paraId="47BF5AFB" w14:textId="77777777" w:rsidR="00C57F64" w:rsidRDefault="00C57F64" w:rsidP="00C57F64">
      <w:pPr>
        <w:widowControl w:val="0"/>
        <w:spacing w:after="0" w:line="240" w:lineRule="auto"/>
        <w:rPr>
          <w:rFonts w:ascii="Garamond" w:hAnsi="Garamond" w:cs="Arial"/>
          <w:i/>
          <w:iCs/>
        </w:rPr>
      </w:pPr>
    </w:p>
    <w:p w14:paraId="1312364A" w14:textId="77777777" w:rsidR="00C57F64" w:rsidRDefault="00C57F64" w:rsidP="00C57F64">
      <w:pPr>
        <w:widowControl w:val="0"/>
        <w:spacing w:after="0" w:line="240" w:lineRule="auto"/>
        <w:rPr>
          <w:rFonts w:ascii="Garamond" w:hAnsi="Garamond" w:cs="Arial"/>
          <w:i/>
          <w:iCs/>
        </w:rPr>
      </w:pPr>
      <w:r w:rsidRPr="3491BC5F">
        <w:rPr>
          <w:rFonts w:ascii="Garamond" w:hAnsi="Garamond" w:cs="Arial"/>
          <w:i/>
          <w:iCs/>
        </w:rPr>
        <w:t xml:space="preserve">3.3.3 </w:t>
      </w:r>
      <w:r w:rsidRPr="608BDD35">
        <w:rPr>
          <w:rFonts w:ascii="Garamond" w:hAnsi="Garamond" w:cs="Arial"/>
          <w:i/>
          <w:iCs/>
        </w:rPr>
        <w:t>Turbidity</w:t>
      </w:r>
    </w:p>
    <w:p w14:paraId="3CB965F6" w14:textId="77777777" w:rsidR="00C57F64" w:rsidRPr="00415278" w:rsidRDefault="00C57F64" w:rsidP="00C57F64">
      <w:pPr>
        <w:widowControl w:val="0"/>
        <w:spacing w:after="0" w:line="240" w:lineRule="auto"/>
        <w:rPr>
          <w:rFonts w:ascii="Garamond" w:eastAsia="Garamond" w:hAnsi="Garamond" w:cs="Garamond"/>
        </w:rPr>
      </w:pPr>
      <w:r w:rsidRPr="5AD089C2">
        <w:rPr>
          <w:rFonts w:ascii="Garamond" w:eastAsia="Garamond" w:hAnsi="Garamond" w:cs="Garamond"/>
        </w:rPr>
        <w:t>Similar to the chlorophyll-a concentration, the mean of the NDTI was taken from the recreation season of the entire study period. Our team examined the standard deviation of the index values, specifically the 25</w:t>
      </w:r>
      <w:r w:rsidRPr="5AD089C2">
        <w:rPr>
          <w:rFonts w:ascii="Garamond" w:eastAsia="Garamond" w:hAnsi="Garamond" w:cs="Garamond"/>
          <w:vertAlign w:val="superscript"/>
        </w:rPr>
        <w:t>th</w:t>
      </w:r>
      <w:r w:rsidRPr="5AD089C2">
        <w:rPr>
          <w:rFonts w:ascii="Garamond" w:eastAsia="Garamond" w:hAnsi="Garamond" w:cs="Garamond"/>
        </w:rPr>
        <w:t>, 50</w:t>
      </w:r>
      <w:r w:rsidRPr="5AD089C2">
        <w:rPr>
          <w:rFonts w:ascii="Garamond" w:eastAsia="Garamond" w:hAnsi="Garamond" w:cs="Garamond"/>
          <w:vertAlign w:val="superscript"/>
        </w:rPr>
        <w:t>th</w:t>
      </w:r>
      <w:r w:rsidRPr="5AD089C2">
        <w:rPr>
          <w:rFonts w:ascii="Garamond" w:eastAsia="Garamond" w:hAnsi="Garamond" w:cs="Garamond"/>
        </w:rPr>
        <w:t>, 75</w:t>
      </w:r>
      <w:r w:rsidRPr="5AD089C2">
        <w:rPr>
          <w:rFonts w:ascii="Garamond" w:eastAsia="Garamond" w:hAnsi="Garamond" w:cs="Garamond"/>
          <w:vertAlign w:val="superscript"/>
        </w:rPr>
        <w:t>th</w:t>
      </w:r>
      <w:r w:rsidRPr="5AD089C2">
        <w:rPr>
          <w:rFonts w:ascii="Garamond" w:eastAsia="Garamond" w:hAnsi="Garamond" w:cs="Garamond"/>
        </w:rPr>
        <w:t>, and 90</w:t>
      </w:r>
      <w:r w:rsidRPr="5AD089C2">
        <w:rPr>
          <w:rFonts w:ascii="Garamond" w:eastAsia="Garamond" w:hAnsi="Garamond" w:cs="Garamond"/>
          <w:vertAlign w:val="superscript"/>
        </w:rPr>
        <w:t>th</w:t>
      </w:r>
      <w:r w:rsidRPr="5AD089C2">
        <w:rPr>
          <w:rFonts w:ascii="Garamond" w:eastAsia="Garamond" w:hAnsi="Garamond" w:cs="Garamond"/>
        </w:rPr>
        <w:t xml:space="preserve"> percentiles. Like the NDCI we did not include the 100</w:t>
      </w:r>
      <w:r w:rsidRPr="5AD089C2">
        <w:rPr>
          <w:rFonts w:ascii="Garamond" w:eastAsia="Garamond" w:hAnsi="Garamond" w:cs="Garamond"/>
          <w:vertAlign w:val="superscript"/>
        </w:rPr>
        <w:t>th</w:t>
      </w:r>
      <w:r w:rsidRPr="5AD089C2">
        <w:rPr>
          <w:rFonts w:ascii="Garamond" w:eastAsia="Garamond" w:hAnsi="Garamond" w:cs="Garamond"/>
        </w:rPr>
        <w:t xml:space="preserve"> percentile as outside factors such as land contamination may skew with the dispersion of turbidity levels. We lastly exported these layers to ArcGIS Pro to be configured into turbidity trend maps. </w:t>
      </w:r>
    </w:p>
    <w:p w14:paraId="2F89673C" w14:textId="77777777" w:rsidR="00C57F64" w:rsidRDefault="00C57F64" w:rsidP="00C57F64">
      <w:pPr>
        <w:widowControl w:val="0"/>
        <w:spacing w:after="0" w:line="240" w:lineRule="auto"/>
        <w:rPr>
          <w:rFonts w:ascii="Garamond" w:hAnsi="Garamond" w:cs="Arial"/>
          <w:i/>
          <w:iCs/>
        </w:rPr>
      </w:pPr>
    </w:p>
    <w:p w14:paraId="454A2C9B" w14:textId="77777777" w:rsidR="00C57F64" w:rsidRDefault="00C57F64" w:rsidP="00C57F64">
      <w:pPr>
        <w:widowControl w:val="0"/>
        <w:spacing w:after="0" w:line="240" w:lineRule="auto"/>
      </w:pPr>
      <w:r w:rsidRPr="20B9F020">
        <w:rPr>
          <w:rFonts w:ascii="Garamond" w:hAnsi="Garamond" w:cs="Arial"/>
          <w:i/>
          <w:iCs/>
        </w:rPr>
        <w:t xml:space="preserve">3.3.4 </w:t>
      </w:r>
      <w:r w:rsidRPr="1D1D1DC1">
        <w:rPr>
          <w:rFonts w:ascii="Garamond" w:hAnsi="Garamond" w:cs="Arial"/>
          <w:i/>
          <w:iCs/>
        </w:rPr>
        <w:t>Surface Temperature</w:t>
      </w:r>
    </w:p>
    <w:p w14:paraId="499E1EE9" w14:textId="77777777" w:rsidR="00C57F64" w:rsidRDefault="00C57F64" w:rsidP="00C57F64">
      <w:pPr>
        <w:widowControl w:val="0"/>
        <w:spacing w:after="0" w:line="240" w:lineRule="auto"/>
        <w:rPr>
          <w:rFonts w:ascii="Garamond" w:hAnsi="Garamond" w:cs="Arial"/>
        </w:rPr>
      </w:pPr>
      <w:r w:rsidRPr="5AD089C2">
        <w:rPr>
          <w:rFonts w:ascii="Garamond" w:hAnsi="Garamond" w:cs="Arial"/>
        </w:rPr>
        <w:t xml:space="preserve">Our team generated several maps using seasonal statistics to visually assess spatiotemporal lake surface temperature trends. We </w:t>
      </w:r>
      <w:r w:rsidRPr="033FC0A2">
        <w:rPr>
          <w:rFonts w:ascii="Garamond" w:hAnsi="Garamond" w:cs="Arial"/>
        </w:rPr>
        <w:t>scripted GEE code to derive median and 95</w:t>
      </w:r>
      <w:r w:rsidRPr="033FC0A2">
        <w:rPr>
          <w:rFonts w:ascii="Garamond" w:hAnsi="Garamond" w:cs="Arial"/>
          <w:vertAlign w:val="superscript"/>
        </w:rPr>
        <w:t>th</w:t>
      </w:r>
      <w:r w:rsidRPr="033FC0A2">
        <w:rPr>
          <w:rFonts w:ascii="Garamond" w:hAnsi="Garamond" w:cs="Arial"/>
        </w:rPr>
        <w:t xml:space="preserve"> percentile ST values for two sub-annual periods: the recreation season and an abbreviated period </w:t>
      </w:r>
      <w:r w:rsidRPr="5AD089C2">
        <w:rPr>
          <w:rFonts w:ascii="Garamond" w:hAnsi="Garamond" w:cs="Arial"/>
        </w:rPr>
        <w:t xml:space="preserve">from </w:t>
      </w:r>
      <w:r w:rsidRPr="033FC0A2">
        <w:rPr>
          <w:rFonts w:ascii="Garamond" w:hAnsi="Garamond" w:cs="Arial"/>
        </w:rPr>
        <w:t xml:space="preserve">Jun. </w:t>
      </w:r>
      <w:r w:rsidRPr="5AD089C2">
        <w:rPr>
          <w:rFonts w:ascii="Garamond" w:hAnsi="Garamond" w:cs="Arial"/>
        </w:rPr>
        <w:t>1</w:t>
      </w:r>
      <w:r w:rsidRPr="5AD089C2">
        <w:rPr>
          <w:rFonts w:ascii="Garamond" w:hAnsi="Garamond" w:cs="Arial"/>
          <w:vertAlign w:val="superscript"/>
        </w:rPr>
        <w:t>st</w:t>
      </w:r>
      <w:r w:rsidRPr="033FC0A2">
        <w:rPr>
          <w:rFonts w:ascii="Garamond" w:hAnsi="Garamond" w:cs="Arial"/>
        </w:rPr>
        <w:t xml:space="preserve"> – Sept. </w:t>
      </w:r>
      <w:r w:rsidRPr="5AD089C2">
        <w:rPr>
          <w:rFonts w:ascii="Garamond" w:hAnsi="Garamond" w:cs="Arial"/>
        </w:rPr>
        <w:t>30</w:t>
      </w:r>
      <w:r w:rsidRPr="5AD089C2">
        <w:rPr>
          <w:rFonts w:ascii="Garamond" w:hAnsi="Garamond" w:cs="Arial"/>
          <w:vertAlign w:val="superscript"/>
        </w:rPr>
        <w:t>th</w:t>
      </w:r>
      <w:r w:rsidRPr="033FC0A2">
        <w:rPr>
          <w:rFonts w:ascii="Garamond" w:hAnsi="Garamond" w:cs="Arial"/>
        </w:rPr>
        <w:t xml:space="preserve"> designed to </w:t>
      </w:r>
      <w:r w:rsidRPr="5AD089C2">
        <w:rPr>
          <w:rFonts w:ascii="Garamond" w:hAnsi="Garamond" w:cs="Arial"/>
        </w:rPr>
        <w:t>encompass the</w:t>
      </w:r>
      <w:r w:rsidRPr="033FC0A2">
        <w:rPr>
          <w:rFonts w:ascii="Garamond" w:hAnsi="Garamond" w:cs="Arial"/>
        </w:rPr>
        <w:t xml:space="preserve"> months during which temperature is </w:t>
      </w:r>
      <w:r w:rsidRPr="5AD089C2">
        <w:rPr>
          <w:rFonts w:ascii="Garamond" w:hAnsi="Garamond" w:cs="Arial"/>
        </w:rPr>
        <w:t xml:space="preserve">likely to have the greatest influence on </w:t>
      </w:r>
      <w:r w:rsidRPr="033FC0A2">
        <w:rPr>
          <w:rFonts w:ascii="Garamond" w:hAnsi="Garamond" w:cs="Arial"/>
        </w:rPr>
        <w:t xml:space="preserve">algal proliferation. </w:t>
      </w:r>
      <w:r w:rsidRPr="5AD089C2">
        <w:rPr>
          <w:rFonts w:ascii="Garamond" w:hAnsi="Garamond" w:cs="Arial"/>
        </w:rPr>
        <w:t xml:space="preserve">We also calculated mean ST, but due to skewing caused by cool temperature outliers, we chose to exclude the output from further analysis. </w:t>
      </w:r>
      <w:r w:rsidRPr="3E84361D">
        <w:rPr>
          <w:rFonts w:ascii="Garamond" w:hAnsi="Garamond" w:cs="Arial"/>
        </w:rPr>
        <w:t xml:space="preserve">We </w:t>
      </w:r>
      <w:r w:rsidRPr="5AD089C2">
        <w:rPr>
          <w:rFonts w:ascii="Garamond" w:hAnsi="Garamond" w:cs="Arial"/>
        </w:rPr>
        <w:t>exported this data from GEE to create ST trends maps for each year of our study in ArcGIS Pro. To conduct a rudimentary validation, we then compared</w:t>
      </w:r>
      <w:r w:rsidRPr="3E84361D">
        <w:rPr>
          <w:rFonts w:ascii="Garamond" w:hAnsi="Garamond" w:cs="Arial"/>
        </w:rPr>
        <w:t xml:space="preserve"> available </w:t>
      </w:r>
      <w:r w:rsidRPr="3E84361D">
        <w:rPr>
          <w:rFonts w:ascii="Garamond" w:hAnsi="Garamond" w:cs="Arial"/>
          <w:i/>
          <w:iCs/>
        </w:rPr>
        <w:t>in situ</w:t>
      </w:r>
      <w:r w:rsidRPr="3E84361D">
        <w:rPr>
          <w:rFonts w:ascii="Garamond" w:hAnsi="Garamond" w:cs="Arial"/>
        </w:rPr>
        <w:t xml:space="preserve"> temperature measurements</w:t>
      </w:r>
      <w:r w:rsidRPr="5AD089C2">
        <w:rPr>
          <w:rFonts w:ascii="Garamond" w:hAnsi="Garamond" w:cs="Arial"/>
        </w:rPr>
        <w:t>,</w:t>
      </w:r>
      <w:r w:rsidRPr="3E84361D">
        <w:rPr>
          <w:rFonts w:ascii="Garamond" w:hAnsi="Garamond" w:cs="Arial"/>
        </w:rPr>
        <w:t xml:space="preserve"> taken at no greater than </w:t>
      </w:r>
      <w:r w:rsidRPr="00496929">
        <w:rPr>
          <w:rFonts w:ascii="Garamond" w:hAnsi="Garamond" w:cs="Arial"/>
        </w:rPr>
        <w:t>1m</w:t>
      </w:r>
      <w:r w:rsidRPr="3E84361D">
        <w:rPr>
          <w:rFonts w:ascii="Garamond" w:hAnsi="Garamond" w:cs="Arial"/>
        </w:rPr>
        <w:t xml:space="preserve"> depth</w:t>
      </w:r>
      <w:r w:rsidRPr="5AD089C2">
        <w:rPr>
          <w:rFonts w:ascii="Garamond" w:hAnsi="Garamond" w:cs="Arial"/>
        </w:rPr>
        <w:t>, side-by-side with pixel-level</w:t>
      </w:r>
      <w:r w:rsidRPr="3E84361D">
        <w:rPr>
          <w:rFonts w:ascii="Garamond" w:hAnsi="Garamond" w:cs="Arial"/>
        </w:rPr>
        <w:t xml:space="preserve"> ST retrievals for corresponding </w:t>
      </w:r>
      <w:r w:rsidRPr="5AD089C2">
        <w:rPr>
          <w:rFonts w:ascii="Garamond" w:hAnsi="Garamond" w:cs="Arial"/>
        </w:rPr>
        <w:t>dates</w:t>
      </w:r>
      <w:r w:rsidRPr="3E84361D">
        <w:rPr>
          <w:rFonts w:ascii="Garamond" w:hAnsi="Garamond" w:cs="Arial"/>
        </w:rPr>
        <w:t xml:space="preserve"> and sample locations.</w:t>
      </w:r>
    </w:p>
    <w:p w14:paraId="52149A00" w14:textId="77777777" w:rsidR="00C57F64" w:rsidRDefault="00C57F64" w:rsidP="00C57F64">
      <w:pPr>
        <w:widowControl w:val="0"/>
        <w:spacing w:after="0" w:line="240" w:lineRule="auto"/>
        <w:rPr>
          <w:rFonts w:ascii="Garamond" w:hAnsi="Garamond" w:cs="Arial"/>
        </w:rPr>
      </w:pPr>
    </w:p>
    <w:p w14:paraId="7B64C52B" w14:textId="77777777" w:rsidR="00C57F64" w:rsidRDefault="00C57F64" w:rsidP="00C57F64">
      <w:pPr>
        <w:widowControl w:val="0"/>
        <w:spacing w:after="0" w:line="240" w:lineRule="auto"/>
        <w:rPr>
          <w:rFonts w:ascii="Garamond" w:eastAsia="Garamond" w:hAnsi="Garamond" w:cs="Garamond"/>
        </w:rPr>
      </w:pPr>
      <w:r w:rsidRPr="5AD089C2">
        <w:rPr>
          <w:rFonts w:ascii="Garamond" w:eastAsia="Garamond" w:hAnsi="Garamond" w:cs="Garamond"/>
          <w:i/>
          <w:iCs/>
        </w:rPr>
        <w:t xml:space="preserve">3.3.5 </w:t>
      </w:r>
      <w:r w:rsidRPr="5AD089C2">
        <w:rPr>
          <w:rFonts w:ascii="Garamond" w:eastAsia="Garamond" w:hAnsi="Garamond" w:cs="Garamond"/>
        </w:rPr>
        <w:t>In situ</w:t>
      </w:r>
      <w:r w:rsidRPr="47BAFFBC">
        <w:rPr>
          <w:rFonts w:ascii="Garamond" w:eastAsia="Garamond" w:hAnsi="Garamond" w:cs="Garamond"/>
          <w:i/>
          <w:iCs/>
        </w:rPr>
        <w:t xml:space="preserve"> &amp; Ancillary Data</w:t>
      </w:r>
    </w:p>
    <w:p w14:paraId="63ECF449" w14:textId="016C964A" w:rsidR="00C57F64" w:rsidRDefault="00C57F64" w:rsidP="00C57F64">
      <w:pPr>
        <w:widowControl w:val="0"/>
        <w:spacing w:after="0" w:line="240" w:lineRule="auto"/>
        <w:rPr>
          <w:rFonts w:ascii="Garamond" w:eastAsia="Times New Roman" w:hAnsi="Garamond" w:cs="Arial"/>
        </w:rPr>
      </w:pPr>
      <w:r w:rsidRPr="5AD089C2">
        <w:rPr>
          <w:rFonts w:ascii="Garamond" w:eastAsia="Times New Roman" w:hAnsi="Garamond" w:cs="Arial"/>
        </w:rPr>
        <w:t>Our team</w:t>
      </w:r>
      <w:r w:rsidRPr="47BAFFBC">
        <w:rPr>
          <w:rFonts w:ascii="Garamond" w:eastAsia="Times New Roman" w:hAnsi="Garamond" w:cs="Arial"/>
        </w:rPr>
        <w:t xml:space="preserve"> used </w:t>
      </w:r>
      <w:r w:rsidRPr="47BAFFBC">
        <w:rPr>
          <w:rFonts w:ascii="Garamond" w:eastAsia="Times New Roman" w:hAnsi="Garamond" w:cs="Arial"/>
          <w:i/>
          <w:iCs/>
        </w:rPr>
        <w:t>in</w:t>
      </w:r>
      <w:r w:rsidRPr="3E84361D">
        <w:rPr>
          <w:rFonts w:ascii="Garamond" w:eastAsia="Times New Roman" w:hAnsi="Garamond" w:cs="Arial"/>
          <w:i/>
          <w:iCs/>
        </w:rPr>
        <w:t xml:space="preserve"> </w:t>
      </w:r>
      <w:r w:rsidRPr="47BAFFBC">
        <w:rPr>
          <w:rFonts w:ascii="Garamond" w:eastAsia="Times New Roman" w:hAnsi="Garamond" w:cs="Arial"/>
          <w:i/>
          <w:iCs/>
        </w:rPr>
        <w:t>situ</w:t>
      </w:r>
      <w:r w:rsidRPr="47BAFFBC">
        <w:rPr>
          <w:rFonts w:ascii="Garamond" w:eastAsia="Times New Roman" w:hAnsi="Garamond" w:cs="Arial"/>
        </w:rPr>
        <w:t xml:space="preserve"> data to perform a </w:t>
      </w:r>
      <w:r w:rsidRPr="7E64A2B5">
        <w:rPr>
          <w:rFonts w:ascii="Garamond" w:eastAsia="Times New Roman" w:hAnsi="Garamond" w:cs="Arial"/>
        </w:rPr>
        <w:t>Kriging</w:t>
      </w:r>
      <w:r w:rsidRPr="47BAFFBC">
        <w:rPr>
          <w:rFonts w:ascii="Garamond" w:eastAsia="Times New Roman" w:hAnsi="Garamond" w:cs="Arial"/>
        </w:rPr>
        <w:t xml:space="preserve"> analysis in ArcGIS Pro to interpolate the concentration spread of chlorophyll-a, total nitrogen, total phosphorus, and total dissolved oxygen throughout the lake in the 2016</w:t>
      </w:r>
      <w:r w:rsidR="005D465C">
        <w:rPr>
          <w:rFonts w:ascii="Garamond" w:eastAsia="Times New Roman" w:hAnsi="Garamond" w:cs="Arial"/>
        </w:rPr>
        <w:t>–</w:t>
      </w:r>
      <w:r w:rsidRPr="47BAFFBC">
        <w:rPr>
          <w:rFonts w:ascii="Garamond" w:eastAsia="Times New Roman" w:hAnsi="Garamond" w:cs="Arial"/>
        </w:rPr>
        <w:t>2022 timeframe</w:t>
      </w:r>
      <w:r w:rsidRPr="5AD089C2">
        <w:rPr>
          <w:rFonts w:ascii="Garamond" w:eastAsia="Times New Roman" w:hAnsi="Garamond" w:cs="Arial"/>
        </w:rPr>
        <w:t xml:space="preserve"> (Appendix B1).</w:t>
      </w:r>
      <w:r w:rsidRPr="47BAFFBC">
        <w:rPr>
          <w:rFonts w:ascii="Garamond" w:eastAsia="Times New Roman" w:hAnsi="Garamond" w:cs="Arial"/>
        </w:rPr>
        <w:t xml:space="preserve"> We clipped the interpolated data to the lake boundary shapefile and layered it on top of the USDA Cropland Data Layer to determine primary sources of agriculture feeding excess nutrients into the lake. Additionally, we overlayed a stream map from the Virginia Base Mapping </w:t>
      </w:r>
      <w:r w:rsidRPr="47BAFFBC">
        <w:rPr>
          <w:rFonts w:ascii="Garamond" w:eastAsia="Times New Roman" w:hAnsi="Garamond" w:cs="Arial"/>
        </w:rPr>
        <w:lastRenderedPageBreak/>
        <w:t>Program (VBMP) to gain a better perspective on which sources were directly and indirectly feeding the lake through runoff.</w:t>
      </w:r>
    </w:p>
    <w:p w14:paraId="1464837E" w14:textId="77777777" w:rsidR="00C57F64" w:rsidRDefault="00C57F64" w:rsidP="00C57F64">
      <w:pPr>
        <w:widowControl w:val="0"/>
        <w:spacing w:after="0" w:line="240" w:lineRule="auto"/>
        <w:rPr>
          <w:rFonts w:ascii="Garamond" w:eastAsia="Times New Roman" w:hAnsi="Garamond" w:cs="Arial"/>
        </w:rPr>
      </w:pPr>
    </w:p>
    <w:p w14:paraId="6F152C9F" w14:textId="029053AF" w:rsidR="00C57F64" w:rsidRDefault="00C57F64" w:rsidP="00C57F64">
      <w:pPr>
        <w:widowControl w:val="0"/>
        <w:spacing w:after="0" w:line="240" w:lineRule="auto"/>
        <w:rPr>
          <w:rFonts w:ascii="Garamond" w:eastAsia="Times New Roman" w:hAnsi="Garamond" w:cs="Arial"/>
        </w:rPr>
      </w:pPr>
      <w:r w:rsidRPr="5D736E23">
        <w:rPr>
          <w:rFonts w:ascii="Garamond" w:eastAsia="Times New Roman" w:hAnsi="Garamond" w:cs="Arial"/>
        </w:rPr>
        <w:t xml:space="preserve">We investigated the relationship between water quality parameters and </w:t>
      </w:r>
      <w:r w:rsidRPr="6C3C6B6E">
        <w:rPr>
          <w:rFonts w:ascii="Garamond" w:eastAsia="Times New Roman" w:hAnsi="Garamond" w:cs="Arial"/>
        </w:rPr>
        <w:t>localized HAB</w:t>
      </w:r>
      <w:r w:rsidRPr="5D736E23">
        <w:rPr>
          <w:rFonts w:ascii="Garamond" w:eastAsia="Times New Roman" w:hAnsi="Garamond" w:cs="Arial"/>
        </w:rPr>
        <w:t xml:space="preserve"> advisories by using principal component analysis (PCA) to visualize similarity</w:t>
      </w:r>
      <w:r w:rsidRPr="5AD089C2">
        <w:rPr>
          <w:rFonts w:ascii="Garamond" w:eastAsia="Times New Roman" w:hAnsi="Garamond" w:cs="Arial"/>
        </w:rPr>
        <w:t>,</w:t>
      </w:r>
      <w:r w:rsidRPr="5D736E23">
        <w:rPr>
          <w:rFonts w:ascii="Garamond" w:eastAsia="Times New Roman" w:hAnsi="Garamond" w:cs="Arial"/>
        </w:rPr>
        <w:t xml:space="preserve"> or lack thereof</w:t>
      </w:r>
      <w:r w:rsidRPr="5AD089C2">
        <w:rPr>
          <w:rFonts w:ascii="Garamond" w:eastAsia="Times New Roman" w:hAnsi="Garamond" w:cs="Arial"/>
        </w:rPr>
        <w:t>,</w:t>
      </w:r>
      <w:r w:rsidRPr="5D736E23">
        <w:rPr>
          <w:rFonts w:ascii="Garamond" w:eastAsia="Times New Roman" w:hAnsi="Garamond" w:cs="Arial"/>
        </w:rPr>
        <w:t xml:space="preserve"> </w:t>
      </w:r>
      <w:r w:rsidRPr="3104958A">
        <w:rPr>
          <w:rFonts w:ascii="Garamond" w:eastAsia="Times New Roman" w:hAnsi="Garamond" w:cs="Arial"/>
        </w:rPr>
        <w:t>between</w:t>
      </w:r>
      <w:r w:rsidRPr="5D736E23">
        <w:rPr>
          <w:rFonts w:ascii="Garamond" w:eastAsia="Times New Roman" w:hAnsi="Garamond" w:cs="Arial"/>
        </w:rPr>
        <w:t xml:space="preserve"> </w:t>
      </w:r>
      <w:r w:rsidRPr="5AD089C2">
        <w:rPr>
          <w:rFonts w:ascii="Garamond" w:eastAsia="Times New Roman" w:hAnsi="Garamond" w:cs="Arial"/>
        </w:rPr>
        <w:t>the Middle North Anna and Upper Pamunkey</w:t>
      </w:r>
      <w:r w:rsidRPr="5D736E23">
        <w:rPr>
          <w:rFonts w:ascii="Garamond" w:eastAsia="Times New Roman" w:hAnsi="Garamond" w:cs="Arial"/>
        </w:rPr>
        <w:t xml:space="preserve"> </w:t>
      </w:r>
      <w:r w:rsidRPr="3104958A">
        <w:rPr>
          <w:rFonts w:ascii="Garamond" w:eastAsia="Times New Roman" w:hAnsi="Garamond" w:cs="Arial"/>
        </w:rPr>
        <w:t>branches</w:t>
      </w:r>
      <w:r w:rsidRPr="5D736E23">
        <w:rPr>
          <w:rFonts w:ascii="Garamond" w:eastAsia="Times New Roman" w:hAnsi="Garamond" w:cs="Arial"/>
        </w:rPr>
        <w:t xml:space="preserve"> </w:t>
      </w:r>
      <w:r w:rsidRPr="5AD089C2">
        <w:rPr>
          <w:rFonts w:ascii="Garamond" w:eastAsia="Times New Roman" w:hAnsi="Garamond" w:cs="Arial"/>
        </w:rPr>
        <w:t xml:space="preserve">of the </w:t>
      </w:r>
      <w:r w:rsidRPr="5D736E23">
        <w:rPr>
          <w:rFonts w:ascii="Garamond" w:eastAsia="Times New Roman" w:hAnsi="Garamond" w:cs="Arial"/>
        </w:rPr>
        <w:t xml:space="preserve">Lake </w:t>
      </w:r>
      <w:r w:rsidRPr="5AD089C2">
        <w:rPr>
          <w:rFonts w:ascii="Garamond" w:eastAsia="Times New Roman" w:hAnsi="Garamond" w:cs="Arial"/>
        </w:rPr>
        <w:t>(Fig. B2). We derived the nomenclature and boundaries of these sections from the VDH’s Algal Bloom Surveillance Map dashboard. During this analysis we used water quality data from two DEQ monitoring stations, recorded at a depth of 0.3 meters from the months of June to October of 2019–2022.</w:t>
      </w:r>
      <w:r w:rsidRPr="5D736E23">
        <w:rPr>
          <w:rFonts w:ascii="Garamond" w:eastAsia="Times New Roman" w:hAnsi="Garamond" w:cs="Arial"/>
        </w:rPr>
        <w:t xml:space="preserve"> Components investigated included total nitrogen (mg/L), total phosphorous (mg/L), temperature (°C), pH and the presence or absence of an advisory.</w:t>
      </w:r>
      <w:r w:rsidRPr="1CFEAD3E">
        <w:rPr>
          <w:rFonts w:ascii="Garamond" w:eastAsia="Times New Roman" w:hAnsi="Garamond" w:cs="Arial"/>
        </w:rPr>
        <w:t xml:space="preserve"> </w:t>
      </w:r>
      <w:r w:rsidRPr="7454F984">
        <w:rPr>
          <w:rFonts w:ascii="Garamond" w:eastAsia="Times New Roman" w:hAnsi="Garamond" w:cs="Arial"/>
        </w:rPr>
        <w:t xml:space="preserve">To overcome the </w:t>
      </w:r>
      <w:r w:rsidRPr="55EC87A5">
        <w:rPr>
          <w:rFonts w:ascii="Garamond" w:eastAsia="Times New Roman" w:hAnsi="Garamond" w:cs="Arial"/>
        </w:rPr>
        <w:t xml:space="preserve">incorporation of </w:t>
      </w:r>
      <w:r w:rsidRPr="4AFF0AA5">
        <w:rPr>
          <w:rFonts w:ascii="Garamond" w:eastAsia="Times New Roman" w:hAnsi="Garamond" w:cs="Arial"/>
        </w:rPr>
        <w:t xml:space="preserve">binary advisory </w:t>
      </w:r>
      <w:r w:rsidRPr="0291793C">
        <w:rPr>
          <w:rFonts w:ascii="Garamond" w:eastAsia="Times New Roman" w:hAnsi="Garamond" w:cs="Arial"/>
        </w:rPr>
        <w:t xml:space="preserve">data within the PCA, </w:t>
      </w:r>
      <w:r w:rsidRPr="1FC1640A">
        <w:rPr>
          <w:rFonts w:ascii="Garamond" w:eastAsia="Times New Roman" w:hAnsi="Garamond" w:cs="Arial"/>
        </w:rPr>
        <w:t xml:space="preserve">presence was coded as 1 </w:t>
      </w:r>
      <w:r w:rsidRPr="3AB4C61C">
        <w:rPr>
          <w:rFonts w:ascii="Garamond" w:eastAsia="Times New Roman" w:hAnsi="Garamond" w:cs="Arial"/>
        </w:rPr>
        <w:t xml:space="preserve">and </w:t>
      </w:r>
      <w:r w:rsidRPr="7E4924E6">
        <w:rPr>
          <w:rFonts w:ascii="Garamond" w:eastAsia="Times New Roman" w:hAnsi="Garamond" w:cs="Arial"/>
        </w:rPr>
        <w:t>absence coded as –1.</w:t>
      </w:r>
      <w:r w:rsidRPr="033FC0A2">
        <w:rPr>
          <w:rFonts w:ascii="Garamond" w:eastAsia="Times New Roman" w:hAnsi="Garamond" w:cs="Arial"/>
        </w:rPr>
        <w:t xml:space="preserve"> This operation was performed in R</w:t>
      </w:r>
      <w:r>
        <w:rPr>
          <w:rFonts w:ascii="Garamond" w:eastAsia="Times New Roman" w:hAnsi="Garamond" w:cs="Arial"/>
        </w:rPr>
        <w:t>S</w:t>
      </w:r>
      <w:r w:rsidRPr="033FC0A2">
        <w:rPr>
          <w:rFonts w:ascii="Garamond" w:eastAsia="Times New Roman" w:hAnsi="Garamond" w:cs="Arial"/>
        </w:rPr>
        <w:t>tudio Desktop (version 2023.06.1+524) using the FactoMineR and Factoextra</w:t>
      </w:r>
      <w:r>
        <w:rPr>
          <w:rFonts w:ascii="Garamond" w:eastAsia="Times New Roman" w:hAnsi="Garamond" w:cs="Arial"/>
        </w:rPr>
        <w:t xml:space="preserve"> packages</w:t>
      </w:r>
      <w:r w:rsidRPr="033FC0A2">
        <w:rPr>
          <w:rFonts w:ascii="Garamond" w:eastAsia="Times New Roman" w:hAnsi="Garamond" w:cs="Arial"/>
        </w:rPr>
        <w:t xml:space="preserve"> (Husson et al.</w:t>
      </w:r>
      <w:r w:rsidR="00F849A5">
        <w:rPr>
          <w:rFonts w:ascii="Garamond" w:eastAsia="Times New Roman" w:hAnsi="Garamond" w:cs="Arial"/>
        </w:rPr>
        <w:t>,</w:t>
      </w:r>
      <w:r w:rsidRPr="033FC0A2">
        <w:rPr>
          <w:rFonts w:ascii="Garamond" w:eastAsia="Times New Roman" w:hAnsi="Garamond" w:cs="Arial"/>
        </w:rPr>
        <w:t xml:space="preserve"> 2008</w:t>
      </w:r>
      <w:r>
        <w:rPr>
          <w:rFonts w:ascii="Garamond" w:eastAsia="Times New Roman" w:hAnsi="Garamond" w:cs="Arial"/>
        </w:rPr>
        <w:t xml:space="preserve">; </w:t>
      </w:r>
      <w:r w:rsidRPr="033FC0A2">
        <w:rPr>
          <w:rFonts w:ascii="Garamond" w:eastAsia="Times New Roman" w:hAnsi="Garamond" w:cs="Arial"/>
        </w:rPr>
        <w:t xml:space="preserve">Kassambara </w:t>
      </w:r>
      <w:r>
        <w:rPr>
          <w:rFonts w:ascii="Garamond" w:eastAsia="Times New Roman" w:hAnsi="Garamond" w:cs="Arial"/>
        </w:rPr>
        <w:t>&amp;</w:t>
      </w:r>
      <w:r w:rsidRPr="033FC0A2">
        <w:rPr>
          <w:rFonts w:ascii="Garamond" w:eastAsia="Times New Roman" w:hAnsi="Garamond" w:cs="Arial"/>
        </w:rPr>
        <w:t xml:space="preserve"> Mundt</w:t>
      </w:r>
      <w:r w:rsidR="00F849A5">
        <w:rPr>
          <w:rFonts w:ascii="Garamond" w:eastAsia="Times New Roman" w:hAnsi="Garamond" w:cs="Arial"/>
        </w:rPr>
        <w:t>,</w:t>
      </w:r>
      <w:r w:rsidRPr="033FC0A2">
        <w:rPr>
          <w:rFonts w:ascii="Garamond" w:eastAsia="Times New Roman" w:hAnsi="Garamond" w:cs="Arial"/>
        </w:rPr>
        <w:t xml:space="preserve"> 2020).</w:t>
      </w:r>
    </w:p>
    <w:p w14:paraId="1A5DC447" w14:textId="77777777" w:rsidR="00C57F64" w:rsidRDefault="00C57F64" w:rsidP="00C57F64">
      <w:pPr>
        <w:widowControl w:val="0"/>
        <w:spacing w:after="0" w:line="240" w:lineRule="auto"/>
        <w:rPr>
          <w:rFonts w:ascii="Garamond" w:eastAsia="Times New Roman" w:hAnsi="Garamond" w:cs="Arial"/>
        </w:rPr>
      </w:pPr>
    </w:p>
    <w:p w14:paraId="1A3F9CA8" w14:textId="6D89A636" w:rsidR="00C57F64" w:rsidRDefault="00C57F64" w:rsidP="00C57F64">
      <w:pPr>
        <w:widowControl w:val="0"/>
        <w:spacing w:after="0" w:line="240" w:lineRule="auto"/>
        <w:rPr>
          <w:rFonts w:ascii="Garamond" w:eastAsia="Times New Roman" w:hAnsi="Garamond" w:cs="Arial"/>
        </w:rPr>
      </w:pPr>
      <w:r w:rsidRPr="5AD089C2">
        <w:rPr>
          <w:rFonts w:ascii="Garamond" w:eastAsia="Times New Roman" w:hAnsi="Garamond" w:cs="Arial"/>
        </w:rPr>
        <w:t>Additionally, our team also combined</w:t>
      </w:r>
      <w:r w:rsidRPr="5AD089C2">
        <w:rPr>
          <w:rFonts w:ascii="Garamond" w:eastAsia="Times New Roman" w:hAnsi="Garamond" w:cs="Arial"/>
          <w:i/>
          <w:iCs/>
        </w:rPr>
        <w:t xml:space="preserve"> in situ</w:t>
      </w:r>
      <w:r w:rsidRPr="5AD089C2">
        <w:rPr>
          <w:rFonts w:ascii="Garamond" w:eastAsia="Times New Roman" w:hAnsi="Garamond" w:cs="Arial"/>
        </w:rPr>
        <w:t xml:space="preserve"> and geospatial data by launching cursory explorations into nutrient contributions from across the Lake Anna watershed and trophic conditions within the Lake itself. Incorporating row crop export coefficients adapted from Lin </w:t>
      </w:r>
      <w:r>
        <w:rPr>
          <w:rFonts w:ascii="Garamond" w:eastAsia="Times New Roman" w:hAnsi="Garamond" w:cs="Arial"/>
        </w:rPr>
        <w:t>(</w:t>
      </w:r>
      <w:r w:rsidRPr="5AD089C2">
        <w:rPr>
          <w:rFonts w:ascii="Garamond" w:eastAsia="Times New Roman" w:hAnsi="Garamond" w:cs="Arial"/>
        </w:rPr>
        <w:t>2004</w:t>
      </w:r>
      <w:r>
        <w:rPr>
          <w:rFonts w:ascii="Garamond" w:eastAsia="Times New Roman" w:hAnsi="Garamond" w:cs="Arial"/>
        </w:rPr>
        <w:t>)</w:t>
      </w:r>
      <w:r w:rsidRPr="5AD089C2">
        <w:rPr>
          <w:rFonts w:ascii="Garamond" w:eastAsia="Times New Roman" w:hAnsi="Garamond" w:cs="Arial"/>
        </w:rPr>
        <w:t>, our team detailed nitrogen and phosphorous loading amounts across the 10 individual sub-watersheds (</w:t>
      </w:r>
      <w:r w:rsidRPr="5AD089C2">
        <w:rPr>
          <w:rFonts w:ascii="Garamond" w:eastAsia="Gungsuh" w:hAnsi="Garamond" w:cs="Gungsuh"/>
        </w:rPr>
        <w:t>Hydrologic Unit Code 12</w:t>
      </w:r>
      <w:r w:rsidRPr="5AD089C2">
        <w:rPr>
          <w:rFonts w:ascii="Garamond" w:eastAsia="Times New Roman" w:hAnsi="Garamond" w:cs="Arial"/>
        </w:rPr>
        <w:t>) that flow into Lake Anna. For these purposes we included corn, soybeans, cotton</w:t>
      </w:r>
      <w:r w:rsidR="005757C7">
        <w:rPr>
          <w:rFonts w:ascii="Garamond" w:eastAsia="Times New Roman" w:hAnsi="Garamond" w:cs="Arial"/>
        </w:rPr>
        <w:t>,</w:t>
      </w:r>
      <w:r w:rsidRPr="5AD089C2">
        <w:rPr>
          <w:rFonts w:ascii="Garamond" w:eastAsia="Times New Roman" w:hAnsi="Garamond" w:cs="Arial"/>
        </w:rPr>
        <w:t xml:space="preserve"> and tobacco as row crops, as described by Klopfer </w:t>
      </w:r>
      <w:r>
        <w:rPr>
          <w:rFonts w:ascii="Garamond" w:eastAsia="Times New Roman" w:hAnsi="Garamond" w:cs="Arial"/>
        </w:rPr>
        <w:t>(</w:t>
      </w:r>
      <w:r w:rsidRPr="5AD089C2">
        <w:rPr>
          <w:rFonts w:ascii="Garamond" w:eastAsia="Times New Roman" w:hAnsi="Garamond" w:cs="Arial"/>
        </w:rPr>
        <w:t>2001</w:t>
      </w:r>
      <w:r>
        <w:rPr>
          <w:rFonts w:ascii="Garamond" w:eastAsia="Times New Roman" w:hAnsi="Garamond" w:cs="Arial"/>
        </w:rPr>
        <w:t>)</w:t>
      </w:r>
      <w:r w:rsidRPr="5AD089C2">
        <w:rPr>
          <w:rFonts w:ascii="Garamond" w:eastAsia="Times New Roman" w:hAnsi="Garamond" w:cs="Arial"/>
        </w:rPr>
        <w:t xml:space="preserve">. We then visualized the resulting phosphorous loading dataset using ArcGIS Pro to gain a quick understanding of which watersheds are the greatest contributors to what is considered to be one of the Lakes’ primary limiting factors (Schnieder, </w:t>
      </w:r>
      <w:r>
        <w:rPr>
          <w:rFonts w:ascii="Garamond" w:eastAsia="Times New Roman" w:hAnsi="Garamond" w:cs="Arial"/>
        </w:rPr>
        <w:t>2020</w:t>
      </w:r>
      <w:r w:rsidRPr="5AD089C2">
        <w:rPr>
          <w:rFonts w:ascii="Garamond" w:eastAsia="Times New Roman" w:hAnsi="Garamond" w:cs="Arial"/>
        </w:rPr>
        <w:t>). It’s important to note that when we performed this analysis, it only incorporated cropland data from 2021, as to align with portions of this project which proceeded this investigation. Near the conclusion of this project, we also performed a brief scoping into the trophic state of the more lacustrine, southern half of the Lake. Due to severe data restrictions, this investigation consisted of readings from two sensors located in the southern basin during the months of June to October of 2018. Lacking secchi disk readings, we could not perform a traditional Trophic State Index (TSI) and instead followed a modified TSI as defined by the Florida Department of Environmental Protection (Paulic et al., 1996</w:t>
      </w:r>
      <w:r>
        <w:rPr>
          <w:rFonts w:ascii="Garamond" w:eastAsia="Times New Roman" w:hAnsi="Garamond" w:cs="Arial"/>
        </w:rPr>
        <w:t>; Equation 4</w:t>
      </w:r>
      <w:r w:rsidRPr="5AD089C2">
        <w:rPr>
          <w:rFonts w:ascii="Garamond" w:eastAsia="Times New Roman" w:hAnsi="Garamond" w:cs="Arial"/>
        </w:rPr>
        <w:t>). The TSI acts as a rapid water quality classification assessment in which researchers gauge the potential biological productivity of a lake or reservoir by measuring its total nitrogen, phosphorous</w:t>
      </w:r>
      <w:r w:rsidR="005757C7">
        <w:rPr>
          <w:rFonts w:ascii="Garamond" w:eastAsia="Times New Roman" w:hAnsi="Garamond" w:cs="Arial"/>
        </w:rPr>
        <w:t>,</w:t>
      </w:r>
      <w:r w:rsidRPr="5AD089C2">
        <w:rPr>
          <w:rFonts w:ascii="Garamond" w:eastAsia="Times New Roman" w:hAnsi="Garamond" w:cs="Arial"/>
        </w:rPr>
        <w:t xml:space="preserve"> and chlorophyll-a amounts (Paulic et al., 1996). It is important to note that the values inserted into the following equations were the averages of recordings during the June</w:t>
      </w:r>
      <w:r w:rsidR="005757C7">
        <w:rPr>
          <w:rFonts w:ascii="Garamond" w:eastAsia="Times New Roman" w:hAnsi="Garamond" w:cs="Arial"/>
        </w:rPr>
        <w:t>–</w:t>
      </w:r>
      <w:r w:rsidRPr="5AD089C2">
        <w:rPr>
          <w:rFonts w:ascii="Garamond" w:eastAsia="Times New Roman" w:hAnsi="Garamond" w:cs="Arial"/>
        </w:rPr>
        <w:t xml:space="preserve">October 2018 time period. The final TSI equation is formatted by first running three formulas related </w:t>
      </w:r>
      <w:r w:rsidR="005757C7">
        <w:rPr>
          <w:rFonts w:ascii="Garamond" w:eastAsia="Times New Roman" w:hAnsi="Garamond" w:cs="Arial"/>
        </w:rPr>
        <w:t xml:space="preserve">to </w:t>
      </w:r>
      <w:r w:rsidRPr="5AD089C2">
        <w:rPr>
          <w:rFonts w:ascii="Garamond" w:eastAsia="Times New Roman" w:hAnsi="Garamond" w:cs="Arial"/>
        </w:rPr>
        <w:t xml:space="preserve">component parameters (Table D1). </w:t>
      </w:r>
      <w:r>
        <w:rPr>
          <w:rFonts w:ascii="Garamond" w:eastAsia="Times New Roman" w:hAnsi="Garamond" w:cs="Arial"/>
        </w:rPr>
        <w:t>Our</w:t>
      </w:r>
      <w:r w:rsidRPr="5AD089C2">
        <w:rPr>
          <w:rFonts w:ascii="Garamond" w:eastAsia="Times New Roman" w:hAnsi="Garamond" w:cs="Arial"/>
        </w:rPr>
        <w:t xml:space="preserve"> team calculated the TSI value associated with phosphorous concentration for a phosphorous</w:t>
      </w:r>
      <w:r>
        <w:rPr>
          <w:rFonts w:ascii="Garamond" w:eastAsia="Times New Roman" w:hAnsi="Garamond" w:cs="Arial"/>
        </w:rPr>
        <w:t>-</w:t>
      </w:r>
      <w:r w:rsidRPr="5AD089C2">
        <w:rPr>
          <w:rFonts w:ascii="Garamond" w:eastAsia="Times New Roman" w:hAnsi="Garamond" w:cs="Arial"/>
        </w:rPr>
        <w:t xml:space="preserve">limited waterbody. We used the phosphorous limited equation as the total nitrogen to total phosphorous ratio was greater than 30, a threshold described by Paulic et al. </w:t>
      </w:r>
      <w:r w:rsidR="005757C7">
        <w:rPr>
          <w:rFonts w:ascii="Garamond" w:eastAsia="Times New Roman" w:hAnsi="Garamond" w:cs="Arial"/>
        </w:rPr>
        <w:t>(</w:t>
      </w:r>
      <w:r w:rsidRPr="5AD089C2">
        <w:rPr>
          <w:rFonts w:ascii="Garamond" w:eastAsia="Times New Roman" w:hAnsi="Garamond" w:cs="Arial"/>
        </w:rPr>
        <w:t>1996</w:t>
      </w:r>
      <w:r w:rsidR="005757C7">
        <w:rPr>
          <w:rFonts w:ascii="Garamond" w:eastAsia="Times New Roman" w:hAnsi="Garamond" w:cs="Arial"/>
        </w:rPr>
        <w:t>)</w:t>
      </w:r>
      <w:r w:rsidRPr="5AD089C2">
        <w:rPr>
          <w:rFonts w:ascii="Garamond" w:eastAsia="Times New Roman" w:hAnsi="Garamond" w:cs="Arial"/>
        </w:rPr>
        <w:t xml:space="preserve">. The final comprehensive TSI formula we employed was also specific to phosphorous-limited lakes and was formatted as follows, utilizing the previously produced component values. </w:t>
      </w:r>
    </w:p>
    <w:p w14:paraId="156989BD" w14:textId="77777777" w:rsidR="00C57F64" w:rsidRDefault="00C57F64" w:rsidP="00C57F64">
      <w:pPr>
        <w:widowControl w:val="0"/>
        <w:spacing w:after="0" w:line="240" w:lineRule="auto"/>
        <w:rPr>
          <w:rFonts w:ascii="Garamond" w:eastAsia="Times New Roman" w:hAnsi="Garamond" w:cs="Arial"/>
        </w:rPr>
      </w:pPr>
    </w:p>
    <w:p w14:paraId="0CD5CDB0" w14:textId="77777777" w:rsidR="00C57F64" w:rsidRDefault="00C57F64" w:rsidP="00C57F64">
      <w:pPr>
        <w:widowControl w:val="0"/>
        <w:spacing w:after="0" w:line="240" w:lineRule="auto"/>
        <w:ind w:left="2880"/>
        <w:jc w:val="center"/>
        <w:rPr>
          <w:rFonts w:ascii="Garamond" w:eastAsia="Times New Roman" w:hAnsi="Garamond" w:cs="Arial"/>
        </w:rPr>
      </w:pPr>
      <m:oMath>
        <m:r>
          <w:rPr>
            <w:rFonts w:ascii="Cambria Math" w:hAnsi="Cambria Math"/>
          </w:rPr>
          <m:t>TSI=</m:t>
        </m:r>
        <m:d>
          <m:dPr>
            <m:begChr m:val="["/>
            <m:endChr m:val="]"/>
            <m:ctrlPr>
              <w:rPr>
                <w:rFonts w:ascii="Cambria Math" w:hAnsi="Cambria Math"/>
              </w:rPr>
            </m:ctrlPr>
          </m:dPr>
          <m:e>
            <m:r>
              <w:rPr>
                <w:rFonts w:ascii="Cambria Math" w:hAnsi="Cambria Math"/>
              </w:rPr>
              <m:t>TSI</m:t>
            </m:r>
            <m:d>
              <m:dPr>
                <m:ctrlPr>
                  <w:rPr>
                    <w:rFonts w:ascii="Cambria Math" w:hAnsi="Cambria Math"/>
                  </w:rPr>
                </m:ctrlPr>
              </m:dPr>
              <m:e>
                <m:r>
                  <w:rPr>
                    <w:rFonts w:ascii="Cambria Math" w:hAnsi="Cambria Math"/>
                  </w:rPr>
                  <m:t>chla</m:t>
                </m:r>
              </m:e>
            </m:d>
            <m:r>
              <w:rPr>
                <w:rFonts w:ascii="Cambria Math" w:hAnsi="Cambria Math"/>
              </w:rPr>
              <m:t>+TSI2</m:t>
            </m:r>
            <m:d>
              <m:dPr>
                <m:ctrlPr>
                  <w:rPr>
                    <w:rFonts w:ascii="Cambria Math" w:hAnsi="Cambria Math"/>
                  </w:rPr>
                </m:ctrlPr>
              </m:dPr>
              <m:e>
                <m:r>
                  <w:rPr>
                    <w:rFonts w:ascii="Cambria Math" w:hAnsi="Cambria Math"/>
                  </w:rPr>
                  <m:t>TP</m:t>
                </m:r>
              </m:e>
            </m:d>
          </m:e>
        </m:d>
        <m:r>
          <m:rPr>
            <m:lit/>
          </m:rPr>
          <w:rPr>
            <w:rFonts w:ascii="Cambria Math" w:hAnsi="Cambria Math"/>
          </w:rPr>
          <m:t>/</m:t>
        </m:r>
        <m:r>
          <w:rPr>
            <w:rFonts w:ascii="Cambria Math" w:hAnsi="Cambria Math"/>
          </w:rPr>
          <m:t>2</m:t>
        </m:r>
      </m:oMath>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t>(4)</w:t>
      </w:r>
    </w:p>
    <w:p w14:paraId="01408AFE" w14:textId="77777777" w:rsidR="00C57F64" w:rsidRDefault="00C57F64" w:rsidP="00C57F64">
      <w:pPr>
        <w:widowControl w:val="0"/>
        <w:spacing w:after="0" w:line="240" w:lineRule="auto"/>
        <w:rPr>
          <w:rFonts w:ascii="Garamond" w:eastAsia="Times New Roman" w:hAnsi="Garamond" w:cs="Arial"/>
        </w:rPr>
      </w:pPr>
    </w:p>
    <w:p w14:paraId="2420F2A4" w14:textId="77777777" w:rsidR="00C57F64" w:rsidRDefault="00C57F64" w:rsidP="00C57F64">
      <w:pPr>
        <w:widowControl w:val="0"/>
        <w:spacing w:after="0" w:line="240" w:lineRule="auto"/>
        <w:rPr>
          <w:rFonts w:ascii="Garamond" w:eastAsia="Times New Roman" w:hAnsi="Garamond" w:cs="Arial"/>
        </w:rPr>
      </w:pPr>
      <w:r w:rsidRPr="5AD089C2">
        <w:rPr>
          <w:rFonts w:ascii="Garamond" w:eastAsia="Times New Roman" w:hAnsi="Garamond" w:cs="Arial"/>
        </w:rPr>
        <w:t xml:space="preserve">Producing a singular and rather temporally limited output, we decided that the primary purpose of this examination was to act as an additional verification technique to supplement our Sentinel-3 cyanobacteria analysis.  </w:t>
      </w:r>
    </w:p>
    <w:p w14:paraId="1F09322E" w14:textId="77777777" w:rsidR="00C57F64" w:rsidRDefault="00C57F64" w:rsidP="00C57F64">
      <w:pPr>
        <w:widowControl w:val="0"/>
        <w:spacing w:after="0" w:line="240" w:lineRule="auto"/>
        <w:rPr>
          <w:rFonts w:ascii="Garamond" w:eastAsia="Times New Roman" w:hAnsi="Garamond" w:cs="Arial"/>
        </w:rPr>
      </w:pPr>
    </w:p>
    <w:p w14:paraId="3ED6E152" w14:textId="77777777" w:rsidR="00C57F64" w:rsidRDefault="00C57F64" w:rsidP="00C57F64">
      <w:pPr>
        <w:widowControl w:val="0"/>
        <w:spacing w:after="0" w:line="240" w:lineRule="auto"/>
        <w:rPr>
          <w:rFonts w:ascii="Garamond" w:hAnsi="Garamond" w:cs="Arial"/>
          <w:i/>
          <w:iCs/>
        </w:rPr>
      </w:pPr>
      <w:r>
        <w:rPr>
          <w:rFonts w:ascii="Garamond" w:hAnsi="Garamond" w:cs="Arial"/>
          <w:i/>
          <w:iCs/>
        </w:rPr>
        <w:t xml:space="preserve">3.3.6 </w:t>
      </w:r>
      <w:r w:rsidRPr="7A7A1357">
        <w:rPr>
          <w:rFonts w:ascii="Garamond" w:hAnsi="Garamond" w:cs="Arial"/>
          <w:i/>
          <w:iCs/>
        </w:rPr>
        <w:t>ACOLITE</w:t>
      </w:r>
    </w:p>
    <w:p w14:paraId="548ED760" w14:textId="3314C4A3" w:rsidR="00C57F64" w:rsidRPr="009B0584" w:rsidRDefault="00C57F64" w:rsidP="00C57F64">
      <w:pPr>
        <w:widowControl w:val="0"/>
        <w:spacing w:after="0" w:line="240" w:lineRule="auto"/>
        <w:rPr>
          <w:rFonts w:ascii="Garamond" w:hAnsi="Garamond" w:cs="Arial"/>
        </w:rPr>
      </w:pPr>
      <w:r w:rsidRPr="5AD089C2">
        <w:rPr>
          <w:rFonts w:ascii="Garamond" w:hAnsi="Garamond" w:cs="Arial"/>
        </w:rPr>
        <w:t>Our team used ACOLITE, a software which processes raw satellite imagery</w:t>
      </w:r>
      <w:r>
        <w:rPr>
          <w:rFonts w:ascii="Garamond" w:hAnsi="Garamond" w:cs="Arial"/>
        </w:rPr>
        <w:t>,</w:t>
      </w:r>
      <w:r w:rsidRPr="5AD089C2">
        <w:rPr>
          <w:rFonts w:ascii="Garamond" w:hAnsi="Garamond" w:cs="Arial"/>
        </w:rPr>
        <w:t xml:space="preserve"> to derive a Floating Algal Index in turbid waters for </w:t>
      </w:r>
      <w:r>
        <w:rPr>
          <w:rFonts w:ascii="Garamond" w:hAnsi="Garamond" w:cs="Arial"/>
        </w:rPr>
        <w:t xml:space="preserve">October 18, </w:t>
      </w:r>
      <w:r w:rsidRPr="5AD089C2">
        <w:rPr>
          <w:rFonts w:ascii="Garamond" w:hAnsi="Garamond" w:cs="Arial"/>
        </w:rPr>
        <w:t xml:space="preserve">2018. The team processed Sentinel-2 data to emphasize algal mats floating on the lake. First, we inserted the directory file for Sentinel-2 data downloaded from ESA’s website and configured the polygon to a </w:t>
      </w:r>
      <w:proofErr w:type="spellStart"/>
      <w:r w:rsidRPr="5AD089C2">
        <w:rPr>
          <w:rFonts w:ascii="Garamond" w:hAnsi="Garamond" w:cs="Arial"/>
        </w:rPr>
        <w:t>GeoJSON</w:t>
      </w:r>
      <w:proofErr w:type="spellEnd"/>
      <w:r w:rsidRPr="5AD089C2">
        <w:rPr>
          <w:rFonts w:ascii="Garamond" w:hAnsi="Garamond" w:cs="Arial"/>
        </w:rPr>
        <w:t xml:space="preserve"> file of the Lake Anna shapefile (Appendix A1). We then set the L2W parameters to fit the floating algal index in turbid waters (FAIT) algorithm, which gives a clear picture of what areas in the lake are populated with algal blooms. The processor makes use of the strong NIR signal to </w:t>
      </w:r>
      <w:r w:rsidRPr="5AD089C2">
        <w:rPr>
          <w:rFonts w:ascii="Garamond" w:hAnsi="Garamond" w:cs="Arial"/>
        </w:rPr>
        <w:lastRenderedPageBreak/>
        <w:t xml:space="preserve">avoid the misclassification of green pixels (Dogliotti, 2018). </w:t>
      </w:r>
    </w:p>
    <w:p w14:paraId="06E95219" w14:textId="77777777" w:rsidR="00C57F64" w:rsidRDefault="00C57F64" w:rsidP="00C57F64">
      <w:pPr>
        <w:widowControl w:val="0"/>
        <w:spacing w:after="0" w:line="240" w:lineRule="auto"/>
        <w:rPr>
          <w:rFonts w:ascii="Garamond" w:hAnsi="Garamond" w:cs="Arial"/>
        </w:rPr>
      </w:pPr>
    </w:p>
    <w:p w14:paraId="3FFF42DA" w14:textId="77777777" w:rsidR="00C57F64" w:rsidRPr="00496929" w:rsidRDefault="00C57F64" w:rsidP="00C57F64">
      <w:pPr>
        <w:widowControl w:val="0"/>
        <w:spacing w:after="0" w:line="240" w:lineRule="auto"/>
        <w:jc w:val="center"/>
        <w:rPr>
          <w:rFonts w:ascii="Garamond" w:eastAsia="Garamond" w:hAnsi="Garamond" w:cs="Garamond"/>
        </w:rPr>
      </w:pPr>
      <m:oMathPara>
        <m:oMath>
          <m:r>
            <w:rPr>
              <w:rFonts w:ascii="Cambria Math" w:eastAsia="Garamond" w:hAnsi="Cambria Math" w:cs="Garamond"/>
            </w:rPr>
            <m:t xml:space="preserve">FAIT=FAI&gt;0, </m:t>
          </m:r>
          <m:sSub>
            <m:sSubPr>
              <m:ctrlPr>
                <w:rPr>
                  <w:rFonts w:ascii="Cambria Math" w:eastAsia="Garamond" w:hAnsi="Cambria Math" w:cs="Garamond"/>
                  <w:i/>
                </w:rPr>
              </m:ctrlPr>
            </m:sSubPr>
            <m:e>
              <m:r>
                <w:rPr>
                  <w:rFonts w:ascii="Cambria Math" w:eastAsia="Garamond" w:hAnsi="Cambria Math" w:cs="Garamond"/>
                </w:rPr>
                <m:t>R</m:t>
              </m:r>
            </m:e>
            <m:sub>
              <m:r>
                <w:rPr>
                  <w:rFonts w:ascii="Cambria Math" w:eastAsia="Garamond" w:hAnsi="Cambria Math" w:cs="Garamond"/>
                </w:rPr>
                <m:t>rc</m:t>
              </m:r>
            </m:sub>
          </m:sSub>
          <m:d>
            <m:dPr>
              <m:ctrlPr>
                <w:rPr>
                  <w:rFonts w:ascii="Cambria Math" w:eastAsia="Garamond" w:hAnsi="Cambria Math" w:cs="Garamond"/>
                  <w:i/>
                </w:rPr>
              </m:ctrlPr>
            </m:dPr>
            <m:e>
              <m:r>
                <w:rPr>
                  <w:rFonts w:ascii="Cambria Math" w:eastAsia="Garamond" w:hAnsi="Cambria Math" w:cs="Garamond"/>
                </w:rPr>
                <m:t>Red</m:t>
              </m:r>
            </m:e>
          </m:d>
          <m:r>
            <w:rPr>
              <w:rFonts w:ascii="Cambria Math" w:eastAsia="Garamond" w:hAnsi="Cambria Math" w:cs="Garamond"/>
            </w:rPr>
            <m:t>&lt;0.08 and a* &lt;threshold</m:t>
          </m:r>
        </m:oMath>
      </m:oMathPara>
    </w:p>
    <w:p w14:paraId="3EB480C2" w14:textId="77777777" w:rsidR="00C57F64" w:rsidRDefault="00C57F64" w:rsidP="00C57F64">
      <w:pPr>
        <w:widowControl w:val="0"/>
        <w:spacing w:after="0" w:line="240" w:lineRule="auto"/>
        <w:jc w:val="center"/>
        <w:rPr>
          <w:rFonts w:ascii="Garamond" w:eastAsia="Garamond" w:hAnsi="Garamond" w:cs="Garamond"/>
          <w:b/>
          <w:bCs/>
        </w:rPr>
      </w:pPr>
    </w:p>
    <w:p w14:paraId="2DBC6AF8" w14:textId="77777777" w:rsidR="00C57F64" w:rsidRPr="0066138C" w:rsidRDefault="00C57F64" w:rsidP="00C57F64">
      <w:pPr>
        <w:pStyle w:val="Heading1"/>
        <w:spacing w:before="0" w:line="240" w:lineRule="auto"/>
        <w:rPr>
          <w:rFonts w:ascii="Garamond" w:hAnsi="Garamond"/>
        </w:rPr>
      </w:pPr>
      <w:bookmarkStart w:id="4" w:name="_Toc334198730"/>
      <w:r w:rsidRPr="0066138C">
        <w:rPr>
          <w:rFonts w:ascii="Garamond" w:hAnsi="Garamond"/>
        </w:rPr>
        <w:t>4. Results</w:t>
      </w:r>
      <w:bookmarkEnd w:id="4"/>
      <w:r w:rsidRPr="0066138C">
        <w:rPr>
          <w:rFonts w:ascii="Garamond" w:hAnsi="Garamond"/>
        </w:rPr>
        <w:t xml:space="preserve"> &amp; Discussion</w:t>
      </w:r>
    </w:p>
    <w:p w14:paraId="3060736D" w14:textId="77777777" w:rsidR="00C57F64" w:rsidRDefault="00C57F64" w:rsidP="00C57F64">
      <w:pPr>
        <w:spacing w:after="0" w:line="240" w:lineRule="auto"/>
        <w:rPr>
          <w:rFonts w:ascii="Garamond" w:hAnsi="Garamond"/>
          <w:b/>
          <w:i/>
        </w:rPr>
      </w:pPr>
      <w:r w:rsidRPr="69E78D4D">
        <w:rPr>
          <w:rFonts w:ascii="Garamond" w:hAnsi="Garamond"/>
          <w:b/>
          <w:bCs/>
          <w:i/>
          <w:iCs/>
        </w:rPr>
        <w:t>4.1 Analysis of Results</w:t>
      </w:r>
    </w:p>
    <w:p w14:paraId="7F38F370" w14:textId="77777777" w:rsidR="00C57F64" w:rsidRDefault="00C57F64" w:rsidP="00C57F64">
      <w:pPr>
        <w:spacing w:after="0" w:line="240" w:lineRule="auto"/>
        <w:rPr>
          <w:rFonts w:ascii="Garamond" w:eastAsia="Gungsuh" w:hAnsi="Garamond" w:cs="Gungsuh"/>
          <w:i/>
        </w:rPr>
      </w:pPr>
      <w:r w:rsidRPr="5AD089C2">
        <w:rPr>
          <w:rFonts w:ascii="Garamond" w:eastAsia="Gungsuh" w:hAnsi="Garamond" w:cs="Gungsuh"/>
          <w:i/>
          <w:iCs/>
        </w:rPr>
        <w:t>4.1.1 Cyanobacteria</w:t>
      </w:r>
    </w:p>
    <w:p w14:paraId="46DFFD88" w14:textId="1A35AC3F" w:rsidR="00C57F64" w:rsidRDefault="00C57F64" w:rsidP="00C57F64">
      <w:pPr>
        <w:spacing w:after="0" w:line="240" w:lineRule="auto"/>
        <w:rPr>
          <w:rFonts w:ascii="Garamond" w:eastAsia="Gungsuh" w:hAnsi="Garamond" w:cs="Gungsuh"/>
        </w:rPr>
      </w:pPr>
      <w:r w:rsidRPr="3E84361D">
        <w:rPr>
          <w:rFonts w:ascii="Garamond" w:eastAsia="Gungsuh" w:hAnsi="Garamond" w:cs="Gungsuh"/>
        </w:rPr>
        <w:t>Our analysis revealed that the average area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did not differ for advisory level detections between years, (H</w:t>
      </w:r>
      <w:r w:rsidRPr="3E84361D">
        <w:rPr>
          <w:rFonts w:ascii="Garamond" w:eastAsia="Garamond" w:hAnsi="Garamond" w:cs="Garamond"/>
          <w:vertAlign w:val="subscript"/>
        </w:rPr>
        <w:t>(6)</w:t>
      </w:r>
      <w:r w:rsidRPr="3E84361D">
        <w:rPr>
          <w:rFonts w:ascii="Garamond" w:eastAsia="Garamond" w:hAnsi="Garamond" w:cs="Garamond"/>
        </w:rPr>
        <w:t xml:space="preserve"> </w:t>
      </w:r>
      <w:r w:rsidRPr="3E84361D">
        <w:rPr>
          <w:rFonts w:ascii="Garamond" w:eastAsia="Gungsuh" w:hAnsi="Garamond" w:cs="Gungsuh"/>
        </w:rPr>
        <w:t>= 2.78, p = 0.84</w:t>
      </w:r>
      <w:r w:rsidRPr="5AD089C2">
        <w:rPr>
          <w:rFonts w:ascii="Garamond" w:eastAsia="Gungsuh" w:hAnsi="Garamond" w:cs="Gungsuh"/>
        </w:rPr>
        <w:t>). Similarly, the average area (</w:t>
      </w:r>
      <w:r w:rsidRPr="5AD089C2">
        <w:rPr>
          <w:rFonts w:ascii="Garamond" w:eastAsia="Garamond" w:hAnsi="Garamond" w:cs="Garamond"/>
        </w:rPr>
        <w:t>km</w:t>
      </w:r>
      <w:r w:rsidRPr="5AD089C2">
        <w:rPr>
          <w:rFonts w:ascii="Garamond" w:eastAsia="Garamond" w:hAnsi="Garamond" w:cs="Garamond"/>
          <w:vertAlign w:val="superscript"/>
        </w:rPr>
        <w:t>2</w:t>
      </w:r>
      <w:r w:rsidRPr="5AD089C2">
        <w:rPr>
          <w:rFonts w:ascii="Garamond" w:eastAsia="Gungsuh" w:hAnsi="Garamond" w:cs="Gungsuh"/>
        </w:rPr>
        <w:t>) for total cyanobacteria detection also did not significantly differ between years</w:t>
      </w:r>
      <w:r w:rsidRPr="3E84361D">
        <w:rPr>
          <w:rFonts w:ascii="Garamond" w:eastAsia="Gungsuh" w:hAnsi="Garamond" w:cs="Gungsuh"/>
        </w:rPr>
        <w:t xml:space="preserve"> (H</w:t>
      </w:r>
      <w:r w:rsidRPr="3E84361D">
        <w:rPr>
          <w:rFonts w:ascii="Garamond" w:eastAsia="Garamond" w:hAnsi="Garamond" w:cs="Garamond"/>
          <w:vertAlign w:val="subscript"/>
        </w:rPr>
        <w:t>(6)</w:t>
      </w:r>
      <w:r w:rsidRPr="3E84361D">
        <w:rPr>
          <w:rFonts w:ascii="Garamond" w:eastAsia="Garamond" w:hAnsi="Garamond" w:cs="Garamond"/>
        </w:rPr>
        <w:t xml:space="preserve"> </w:t>
      </w:r>
      <w:r w:rsidRPr="3E84361D">
        <w:rPr>
          <w:rFonts w:ascii="Garamond" w:eastAsia="Gungsuh" w:hAnsi="Garamond" w:cs="Gungsuh"/>
        </w:rPr>
        <w:t>= 2.47, p = 0.87</w:t>
      </w:r>
      <w:r w:rsidRPr="5AD089C2">
        <w:rPr>
          <w:rFonts w:ascii="Garamond" w:eastAsia="Gungsuh" w:hAnsi="Garamond" w:cs="Gungsuh"/>
        </w:rPr>
        <w:t>).</w:t>
      </w:r>
      <w:r w:rsidRPr="3E84361D">
        <w:rPr>
          <w:rFonts w:ascii="Garamond" w:eastAsia="Gungsuh" w:hAnsi="Garamond" w:cs="Gungsuh"/>
        </w:rPr>
        <w:t xml:space="preserve"> However, our analysis did find that there was a significant difference between the average area occupied by advisory level detections between months (H</w:t>
      </w:r>
      <w:r w:rsidRPr="3E84361D">
        <w:rPr>
          <w:rFonts w:ascii="Garamond" w:eastAsia="Garamond" w:hAnsi="Garamond" w:cs="Garamond"/>
          <w:vertAlign w:val="subscript"/>
        </w:rPr>
        <w:t>(3)</w:t>
      </w:r>
      <w:r w:rsidRPr="3E84361D">
        <w:rPr>
          <w:rFonts w:ascii="Garamond" w:eastAsia="Garamond" w:hAnsi="Garamond" w:cs="Garamond"/>
        </w:rPr>
        <w:t xml:space="preserve"> </w:t>
      </w:r>
      <w:r w:rsidRPr="3E84361D">
        <w:rPr>
          <w:rFonts w:ascii="Garamond" w:eastAsia="Gungsuh" w:hAnsi="Garamond" w:cs="Gungsuh"/>
        </w:rPr>
        <w:t>= 11.99, p = 0.01</w:t>
      </w:r>
      <w:r w:rsidRPr="5AD089C2">
        <w:rPr>
          <w:rFonts w:ascii="Garamond" w:eastAsia="Gungsuh" w:hAnsi="Garamond" w:cs="Gungsuh"/>
        </w:rPr>
        <w:t xml:space="preserve">). This significant difference between months also applied to the total detection area </w:t>
      </w:r>
      <w:r w:rsidRPr="3E84361D">
        <w:rPr>
          <w:rFonts w:ascii="Garamond" w:eastAsia="Gungsuh" w:hAnsi="Garamond" w:cs="Gungsuh"/>
        </w:rPr>
        <w:t>(H</w:t>
      </w:r>
      <w:r w:rsidRPr="3E84361D">
        <w:rPr>
          <w:rFonts w:ascii="Garamond" w:eastAsia="Garamond" w:hAnsi="Garamond" w:cs="Garamond"/>
          <w:vertAlign w:val="subscript"/>
        </w:rPr>
        <w:t>(3)</w:t>
      </w:r>
      <w:r w:rsidRPr="3E84361D">
        <w:rPr>
          <w:rFonts w:ascii="Garamond" w:eastAsia="Garamond" w:hAnsi="Garamond" w:cs="Garamond"/>
        </w:rPr>
        <w:t xml:space="preserve"> </w:t>
      </w:r>
      <w:r w:rsidRPr="3E84361D">
        <w:rPr>
          <w:rFonts w:ascii="Garamond" w:eastAsia="Gungsuh" w:hAnsi="Garamond" w:cs="Gungsuh"/>
        </w:rPr>
        <w:t>= 9.01, p = 0.03</w:t>
      </w:r>
      <w:r w:rsidRPr="5AD089C2">
        <w:rPr>
          <w:rFonts w:ascii="Garamond" w:eastAsia="Gungsuh" w:hAnsi="Garamond" w:cs="Gungsuh"/>
        </w:rPr>
        <w:t>).</w:t>
      </w:r>
      <w:r w:rsidRPr="3E84361D">
        <w:rPr>
          <w:rFonts w:ascii="Garamond" w:eastAsia="Gungsuh" w:hAnsi="Garamond" w:cs="Gungsuh"/>
        </w:rPr>
        <w:t xml:space="preserve"> Under both conditions, advisory and total area, we discovered the months of August and September harbored significantly higher mean values than October (p &lt; 0.05</w:t>
      </w:r>
      <w:r w:rsidR="00326AB5">
        <w:rPr>
          <w:rFonts w:ascii="Garamond" w:eastAsia="Gungsuh" w:hAnsi="Garamond" w:cs="Gungsuh"/>
        </w:rPr>
        <w:t xml:space="preserve">; </w:t>
      </w:r>
      <w:r w:rsidRPr="5AD089C2">
        <w:rPr>
          <w:rFonts w:ascii="Garamond" w:eastAsia="Gungsuh" w:hAnsi="Garamond" w:cs="Gungsuh"/>
        </w:rPr>
        <w:t>Fig</w:t>
      </w:r>
      <w:r>
        <w:rPr>
          <w:rFonts w:ascii="Garamond" w:eastAsia="Gungsuh" w:hAnsi="Garamond" w:cs="Gungsuh"/>
        </w:rPr>
        <w:t>ures</w:t>
      </w:r>
      <w:r w:rsidRPr="5AD089C2">
        <w:rPr>
          <w:rFonts w:ascii="Garamond" w:eastAsia="Gungsuh" w:hAnsi="Garamond" w:cs="Gungsuh"/>
        </w:rPr>
        <w:t xml:space="preserve"> D2 </w:t>
      </w:r>
      <w:r>
        <w:rPr>
          <w:rFonts w:ascii="Garamond" w:eastAsia="Gungsuh" w:hAnsi="Garamond" w:cs="Gungsuh"/>
        </w:rPr>
        <w:t>&amp;</w:t>
      </w:r>
      <w:r w:rsidRPr="5AD089C2">
        <w:rPr>
          <w:rFonts w:ascii="Garamond" w:eastAsia="Gungsuh" w:hAnsi="Garamond" w:cs="Gungsuh"/>
        </w:rPr>
        <w:t xml:space="preserve"> D3).</w:t>
      </w:r>
      <w:r w:rsidRPr="3E84361D">
        <w:rPr>
          <w:rFonts w:ascii="Garamond" w:eastAsia="Gungsuh" w:hAnsi="Garamond" w:cs="Gungsuh"/>
        </w:rPr>
        <w:t xml:space="preserve"> This latest finding</w:t>
      </w:r>
      <w:r w:rsidRPr="5AD089C2">
        <w:rPr>
          <w:rFonts w:ascii="Garamond" w:eastAsia="Gungsuh" w:hAnsi="Garamond" w:cs="Gungsuh"/>
        </w:rPr>
        <w:t xml:space="preserve"> allowed</w:t>
      </w:r>
      <w:r w:rsidRPr="3E84361D">
        <w:rPr>
          <w:rFonts w:ascii="Garamond" w:eastAsia="Gungsuh" w:hAnsi="Garamond" w:cs="Gungsuh"/>
        </w:rPr>
        <w:t xml:space="preserve"> us to reveal a significant drop in cyanobacterial presence during the month of October compared to its two predecessors. The hot-spot analysis we performed on the advisory level data indicated that approximately 1.20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xml:space="preserve"> out of our 1.95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xml:space="preserve"> study region fell within the ‘high occurrence’ category, meaning that cyanobacteria concentrations in this zone were at or above the 100,000 PTOX cells/mL for 8</w:t>
      </w:r>
      <w:r w:rsidR="00326AB5">
        <w:rPr>
          <w:rFonts w:ascii="Garamond" w:eastAsia="Gungsuh" w:hAnsi="Garamond" w:cs="Gungsuh"/>
        </w:rPr>
        <w:t>–</w:t>
      </w:r>
      <w:r w:rsidRPr="3E84361D">
        <w:rPr>
          <w:rFonts w:ascii="Garamond" w:eastAsia="Gungsuh" w:hAnsi="Garamond" w:cs="Gungsuh"/>
        </w:rPr>
        <w:t>12 months out of the 28-month study period (Fig</w:t>
      </w:r>
      <w:r>
        <w:rPr>
          <w:rFonts w:ascii="Garamond" w:eastAsia="Gungsuh" w:hAnsi="Garamond" w:cs="Gungsuh"/>
        </w:rPr>
        <w:t>ure</w:t>
      </w:r>
      <w:r w:rsidRPr="3E84361D">
        <w:rPr>
          <w:rFonts w:ascii="Garamond" w:eastAsia="Gungsuh" w:hAnsi="Garamond" w:cs="Gungsuh"/>
        </w:rPr>
        <w:t xml:space="preserve"> </w:t>
      </w:r>
      <w:r w:rsidRPr="5AD089C2">
        <w:rPr>
          <w:rFonts w:ascii="Garamond" w:eastAsia="Gungsuh" w:hAnsi="Garamond" w:cs="Gungsuh"/>
        </w:rPr>
        <w:t>2</w:t>
      </w:r>
      <w:r w:rsidRPr="3E84361D">
        <w:rPr>
          <w:rFonts w:ascii="Garamond" w:eastAsia="Gungsuh" w:hAnsi="Garamond" w:cs="Gungsuh"/>
        </w:rPr>
        <w:t>). We found that an additional 0.67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xml:space="preserve">) fell within the ‘medium occurrence' category, indicating that advisory level </w:t>
      </w:r>
      <w:r w:rsidRPr="5AD089C2">
        <w:rPr>
          <w:rFonts w:ascii="Garamond" w:eastAsia="Gungsuh" w:hAnsi="Garamond" w:cs="Gungsuh"/>
        </w:rPr>
        <w:t>concentrations</w:t>
      </w:r>
      <w:r w:rsidRPr="3E84361D">
        <w:rPr>
          <w:rFonts w:ascii="Garamond" w:eastAsia="Gungsuh" w:hAnsi="Garamond" w:cs="Gungsuh"/>
        </w:rPr>
        <w:t xml:space="preserve"> were present for 5</w:t>
      </w:r>
      <w:r w:rsidR="00326AB5">
        <w:rPr>
          <w:rFonts w:ascii="Garamond" w:eastAsia="Gungsuh" w:hAnsi="Garamond" w:cs="Gungsuh"/>
        </w:rPr>
        <w:t>–</w:t>
      </w:r>
      <w:r w:rsidRPr="3E84361D">
        <w:rPr>
          <w:rFonts w:ascii="Garamond" w:eastAsia="Gungsuh" w:hAnsi="Garamond" w:cs="Gungsuh"/>
        </w:rPr>
        <w:t xml:space="preserve">7 months of the study period. Finally, we found that only a single pixel measuring roughly 0.08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xml:space="preserve"> fell into the ‘low occurrence</w:t>
      </w:r>
      <w:r w:rsidR="00326AB5">
        <w:rPr>
          <w:rFonts w:ascii="Garamond" w:eastAsia="Gungsuh" w:hAnsi="Garamond" w:cs="Gungsuh"/>
        </w:rPr>
        <w:t>’</w:t>
      </w:r>
      <w:r w:rsidRPr="3E84361D">
        <w:rPr>
          <w:rFonts w:ascii="Garamond" w:eastAsia="Gungsuh" w:hAnsi="Garamond" w:cs="Gungsuh"/>
        </w:rPr>
        <w:t xml:space="preserve"> category, meaning that advisory level conditions were found for only 4 months during the study period. Additionally, we found that the greatest spatial coverage of cyanobacterial presence occurred during August of 2018, when the entire 1.95 </w:t>
      </w:r>
      <w:r w:rsidRPr="5AD089C2">
        <w:rPr>
          <w:rFonts w:ascii="Garamond" w:eastAsia="Garamond" w:hAnsi="Garamond" w:cs="Garamond"/>
        </w:rPr>
        <w:t>km</w:t>
      </w:r>
      <w:r w:rsidRPr="5AD089C2">
        <w:rPr>
          <w:rFonts w:ascii="Garamond" w:eastAsia="Garamond" w:hAnsi="Garamond" w:cs="Garamond"/>
          <w:vertAlign w:val="superscript"/>
        </w:rPr>
        <w:t>2</w:t>
      </w:r>
      <w:r w:rsidRPr="3E84361D">
        <w:rPr>
          <w:rFonts w:ascii="Garamond" w:eastAsia="Gungsuh" w:hAnsi="Garamond" w:cs="Gungsuh"/>
        </w:rPr>
        <w:t xml:space="preserve"> study area was shown to be impacted</w:t>
      </w:r>
      <w:r w:rsidRPr="5AD089C2">
        <w:rPr>
          <w:rFonts w:ascii="Garamond" w:eastAsia="Gungsuh" w:hAnsi="Garamond" w:cs="Gungsuh"/>
        </w:rPr>
        <w:t xml:space="preserve"> (Fig</w:t>
      </w:r>
      <w:r>
        <w:rPr>
          <w:rFonts w:ascii="Garamond" w:eastAsia="Gungsuh" w:hAnsi="Garamond" w:cs="Gungsuh"/>
        </w:rPr>
        <w:t>ure</w:t>
      </w:r>
      <w:r w:rsidRPr="5AD089C2">
        <w:rPr>
          <w:rFonts w:ascii="Garamond" w:eastAsia="Gungsuh" w:hAnsi="Garamond" w:cs="Gungsuh"/>
        </w:rPr>
        <w:t xml:space="preserve"> C1).</w:t>
      </w:r>
      <w:r w:rsidRPr="3E84361D">
        <w:rPr>
          <w:rFonts w:ascii="Garamond" w:eastAsia="Gungsuh" w:hAnsi="Garamond" w:cs="Gungsuh"/>
        </w:rPr>
        <w:t xml:space="preserve"> The highest recorded cell density we recorded during this study was roughly 900,000 PTOX cells/mL in October of 2018. We noted that this finding coincided temporally with the </w:t>
      </w:r>
      <w:r>
        <w:rPr>
          <w:rFonts w:ascii="Garamond" w:eastAsia="Gungsuh" w:hAnsi="Garamond" w:cs="Gungsuh"/>
        </w:rPr>
        <w:t>lake’s</w:t>
      </w:r>
      <w:r w:rsidRPr="3E84361D">
        <w:rPr>
          <w:rFonts w:ascii="Garamond" w:eastAsia="Gungsuh" w:hAnsi="Garamond" w:cs="Gungsuh"/>
        </w:rPr>
        <w:t xml:space="preserve"> highest ever directly recorded PTOX value of about 10,800,000 cells/mL in nearby Fisherman’s Cove during the same month (Bonk, 2018).</w:t>
      </w:r>
    </w:p>
    <w:p w14:paraId="1A0E2F56" w14:textId="77777777" w:rsidR="00C57F64" w:rsidRDefault="00C57F64" w:rsidP="00C57F64">
      <w:pPr>
        <w:spacing w:after="0" w:line="240" w:lineRule="auto"/>
        <w:rPr>
          <w:rFonts w:ascii="Garamond" w:eastAsia="Gungsuh" w:hAnsi="Garamond" w:cs="Gungsuh"/>
        </w:rPr>
      </w:pPr>
    </w:p>
    <w:p w14:paraId="2D3AC36B" w14:textId="77777777" w:rsidR="00C57F64" w:rsidRDefault="00C57F64" w:rsidP="00C57F64">
      <w:pPr>
        <w:spacing w:after="0" w:line="240" w:lineRule="auto"/>
        <w:rPr>
          <w:rFonts w:ascii="Garamond" w:eastAsia="Gungsuh" w:hAnsi="Garamond" w:cs="Gungsuh"/>
        </w:rPr>
      </w:pPr>
    </w:p>
    <w:p w14:paraId="4267BD28" w14:textId="77777777" w:rsidR="00C57F64" w:rsidRDefault="00C57F64" w:rsidP="00C57F64">
      <w:pPr>
        <w:spacing w:after="0" w:line="240" w:lineRule="auto"/>
        <w:jc w:val="center"/>
        <w:rPr>
          <w:rFonts w:ascii="Garamond" w:eastAsia="Gungsuh" w:hAnsi="Garamond" w:cs="Gungsuh"/>
        </w:rPr>
      </w:pPr>
      <w:r>
        <w:rPr>
          <w:noProof/>
        </w:rPr>
        <w:drawing>
          <wp:inline distT="0" distB="0" distL="0" distR="0" wp14:anchorId="2A18A202" wp14:editId="0E0BFB19">
            <wp:extent cx="3688409" cy="2850834"/>
            <wp:effectExtent l="0" t="0" r="0" b="0"/>
            <wp:docPr id="10880598" name="Picture 1088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8409" cy="2850834"/>
                    </a:xfrm>
                    <a:prstGeom prst="rect">
                      <a:avLst/>
                    </a:prstGeom>
                  </pic:spPr>
                </pic:pic>
              </a:graphicData>
            </a:graphic>
          </wp:inline>
        </w:drawing>
      </w:r>
    </w:p>
    <w:p w14:paraId="20D086D8" w14:textId="2482B1B4" w:rsidR="00C57F64" w:rsidRDefault="00C57F64" w:rsidP="00C57F64">
      <w:pPr>
        <w:spacing w:after="0" w:line="240" w:lineRule="auto"/>
        <w:jc w:val="center"/>
        <w:rPr>
          <w:rFonts w:ascii="Garamond" w:eastAsia="Gungsuh" w:hAnsi="Garamond" w:cs="Gungsuh"/>
        </w:rPr>
      </w:pPr>
      <w:r w:rsidRPr="5AD089C2">
        <w:rPr>
          <w:rFonts w:ascii="Garamond" w:eastAsia="Gungsuh" w:hAnsi="Garamond" w:cs="Gungsuh"/>
          <w:i/>
        </w:rPr>
        <w:t xml:space="preserve">Figure </w:t>
      </w:r>
      <w:r w:rsidRPr="5AD089C2">
        <w:rPr>
          <w:rFonts w:ascii="Garamond" w:eastAsia="Gungsuh" w:hAnsi="Garamond" w:cs="Gungsuh"/>
          <w:i/>
          <w:iCs/>
        </w:rPr>
        <w:t>2.</w:t>
      </w:r>
      <w:r w:rsidRPr="5AD089C2">
        <w:rPr>
          <w:rFonts w:ascii="Garamond" w:eastAsia="Gungsuh" w:hAnsi="Garamond" w:cs="Gungsuh"/>
          <w:i/>
        </w:rPr>
        <w:t xml:space="preserve"> </w:t>
      </w:r>
      <w:r w:rsidRPr="3E84361D">
        <w:rPr>
          <w:rFonts w:ascii="Garamond" w:eastAsia="Gungsuh" w:hAnsi="Garamond" w:cs="Gungsuh"/>
        </w:rPr>
        <w:t xml:space="preserve">CIcyano heat-map featuring those full pixels within the 300m shoreline buffer. Identifying those areas </w:t>
      </w:r>
      <w:r w:rsidRPr="5AD089C2">
        <w:rPr>
          <w:rFonts w:ascii="Garamond" w:eastAsia="Gungsuh" w:hAnsi="Garamond" w:cs="Gungsuh"/>
        </w:rPr>
        <w:t>experiencing</w:t>
      </w:r>
      <w:r w:rsidRPr="3E84361D">
        <w:rPr>
          <w:rFonts w:ascii="Garamond" w:eastAsia="Gungsuh" w:hAnsi="Garamond" w:cs="Gungsuh"/>
        </w:rPr>
        <w:t xml:space="preserve"> over 100,000 PTOX cells/mL </w:t>
      </w:r>
      <w:r w:rsidRPr="5AD089C2">
        <w:rPr>
          <w:rFonts w:ascii="Garamond" w:eastAsia="Gungsuh" w:hAnsi="Garamond" w:cs="Gungsuh"/>
        </w:rPr>
        <w:t>during</w:t>
      </w:r>
      <w:r w:rsidRPr="3E84361D">
        <w:rPr>
          <w:rFonts w:ascii="Garamond" w:eastAsia="Gungsuh" w:hAnsi="Garamond" w:cs="Gungsuh"/>
        </w:rPr>
        <w:t xml:space="preserve"> the 28-month study period. High Occurrence = 8</w:t>
      </w:r>
      <w:r w:rsidR="000B0B32">
        <w:rPr>
          <w:rFonts w:ascii="Garamond" w:eastAsia="Gungsuh" w:hAnsi="Garamond" w:cs="Gungsuh"/>
        </w:rPr>
        <w:t>–</w:t>
      </w:r>
      <w:r w:rsidRPr="3E84361D">
        <w:rPr>
          <w:rFonts w:ascii="Garamond" w:eastAsia="Gungsuh" w:hAnsi="Garamond" w:cs="Gungsuh"/>
        </w:rPr>
        <w:t>12 months / Medium Occurrence = 5</w:t>
      </w:r>
      <w:r w:rsidR="000B0B32">
        <w:rPr>
          <w:rFonts w:ascii="Garamond" w:eastAsia="Gungsuh" w:hAnsi="Garamond" w:cs="Gungsuh"/>
        </w:rPr>
        <w:t>–</w:t>
      </w:r>
      <w:r w:rsidRPr="3E84361D">
        <w:rPr>
          <w:rFonts w:ascii="Garamond" w:eastAsia="Gungsuh" w:hAnsi="Garamond" w:cs="Gungsuh"/>
        </w:rPr>
        <w:t>7 months / Low Occurrence = 4 months</w:t>
      </w:r>
    </w:p>
    <w:p w14:paraId="7AD1C1BD" w14:textId="77777777" w:rsidR="00C57F64" w:rsidRDefault="00C57F64" w:rsidP="00C57F64">
      <w:pPr>
        <w:spacing w:after="0" w:line="240" w:lineRule="auto"/>
        <w:rPr>
          <w:rFonts w:ascii="Garamond" w:eastAsia="Gungsuh" w:hAnsi="Garamond" w:cs="Gungsuh"/>
        </w:rPr>
      </w:pPr>
    </w:p>
    <w:p w14:paraId="5C02757B" w14:textId="77777777" w:rsidR="00C57F64" w:rsidRDefault="00C57F64" w:rsidP="00C57F64">
      <w:pPr>
        <w:spacing w:after="0" w:line="240" w:lineRule="auto"/>
        <w:rPr>
          <w:rFonts w:ascii="Garamond" w:eastAsia="Gungsuh" w:hAnsi="Garamond" w:cs="Gungsuh"/>
        </w:rPr>
      </w:pPr>
      <w:r w:rsidRPr="7E64A2B5">
        <w:rPr>
          <w:rFonts w:ascii="Garamond" w:eastAsia="Gungsuh" w:hAnsi="Garamond" w:cs="Gungsuh"/>
        </w:rPr>
        <w:lastRenderedPageBreak/>
        <w:t>Regarding</w:t>
      </w:r>
      <w:r w:rsidRPr="033FC0A2">
        <w:rPr>
          <w:rFonts w:ascii="Garamond" w:eastAsia="Gungsuh" w:hAnsi="Garamond" w:cs="Gungsuh"/>
        </w:rPr>
        <w:t xml:space="preserve"> our brief comparison of the Cyanobacteria Index and CIcyano algorithm, it was found that the two mechanisms respond quite differently to the same conditions. In the case of CIcyano we found that in October of 2017 approximately 0.15 </w:t>
      </w:r>
      <w:r w:rsidRPr="5AD089C2">
        <w:rPr>
          <w:rFonts w:ascii="Garamond" w:eastAsia="Garamond" w:hAnsi="Garamond" w:cs="Garamond"/>
        </w:rPr>
        <w:t>km</w:t>
      </w:r>
      <w:r w:rsidRPr="5AD089C2">
        <w:rPr>
          <w:rFonts w:ascii="Garamond" w:eastAsia="Garamond" w:hAnsi="Garamond" w:cs="Garamond"/>
          <w:vertAlign w:val="superscript"/>
        </w:rPr>
        <w:t>2</w:t>
      </w:r>
      <w:r w:rsidRPr="033FC0A2">
        <w:rPr>
          <w:rFonts w:ascii="Garamond" w:eastAsia="Gungsuh" w:hAnsi="Garamond" w:cs="Gungsuh"/>
        </w:rPr>
        <w:t xml:space="preserve"> were found to be above the 100,000 PTOX cells/mL advisory threshold and an additional 0.08 </w:t>
      </w:r>
      <w:r w:rsidRPr="5AD089C2">
        <w:rPr>
          <w:rFonts w:ascii="Garamond" w:eastAsia="Garamond" w:hAnsi="Garamond" w:cs="Garamond"/>
        </w:rPr>
        <w:t>km</w:t>
      </w:r>
      <w:r w:rsidRPr="5AD089C2">
        <w:rPr>
          <w:rFonts w:ascii="Garamond" w:eastAsia="Garamond" w:hAnsi="Garamond" w:cs="Garamond"/>
          <w:vertAlign w:val="superscript"/>
        </w:rPr>
        <w:t>2</w:t>
      </w:r>
      <w:r w:rsidRPr="033FC0A2">
        <w:rPr>
          <w:rFonts w:ascii="Garamond" w:eastAsia="Gungsuh" w:hAnsi="Garamond" w:cs="Gungsuh"/>
        </w:rPr>
        <w:t xml:space="preserve"> fell within the detection limit of 10,000 PTOX cells/mL. However, we found that the Cyanobacteria Index returned an approximate area of 0.30 </w:t>
      </w:r>
      <w:r w:rsidRPr="5AD089C2">
        <w:rPr>
          <w:rFonts w:ascii="Garamond" w:eastAsia="Garamond" w:hAnsi="Garamond" w:cs="Garamond"/>
        </w:rPr>
        <w:t>km</w:t>
      </w:r>
      <w:r w:rsidRPr="5AD089C2">
        <w:rPr>
          <w:rFonts w:ascii="Garamond" w:eastAsia="Garamond" w:hAnsi="Garamond" w:cs="Garamond"/>
          <w:vertAlign w:val="superscript"/>
        </w:rPr>
        <w:t>2</w:t>
      </w:r>
      <w:r w:rsidRPr="033FC0A2">
        <w:rPr>
          <w:rFonts w:ascii="Garamond" w:eastAsia="Gungsuh" w:hAnsi="Garamond" w:cs="Gungsuh"/>
        </w:rPr>
        <w:t xml:space="preserve"> for which supposed cyanobacteria exceeded the state advisory limit and an additional 1.35 </w:t>
      </w:r>
      <w:r w:rsidRPr="5AD089C2">
        <w:rPr>
          <w:rFonts w:ascii="Garamond" w:eastAsia="Garamond" w:hAnsi="Garamond" w:cs="Garamond"/>
        </w:rPr>
        <w:t>km</w:t>
      </w:r>
      <w:r w:rsidRPr="5AD089C2">
        <w:rPr>
          <w:rFonts w:ascii="Garamond" w:eastAsia="Garamond" w:hAnsi="Garamond" w:cs="Garamond"/>
          <w:vertAlign w:val="superscript"/>
        </w:rPr>
        <w:t>2</w:t>
      </w:r>
      <w:r w:rsidRPr="033FC0A2">
        <w:rPr>
          <w:rFonts w:ascii="Garamond" w:eastAsia="Gungsuh" w:hAnsi="Garamond" w:cs="Gungsuh"/>
        </w:rPr>
        <w:t xml:space="preserve"> for which the detection threshold was reached. We attributed this discrepancy to past documentation of the Cyanobacteria Index's tendency to produce false positives when detecting mixed masses eukaryotic algae, not necessarily indicative of cyanobacterial presence (Wynne et al. 2021). We briefly attempted to verify our belief on this matter by applying these indices to NOAA reported HABs that occurred within the western basin of Lake Erie and visually comparing the outputs to those created as part of external research efforts. Although limited, we found that the indices appeared to be performing correctly within these verification events.</w:t>
      </w:r>
    </w:p>
    <w:p w14:paraId="6561D968" w14:textId="77777777" w:rsidR="00C57F64" w:rsidRDefault="00C57F64" w:rsidP="00C57F64">
      <w:pPr>
        <w:spacing w:after="0" w:line="240" w:lineRule="auto"/>
        <w:rPr>
          <w:rFonts w:ascii="Garamond" w:eastAsia="Gungsuh" w:hAnsi="Garamond" w:cs="Gungsuh"/>
        </w:rPr>
      </w:pPr>
    </w:p>
    <w:p w14:paraId="75DE4FEE" w14:textId="77777777" w:rsidR="00C57F64" w:rsidRDefault="00C57F64" w:rsidP="00C57F64">
      <w:pPr>
        <w:spacing w:after="0" w:line="240" w:lineRule="auto"/>
        <w:rPr>
          <w:rFonts w:ascii="Garamond" w:eastAsia="Gungsuh" w:hAnsi="Garamond" w:cs="Gungsuh"/>
          <w:i/>
          <w:iCs/>
        </w:rPr>
      </w:pPr>
      <w:r w:rsidRPr="5AD089C2">
        <w:rPr>
          <w:rFonts w:ascii="Garamond" w:eastAsia="Gungsuh" w:hAnsi="Garamond" w:cs="Gungsuh"/>
          <w:i/>
          <w:iCs/>
        </w:rPr>
        <w:t>4.1.2 Chlorophyll-a &amp; Turbidity</w:t>
      </w:r>
      <w:r>
        <w:br/>
      </w:r>
      <w:r w:rsidRPr="5AD089C2">
        <w:rPr>
          <w:rFonts w:ascii="Garamond" w:eastAsia="Gungsuh" w:hAnsi="Garamond" w:cs="Gungsuh"/>
        </w:rPr>
        <w:t>As mentioned in the data analysis section, our team used the ratio of two spectral bands to calculate the NDCI and NDTI of Lake Anna. Because both indices are a ratio, the quotient values are unitless and fall within the 1 to –1 range. As shown in Fig</w:t>
      </w:r>
      <w:r>
        <w:rPr>
          <w:rFonts w:ascii="Garamond" w:eastAsia="Gungsuh" w:hAnsi="Garamond" w:cs="Gungsuh"/>
        </w:rPr>
        <w:t>ure</w:t>
      </w:r>
      <w:r w:rsidRPr="5AD089C2">
        <w:rPr>
          <w:rFonts w:ascii="Garamond" w:eastAsia="Gungsuh" w:hAnsi="Garamond" w:cs="Gungsuh"/>
        </w:rPr>
        <w:t xml:space="preserve"> A2, the tips of the </w:t>
      </w:r>
      <w:r>
        <w:rPr>
          <w:rFonts w:ascii="Garamond" w:eastAsia="Gungsuh" w:hAnsi="Garamond" w:cs="Gungsuh"/>
        </w:rPr>
        <w:t>more northern</w:t>
      </w:r>
      <w:r w:rsidRPr="5AD089C2">
        <w:rPr>
          <w:rFonts w:ascii="Garamond" w:eastAsia="Gungsuh" w:hAnsi="Garamond" w:cs="Gungsuh"/>
        </w:rPr>
        <w:t xml:space="preserve"> tributaries have high chlorophyll-a concentrations as well as increased turbidity. Increased turbidity was seen in the southern half of Lake Anna, but lower turbidity was detected in the middle to upper tributaries. Increased chlorophyll-a concentrations were also seen along the edges of the entire lake. Comparing the NDCI in (Fig. A2) to the kriging analysis of the DEQ </w:t>
      </w:r>
      <w:r w:rsidRPr="5AD089C2">
        <w:rPr>
          <w:rFonts w:ascii="Garamond" w:eastAsia="Gungsuh" w:hAnsi="Garamond" w:cs="Gungsuh"/>
          <w:i/>
          <w:iCs/>
        </w:rPr>
        <w:t>in situ</w:t>
      </w:r>
      <w:r w:rsidRPr="5AD089C2">
        <w:rPr>
          <w:rFonts w:ascii="Garamond" w:eastAsia="Gungsuh" w:hAnsi="Garamond" w:cs="Gungsuh"/>
        </w:rPr>
        <w:t xml:space="preserve"> data in (Fig. B1), show relatively the same concentration patterns</w:t>
      </w:r>
      <w:r w:rsidRPr="5AD089C2">
        <w:rPr>
          <w:rFonts w:ascii="Garamond" w:eastAsia="Gungsuh" w:hAnsi="Garamond" w:cs="Gungsuh"/>
          <w:i/>
          <w:iCs/>
        </w:rPr>
        <w:t xml:space="preserve">. </w:t>
      </w:r>
      <w:r w:rsidRPr="5AD089C2">
        <w:rPr>
          <w:rFonts w:ascii="Garamond" w:eastAsia="Gungsuh" w:hAnsi="Garamond" w:cs="Gungsuh"/>
        </w:rPr>
        <w:t>Our team expected to see the chlorophyll-a concentrations to have a positive correlation with the turbidity of the water.</w:t>
      </w:r>
      <w:r w:rsidRPr="5AD089C2">
        <w:rPr>
          <w:rFonts w:ascii="Garamond" w:eastAsia="Gungsuh" w:hAnsi="Garamond" w:cs="Gungsuh"/>
          <w:i/>
          <w:iCs/>
        </w:rPr>
        <w:t xml:space="preserve"> </w:t>
      </w:r>
      <w:r w:rsidRPr="5AD089C2">
        <w:rPr>
          <w:rFonts w:ascii="Garamond" w:eastAsia="Gungsuh" w:hAnsi="Garamond" w:cs="Gungsuh"/>
        </w:rPr>
        <w:t>However, we noticed that they were instead opposite of one another. This result was unexpected because of the increased HAB advisories that have been issued in the upper tributaries.</w:t>
      </w:r>
    </w:p>
    <w:p w14:paraId="6CAD65E7" w14:textId="77777777" w:rsidR="00C57F64" w:rsidRDefault="00C57F64" w:rsidP="00C57F64">
      <w:pPr>
        <w:spacing w:after="0" w:line="240" w:lineRule="auto"/>
        <w:rPr>
          <w:rFonts w:ascii="Garamond" w:eastAsia="Gungsuh" w:hAnsi="Garamond" w:cs="Gungsuh"/>
        </w:rPr>
      </w:pPr>
    </w:p>
    <w:p w14:paraId="532B4647" w14:textId="77777777" w:rsidR="00C57F64" w:rsidRDefault="00C57F64" w:rsidP="00C57F64">
      <w:pPr>
        <w:spacing w:after="0" w:line="240" w:lineRule="auto"/>
        <w:rPr>
          <w:rFonts w:ascii="Garamond" w:eastAsia="Gungsuh" w:hAnsi="Garamond" w:cs="Gungsuh"/>
          <w:highlight w:val="yellow"/>
        </w:rPr>
      </w:pPr>
      <w:r w:rsidRPr="5AD089C2">
        <w:rPr>
          <w:rFonts w:ascii="Garamond" w:eastAsia="Gungsuh" w:hAnsi="Garamond" w:cs="Gungsuh"/>
        </w:rPr>
        <w:t xml:space="preserve">After our team completed the NDCI and NDTI analyses in GEE, we discovered that there were various factors that were interfering with the validity of our results. Objects such as boats, docks, bridges, or even wakes can obstruct satellite imaging. Docks appeared as the highest chlorophyll concentrations as well as the most turbid. Light colored bridges appeared at lower chlorophyll concentrations, but high turbidity. In the more shallow, clear areas along the edges of Lake Anna, bottom reflectance could potentially play a factor contributing to the high concentration readings. </w:t>
      </w:r>
    </w:p>
    <w:p w14:paraId="3E33F945" w14:textId="77777777" w:rsidR="00C57F64" w:rsidRDefault="00C57F64" w:rsidP="00C57F64">
      <w:pPr>
        <w:spacing w:after="0" w:line="240" w:lineRule="auto"/>
        <w:jc w:val="center"/>
      </w:pPr>
    </w:p>
    <w:p w14:paraId="6AEE9FFC" w14:textId="77777777" w:rsidR="00C57F64" w:rsidRDefault="00C57F64" w:rsidP="00C57F64">
      <w:pPr>
        <w:spacing w:after="0" w:line="240" w:lineRule="auto"/>
        <w:rPr>
          <w:rFonts w:ascii="Garamond" w:eastAsia="Gungsuh" w:hAnsi="Garamond" w:cs="Gungsuh"/>
          <w:i/>
          <w:iCs/>
        </w:rPr>
      </w:pPr>
      <w:r w:rsidRPr="5AD089C2">
        <w:rPr>
          <w:rFonts w:ascii="Garamond" w:eastAsia="Gungsuh" w:hAnsi="Garamond" w:cs="Gungsuh"/>
          <w:i/>
          <w:iCs/>
        </w:rPr>
        <w:t>4.1.3</w:t>
      </w:r>
      <w:r>
        <w:rPr>
          <w:rFonts w:ascii="Garamond" w:eastAsia="Gungsuh" w:hAnsi="Garamond" w:cs="Gungsuh"/>
          <w:i/>
          <w:iCs/>
        </w:rPr>
        <w:t xml:space="preserve"> Surface Temperature</w:t>
      </w:r>
    </w:p>
    <w:p w14:paraId="5F7C712B" w14:textId="77777777" w:rsidR="00C57F64" w:rsidRDefault="00C57F64" w:rsidP="00C57F64">
      <w:pPr>
        <w:spacing w:after="0" w:line="240" w:lineRule="auto"/>
        <w:rPr>
          <w:rFonts w:ascii="Garamond" w:eastAsia="Garamond" w:hAnsi="Garamond" w:cs="Garamond"/>
          <w:color w:val="000000" w:themeColor="text1"/>
        </w:rPr>
      </w:pPr>
      <w:r w:rsidRPr="7477FBD2">
        <w:rPr>
          <w:rFonts w:ascii="Garamond" w:eastAsia="Garamond" w:hAnsi="Garamond" w:cs="Garamond"/>
          <w:color w:val="000000" w:themeColor="text1"/>
        </w:rPr>
        <w:t>Visual inspection of spatiotemporal trends in surface temperature throughout Lake Anna appeared to show consistently higher temperatures in two regions year-to-year: the lake’s southern basin and northern (Pamunkey and North Anna) branches. Median temperatures for June through September throughout the waterbody consistently mapped above 25</w:t>
      </w:r>
      <w:r w:rsidRPr="7477FBD2">
        <w:rPr>
          <w:rFonts w:ascii="Roboto" w:eastAsia="Roboto" w:hAnsi="Roboto" w:cs="Roboto"/>
          <w:color w:val="4D5156"/>
          <w:sz w:val="21"/>
          <w:szCs w:val="21"/>
        </w:rPr>
        <w:t>°</w:t>
      </w:r>
      <w:r w:rsidRPr="7477FBD2">
        <w:rPr>
          <w:rFonts w:ascii="Garamond" w:eastAsia="Garamond" w:hAnsi="Garamond" w:cs="Garamond"/>
          <w:color w:val="000000" w:themeColor="text1"/>
        </w:rPr>
        <w:t xml:space="preserve">C, but especially so in these regions. This temperature range indicates an overall lake environment which would give cyanobacteria a competitive edge over green algae (Ministry of Environment, 2022). Higher temperatures in the northern branches are consistent with the area’s known susceptibility to HABs, as confirmed by the issuance of HAB advisories there. It is noteworthy that this region of Lake Anna is generally shallower and easily warmed by solar radiation. It is also a region where our study saw high indications of other HABs indicators and risk factors. In the southern region of the waterbody, the WHTF was frequently visually distinct from the rest of the reservoir (Fig. E1); median surface temperatures in the cooling lagoons regularly reached into the upper 30s and 40s Celsius. The reservoir waters adjacent to the WHTF, especially at the water discharge location, reached more moderate yet still elevated values (upper 20s, low 30s Celsius). Sparse </w:t>
      </w:r>
      <w:r w:rsidRPr="7477FBD2">
        <w:rPr>
          <w:rFonts w:ascii="Garamond" w:eastAsia="Garamond" w:hAnsi="Garamond" w:cs="Garamond"/>
          <w:i/>
          <w:iCs/>
          <w:color w:val="000000" w:themeColor="text1"/>
        </w:rPr>
        <w:t>in situ</w:t>
      </w:r>
      <w:r w:rsidRPr="7477FBD2">
        <w:rPr>
          <w:rFonts w:ascii="Garamond" w:eastAsia="Garamond" w:hAnsi="Garamond" w:cs="Garamond"/>
          <w:color w:val="000000" w:themeColor="text1"/>
        </w:rPr>
        <w:t xml:space="preserve"> and HAB event records for this region limited our ability to compare temperature trends with algal growth or bloom risk factors across this region. </w:t>
      </w:r>
      <w:bookmarkStart w:id="5" w:name="_Int_lHdKLIfh"/>
      <w:r w:rsidRPr="7477FBD2">
        <w:rPr>
          <w:rFonts w:ascii="Garamond" w:eastAsia="Garamond" w:hAnsi="Garamond" w:cs="Garamond"/>
          <w:color w:val="000000" w:themeColor="text1"/>
        </w:rPr>
        <w:t>Similar to</w:t>
      </w:r>
      <w:bookmarkEnd w:id="5"/>
      <w:r w:rsidRPr="7477FBD2">
        <w:rPr>
          <w:rFonts w:ascii="Garamond" w:eastAsia="Garamond" w:hAnsi="Garamond" w:cs="Garamond"/>
          <w:color w:val="000000" w:themeColor="text1"/>
        </w:rPr>
        <w:t xml:space="preserve"> Sentinel-3's chlorophyll-a and turbidity retrievals, several anomalous high temperature readings were returned over locations on the lake where boat docks, bridges, and other man-made structures were present. Future work would benefit from masking or otherwise removing values retrieved at these locations from the analysis as a whole.</w:t>
      </w:r>
    </w:p>
    <w:p w14:paraId="440E6ABE" w14:textId="77777777" w:rsidR="00C57F64" w:rsidRDefault="00C57F64" w:rsidP="00C57F64">
      <w:pPr>
        <w:spacing w:after="0" w:line="240" w:lineRule="auto"/>
        <w:rPr>
          <w:rFonts w:ascii="Garamond" w:eastAsia="Garamond" w:hAnsi="Garamond" w:cs="Garamond"/>
          <w:color w:val="000000" w:themeColor="text1"/>
        </w:rPr>
      </w:pPr>
    </w:p>
    <w:p w14:paraId="7821D8FB" w14:textId="77777777" w:rsidR="00C57F64" w:rsidRDefault="00C57F64" w:rsidP="00C57F64">
      <w:pPr>
        <w:spacing w:after="0" w:line="240" w:lineRule="auto"/>
        <w:rPr>
          <w:rFonts w:ascii="Garamond" w:eastAsia="Gungsuh" w:hAnsi="Garamond" w:cs="Gungsuh"/>
        </w:rPr>
      </w:pPr>
      <w:r w:rsidRPr="5AD089C2">
        <w:rPr>
          <w:rFonts w:ascii="Garamond" w:eastAsia="Gungsuh" w:hAnsi="Garamond" w:cs="Gungsuh"/>
          <w:i/>
          <w:iCs/>
        </w:rPr>
        <w:lastRenderedPageBreak/>
        <w:t xml:space="preserve">4.1.4 </w:t>
      </w:r>
      <w:r w:rsidRPr="5AD089C2">
        <w:rPr>
          <w:rFonts w:ascii="Garamond" w:eastAsia="Gungsuh" w:hAnsi="Garamond" w:cs="Gungsuh"/>
        </w:rPr>
        <w:t>In situ</w:t>
      </w:r>
      <w:r w:rsidRPr="3E84361D">
        <w:rPr>
          <w:rFonts w:ascii="Garamond" w:eastAsia="Gungsuh" w:hAnsi="Garamond" w:cs="Gungsuh"/>
          <w:i/>
          <w:iCs/>
        </w:rPr>
        <w:t xml:space="preserve"> &amp; Ancillary Data</w:t>
      </w:r>
    </w:p>
    <w:p w14:paraId="458E0CD8" w14:textId="27DEC3B4" w:rsidR="00C57F64" w:rsidRDefault="00C57F64" w:rsidP="00C57F64">
      <w:pPr>
        <w:spacing w:after="0" w:line="240" w:lineRule="auto"/>
        <w:rPr>
          <w:rFonts w:ascii="Garamond" w:eastAsia="Gungsuh" w:hAnsi="Garamond" w:cs="Gungsuh"/>
        </w:rPr>
      </w:pPr>
      <w:r w:rsidRPr="0092050F">
        <w:rPr>
          <w:rFonts w:ascii="Garamond" w:eastAsia="Gungsuh" w:hAnsi="Garamond" w:cs="Gungsuh"/>
        </w:rPr>
        <w:t xml:space="preserve">The principal component analysis we completed revealed that the Middle </w:t>
      </w:r>
      <w:r w:rsidRPr="5AD089C2">
        <w:rPr>
          <w:rFonts w:ascii="Garamond" w:eastAsia="Gungsuh" w:hAnsi="Garamond" w:cs="Gungsuh"/>
        </w:rPr>
        <w:t>North</w:t>
      </w:r>
      <w:r w:rsidRPr="0092050F">
        <w:rPr>
          <w:rFonts w:ascii="Garamond" w:eastAsia="Gungsuh" w:hAnsi="Garamond" w:cs="Gungsuh"/>
        </w:rPr>
        <w:t xml:space="preserve"> Anna Branch and Upper Pamunkey Branch of Lake Anna did not operate as a cohesive unit. For example, we noted that advisories were most closely correlated to pH in </w:t>
      </w:r>
      <w:r w:rsidRPr="5AD089C2">
        <w:rPr>
          <w:rFonts w:ascii="Garamond" w:eastAsia="Gungsuh" w:hAnsi="Garamond" w:cs="Gungsuh"/>
        </w:rPr>
        <w:t>the Middle</w:t>
      </w:r>
      <w:r w:rsidRPr="0092050F">
        <w:rPr>
          <w:rFonts w:ascii="Garamond" w:eastAsia="Gungsuh" w:hAnsi="Garamond" w:cs="Gungsuh"/>
        </w:rPr>
        <w:t xml:space="preserve"> North Anna branch </w:t>
      </w:r>
      <w:r w:rsidRPr="5AD089C2">
        <w:rPr>
          <w:rFonts w:ascii="Garamond" w:eastAsia="Gungsuh" w:hAnsi="Garamond" w:cs="Gungsuh"/>
        </w:rPr>
        <w:t>(Fig</w:t>
      </w:r>
      <w:r>
        <w:rPr>
          <w:rFonts w:ascii="Garamond" w:eastAsia="Gungsuh" w:hAnsi="Garamond" w:cs="Gungsuh"/>
        </w:rPr>
        <w:t>ure</w:t>
      </w:r>
      <w:r w:rsidRPr="5AD089C2">
        <w:rPr>
          <w:rFonts w:ascii="Garamond" w:eastAsia="Gungsuh" w:hAnsi="Garamond" w:cs="Gungsuh"/>
        </w:rPr>
        <w:t xml:space="preserve"> D4) </w:t>
      </w:r>
      <w:r w:rsidRPr="0092050F">
        <w:rPr>
          <w:rFonts w:ascii="Garamond" w:eastAsia="Gungsuh" w:hAnsi="Garamond" w:cs="Gungsuh"/>
        </w:rPr>
        <w:t xml:space="preserve">while advisories were more traditionally correlated with levels of nitrogen and phosphorous in the </w:t>
      </w:r>
      <w:r w:rsidRPr="5AD089C2">
        <w:rPr>
          <w:rFonts w:ascii="Garamond" w:eastAsia="Gungsuh" w:hAnsi="Garamond" w:cs="Gungsuh"/>
        </w:rPr>
        <w:t>Upper</w:t>
      </w:r>
      <w:r w:rsidRPr="0092050F">
        <w:rPr>
          <w:rFonts w:ascii="Garamond" w:eastAsia="Gungsuh" w:hAnsi="Garamond" w:cs="Gungsuh"/>
        </w:rPr>
        <w:t xml:space="preserve"> Pamunkey branch</w:t>
      </w:r>
      <w:r w:rsidRPr="5AD089C2">
        <w:rPr>
          <w:rFonts w:ascii="Garamond" w:eastAsia="Gungsuh" w:hAnsi="Garamond" w:cs="Gungsuh"/>
        </w:rPr>
        <w:t xml:space="preserve"> (Fig</w:t>
      </w:r>
      <w:r>
        <w:rPr>
          <w:rFonts w:ascii="Garamond" w:eastAsia="Gungsuh" w:hAnsi="Garamond" w:cs="Gungsuh"/>
        </w:rPr>
        <w:t>ure</w:t>
      </w:r>
      <w:r w:rsidRPr="5AD089C2">
        <w:rPr>
          <w:rFonts w:ascii="Garamond" w:eastAsia="Gungsuh" w:hAnsi="Garamond" w:cs="Gungsuh"/>
        </w:rPr>
        <w:t xml:space="preserve"> D5).</w:t>
      </w:r>
      <w:r w:rsidRPr="0092050F">
        <w:rPr>
          <w:rFonts w:ascii="Garamond" w:eastAsia="Gungsuh" w:hAnsi="Garamond" w:cs="Gungsuh"/>
        </w:rPr>
        <w:t xml:space="preserve"> It is believed that these results may indicate the possibility of variable limiting factors impacting the formation of HABs across the Lake. Within both </w:t>
      </w:r>
      <w:r w:rsidRPr="5AD089C2">
        <w:rPr>
          <w:rFonts w:ascii="Garamond" w:eastAsia="Gungsuh" w:hAnsi="Garamond" w:cs="Gungsuh"/>
        </w:rPr>
        <w:t>branches</w:t>
      </w:r>
      <w:r w:rsidRPr="0092050F">
        <w:rPr>
          <w:rFonts w:ascii="Garamond" w:eastAsia="Gungsuh" w:hAnsi="Garamond" w:cs="Gungsuh"/>
        </w:rPr>
        <w:t xml:space="preserve"> of the lake, we found that the first two principal components accounted for over 60% of the variability in the data. We believe it likely that pH may be representing one of the first </w:t>
      </w:r>
      <w:r w:rsidRPr="5AD089C2">
        <w:rPr>
          <w:rFonts w:ascii="Garamond" w:eastAsia="Gungsuh" w:hAnsi="Garamond" w:cs="Gungsuh"/>
        </w:rPr>
        <w:t>two</w:t>
      </w:r>
      <w:r w:rsidRPr="0092050F">
        <w:rPr>
          <w:rFonts w:ascii="Garamond" w:eastAsia="Gungsuh" w:hAnsi="Garamond" w:cs="Gungsuh"/>
        </w:rPr>
        <w:t xml:space="preserve"> axis at both locations, with temperature accounting for the second in Pamunkey and either nitrogen or phosphorous accounting for the second in North Anna. </w:t>
      </w:r>
      <w:r w:rsidRPr="5AD089C2">
        <w:rPr>
          <w:rFonts w:ascii="Garamond" w:eastAsia="Gungsuh" w:hAnsi="Garamond" w:cs="Gungsuh"/>
        </w:rPr>
        <w:t>We also noted considerable data range overlap during all 4 of our sample years, at both locations individually (Fig</w:t>
      </w:r>
      <w:r>
        <w:rPr>
          <w:rFonts w:ascii="Garamond" w:eastAsia="Gungsuh" w:hAnsi="Garamond" w:cs="Gungsuh"/>
        </w:rPr>
        <w:t>ure</w:t>
      </w:r>
      <w:r w:rsidRPr="5AD089C2">
        <w:rPr>
          <w:rFonts w:ascii="Garamond" w:eastAsia="Gungsuh" w:hAnsi="Garamond" w:cs="Gungsuh"/>
        </w:rPr>
        <w:t xml:space="preserve"> D6 </w:t>
      </w:r>
      <w:r>
        <w:rPr>
          <w:rFonts w:ascii="Garamond" w:eastAsia="Gungsuh" w:hAnsi="Garamond" w:cs="Gungsuh"/>
        </w:rPr>
        <w:t>&amp;</w:t>
      </w:r>
      <w:r w:rsidRPr="5AD089C2">
        <w:rPr>
          <w:rFonts w:ascii="Garamond" w:eastAsia="Gungsuh" w:hAnsi="Garamond" w:cs="Gungsuh"/>
        </w:rPr>
        <w:t xml:space="preserve"> D7).</w:t>
      </w:r>
    </w:p>
    <w:p w14:paraId="758F9774" w14:textId="77777777" w:rsidR="00C57F64" w:rsidRDefault="00C57F64" w:rsidP="00C57F64">
      <w:pPr>
        <w:spacing w:after="0" w:line="240" w:lineRule="auto"/>
        <w:rPr>
          <w:rFonts w:ascii="Garamond" w:eastAsia="Gungsuh" w:hAnsi="Garamond" w:cs="Gungsuh"/>
        </w:rPr>
      </w:pPr>
    </w:p>
    <w:p w14:paraId="20B226F1" w14:textId="77777777" w:rsidR="00C57F64" w:rsidRDefault="00C57F64" w:rsidP="00C57F64">
      <w:pPr>
        <w:spacing w:after="0" w:line="240" w:lineRule="auto"/>
        <w:rPr>
          <w:rFonts w:ascii="Garamond" w:eastAsia="Gungsuh" w:hAnsi="Garamond" w:cs="Gungsuh"/>
        </w:rPr>
      </w:pPr>
      <w:r w:rsidRPr="5AD089C2">
        <w:rPr>
          <w:rFonts w:ascii="Garamond" w:eastAsia="Gungsuh" w:hAnsi="Garamond" w:cs="Gungsuh"/>
        </w:rPr>
        <w:t>Through</w:t>
      </w:r>
      <w:r w:rsidRPr="033FC0A2">
        <w:rPr>
          <w:rFonts w:ascii="Garamond" w:eastAsia="Gungsuh" w:hAnsi="Garamond" w:cs="Gungsuh"/>
        </w:rPr>
        <w:t xml:space="preserve"> our </w:t>
      </w:r>
      <w:r w:rsidRPr="5AD089C2">
        <w:rPr>
          <w:rFonts w:ascii="Garamond" w:eastAsia="Gungsuh" w:hAnsi="Garamond" w:cs="Gungsuh"/>
        </w:rPr>
        <w:t>team’s estimation of annual nutrient loads per hectare of row crops per HUC 12, we</w:t>
      </w:r>
      <w:r w:rsidRPr="033FC0A2">
        <w:rPr>
          <w:rFonts w:ascii="Garamond" w:eastAsia="Gungsuh" w:hAnsi="Garamond" w:cs="Gungsuh"/>
        </w:rPr>
        <w:t xml:space="preserve"> identified the Clear Creek and Terry’s Run sub-watersheds as being the leading nutrient contributors</w:t>
      </w:r>
      <w:r w:rsidRPr="5AD089C2">
        <w:rPr>
          <w:rFonts w:ascii="Garamond" w:eastAsia="Gungsuh" w:hAnsi="Garamond" w:cs="Gungsuh"/>
        </w:rPr>
        <w:t>.</w:t>
      </w:r>
      <w:r w:rsidRPr="033FC0A2">
        <w:rPr>
          <w:rFonts w:ascii="Garamond" w:eastAsia="Gungsuh" w:hAnsi="Garamond" w:cs="Gungsuh"/>
        </w:rPr>
        <w:t xml:space="preserve"> Based on Lin’s 2004 export coefficient for row crops, we estimated that these two sub-watersheds contributed a combined 7,003 kg of phosphorus and 25,261 kg of nitrogen annually to the Lake</w:t>
      </w:r>
      <w:r w:rsidRPr="5AD089C2">
        <w:rPr>
          <w:rFonts w:ascii="Garamond" w:eastAsia="Gungsuh" w:hAnsi="Garamond" w:cs="Gungsuh"/>
        </w:rPr>
        <w:t xml:space="preserve"> (Fig. B3).</w:t>
      </w:r>
      <w:r w:rsidRPr="033FC0A2">
        <w:rPr>
          <w:rFonts w:ascii="Garamond" w:eastAsia="Gungsuh" w:hAnsi="Garamond" w:cs="Gungsuh"/>
        </w:rPr>
        <w:t xml:space="preserve"> We found that these two sub-watersheds harbored roughly 15.27 </w:t>
      </w:r>
      <w:r w:rsidRPr="5AD089C2">
        <w:rPr>
          <w:rFonts w:ascii="Garamond" w:eastAsia="Garamond" w:hAnsi="Garamond" w:cs="Garamond"/>
        </w:rPr>
        <w:t>km</w:t>
      </w:r>
      <w:r w:rsidRPr="5AD089C2">
        <w:rPr>
          <w:rFonts w:ascii="Garamond" w:eastAsia="Garamond" w:hAnsi="Garamond" w:cs="Garamond"/>
          <w:vertAlign w:val="superscript"/>
        </w:rPr>
        <w:t>2</w:t>
      </w:r>
      <w:r w:rsidRPr="033FC0A2">
        <w:rPr>
          <w:rFonts w:ascii="Garamond" w:eastAsia="Gungsuh" w:hAnsi="Garamond" w:cs="Gungsuh"/>
        </w:rPr>
        <w:t xml:space="preserve"> of row crop farmland, and loaded nutrients into what are generally the most HAB afflicted portions of the Lake. While these results were most pertinent to the upper reaches of Lake Anna, our TSI analysis focused on the southern half of the Lake, more closely aligning with our CIcyano area of interest. For the TSI sampling season of 2018 we recorded a value of 47.96, thus placing the southern basin within a range that is described as accommodating sufficient nutrients, fairly high productivity</w:t>
      </w:r>
      <w:r w:rsidRPr="5AD089C2">
        <w:rPr>
          <w:rFonts w:ascii="Garamond" w:eastAsia="Gungsuh" w:hAnsi="Garamond" w:cs="Gungsuh"/>
        </w:rPr>
        <w:t>,</w:t>
      </w:r>
      <w:r w:rsidRPr="033FC0A2">
        <w:rPr>
          <w:rFonts w:ascii="Garamond" w:eastAsia="Gungsuh" w:hAnsi="Garamond" w:cs="Gungsuh"/>
        </w:rPr>
        <w:t xml:space="preserve"> and the ability to support an abundance of algae (Paulic et al., 1996). We believe that this apt description of the southern half of the lake lends further credence to the EO outputs discussed earlier in this report.</w:t>
      </w:r>
    </w:p>
    <w:p w14:paraId="6D8CB14E" w14:textId="77777777" w:rsidR="00C57F64" w:rsidRDefault="00C57F64" w:rsidP="00C57F64">
      <w:pPr>
        <w:spacing w:after="0" w:line="240" w:lineRule="auto"/>
        <w:rPr>
          <w:rFonts w:ascii="Garamond" w:eastAsia="Gungsuh" w:hAnsi="Garamond" w:cs="Gungsuh"/>
        </w:rPr>
      </w:pPr>
      <w:bookmarkStart w:id="6" w:name="_Toc334198734"/>
    </w:p>
    <w:p w14:paraId="497B01A9" w14:textId="77777777" w:rsidR="00C57F64" w:rsidRDefault="00C57F64" w:rsidP="00C57F64">
      <w:pPr>
        <w:pStyle w:val="NoSpacing"/>
        <w:rPr>
          <w:rFonts w:ascii="Garamond" w:hAnsi="Garamond"/>
          <w:b/>
          <w:bCs/>
          <w:i/>
          <w:iCs/>
        </w:rPr>
      </w:pPr>
      <w:r w:rsidRPr="64F8C289">
        <w:rPr>
          <w:rFonts w:ascii="Garamond" w:hAnsi="Garamond"/>
          <w:b/>
          <w:bCs/>
          <w:i/>
          <w:iCs/>
        </w:rPr>
        <w:t>4.2 Feasibility Assessment</w:t>
      </w:r>
    </w:p>
    <w:p w14:paraId="0EFB81D8" w14:textId="77777777" w:rsidR="00C57F64" w:rsidRDefault="00C57F64" w:rsidP="00C57F64">
      <w:pPr>
        <w:pStyle w:val="NoSpacing"/>
        <w:rPr>
          <w:rFonts w:ascii="Garamond" w:hAnsi="Garamond"/>
        </w:rPr>
      </w:pPr>
      <w:r w:rsidRPr="66D82CA7">
        <w:rPr>
          <w:rFonts w:ascii="Garamond" w:hAnsi="Garamond"/>
        </w:rPr>
        <w:t>While we were able to detect cyanobacterial presence within Lake Anna, the spatial resolution afforded by Sentinel-3's OLCI was incompatible with much of the waterways’ relatively narrow surface area. We feel that the issue of spatial resolution is particularly pressing when one considers the importance of detecting cyanobacteria in nearshore areas that are frequently used for recreation. Regardless, data retrieved from this platform may still prove useful in those areas lacking adequate monitoring programs. While confident in our detections, the shortage of verifiable HAB reports across the southern half of Lake Anna leaves room for uncertainty.</w:t>
      </w:r>
      <w:r w:rsidRPr="5AD089C2">
        <w:rPr>
          <w:rFonts w:ascii="Garamond" w:hAnsi="Garamond"/>
        </w:rPr>
        <w:t xml:space="preserve"> Most</w:t>
      </w:r>
      <w:r w:rsidRPr="3E84361D">
        <w:rPr>
          <w:rFonts w:ascii="Garamond" w:hAnsi="Garamond"/>
        </w:rPr>
        <w:t xml:space="preserve"> of the analyses we performed in this study </w:t>
      </w:r>
      <w:r w:rsidRPr="5AD089C2">
        <w:rPr>
          <w:rFonts w:ascii="Garamond" w:hAnsi="Garamond"/>
        </w:rPr>
        <w:t>were highly</w:t>
      </w:r>
      <w:r w:rsidRPr="3E84361D">
        <w:rPr>
          <w:rFonts w:ascii="Garamond" w:hAnsi="Garamond"/>
        </w:rPr>
        <w:t xml:space="preserve"> dependent upon the availability of data for any given waterway. For our purposes, many of the datasets we utilized often lacked comprehensive recordings in terms of spatial, temporal, or variable coverage. Despite these possible shortcomings, our explorations into the geospatial relationships among </w:t>
      </w:r>
      <w:r w:rsidRPr="3E84361D">
        <w:rPr>
          <w:rFonts w:ascii="Garamond" w:hAnsi="Garamond"/>
          <w:i/>
          <w:iCs/>
        </w:rPr>
        <w:t>in situ</w:t>
      </w:r>
      <w:r w:rsidRPr="3E84361D">
        <w:rPr>
          <w:rFonts w:ascii="Garamond" w:hAnsi="Garamond"/>
        </w:rPr>
        <w:t xml:space="preserve"> datasets proved to be an opportunity for verification of EO data. By visually linking these findings we are able to highlight the importance of incorporating both </w:t>
      </w:r>
      <w:r w:rsidRPr="3E84361D">
        <w:rPr>
          <w:rFonts w:ascii="Garamond" w:hAnsi="Garamond"/>
          <w:i/>
          <w:iCs/>
        </w:rPr>
        <w:t>in situ</w:t>
      </w:r>
      <w:r w:rsidRPr="3E84361D">
        <w:rPr>
          <w:rFonts w:ascii="Garamond" w:hAnsi="Garamond"/>
        </w:rPr>
        <w:t xml:space="preserve"> and remotely</w:t>
      </w:r>
      <w:r w:rsidRPr="5AD089C2">
        <w:rPr>
          <w:rFonts w:ascii="Garamond" w:hAnsi="Garamond"/>
        </w:rPr>
        <w:t xml:space="preserve"> </w:t>
      </w:r>
      <w:r w:rsidRPr="3E84361D">
        <w:rPr>
          <w:rFonts w:ascii="Garamond" w:hAnsi="Garamond"/>
        </w:rPr>
        <w:t>sensed data for water resource management.</w:t>
      </w:r>
    </w:p>
    <w:p w14:paraId="61B0FFF4" w14:textId="77777777" w:rsidR="00C57F64" w:rsidRPr="0066138C" w:rsidRDefault="00C57F64" w:rsidP="00C57F64">
      <w:pPr>
        <w:pStyle w:val="NoSpacing"/>
        <w:rPr>
          <w:rFonts w:ascii="Garamond" w:hAnsi="Garamond"/>
        </w:rPr>
      </w:pPr>
    </w:p>
    <w:p w14:paraId="5E580E3A" w14:textId="77777777" w:rsidR="00C57F64" w:rsidRPr="0066138C" w:rsidRDefault="00C57F64" w:rsidP="00C57F64">
      <w:pPr>
        <w:pStyle w:val="NoSpacing"/>
        <w:rPr>
          <w:rFonts w:ascii="Garamond" w:hAnsi="Garamond"/>
          <w:b/>
          <w:bCs/>
          <w:i/>
          <w:iCs/>
        </w:rPr>
      </w:pPr>
      <w:r w:rsidRPr="64F8C289">
        <w:rPr>
          <w:rFonts w:ascii="Garamond" w:hAnsi="Garamond"/>
          <w:b/>
          <w:bCs/>
          <w:i/>
          <w:iCs/>
        </w:rPr>
        <w:t>4.3 Future Work</w:t>
      </w:r>
    </w:p>
    <w:bookmarkEnd w:id="6"/>
    <w:p w14:paraId="7326B80F" w14:textId="77777777" w:rsidR="00C57F64" w:rsidRDefault="00C57F64" w:rsidP="00C57F64">
      <w:pPr>
        <w:pStyle w:val="NoSpacing"/>
        <w:rPr>
          <w:rFonts w:ascii="Garamond" w:hAnsi="Garamond"/>
          <w:i/>
          <w:iCs/>
        </w:rPr>
      </w:pPr>
      <w:r w:rsidRPr="5AD089C2">
        <w:rPr>
          <w:rFonts w:ascii="Garamond" w:hAnsi="Garamond"/>
          <w:i/>
          <w:iCs/>
        </w:rPr>
        <w:t>4.3.1 Cyanobacteria</w:t>
      </w:r>
    </w:p>
    <w:p w14:paraId="2F70145B" w14:textId="77777777" w:rsidR="00C57F64" w:rsidRDefault="00C57F64" w:rsidP="00C57F64">
      <w:pPr>
        <w:pStyle w:val="NoSpacing"/>
        <w:rPr>
          <w:rFonts w:ascii="Garamond" w:hAnsi="Garamond"/>
        </w:rPr>
      </w:pPr>
      <w:r w:rsidRPr="5150B811">
        <w:rPr>
          <w:rFonts w:ascii="Garamond" w:hAnsi="Garamond"/>
        </w:rPr>
        <w:t xml:space="preserve">Following our team's research, we believe there are further resolution, modeling, validation, and EO methods to integrate into the Virginia DEQs HAB monitoring procedures. </w:t>
      </w:r>
      <w:r w:rsidRPr="5AD089C2">
        <w:rPr>
          <w:rFonts w:ascii="Garamond" w:hAnsi="Garamond"/>
        </w:rPr>
        <w:t>Developing</w:t>
      </w:r>
      <w:r w:rsidRPr="3E84361D">
        <w:rPr>
          <w:rFonts w:ascii="Garamond" w:hAnsi="Garamond"/>
        </w:rPr>
        <w:t xml:space="preserve"> a cyanobacteria detection workflow that affords improved spatial resolution</w:t>
      </w:r>
      <w:r w:rsidRPr="5AD089C2">
        <w:rPr>
          <w:rFonts w:ascii="Garamond" w:hAnsi="Garamond"/>
        </w:rPr>
        <w:t>, one limiting factor in our work,</w:t>
      </w:r>
      <w:r w:rsidRPr="3E84361D">
        <w:rPr>
          <w:rFonts w:ascii="Garamond" w:hAnsi="Garamond"/>
        </w:rPr>
        <w:t xml:space="preserve"> would be a major step toward fully implementing these procedures within </w:t>
      </w:r>
      <w:r w:rsidRPr="5AD089C2">
        <w:rPr>
          <w:rFonts w:ascii="Garamond" w:hAnsi="Garamond"/>
        </w:rPr>
        <w:t>inland</w:t>
      </w:r>
      <w:r w:rsidRPr="3E84361D">
        <w:rPr>
          <w:rFonts w:ascii="Garamond" w:hAnsi="Garamond"/>
        </w:rPr>
        <w:t xml:space="preserve"> lakes and other coastal areas. As we touched upon earlier, a combined EO and </w:t>
      </w:r>
      <w:r w:rsidRPr="3E84361D">
        <w:rPr>
          <w:rFonts w:ascii="Garamond" w:hAnsi="Garamond"/>
          <w:i/>
          <w:iCs/>
        </w:rPr>
        <w:t xml:space="preserve">in situ </w:t>
      </w:r>
      <w:r w:rsidRPr="3E84361D">
        <w:rPr>
          <w:rFonts w:ascii="Garamond" w:hAnsi="Garamond"/>
        </w:rPr>
        <w:t xml:space="preserve">approach toward water resource management is likely to lead to more comprehensive outcomes </w:t>
      </w:r>
      <w:r w:rsidRPr="5AD089C2">
        <w:rPr>
          <w:rFonts w:ascii="Garamond" w:hAnsi="Garamond"/>
        </w:rPr>
        <w:t>than</w:t>
      </w:r>
      <w:r w:rsidRPr="3E84361D">
        <w:rPr>
          <w:rFonts w:ascii="Garamond" w:hAnsi="Garamond"/>
        </w:rPr>
        <w:t xml:space="preserve"> a singular metric. To accomplish this</w:t>
      </w:r>
      <w:r w:rsidRPr="5AD089C2">
        <w:rPr>
          <w:rFonts w:ascii="Garamond" w:hAnsi="Garamond"/>
        </w:rPr>
        <w:t>,</w:t>
      </w:r>
      <w:r w:rsidRPr="3E84361D">
        <w:rPr>
          <w:rFonts w:ascii="Garamond" w:hAnsi="Garamond"/>
        </w:rPr>
        <w:t xml:space="preserve"> however, a battery of verification will be required across various settings to fully flush</w:t>
      </w:r>
      <w:r w:rsidRPr="5AD089C2">
        <w:rPr>
          <w:rFonts w:ascii="Garamond" w:hAnsi="Garamond"/>
        </w:rPr>
        <w:t xml:space="preserve"> </w:t>
      </w:r>
      <w:r w:rsidRPr="3E84361D">
        <w:rPr>
          <w:rFonts w:ascii="Garamond" w:hAnsi="Garamond"/>
        </w:rPr>
        <w:t xml:space="preserve">out any inadequacies and or inconsistencies present in any given index. </w:t>
      </w:r>
      <w:r w:rsidRPr="5AD089C2">
        <w:rPr>
          <w:rFonts w:ascii="Garamond" w:hAnsi="Garamond"/>
        </w:rPr>
        <w:t>Another</w:t>
      </w:r>
      <w:r w:rsidRPr="3E84361D">
        <w:rPr>
          <w:rFonts w:ascii="Garamond" w:hAnsi="Garamond"/>
        </w:rPr>
        <w:t xml:space="preserve"> important aspect of future work is the transformation of unitless metrics into standardized measures that can be applied equally across multiple waterbodies.</w:t>
      </w:r>
    </w:p>
    <w:p w14:paraId="79C9B91A" w14:textId="77777777" w:rsidR="00C57F64" w:rsidRDefault="00C57F64" w:rsidP="00C57F64">
      <w:pPr>
        <w:pStyle w:val="NoSpacing"/>
        <w:rPr>
          <w:rFonts w:ascii="Garamond" w:hAnsi="Garamond"/>
        </w:rPr>
      </w:pPr>
    </w:p>
    <w:p w14:paraId="4ACF16AD" w14:textId="77777777" w:rsidR="00C57F64" w:rsidRDefault="00C57F64" w:rsidP="00C57F64">
      <w:pPr>
        <w:pStyle w:val="NoSpacing"/>
        <w:rPr>
          <w:rFonts w:ascii="Garamond" w:hAnsi="Garamond"/>
        </w:rPr>
      </w:pPr>
      <w:r>
        <w:rPr>
          <w:rFonts w:ascii="Garamond" w:hAnsi="Garamond"/>
          <w:i/>
        </w:rPr>
        <w:t xml:space="preserve">4.3.2 </w:t>
      </w:r>
      <w:r w:rsidRPr="00620870">
        <w:rPr>
          <w:rFonts w:ascii="Garamond" w:hAnsi="Garamond"/>
          <w:iCs/>
        </w:rPr>
        <w:t>In situ</w:t>
      </w:r>
    </w:p>
    <w:p w14:paraId="05A5CAFC" w14:textId="792AD428" w:rsidR="00C57F64" w:rsidRDefault="00C57F64" w:rsidP="00C57F64">
      <w:pPr>
        <w:pStyle w:val="NoSpacing"/>
        <w:rPr>
          <w:rFonts w:ascii="Garamond" w:hAnsi="Garamond"/>
        </w:rPr>
      </w:pPr>
      <w:r w:rsidRPr="22EC8F52">
        <w:rPr>
          <w:rFonts w:ascii="Garamond" w:hAnsi="Garamond"/>
        </w:rPr>
        <w:lastRenderedPageBreak/>
        <w:t xml:space="preserve">The DEQ provided sufficient data on a variety of nutrients </w:t>
      </w:r>
      <w:r w:rsidRPr="759A3378">
        <w:rPr>
          <w:rFonts w:ascii="Garamond" w:hAnsi="Garamond"/>
        </w:rPr>
        <w:t>and other parameters contaminating</w:t>
      </w:r>
      <w:r w:rsidRPr="22EC8F52">
        <w:rPr>
          <w:rFonts w:ascii="Garamond" w:hAnsi="Garamond"/>
        </w:rPr>
        <w:t xml:space="preserve"> the lake </w:t>
      </w:r>
      <w:r w:rsidRPr="63F9157D">
        <w:rPr>
          <w:rFonts w:ascii="Garamond" w:hAnsi="Garamond"/>
        </w:rPr>
        <w:t xml:space="preserve">such </w:t>
      </w:r>
      <w:r w:rsidRPr="09852390">
        <w:rPr>
          <w:rFonts w:ascii="Garamond" w:hAnsi="Garamond"/>
        </w:rPr>
        <w:t>as nitrogen</w:t>
      </w:r>
      <w:r w:rsidRPr="1F14CDAD">
        <w:rPr>
          <w:rFonts w:ascii="Garamond" w:hAnsi="Garamond"/>
        </w:rPr>
        <w:t xml:space="preserve">, phosphorus, </w:t>
      </w:r>
      <w:r w:rsidRPr="5AD089C2">
        <w:rPr>
          <w:rFonts w:ascii="Garamond" w:hAnsi="Garamond"/>
        </w:rPr>
        <w:t xml:space="preserve">and pH. Additional </w:t>
      </w:r>
      <w:r w:rsidRPr="5AD089C2">
        <w:rPr>
          <w:rFonts w:ascii="Garamond" w:hAnsi="Garamond"/>
          <w:i/>
          <w:iCs/>
        </w:rPr>
        <w:t>in situ</w:t>
      </w:r>
      <w:r w:rsidRPr="5AD089C2">
        <w:rPr>
          <w:rFonts w:ascii="Garamond" w:hAnsi="Garamond"/>
          <w:i/>
        </w:rPr>
        <w:t xml:space="preserve"> </w:t>
      </w:r>
      <w:r w:rsidRPr="3E84361D">
        <w:rPr>
          <w:rFonts w:ascii="Garamond" w:hAnsi="Garamond"/>
        </w:rPr>
        <w:t xml:space="preserve">water quality parameters that would be beneficial </w:t>
      </w:r>
      <w:r w:rsidRPr="5AD089C2">
        <w:rPr>
          <w:rFonts w:ascii="Garamond" w:hAnsi="Garamond"/>
        </w:rPr>
        <w:t>in developing a more well-rounded interpretation of Lake Anna’s water quality and HABs are</w:t>
      </w:r>
      <w:r w:rsidRPr="3E84361D">
        <w:rPr>
          <w:rFonts w:ascii="Garamond" w:hAnsi="Garamond"/>
        </w:rPr>
        <w:t xml:space="preserve"> </w:t>
      </w:r>
      <w:r w:rsidR="000040BC">
        <w:rPr>
          <w:rFonts w:ascii="Garamond" w:hAnsi="Garamond"/>
        </w:rPr>
        <w:t>t</w:t>
      </w:r>
      <w:r w:rsidR="000040BC" w:rsidRPr="000040BC">
        <w:rPr>
          <w:rFonts w:ascii="Garamond" w:hAnsi="Garamond"/>
        </w:rPr>
        <w:t xml:space="preserve">otal suspended solids </w:t>
      </w:r>
      <w:r w:rsidR="000040BC">
        <w:rPr>
          <w:rFonts w:ascii="Garamond" w:hAnsi="Garamond"/>
        </w:rPr>
        <w:t>(</w:t>
      </w:r>
      <w:r w:rsidRPr="3E84361D">
        <w:rPr>
          <w:rFonts w:ascii="Garamond" w:hAnsi="Garamond"/>
        </w:rPr>
        <w:t>TSS</w:t>
      </w:r>
      <w:r w:rsidR="000040BC">
        <w:rPr>
          <w:rFonts w:ascii="Garamond" w:hAnsi="Garamond"/>
        </w:rPr>
        <w:t>)</w:t>
      </w:r>
      <w:r w:rsidRPr="3E84361D">
        <w:rPr>
          <w:rFonts w:ascii="Garamond" w:hAnsi="Garamond"/>
        </w:rPr>
        <w:t xml:space="preserve"> and alkalinity. </w:t>
      </w:r>
      <w:r w:rsidRPr="258EBF3E">
        <w:rPr>
          <w:rFonts w:ascii="Garamond" w:hAnsi="Garamond"/>
        </w:rPr>
        <w:t xml:space="preserve">TSS could tell us more about the water’s </w:t>
      </w:r>
      <w:r w:rsidRPr="22AA8DBB">
        <w:rPr>
          <w:rFonts w:ascii="Garamond" w:hAnsi="Garamond"/>
        </w:rPr>
        <w:t>clarity</w:t>
      </w:r>
      <w:r w:rsidRPr="3E84361D">
        <w:rPr>
          <w:rFonts w:ascii="Garamond" w:hAnsi="Garamond"/>
        </w:rPr>
        <w:t xml:space="preserve"> and can be compared to the NDTI analysis run in GEE to see if the EO maps align with </w:t>
      </w:r>
      <w:r w:rsidRPr="3E84361D">
        <w:rPr>
          <w:rFonts w:ascii="Garamond" w:hAnsi="Garamond"/>
          <w:i/>
          <w:iCs/>
        </w:rPr>
        <w:t>in situ</w:t>
      </w:r>
      <w:r w:rsidRPr="3E84361D">
        <w:rPr>
          <w:rFonts w:ascii="Garamond" w:hAnsi="Garamond"/>
        </w:rPr>
        <w:t xml:space="preserve"> data. Looking </w:t>
      </w:r>
      <w:r w:rsidRPr="5AD089C2">
        <w:rPr>
          <w:rFonts w:ascii="Garamond" w:hAnsi="Garamond"/>
        </w:rPr>
        <w:t>further</w:t>
      </w:r>
      <w:r w:rsidRPr="22AA8DBB">
        <w:rPr>
          <w:rFonts w:ascii="Garamond" w:hAnsi="Garamond"/>
        </w:rPr>
        <w:t xml:space="preserve"> </w:t>
      </w:r>
      <w:r w:rsidRPr="79998B88">
        <w:rPr>
          <w:rFonts w:ascii="Garamond" w:hAnsi="Garamond"/>
        </w:rPr>
        <w:t xml:space="preserve">into </w:t>
      </w:r>
      <w:r w:rsidRPr="4B9C6901">
        <w:rPr>
          <w:rFonts w:ascii="Garamond" w:hAnsi="Garamond"/>
        </w:rPr>
        <w:t>geochemistry</w:t>
      </w:r>
      <w:r w:rsidRPr="5AD089C2">
        <w:rPr>
          <w:rFonts w:ascii="Garamond" w:hAnsi="Garamond"/>
        </w:rPr>
        <w:t>,</w:t>
      </w:r>
      <w:r w:rsidRPr="087DBE49">
        <w:rPr>
          <w:rFonts w:ascii="Garamond" w:hAnsi="Garamond"/>
        </w:rPr>
        <w:t xml:space="preserve"> </w:t>
      </w:r>
      <w:r w:rsidRPr="5665D224">
        <w:rPr>
          <w:rFonts w:ascii="Garamond" w:hAnsi="Garamond"/>
        </w:rPr>
        <w:t xml:space="preserve">like </w:t>
      </w:r>
      <w:r w:rsidRPr="60E0C33B">
        <w:rPr>
          <w:rFonts w:ascii="Garamond" w:hAnsi="Garamond"/>
        </w:rPr>
        <w:t>alkalinity</w:t>
      </w:r>
      <w:r w:rsidRPr="5AD089C2">
        <w:rPr>
          <w:rFonts w:ascii="Garamond" w:hAnsi="Garamond"/>
        </w:rPr>
        <w:t>,</w:t>
      </w:r>
      <w:r w:rsidRPr="5665D224">
        <w:rPr>
          <w:rFonts w:ascii="Garamond" w:hAnsi="Garamond"/>
        </w:rPr>
        <w:t xml:space="preserve"> could reveal </w:t>
      </w:r>
      <w:r w:rsidRPr="60E0C33B">
        <w:rPr>
          <w:rFonts w:ascii="Garamond" w:hAnsi="Garamond"/>
        </w:rPr>
        <w:t xml:space="preserve">where </w:t>
      </w:r>
      <w:r w:rsidRPr="2815CD94">
        <w:rPr>
          <w:rFonts w:ascii="Garamond" w:hAnsi="Garamond"/>
        </w:rPr>
        <w:t>some sources of runoff are coming from</w:t>
      </w:r>
      <w:r w:rsidRPr="5AD089C2">
        <w:rPr>
          <w:rFonts w:ascii="Garamond" w:hAnsi="Garamond"/>
        </w:rPr>
        <w:t xml:space="preserve"> and whether</w:t>
      </w:r>
      <w:r w:rsidRPr="3E84361D">
        <w:rPr>
          <w:rFonts w:ascii="Garamond" w:hAnsi="Garamond"/>
        </w:rPr>
        <w:t xml:space="preserve"> </w:t>
      </w:r>
      <w:r w:rsidRPr="6EE135A8">
        <w:rPr>
          <w:rFonts w:ascii="Garamond" w:hAnsi="Garamond"/>
        </w:rPr>
        <w:t xml:space="preserve">it affects the risk factors of </w:t>
      </w:r>
      <w:r w:rsidRPr="6A4A6947">
        <w:rPr>
          <w:rFonts w:ascii="Garamond" w:hAnsi="Garamond"/>
        </w:rPr>
        <w:t>HABs.</w:t>
      </w:r>
    </w:p>
    <w:p w14:paraId="4468DABF" w14:textId="77777777" w:rsidR="00C57F64" w:rsidRDefault="00C57F64" w:rsidP="00C57F64">
      <w:pPr>
        <w:pStyle w:val="NoSpacing"/>
        <w:rPr>
          <w:rFonts w:ascii="Garamond" w:hAnsi="Garamond"/>
        </w:rPr>
      </w:pPr>
    </w:p>
    <w:p w14:paraId="059CA9E2" w14:textId="77777777" w:rsidR="00C57F64" w:rsidRDefault="00C57F64" w:rsidP="00C57F64">
      <w:pPr>
        <w:pStyle w:val="NoSpacing"/>
        <w:rPr>
          <w:rFonts w:ascii="Garamond" w:hAnsi="Garamond"/>
          <w:i/>
        </w:rPr>
      </w:pPr>
      <w:r>
        <w:rPr>
          <w:rFonts w:ascii="Garamond" w:hAnsi="Garamond"/>
          <w:i/>
        </w:rPr>
        <w:t xml:space="preserve">4.3.3 </w:t>
      </w:r>
      <w:r w:rsidRPr="1D1D1DC1">
        <w:rPr>
          <w:rFonts w:ascii="Garamond" w:hAnsi="Garamond"/>
          <w:i/>
        </w:rPr>
        <w:t>Modeling</w:t>
      </w:r>
    </w:p>
    <w:p w14:paraId="662DE411" w14:textId="77777777" w:rsidR="00C57F64" w:rsidRDefault="00C57F64" w:rsidP="00C57F64">
      <w:pPr>
        <w:pStyle w:val="NoSpacing"/>
        <w:rPr>
          <w:rFonts w:ascii="Garamond" w:hAnsi="Garamond"/>
        </w:rPr>
      </w:pPr>
      <w:r w:rsidRPr="5AD089C2">
        <w:rPr>
          <w:rFonts w:ascii="Garamond" w:hAnsi="Garamond"/>
        </w:rPr>
        <w:t>Our study provided a cursory look at the relative row crop contribution of each HUC 12</w:t>
      </w:r>
      <w:r w:rsidRPr="5150B811">
        <w:rPr>
          <w:rFonts w:ascii="Garamond" w:hAnsi="Garamond"/>
        </w:rPr>
        <w:t xml:space="preserve"> watershed </w:t>
      </w:r>
      <w:r w:rsidRPr="5AD089C2">
        <w:rPr>
          <w:rFonts w:ascii="Garamond" w:hAnsi="Garamond"/>
        </w:rPr>
        <w:t xml:space="preserve">to Lake Anna’s nutrient load. Watershed </w:t>
      </w:r>
      <w:r w:rsidRPr="5150B811">
        <w:rPr>
          <w:rFonts w:ascii="Garamond" w:hAnsi="Garamond"/>
        </w:rPr>
        <w:t>model-building</w:t>
      </w:r>
      <w:r w:rsidRPr="5AD089C2">
        <w:rPr>
          <w:rFonts w:ascii="Garamond" w:hAnsi="Garamond"/>
        </w:rPr>
        <w:t xml:space="preserve">, using software such as the Soil and Water Assessment Tool (SWAT), would provide the DEQ with more nuanced insight into best watershed management practices moving forward. Sophisticated modeling tools incorporating various land use and crop types, precipitation data, and hydrologic soil data at the sub-watershed level could provide valuable insight into </w:t>
      </w:r>
      <w:r w:rsidRPr="5150B811">
        <w:rPr>
          <w:rFonts w:ascii="Garamond" w:hAnsi="Garamond"/>
        </w:rPr>
        <w:t>possible sources of nutrient loading and contamination</w:t>
      </w:r>
      <w:r w:rsidRPr="5AD089C2">
        <w:rPr>
          <w:rFonts w:ascii="Garamond" w:hAnsi="Garamond"/>
        </w:rPr>
        <w:t xml:space="preserve"> and how these variables may impact HABs in Lake Anna.</w:t>
      </w:r>
    </w:p>
    <w:p w14:paraId="09935D62" w14:textId="77777777" w:rsidR="00C57F64" w:rsidRDefault="00C57F64" w:rsidP="00C57F64">
      <w:pPr>
        <w:pStyle w:val="NoSpacing"/>
        <w:rPr>
          <w:rFonts w:ascii="Garamond" w:hAnsi="Garamond"/>
        </w:rPr>
      </w:pPr>
    </w:p>
    <w:p w14:paraId="75724015" w14:textId="77777777" w:rsidR="00C57F64" w:rsidRDefault="00C57F64" w:rsidP="00C57F64">
      <w:pPr>
        <w:pStyle w:val="NoSpacing"/>
        <w:rPr>
          <w:rFonts w:ascii="Garamond" w:hAnsi="Garamond"/>
          <w:i/>
        </w:rPr>
      </w:pPr>
      <w:r>
        <w:rPr>
          <w:rFonts w:ascii="Garamond" w:hAnsi="Garamond"/>
          <w:i/>
        </w:rPr>
        <w:t xml:space="preserve">4.3.4 </w:t>
      </w:r>
      <w:r w:rsidRPr="5AD089C2">
        <w:rPr>
          <w:rFonts w:ascii="Garamond" w:hAnsi="Garamond"/>
          <w:i/>
        </w:rPr>
        <w:t xml:space="preserve">Validation: USGS </w:t>
      </w:r>
      <w:r>
        <w:rPr>
          <w:rFonts w:ascii="Garamond" w:hAnsi="Garamond"/>
          <w:i/>
        </w:rPr>
        <w:t>C</w:t>
      </w:r>
      <w:r w:rsidRPr="5AD089C2">
        <w:rPr>
          <w:rFonts w:ascii="Garamond" w:hAnsi="Garamond"/>
          <w:i/>
        </w:rPr>
        <w:t xml:space="preserve">ontinuous </w:t>
      </w:r>
      <w:r>
        <w:rPr>
          <w:rFonts w:ascii="Garamond" w:hAnsi="Garamond"/>
          <w:i/>
        </w:rPr>
        <w:t>M</w:t>
      </w:r>
      <w:r w:rsidRPr="5AD089C2">
        <w:rPr>
          <w:rFonts w:ascii="Garamond" w:hAnsi="Garamond"/>
          <w:i/>
        </w:rPr>
        <w:t>onitoring</w:t>
      </w:r>
    </w:p>
    <w:p w14:paraId="3B114A68" w14:textId="77777777" w:rsidR="00C57F64" w:rsidRDefault="00C57F64" w:rsidP="00C57F64">
      <w:pPr>
        <w:pStyle w:val="NoSpacing"/>
        <w:rPr>
          <w:rFonts w:ascii="Garamond" w:hAnsi="Garamond"/>
        </w:rPr>
      </w:pPr>
      <w:r w:rsidRPr="5AD089C2">
        <w:rPr>
          <w:rFonts w:ascii="Garamond" w:hAnsi="Garamond"/>
        </w:rPr>
        <w:t>Future use of EOs in HABs monitoring at Lake Anna would benefit from more robust validation</w:t>
      </w:r>
      <w:r w:rsidRPr="5150B811">
        <w:rPr>
          <w:rFonts w:ascii="Garamond" w:hAnsi="Garamond"/>
        </w:rPr>
        <w:t xml:space="preserve"> with </w:t>
      </w:r>
      <w:r w:rsidRPr="5AD089C2">
        <w:rPr>
          <w:rFonts w:ascii="Garamond" w:hAnsi="Garamond"/>
          <w:i/>
          <w:iCs/>
        </w:rPr>
        <w:t xml:space="preserve">in </w:t>
      </w:r>
      <w:r w:rsidRPr="7AB1D1CA">
        <w:rPr>
          <w:rFonts w:ascii="Garamond" w:hAnsi="Garamond"/>
          <w:i/>
        </w:rPr>
        <w:t>situ</w:t>
      </w:r>
      <w:r w:rsidRPr="5150B811">
        <w:rPr>
          <w:rFonts w:ascii="Garamond" w:hAnsi="Garamond"/>
        </w:rPr>
        <w:t xml:space="preserve"> data</w:t>
      </w:r>
      <w:r w:rsidRPr="5AD089C2">
        <w:rPr>
          <w:rFonts w:ascii="Garamond" w:hAnsi="Garamond"/>
        </w:rPr>
        <w:t>. For example, the DEQ could choose to coordinate future sampling efforts with EO-derived monitoring efforts. Additionally, the</w:t>
      </w:r>
      <w:r w:rsidRPr="5150B811">
        <w:rPr>
          <w:rFonts w:ascii="Garamond" w:hAnsi="Garamond"/>
        </w:rPr>
        <w:t xml:space="preserve"> USGS has begun installing continuous monitoring stations in four sites throughout Lake Anna. These stations are collecting a wide range of water quality parameters</w:t>
      </w:r>
      <w:r w:rsidRPr="5AD089C2">
        <w:rPr>
          <w:rFonts w:ascii="Garamond" w:hAnsi="Garamond"/>
        </w:rPr>
        <w:t>,</w:t>
      </w:r>
      <w:r w:rsidRPr="5150B811">
        <w:rPr>
          <w:rFonts w:ascii="Garamond" w:hAnsi="Garamond"/>
        </w:rPr>
        <w:t xml:space="preserve"> including fluorescence, conductivity, pH, nitrate, </w:t>
      </w:r>
      <w:r w:rsidRPr="5AD089C2">
        <w:rPr>
          <w:rFonts w:ascii="Garamond" w:hAnsi="Garamond"/>
        </w:rPr>
        <w:t xml:space="preserve">and </w:t>
      </w:r>
      <w:r w:rsidRPr="5150B811">
        <w:rPr>
          <w:rFonts w:ascii="Garamond" w:hAnsi="Garamond"/>
        </w:rPr>
        <w:t xml:space="preserve">phosphorous, every </w:t>
      </w:r>
      <w:r w:rsidRPr="5AD089C2">
        <w:rPr>
          <w:rFonts w:ascii="Garamond" w:hAnsi="Garamond"/>
        </w:rPr>
        <w:t>15 minutes—data which could be invaluable</w:t>
      </w:r>
      <w:r w:rsidRPr="5150B811">
        <w:rPr>
          <w:rFonts w:ascii="Garamond" w:hAnsi="Garamond"/>
        </w:rPr>
        <w:t xml:space="preserve"> for </w:t>
      </w:r>
      <w:r w:rsidRPr="5AD089C2">
        <w:rPr>
          <w:rFonts w:ascii="Garamond" w:hAnsi="Garamond"/>
        </w:rPr>
        <w:t>comparison with EOs</w:t>
      </w:r>
      <w:r w:rsidRPr="5150B811">
        <w:rPr>
          <w:rFonts w:ascii="Garamond" w:hAnsi="Garamond"/>
        </w:rPr>
        <w:t xml:space="preserve"> for HAB indicators</w:t>
      </w:r>
      <w:r w:rsidRPr="5AD089C2">
        <w:rPr>
          <w:rFonts w:ascii="Garamond" w:hAnsi="Garamond"/>
        </w:rPr>
        <w:t xml:space="preserve"> and risk factors.</w:t>
      </w:r>
    </w:p>
    <w:p w14:paraId="21605D76" w14:textId="77777777" w:rsidR="00C57F64" w:rsidRDefault="00C57F64" w:rsidP="00C57F64">
      <w:pPr>
        <w:pStyle w:val="NoSpacing"/>
        <w:rPr>
          <w:rFonts w:ascii="Garamond" w:hAnsi="Garamond"/>
        </w:rPr>
      </w:pPr>
    </w:p>
    <w:p w14:paraId="08EE3E01" w14:textId="77777777" w:rsidR="00C57F64" w:rsidRDefault="00C57F64" w:rsidP="00C57F64">
      <w:pPr>
        <w:pStyle w:val="NoSpacing"/>
        <w:rPr>
          <w:rFonts w:ascii="Garamond" w:hAnsi="Garamond"/>
          <w:i/>
        </w:rPr>
      </w:pPr>
      <w:r>
        <w:rPr>
          <w:rFonts w:ascii="Garamond" w:hAnsi="Garamond"/>
          <w:i/>
        </w:rPr>
        <w:t xml:space="preserve">4.3.5 </w:t>
      </w:r>
      <w:r w:rsidRPr="1D1D1DC1">
        <w:rPr>
          <w:rFonts w:ascii="Garamond" w:hAnsi="Garamond"/>
          <w:i/>
        </w:rPr>
        <w:t>PACE</w:t>
      </w:r>
    </w:p>
    <w:p w14:paraId="36CD6070" w14:textId="77777777" w:rsidR="00C57F64" w:rsidRDefault="00C57F64" w:rsidP="00C57F64">
      <w:pPr>
        <w:pStyle w:val="NoSpacing"/>
        <w:rPr>
          <w:rFonts w:ascii="Garamond" w:hAnsi="Garamond"/>
        </w:rPr>
      </w:pPr>
      <w:r w:rsidRPr="5AD089C2">
        <w:rPr>
          <w:rFonts w:ascii="Garamond" w:hAnsi="Garamond"/>
        </w:rPr>
        <w:t>As early as January of 2024, NASA will be launching their Plankton, Aerosol, Cloud, ocean Ecosystem Ocean Color Instrument (PACE OCI) satellite. PACE OCI will be an advanced hyperspectral instrument, meaning it will retrieve data over a broad spectral range: 350 to 885nm wavelengths at 5nm intervals. This means PACE OCI will have the ability to differentiate between various types of phytoplankton as well as characterizing it as either harmful or helpful (</w:t>
      </w:r>
      <w:r w:rsidRPr="7E64A2B5">
        <w:rPr>
          <w:rFonts w:ascii="Garamond" w:hAnsi="Garamond"/>
        </w:rPr>
        <w:t>NASA, 2023).</w:t>
      </w:r>
      <w:r w:rsidRPr="5AD089C2">
        <w:rPr>
          <w:rFonts w:ascii="Garamond" w:hAnsi="Garamond"/>
        </w:rPr>
        <w:t xml:space="preserve"> These satellite images could be used to better detect water bodies impacted by HABs.</w:t>
      </w:r>
    </w:p>
    <w:p w14:paraId="7FF98BBD" w14:textId="77777777" w:rsidR="00C57F64" w:rsidRDefault="00C57F64" w:rsidP="00C57F64">
      <w:pPr>
        <w:pStyle w:val="NoSpacing"/>
      </w:pPr>
      <w:bookmarkStart w:id="7" w:name="_Toc334198735"/>
    </w:p>
    <w:p w14:paraId="2372D6CF" w14:textId="77777777" w:rsidR="00C57F64" w:rsidRPr="0066138C" w:rsidRDefault="00C57F64" w:rsidP="00C57F64">
      <w:pPr>
        <w:pStyle w:val="Heading1"/>
        <w:spacing w:before="0" w:line="240" w:lineRule="auto"/>
        <w:rPr>
          <w:rFonts w:ascii="Garamond" w:hAnsi="Garamond"/>
        </w:rPr>
      </w:pPr>
      <w:r w:rsidRPr="0066138C">
        <w:rPr>
          <w:rFonts w:ascii="Garamond" w:hAnsi="Garamond"/>
        </w:rPr>
        <w:t>5. Conclusions</w:t>
      </w:r>
      <w:bookmarkEnd w:id="7"/>
    </w:p>
    <w:p w14:paraId="07A79480" w14:textId="77777777" w:rsidR="00C57F64" w:rsidRDefault="00C57F64" w:rsidP="00C57F64">
      <w:pPr>
        <w:spacing w:after="0" w:line="240" w:lineRule="auto"/>
        <w:rPr>
          <w:rFonts w:ascii="Garamond" w:hAnsi="Garamond"/>
        </w:rPr>
      </w:pPr>
      <w:r>
        <w:rPr>
          <w:rFonts w:ascii="Garamond" w:hAnsi="Garamond"/>
        </w:rPr>
        <w:t>Our results demonstrated</w:t>
      </w:r>
      <w:r w:rsidRPr="3E84361D">
        <w:rPr>
          <w:rFonts w:ascii="Garamond" w:hAnsi="Garamond"/>
        </w:rPr>
        <w:t xml:space="preserve"> that EOs may be more suited to </w:t>
      </w:r>
      <w:r w:rsidRPr="7E64A2B5">
        <w:rPr>
          <w:rFonts w:ascii="Garamond" w:hAnsi="Garamond"/>
        </w:rPr>
        <w:t xml:space="preserve">detecting risk factors associated with HABs than cyanobacteria itself, </w:t>
      </w:r>
      <w:r>
        <w:rPr>
          <w:rFonts w:ascii="Garamond" w:hAnsi="Garamond"/>
        </w:rPr>
        <w:t xml:space="preserve">especially </w:t>
      </w:r>
      <w:r w:rsidRPr="7E64A2B5">
        <w:rPr>
          <w:rFonts w:ascii="Garamond" w:hAnsi="Garamond"/>
        </w:rPr>
        <w:t>within spatially restricted waterbodies.</w:t>
      </w:r>
      <w:r w:rsidRPr="3E84361D">
        <w:rPr>
          <w:rFonts w:ascii="Garamond" w:hAnsi="Garamond"/>
        </w:rPr>
        <w:t xml:space="preserve"> While the procedures for directly sensing cyanobacteria that we used in this paper proved capable, their resolution is not at the level required to account for the more </w:t>
      </w:r>
      <w:r>
        <w:rPr>
          <w:rFonts w:ascii="Garamond" w:hAnsi="Garamond"/>
        </w:rPr>
        <w:t xml:space="preserve">critical </w:t>
      </w:r>
      <w:r w:rsidRPr="3E84361D">
        <w:rPr>
          <w:rFonts w:ascii="Garamond" w:hAnsi="Garamond"/>
        </w:rPr>
        <w:t>regions</w:t>
      </w:r>
      <w:r>
        <w:rPr>
          <w:rFonts w:ascii="Garamond" w:hAnsi="Garamond"/>
        </w:rPr>
        <w:t xml:space="preserve"> along the Lake Anna shoreline</w:t>
      </w:r>
      <w:r w:rsidRPr="3E84361D">
        <w:rPr>
          <w:rFonts w:ascii="Garamond" w:hAnsi="Garamond"/>
        </w:rPr>
        <w:t>. We noted that where EO are successful is in their long-standing ability to detect ecological phenomenon in regions that are otherwise subject to a lack of direct monitoring. Additionally, with continued refinement, the use of EO will only serve to further our understanding of the complex natural environment and humanity's role in shaping it. Through these possibilities our partners and the community as a whole will be able to gain a greater understanding of the issues facing them and thus how to best combat these issues. When used in concert with existing</w:t>
      </w:r>
      <w:r w:rsidRPr="3E84361D">
        <w:rPr>
          <w:rFonts w:ascii="Garamond" w:hAnsi="Garamond"/>
          <w:i/>
          <w:iCs/>
        </w:rPr>
        <w:t xml:space="preserve"> in situ </w:t>
      </w:r>
      <w:r w:rsidRPr="3E84361D">
        <w:rPr>
          <w:rFonts w:ascii="Garamond" w:hAnsi="Garamond"/>
        </w:rPr>
        <w:t xml:space="preserve">datasets, NASA Earth </w:t>
      </w:r>
      <w:r>
        <w:rPr>
          <w:rFonts w:ascii="Garamond" w:hAnsi="Garamond"/>
        </w:rPr>
        <w:t>o</w:t>
      </w:r>
      <w:r w:rsidRPr="3E84361D">
        <w:rPr>
          <w:rFonts w:ascii="Garamond" w:hAnsi="Garamond"/>
        </w:rPr>
        <w:t>bservations enable water resource managers to incorporate data that may otherwise have gone overlooked, citizens a chance to visualize conditions manifesting in their local community, public health officials the ability to steer these citizens away from harm, and decision makers the opportunity to communicate objective findings to their constituents.</w:t>
      </w:r>
    </w:p>
    <w:p w14:paraId="42F8A90C" w14:textId="77777777" w:rsidR="00C57F64" w:rsidRDefault="00C57F64" w:rsidP="00C57F64">
      <w:pPr>
        <w:spacing w:after="0"/>
      </w:pPr>
      <w:bookmarkStart w:id="8" w:name="_Toc334198736"/>
    </w:p>
    <w:p w14:paraId="587A1430" w14:textId="77777777" w:rsidR="00C57F64" w:rsidRPr="0066138C" w:rsidRDefault="00C57F64" w:rsidP="00C57F64">
      <w:pPr>
        <w:pStyle w:val="Heading1"/>
        <w:spacing w:before="0" w:line="240" w:lineRule="auto"/>
        <w:rPr>
          <w:rFonts w:ascii="Garamond" w:hAnsi="Garamond"/>
        </w:rPr>
      </w:pPr>
      <w:r w:rsidRPr="64F8C289">
        <w:rPr>
          <w:rFonts w:ascii="Garamond" w:hAnsi="Garamond"/>
        </w:rPr>
        <w:t>6. Acknowledgements</w:t>
      </w:r>
      <w:bookmarkEnd w:id="8"/>
    </w:p>
    <w:p w14:paraId="5E6565AE" w14:textId="77777777" w:rsidR="00C57F64" w:rsidRDefault="00C57F64" w:rsidP="00C57F64">
      <w:pPr>
        <w:spacing w:after="0" w:line="240" w:lineRule="auto"/>
        <w:rPr>
          <w:rFonts w:ascii="Garamond" w:hAnsi="Garamond" w:cs="Arial"/>
        </w:rPr>
      </w:pPr>
      <w:r w:rsidRPr="0636867B">
        <w:rPr>
          <w:rFonts w:ascii="Garamond" w:hAnsi="Garamond" w:cs="Arial"/>
        </w:rPr>
        <w:t xml:space="preserve">Virginia Department of </w:t>
      </w:r>
      <w:r w:rsidRPr="5F4824A0">
        <w:rPr>
          <w:rFonts w:ascii="Garamond" w:hAnsi="Garamond" w:cs="Arial"/>
        </w:rPr>
        <w:t>Environmental Quality</w:t>
      </w:r>
      <w:r w:rsidRPr="6476BFB7">
        <w:rPr>
          <w:rFonts w:ascii="Garamond" w:hAnsi="Garamond" w:cs="Arial"/>
        </w:rPr>
        <w:t xml:space="preserve"> (DEQ)</w:t>
      </w:r>
    </w:p>
    <w:p w14:paraId="72FAA1CB" w14:textId="77777777" w:rsidR="00C57F64" w:rsidRDefault="00C57F64" w:rsidP="00C57F64">
      <w:pPr>
        <w:pStyle w:val="ListParagraph"/>
        <w:numPr>
          <w:ilvl w:val="0"/>
          <w:numId w:val="28"/>
        </w:numPr>
        <w:spacing w:after="0" w:line="240" w:lineRule="auto"/>
        <w:rPr>
          <w:rFonts w:ascii="Garamond" w:hAnsi="Garamond" w:cs="Arial"/>
        </w:rPr>
      </w:pPr>
      <w:r w:rsidRPr="394202C1">
        <w:rPr>
          <w:rFonts w:ascii="Garamond" w:hAnsi="Garamond" w:cs="Arial"/>
        </w:rPr>
        <w:t>Dr. Tish Robertson (Monitoring and Assessment Scientist)</w:t>
      </w:r>
    </w:p>
    <w:p w14:paraId="141DE3EE" w14:textId="77777777" w:rsidR="00C57F64" w:rsidRDefault="00C57F64" w:rsidP="00C57F64">
      <w:pPr>
        <w:pStyle w:val="ListParagraph"/>
        <w:numPr>
          <w:ilvl w:val="0"/>
          <w:numId w:val="28"/>
        </w:numPr>
        <w:spacing w:after="0" w:line="240" w:lineRule="auto"/>
        <w:rPr>
          <w:rFonts w:ascii="Garamond" w:hAnsi="Garamond" w:cs="Arial"/>
        </w:rPr>
      </w:pPr>
      <w:r w:rsidRPr="12E47F31">
        <w:rPr>
          <w:rFonts w:ascii="Garamond" w:hAnsi="Garamond" w:cs="Arial"/>
        </w:rPr>
        <w:t>Amanda Shaver (Water Quality Assessment Team Leader)</w:t>
      </w:r>
    </w:p>
    <w:p w14:paraId="59BDEC9D" w14:textId="77777777" w:rsidR="00C57F64" w:rsidRDefault="00C57F64" w:rsidP="00C57F64">
      <w:pPr>
        <w:pStyle w:val="ListParagraph"/>
        <w:numPr>
          <w:ilvl w:val="0"/>
          <w:numId w:val="28"/>
        </w:numPr>
        <w:spacing w:after="0" w:line="240" w:lineRule="auto"/>
        <w:rPr>
          <w:rFonts w:ascii="Garamond" w:hAnsi="Garamond" w:cs="Arial"/>
        </w:rPr>
      </w:pPr>
      <w:r w:rsidRPr="12E47F31">
        <w:rPr>
          <w:rFonts w:ascii="Garamond" w:hAnsi="Garamond" w:cs="Arial"/>
        </w:rPr>
        <w:lastRenderedPageBreak/>
        <w:t>Bryant Thomas (Office of Ecology Manager)</w:t>
      </w:r>
    </w:p>
    <w:p w14:paraId="662B23FE" w14:textId="77777777" w:rsidR="00C57F64" w:rsidRDefault="00C57F64" w:rsidP="00C57F64">
      <w:pPr>
        <w:spacing w:after="0" w:line="240" w:lineRule="auto"/>
        <w:rPr>
          <w:rFonts w:ascii="Garamond" w:hAnsi="Garamond" w:cs="Arial"/>
        </w:rPr>
      </w:pPr>
      <w:r w:rsidRPr="7F1E6D3F">
        <w:rPr>
          <w:rFonts w:ascii="Garamond" w:hAnsi="Garamond" w:cs="Arial"/>
        </w:rPr>
        <w:t>NASA DEVELOP</w:t>
      </w:r>
    </w:p>
    <w:p w14:paraId="2010A2C3" w14:textId="77777777" w:rsidR="00C57F64" w:rsidRDefault="00C57F64" w:rsidP="00C57F64">
      <w:pPr>
        <w:pStyle w:val="ListParagraph"/>
        <w:numPr>
          <w:ilvl w:val="0"/>
          <w:numId w:val="29"/>
        </w:numPr>
        <w:spacing w:after="0" w:line="240" w:lineRule="auto"/>
        <w:rPr>
          <w:rFonts w:ascii="Garamond" w:hAnsi="Garamond" w:cs="Arial"/>
        </w:rPr>
      </w:pPr>
      <w:r w:rsidRPr="44B14E43">
        <w:rPr>
          <w:rFonts w:ascii="Garamond" w:hAnsi="Garamond" w:cs="Arial"/>
        </w:rPr>
        <w:t>Dr. Kenton Ross (</w:t>
      </w:r>
      <w:r w:rsidRPr="2A55BAE7">
        <w:rPr>
          <w:rFonts w:ascii="Garamond" w:hAnsi="Garamond" w:cs="Arial"/>
        </w:rPr>
        <w:t>Science</w:t>
      </w:r>
      <w:r w:rsidRPr="44B14E43">
        <w:rPr>
          <w:rFonts w:ascii="Garamond" w:hAnsi="Garamond" w:cs="Arial"/>
        </w:rPr>
        <w:t xml:space="preserve"> Advisor)</w:t>
      </w:r>
    </w:p>
    <w:p w14:paraId="3940E45D" w14:textId="77777777" w:rsidR="00C57F64" w:rsidRDefault="00C57F64" w:rsidP="00C57F64">
      <w:pPr>
        <w:pStyle w:val="ListParagraph"/>
        <w:numPr>
          <w:ilvl w:val="0"/>
          <w:numId w:val="29"/>
        </w:numPr>
        <w:spacing w:after="0" w:line="240" w:lineRule="auto"/>
        <w:rPr>
          <w:rFonts w:ascii="Garamond" w:hAnsi="Garamond" w:cs="Arial"/>
        </w:rPr>
      </w:pPr>
      <w:r w:rsidRPr="7D305C8F">
        <w:rPr>
          <w:rFonts w:ascii="Garamond" w:hAnsi="Garamond" w:cs="Arial"/>
        </w:rPr>
        <w:t>Olivia Landry</w:t>
      </w:r>
      <w:r w:rsidRPr="2A55BAE7">
        <w:rPr>
          <w:rFonts w:ascii="Garamond" w:hAnsi="Garamond" w:cs="Arial"/>
        </w:rPr>
        <w:t xml:space="preserve"> (Fellow</w:t>
      </w:r>
      <w:r w:rsidRPr="1326F878">
        <w:rPr>
          <w:rFonts w:ascii="Garamond" w:hAnsi="Garamond" w:cs="Arial"/>
        </w:rPr>
        <w:t>)</w:t>
      </w:r>
    </w:p>
    <w:p w14:paraId="09858F3E" w14:textId="77777777" w:rsidR="00C57F64" w:rsidRDefault="00C57F64" w:rsidP="00C57F64">
      <w:pPr>
        <w:pStyle w:val="ListParagraph"/>
        <w:numPr>
          <w:ilvl w:val="0"/>
          <w:numId w:val="29"/>
        </w:numPr>
        <w:spacing w:after="0" w:line="240" w:lineRule="auto"/>
        <w:rPr>
          <w:rFonts w:ascii="Garamond" w:hAnsi="Garamond" w:cs="Arial"/>
        </w:rPr>
      </w:pPr>
      <w:r w:rsidRPr="7D305C8F">
        <w:rPr>
          <w:rFonts w:ascii="Garamond" w:hAnsi="Garamond" w:cs="Arial"/>
        </w:rPr>
        <w:t xml:space="preserve">Robert </w:t>
      </w:r>
      <w:r w:rsidRPr="2A55BAE7">
        <w:rPr>
          <w:rFonts w:ascii="Garamond" w:hAnsi="Garamond" w:cs="Arial"/>
        </w:rPr>
        <w:t>Cecil</w:t>
      </w:r>
      <w:r w:rsidRPr="7D305C8F">
        <w:rPr>
          <w:rFonts w:ascii="Garamond" w:hAnsi="Garamond" w:cs="Arial"/>
        </w:rPr>
        <w:t xml:space="preserve"> </w:t>
      </w:r>
      <w:r w:rsidRPr="2BD338E7">
        <w:rPr>
          <w:rFonts w:ascii="Garamond" w:hAnsi="Garamond" w:cs="Arial"/>
        </w:rPr>
        <w:t>Byles</w:t>
      </w:r>
      <w:r w:rsidRPr="2A55BAE7">
        <w:rPr>
          <w:rFonts w:ascii="Garamond" w:hAnsi="Garamond" w:cs="Arial"/>
        </w:rPr>
        <w:t xml:space="preserve"> (</w:t>
      </w:r>
      <w:r w:rsidRPr="6FBA6F78">
        <w:rPr>
          <w:rFonts w:ascii="Garamond" w:hAnsi="Garamond" w:cs="Arial"/>
        </w:rPr>
        <w:t>Senior Fellow)</w:t>
      </w:r>
    </w:p>
    <w:p w14:paraId="63D4EDA0" w14:textId="77777777" w:rsidR="00C57F64" w:rsidRDefault="00C57F64" w:rsidP="00C57F64">
      <w:pPr>
        <w:pStyle w:val="ListParagraph"/>
        <w:numPr>
          <w:ilvl w:val="0"/>
          <w:numId w:val="29"/>
        </w:numPr>
        <w:spacing w:after="0" w:line="240" w:lineRule="auto"/>
        <w:rPr>
          <w:rFonts w:ascii="Garamond" w:hAnsi="Garamond" w:cs="Arial"/>
        </w:rPr>
      </w:pPr>
      <w:r w:rsidRPr="2BD338E7">
        <w:rPr>
          <w:rFonts w:ascii="Garamond" w:hAnsi="Garamond" w:cs="Arial"/>
        </w:rPr>
        <w:t>Laramie Plott</w:t>
      </w:r>
      <w:r w:rsidRPr="6FBA6F78">
        <w:rPr>
          <w:rFonts w:ascii="Garamond" w:hAnsi="Garamond" w:cs="Arial"/>
        </w:rPr>
        <w:t xml:space="preserve"> (Fellow)</w:t>
      </w:r>
    </w:p>
    <w:p w14:paraId="7AAD047D" w14:textId="77777777" w:rsidR="00C57F64" w:rsidRDefault="00C57F64" w:rsidP="00C57F64">
      <w:pPr>
        <w:spacing w:after="0" w:line="240" w:lineRule="auto"/>
        <w:rPr>
          <w:rFonts w:ascii="Garamond" w:hAnsi="Garamond" w:cs="Arial"/>
        </w:rPr>
      </w:pPr>
    </w:p>
    <w:p w14:paraId="5A9228CB" w14:textId="77777777" w:rsidR="00C57F64" w:rsidRDefault="00C57F64" w:rsidP="00C57F64">
      <w:pPr>
        <w:spacing w:after="0" w:line="240" w:lineRule="auto"/>
        <w:rPr>
          <w:rFonts w:ascii="Garamond" w:hAnsi="Garamond" w:cs="Arial"/>
          <w:color w:val="4F81BD" w:themeColor="accent1"/>
        </w:rPr>
      </w:pPr>
      <w:r w:rsidRPr="5150B811">
        <w:rPr>
          <w:rFonts w:ascii="Garamond" w:hAnsi="Garamond" w:cs="Arial"/>
        </w:rPr>
        <w:t xml:space="preserve">This material contains modified Copernicus Sentinel data (2016-2023), processed by ESA. </w:t>
      </w:r>
    </w:p>
    <w:p w14:paraId="3433D77A" w14:textId="77777777" w:rsidR="00C57F64" w:rsidRPr="0066138C" w:rsidRDefault="00C57F64" w:rsidP="00C57F64">
      <w:pPr>
        <w:spacing w:after="0" w:line="240" w:lineRule="auto"/>
        <w:rPr>
          <w:rFonts w:ascii="Garamond" w:hAnsi="Garamond" w:cs="Arial"/>
          <w:color w:val="4F81BD" w:themeColor="accent1"/>
        </w:rPr>
      </w:pPr>
      <w:r w:rsidRPr="5150B811">
        <w:rPr>
          <w:rFonts w:ascii="Garamond" w:hAnsi="Garamond" w:cs="Arial"/>
        </w:rPr>
        <w:t>Any opinions, findings, and conclusions or recommendations expressed in this material are those of the author(s) and do not necessarily reflect the views of the National Aeronautics and Space Administration.</w:t>
      </w:r>
    </w:p>
    <w:p w14:paraId="43DE3418" w14:textId="77777777" w:rsidR="00C57F64" w:rsidRPr="0066138C" w:rsidRDefault="00C57F64" w:rsidP="00C57F64">
      <w:pPr>
        <w:spacing w:after="0" w:line="240" w:lineRule="auto"/>
        <w:rPr>
          <w:rFonts w:ascii="Garamond" w:hAnsi="Garamond"/>
          <w:color w:val="4F81BD" w:themeColor="accent1"/>
        </w:rPr>
      </w:pPr>
      <w:r w:rsidRPr="5150B811">
        <w:rPr>
          <w:rFonts w:ascii="Garamond" w:hAnsi="Garamond"/>
        </w:rPr>
        <w:t>This material is based upon work supported by NASA through contract NNL16AA05C.</w:t>
      </w:r>
    </w:p>
    <w:p w14:paraId="3E814F37" w14:textId="77777777" w:rsidR="00C57F64" w:rsidRDefault="00C57F64" w:rsidP="00C57F64">
      <w:bookmarkStart w:id="9" w:name="_Toc334198737"/>
      <w:r>
        <w:br w:type="page"/>
      </w:r>
    </w:p>
    <w:p w14:paraId="01C8CA4D" w14:textId="77777777" w:rsidR="00C57F64" w:rsidRPr="0066138C" w:rsidRDefault="00C57F64" w:rsidP="00C57F64">
      <w:pPr>
        <w:pStyle w:val="Heading1"/>
        <w:spacing w:before="0" w:line="240" w:lineRule="auto"/>
        <w:rPr>
          <w:rFonts w:ascii="Garamond" w:hAnsi="Garamond"/>
        </w:rPr>
      </w:pPr>
      <w:r w:rsidRPr="0066138C">
        <w:rPr>
          <w:rFonts w:ascii="Garamond" w:hAnsi="Garamond"/>
        </w:rPr>
        <w:lastRenderedPageBreak/>
        <w:t>7. Glossary</w:t>
      </w:r>
    </w:p>
    <w:p w14:paraId="0F058CDF" w14:textId="77777777" w:rsidR="00C57F64" w:rsidRDefault="00C57F64" w:rsidP="00C57F64">
      <w:pPr>
        <w:spacing w:after="0" w:line="240" w:lineRule="auto"/>
        <w:rPr>
          <w:rFonts w:ascii="Garamond" w:hAnsi="Garamond"/>
        </w:rPr>
      </w:pPr>
      <w:r w:rsidRPr="5E8FA6A4">
        <w:rPr>
          <w:rFonts w:ascii="Garamond" w:hAnsi="Garamond"/>
          <w:b/>
        </w:rPr>
        <w:t xml:space="preserve">ACOLITE </w:t>
      </w:r>
      <w:r w:rsidRPr="5150B811">
        <w:rPr>
          <w:rFonts w:ascii="Garamond" w:hAnsi="Garamond"/>
        </w:rPr>
        <w:t>– A software used for atmospheric correction and processing for coastal and inland water applications.</w:t>
      </w:r>
    </w:p>
    <w:p w14:paraId="62F9F086" w14:textId="77777777" w:rsidR="00C57F64" w:rsidRDefault="00C57F64" w:rsidP="00C57F64">
      <w:pPr>
        <w:spacing w:after="0" w:line="240" w:lineRule="auto"/>
        <w:rPr>
          <w:rFonts w:ascii="Garamond" w:hAnsi="Garamond"/>
          <w:b/>
          <w:bCs/>
        </w:rPr>
      </w:pPr>
      <w:r w:rsidRPr="5AD089C2">
        <w:rPr>
          <w:rFonts w:ascii="Garamond" w:hAnsi="Garamond"/>
          <w:b/>
          <w:bCs/>
        </w:rPr>
        <w:t xml:space="preserve">API </w:t>
      </w:r>
      <w:r w:rsidRPr="00CC3C2E">
        <w:rPr>
          <w:rFonts w:ascii="Garamond" w:hAnsi="Garamond"/>
        </w:rPr>
        <w:t>–</w:t>
      </w:r>
      <w:r w:rsidRPr="5AD089C2">
        <w:rPr>
          <w:rFonts w:ascii="Garamond" w:hAnsi="Garamond"/>
          <w:b/>
          <w:bCs/>
        </w:rPr>
        <w:t xml:space="preserve"> </w:t>
      </w:r>
      <w:r w:rsidRPr="5AD089C2">
        <w:rPr>
          <w:rFonts w:ascii="Garamond" w:hAnsi="Garamond"/>
        </w:rPr>
        <w:t>Application programming interface: a way for two or more computer programs to communicate with each other</w:t>
      </w:r>
    </w:p>
    <w:p w14:paraId="298D2749" w14:textId="0C116DFD" w:rsidR="00C57F64" w:rsidRDefault="00C57F64" w:rsidP="00C57F64">
      <w:pPr>
        <w:spacing w:after="0" w:line="240" w:lineRule="auto"/>
        <w:rPr>
          <w:rFonts w:ascii="Garamond" w:eastAsia="Garamond" w:hAnsi="Garamond" w:cs="Garamond"/>
        </w:rPr>
      </w:pPr>
      <w:r w:rsidRPr="7E64A2B5">
        <w:rPr>
          <w:rFonts w:ascii="Garamond" w:hAnsi="Garamond"/>
          <w:b/>
          <w:bCs/>
        </w:rPr>
        <w:t>CIcyano</w:t>
      </w:r>
      <w:r w:rsidRPr="7E64A2B5">
        <w:rPr>
          <w:rFonts w:ascii="Garamond" w:hAnsi="Garamond"/>
        </w:rPr>
        <w:t xml:space="preserve"> – A spectral index developed by Lunetta et al. </w:t>
      </w:r>
      <w:r w:rsidR="00A74FA0">
        <w:rPr>
          <w:rFonts w:ascii="Garamond" w:hAnsi="Garamond"/>
        </w:rPr>
        <w:t>(</w:t>
      </w:r>
      <w:r w:rsidRPr="7E64A2B5">
        <w:rPr>
          <w:rFonts w:ascii="Garamond" w:hAnsi="Garamond"/>
        </w:rPr>
        <w:t>2015</w:t>
      </w:r>
      <w:r w:rsidR="00A74FA0">
        <w:rPr>
          <w:rFonts w:ascii="Garamond" w:hAnsi="Garamond"/>
        </w:rPr>
        <w:t>)</w:t>
      </w:r>
      <w:r w:rsidRPr="7E64A2B5">
        <w:rPr>
          <w:rFonts w:ascii="Garamond" w:hAnsi="Garamond"/>
        </w:rPr>
        <w:t xml:space="preserve">, to aid in the remote detection of harmful algal blooms, </w:t>
      </w:r>
      <w:r w:rsidRPr="7E64A2B5">
        <w:rPr>
          <w:rFonts w:ascii="Garamond" w:eastAsia="Garamond" w:hAnsi="Garamond" w:cs="Garamond"/>
        </w:rPr>
        <w:t>conditioned to detect spectral signatures synonymous with the absorption peak of phycocyanin.</w:t>
      </w:r>
    </w:p>
    <w:p w14:paraId="2728F6DC" w14:textId="6BDBAC1F" w:rsidR="00C57F64" w:rsidRDefault="00C57F64" w:rsidP="00C57F64">
      <w:pPr>
        <w:spacing w:after="0" w:line="240" w:lineRule="auto"/>
        <w:rPr>
          <w:rFonts w:ascii="Garamond" w:hAnsi="Garamond"/>
        </w:rPr>
      </w:pPr>
      <w:r w:rsidRPr="5AD089C2">
        <w:rPr>
          <w:rFonts w:ascii="Garamond" w:hAnsi="Garamond"/>
          <w:b/>
          <w:bCs/>
        </w:rPr>
        <w:t xml:space="preserve">DEQ </w:t>
      </w:r>
      <w:r w:rsidRPr="00CC3C2E">
        <w:rPr>
          <w:rFonts w:ascii="Garamond" w:hAnsi="Garamond"/>
        </w:rPr>
        <w:t>–</w:t>
      </w:r>
      <w:r w:rsidRPr="5AD089C2">
        <w:rPr>
          <w:rFonts w:ascii="Garamond" w:hAnsi="Garamond"/>
          <w:b/>
          <w:bCs/>
        </w:rPr>
        <w:t xml:space="preserve"> </w:t>
      </w:r>
      <w:r w:rsidRPr="5AD089C2">
        <w:rPr>
          <w:rFonts w:ascii="Garamond" w:hAnsi="Garamond"/>
        </w:rPr>
        <w:t xml:space="preserve">Department of Environmental Quality: a department that administers both state and federal laws and regulations in regard to air quality, water quality, </w:t>
      </w:r>
      <w:proofErr w:type="gramStart"/>
      <w:r w:rsidRPr="5AD089C2">
        <w:rPr>
          <w:rFonts w:ascii="Garamond" w:hAnsi="Garamond"/>
        </w:rPr>
        <w:t>water</w:t>
      </w:r>
      <w:proofErr w:type="gramEnd"/>
      <w:r w:rsidRPr="5AD089C2">
        <w:rPr>
          <w:rFonts w:ascii="Garamond" w:hAnsi="Garamond"/>
        </w:rPr>
        <w:t xml:space="preserve"> and land protection.</w:t>
      </w:r>
    </w:p>
    <w:p w14:paraId="69931981" w14:textId="77777777" w:rsidR="00C57F64" w:rsidRPr="0066138C" w:rsidRDefault="00C57F64" w:rsidP="00C57F64">
      <w:pPr>
        <w:spacing w:after="0" w:line="240" w:lineRule="auto"/>
        <w:rPr>
          <w:rFonts w:ascii="Garamond" w:hAnsi="Garamond"/>
        </w:rPr>
      </w:pPr>
      <w:r w:rsidRPr="5150B811">
        <w:rPr>
          <w:rFonts w:ascii="Garamond" w:hAnsi="Garamond"/>
          <w:b/>
          <w:bCs/>
        </w:rPr>
        <w:t>Earth observations</w:t>
      </w:r>
      <w:r w:rsidRPr="5150B811">
        <w:rPr>
          <w:rFonts w:ascii="Garamond" w:hAnsi="Garamond"/>
        </w:rPr>
        <w:t xml:space="preserve"> – Satellites and sensors that collect information about the Earth’s physical, chemical, and biological systems over space and time.</w:t>
      </w:r>
    </w:p>
    <w:p w14:paraId="4B4663EC" w14:textId="77777777" w:rsidR="00C57F64" w:rsidRDefault="00C57F64" w:rsidP="00C57F64">
      <w:pPr>
        <w:spacing w:after="0" w:line="240" w:lineRule="auto"/>
        <w:rPr>
          <w:rFonts w:ascii="Garamond" w:hAnsi="Garamond"/>
        </w:rPr>
      </w:pPr>
      <w:r w:rsidRPr="7E64A2B5">
        <w:rPr>
          <w:rFonts w:ascii="Garamond" w:hAnsi="Garamond"/>
          <w:b/>
          <w:bCs/>
        </w:rPr>
        <w:t>Export Coefficient</w:t>
      </w:r>
      <w:r w:rsidRPr="7E64A2B5">
        <w:rPr>
          <w:rFonts w:ascii="Garamond" w:hAnsi="Garamond"/>
        </w:rPr>
        <w:t xml:space="preserve"> – A prediction model for the total annual load of nutrients (N/P) that may be delivered to a given waterway from its catchment. Generally applied to a specific land use within a region.</w:t>
      </w:r>
    </w:p>
    <w:p w14:paraId="66742A73" w14:textId="77777777" w:rsidR="00C57F64" w:rsidRDefault="00C57F64" w:rsidP="00C57F64">
      <w:pPr>
        <w:spacing w:after="0" w:line="240" w:lineRule="auto"/>
        <w:rPr>
          <w:rFonts w:ascii="Garamond" w:hAnsi="Garamond"/>
        </w:rPr>
      </w:pPr>
      <w:r w:rsidRPr="31AE0F51">
        <w:rPr>
          <w:rFonts w:ascii="Garamond" w:hAnsi="Garamond"/>
          <w:b/>
        </w:rPr>
        <w:t>FAIT</w:t>
      </w:r>
      <w:r w:rsidRPr="036F13C2">
        <w:rPr>
          <w:rFonts w:ascii="Garamond" w:hAnsi="Garamond"/>
          <w:b/>
        </w:rPr>
        <w:t xml:space="preserve"> </w:t>
      </w:r>
      <w:r w:rsidRPr="24068C71">
        <w:rPr>
          <w:rFonts w:ascii="Garamond" w:hAnsi="Garamond"/>
        </w:rPr>
        <w:t>– Floating Algal Index in Turbid waters.</w:t>
      </w:r>
      <w:r w:rsidRPr="3305803B">
        <w:rPr>
          <w:rFonts w:ascii="Garamond" w:hAnsi="Garamond"/>
        </w:rPr>
        <w:t xml:space="preserve"> </w:t>
      </w:r>
      <w:r w:rsidRPr="726F4599">
        <w:rPr>
          <w:rFonts w:ascii="Garamond" w:hAnsi="Garamond"/>
        </w:rPr>
        <w:t>An</w:t>
      </w:r>
      <w:r w:rsidRPr="5217941A">
        <w:rPr>
          <w:rFonts w:ascii="Garamond" w:hAnsi="Garamond"/>
        </w:rPr>
        <w:t xml:space="preserve"> algorithm that </w:t>
      </w:r>
      <w:r w:rsidRPr="3219AACE">
        <w:rPr>
          <w:rFonts w:ascii="Garamond" w:hAnsi="Garamond"/>
        </w:rPr>
        <w:t xml:space="preserve">measures </w:t>
      </w:r>
      <w:r w:rsidRPr="2D6C13F0">
        <w:rPr>
          <w:rFonts w:ascii="Garamond" w:hAnsi="Garamond"/>
        </w:rPr>
        <w:t>algal mats on the surface of water.</w:t>
      </w:r>
    </w:p>
    <w:p w14:paraId="118D7631" w14:textId="77777777" w:rsidR="00C57F64" w:rsidRDefault="00C57F64" w:rsidP="00C57F64">
      <w:pPr>
        <w:spacing w:after="0" w:line="240" w:lineRule="auto"/>
        <w:rPr>
          <w:rFonts w:ascii="Garamond" w:hAnsi="Garamond"/>
        </w:rPr>
      </w:pPr>
      <w:r w:rsidRPr="5150B811">
        <w:rPr>
          <w:rFonts w:ascii="Garamond" w:hAnsi="Garamond"/>
          <w:b/>
          <w:bCs/>
        </w:rPr>
        <w:t xml:space="preserve">GEE </w:t>
      </w:r>
      <w:r w:rsidRPr="00CC3C2E">
        <w:rPr>
          <w:rFonts w:ascii="Garamond" w:hAnsi="Garamond"/>
        </w:rPr>
        <w:t>–</w:t>
      </w:r>
      <w:r w:rsidRPr="5150B811">
        <w:rPr>
          <w:rFonts w:ascii="Garamond" w:hAnsi="Garamond"/>
        </w:rPr>
        <w:t xml:space="preserve"> Google Earth Engine is a cloud-based geospatial analysis platform that allows users to analyze satellite images.</w:t>
      </w:r>
    </w:p>
    <w:p w14:paraId="7AFBE54D" w14:textId="77777777" w:rsidR="00C57F64" w:rsidRDefault="00C57F64" w:rsidP="00C57F64">
      <w:pPr>
        <w:spacing w:after="0" w:line="240" w:lineRule="auto"/>
        <w:rPr>
          <w:rFonts w:ascii="Garamond" w:hAnsi="Garamond"/>
        </w:rPr>
      </w:pPr>
      <w:r w:rsidRPr="5150B811">
        <w:rPr>
          <w:rFonts w:ascii="Garamond" w:hAnsi="Garamond"/>
          <w:b/>
          <w:bCs/>
        </w:rPr>
        <w:t xml:space="preserve">Harmful Algal Blooms (HABs) </w:t>
      </w:r>
      <w:r w:rsidRPr="5150B811">
        <w:rPr>
          <w:rFonts w:ascii="Garamond" w:hAnsi="Garamond"/>
        </w:rPr>
        <w:t>– The rapid growth of algae or cyanobacteria that could harm animals, people, and local ecology.</w:t>
      </w:r>
    </w:p>
    <w:p w14:paraId="2C98C152" w14:textId="77777777" w:rsidR="00C57F64" w:rsidRDefault="00C57F64" w:rsidP="00C57F64">
      <w:pPr>
        <w:spacing w:after="0" w:line="240" w:lineRule="auto"/>
        <w:rPr>
          <w:rFonts w:ascii="Garamond" w:hAnsi="Garamond"/>
        </w:rPr>
      </w:pPr>
      <w:r w:rsidRPr="7E64A2B5">
        <w:rPr>
          <w:rFonts w:ascii="Garamond" w:hAnsi="Garamond"/>
          <w:b/>
          <w:bCs/>
          <w:i/>
          <w:iCs/>
        </w:rPr>
        <w:t xml:space="preserve">In situ </w:t>
      </w:r>
      <w:r w:rsidRPr="7E64A2B5">
        <w:rPr>
          <w:rFonts w:ascii="Garamond" w:hAnsi="Garamond"/>
          <w:b/>
          <w:bCs/>
        </w:rPr>
        <w:t>(sampling / data)</w:t>
      </w:r>
      <w:r w:rsidRPr="7E64A2B5">
        <w:rPr>
          <w:rFonts w:ascii="Garamond" w:hAnsi="Garamond"/>
        </w:rPr>
        <w:t xml:space="preserve"> – Data recorded in location, generally using hand-held or structural apparatus, requiring direct contact with the subject of study.</w:t>
      </w:r>
    </w:p>
    <w:p w14:paraId="7B3D347D" w14:textId="0CD0B7E9" w:rsidR="00C57F64" w:rsidRDefault="00C57F64" w:rsidP="00C57F64">
      <w:pPr>
        <w:spacing w:after="0" w:line="240" w:lineRule="auto"/>
        <w:rPr>
          <w:rFonts w:ascii="Garamond" w:hAnsi="Garamond"/>
        </w:rPr>
      </w:pPr>
      <w:r w:rsidRPr="47BAFFBC">
        <w:rPr>
          <w:rFonts w:ascii="Garamond" w:hAnsi="Garamond"/>
          <w:b/>
          <w:bCs/>
        </w:rPr>
        <w:t xml:space="preserve">Kriging Analysis </w:t>
      </w:r>
      <w:r w:rsidRPr="00CC3C2E">
        <w:rPr>
          <w:rFonts w:ascii="Garamond" w:hAnsi="Garamond"/>
        </w:rPr>
        <w:t>–</w:t>
      </w:r>
      <w:r w:rsidRPr="47BAFFBC">
        <w:rPr>
          <w:rFonts w:ascii="Garamond" w:hAnsi="Garamond"/>
          <w:b/>
          <w:bCs/>
        </w:rPr>
        <w:t xml:space="preserve"> </w:t>
      </w:r>
      <w:r w:rsidRPr="47BAFFBC">
        <w:rPr>
          <w:rFonts w:ascii="Garamond" w:hAnsi="Garamond"/>
        </w:rPr>
        <w:t xml:space="preserve">A geostatistical technique used for spatial interpolation and prediction. It </w:t>
      </w:r>
      <w:r w:rsidR="00A74FA0" w:rsidRPr="47BAFFBC">
        <w:rPr>
          <w:rFonts w:ascii="Garamond" w:hAnsi="Garamond"/>
        </w:rPr>
        <w:t>considers</w:t>
      </w:r>
      <w:r w:rsidRPr="47BAFFBC">
        <w:rPr>
          <w:rFonts w:ascii="Garamond" w:hAnsi="Garamond"/>
        </w:rPr>
        <w:t xml:space="preserve"> the spatial correlation between data points and provides an accurate prediction of its spread.</w:t>
      </w:r>
    </w:p>
    <w:p w14:paraId="7613871C" w14:textId="41FA94A1" w:rsidR="00C57F64" w:rsidRDefault="00C57F64" w:rsidP="00C57F64">
      <w:pPr>
        <w:spacing w:after="0" w:line="240" w:lineRule="auto"/>
        <w:rPr>
          <w:rFonts w:ascii="Garamond" w:hAnsi="Garamond"/>
        </w:rPr>
      </w:pPr>
      <w:r w:rsidRPr="5150B811">
        <w:rPr>
          <w:rFonts w:ascii="Garamond" w:hAnsi="Garamond"/>
          <w:b/>
          <w:bCs/>
        </w:rPr>
        <w:t xml:space="preserve">Landsat </w:t>
      </w:r>
      <w:r w:rsidRPr="00CC3C2E">
        <w:rPr>
          <w:rFonts w:ascii="Garamond" w:hAnsi="Garamond"/>
        </w:rPr>
        <w:t>–</w:t>
      </w:r>
      <w:r w:rsidRPr="5150B811">
        <w:rPr>
          <w:rFonts w:ascii="Garamond" w:hAnsi="Garamond"/>
          <w:b/>
          <w:bCs/>
        </w:rPr>
        <w:t xml:space="preserve"> </w:t>
      </w:r>
      <w:r w:rsidRPr="5150B811">
        <w:rPr>
          <w:rFonts w:ascii="Garamond" w:hAnsi="Garamond"/>
        </w:rPr>
        <w:t xml:space="preserve">A series of artificial satellites that use different wavelengths to monitor the </w:t>
      </w:r>
      <w:r w:rsidR="00A74FA0">
        <w:rPr>
          <w:rFonts w:ascii="Garamond" w:hAnsi="Garamond"/>
        </w:rPr>
        <w:t>E</w:t>
      </w:r>
      <w:r w:rsidRPr="5150B811">
        <w:rPr>
          <w:rFonts w:ascii="Garamond" w:hAnsi="Garamond"/>
        </w:rPr>
        <w:t>arth’s resources.</w:t>
      </w:r>
    </w:p>
    <w:p w14:paraId="663325FF" w14:textId="77777777" w:rsidR="00C57F64" w:rsidRDefault="00C57F64" w:rsidP="00C57F64">
      <w:pPr>
        <w:spacing w:after="0" w:line="240" w:lineRule="auto"/>
        <w:rPr>
          <w:rFonts w:ascii="Garamond" w:hAnsi="Garamond"/>
        </w:rPr>
      </w:pPr>
      <w:r w:rsidRPr="5150B811">
        <w:rPr>
          <w:rFonts w:ascii="Garamond" w:hAnsi="Garamond"/>
          <w:b/>
          <w:bCs/>
        </w:rPr>
        <w:t xml:space="preserve">NDCI </w:t>
      </w:r>
      <w:r w:rsidRPr="00CC3C2E">
        <w:rPr>
          <w:rFonts w:ascii="Garamond" w:hAnsi="Garamond"/>
        </w:rPr>
        <w:t>–</w:t>
      </w:r>
      <w:r w:rsidRPr="1A1E3DB5">
        <w:rPr>
          <w:rFonts w:ascii="Garamond" w:hAnsi="Garamond"/>
          <w:b/>
          <w:bCs/>
        </w:rPr>
        <w:t xml:space="preserve"> </w:t>
      </w:r>
      <w:r w:rsidRPr="1A1E3DB5">
        <w:rPr>
          <w:rFonts w:ascii="Garamond" w:hAnsi="Garamond"/>
        </w:rPr>
        <w:t>Normalized Difference Chlorophyll Index.</w:t>
      </w:r>
      <w:r w:rsidRPr="5150B811">
        <w:rPr>
          <w:rFonts w:ascii="Garamond" w:hAnsi="Garamond"/>
        </w:rPr>
        <w:t xml:space="preserve"> An algorithm used to calculate chlorophyll concentrations by finding the ratio between red and red-edge bands. </w:t>
      </w:r>
    </w:p>
    <w:p w14:paraId="534585F8" w14:textId="77777777" w:rsidR="00C57F64" w:rsidRDefault="00C57F64" w:rsidP="00C57F64">
      <w:pPr>
        <w:spacing w:after="0" w:line="240" w:lineRule="auto"/>
        <w:rPr>
          <w:rFonts w:ascii="Garamond" w:hAnsi="Garamond"/>
        </w:rPr>
      </w:pPr>
      <w:r w:rsidRPr="5150B811">
        <w:rPr>
          <w:rFonts w:ascii="Garamond" w:hAnsi="Garamond"/>
          <w:b/>
          <w:bCs/>
        </w:rPr>
        <w:t xml:space="preserve">NDTI </w:t>
      </w:r>
      <w:r w:rsidRPr="00CC3C2E">
        <w:rPr>
          <w:rFonts w:ascii="Garamond" w:hAnsi="Garamond"/>
        </w:rPr>
        <w:t xml:space="preserve">– </w:t>
      </w:r>
      <w:r w:rsidRPr="1A1E3DB5">
        <w:rPr>
          <w:rFonts w:ascii="Garamond" w:hAnsi="Garamond"/>
        </w:rPr>
        <w:t>Normalized Difference Turbidity Index.</w:t>
      </w:r>
      <w:r w:rsidRPr="5150B811">
        <w:rPr>
          <w:rFonts w:ascii="Garamond" w:hAnsi="Garamond"/>
          <w:b/>
          <w:bCs/>
        </w:rPr>
        <w:t xml:space="preserve"> </w:t>
      </w:r>
      <w:r w:rsidRPr="5150B811">
        <w:rPr>
          <w:rFonts w:ascii="Garamond" w:hAnsi="Garamond"/>
        </w:rPr>
        <w:t>An algorithm used to estimate spectral reflectance values of water pixels to estimate turbidity.</w:t>
      </w:r>
    </w:p>
    <w:p w14:paraId="2D316F3C" w14:textId="77777777" w:rsidR="00C57F64" w:rsidRPr="0066138C" w:rsidRDefault="00C57F64" w:rsidP="00C57F64">
      <w:pPr>
        <w:spacing w:after="0" w:line="240" w:lineRule="auto"/>
        <w:rPr>
          <w:rFonts w:ascii="Garamond" w:hAnsi="Garamond"/>
        </w:rPr>
      </w:pPr>
      <w:r w:rsidRPr="5150B811">
        <w:rPr>
          <w:rFonts w:ascii="Garamond" w:hAnsi="Garamond"/>
          <w:b/>
          <w:bCs/>
        </w:rPr>
        <w:t xml:space="preserve">OLI / OLI-2 </w:t>
      </w:r>
      <w:r w:rsidRPr="5150B811">
        <w:rPr>
          <w:rFonts w:ascii="Garamond" w:hAnsi="Garamond"/>
        </w:rPr>
        <w:t>– Operational Land Imager</w:t>
      </w:r>
      <w:r w:rsidRPr="1A1E3DB5">
        <w:rPr>
          <w:rFonts w:ascii="Garamond" w:hAnsi="Garamond"/>
        </w:rPr>
        <w:t>. A</w:t>
      </w:r>
      <w:r w:rsidRPr="5150B811">
        <w:rPr>
          <w:rFonts w:ascii="Garamond" w:hAnsi="Garamond"/>
        </w:rPr>
        <w:t xml:space="preserve"> pushbroom sensor</w:t>
      </w:r>
      <w:r w:rsidRPr="1A1E3DB5">
        <w:rPr>
          <w:rFonts w:ascii="Garamond" w:hAnsi="Garamond"/>
        </w:rPr>
        <w:t>,</w:t>
      </w:r>
      <w:r w:rsidRPr="5150B811">
        <w:rPr>
          <w:rFonts w:ascii="Garamond" w:hAnsi="Garamond"/>
        </w:rPr>
        <w:t xml:space="preserve"> or along-track</w:t>
      </w:r>
      <w:r w:rsidRPr="1A1E3DB5">
        <w:rPr>
          <w:rFonts w:ascii="Garamond" w:hAnsi="Garamond"/>
        </w:rPr>
        <w:t>,</w:t>
      </w:r>
      <w:r w:rsidRPr="5150B811">
        <w:rPr>
          <w:rFonts w:ascii="Garamond" w:hAnsi="Garamond"/>
        </w:rPr>
        <w:t xml:space="preserve"> sensor that operates in the visible and short wave infrared spectral regions.</w:t>
      </w:r>
      <w:r w:rsidRPr="1A1E3DB5">
        <w:rPr>
          <w:rFonts w:ascii="Garamond" w:hAnsi="Garamond"/>
        </w:rPr>
        <w:t xml:space="preserve"> Housed on NASA’s Landsat 8 &amp; 9 satellites.</w:t>
      </w:r>
    </w:p>
    <w:p w14:paraId="5C85191A" w14:textId="77777777" w:rsidR="00C57F64" w:rsidRDefault="00C57F64" w:rsidP="00C57F64">
      <w:pPr>
        <w:spacing w:after="0" w:line="240" w:lineRule="auto"/>
        <w:rPr>
          <w:rFonts w:ascii="Garamond" w:hAnsi="Garamond"/>
        </w:rPr>
      </w:pPr>
      <w:r w:rsidRPr="56312485">
        <w:rPr>
          <w:rFonts w:ascii="Garamond" w:hAnsi="Garamond"/>
          <w:b/>
          <w:bCs/>
        </w:rPr>
        <w:t>PACE</w:t>
      </w:r>
      <w:r w:rsidRPr="00CC3C2E">
        <w:rPr>
          <w:rFonts w:ascii="Garamond" w:hAnsi="Garamond"/>
        </w:rPr>
        <w:t xml:space="preserve"> –</w:t>
      </w:r>
      <w:r w:rsidRPr="56312485">
        <w:rPr>
          <w:rFonts w:ascii="Garamond" w:hAnsi="Garamond"/>
          <w:b/>
          <w:bCs/>
        </w:rPr>
        <w:t xml:space="preserve"> </w:t>
      </w:r>
      <w:r w:rsidRPr="56312485">
        <w:rPr>
          <w:rFonts w:ascii="Garamond" w:hAnsi="Garamond"/>
        </w:rPr>
        <w:t>Plankton, Aerosols, Cloud, ocean Ecosystem</w:t>
      </w:r>
      <w:r w:rsidRPr="1A1E3DB5">
        <w:rPr>
          <w:rFonts w:ascii="Garamond" w:hAnsi="Garamond"/>
        </w:rPr>
        <w:t>. A NASA</w:t>
      </w:r>
      <w:r w:rsidRPr="56312485">
        <w:rPr>
          <w:rFonts w:ascii="Garamond" w:hAnsi="Garamond"/>
        </w:rPr>
        <w:t xml:space="preserve"> satellite </w:t>
      </w:r>
      <w:r w:rsidRPr="1A1E3DB5">
        <w:rPr>
          <w:rFonts w:ascii="Garamond" w:hAnsi="Garamond"/>
        </w:rPr>
        <w:t xml:space="preserve">mission providing hyperspectral data on </w:t>
      </w:r>
      <w:r w:rsidRPr="56312485">
        <w:rPr>
          <w:rFonts w:ascii="Garamond" w:hAnsi="Garamond"/>
        </w:rPr>
        <w:t>global ocean color, ecology</w:t>
      </w:r>
      <w:r w:rsidRPr="1A1E3DB5">
        <w:rPr>
          <w:rFonts w:ascii="Garamond" w:hAnsi="Garamond"/>
        </w:rPr>
        <w:t>,</w:t>
      </w:r>
      <w:r w:rsidRPr="56312485">
        <w:rPr>
          <w:rFonts w:ascii="Garamond" w:hAnsi="Garamond"/>
        </w:rPr>
        <w:t xml:space="preserve"> biogeochemistry</w:t>
      </w:r>
      <w:r w:rsidRPr="1A1E3DB5">
        <w:rPr>
          <w:rFonts w:ascii="Garamond" w:hAnsi="Garamond"/>
        </w:rPr>
        <w:t xml:space="preserve">, </w:t>
      </w:r>
      <w:r w:rsidRPr="56312485">
        <w:rPr>
          <w:rFonts w:ascii="Garamond" w:hAnsi="Garamond"/>
        </w:rPr>
        <w:t>clouds</w:t>
      </w:r>
      <w:r w:rsidRPr="1A1E3DB5">
        <w:rPr>
          <w:rFonts w:ascii="Garamond" w:hAnsi="Garamond"/>
        </w:rPr>
        <w:t xml:space="preserve">, and </w:t>
      </w:r>
      <w:r w:rsidRPr="56312485">
        <w:rPr>
          <w:rFonts w:ascii="Garamond" w:hAnsi="Garamond"/>
        </w:rPr>
        <w:t>aerosols.</w:t>
      </w:r>
      <w:r w:rsidRPr="1A1E3DB5">
        <w:rPr>
          <w:rFonts w:ascii="Garamond" w:hAnsi="Garamond"/>
        </w:rPr>
        <w:t xml:space="preserve"> Launch date anticipated as soon as Jan. 2024.</w:t>
      </w:r>
    </w:p>
    <w:p w14:paraId="7920DF25" w14:textId="77777777" w:rsidR="00C57F64" w:rsidRDefault="00C57F64" w:rsidP="00C57F64">
      <w:pPr>
        <w:spacing w:after="0" w:line="240" w:lineRule="auto"/>
        <w:rPr>
          <w:rFonts w:ascii="Garamond" w:hAnsi="Garamond"/>
        </w:rPr>
      </w:pPr>
      <w:r w:rsidRPr="7E64A2B5">
        <w:rPr>
          <w:rFonts w:ascii="Garamond" w:hAnsi="Garamond"/>
          <w:b/>
          <w:bCs/>
        </w:rPr>
        <w:t>Phycocyanin</w:t>
      </w:r>
      <w:r w:rsidRPr="7E64A2B5">
        <w:rPr>
          <w:rFonts w:ascii="Garamond" w:hAnsi="Garamond"/>
        </w:rPr>
        <w:t xml:space="preserve"> – The blue-green pigment associated with many freshwater cyanobacteria species. Plays an important role in photosynthesis and subsequent detection by Earth observing platforms.</w:t>
      </w:r>
    </w:p>
    <w:p w14:paraId="7D1D9370" w14:textId="77777777" w:rsidR="00C57F64" w:rsidRDefault="00C57F64" w:rsidP="00C57F64">
      <w:pPr>
        <w:spacing w:after="0" w:line="240" w:lineRule="auto"/>
        <w:rPr>
          <w:rFonts w:ascii="Garamond" w:hAnsi="Garamond"/>
        </w:rPr>
      </w:pPr>
      <w:r w:rsidRPr="7E64A2B5">
        <w:rPr>
          <w:rFonts w:ascii="Garamond" w:hAnsi="Garamond"/>
          <w:b/>
          <w:bCs/>
        </w:rPr>
        <w:t>Rayleigh-corrected reflectance</w:t>
      </w:r>
      <w:r w:rsidRPr="7E64A2B5">
        <w:rPr>
          <w:rFonts w:ascii="Garamond" w:hAnsi="Garamond"/>
        </w:rPr>
        <w:t xml:space="preserve"> – A common method of atmospheric correction that attempts to transform initial radiance values by accounting for various forms of light scattering, absorption, and reflection.</w:t>
      </w:r>
    </w:p>
    <w:p w14:paraId="72AE1969" w14:textId="5BDC2933" w:rsidR="00C57F64" w:rsidRDefault="00C57F64" w:rsidP="00C57F64">
      <w:pPr>
        <w:spacing w:after="0" w:line="240" w:lineRule="auto"/>
        <w:rPr>
          <w:rFonts w:ascii="Garamond" w:hAnsi="Garamond"/>
        </w:rPr>
      </w:pPr>
      <w:r w:rsidRPr="15BECBEB">
        <w:rPr>
          <w:rFonts w:ascii="Garamond" w:hAnsi="Garamond"/>
          <w:b/>
          <w:bCs/>
        </w:rPr>
        <w:t xml:space="preserve">SNAP </w:t>
      </w:r>
      <w:r w:rsidR="00A74FA0" w:rsidRPr="7E64A2B5">
        <w:rPr>
          <w:rFonts w:ascii="Garamond" w:hAnsi="Garamond"/>
        </w:rPr>
        <w:t>–</w:t>
      </w:r>
      <w:r w:rsidRPr="15BECBEB">
        <w:rPr>
          <w:rFonts w:ascii="Garamond" w:hAnsi="Garamond"/>
          <w:b/>
          <w:bCs/>
        </w:rPr>
        <w:t xml:space="preserve"> </w:t>
      </w:r>
      <w:r w:rsidRPr="395CC94D">
        <w:rPr>
          <w:rFonts w:ascii="Garamond" w:hAnsi="Garamond"/>
        </w:rPr>
        <w:t>Sentinel Application Platform</w:t>
      </w:r>
      <w:r w:rsidRPr="1A1E3DB5">
        <w:rPr>
          <w:rFonts w:ascii="Garamond" w:hAnsi="Garamond"/>
        </w:rPr>
        <w:t>. An</w:t>
      </w:r>
      <w:r w:rsidRPr="5E8FA6A4">
        <w:rPr>
          <w:rFonts w:ascii="Garamond" w:hAnsi="Garamond"/>
        </w:rPr>
        <w:t xml:space="preserve"> </w:t>
      </w:r>
      <w:r w:rsidRPr="22462013">
        <w:rPr>
          <w:rFonts w:ascii="Garamond" w:hAnsi="Garamond"/>
        </w:rPr>
        <w:t xml:space="preserve">interface that </w:t>
      </w:r>
      <w:r w:rsidRPr="34D8416C">
        <w:rPr>
          <w:rFonts w:ascii="Garamond" w:hAnsi="Garamond"/>
        </w:rPr>
        <w:t xml:space="preserve">allows for the viewing and </w:t>
      </w:r>
      <w:r w:rsidRPr="6C039A82">
        <w:rPr>
          <w:rFonts w:ascii="Garamond" w:hAnsi="Garamond"/>
        </w:rPr>
        <w:t xml:space="preserve">processing of </w:t>
      </w:r>
      <w:r w:rsidRPr="705C6060">
        <w:rPr>
          <w:rFonts w:ascii="Garamond" w:hAnsi="Garamond"/>
        </w:rPr>
        <w:t>different remote sensing applications.</w:t>
      </w:r>
    </w:p>
    <w:p w14:paraId="1C11B660" w14:textId="3AD8D4CF" w:rsidR="00C57F64" w:rsidRDefault="00C57F64" w:rsidP="00C57F64">
      <w:pPr>
        <w:spacing w:after="0" w:line="240" w:lineRule="auto"/>
        <w:rPr>
          <w:rFonts w:ascii="Garamond" w:hAnsi="Garamond"/>
        </w:rPr>
      </w:pPr>
      <w:r w:rsidRPr="1A1E3DB5">
        <w:rPr>
          <w:rFonts w:ascii="Garamond" w:hAnsi="Garamond"/>
          <w:b/>
          <w:bCs/>
        </w:rPr>
        <w:t>Turbidity</w:t>
      </w:r>
      <w:r w:rsidRPr="1A1E3DB5">
        <w:rPr>
          <w:rFonts w:ascii="Garamond" w:hAnsi="Garamond"/>
        </w:rPr>
        <w:t xml:space="preserve"> </w:t>
      </w:r>
      <w:r w:rsidR="00A74FA0" w:rsidRPr="7E64A2B5">
        <w:rPr>
          <w:rFonts w:ascii="Garamond" w:hAnsi="Garamond"/>
        </w:rPr>
        <w:t>–</w:t>
      </w:r>
      <w:r w:rsidRPr="1A1E3DB5">
        <w:rPr>
          <w:rFonts w:ascii="Garamond" w:hAnsi="Garamond"/>
        </w:rPr>
        <w:t xml:space="preserve"> Water clarity, as measured in the amount of light scattered by suspended material.</w:t>
      </w:r>
    </w:p>
    <w:p w14:paraId="6E8E43A2" w14:textId="77777777" w:rsidR="00C57F64" w:rsidRDefault="00C57F64" w:rsidP="00C57F64">
      <w:pPr>
        <w:spacing w:after="0" w:line="240" w:lineRule="auto"/>
        <w:rPr>
          <w:rFonts w:ascii="Garamond" w:hAnsi="Garamond"/>
        </w:rPr>
      </w:pPr>
      <w:r w:rsidRPr="5AD089C2">
        <w:rPr>
          <w:rFonts w:ascii="Garamond" w:hAnsi="Garamond"/>
          <w:b/>
          <w:bCs/>
        </w:rPr>
        <w:t>VDH</w:t>
      </w:r>
      <w:r w:rsidRPr="5AD089C2">
        <w:rPr>
          <w:rFonts w:ascii="Garamond" w:hAnsi="Garamond"/>
        </w:rPr>
        <w:t xml:space="preserve"> – Virginia Department of Health: a department that oversees public health throughout the Commonwealth of Virginia.</w:t>
      </w:r>
    </w:p>
    <w:p w14:paraId="62C597FC" w14:textId="77777777" w:rsidR="00C57F64" w:rsidRDefault="00C57F64" w:rsidP="00C57F64">
      <w:pPr>
        <w:spacing w:after="0" w:line="240" w:lineRule="auto"/>
      </w:pPr>
      <w:r w:rsidRPr="7E64A2B5">
        <w:rPr>
          <w:rFonts w:ascii="Garamond" w:hAnsi="Garamond"/>
          <w:b/>
        </w:rPr>
        <w:t xml:space="preserve">WHTF </w:t>
      </w:r>
      <w:r w:rsidRPr="7E64A2B5">
        <w:rPr>
          <w:rFonts w:ascii="Garamond" w:hAnsi="Garamond"/>
        </w:rPr>
        <w:t xml:space="preserve">– Waste Heat Treatment Facility. A 3,400-acre region, representing the southwestern portion of Lake Anna, which acts as a set of cooling lagoons for water discharged from the North Anna Power Station. </w:t>
      </w:r>
      <w:r>
        <w:br w:type="page"/>
      </w:r>
    </w:p>
    <w:bookmarkEnd w:id="9"/>
    <w:p w14:paraId="51647B62" w14:textId="77777777" w:rsidR="00C57F64" w:rsidRDefault="00C57F64" w:rsidP="00C57F64">
      <w:pPr>
        <w:pStyle w:val="Heading1"/>
        <w:spacing w:before="0" w:line="240" w:lineRule="auto"/>
        <w:rPr>
          <w:rFonts w:ascii="Garamond" w:hAnsi="Garamond"/>
          <w:color w:val="auto"/>
        </w:rPr>
      </w:pPr>
      <w:r>
        <w:rPr>
          <w:rFonts w:ascii="Garamond" w:hAnsi="Garamond"/>
        </w:rPr>
        <w:lastRenderedPageBreak/>
        <w:t>8. References</w:t>
      </w:r>
    </w:p>
    <w:p w14:paraId="1D04F10D" w14:textId="77777777" w:rsidR="00A74FA0" w:rsidRDefault="00A74FA0" w:rsidP="00A74FA0">
      <w:pPr>
        <w:spacing w:after="0" w:line="257" w:lineRule="auto"/>
        <w:ind w:left="720" w:hanging="720"/>
        <w:rPr>
          <w:rStyle w:val="Hyperlink"/>
          <w:rFonts w:ascii="Garamond" w:eastAsia="Garamond" w:hAnsi="Garamond" w:cs="Garamond"/>
        </w:rPr>
      </w:pPr>
      <w:r w:rsidRPr="7E64A2B5">
        <w:rPr>
          <w:rFonts w:ascii="Garamond" w:eastAsia="Garamond" w:hAnsi="Garamond" w:cs="Garamond"/>
        </w:rPr>
        <w:t xml:space="preserve">Berg, M. &amp; Sutula, M. (2015). </w:t>
      </w:r>
      <w:r w:rsidRPr="7E64A2B5">
        <w:rPr>
          <w:rFonts w:ascii="Garamond" w:eastAsia="Garamond" w:hAnsi="Garamond" w:cs="Garamond"/>
          <w:i/>
          <w:iCs/>
        </w:rPr>
        <w:t>Factors affecting the growth of cyanobacteria with special emphasis on the</w:t>
      </w:r>
      <w:r>
        <w:rPr>
          <w:rFonts w:ascii="Garamond" w:eastAsia="Garamond" w:hAnsi="Garamond" w:cs="Garamond"/>
          <w:i/>
          <w:iCs/>
        </w:rPr>
        <w:t xml:space="preserve"> </w:t>
      </w:r>
      <w:r w:rsidRPr="7E64A2B5">
        <w:rPr>
          <w:rFonts w:ascii="Garamond" w:eastAsia="Garamond" w:hAnsi="Garamond" w:cs="Garamond"/>
          <w:i/>
          <w:iCs/>
        </w:rPr>
        <w:t>Sacramento-San Joaquin Delta.</w:t>
      </w:r>
      <w:r w:rsidRPr="7E64A2B5">
        <w:rPr>
          <w:rFonts w:ascii="Garamond" w:eastAsia="Garamond" w:hAnsi="Garamond" w:cs="Garamond"/>
        </w:rPr>
        <w:t xml:space="preserve"> Southern California Coastal Water Research Project Technical Report 869. </w:t>
      </w:r>
      <w:hyperlink r:id="rId14" w:history="1">
        <w:r w:rsidRPr="00DB1BC6">
          <w:rPr>
            <w:rStyle w:val="Hyperlink"/>
            <w:rFonts w:ascii="Garamond" w:eastAsia="Garamond" w:hAnsi="Garamond" w:cs="Garamond"/>
          </w:rPr>
          <w:t>https://www.waterboards.ca.gov/waterrights/water_issues/programs/bay_delta/california_waterfix/exhibits/docs/RestoretheDelta/RTD_236.pdf</w:t>
        </w:r>
      </w:hyperlink>
    </w:p>
    <w:p w14:paraId="1AB22B29" w14:textId="77777777" w:rsidR="00A74FA0" w:rsidRDefault="00A74FA0" w:rsidP="00C57F64">
      <w:pPr>
        <w:spacing w:after="0" w:line="257" w:lineRule="auto"/>
        <w:ind w:left="720" w:hanging="720"/>
        <w:rPr>
          <w:rFonts w:ascii="Garamond" w:eastAsia="Garamond" w:hAnsi="Garamond" w:cs="Garamond"/>
        </w:rPr>
      </w:pPr>
    </w:p>
    <w:p w14:paraId="16DE3A77" w14:textId="442D58BD" w:rsidR="00C57F64" w:rsidRDefault="00C57F64" w:rsidP="00C57F64">
      <w:pPr>
        <w:spacing w:after="0" w:line="257" w:lineRule="auto"/>
        <w:ind w:left="720" w:hanging="720"/>
        <w:rPr>
          <w:rStyle w:val="Hyperlink"/>
          <w:rFonts w:ascii="Garamond" w:eastAsia="Garamond" w:hAnsi="Garamond" w:cs="Garamond"/>
        </w:rPr>
      </w:pPr>
      <w:r w:rsidRPr="3E84361D">
        <w:rPr>
          <w:rFonts w:ascii="Garamond" w:eastAsia="Garamond" w:hAnsi="Garamond" w:cs="Garamond"/>
        </w:rPr>
        <w:t xml:space="preserve">Bonk, V. (2018). </w:t>
      </w:r>
      <w:r w:rsidRPr="008E20D1">
        <w:rPr>
          <w:rFonts w:ascii="Garamond" w:eastAsia="Garamond" w:hAnsi="Garamond" w:cs="Garamond"/>
          <w:i/>
          <w:iCs/>
        </w:rPr>
        <w:t>Harmful algae bloom prompts ‘no swimming advisories’ for Virginia’s Lake Anna</w:t>
      </w:r>
      <w:r w:rsidRPr="3E84361D">
        <w:rPr>
          <w:rFonts w:ascii="Garamond" w:eastAsia="Garamond" w:hAnsi="Garamond" w:cs="Garamond"/>
        </w:rPr>
        <w:t xml:space="preserve">. WTOP News, </w:t>
      </w:r>
      <w:r w:rsidRPr="7E64A2B5">
        <w:rPr>
          <w:rFonts w:ascii="Garamond" w:eastAsia="Garamond" w:hAnsi="Garamond" w:cs="Garamond"/>
        </w:rPr>
        <w:t>Virginia</w:t>
      </w:r>
      <w:r w:rsidRPr="3E84361D">
        <w:rPr>
          <w:rFonts w:ascii="Garamond" w:eastAsia="Garamond" w:hAnsi="Garamond" w:cs="Garamond"/>
        </w:rPr>
        <w:t xml:space="preserve"> News, Chevy Chase, MD. </w:t>
      </w:r>
      <w:hyperlink r:id="rId15" w:history="1">
        <w:r w:rsidRPr="00B900AF">
          <w:rPr>
            <w:rStyle w:val="Hyperlink"/>
            <w:rFonts w:ascii="Garamond" w:eastAsia="Garamond" w:hAnsi="Garamond" w:cs="Garamond"/>
          </w:rPr>
          <w:t>https://wtop.com/virginia/2018/10/harmful-algae-bloom-prompts-no-swimming-advisories-for-virginias-lake-anna/</w:t>
        </w:r>
      </w:hyperlink>
    </w:p>
    <w:p w14:paraId="0ECC1349" w14:textId="77777777" w:rsidR="00C57F64" w:rsidRDefault="00C57F64" w:rsidP="00CC3C2E">
      <w:pPr>
        <w:spacing w:after="0" w:line="257" w:lineRule="auto"/>
        <w:rPr>
          <w:rFonts w:ascii="Garamond" w:eastAsia="Garamond" w:hAnsi="Garamond" w:cs="Garamond"/>
        </w:rPr>
      </w:pPr>
    </w:p>
    <w:p w14:paraId="460C90EA" w14:textId="77777777" w:rsidR="00C57F64" w:rsidRDefault="00C57F64" w:rsidP="00C57F64">
      <w:pPr>
        <w:spacing w:after="0" w:line="257" w:lineRule="auto"/>
        <w:ind w:left="720" w:hanging="720"/>
        <w:rPr>
          <w:rFonts w:ascii="Garamond" w:eastAsia="Garamond" w:hAnsi="Garamond" w:cs="Garamond"/>
        </w:rPr>
      </w:pPr>
      <w:r w:rsidRPr="7E64A2B5">
        <w:rPr>
          <w:rFonts w:ascii="Garamond" w:eastAsia="Garamond" w:hAnsi="Garamond" w:cs="Garamond"/>
        </w:rPr>
        <w:t xml:space="preserve">DEQ. (2021). Harmful Algal Blooms in Virginia (RD 411). Department of Environmental Quality, Appropriation Act - Item 377 P. (Special Session I, 2021).  </w:t>
      </w:r>
    </w:p>
    <w:p w14:paraId="6B204017" w14:textId="77777777" w:rsidR="00C57F64" w:rsidRDefault="00C57F64" w:rsidP="00C57F64">
      <w:pPr>
        <w:spacing w:after="0" w:line="257" w:lineRule="auto"/>
        <w:ind w:left="720" w:hanging="720"/>
        <w:rPr>
          <w:rFonts w:ascii="Garamond" w:eastAsia="Garamond" w:hAnsi="Garamond" w:cs="Garamond"/>
        </w:rPr>
      </w:pPr>
    </w:p>
    <w:p w14:paraId="4F479F73" w14:textId="77777777" w:rsidR="00C57F64" w:rsidRDefault="00C57F64" w:rsidP="00C57F64">
      <w:pPr>
        <w:spacing w:after="0" w:line="257" w:lineRule="auto"/>
        <w:rPr>
          <w:rFonts w:ascii="Garamond" w:eastAsia="Garamond" w:hAnsi="Garamond" w:cs="Garamond"/>
        </w:rPr>
      </w:pPr>
      <w:r w:rsidRPr="5AD089C2">
        <w:rPr>
          <w:rFonts w:ascii="Garamond" w:eastAsia="Garamond" w:hAnsi="Garamond" w:cs="Garamond"/>
        </w:rPr>
        <w:t>DEQ. (2022a).</w:t>
      </w:r>
      <w:r w:rsidRPr="5AD089C2">
        <w:rPr>
          <w:rFonts w:ascii="Garamond" w:eastAsia="Garamond" w:hAnsi="Garamond" w:cs="Garamond"/>
          <w:i/>
          <w:iCs/>
        </w:rPr>
        <w:t xml:space="preserve"> About Us.</w:t>
      </w:r>
      <w:r w:rsidRPr="5AD089C2">
        <w:rPr>
          <w:rFonts w:ascii="Garamond" w:eastAsia="Garamond" w:hAnsi="Garamond" w:cs="Garamond"/>
        </w:rPr>
        <w:t xml:space="preserve"> </w:t>
      </w:r>
      <w:hyperlink r:id="rId16" w:history="1">
        <w:r w:rsidRPr="00B900AF">
          <w:rPr>
            <w:rStyle w:val="Hyperlink"/>
            <w:rFonts w:ascii="Garamond" w:eastAsia="Garamond" w:hAnsi="Garamond" w:cs="Garamond"/>
          </w:rPr>
          <w:t>https://www.deq.virginia.gov/get-involved/about-us</w:t>
        </w:r>
      </w:hyperlink>
      <w:r w:rsidRPr="5AD089C2">
        <w:rPr>
          <w:rFonts w:ascii="Garamond" w:eastAsia="Garamond" w:hAnsi="Garamond" w:cs="Garamond"/>
        </w:rPr>
        <w:t xml:space="preserve"> </w:t>
      </w:r>
    </w:p>
    <w:p w14:paraId="09BCEA9A" w14:textId="77777777" w:rsidR="00C57F64" w:rsidRPr="00327372" w:rsidRDefault="00C57F64" w:rsidP="00C57F64">
      <w:pPr>
        <w:spacing w:after="0" w:line="257" w:lineRule="auto"/>
        <w:ind w:hanging="720"/>
        <w:rPr>
          <w:rFonts w:ascii="Garamond" w:eastAsia="Garamond" w:hAnsi="Garamond" w:cs="Garamond"/>
        </w:rPr>
      </w:pPr>
    </w:p>
    <w:p w14:paraId="2F80D809" w14:textId="77777777" w:rsidR="00C57F64" w:rsidRDefault="00C57F64" w:rsidP="00C57F64">
      <w:pPr>
        <w:spacing w:after="0" w:line="257" w:lineRule="auto"/>
        <w:ind w:left="720" w:hanging="720"/>
        <w:rPr>
          <w:rStyle w:val="Hyperlink"/>
          <w:rFonts w:ascii="Garamond" w:eastAsia="Garamond" w:hAnsi="Garamond" w:cs="Garamond"/>
        </w:rPr>
      </w:pPr>
      <w:r w:rsidRPr="5AD089C2">
        <w:rPr>
          <w:rFonts w:ascii="Garamond" w:eastAsia="Garamond" w:hAnsi="Garamond" w:cs="Garamond"/>
        </w:rPr>
        <w:t xml:space="preserve">DEQ. (2022b). </w:t>
      </w:r>
      <w:r w:rsidRPr="5AD089C2">
        <w:rPr>
          <w:rFonts w:ascii="Garamond" w:eastAsia="Garamond" w:hAnsi="Garamond" w:cs="Garamond"/>
          <w:i/>
          <w:iCs/>
        </w:rPr>
        <w:t>Harmful Algal Blooms</w:t>
      </w:r>
      <w:r w:rsidRPr="5AD089C2">
        <w:rPr>
          <w:rFonts w:ascii="Garamond" w:eastAsia="Garamond" w:hAnsi="Garamond" w:cs="Garamond"/>
        </w:rPr>
        <w:t xml:space="preserve">. </w:t>
      </w:r>
      <w:hyperlink r:id="rId17" w:history="1">
        <w:r w:rsidRPr="00B900AF">
          <w:rPr>
            <w:rStyle w:val="Hyperlink"/>
            <w:rFonts w:ascii="Garamond" w:eastAsia="Garamond" w:hAnsi="Garamond" w:cs="Garamond"/>
          </w:rPr>
          <w:t>https://www.deq.virginia.gov/topics-of-interest/harmful-algal-blooms/</w:t>
        </w:r>
      </w:hyperlink>
    </w:p>
    <w:p w14:paraId="7CEC8CAF" w14:textId="77777777" w:rsidR="00C57F64" w:rsidRDefault="00C57F64" w:rsidP="00C57F64">
      <w:pPr>
        <w:spacing w:after="0" w:line="257" w:lineRule="auto"/>
        <w:ind w:left="720" w:hanging="720"/>
        <w:rPr>
          <w:rFonts w:ascii="Garamond" w:eastAsia="Garamond" w:hAnsi="Garamond" w:cs="Garamond"/>
        </w:rPr>
      </w:pPr>
    </w:p>
    <w:p w14:paraId="19DE175A" w14:textId="77777777" w:rsidR="00C57F64" w:rsidRDefault="00C57F64" w:rsidP="00C57F64">
      <w:pPr>
        <w:spacing w:after="0" w:line="257" w:lineRule="auto"/>
        <w:ind w:left="720" w:hanging="720"/>
        <w:rPr>
          <w:rStyle w:val="Hyperlink"/>
          <w:rFonts w:ascii="Garamond" w:eastAsia="Garamond" w:hAnsi="Garamond" w:cs="Garamond"/>
        </w:rPr>
      </w:pPr>
      <w:r w:rsidRPr="5AD089C2">
        <w:rPr>
          <w:rFonts w:ascii="Garamond" w:eastAsia="Garamond" w:hAnsi="Garamond" w:cs="Garamond"/>
        </w:rPr>
        <w:t xml:space="preserve">Dogliotti, A., Gossn, J., Vanhellemont, Q., &amp; Ruddick, K. (2018). Detecting and quantifying a massive invasion of floating aquatic plants in the Río de la Plata turbid waters using high spatial resolution ocean color imagery. </w:t>
      </w:r>
      <w:r w:rsidRPr="5AD089C2">
        <w:rPr>
          <w:rFonts w:ascii="Garamond" w:eastAsia="Garamond" w:hAnsi="Garamond" w:cs="Garamond"/>
          <w:i/>
          <w:iCs/>
        </w:rPr>
        <w:t>Remote Sensing</w:t>
      </w:r>
      <w:r w:rsidRPr="5AD089C2">
        <w:rPr>
          <w:rFonts w:ascii="Garamond" w:eastAsia="Garamond" w:hAnsi="Garamond" w:cs="Garamond"/>
        </w:rPr>
        <w:t xml:space="preserve">, </w:t>
      </w:r>
      <w:r w:rsidRPr="5AD089C2">
        <w:rPr>
          <w:rFonts w:ascii="Garamond" w:eastAsia="Garamond" w:hAnsi="Garamond" w:cs="Garamond"/>
          <w:i/>
          <w:iCs/>
        </w:rPr>
        <w:t>10</w:t>
      </w:r>
      <w:r w:rsidRPr="5AD089C2">
        <w:rPr>
          <w:rFonts w:ascii="Garamond" w:eastAsia="Garamond" w:hAnsi="Garamond" w:cs="Garamond"/>
        </w:rPr>
        <w:t xml:space="preserve">(7), 1140. </w:t>
      </w:r>
      <w:hyperlink r:id="rId18" w:history="1">
        <w:r w:rsidRPr="00B900AF">
          <w:rPr>
            <w:rStyle w:val="Hyperlink"/>
            <w:rFonts w:ascii="Garamond" w:eastAsia="Garamond" w:hAnsi="Garamond" w:cs="Garamond"/>
          </w:rPr>
          <w:t>https://doi.org/10.3390/rs10071140</w:t>
        </w:r>
      </w:hyperlink>
    </w:p>
    <w:p w14:paraId="7832A23F" w14:textId="77777777" w:rsidR="00C57F64" w:rsidRDefault="00C57F64" w:rsidP="00C57F64">
      <w:pPr>
        <w:spacing w:after="0" w:line="257" w:lineRule="auto"/>
        <w:ind w:left="720" w:hanging="720"/>
        <w:rPr>
          <w:rFonts w:ascii="Garamond" w:eastAsia="Garamond" w:hAnsi="Garamond" w:cs="Garamond"/>
        </w:rPr>
      </w:pPr>
    </w:p>
    <w:p w14:paraId="498740D3" w14:textId="77777777" w:rsidR="00C57F64" w:rsidRDefault="00C57F64" w:rsidP="00C57F64">
      <w:pPr>
        <w:spacing w:after="0" w:line="257" w:lineRule="auto"/>
        <w:ind w:left="720" w:hanging="720"/>
        <w:rPr>
          <w:rStyle w:val="Hyperlink"/>
          <w:rFonts w:ascii="Garamond" w:eastAsia="Garamond" w:hAnsi="Garamond" w:cs="Garamond"/>
        </w:rPr>
      </w:pPr>
      <w:r w:rsidRPr="5AD089C2">
        <w:rPr>
          <w:rFonts w:ascii="Garamond" w:eastAsia="Garamond" w:hAnsi="Garamond" w:cs="Garamond"/>
          <w:color w:val="000000" w:themeColor="text1"/>
        </w:rPr>
        <w:t xml:space="preserve">European Space Agency (ESA). (2016). </w:t>
      </w:r>
      <w:r w:rsidRPr="5AD089C2">
        <w:rPr>
          <w:rFonts w:ascii="Garamond" w:eastAsia="Garamond" w:hAnsi="Garamond" w:cs="Garamond"/>
          <w:i/>
          <w:iCs/>
          <w:color w:val="000000" w:themeColor="text1"/>
        </w:rPr>
        <w:t xml:space="preserve">Sentinel-2 MSI: Multispectral Instrument </w:t>
      </w:r>
      <w:r w:rsidRPr="5AD089C2">
        <w:rPr>
          <w:rFonts w:ascii="Garamond" w:eastAsia="Garamond" w:hAnsi="Garamond" w:cs="Garamond"/>
          <w:color w:val="000000" w:themeColor="text1"/>
        </w:rPr>
        <w:t xml:space="preserve">[Dataset]. Earth Engine </w:t>
      </w:r>
      <w:r>
        <w:tab/>
      </w:r>
      <w:r w:rsidRPr="5AD089C2">
        <w:rPr>
          <w:rFonts w:ascii="Garamond" w:eastAsia="Garamond" w:hAnsi="Garamond" w:cs="Garamond"/>
          <w:color w:val="000000" w:themeColor="text1"/>
        </w:rPr>
        <w:t xml:space="preserve">Data Catalog/USGS. Retrieved June 2023, from </w:t>
      </w:r>
      <w:hyperlink r:id="rId19" w:history="1">
        <w:r w:rsidRPr="00B900AF">
          <w:rPr>
            <w:rStyle w:val="Hyperlink"/>
            <w:rFonts w:ascii="Garamond" w:eastAsia="Garamond" w:hAnsi="Garamond" w:cs="Garamond"/>
          </w:rPr>
          <w:t>https://doi.org/10.5270/S2_-6eb6imz</w:t>
        </w:r>
      </w:hyperlink>
    </w:p>
    <w:p w14:paraId="64CEB4E5" w14:textId="77777777" w:rsidR="00C57F64" w:rsidRDefault="00C57F64" w:rsidP="00C57F64">
      <w:pPr>
        <w:spacing w:after="0" w:line="257" w:lineRule="auto"/>
        <w:ind w:left="720" w:hanging="720"/>
        <w:rPr>
          <w:rFonts w:ascii="Garamond" w:eastAsia="Garamond" w:hAnsi="Garamond" w:cs="Garamond"/>
        </w:rPr>
      </w:pPr>
    </w:p>
    <w:p w14:paraId="68FE91A7" w14:textId="77777777" w:rsidR="00C57F64" w:rsidRDefault="00C57F64" w:rsidP="00C57F64">
      <w:pPr>
        <w:spacing w:after="0" w:line="257" w:lineRule="auto"/>
        <w:ind w:left="720" w:hanging="720"/>
        <w:rPr>
          <w:rStyle w:val="Hyperlink"/>
          <w:rFonts w:ascii="Garamond" w:eastAsia="Garamond" w:hAnsi="Garamond" w:cs="Garamond"/>
        </w:rPr>
      </w:pPr>
      <w:r w:rsidRPr="5AD089C2">
        <w:rPr>
          <w:rFonts w:ascii="Garamond" w:eastAsia="Garamond" w:hAnsi="Garamond" w:cs="Garamond"/>
        </w:rPr>
        <w:t xml:space="preserve">ESA. (2023). Level-2 Water WRR and WFR. The European Space Agency, Sentinel Online, User Guides. Retrieved July 2023 from </w:t>
      </w:r>
      <w:hyperlink r:id="rId20" w:history="1">
        <w:r w:rsidRPr="00B900AF">
          <w:rPr>
            <w:rStyle w:val="Hyperlink"/>
            <w:rFonts w:ascii="Garamond" w:eastAsia="Garamond" w:hAnsi="Garamond" w:cs="Garamond"/>
          </w:rPr>
          <w:t>https://sentinels.copernicus.eu/web/sentinel/user-guides/sentinel-3-olci/product-types/level-2-water</w:t>
        </w:r>
      </w:hyperlink>
    </w:p>
    <w:p w14:paraId="0926930E" w14:textId="77777777" w:rsidR="00C57F64" w:rsidRDefault="00C57F64" w:rsidP="00C57F64">
      <w:pPr>
        <w:spacing w:after="0" w:line="257" w:lineRule="auto"/>
        <w:ind w:left="720" w:hanging="720"/>
        <w:rPr>
          <w:rFonts w:ascii="Garamond" w:eastAsia="Garamond" w:hAnsi="Garamond" w:cs="Garamond"/>
        </w:rPr>
      </w:pPr>
    </w:p>
    <w:p w14:paraId="27E43C55" w14:textId="77777777" w:rsidR="00C57F64" w:rsidRDefault="00C57F64" w:rsidP="00C57F64">
      <w:pPr>
        <w:spacing w:after="0" w:line="257" w:lineRule="auto"/>
        <w:ind w:left="720" w:hanging="720"/>
        <w:rPr>
          <w:rFonts w:ascii="Garamond" w:eastAsia="Garamond" w:hAnsi="Garamond" w:cs="Garamond"/>
        </w:rPr>
      </w:pPr>
      <w:r w:rsidRPr="7A7A1357">
        <w:rPr>
          <w:rFonts w:ascii="Garamond" w:eastAsia="Garamond" w:hAnsi="Garamond" w:cs="Garamond"/>
        </w:rPr>
        <w:t xml:space="preserve">ESA. (2023). Sentinel-3 OLCI User Guide. European Space Agency, Sentinel Online. Retrieved June 2023 from </w:t>
      </w:r>
      <w:hyperlink r:id="rId21" w:history="1">
        <w:r w:rsidRPr="00B900AF">
          <w:rPr>
            <w:rStyle w:val="Hyperlink"/>
            <w:rFonts w:ascii="Garamond" w:eastAsia="Garamond" w:hAnsi="Garamond" w:cs="Garamond"/>
          </w:rPr>
          <w:t>https://sentinel.esa.int/web/sentinel/user-guides/sentinel-3-olci</w:t>
        </w:r>
      </w:hyperlink>
      <w:r w:rsidRPr="7A7A1357">
        <w:rPr>
          <w:rFonts w:ascii="Garamond" w:eastAsia="Garamond" w:hAnsi="Garamond" w:cs="Garamond"/>
        </w:rPr>
        <w:t xml:space="preserve"> </w:t>
      </w:r>
    </w:p>
    <w:p w14:paraId="79EB3DDA" w14:textId="77777777" w:rsidR="00C57F64" w:rsidRDefault="00C57F64" w:rsidP="00C57F64">
      <w:pPr>
        <w:spacing w:after="0" w:line="257" w:lineRule="auto"/>
        <w:ind w:left="720" w:hanging="720"/>
        <w:rPr>
          <w:rFonts w:ascii="Garamond" w:eastAsia="Garamond" w:hAnsi="Garamond" w:cs="Garamond"/>
        </w:rPr>
      </w:pPr>
    </w:p>
    <w:p w14:paraId="50B0BE25" w14:textId="77777777" w:rsidR="00C57F64" w:rsidRDefault="00C57F64" w:rsidP="00C57F64">
      <w:pPr>
        <w:spacing w:after="0" w:line="257" w:lineRule="auto"/>
        <w:ind w:left="720" w:hanging="720"/>
        <w:rPr>
          <w:rFonts w:ascii="Garamond" w:eastAsia="Garamond" w:hAnsi="Garamond" w:cs="Garamond"/>
        </w:rPr>
      </w:pPr>
      <w:r w:rsidRPr="5594FBC1">
        <w:rPr>
          <w:rFonts w:ascii="Garamond" w:eastAsia="Garamond" w:hAnsi="Garamond" w:cs="Garamond"/>
        </w:rPr>
        <w:t xml:space="preserve">EUMETSAT (2022). </w:t>
      </w:r>
      <w:r w:rsidRPr="00205625">
        <w:rPr>
          <w:rFonts w:ascii="Garamond" w:eastAsia="Garamond" w:hAnsi="Garamond" w:cs="Garamond"/>
          <w:i/>
          <w:iCs/>
        </w:rPr>
        <w:t>Sentinel-3, OLCI Level 2 Ocean Colour Full Resolution, European Organisation for the Exploitation of Meteorological Satellites</w:t>
      </w:r>
      <w:r w:rsidRPr="5594FBC1">
        <w:rPr>
          <w:rFonts w:ascii="Garamond" w:eastAsia="Garamond" w:hAnsi="Garamond" w:cs="Garamond"/>
        </w:rPr>
        <w:t xml:space="preserve"> [Dataset]. EUMETSAT Data Store. Retrieved June 2023 from </w:t>
      </w:r>
      <w:hyperlink r:id="rId22" w:history="1">
        <w:r w:rsidRPr="00B900AF">
          <w:rPr>
            <w:rStyle w:val="Hyperlink"/>
            <w:rFonts w:ascii="Garamond" w:eastAsia="Garamond" w:hAnsi="Garamond" w:cs="Garamond"/>
          </w:rPr>
          <w:t>http://www.eumetsat.int</w:t>
        </w:r>
      </w:hyperlink>
      <w:r w:rsidRPr="5594FBC1">
        <w:rPr>
          <w:rFonts w:ascii="Garamond" w:eastAsia="Garamond" w:hAnsi="Garamond" w:cs="Garamond"/>
        </w:rPr>
        <w:t xml:space="preserve"> </w:t>
      </w:r>
    </w:p>
    <w:p w14:paraId="277B654A" w14:textId="77777777" w:rsidR="00C57F64" w:rsidRDefault="00C57F64" w:rsidP="00C57F64">
      <w:pPr>
        <w:spacing w:after="0" w:line="257" w:lineRule="auto"/>
        <w:ind w:left="720" w:hanging="720"/>
        <w:rPr>
          <w:rFonts w:ascii="Garamond" w:eastAsia="Garamond" w:hAnsi="Garamond" w:cs="Garamond"/>
        </w:rPr>
      </w:pPr>
    </w:p>
    <w:p w14:paraId="43E9852D" w14:textId="77777777" w:rsidR="00C57F64" w:rsidRDefault="00C57F64" w:rsidP="00C57F64">
      <w:pPr>
        <w:spacing w:after="0" w:line="257" w:lineRule="auto"/>
        <w:ind w:left="720" w:hanging="720"/>
        <w:rPr>
          <w:rFonts w:ascii="Garamond" w:eastAsia="Garamond" w:hAnsi="Garamond" w:cs="Garamond"/>
        </w:rPr>
      </w:pPr>
    </w:p>
    <w:p w14:paraId="70A6D926" w14:textId="77777777" w:rsidR="00C57F64" w:rsidRDefault="00C57F64" w:rsidP="00C57F64">
      <w:pPr>
        <w:spacing w:after="0" w:line="257" w:lineRule="auto"/>
        <w:ind w:left="720" w:hanging="720"/>
        <w:rPr>
          <w:rFonts w:ascii="Garamond" w:eastAsia="Garamond" w:hAnsi="Garamond" w:cs="Garamond"/>
        </w:rPr>
      </w:pPr>
      <w:r w:rsidRPr="7A7A1357">
        <w:rPr>
          <w:rFonts w:ascii="Garamond" w:eastAsia="Garamond" w:hAnsi="Garamond" w:cs="Garamond"/>
        </w:rPr>
        <w:t>EUMETSAT (2022).</w:t>
      </w:r>
      <w:r w:rsidRPr="7A7A1357">
        <w:rPr>
          <w:rFonts w:ascii="Garamond" w:eastAsia="Garamond" w:hAnsi="Garamond" w:cs="Garamond"/>
          <w:i/>
          <w:iCs/>
        </w:rPr>
        <w:t xml:space="preserve"> Sentinel-3, OLCI Level 2 Ocean Colour Full Resolution (Version BC003)-Reprocessed,</w:t>
      </w:r>
      <w:r>
        <w:t xml:space="preserve"> </w:t>
      </w:r>
      <w:r w:rsidRPr="7A7A1357">
        <w:rPr>
          <w:rFonts w:ascii="Garamond" w:eastAsia="Garamond" w:hAnsi="Garamond" w:cs="Garamond"/>
          <w:i/>
          <w:iCs/>
        </w:rPr>
        <w:t xml:space="preserve">European Organisation for the Exploitation of Meteorological Satellites </w:t>
      </w:r>
      <w:r w:rsidRPr="7A7A1357">
        <w:rPr>
          <w:rFonts w:ascii="Garamond" w:eastAsia="Garamond" w:hAnsi="Garamond" w:cs="Garamond"/>
        </w:rPr>
        <w:t xml:space="preserve">[Dataset]. EUMETSAT Data Store. Retrieved June 2023 from </w:t>
      </w:r>
      <w:hyperlink r:id="rId23" w:history="1">
        <w:r w:rsidRPr="00B900AF">
          <w:rPr>
            <w:rStyle w:val="Hyperlink"/>
            <w:rFonts w:ascii="Garamond" w:eastAsia="Garamond" w:hAnsi="Garamond" w:cs="Garamond"/>
          </w:rPr>
          <w:t>http://doi.org/10.15770/EUM_SEC_CLM_0061</w:t>
        </w:r>
      </w:hyperlink>
      <w:r w:rsidRPr="7A7A1357">
        <w:rPr>
          <w:rFonts w:ascii="Garamond" w:eastAsia="Garamond" w:hAnsi="Garamond" w:cs="Garamond"/>
        </w:rPr>
        <w:t xml:space="preserve"> </w:t>
      </w:r>
    </w:p>
    <w:p w14:paraId="4BE583C9" w14:textId="77777777" w:rsidR="00C57F64" w:rsidRDefault="00C57F64" w:rsidP="00C57F64">
      <w:pPr>
        <w:spacing w:after="0" w:line="257" w:lineRule="auto"/>
        <w:ind w:left="720" w:hanging="720"/>
        <w:rPr>
          <w:rFonts w:ascii="Garamond" w:eastAsia="Garamond" w:hAnsi="Garamond" w:cs="Garamond"/>
        </w:rPr>
      </w:pPr>
    </w:p>
    <w:p w14:paraId="3EFD8EF6" w14:textId="77777777" w:rsidR="00C57F64" w:rsidRPr="00327372" w:rsidRDefault="00C57F64" w:rsidP="00C57F64">
      <w:pPr>
        <w:spacing w:after="0" w:line="257" w:lineRule="auto"/>
        <w:ind w:left="720" w:hanging="720"/>
        <w:rPr>
          <w:rFonts w:ascii="Garamond" w:eastAsia="Garamond" w:hAnsi="Garamond" w:cs="Garamond"/>
        </w:rPr>
      </w:pPr>
      <w:r w:rsidRPr="7A7A1357">
        <w:rPr>
          <w:rFonts w:ascii="Garamond" w:eastAsia="Garamond" w:hAnsi="Garamond" w:cs="Garamond"/>
        </w:rPr>
        <w:t xml:space="preserve">Gibala-Smith, L.A. (2018). 2018 Virginia Freshwater Bloom Overview. </w:t>
      </w:r>
      <w:r w:rsidRPr="7A7A1357">
        <w:rPr>
          <w:rFonts w:ascii="Garamond" w:eastAsia="Garamond" w:hAnsi="Garamond" w:cs="Garamond"/>
          <w:i/>
          <w:iCs/>
        </w:rPr>
        <w:t xml:space="preserve">Old Dominion University, </w:t>
      </w:r>
      <w:r>
        <w:tab/>
      </w:r>
      <w:r w:rsidRPr="7A7A1357">
        <w:rPr>
          <w:rFonts w:ascii="Garamond" w:eastAsia="Garamond" w:hAnsi="Garamond" w:cs="Garamond"/>
          <w:i/>
          <w:iCs/>
        </w:rPr>
        <w:t>Phytoplankton Analysis Laboratory</w:t>
      </w:r>
      <w:r w:rsidRPr="7A7A1357">
        <w:rPr>
          <w:rFonts w:ascii="Garamond" w:eastAsia="Garamond" w:hAnsi="Garamond" w:cs="Garamond"/>
        </w:rPr>
        <w:t>, Norfolk, VA.</w:t>
      </w:r>
    </w:p>
    <w:p w14:paraId="20623E26" w14:textId="77777777" w:rsidR="00C57F64" w:rsidRDefault="00C57F64" w:rsidP="00C57F64">
      <w:pPr>
        <w:spacing w:after="0"/>
        <w:ind w:left="567" w:hanging="720"/>
      </w:pPr>
    </w:p>
    <w:p w14:paraId="73F6F5EB" w14:textId="77777777" w:rsidR="00C57F64" w:rsidRDefault="00C57F64" w:rsidP="00C57F64">
      <w:pPr>
        <w:spacing w:after="0" w:line="257" w:lineRule="auto"/>
        <w:ind w:left="720" w:hanging="720"/>
        <w:rPr>
          <w:rFonts w:ascii="Garamond" w:eastAsia="Garamond" w:hAnsi="Garamond" w:cs="Garamond"/>
        </w:rPr>
      </w:pPr>
      <w:r w:rsidRPr="47BAFFBC">
        <w:rPr>
          <w:rFonts w:ascii="Garamond" w:eastAsia="Garamond" w:hAnsi="Garamond" w:cs="Garamond"/>
        </w:rPr>
        <w:t xml:space="preserve">Heil, C. &amp; Muni-Morgan, A. (2021). Florida’s harmful algal bloom (HAB) problem: Escalating risks to human, environmental and economic health with climate change. </w:t>
      </w:r>
      <w:r w:rsidRPr="47BAFFBC">
        <w:rPr>
          <w:rFonts w:ascii="Garamond" w:eastAsia="Garamond" w:hAnsi="Garamond" w:cs="Garamond"/>
          <w:i/>
          <w:iCs/>
        </w:rPr>
        <w:t>Frontiers in Ecology and Evolution, 9</w:t>
      </w:r>
      <w:r w:rsidRPr="47BAFFBC">
        <w:rPr>
          <w:rFonts w:ascii="Garamond" w:eastAsia="Garamond" w:hAnsi="Garamond" w:cs="Garamond"/>
        </w:rPr>
        <w:t>, 646080.</w:t>
      </w:r>
      <w:r>
        <w:rPr>
          <w:rFonts w:ascii="Garamond" w:eastAsia="Garamond" w:hAnsi="Garamond" w:cs="Garamond"/>
        </w:rPr>
        <w:t xml:space="preserve"> </w:t>
      </w:r>
      <w:hyperlink r:id="rId24" w:history="1">
        <w:r w:rsidRPr="00DB1BC6">
          <w:rPr>
            <w:rStyle w:val="Hyperlink"/>
            <w:rFonts w:ascii="Garamond" w:eastAsia="Garamond" w:hAnsi="Garamond" w:cs="Garamond"/>
          </w:rPr>
          <w:t>https://doi.org/10.3389/fevo.2021.646080</w:t>
        </w:r>
      </w:hyperlink>
      <w:r>
        <w:rPr>
          <w:rFonts w:ascii="Garamond" w:eastAsia="Garamond" w:hAnsi="Garamond" w:cs="Garamond"/>
        </w:rPr>
        <w:t xml:space="preserve"> </w:t>
      </w:r>
    </w:p>
    <w:p w14:paraId="64452876" w14:textId="77777777" w:rsidR="00C57F64" w:rsidRDefault="00C57F64" w:rsidP="00C57F64">
      <w:pPr>
        <w:spacing w:after="0" w:line="257" w:lineRule="auto"/>
        <w:ind w:left="720" w:hanging="720"/>
      </w:pPr>
    </w:p>
    <w:p w14:paraId="4C2E2CE1" w14:textId="77777777" w:rsidR="00C57F64" w:rsidRDefault="00C57F64" w:rsidP="00C57F64">
      <w:pPr>
        <w:spacing w:after="0" w:line="257" w:lineRule="auto"/>
        <w:rPr>
          <w:rFonts w:ascii="Garamond" w:eastAsia="Garamond" w:hAnsi="Garamond" w:cs="Garamond"/>
        </w:rPr>
      </w:pPr>
      <w:r w:rsidRPr="033FC0A2">
        <w:rPr>
          <w:rFonts w:ascii="Garamond" w:eastAsia="Garamond" w:hAnsi="Garamond" w:cs="Garamond"/>
        </w:rPr>
        <w:lastRenderedPageBreak/>
        <w:t>Husson, F., Lê, S. &amp; Josse, J. (2008). FactoMineR: A</w:t>
      </w:r>
      <w:r>
        <w:rPr>
          <w:rFonts w:ascii="Garamond" w:eastAsia="Garamond" w:hAnsi="Garamond" w:cs="Garamond"/>
        </w:rPr>
        <w:t>n R</w:t>
      </w:r>
      <w:r w:rsidRPr="033FC0A2">
        <w:rPr>
          <w:rFonts w:ascii="Garamond" w:eastAsia="Garamond" w:hAnsi="Garamond" w:cs="Garamond"/>
        </w:rPr>
        <w:t xml:space="preserve"> </w:t>
      </w:r>
      <w:r>
        <w:rPr>
          <w:rFonts w:ascii="Garamond" w:eastAsia="Garamond" w:hAnsi="Garamond" w:cs="Garamond"/>
        </w:rPr>
        <w:t>p</w:t>
      </w:r>
      <w:r w:rsidRPr="033FC0A2">
        <w:rPr>
          <w:rFonts w:ascii="Garamond" w:eastAsia="Garamond" w:hAnsi="Garamond" w:cs="Garamond"/>
        </w:rPr>
        <w:t xml:space="preserve">ackage for </w:t>
      </w:r>
      <w:r>
        <w:rPr>
          <w:rFonts w:ascii="Garamond" w:eastAsia="Garamond" w:hAnsi="Garamond" w:cs="Garamond"/>
        </w:rPr>
        <w:t>m</w:t>
      </w:r>
      <w:r w:rsidRPr="033FC0A2">
        <w:rPr>
          <w:rFonts w:ascii="Garamond" w:eastAsia="Garamond" w:hAnsi="Garamond" w:cs="Garamond"/>
        </w:rPr>
        <w:t xml:space="preserve">ultivariate </w:t>
      </w:r>
      <w:r>
        <w:rPr>
          <w:rFonts w:ascii="Garamond" w:eastAsia="Garamond" w:hAnsi="Garamond" w:cs="Garamond"/>
        </w:rPr>
        <w:t>a</w:t>
      </w:r>
      <w:r w:rsidRPr="033FC0A2">
        <w:rPr>
          <w:rFonts w:ascii="Garamond" w:eastAsia="Garamond" w:hAnsi="Garamond" w:cs="Garamond"/>
        </w:rPr>
        <w:t xml:space="preserve">nalysis. </w:t>
      </w:r>
      <w:r w:rsidRPr="00D07A13">
        <w:rPr>
          <w:rFonts w:ascii="Garamond" w:eastAsia="Garamond" w:hAnsi="Garamond" w:cs="Garamond"/>
          <w:i/>
          <w:iCs/>
        </w:rPr>
        <w:t>Journal of Statistical</w:t>
      </w:r>
      <w:r>
        <w:rPr>
          <w:rFonts w:ascii="Garamond" w:eastAsia="Garamond" w:hAnsi="Garamond" w:cs="Garamond"/>
          <w:i/>
          <w:iCs/>
        </w:rPr>
        <w:t xml:space="preserve"> </w:t>
      </w:r>
      <w:r w:rsidRPr="00D07A13">
        <w:rPr>
          <w:rFonts w:ascii="Garamond" w:eastAsia="Garamond" w:hAnsi="Garamond" w:cs="Garamond"/>
          <w:i/>
          <w:iCs/>
        </w:rPr>
        <w:t>Software</w:t>
      </w:r>
      <w:r w:rsidRPr="033FC0A2">
        <w:rPr>
          <w:rFonts w:ascii="Garamond" w:eastAsia="Garamond" w:hAnsi="Garamond" w:cs="Garamond"/>
        </w:rPr>
        <w:t xml:space="preserve">, </w:t>
      </w:r>
      <w:r w:rsidRPr="00D07A13">
        <w:rPr>
          <w:rFonts w:ascii="Garamond" w:eastAsia="Garamond" w:hAnsi="Garamond" w:cs="Garamond"/>
          <w:i/>
          <w:iCs/>
        </w:rPr>
        <w:t>25</w:t>
      </w:r>
      <w:r w:rsidRPr="033FC0A2">
        <w:rPr>
          <w:rFonts w:ascii="Garamond" w:eastAsia="Garamond" w:hAnsi="Garamond" w:cs="Garamond"/>
        </w:rPr>
        <w:t xml:space="preserve">(1), 1–18. </w:t>
      </w:r>
      <w:hyperlink r:id="rId25" w:history="1">
        <w:r w:rsidRPr="00DB1BC6">
          <w:rPr>
            <w:rStyle w:val="Hyperlink"/>
            <w:rFonts w:ascii="Garamond" w:eastAsia="Garamond" w:hAnsi="Garamond" w:cs="Garamond"/>
          </w:rPr>
          <w:t>https://doi.org/10.18637/jss.v025.i01.2023</w:t>
        </w:r>
      </w:hyperlink>
      <w:r>
        <w:rPr>
          <w:rFonts w:ascii="Garamond" w:eastAsia="Garamond" w:hAnsi="Garamond" w:cs="Garamond"/>
        </w:rPr>
        <w:t xml:space="preserve"> </w:t>
      </w:r>
    </w:p>
    <w:p w14:paraId="227C90CD" w14:textId="77777777" w:rsidR="00C57F64" w:rsidRDefault="00C57F64" w:rsidP="00C57F64">
      <w:pPr>
        <w:spacing w:after="0" w:line="257" w:lineRule="auto"/>
        <w:ind w:hanging="720"/>
        <w:rPr>
          <w:rFonts w:ascii="Garamond" w:eastAsia="Garamond" w:hAnsi="Garamond" w:cs="Garamond"/>
        </w:rPr>
      </w:pPr>
    </w:p>
    <w:p w14:paraId="1FCBD2E1" w14:textId="77777777" w:rsidR="00C57F64" w:rsidRDefault="00C57F64" w:rsidP="00C57F64">
      <w:pPr>
        <w:spacing w:after="0" w:line="257" w:lineRule="auto"/>
        <w:ind w:left="720" w:hanging="720"/>
        <w:rPr>
          <w:rFonts w:ascii="Garamond" w:eastAsia="Garamond" w:hAnsi="Garamond" w:cs="Garamond"/>
        </w:rPr>
      </w:pPr>
      <w:r w:rsidRPr="6059C6AC">
        <w:rPr>
          <w:rFonts w:ascii="Garamond" w:eastAsia="Garamond" w:hAnsi="Garamond" w:cs="Garamond"/>
        </w:rPr>
        <w:t xml:space="preserve">Kassambara, A. &amp; Mundt, F. (2020). </w:t>
      </w:r>
      <w:r w:rsidRPr="008D3C7B">
        <w:rPr>
          <w:rFonts w:ascii="Garamond" w:eastAsia="Garamond" w:hAnsi="Garamond" w:cs="Garamond"/>
          <w:i/>
          <w:iCs/>
        </w:rPr>
        <w:t>factoextra: Extract and Visualize the Results of Multivariate Data</w:t>
      </w:r>
      <w:r w:rsidRPr="008D3C7B">
        <w:rPr>
          <w:i/>
          <w:iCs/>
        </w:rPr>
        <w:tab/>
      </w:r>
      <w:r w:rsidRPr="008D3C7B">
        <w:rPr>
          <w:rFonts w:ascii="Garamond" w:eastAsia="Garamond" w:hAnsi="Garamond" w:cs="Garamond"/>
          <w:i/>
          <w:iCs/>
        </w:rPr>
        <w:t xml:space="preserve"> Analyses</w:t>
      </w:r>
      <w:r w:rsidRPr="6059C6AC">
        <w:rPr>
          <w:rFonts w:ascii="Garamond" w:eastAsia="Garamond" w:hAnsi="Garamond" w:cs="Garamond"/>
        </w:rPr>
        <w:t xml:space="preserve">. </w:t>
      </w:r>
      <w:r w:rsidRPr="366CFE35">
        <w:rPr>
          <w:rFonts w:ascii="Garamond" w:eastAsia="Garamond" w:hAnsi="Garamond" w:cs="Garamond"/>
        </w:rPr>
        <w:t xml:space="preserve">General Public License, </w:t>
      </w:r>
      <w:hyperlink r:id="rId26" w:history="1">
        <w:r w:rsidRPr="00B900AF">
          <w:rPr>
            <w:rStyle w:val="Hyperlink"/>
            <w:rFonts w:ascii="Garamond" w:eastAsia="Garamond" w:hAnsi="Garamond" w:cs="Garamond"/>
          </w:rPr>
          <w:t>http://www.sthda.com/english/rpkgs/factoextra</w:t>
        </w:r>
      </w:hyperlink>
    </w:p>
    <w:p w14:paraId="6965C360" w14:textId="77777777" w:rsidR="00C57F64" w:rsidRDefault="00C57F64" w:rsidP="00C57F64">
      <w:pPr>
        <w:spacing w:after="0" w:line="257" w:lineRule="auto"/>
        <w:ind w:left="720" w:hanging="720"/>
        <w:rPr>
          <w:rFonts w:ascii="Garamond" w:eastAsia="Garamond" w:hAnsi="Garamond" w:cs="Garamond"/>
        </w:rPr>
      </w:pPr>
    </w:p>
    <w:p w14:paraId="00051837" w14:textId="77777777" w:rsidR="00C57F64" w:rsidRDefault="00C57F64" w:rsidP="00C57F64">
      <w:pPr>
        <w:spacing w:after="0" w:line="257" w:lineRule="auto"/>
        <w:ind w:left="720" w:hanging="720"/>
        <w:rPr>
          <w:rFonts w:ascii="Garamond" w:eastAsia="Garamond" w:hAnsi="Garamond" w:cs="Garamond"/>
        </w:rPr>
      </w:pPr>
      <w:r w:rsidRPr="3E84361D">
        <w:rPr>
          <w:rFonts w:ascii="Garamond" w:eastAsia="Garamond" w:hAnsi="Garamond" w:cs="Garamond"/>
        </w:rPr>
        <w:t>Klopfer, S. (2001). Virginia Gap Analysis Project. Virginia Department of Game and Inland Fisheries,</w:t>
      </w:r>
      <w:r>
        <w:t xml:space="preserve"> </w:t>
      </w:r>
      <w:r w:rsidRPr="3E84361D">
        <w:rPr>
          <w:rFonts w:ascii="Garamond" w:eastAsia="Garamond" w:hAnsi="Garamond" w:cs="Garamond"/>
        </w:rPr>
        <w:t>Virginia Tech Conservation Man</w:t>
      </w:r>
      <w:r>
        <w:rPr>
          <w:rFonts w:ascii="Garamond" w:eastAsia="Garamond" w:hAnsi="Garamond" w:cs="Garamond"/>
        </w:rPr>
        <w:t>a</w:t>
      </w:r>
      <w:r w:rsidRPr="3E84361D">
        <w:rPr>
          <w:rFonts w:ascii="Garamond" w:eastAsia="Garamond" w:hAnsi="Garamond" w:cs="Garamond"/>
        </w:rPr>
        <w:t xml:space="preserve">gement Institute, GIS Division, Blacksburg, VA. </w:t>
      </w:r>
      <w:hyperlink r:id="rId27" w:history="1">
        <w:r w:rsidRPr="00B900AF">
          <w:rPr>
            <w:rStyle w:val="Hyperlink"/>
            <w:rFonts w:ascii="Garamond" w:eastAsia="Garamond" w:hAnsi="Garamond" w:cs="Garamond"/>
          </w:rPr>
          <w:t>https://services.dwr.virginia.gov/fwis/help/gap/mapkey.htm</w:t>
        </w:r>
      </w:hyperlink>
      <w:r w:rsidRPr="3E84361D">
        <w:rPr>
          <w:rFonts w:ascii="Garamond" w:eastAsia="Garamond" w:hAnsi="Garamond" w:cs="Garamond"/>
        </w:rPr>
        <w:t xml:space="preserve"> </w:t>
      </w:r>
    </w:p>
    <w:p w14:paraId="5E7E9D64" w14:textId="77777777" w:rsidR="00C57F64" w:rsidRDefault="00C57F64" w:rsidP="00C57F64">
      <w:pPr>
        <w:spacing w:after="0" w:line="257" w:lineRule="auto"/>
        <w:ind w:left="720" w:hanging="720"/>
        <w:rPr>
          <w:rFonts w:ascii="Garamond" w:eastAsia="Garamond" w:hAnsi="Garamond" w:cs="Garamond"/>
        </w:rPr>
      </w:pPr>
    </w:p>
    <w:p w14:paraId="3A68F400" w14:textId="77777777" w:rsidR="00C57F64" w:rsidRDefault="00C57F64" w:rsidP="00C57F64">
      <w:pPr>
        <w:spacing w:after="0" w:line="257" w:lineRule="auto"/>
        <w:ind w:left="720" w:hanging="720"/>
        <w:rPr>
          <w:rFonts w:ascii="Garamond" w:eastAsia="Garamond" w:hAnsi="Garamond" w:cs="Garamond"/>
        </w:rPr>
      </w:pPr>
      <w:r w:rsidRPr="6059C6AC">
        <w:rPr>
          <w:rFonts w:ascii="Garamond" w:eastAsia="Garamond" w:hAnsi="Garamond" w:cs="Garamond"/>
        </w:rPr>
        <w:t>Lin, J. (2004). Review of Published Export Coefficient and Event Mean Concentration (EMC) Data. US</w:t>
      </w:r>
      <w:r>
        <w:t xml:space="preserve"> </w:t>
      </w:r>
      <w:r w:rsidRPr="6059C6AC">
        <w:rPr>
          <w:rFonts w:ascii="Garamond" w:eastAsia="Garamond" w:hAnsi="Garamond" w:cs="Garamond"/>
        </w:rPr>
        <w:t>Army Corps of Engineers, Wetlands Regulatory Assistance Program, Technical Report ERDC TN-WRAP-04-3.</w:t>
      </w:r>
    </w:p>
    <w:p w14:paraId="67657033" w14:textId="77777777" w:rsidR="00C57F64" w:rsidRDefault="00C57F64" w:rsidP="00C57F64">
      <w:pPr>
        <w:spacing w:after="0" w:line="257" w:lineRule="auto"/>
        <w:ind w:hanging="720"/>
        <w:rPr>
          <w:rFonts w:ascii="Garamond" w:eastAsia="Garamond" w:hAnsi="Garamond" w:cs="Garamond"/>
        </w:rPr>
      </w:pPr>
    </w:p>
    <w:p w14:paraId="398E4A51" w14:textId="77777777" w:rsidR="00C57F64" w:rsidRDefault="00C57F64" w:rsidP="00C57F64">
      <w:pPr>
        <w:spacing w:after="0" w:line="257" w:lineRule="auto"/>
        <w:ind w:left="720" w:hanging="720"/>
        <w:rPr>
          <w:rFonts w:ascii="Garamond" w:eastAsia="Garamond" w:hAnsi="Garamond" w:cs="Garamond"/>
        </w:rPr>
      </w:pPr>
      <w:r w:rsidRPr="47BAFFBC">
        <w:rPr>
          <w:rFonts w:ascii="Garamond" w:eastAsia="Garamond" w:hAnsi="Garamond" w:cs="Garamond"/>
        </w:rPr>
        <w:t>Lunetta, R</w:t>
      </w:r>
      <w:r w:rsidRPr="033FC0A2">
        <w:rPr>
          <w:rFonts w:ascii="Garamond" w:eastAsia="Garamond" w:hAnsi="Garamond" w:cs="Garamond"/>
        </w:rPr>
        <w:t>..,</w:t>
      </w:r>
      <w:r w:rsidRPr="47BAFFBC">
        <w:rPr>
          <w:rFonts w:ascii="Garamond" w:eastAsia="Garamond" w:hAnsi="Garamond" w:cs="Garamond"/>
        </w:rPr>
        <w:t xml:space="preserve"> Schaeffer, B., Stumpf, R., Keith, D., Jacobs, S., &amp; Murphy, M. (2015). Evaluation of</w:t>
      </w:r>
      <w:r>
        <w:rPr>
          <w:rFonts w:ascii="Garamond" w:eastAsia="Garamond" w:hAnsi="Garamond" w:cs="Garamond"/>
        </w:rPr>
        <w:t xml:space="preserve"> </w:t>
      </w:r>
      <w:r w:rsidRPr="47BAFFBC">
        <w:rPr>
          <w:rFonts w:ascii="Garamond" w:eastAsia="Garamond" w:hAnsi="Garamond" w:cs="Garamond"/>
        </w:rPr>
        <w:t xml:space="preserve">cyanobacteria cell count detection derived from MERIS imagery across the eastern USA. </w:t>
      </w:r>
      <w:r w:rsidRPr="00091E17">
        <w:rPr>
          <w:rFonts w:ascii="Garamond" w:eastAsia="Garamond" w:hAnsi="Garamond" w:cs="Garamond"/>
          <w:i/>
          <w:iCs/>
        </w:rPr>
        <w:t>Remote Sensing of Environment</w:t>
      </w:r>
      <w:r w:rsidRPr="47BAFFBC">
        <w:rPr>
          <w:rFonts w:ascii="Garamond" w:eastAsia="Garamond" w:hAnsi="Garamond" w:cs="Garamond"/>
        </w:rPr>
        <w:t>, 157, 24-34.</w:t>
      </w:r>
      <w:r w:rsidRPr="00170327">
        <w:t xml:space="preserve"> </w:t>
      </w:r>
      <w:hyperlink r:id="rId28" w:history="1">
        <w:r w:rsidRPr="00451245">
          <w:rPr>
            <w:rStyle w:val="Hyperlink"/>
            <w:rFonts w:ascii="Garamond" w:eastAsia="Garamond" w:hAnsi="Garamond" w:cs="Garamond"/>
          </w:rPr>
          <w:t>https://doi.org/10.1016/j.rse.2014.06.008</w:t>
        </w:r>
      </w:hyperlink>
      <w:r>
        <w:rPr>
          <w:rFonts w:ascii="Garamond" w:eastAsia="Garamond" w:hAnsi="Garamond" w:cs="Garamond"/>
        </w:rPr>
        <w:t xml:space="preserve"> </w:t>
      </w:r>
    </w:p>
    <w:p w14:paraId="22C5CD95" w14:textId="77777777" w:rsidR="00C57F64" w:rsidRDefault="00C57F64" w:rsidP="00C57F64">
      <w:pPr>
        <w:spacing w:after="0" w:line="257" w:lineRule="auto"/>
        <w:ind w:left="720" w:hanging="720"/>
        <w:rPr>
          <w:rFonts w:ascii="Garamond" w:eastAsia="Garamond" w:hAnsi="Garamond" w:cs="Garamond"/>
        </w:rPr>
      </w:pPr>
    </w:p>
    <w:p w14:paraId="196CA3E6" w14:textId="77777777" w:rsidR="00C57F64" w:rsidRDefault="00C57F64" w:rsidP="00C57F64">
      <w:pPr>
        <w:spacing w:after="0" w:line="257" w:lineRule="auto"/>
        <w:ind w:left="720" w:hanging="720"/>
        <w:rPr>
          <w:rFonts w:ascii="Garamond" w:eastAsia="Garamond" w:hAnsi="Garamond" w:cs="Garamond"/>
        </w:rPr>
      </w:pPr>
      <w:r w:rsidRPr="47BAFFBC">
        <w:rPr>
          <w:rFonts w:ascii="Garamond" w:eastAsia="Garamond" w:hAnsi="Garamond" w:cs="Garamond"/>
        </w:rPr>
        <w:t xml:space="preserve">Magnini, V. (2020). Virginia State </w:t>
      </w:r>
      <w:r>
        <w:rPr>
          <w:rFonts w:ascii="Garamond" w:eastAsia="Garamond" w:hAnsi="Garamond" w:cs="Garamond"/>
        </w:rPr>
        <w:t>P</w:t>
      </w:r>
      <w:r w:rsidRPr="47BAFFBC">
        <w:rPr>
          <w:rFonts w:ascii="Garamond" w:eastAsia="Garamond" w:hAnsi="Garamond" w:cs="Garamond"/>
        </w:rPr>
        <w:t>arks Economic Impac</w:t>
      </w:r>
      <w:r>
        <w:rPr>
          <w:rFonts w:ascii="Garamond" w:eastAsia="Garamond" w:hAnsi="Garamond" w:cs="Garamond"/>
        </w:rPr>
        <w:t>t</w:t>
      </w:r>
      <w:r w:rsidRPr="47BAFFBC">
        <w:rPr>
          <w:rFonts w:ascii="Garamond" w:eastAsia="Garamond" w:hAnsi="Garamond" w:cs="Garamond"/>
        </w:rPr>
        <w:t xml:space="preserve"> Report 2019. Virginia Tech, Pamplin College of Bu</w:t>
      </w:r>
      <w:r>
        <w:rPr>
          <w:rFonts w:ascii="Garamond" w:eastAsia="Garamond" w:hAnsi="Garamond" w:cs="Garamond"/>
        </w:rPr>
        <w:t>si</w:t>
      </w:r>
      <w:r w:rsidRPr="47BAFFBC">
        <w:rPr>
          <w:rFonts w:ascii="Garamond" w:eastAsia="Garamond" w:hAnsi="Garamond" w:cs="Garamond"/>
        </w:rPr>
        <w:t>ness, Blacksburg, VA.</w:t>
      </w:r>
      <w:r>
        <w:rPr>
          <w:rFonts w:ascii="Garamond" w:eastAsia="Garamond" w:hAnsi="Garamond" w:cs="Garamond"/>
        </w:rPr>
        <w:t xml:space="preserve"> </w:t>
      </w:r>
      <w:hyperlink r:id="rId29" w:history="1">
        <w:r w:rsidRPr="00B900AF">
          <w:rPr>
            <w:rStyle w:val="Hyperlink"/>
            <w:rFonts w:ascii="Garamond" w:eastAsia="Garamond" w:hAnsi="Garamond" w:cs="Garamond"/>
          </w:rPr>
          <w:t>https://www.dcr.virginia.gov/state-parks/document/virginia-state-parks-2019-economic-impact-study.pdf</w:t>
        </w:r>
      </w:hyperlink>
    </w:p>
    <w:p w14:paraId="77D86F11" w14:textId="77777777" w:rsidR="00C57F64" w:rsidRDefault="00C57F64" w:rsidP="00C57F64">
      <w:pPr>
        <w:spacing w:after="0" w:line="257" w:lineRule="auto"/>
        <w:ind w:left="720" w:hanging="720"/>
        <w:rPr>
          <w:rFonts w:ascii="Garamond" w:eastAsia="Garamond" w:hAnsi="Garamond" w:cs="Garamond"/>
        </w:rPr>
      </w:pPr>
    </w:p>
    <w:p w14:paraId="4529C813" w14:textId="77777777" w:rsidR="00C57F64" w:rsidRDefault="00C57F64" w:rsidP="00C57F64">
      <w:pPr>
        <w:spacing w:after="0" w:line="257" w:lineRule="auto"/>
        <w:ind w:left="720" w:hanging="720"/>
        <w:rPr>
          <w:rFonts w:ascii="Garamond" w:eastAsia="Garamond" w:hAnsi="Garamond" w:cs="Garamond"/>
        </w:rPr>
      </w:pPr>
      <w:r w:rsidRPr="5594FBC1">
        <w:rPr>
          <w:rFonts w:ascii="Garamond" w:eastAsia="Garamond" w:hAnsi="Garamond" w:cs="Garamond"/>
        </w:rPr>
        <w:t xml:space="preserve">Mahrad, B. E., Newton, A., Icely, J. D., Kacimi, I., Abalansa, S., &amp; Snoussi, M. (2020). </w:t>
      </w:r>
      <w:r w:rsidRPr="00170327">
        <w:rPr>
          <w:rFonts w:ascii="Garamond" w:eastAsia="Garamond" w:hAnsi="Garamond" w:cs="Garamond"/>
        </w:rPr>
        <w:t>Contribution of remote sensing technologies to a holistic coastal and marine environmental management framework: a review</w:t>
      </w:r>
      <w:r w:rsidRPr="5594FBC1">
        <w:rPr>
          <w:rFonts w:ascii="Garamond" w:eastAsia="Garamond" w:hAnsi="Garamond" w:cs="Garamond"/>
          <w:i/>
          <w:iCs/>
        </w:rPr>
        <w:t>.</w:t>
      </w:r>
      <w:r w:rsidRPr="5594FBC1">
        <w:rPr>
          <w:rFonts w:ascii="Garamond" w:eastAsia="Garamond" w:hAnsi="Garamond" w:cs="Garamond"/>
        </w:rPr>
        <w:t xml:space="preserve"> </w:t>
      </w:r>
      <w:r w:rsidRPr="00170327">
        <w:rPr>
          <w:rFonts w:ascii="Garamond" w:eastAsia="Garamond" w:hAnsi="Garamond" w:cs="Garamond"/>
          <w:i/>
          <w:iCs/>
        </w:rPr>
        <w:t>Remote Sensing</w:t>
      </w:r>
      <w:r w:rsidRPr="5594FBC1">
        <w:rPr>
          <w:rFonts w:ascii="Garamond" w:eastAsia="Garamond" w:hAnsi="Garamond" w:cs="Garamond"/>
        </w:rPr>
        <w:t xml:space="preserve">, </w:t>
      </w:r>
      <w:r w:rsidRPr="00170327">
        <w:rPr>
          <w:rFonts w:ascii="Garamond" w:eastAsia="Garamond" w:hAnsi="Garamond" w:cs="Garamond"/>
          <w:i/>
          <w:iCs/>
        </w:rPr>
        <w:t>12</w:t>
      </w:r>
      <w:r w:rsidRPr="5594FBC1">
        <w:rPr>
          <w:rFonts w:ascii="Garamond" w:eastAsia="Garamond" w:hAnsi="Garamond" w:cs="Garamond"/>
        </w:rPr>
        <w:t>(14), 2313</w:t>
      </w:r>
      <w:r w:rsidRPr="00170327">
        <w:t xml:space="preserve"> </w:t>
      </w:r>
      <w:hyperlink r:id="rId30" w:history="1">
        <w:r w:rsidRPr="00451245">
          <w:rPr>
            <w:rStyle w:val="Hyperlink"/>
            <w:rFonts w:ascii="Garamond" w:eastAsia="Garamond" w:hAnsi="Garamond" w:cs="Garamond"/>
          </w:rPr>
          <w:t>https://doi.org/10.3390/rs12142313</w:t>
        </w:r>
      </w:hyperlink>
      <w:r>
        <w:rPr>
          <w:rFonts w:ascii="Garamond" w:eastAsia="Garamond" w:hAnsi="Garamond" w:cs="Garamond"/>
        </w:rPr>
        <w:t xml:space="preserve"> </w:t>
      </w:r>
    </w:p>
    <w:p w14:paraId="6EED6621" w14:textId="77777777" w:rsidR="00C57F64" w:rsidRDefault="00C57F64" w:rsidP="00C57F64">
      <w:pPr>
        <w:spacing w:after="0" w:line="257" w:lineRule="auto"/>
        <w:ind w:left="720" w:hanging="720"/>
        <w:rPr>
          <w:rFonts w:ascii="Garamond" w:eastAsia="Garamond" w:hAnsi="Garamond" w:cs="Garamond"/>
        </w:rPr>
      </w:pPr>
    </w:p>
    <w:p w14:paraId="2473E90A" w14:textId="77777777" w:rsidR="00C57F64" w:rsidRDefault="00C57F64" w:rsidP="00C57F64">
      <w:pPr>
        <w:spacing w:after="0" w:line="257" w:lineRule="auto"/>
        <w:ind w:left="720" w:hanging="720"/>
        <w:rPr>
          <w:rFonts w:ascii="Garamond" w:eastAsia="Garamond" w:hAnsi="Garamond" w:cs="Garamond"/>
        </w:rPr>
      </w:pPr>
      <w:r w:rsidRPr="5AD089C2">
        <w:rPr>
          <w:rFonts w:ascii="Garamond" w:eastAsia="Garamond" w:hAnsi="Garamond" w:cs="Garamond"/>
        </w:rPr>
        <w:t xml:space="preserve">Ministry of Environment and Climate Change Strategy. (2022a, June 13). </w:t>
      </w:r>
      <w:r w:rsidRPr="008D3C7B">
        <w:rPr>
          <w:rFonts w:ascii="Garamond" w:eastAsia="Garamond" w:hAnsi="Garamond" w:cs="Garamond"/>
          <w:i/>
          <w:iCs/>
        </w:rPr>
        <w:t>What causes an algae bloom?</w:t>
      </w:r>
      <w:r w:rsidRPr="008D3C7B">
        <w:rPr>
          <w:rFonts w:ascii="Garamond" w:eastAsia="Garamond" w:hAnsi="Garamond" w:cs="Garamond"/>
        </w:rPr>
        <w:t>.</w:t>
      </w:r>
      <w:r w:rsidRPr="5AD089C2">
        <w:rPr>
          <w:rFonts w:ascii="Garamond" w:eastAsia="Garamond" w:hAnsi="Garamond" w:cs="Garamond"/>
        </w:rPr>
        <w:t xml:space="preserve"> Province of British Columbia. </w:t>
      </w:r>
      <w:hyperlink r:id="rId31" w:history="1">
        <w:r w:rsidRPr="00B900AF">
          <w:rPr>
            <w:rStyle w:val="Hyperlink"/>
            <w:rFonts w:ascii="Garamond" w:eastAsia="Garamond" w:hAnsi="Garamond" w:cs="Garamond"/>
          </w:rPr>
          <w:t>https://www2.gov.bc.ca/gov/content/environment/air-land-water/water/water-quality/algae-watch/what-are-algae/causes-of-an-algae-bloom</w:t>
        </w:r>
      </w:hyperlink>
      <w:r w:rsidRPr="5AD089C2">
        <w:rPr>
          <w:rFonts w:ascii="Garamond" w:eastAsia="Garamond" w:hAnsi="Garamond" w:cs="Garamond"/>
        </w:rPr>
        <w:t xml:space="preserve"> </w:t>
      </w:r>
    </w:p>
    <w:p w14:paraId="0DBFF196" w14:textId="77777777" w:rsidR="00C57F64" w:rsidRDefault="00C57F64" w:rsidP="00C57F64">
      <w:pPr>
        <w:spacing w:after="0" w:line="257" w:lineRule="auto"/>
        <w:ind w:left="720" w:hanging="720"/>
        <w:rPr>
          <w:rFonts w:ascii="Garamond" w:eastAsia="Garamond" w:hAnsi="Garamond" w:cs="Garamond"/>
        </w:rPr>
      </w:pPr>
    </w:p>
    <w:p w14:paraId="17A3CFE0" w14:textId="77777777" w:rsidR="00C57F64" w:rsidRDefault="00C57F64" w:rsidP="00C57F64">
      <w:pPr>
        <w:spacing w:after="0" w:line="257" w:lineRule="auto"/>
        <w:ind w:left="720" w:hanging="720"/>
        <w:rPr>
          <w:rFonts w:ascii="Garamond" w:eastAsia="Garamond" w:hAnsi="Garamond" w:cs="Garamond"/>
        </w:rPr>
      </w:pPr>
      <w:r w:rsidRPr="154D0FE7">
        <w:rPr>
          <w:rFonts w:ascii="Garamond" w:eastAsia="Garamond" w:hAnsi="Garamond" w:cs="Garamond"/>
        </w:rPr>
        <w:t xml:space="preserve">Misra, </w:t>
      </w:r>
      <w:r w:rsidRPr="3999A67C">
        <w:rPr>
          <w:rFonts w:ascii="Garamond" w:eastAsia="Garamond" w:hAnsi="Garamond" w:cs="Garamond"/>
        </w:rPr>
        <w:t>A.,</w:t>
      </w:r>
      <w:r w:rsidRPr="154D0FE7">
        <w:rPr>
          <w:rFonts w:ascii="Garamond" w:eastAsia="Garamond" w:hAnsi="Garamond" w:cs="Garamond"/>
        </w:rPr>
        <w:t xml:space="preserve"> Chandra, P., &amp; Raghavendra, V. (2011). Modeling the depletion of dissolved oxygen in a lake due to algal bloom: Effect of time delay. </w:t>
      </w:r>
      <w:r w:rsidRPr="00170327">
        <w:rPr>
          <w:rFonts w:ascii="Garamond" w:eastAsia="Garamond" w:hAnsi="Garamond" w:cs="Garamond"/>
          <w:i/>
          <w:iCs/>
        </w:rPr>
        <w:t>Advances in Water Resources</w:t>
      </w:r>
      <w:r w:rsidRPr="154D0FE7">
        <w:rPr>
          <w:rFonts w:ascii="Garamond" w:eastAsia="Garamond" w:hAnsi="Garamond" w:cs="Garamond"/>
        </w:rPr>
        <w:t xml:space="preserve">, </w:t>
      </w:r>
      <w:r w:rsidRPr="00170327">
        <w:rPr>
          <w:rFonts w:ascii="Garamond" w:eastAsia="Garamond" w:hAnsi="Garamond" w:cs="Garamond"/>
          <w:i/>
          <w:iCs/>
        </w:rPr>
        <w:t>34</w:t>
      </w:r>
      <w:r w:rsidRPr="3756C4CC">
        <w:rPr>
          <w:rFonts w:ascii="Garamond" w:eastAsia="Garamond" w:hAnsi="Garamond" w:cs="Garamond"/>
        </w:rPr>
        <w:t>,</w:t>
      </w:r>
      <w:r w:rsidRPr="154D0FE7">
        <w:rPr>
          <w:rFonts w:ascii="Garamond" w:eastAsia="Garamond" w:hAnsi="Garamond" w:cs="Garamond"/>
        </w:rPr>
        <w:t xml:space="preserve"> 1232-1238.</w:t>
      </w:r>
      <w:r>
        <w:rPr>
          <w:rFonts w:ascii="Garamond" w:eastAsia="Garamond" w:hAnsi="Garamond" w:cs="Garamond"/>
        </w:rPr>
        <w:t xml:space="preserve"> </w:t>
      </w:r>
      <w:hyperlink r:id="rId32" w:history="1">
        <w:r w:rsidRPr="00451245">
          <w:rPr>
            <w:rStyle w:val="Hyperlink"/>
            <w:rFonts w:ascii="Garamond" w:eastAsia="Garamond" w:hAnsi="Garamond" w:cs="Garamond"/>
          </w:rPr>
          <w:t>https://doi.org/10.1016/j.advwatres.2011.05.010</w:t>
        </w:r>
      </w:hyperlink>
      <w:r>
        <w:rPr>
          <w:rFonts w:ascii="Garamond" w:eastAsia="Garamond" w:hAnsi="Garamond" w:cs="Garamond"/>
        </w:rPr>
        <w:t xml:space="preserve"> </w:t>
      </w:r>
    </w:p>
    <w:p w14:paraId="026A89B0" w14:textId="77777777" w:rsidR="00C57F64" w:rsidRDefault="00C57F64" w:rsidP="00C57F64">
      <w:pPr>
        <w:spacing w:after="0" w:line="257" w:lineRule="auto"/>
        <w:ind w:left="720" w:hanging="720"/>
        <w:rPr>
          <w:rFonts w:ascii="Garamond" w:eastAsia="Garamond" w:hAnsi="Garamond" w:cs="Garamond"/>
        </w:rPr>
      </w:pPr>
    </w:p>
    <w:p w14:paraId="4C30D916" w14:textId="77777777" w:rsidR="00C57F64" w:rsidRDefault="00C57F64" w:rsidP="00C57F64">
      <w:pPr>
        <w:spacing w:after="0" w:line="257" w:lineRule="auto"/>
        <w:ind w:left="720" w:hanging="720"/>
        <w:rPr>
          <w:rFonts w:ascii="Garamond" w:eastAsia="Garamond" w:hAnsi="Garamond" w:cs="Garamond"/>
        </w:rPr>
      </w:pPr>
      <w:r w:rsidRPr="5AD089C2">
        <w:rPr>
          <w:rFonts w:ascii="Garamond" w:eastAsia="Garamond" w:hAnsi="Garamond" w:cs="Garamond"/>
        </w:rPr>
        <w:t>NASA</w:t>
      </w:r>
      <w:r w:rsidRPr="7E64A2B5">
        <w:rPr>
          <w:rFonts w:ascii="Garamond" w:eastAsia="Garamond" w:hAnsi="Garamond" w:cs="Garamond"/>
        </w:rPr>
        <w:t xml:space="preserve">. (2000). </w:t>
      </w:r>
      <w:r w:rsidRPr="007E22F5">
        <w:rPr>
          <w:rFonts w:ascii="Garamond" w:eastAsia="Garamond" w:hAnsi="Garamond" w:cs="Garamond"/>
          <w:i/>
          <w:iCs/>
        </w:rPr>
        <w:t>Measuring vegetation (NDVI &amp; EVI)</w:t>
      </w:r>
      <w:r w:rsidRPr="7E64A2B5">
        <w:rPr>
          <w:rFonts w:ascii="Garamond" w:eastAsia="Garamond" w:hAnsi="Garamond" w:cs="Garamond"/>
        </w:rPr>
        <w:t xml:space="preserve">. </w:t>
      </w:r>
      <w:r w:rsidRPr="5AD089C2">
        <w:rPr>
          <w:rFonts w:ascii="Garamond" w:eastAsia="Garamond" w:hAnsi="Garamond" w:cs="Garamond"/>
        </w:rPr>
        <w:t>NASA</w:t>
      </w:r>
      <w:r w:rsidRPr="7E64A2B5">
        <w:rPr>
          <w:rFonts w:ascii="Garamond" w:eastAsia="Garamond" w:hAnsi="Garamond" w:cs="Garamond"/>
        </w:rPr>
        <w:t xml:space="preserve"> Earth Observatory, Goddard Space Flight Center. </w:t>
      </w:r>
      <w:hyperlink r:id="rId33" w:history="1">
        <w:r w:rsidRPr="00B900AF">
          <w:rPr>
            <w:rStyle w:val="Hyperlink"/>
            <w:rFonts w:ascii="Garamond" w:eastAsia="Garamond" w:hAnsi="Garamond" w:cs="Garamond"/>
          </w:rPr>
          <w:t>https://earthobservatory.nasa.gov/features/MeasuringVegetation/measuring_vegetation_2.php</w:t>
        </w:r>
      </w:hyperlink>
    </w:p>
    <w:p w14:paraId="09050B06" w14:textId="77777777" w:rsidR="00C57F64" w:rsidRDefault="00C57F64" w:rsidP="00C57F64">
      <w:pPr>
        <w:spacing w:after="0" w:line="257" w:lineRule="auto"/>
        <w:ind w:left="720" w:hanging="720"/>
        <w:rPr>
          <w:rFonts w:ascii="Garamond" w:eastAsia="Garamond" w:hAnsi="Garamond" w:cs="Garamond"/>
        </w:rPr>
      </w:pPr>
    </w:p>
    <w:p w14:paraId="21848A1F" w14:textId="77777777" w:rsidR="00C57F64" w:rsidRDefault="00C57F64" w:rsidP="00C57F64">
      <w:pPr>
        <w:spacing w:after="0" w:line="257" w:lineRule="auto"/>
        <w:ind w:left="720" w:hanging="720"/>
        <w:rPr>
          <w:rFonts w:ascii="Garamond" w:eastAsia="Garamond" w:hAnsi="Garamond" w:cs="Garamond"/>
        </w:rPr>
      </w:pPr>
      <w:r w:rsidRPr="7E64A2B5">
        <w:rPr>
          <w:rFonts w:ascii="Garamond" w:eastAsia="Garamond" w:hAnsi="Garamond" w:cs="Garamond"/>
        </w:rPr>
        <w:t xml:space="preserve">NASA. (2023). </w:t>
      </w:r>
      <w:r w:rsidRPr="007E22F5">
        <w:rPr>
          <w:rFonts w:ascii="Garamond" w:eastAsia="Garamond" w:hAnsi="Garamond" w:cs="Garamond"/>
          <w:i/>
          <w:iCs/>
        </w:rPr>
        <w:t>Get to know PACE</w:t>
      </w:r>
      <w:r w:rsidRPr="7E64A2B5">
        <w:rPr>
          <w:rFonts w:ascii="Garamond" w:eastAsia="Garamond" w:hAnsi="Garamond" w:cs="Garamond"/>
        </w:rPr>
        <w:t>. NASA, Ocean Science Division</w:t>
      </w:r>
      <w:r>
        <w:rPr>
          <w:rFonts w:ascii="Garamond" w:eastAsia="Garamond" w:hAnsi="Garamond" w:cs="Garamond"/>
        </w:rPr>
        <w:t xml:space="preserve">. </w:t>
      </w:r>
      <w:hyperlink r:id="rId34" w:history="1">
        <w:r w:rsidRPr="00DB1BC6">
          <w:rPr>
            <w:rStyle w:val="Hyperlink"/>
            <w:rFonts w:ascii="Garamond" w:eastAsia="Garamond" w:hAnsi="Garamond" w:cs="Garamond"/>
          </w:rPr>
          <w:t>https://pace.oceansciences.org/about.htm</w:t>
        </w:r>
      </w:hyperlink>
    </w:p>
    <w:p w14:paraId="74B38FCA" w14:textId="77777777" w:rsidR="00C57F64" w:rsidRDefault="00C57F64" w:rsidP="00C57F64">
      <w:pPr>
        <w:spacing w:after="0" w:line="257" w:lineRule="auto"/>
        <w:ind w:left="720" w:hanging="720"/>
        <w:rPr>
          <w:rFonts w:ascii="Garamond" w:eastAsia="Garamond" w:hAnsi="Garamond" w:cs="Garamond"/>
        </w:rPr>
      </w:pPr>
    </w:p>
    <w:p w14:paraId="27A031FE" w14:textId="77777777" w:rsidR="00C57F64" w:rsidRDefault="00C57F64" w:rsidP="00CC3C2E">
      <w:pPr>
        <w:spacing w:after="0" w:line="240" w:lineRule="auto"/>
        <w:ind w:left="720" w:hanging="720"/>
        <w:rPr>
          <w:rFonts w:ascii="Garamond" w:eastAsia="Garamond" w:hAnsi="Garamond" w:cs="Garamond"/>
        </w:rPr>
      </w:pPr>
      <w:r w:rsidRPr="033FC0A2">
        <w:rPr>
          <w:rFonts w:ascii="Garamond" w:eastAsia="Garamond" w:hAnsi="Garamond" w:cs="Garamond"/>
        </w:rPr>
        <w:t xml:space="preserve">Paulic, M., Hand, J., &amp; Lord, L. (1996). </w:t>
      </w:r>
      <w:r w:rsidRPr="00630093">
        <w:rPr>
          <w:rFonts w:ascii="Garamond" w:eastAsia="Garamond" w:hAnsi="Garamond" w:cs="Garamond"/>
          <w:i/>
          <w:iCs/>
        </w:rPr>
        <w:t>1996 Water-Quality Assessment for the State of Florida (Section 305 (B) Main Report)</w:t>
      </w:r>
      <w:r w:rsidRPr="033FC0A2">
        <w:rPr>
          <w:rFonts w:ascii="Garamond" w:eastAsia="Garamond" w:hAnsi="Garamond" w:cs="Garamond"/>
        </w:rPr>
        <w:t>. Florida Department of Environmental Protection, Bureau of Water Resources Protection, Division of Water Facilites.</w:t>
      </w:r>
      <w:r>
        <w:rPr>
          <w:rFonts w:ascii="Garamond" w:eastAsia="Garamond" w:hAnsi="Garamond" w:cs="Garamond"/>
        </w:rPr>
        <w:t xml:space="preserve"> </w:t>
      </w:r>
      <w:hyperlink r:id="rId35" w:history="1">
        <w:r w:rsidRPr="004720B9">
          <w:rPr>
            <w:rStyle w:val="Hyperlink"/>
            <w:rFonts w:ascii="Garamond" w:eastAsia="Garamond" w:hAnsi="Garamond" w:cs="Garamond"/>
          </w:rPr>
          <w:t>http://www.hillsborough.wateratlas.usf.edu/upload/documents/1996%20Water-Quality%20Assessment%20for%20the%20State%20of%20Florida%20Section%20305(b)%20Main%20Report.pdf</w:t>
        </w:r>
      </w:hyperlink>
      <w:r>
        <w:rPr>
          <w:rFonts w:ascii="Garamond" w:eastAsia="Garamond" w:hAnsi="Garamond" w:cs="Garamond"/>
        </w:rPr>
        <w:t xml:space="preserve"> </w:t>
      </w:r>
    </w:p>
    <w:p w14:paraId="47AAAF9F" w14:textId="77777777" w:rsidR="00C57F64" w:rsidRDefault="00C57F64" w:rsidP="00C57F64">
      <w:pPr>
        <w:spacing w:after="0" w:line="240" w:lineRule="auto"/>
        <w:ind w:left="567" w:hanging="720"/>
        <w:rPr>
          <w:rFonts w:ascii="Garamond" w:eastAsia="Garamond" w:hAnsi="Garamond" w:cs="Garamond"/>
        </w:rPr>
      </w:pPr>
    </w:p>
    <w:p w14:paraId="7A203223" w14:textId="3CD61AE8" w:rsidR="00C57F64" w:rsidRDefault="00C57F64">
      <w:pPr>
        <w:spacing w:after="0" w:line="240" w:lineRule="auto"/>
        <w:ind w:left="720" w:hanging="720"/>
        <w:rPr>
          <w:rFonts w:ascii="Garamond" w:eastAsia="Garamond" w:hAnsi="Garamond" w:cs="Garamond"/>
        </w:rPr>
      </w:pPr>
      <w:r w:rsidRPr="7E64A2B5">
        <w:rPr>
          <w:rFonts w:ascii="Garamond" w:eastAsia="Garamond" w:hAnsi="Garamond" w:cs="Garamond"/>
        </w:rPr>
        <w:lastRenderedPageBreak/>
        <w:t xml:space="preserve">Refsnider, J., Garcia, J., Holliker, B., Hulbert, A., Nunez, A., &amp; Streby, H. (2021). Effects of harmful algal blooms on stress levels and immune functioning in wetland-associated songbirds and reptiles. </w:t>
      </w:r>
      <w:r w:rsidRPr="00170327">
        <w:rPr>
          <w:rFonts w:ascii="Garamond" w:eastAsia="Garamond" w:hAnsi="Garamond" w:cs="Garamond"/>
          <w:i/>
          <w:iCs/>
        </w:rPr>
        <w:t>Science of the Total Environment</w:t>
      </w:r>
      <w:r w:rsidRPr="7E64A2B5">
        <w:rPr>
          <w:rFonts w:ascii="Garamond" w:eastAsia="Garamond" w:hAnsi="Garamond" w:cs="Garamond"/>
        </w:rPr>
        <w:t>, 788, 147790.</w:t>
      </w:r>
    </w:p>
    <w:p w14:paraId="7CD30EFE" w14:textId="47F328E0" w:rsidR="00CC3C2E" w:rsidRDefault="00CC3C2E">
      <w:pPr>
        <w:spacing w:after="0" w:line="240" w:lineRule="auto"/>
        <w:ind w:left="720" w:hanging="720"/>
        <w:rPr>
          <w:rFonts w:ascii="Garamond" w:eastAsia="Garamond" w:hAnsi="Garamond" w:cs="Garamond"/>
        </w:rPr>
      </w:pPr>
    </w:p>
    <w:p w14:paraId="5673E3ED" w14:textId="6E50BD80" w:rsidR="00CC3C2E" w:rsidRPr="00CC3C2E" w:rsidRDefault="00CC3C2E" w:rsidP="00CC3C2E">
      <w:pPr>
        <w:spacing w:after="0" w:line="240" w:lineRule="auto"/>
        <w:ind w:left="720" w:hanging="720"/>
        <w:rPr>
          <w:rFonts w:ascii="Garamond" w:eastAsia="Garamond" w:hAnsi="Garamond" w:cs="Garamond"/>
        </w:rPr>
      </w:pPr>
      <w:r>
        <w:rPr>
          <w:rFonts w:ascii="Garamond" w:eastAsia="Garamond" w:hAnsi="Garamond" w:cs="Garamond"/>
        </w:rPr>
        <w:t xml:space="preserve">Schaeffer, B. A., Urquhart, E., Coffer, M., </w:t>
      </w:r>
      <w:proofErr w:type="spellStart"/>
      <w:r>
        <w:rPr>
          <w:rFonts w:ascii="Garamond" w:eastAsia="Garamond" w:hAnsi="Garamond" w:cs="Garamond"/>
        </w:rPr>
        <w:t>Salls</w:t>
      </w:r>
      <w:proofErr w:type="spellEnd"/>
      <w:r>
        <w:rPr>
          <w:rFonts w:ascii="Garamond" w:eastAsia="Garamond" w:hAnsi="Garamond" w:cs="Garamond"/>
        </w:rPr>
        <w:t xml:space="preserve">, W., Stumpf, R. P., Loftin, K. A., &amp; </w:t>
      </w:r>
      <w:proofErr w:type="spellStart"/>
      <w:r>
        <w:rPr>
          <w:rFonts w:ascii="Garamond" w:eastAsia="Garamond" w:hAnsi="Garamond" w:cs="Garamond"/>
        </w:rPr>
        <w:t>Werdell</w:t>
      </w:r>
      <w:proofErr w:type="spellEnd"/>
      <w:r>
        <w:rPr>
          <w:rFonts w:ascii="Garamond" w:eastAsia="Garamond" w:hAnsi="Garamond" w:cs="Garamond"/>
        </w:rPr>
        <w:t xml:space="preserve">, P. J. (2022). Satellites quantify the spatial extent of cyanobacterial blooms across the United States at multiple scales. </w:t>
      </w:r>
      <w:r>
        <w:rPr>
          <w:rFonts w:ascii="Garamond" w:eastAsia="Garamond" w:hAnsi="Garamond" w:cs="Garamond"/>
          <w:i/>
          <w:iCs/>
        </w:rPr>
        <w:t>Ecological Indicators</w:t>
      </w:r>
      <w:r>
        <w:rPr>
          <w:rFonts w:ascii="Garamond" w:eastAsia="Garamond" w:hAnsi="Garamond" w:cs="Garamond"/>
        </w:rPr>
        <w:t xml:space="preserve">, </w:t>
      </w:r>
      <w:r>
        <w:rPr>
          <w:rFonts w:ascii="Garamond" w:eastAsia="Garamond" w:hAnsi="Garamond" w:cs="Garamond"/>
          <w:i/>
          <w:iCs/>
        </w:rPr>
        <w:t>140</w:t>
      </w:r>
      <w:r>
        <w:rPr>
          <w:rFonts w:ascii="Garamond" w:eastAsia="Garamond" w:hAnsi="Garamond" w:cs="Garamond"/>
        </w:rPr>
        <w:t xml:space="preserve">, 108990. </w:t>
      </w:r>
      <w:hyperlink r:id="rId36" w:history="1">
        <w:r w:rsidRPr="003006A6">
          <w:rPr>
            <w:rStyle w:val="Hyperlink"/>
            <w:rFonts w:ascii="Garamond" w:eastAsia="Garamond" w:hAnsi="Garamond" w:cs="Garamond"/>
          </w:rPr>
          <w:t>https://doi.org/10.1016/j.ecolind.2022.108990</w:t>
        </w:r>
      </w:hyperlink>
      <w:r>
        <w:rPr>
          <w:rFonts w:ascii="Garamond" w:eastAsia="Garamond" w:hAnsi="Garamond" w:cs="Garamond"/>
        </w:rPr>
        <w:t xml:space="preserve"> </w:t>
      </w:r>
    </w:p>
    <w:p w14:paraId="40305E94" w14:textId="77777777" w:rsidR="00C57F64" w:rsidRDefault="00C57F64" w:rsidP="00C57F64">
      <w:pPr>
        <w:spacing w:after="0" w:line="240" w:lineRule="auto"/>
        <w:ind w:left="567" w:hanging="720"/>
        <w:rPr>
          <w:rFonts w:ascii="Garamond" w:eastAsia="Garamond" w:hAnsi="Garamond" w:cs="Garamond"/>
        </w:rPr>
      </w:pPr>
    </w:p>
    <w:p w14:paraId="1AA922F8" w14:textId="77777777" w:rsidR="00C57F64" w:rsidRDefault="00C57F64" w:rsidP="00CC3C2E">
      <w:pPr>
        <w:spacing w:after="0" w:line="240" w:lineRule="auto"/>
        <w:ind w:left="720" w:hanging="720"/>
        <w:rPr>
          <w:rFonts w:ascii="Garamond" w:eastAsia="Garamond" w:hAnsi="Garamond" w:cs="Garamond"/>
        </w:rPr>
      </w:pPr>
      <w:r w:rsidRPr="24384AFC">
        <w:rPr>
          <w:rFonts w:ascii="Garamond" w:eastAsia="Garamond" w:hAnsi="Garamond" w:cs="Garamond"/>
        </w:rPr>
        <w:t>Schnieder, J. (</w:t>
      </w:r>
      <w:r>
        <w:rPr>
          <w:rFonts w:ascii="Garamond" w:eastAsia="Garamond" w:hAnsi="Garamond" w:cs="Garamond"/>
        </w:rPr>
        <w:t>2020</w:t>
      </w:r>
      <w:r w:rsidRPr="24384AFC">
        <w:rPr>
          <w:rFonts w:ascii="Garamond" w:eastAsia="Garamond" w:hAnsi="Garamond" w:cs="Garamond"/>
        </w:rPr>
        <w:t xml:space="preserve">). </w:t>
      </w:r>
      <w:r w:rsidRPr="3C031C14">
        <w:rPr>
          <w:rFonts w:ascii="Garamond" w:eastAsia="Garamond" w:hAnsi="Garamond" w:cs="Garamond"/>
        </w:rPr>
        <w:t>Guidance Memo No. 09-</w:t>
      </w:r>
      <w:r w:rsidRPr="5D18A95F">
        <w:rPr>
          <w:rFonts w:ascii="Garamond" w:eastAsia="Garamond" w:hAnsi="Garamond" w:cs="Garamond"/>
        </w:rPr>
        <w:t>2005: Monitoring</w:t>
      </w:r>
      <w:r w:rsidRPr="12670756">
        <w:rPr>
          <w:rFonts w:ascii="Garamond" w:eastAsia="Garamond" w:hAnsi="Garamond" w:cs="Garamond"/>
        </w:rPr>
        <w:t xml:space="preserve"> of Lakes and Reservoirs. </w:t>
      </w:r>
      <w:r w:rsidRPr="0365BB67">
        <w:rPr>
          <w:rFonts w:ascii="Garamond" w:eastAsia="Garamond" w:hAnsi="Garamond" w:cs="Garamond"/>
        </w:rPr>
        <w:t>Virginia Department of Environmental Quality, Water Planning Division</w:t>
      </w:r>
      <w:r w:rsidRPr="3C031C14">
        <w:rPr>
          <w:rFonts w:ascii="Garamond" w:eastAsia="Garamond" w:hAnsi="Garamond" w:cs="Garamond"/>
        </w:rPr>
        <w:t>.</w:t>
      </w:r>
      <w:r>
        <w:rPr>
          <w:rFonts w:ascii="Garamond" w:eastAsia="Garamond" w:hAnsi="Garamond" w:cs="Garamond"/>
        </w:rPr>
        <w:t xml:space="preserve"> </w:t>
      </w:r>
      <w:hyperlink r:id="rId37" w:history="1">
        <w:r w:rsidRPr="004720B9">
          <w:rPr>
            <w:rStyle w:val="Hyperlink"/>
            <w:rFonts w:ascii="Garamond" w:eastAsia="Garamond" w:hAnsi="Garamond" w:cs="Garamond"/>
          </w:rPr>
          <w:t>https://townhall.virginia.gov/l/GetFile.cfm?File=C:%5CTownHall%5Cdocroot%5CGuidanceDocs%5C440%5CGDoc_DEQ_3959_v3.pdf</w:t>
        </w:r>
      </w:hyperlink>
      <w:r>
        <w:rPr>
          <w:rFonts w:ascii="Garamond" w:eastAsia="Garamond" w:hAnsi="Garamond" w:cs="Garamond"/>
        </w:rPr>
        <w:t xml:space="preserve"> </w:t>
      </w:r>
    </w:p>
    <w:p w14:paraId="65AF3758" w14:textId="77777777" w:rsidR="00C57F64" w:rsidRDefault="00C57F64" w:rsidP="00C57F64">
      <w:pPr>
        <w:spacing w:after="0" w:line="240" w:lineRule="auto"/>
        <w:ind w:left="567" w:hanging="720"/>
        <w:rPr>
          <w:rFonts w:ascii="Garamond" w:eastAsia="Garamond" w:hAnsi="Garamond" w:cs="Garamond"/>
        </w:rPr>
      </w:pPr>
    </w:p>
    <w:p w14:paraId="0DEB0E1A" w14:textId="77777777" w:rsidR="00C57F64" w:rsidRDefault="00C57F64" w:rsidP="00CC3C2E">
      <w:pPr>
        <w:spacing w:after="0" w:line="240" w:lineRule="auto"/>
        <w:ind w:left="720" w:hanging="720"/>
        <w:rPr>
          <w:rFonts w:ascii="Garamond" w:eastAsia="Garamond" w:hAnsi="Garamond" w:cs="Garamond"/>
        </w:rPr>
      </w:pPr>
      <w:r w:rsidRPr="7BF8A696">
        <w:rPr>
          <w:rFonts w:ascii="Garamond" w:eastAsia="Garamond" w:hAnsi="Garamond" w:cs="Garamond"/>
        </w:rPr>
        <w:t xml:space="preserve">Thrasher, T. (2023). </w:t>
      </w:r>
      <w:r w:rsidRPr="008D3C7B">
        <w:rPr>
          <w:rFonts w:ascii="Garamond" w:eastAsia="Garamond" w:hAnsi="Garamond" w:cs="Garamond"/>
          <w:i/>
          <w:iCs/>
        </w:rPr>
        <w:t>Emergency sirens to be replaced by cell phone alerts for ‘unlikely’ events at North Anna Power Station in</w:t>
      </w:r>
      <w:r>
        <w:rPr>
          <w:rFonts w:ascii="Garamond" w:eastAsia="Garamond" w:hAnsi="Garamond" w:cs="Garamond"/>
          <w:i/>
          <w:iCs/>
        </w:rPr>
        <w:t xml:space="preserve"> </w:t>
      </w:r>
      <w:r w:rsidRPr="008D3C7B">
        <w:rPr>
          <w:rFonts w:ascii="Garamond" w:eastAsia="Garamond" w:hAnsi="Garamond" w:cs="Garamond"/>
          <w:i/>
          <w:iCs/>
        </w:rPr>
        <w:t>Louisa County</w:t>
      </w:r>
      <w:r w:rsidRPr="7BF8A696">
        <w:rPr>
          <w:rFonts w:ascii="Garamond" w:eastAsia="Garamond" w:hAnsi="Garamond" w:cs="Garamond"/>
        </w:rPr>
        <w:t xml:space="preserve">. ABC 8 News, Richmond, Va. </w:t>
      </w:r>
      <w:hyperlink r:id="rId38" w:history="1">
        <w:r w:rsidRPr="00B900AF">
          <w:rPr>
            <w:rStyle w:val="Hyperlink"/>
            <w:rFonts w:ascii="Garamond" w:eastAsia="Garamond" w:hAnsi="Garamond" w:cs="Garamond"/>
          </w:rPr>
          <w:t>https://www.wric.com/news/virginia-news/emergency-sirens-to-be-replaced-by-cell-phone-alerts-for-unlikely-events-at-north-anna-power-station-in-louisa-county/</w:t>
        </w:r>
      </w:hyperlink>
    </w:p>
    <w:p w14:paraId="0D88BAD7" w14:textId="77777777" w:rsidR="00C57F64" w:rsidRDefault="00C57F64" w:rsidP="00C57F64">
      <w:pPr>
        <w:spacing w:after="0" w:line="240" w:lineRule="auto"/>
        <w:ind w:left="567" w:hanging="720"/>
        <w:rPr>
          <w:rFonts w:ascii="Garamond" w:eastAsia="Garamond" w:hAnsi="Garamond" w:cs="Garamond"/>
        </w:rPr>
      </w:pPr>
    </w:p>
    <w:p w14:paraId="517470D8" w14:textId="77777777" w:rsidR="00C57F64" w:rsidRDefault="00C57F64" w:rsidP="00CC3C2E">
      <w:pPr>
        <w:spacing w:after="0" w:line="240" w:lineRule="auto"/>
        <w:ind w:left="720" w:hanging="720"/>
        <w:rPr>
          <w:rFonts w:ascii="Garamond" w:eastAsia="Garamond" w:hAnsi="Garamond" w:cs="Garamond"/>
        </w:rPr>
      </w:pPr>
      <w:r w:rsidRPr="7A7A1357">
        <w:rPr>
          <w:rFonts w:ascii="Garamond" w:eastAsia="Garamond" w:hAnsi="Garamond" w:cs="Garamond"/>
        </w:rPr>
        <w:t xml:space="preserve">US Census Bureau (2019). </w:t>
      </w:r>
      <w:r w:rsidRPr="7A7A1357">
        <w:rPr>
          <w:rFonts w:ascii="Garamond" w:eastAsia="Garamond" w:hAnsi="Garamond" w:cs="Garamond"/>
          <w:i/>
          <w:iCs/>
        </w:rPr>
        <w:t>TIGER/Line Shapefiles 2019. Virginia Open Data Portal, 2019 Virginia Census Counties &amp; County Equivalents</w:t>
      </w:r>
      <w:r w:rsidRPr="7A7A1357">
        <w:rPr>
          <w:rFonts w:ascii="Garamond" w:eastAsia="Garamond" w:hAnsi="Garamond" w:cs="Garamond"/>
        </w:rPr>
        <w:t xml:space="preserve"> [Dataset]. Retrieved June 2023, from </w:t>
      </w:r>
      <w:hyperlink r:id="rId39" w:history="1">
        <w:r w:rsidRPr="00B900AF">
          <w:rPr>
            <w:rStyle w:val="Hyperlink"/>
            <w:rFonts w:ascii="Garamond" w:eastAsia="Garamond" w:hAnsi="Garamond" w:cs="Garamond"/>
          </w:rPr>
          <w:t>https://data.virginia.gov/Government/2019-Virginia-Census-Counties-County-Equivalents/rgvv-r79s</w:t>
        </w:r>
      </w:hyperlink>
    </w:p>
    <w:p w14:paraId="7B19E4C8" w14:textId="77777777" w:rsidR="00C57F64" w:rsidRDefault="00C57F64" w:rsidP="00C57F64">
      <w:pPr>
        <w:spacing w:after="0" w:line="240" w:lineRule="auto"/>
        <w:ind w:left="567" w:hanging="720"/>
        <w:rPr>
          <w:rFonts w:ascii="Garamond" w:eastAsia="Garamond" w:hAnsi="Garamond" w:cs="Garamond"/>
        </w:rPr>
      </w:pPr>
    </w:p>
    <w:p w14:paraId="2B6AD673" w14:textId="77777777" w:rsidR="00C57F64" w:rsidRDefault="00C57F64" w:rsidP="00CC3C2E">
      <w:pPr>
        <w:spacing w:after="0" w:line="240" w:lineRule="auto"/>
        <w:ind w:left="720" w:hanging="720"/>
        <w:rPr>
          <w:rFonts w:ascii="Garamond" w:eastAsia="Garamond" w:hAnsi="Garamond" w:cs="Garamond"/>
        </w:rPr>
      </w:pPr>
      <w:r w:rsidRPr="7A7A1357">
        <w:rPr>
          <w:rFonts w:ascii="Garamond" w:eastAsia="Garamond" w:hAnsi="Garamond" w:cs="Garamond"/>
        </w:rPr>
        <w:t xml:space="preserve">US Geological Survey (USGS) (2016). </w:t>
      </w:r>
      <w:r w:rsidRPr="7A7A1357">
        <w:rPr>
          <w:rFonts w:ascii="Garamond" w:eastAsia="Garamond" w:hAnsi="Garamond" w:cs="Garamond"/>
          <w:i/>
          <w:iCs/>
        </w:rPr>
        <w:t>Landsat 8 Operational Land Imager (OLI) Level 2, Collection 2, Tier 1 Surface</w:t>
      </w:r>
      <w:r>
        <w:rPr>
          <w:rFonts w:ascii="Garamond" w:eastAsia="Garamond" w:hAnsi="Garamond" w:cs="Garamond"/>
          <w:i/>
          <w:iCs/>
        </w:rPr>
        <w:t xml:space="preserve"> </w:t>
      </w:r>
      <w:r w:rsidRPr="7A7A1357">
        <w:rPr>
          <w:rFonts w:ascii="Garamond" w:eastAsia="Garamond" w:hAnsi="Garamond" w:cs="Garamond"/>
          <w:i/>
          <w:iCs/>
        </w:rPr>
        <w:t xml:space="preserve">Reflectance </w:t>
      </w:r>
      <w:r w:rsidRPr="7A7A1357">
        <w:rPr>
          <w:rFonts w:ascii="Garamond" w:eastAsia="Garamond" w:hAnsi="Garamond" w:cs="Garamond"/>
        </w:rPr>
        <w:t>[Dataset].</w:t>
      </w:r>
      <w:r>
        <w:rPr>
          <w:rFonts w:ascii="Garamond" w:eastAsia="Garamond" w:hAnsi="Garamond" w:cs="Garamond"/>
        </w:rPr>
        <w:t xml:space="preserve"> </w:t>
      </w:r>
      <w:r w:rsidRPr="7A7A1357">
        <w:rPr>
          <w:rFonts w:ascii="Garamond" w:eastAsia="Garamond" w:hAnsi="Garamond" w:cs="Garamond"/>
        </w:rPr>
        <w:t xml:space="preserve">Earth Engine Data Catalog/USGS. Retrieved June 2023. </w:t>
      </w:r>
      <w:hyperlink r:id="rId40" w:history="1">
        <w:r w:rsidRPr="00B900AF">
          <w:rPr>
            <w:rStyle w:val="Hyperlink"/>
            <w:rFonts w:ascii="Garamond" w:eastAsia="Garamond" w:hAnsi="Garamond" w:cs="Garamond"/>
          </w:rPr>
          <w:t>https://doi.org/10.5066/P9OGBGM6</w:t>
        </w:r>
      </w:hyperlink>
    </w:p>
    <w:p w14:paraId="3CB1D51E" w14:textId="77777777" w:rsidR="00C57F64" w:rsidRDefault="00C57F64" w:rsidP="00C57F64">
      <w:pPr>
        <w:spacing w:after="0" w:line="240" w:lineRule="auto"/>
        <w:ind w:left="567" w:hanging="720"/>
        <w:rPr>
          <w:rFonts w:ascii="Garamond" w:eastAsia="Garamond" w:hAnsi="Garamond" w:cs="Garamond"/>
        </w:rPr>
      </w:pPr>
    </w:p>
    <w:p w14:paraId="0D49A37D" w14:textId="77777777" w:rsidR="00C57F64" w:rsidRDefault="00C57F64" w:rsidP="00CC3C2E">
      <w:pPr>
        <w:spacing w:after="0" w:line="240" w:lineRule="auto"/>
        <w:ind w:left="720" w:hanging="720"/>
        <w:rPr>
          <w:rFonts w:ascii="Garamond" w:eastAsia="Garamond" w:hAnsi="Garamond" w:cs="Garamond"/>
        </w:rPr>
      </w:pPr>
      <w:r w:rsidRPr="7A7A1357">
        <w:rPr>
          <w:rFonts w:ascii="Garamond" w:eastAsia="Garamond" w:hAnsi="Garamond" w:cs="Garamond"/>
        </w:rPr>
        <w:t>US Geological Survey (USGS) (2021).</w:t>
      </w:r>
      <w:r w:rsidRPr="7A7A1357">
        <w:rPr>
          <w:rFonts w:ascii="Garamond" w:eastAsia="Garamond" w:hAnsi="Garamond" w:cs="Garamond"/>
          <w:i/>
          <w:iCs/>
        </w:rPr>
        <w:t xml:space="preserve"> Landsat 8 Operational Land Imager (OLI) Level 2, Collection 2, Tier 1 Surface Temperature </w:t>
      </w:r>
      <w:r w:rsidRPr="7A7A1357">
        <w:rPr>
          <w:rFonts w:ascii="Garamond" w:eastAsia="Garamond" w:hAnsi="Garamond" w:cs="Garamond"/>
        </w:rPr>
        <w:t>[Dataset].</w:t>
      </w:r>
      <w:r>
        <w:rPr>
          <w:rFonts w:ascii="Garamond" w:eastAsia="Garamond" w:hAnsi="Garamond" w:cs="Garamond"/>
        </w:rPr>
        <w:t xml:space="preserve"> </w:t>
      </w:r>
      <w:r w:rsidRPr="7A7A1357">
        <w:rPr>
          <w:rFonts w:ascii="Garamond" w:eastAsia="Garamond" w:hAnsi="Garamond" w:cs="Garamond"/>
        </w:rPr>
        <w:t xml:space="preserve">Earth Engine Data Catalog/USGS. Retrieved June 2023. </w:t>
      </w:r>
      <w:hyperlink r:id="rId41" w:history="1">
        <w:r w:rsidRPr="00B900AF">
          <w:rPr>
            <w:rStyle w:val="Hyperlink"/>
            <w:rFonts w:ascii="Garamond" w:eastAsia="Garamond" w:hAnsi="Garamond" w:cs="Garamond"/>
          </w:rPr>
          <w:t>https://doi.org/10.5066/P9OGBGM6</w:t>
        </w:r>
      </w:hyperlink>
    </w:p>
    <w:p w14:paraId="5D119FBE" w14:textId="77777777" w:rsidR="00C57F64" w:rsidRDefault="00C57F64" w:rsidP="00C57F64">
      <w:pPr>
        <w:spacing w:after="0" w:line="240" w:lineRule="auto"/>
        <w:ind w:left="567" w:hanging="720"/>
        <w:rPr>
          <w:rFonts w:ascii="Garamond" w:eastAsia="Garamond" w:hAnsi="Garamond" w:cs="Garamond"/>
        </w:rPr>
      </w:pPr>
    </w:p>
    <w:p w14:paraId="082A11BF" w14:textId="77777777" w:rsidR="00C57F64" w:rsidRDefault="00C57F64" w:rsidP="00CC3C2E">
      <w:pPr>
        <w:spacing w:after="0" w:line="240" w:lineRule="auto"/>
        <w:ind w:left="720" w:hanging="720"/>
        <w:rPr>
          <w:rFonts w:ascii="Garamond" w:eastAsia="Garamond" w:hAnsi="Garamond" w:cs="Garamond"/>
        </w:rPr>
      </w:pPr>
      <w:r w:rsidRPr="6059C6AC">
        <w:rPr>
          <w:rFonts w:ascii="Garamond" w:eastAsia="Garamond" w:hAnsi="Garamond" w:cs="Garamond"/>
        </w:rPr>
        <w:t>V</w:t>
      </w:r>
      <w:r>
        <w:rPr>
          <w:rFonts w:ascii="Garamond" w:eastAsia="Garamond" w:hAnsi="Garamond" w:cs="Garamond"/>
        </w:rPr>
        <w:t xml:space="preserve">irginia </w:t>
      </w:r>
      <w:r w:rsidRPr="6059C6AC">
        <w:rPr>
          <w:rFonts w:ascii="Garamond" w:eastAsia="Garamond" w:hAnsi="Garamond" w:cs="Garamond"/>
        </w:rPr>
        <w:t>D</w:t>
      </w:r>
      <w:r>
        <w:rPr>
          <w:rFonts w:ascii="Garamond" w:eastAsia="Garamond" w:hAnsi="Garamond" w:cs="Garamond"/>
        </w:rPr>
        <w:t>epartment of Health</w:t>
      </w:r>
      <w:r w:rsidRPr="6059C6AC">
        <w:rPr>
          <w:rFonts w:ascii="Garamond" w:eastAsia="Garamond" w:hAnsi="Garamond" w:cs="Garamond"/>
        </w:rPr>
        <w:t>. (2021</w:t>
      </w:r>
      <w:r>
        <w:rPr>
          <w:rFonts w:ascii="Garamond" w:eastAsia="Garamond" w:hAnsi="Garamond" w:cs="Garamond"/>
        </w:rPr>
        <w:t>, Aug. 5</w:t>
      </w:r>
      <w:r w:rsidRPr="6059C6AC">
        <w:rPr>
          <w:rFonts w:ascii="Garamond" w:eastAsia="Garamond" w:hAnsi="Garamond" w:cs="Garamond"/>
        </w:rPr>
        <w:t>). Guidance for Cyanobacteria Bloom Recreational Advisory Management. Virginia Department of Health, Office of Environmental Health Services, Richmond, VA.</w:t>
      </w:r>
      <w:r>
        <w:rPr>
          <w:rFonts w:ascii="Garamond" w:eastAsia="Garamond" w:hAnsi="Garamond" w:cs="Garamond"/>
        </w:rPr>
        <w:t xml:space="preserve"> </w:t>
      </w:r>
      <w:hyperlink r:id="rId42" w:history="1">
        <w:r w:rsidRPr="00B900AF">
          <w:rPr>
            <w:rStyle w:val="Hyperlink"/>
            <w:rFonts w:ascii="Garamond" w:eastAsia="Garamond" w:hAnsi="Garamond" w:cs="Garamond"/>
          </w:rPr>
          <w:t>https://www.vdh.virginia.gov/content/uploads/sites/178/2022/01/FINAL_SIGNED_ Guidance_for_Cyanobacteria_Recreational_Advisory_Mgt.5Aug2021-1.pdf</w:t>
        </w:r>
      </w:hyperlink>
    </w:p>
    <w:p w14:paraId="50F77812" w14:textId="77777777" w:rsidR="00C57F64" w:rsidRDefault="00C57F64" w:rsidP="00C57F64">
      <w:pPr>
        <w:spacing w:after="0" w:line="240" w:lineRule="auto"/>
        <w:ind w:left="567" w:hanging="720"/>
        <w:rPr>
          <w:rFonts w:ascii="Garamond" w:eastAsia="Garamond" w:hAnsi="Garamond" w:cs="Garamond"/>
        </w:rPr>
      </w:pPr>
    </w:p>
    <w:p w14:paraId="40C62068" w14:textId="77777777" w:rsidR="00C57F64" w:rsidRDefault="00C57F64" w:rsidP="00CC3C2E">
      <w:pPr>
        <w:spacing w:after="0" w:line="240" w:lineRule="auto"/>
        <w:ind w:left="720" w:hanging="720"/>
        <w:rPr>
          <w:rFonts w:ascii="Garamond" w:eastAsia="Garamond" w:hAnsi="Garamond" w:cs="Garamond"/>
        </w:rPr>
      </w:pPr>
      <w:r w:rsidRPr="7A7A1357">
        <w:rPr>
          <w:rFonts w:ascii="Garamond" w:eastAsia="Garamond" w:hAnsi="Garamond" w:cs="Garamond"/>
        </w:rPr>
        <w:t xml:space="preserve">Virginia Department of Conservation and Recreation (2020). </w:t>
      </w:r>
      <w:r w:rsidRPr="7A7A1357">
        <w:rPr>
          <w:rFonts w:ascii="Garamond" w:eastAsia="Garamond" w:hAnsi="Garamond" w:cs="Garamond"/>
          <w:i/>
          <w:iCs/>
        </w:rPr>
        <w:t>6th Order NWBD HUC 12 Watersheds</w:t>
      </w:r>
      <w:r w:rsidRPr="7A7A1357">
        <w:rPr>
          <w:rFonts w:ascii="Garamond" w:eastAsia="Garamond" w:hAnsi="Garamond" w:cs="Garamond"/>
        </w:rPr>
        <w:t xml:space="preserve"> [Dataset]. Virginia Open Data Portal. Retrieved June 2023, from </w:t>
      </w:r>
      <w:hyperlink r:id="rId43" w:history="1">
        <w:r w:rsidRPr="00B900AF">
          <w:rPr>
            <w:rStyle w:val="Hyperlink"/>
            <w:rFonts w:ascii="Garamond" w:eastAsia="Garamond" w:hAnsi="Garamond" w:cs="Garamond"/>
          </w:rPr>
          <w:t>https://data.virginia.gov/Government/6th-Order-NWBD-HUC-12-Watersheds/s9fk-xwfb</w:t>
        </w:r>
      </w:hyperlink>
    </w:p>
    <w:p w14:paraId="0BD615C5" w14:textId="77777777" w:rsidR="00C57F64" w:rsidRDefault="00C57F64" w:rsidP="00C57F64">
      <w:pPr>
        <w:spacing w:after="0" w:line="240" w:lineRule="auto"/>
        <w:ind w:left="567" w:hanging="720"/>
        <w:rPr>
          <w:rFonts w:ascii="Garamond" w:eastAsia="Garamond" w:hAnsi="Garamond" w:cs="Garamond"/>
        </w:rPr>
      </w:pPr>
    </w:p>
    <w:p w14:paraId="2F0DCDD5" w14:textId="77777777" w:rsidR="00C57F64" w:rsidRDefault="00C57F64" w:rsidP="00CC3C2E">
      <w:pPr>
        <w:spacing w:after="0" w:line="240" w:lineRule="auto"/>
        <w:ind w:left="720" w:hanging="720"/>
        <w:rPr>
          <w:rFonts w:ascii="Garamond" w:eastAsia="Garamond" w:hAnsi="Garamond" w:cs="Garamond"/>
        </w:rPr>
      </w:pPr>
      <w:r w:rsidRPr="47BAFFBC">
        <w:rPr>
          <w:rFonts w:ascii="Garamond" w:eastAsia="Garamond" w:hAnsi="Garamond" w:cs="Garamond"/>
        </w:rPr>
        <w:t xml:space="preserve">Virginia Department of Environmental Quality (2020). </w:t>
      </w:r>
      <w:r w:rsidRPr="47BAFFBC">
        <w:rPr>
          <w:rFonts w:ascii="Garamond" w:eastAsia="Garamond" w:hAnsi="Garamond" w:cs="Garamond"/>
          <w:i/>
          <w:iCs/>
        </w:rPr>
        <w:t>Lakes/Reservoirs WQS</w:t>
      </w:r>
      <w:r w:rsidRPr="47BAFFBC">
        <w:rPr>
          <w:rFonts w:ascii="Garamond" w:eastAsia="Garamond" w:hAnsi="Garamond" w:cs="Garamond"/>
        </w:rPr>
        <w:t xml:space="preserve"> [Dataset]. Virginia Open Data Portal. Retrieved June 2023, from </w:t>
      </w:r>
      <w:hyperlink r:id="rId44" w:history="1">
        <w:r w:rsidRPr="00B900AF">
          <w:rPr>
            <w:rStyle w:val="Hyperlink"/>
            <w:rFonts w:ascii="Garamond" w:eastAsia="Garamond" w:hAnsi="Garamond" w:cs="Garamond"/>
          </w:rPr>
          <w:t>https://data.virginia.gov/Environment-Natural-Resources/Lakes-Reservoirs-WQS/jkr5-zz47</w:t>
        </w:r>
      </w:hyperlink>
      <w:r w:rsidRPr="47BAFFBC">
        <w:rPr>
          <w:rFonts w:ascii="Garamond" w:eastAsia="Garamond" w:hAnsi="Garamond" w:cs="Garamond"/>
        </w:rPr>
        <w:t xml:space="preserve"> </w:t>
      </w:r>
    </w:p>
    <w:p w14:paraId="3F9E1EC0" w14:textId="77777777" w:rsidR="00C57F64" w:rsidRDefault="00C57F64" w:rsidP="00C57F64">
      <w:pPr>
        <w:spacing w:after="0" w:line="240" w:lineRule="auto"/>
        <w:ind w:left="567" w:hanging="720"/>
        <w:rPr>
          <w:rFonts w:ascii="Garamond" w:eastAsia="Garamond" w:hAnsi="Garamond" w:cs="Garamond"/>
        </w:rPr>
      </w:pPr>
    </w:p>
    <w:p w14:paraId="300E7255" w14:textId="77777777" w:rsidR="00C57F64" w:rsidRDefault="00C57F64" w:rsidP="00CC3C2E">
      <w:pPr>
        <w:spacing w:after="0" w:line="240" w:lineRule="auto"/>
        <w:ind w:left="720" w:hanging="720"/>
        <w:rPr>
          <w:rFonts w:ascii="Garamond" w:eastAsia="Garamond" w:hAnsi="Garamond" w:cs="Garamond"/>
        </w:rPr>
      </w:pPr>
      <w:r w:rsidRPr="7A7A1357">
        <w:rPr>
          <w:rFonts w:ascii="Garamond" w:eastAsia="Garamond" w:hAnsi="Garamond" w:cs="Garamond"/>
        </w:rPr>
        <w:t xml:space="preserve">Weng, Q. (2001). Modeling urban growth effects on surface runoff with the integration of remote sensing and GIS. </w:t>
      </w:r>
      <w:r w:rsidRPr="7A7A1357">
        <w:rPr>
          <w:rFonts w:ascii="Garamond" w:eastAsia="Garamond" w:hAnsi="Garamond" w:cs="Garamond"/>
          <w:i/>
          <w:iCs/>
        </w:rPr>
        <w:t xml:space="preserve">Environmental </w:t>
      </w:r>
      <w:r>
        <w:rPr>
          <w:rFonts w:ascii="Garamond" w:eastAsia="Garamond" w:hAnsi="Garamond" w:cs="Garamond"/>
          <w:i/>
          <w:iCs/>
        </w:rPr>
        <w:t>M</w:t>
      </w:r>
      <w:r w:rsidRPr="7A7A1357">
        <w:rPr>
          <w:rFonts w:ascii="Garamond" w:eastAsia="Garamond" w:hAnsi="Garamond" w:cs="Garamond"/>
          <w:i/>
          <w:iCs/>
        </w:rPr>
        <w:t>anagement</w:t>
      </w:r>
      <w:r w:rsidRPr="7A7A1357">
        <w:rPr>
          <w:rFonts w:ascii="Garamond" w:eastAsia="Garamond" w:hAnsi="Garamond" w:cs="Garamond"/>
        </w:rPr>
        <w:t>, 28, 737-748.</w:t>
      </w:r>
      <w:r>
        <w:rPr>
          <w:rFonts w:ascii="Garamond" w:eastAsia="Garamond" w:hAnsi="Garamond" w:cs="Garamond"/>
        </w:rPr>
        <w:t xml:space="preserve"> </w:t>
      </w:r>
      <w:hyperlink r:id="rId45" w:history="1">
        <w:r w:rsidRPr="00451245">
          <w:rPr>
            <w:rStyle w:val="Hyperlink"/>
            <w:rFonts w:ascii="Garamond" w:eastAsia="Garamond" w:hAnsi="Garamond" w:cs="Garamond"/>
          </w:rPr>
          <w:t>https://doi.org/10.1007/s002670010258</w:t>
        </w:r>
      </w:hyperlink>
      <w:r>
        <w:rPr>
          <w:rFonts w:ascii="Garamond" w:eastAsia="Garamond" w:hAnsi="Garamond" w:cs="Garamond"/>
        </w:rPr>
        <w:t xml:space="preserve"> </w:t>
      </w:r>
    </w:p>
    <w:p w14:paraId="354504C4" w14:textId="77777777" w:rsidR="00C57F64" w:rsidRDefault="00C57F64" w:rsidP="00C57F64">
      <w:pPr>
        <w:spacing w:after="0" w:line="240" w:lineRule="auto"/>
        <w:ind w:left="567" w:hanging="720"/>
        <w:rPr>
          <w:rFonts w:ascii="Garamond" w:eastAsia="Garamond" w:hAnsi="Garamond" w:cs="Garamond"/>
        </w:rPr>
      </w:pPr>
    </w:p>
    <w:p w14:paraId="33D49D88" w14:textId="77777777" w:rsidR="00C57F64" w:rsidRDefault="00C57F64" w:rsidP="00CC3C2E">
      <w:pPr>
        <w:spacing w:after="0" w:line="240" w:lineRule="auto"/>
        <w:ind w:left="720" w:hanging="720"/>
        <w:rPr>
          <w:rFonts w:ascii="Garamond" w:eastAsia="Garamond" w:hAnsi="Garamond" w:cs="Garamond"/>
        </w:rPr>
      </w:pPr>
      <w:r w:rsidRPr="3A0A0838">
        <w:rPr>
          <w:rFonts w:ascii="Garamond" w:eastAsia="Garamond" w:hAnsi="Garamond" w:cs="Garamond"/>
        </w:rPr>
        <w:t>Wolf, D. and Klaiber, H.</w:t>
      </w:r>
      <w:r w:rsidRPr="033FC0A2">
        <w:rPr>
          <w:rFonts w:ascii="Garamond" w:eastAsia="Garamond" w:hAnsi="Garamond" w:cs="Garamond"/>
        </w:rPr>
        <w:t xml:space="preserve"> (2017). Bloom and bust: Toxic algae's impact on nearby property values. </w:t>
      </w:r>
      <w:r w:rsidRPr="00831650">
        <w:rPr>
          <w:rFonts w:ascii="Garamond" w:eastAsia="Garamond" w:hAnsi="Garamond" w:cs="Garamond"/>
          <w:i/>
          <w:iCs/>
        </w:rPr>
        <w:t>Ecological Economics</w:t>
      </w:r>
      <w:r w:rsidRPr="033FC0A2">
        <w:rPr>
          <w:rFonts w:ascii="Garamond" w:eastAsia="Garamond" w:hAnsi="Garamond" w:cs="Garamond"/>
        </w:rPr>
        <w:t xml:space="preserve">, </w:t>
      </w:r>
      <w:r w:rsidRPr="00831650">
        <w:rPr>
          <w:rFonts w:ascii="Garamond" w:eastAsia="Garamond" w:hAnsi="Garamond" w:cs="Garamond"/>
          <w:i/>
          <w:iCs/>
        </w:rPr>
        <w:t>135</w:t>
      </w:r>
      <w:r w:rsidRPr="033FC0A2">
        <w:rPr>
          <w:rFonts w:ascii="Garamond" w:eastAsia="Garamond" w:hAnsi="Garamond" w:cs="Garamond"/>
        </w:rPr>
        <w:t xml:space="preserve">, </w:t>
      </w:r>
      <w:r w:rsidRPr="3A0A0838">
        <w:rPr>
          <w:rFonts w:ascii="Garamond" w:eastAsia="Garamond" w:hAnsi="Garamond" w:cs="Garamond"/>
        </w:rPr>
        <w:t>209-221.</w:t>
      </w:r>
      <w:r>
        <w:rPr>
          <w:rFonts w:ascii="Garamond" w:eastAsia="Garamond" w:hAnsi="Garamond" w:cs="Garamond"/>
        </w:rPr>
        <w:t xml:space="preserve"> </w:t>
      </w:r>
      <w:hyperlink r:id="rId46" w:history="1">
        <w:r w:rsidRPr="00451245">
          <w:rPr>
            <w:rStyle w:val="Hyperlink"/>
            <w:rFonts w:ascii="Garamond" w:eastAsia="Garamond" w:hAnsi="Garamond" w:cs="Garamond"/>
          </w:rPr>
          <w:t>https://doi.org/10.1016/j.ecolecon.2016.12.007</w:t>
        </w:r>
      </w:hyperlink>
      <w:r>
        <w:rPr>
          <w:rFonts w:ascii="Garamond" w:eastAsia="Garamond" w:hAnsi="Garamond" w:cs="Garamond"/>
        </w:rPr>
        <w:t xml:space="preserve"> </w:t>
      </w:r>
    </w:p>
    <w:p w14:paraId="7EAC4B6F" w14:textId="77777777" w:rsidR="00C57F64" w:rsidRDefault="00C57F64" w:rsidP="00C57F64">
      <w:pPr>
        <w:spacing w:after="0" w:line="240" w:lineRule="auto"/>
        <w:ind w:left="567" w:hanging="720"/>
        <w:rPr>
          <w:rFonts w:ascii="Garamond" w:eastAsia="Garamond" w:hAnsi="Garamond" w:cs="Garamond"/>
        </w:rPr>
      </w:pPr>
    </w:p>
    <w:p w14:paraId="32D6EA25" w14:textId="77777777" w:rsidR="00C57F64" w:rsidRDefault="00C57F64" w:rsidP="00CC3C2E">
      <w:pPr>
        <w:spacing w:after="0" w:line="240" w:lineRule="auto"/>
        <w:ind w:left="720" w:hanging="720"/>
        <w:rPr>
          <w:rFonts w:ascii="Garamond" w:eastAsia="Garamond" w:hAnsi="Garamond" w:cs="Garamond"/>
        </w:rPr>
      </w:pPr>
      <w:r w:rsidRPr="10BA30EE">
        <w:rPr>
          <w:rFonts w:ascii="Garamond" w:eastAsia="Garamond" w:hAnsi="Garamond" w:cs="Garamond"/>
          <w:color w:val="000000" w:themeColor="text1"/>
        </w:rPr>
        <w:lastRenderedPageBreak/>
        <w:t>Wynne, T., Stumpf, R., Tomlinson, M., R. A. Warner, Tester, Dyble, P. &amp; Fahnenstiel, G. (2008). Relating spectral shape to cyanobacterial blooms in the Laurentian Great Lakes</w:t>
      </w:r>
      <w:r>
        <w:rPr>
          <w:rFonts w:ascii="Garamond" w:eastAsia="Garamond" w:hAnsi="Garamond" w:cs="Garamond"/>
          <w:color w:val="000000" w:themeColor="text1"/>
        </w:rPr>
        <w:t>.</w:t>
      </w:r>
      <w:r w:rsidRPr="10BA30EE">
        <w:rPr>
          <w:rFonts w:ascii="Garamond" w:eastAsia="Garamond" w:hAnsi="Garamond" w:cs="Garamond"/>
          <w:color w:val="000000" w:themeColor="text1"/>
        </w:rPr>
        <w:t xml:space="preserve"> </w:t>
      </w:r>
      <w:r w:rsidRPr="00831650">
        <w:rPr>
          <w:rFonts w:ascii="Garamond" w:eastAsia="Garamond" w:hAnsi="Garamond" w:cs="Garamond"/>
          <w:i/>
          <w:iCs/>
          <w:color w:val="000000" w:themeColor="text1"/>
        </w:rPr>
        <w:t>International Journal of Remote Sensing</w:t>
      </w:r>
      <w:r w:rsidRPr="10BA30EE">
        <w:rPr>
          <w:rFonts w:ascii="Garamond" w:eastAsia="Garamond" w:hAnsi="Garamond" w:cs="Garamond"/>
          <w:color w:val="000000" w:themeColor="text1"/>
        </w:rPr>
        <w:t xml:space="preserve">, </w:t>
      </w:r>
      <w:r w:rsidRPr="00831650">
        <w:rPr>
          <w:rFonts w:ascii="Garamond" w:eastAsia="Garamond" w:hAnsi="Garamond" w:cs="Garamond"/>
          <w:i/>
          <w:iCs/>
          <w:color w:val="000000" w:themeColor="text1"/>
        </w:rPr>
        <w:t>29</w:t>
      </w:r>
      <w:r w:rsidRPr="10BA30EE">
        <w:rPr>
          <w:rFonts w:ascii="Garamond" w:eastAsia="Garamond" w:hAnsi="Garamond" w:cs="Garamond"/>
          <w:color w:val="000000" w:themeColor="text1"/>
        </w:rPr>
        <w:t>, 3665-3672.</w:t>
      </w:r>
      <w:r>
        <w:rPr>
          <w:rFonts w:ascii="Garamond" w:eastAsia="Garamond" w:hAnsi="Garamond" w:cs="Garamond"/>
          <w:color w:val="000000" w:themeColor="text1"/>
        </w:rPr>
        <w:t xml:space="preserve"> </w:t>
      </w:r>
      <w:hyperlink r:id="rId47" w:history="1">
        <w:r w:rsidRPr="00451245">
          <w:rPr>
            <w:rStyle w:val="Hyperlink"/>
            <w:rFonts w:ascii="Garamond" w:eastAsia="Garamond" w:hAnsi="Garamond" w:cs="Garamond"/>
          </w:rPr>
          <w:t>https://doi.org/10.1080/01431160802007640</w:t>
        </w:r>
      </w:hyperlink>
      <w:r>
        <w:rPr>
          <w:rFonts w:ascii="Garamond" w:eastAsia="Garamond" w:hAnsi="Garamond" w:cs="Garamond"/>
          <w:color w:val="000000" w:themeColor="text1"/>
        </w:rPr>
        <w:t xml:space="preserve"> </w:t>
      </w:r>
    </w:p>
    <w:p w14:paraId="79E15AFD" w14:textId="77777777" w:rsidR="00C57F64" w:rsidRDefault="00C57F64" w:rsidP="00C57F64">
      <w:pPr>
        <w:spacing w:after="0" w:line="240" w:lineRule="auto"/>
        <w:ind w:left="567" w:hanging="720"/>
        <w:rPr>
          <w:rFonts w:ascii="Garamond" w:eastAsia="Garamond" w:hAnsi="Garamond" w:cs="Garamond"/>
          <w:color w:val="000000" w:themeColor="text1"/>
        </w:rPr>
      </w:pPr>
    </w:p>
    <w:p w14:paraId="556C9C09" w14:textId="77777777" w:rsidR="00C57F64" w:rsidRPr="008D3C7B" w:rsidRDefault="00C57F64" w:rsidP="00CC3C2E">
      <w:pPr>
        <w:spacing w:after="0" w:line="240" w:lineRule="auto"/>
        <w:ind w:left="720" w:hanging="720"/>
        <w:rPr>
          <w:rFonts w:ascii="Garamond" w:eastAsia="Garamond" w:hAnsi="Garamond" w:cs="Garamond"/>
        </w:rPr>
      </w:pPr>
      <w:r w:rsidRPr="10BA30EE">
        <w:rPr>
          <w:rFonts w:ascii="Garamond" w:eastAsia="Garamond" w:hAnsi="Garamond" w:cs="Garamond"/>
          <w:color w:val="000000" w:themeColor="text1"/>
        </w:rPr>
        <w:t xml:space="preserve">Wynne, T., Meredith, A., </w:t>
      </w:r>
      <w:r w:rsidRPr="72627B39">
        <w:rPr>
          <w:rFonts w:ascii="Garamond" w:eastAsia="Garamond" w:hAnsi="Garamond" w:cs="Garamond"/>
          <w:color w:val="000000" w:themeColor="text1"/>
        </w:rPr>
        <w:t>Briggs, T., and Litaker, W. (20</w:t>
      </w:r>
      <w:r>
        <w:rPr>
          <w:rFonts w:ascii="Garamond" w:eastAsia="Garamond" w:hAnsi="Garamond" w:cs="Garamond"/>
          <w:color w:val="000000" w:themeColor="text1"/>
        </w:rPr>
        <w:t>21</w:t>
      </w:r>
      <w:r w:rsidRPr="72627B39">
        <w:rPr>
          <w:rFonts w:ascii="Garamond" w:eastAsia="Garamond" w:hAnsi="Garamond" w:cs="Garamond"/>
          <w:color w:val="000000" w:themeColor="text1"/>
        </w:rPr>
        <w:t xml:space="preserve">). Harmful Algal Bloom Forecasting Branch Ocean Color Satellite Imagery Processing Guidelines. NOAA Technical Memorandum NOS NCCOS 296 48 pp. </w:t>
      </w:r>
      <w:hyperlink r:id="rId48" w:history="1">
        <w:r w:rsidRPr="00451245">
          <w:rPr>
            <w:rStyle w:val="Hyperlink"/>
            <w:rFonts w:ascii="Garamond" w:eastAsia="Garamond" w:hAnsi="Garamond" w:cs="Garamond"/>
          </w:rPr>
          <w:t>https://doi.org/10.25923/606t-m243</w:t>
        </w:r>
      </w:hyperlink>
      <w:r>
        <w:rPr>
          <w:rFonts w:ascii="Garamond" w:eastAsia="Garamond" w:hAnsi="Garamond" w:cs="Garamond"/>
          <w:color w:val="000000" w:themeColor="text1"/>
        </w:rPr>
        <w:t xml:space="preserve"> </w:t>
      </w:r>
    </w:p>
    <w:p w14:paraId="42AAF67D" w14:textId="77777777" w:rsidR="00C57F64" w:rsidRDefault="00C57F64" w:rsidP="00C57F64">
      <w:pPr>
        <w:spacing w:after="0"/>
      </w:pPr>
    </w:p>
    <w:p w14:paraId="33BEDE7F" w14:textId="77777777" w:rsidR="00C57F64" w:rsidRDefault="00C57F64" w:rsidP="00C57F64">
      <w:pPr>
        <w:spacing w:after="0"/>
      </w:pPr>
    </w:p>
    <w:p w14:paraId="3C6A73BF" w14:textId="77777777" w:rsidR="00C57F64" w:rsidRDefault="00C57F64" w:rsidP="00C57F64">
      <w:pPr>
        <w:pStyle w:val="Heading1"/>
        <w:spacing w:before="0" w:line="240" w:lineRule="auto"/>
        <w:rPr>
          <w:rFonts w:ascii="Garamond" w:hAnsi="Garamond"/>
        </w:rPr>
      </w:pPr>
      <w:r w:rsidRPr="0066138C">
        <w:rPr>
          <w:rFonts w:ascii="Garamond" w:hAnsi="Garamond"/>
        </w:rPr>
        <w:t>9. Appendices</w:t>
      </w:r>
    </w:p>
    <w:p w14:paraId="5AE73669" w14:textId="77777777" w:rsidR="00C57F64" w:rsidRDefault="00C57F64" w:rsidP="00C57F64">
      <w:pPr>
        <w:spacing w:after="0"/>
        <w:jc w:val="center"/>
        <w:rPr>
          <w:rFonts w:ascii="Garamond" w:eastAsia="Garamond" w:hAnsi="Garamond" w:cs="Garamond"/>
        </w:rPr>
      </w:pPr>
      <w:r w:rsidRPr="4F81E440">
        <w:rPr>
          <w:rFonts w:ascii="Garamond" w:eastAsia="Garamond" w:hAnsi="Garamond" w:cs="Garamond"/>
        </w:rPr>
        <w:t xml:space="preserve">Appendix A – </w:t>
      </w:r>
      <w:r w:rsidRPr="681D935E">
        <w:rPr>
          <w:rFonts w:ascii="Garamond" w:eastAsia="Garamond" w:hAnsi="Garamond" w:cs="Garamond"/>
        </w:rPr>
        <w:t xml:space="preserve">Lake Anna </w:t>
      </w:r>
      <w:r w:rsidRPr="589FA2F1">
        <w:rPr>
          <w:rFonts w:ascii="Garamond" w:eastAsia="Garamond" w:hAnsi="Garamond" w:cs="Garamond"/>
        </w:rPr>
        <w:t xml:space="preserve">Normalized Difference </w:t>
      </w:r>
      <w:r w:rsidRPr="1D1D1DC1">
        <w:rPr>
          <w:rFonts w:ascii="Garamond" w:eastAsia="Garamond" w:hAnsi="Garamond" w:cs="Garamond"/>
        </w:rPr>
        <w:t>Indices</w:t>
      </w:r>
      <w:r>
        <w:rPr>
          <w:noProof/>
        </w:rPr>
        <w:drawing>
          <wp:inline distT="0" distB="0" distL="0" distR="0" wp14:anchorId="7CACB5C9" wp14:editId="08C6D9B5">
            <wp:extent cx="4495800" cy="4027488"/>
            <wp:effectExtent l="3175" t="3175" r="3175" b="3175"/>
            <wp:docPr id="1284882440" name="Picture 128488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8824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95800" cy="4027488"/>
                    </a:xfrm>
                    <a:prstGeom prst="rect">
                      <a:avLst/>
                    </a:prstGeom>
                    <a:ln w="3175">
                      <a:solidFill>
                        <a:schemeClr val="tx1"/>
                      </a:solidFill>
                      <a:prstDash val="solid"/>
                    </a:ln>
                  </pic:spPr>
                </pic:pic>
              </a:graphicData>
            </a:graphic>
          </wp:inline>
        </w:drawing>
      </w:r>
    </w:p>
    <w:p w14:paraId="731F33AE" w14:textId="77777777" w:rsidR="00C57F64" w:rsidRDefault="00C57F64" w:rsidP="00C57F64">
      <w:pPr>
        <w:spacing w:after="0"/>
        <w:jc w:val="center"/>
        <w:rPr>
          <w:rFonts w:ascii="Garamond" w:eastAsia="Garamond" w:hAnsi="Garamond" w:cs="Garamond"/>
        </w:rPr>
      </w:pPr>
      <w:r w:rsidRPr="05E54CE3">
        <w:rPr>
          <w:rFonts w:ascii="Garamond" w:eastAsia="Garamond" w:hAnsi="Garamond" w:cs="Garamond"/>
          <w:b/>
        </w:rPr>
        <w:t>Figure A1</w:t>
      </w:r>
      <w:r w:rsidRPr="54A335F7">
        <w:rPr>
          <w:rFonts w:ascii="Garamond" w:eastAsia="Garamond" w:hAnsi="Garamond" w:cs="Garamond"/>
          <w:b/>
          <w:bCs/>
        </w:rPr>
        <w:t>.</w:t>
      </w:r>
      <w:r w:rsidRPr="6EC9AC75">
        <w:rPr>
          <w:rFonts w:ascii="Garamond" w:eastAsia="Garamond" w:hAnsi="Garamond" w:cs="Garamond"/>
        </w:rPr>
        <w:t xml:space="preserve"> Floating Algal Index in Turbid Waters (FAIT) on Lake Anna</w:t>
      </w:r>
    </w:p>
    <w:p w14:paraId="0F0E9CBD" w14:textId="77777777" w:rsidR="00C57F64" w:rsidRDefault="00C57F64" w:rsidP="00C57F64">
      <w:pPr>
        <w:spacing w:after="0"/>
        <w:jc w:val="center"/>
      </w:pPr>
      <w:r>
        <w:rPr>
          <w:noProof/>
        </w:rPr>
        <w:lastRenderedPageBreak/>
        <w:drawing>
          <wp:inline distT="0" distB="0" distL="0" distR="0" wp14:anchorId="4F9AA7A1" wp14:editId="7B1DB223">
            <wp:extent cx="5630331" cy="2850356"/>
            <wp:effectExtent l="0" t="0" r="0" b="0"/>
            <wp:docPr id="911413338" name="Picture 9114133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413338"/>
                    <pic:cNvPicPr/>
                  </pic:nvPicPr>
                  <pic:blipFill>
                    <a:blip r:embed="rId50">
                      <a:extLst>
                        <a:ext uri="{28A0092B-C50C-407E-A947-70E740481C1C}">
                          <a14:useLocalDpi xmlns:a14="http://schemas.microsoft.com/office/drawing/2010/main" val="0"/>
                        </a:ext>
                      </a:extLst>
                    </a:blip>
                    <a:stretch>
                      <a:fillRect/>
                    </a:stretch>
                  </pic:blipFill>
                  <pic:spPr>
                    <a:xfrm>
                      <a:off x="0" y="0"/>
                      <a:ext cx="5630331" cy="2850356"/>
                    </a:xfrm>
                    <a:prstGeom prst="rect">
                      <a:avLst/>
                    </a:prstGeom>
                  </pic:spPr>
                </pic:pic>
              </a:graphicData>
            </a:graphic>
          </wp:inline>
        </w:drawing>
      </w:r>
    </w:p>
    <w:p w14:paraId="3E9FC252" w14:textId="3DE35B48" w:rsidR="00C57F64" w:rsidRDefault="00C57F64" w:rsidP="00C57F64">
      <w:pPr>
        <w:spacing w:after="0" w:line="240" w:lineRule="auto"/>
        <w:jc w:val="center"/>
        <w:rPr>
          <w:rFonts w:ascii="Garamond" w:eastAsia="Garamond" w:hAnsi="Garamond" w:cs="Garamond"/>
        </w:rPr>
      </w:pPr>
      <w:r w:rsidRPr="5AD089C2">
        <w:rPr>
          <w:rFonts w:ascii="Garamond" w:eastAsia="Gungsuh" w:hAnsi="Garamond" w:cs="Gungsuh"/>
          <w:b/>
          <w:bCs/>
        </w:rPr>
        <w:t>Figure A2.</w:t>
      </w:r>
      <w:r w:rsidRPr="5AD089C2">
        <w:rPr>
          <w:rFonts w:ascii="Garamond" w:eastAsia="Gungsuh" w:hAnsi="Garamond" w:cs="Gungsuh"/>
          <w:i/>
          <w:iCs/>
        </w:rPr>
        <w:t xml:space="preserve"> </w:t>
      </w:r>
      <w:r w:rsidRPr="5AD089C2">
        <w:rPr>
          <w:rFonts w:ascii="Garamond" w:eastAsia="Gungsuh" w:hAnsi="Garamond" w:cs="Gungsuh"/>
        </w:rPr>
        <w:t>NDCI (</w:t>
      </w:r>
      <w:r>
        <w:rPr>
          <w:rFonts w:ascii="Garamond" w:eastAsia="Gungsuh" w:hAnsi="Garamond" w:cs="Gungsuh"/>
        </w:rPr>
        <w:t>l</w:t>
      </w:r>
      <w:r w:rsidRPr="5AD089C2">
        <w:rPr>
          <w:rFonts w:ascii="Garamond" w:eastAsia="Gungsuh" w:hAnsi="Garamond" w:cs="Gungsuh"/>
        </w:rPr>
        <w:t>eft) and NDTI (</w:t>
      </w:r>
      <w:r>
        <w:rPr>
          <w:rFonts w:ascii="Garamond" w:eastAsia="Gungsuh" w:hAnsi="Garamond" w:cs="Gungsuh"/>
        </w:rPr>
        <w:t>r</w:t>
      </w:r>
      <w:r w:rsidRPr="5AD089C2">
        <w:rPr>
          <w:rFonts w:ascii="Garamond" w:eastAsia="Gungsuh" w:hAnsi="Garamond" w:cs="Gungsuh"/>
        </w:rPr>
        <w:t>ight) analyses of Lake Anna from 2016</w:t>
      </w:r>
      <w:r w:rsidR="00BE181E">
        <w:rPr>
          <w:rFonts w:ascii="Garamond" w:eastAsia="Gungsuh" w:hAnsi="Garamond" w:cs="Gungsuh"/>
        </w:rPr>
        <w:t>–</w:t>
      </w:r>
      <w:r w:rsidRPr="5AD089C2">
        <w:rPr>
          <w:rFonts w:ascii="Garamond" w:eastAsia="Gungsuh" w:hAnsi="Garamond" w:cs="Gungsuh"/>
        </w:rPr>
        <w:t>2022 produced using GEE to identify chlorophyll concentration and turbidity levels.</w:t>
      </w:r>
    </w:p>
    <w:p w14:paraId="11EE9E75" w14:textId="77777777" w:rsidR="00C57F64" w:rsidRDefault="00C57F64" w:rsidP="00C57F64">
      <w:pPr>
        <w:spacing w:after="0"/>
        <w:jc w:val="center"/>
        <w:rPr>
          <w:rFonts w:ascii="Garamond" w:eastAsia="Garamond" w:hAnsi="Garamond" w:cs="Garamond"/>
        </w:rPr>
      </w:pPr>
      <w:r>
        <w:br w:type="page"/>
      </w:r>
      <w:r w:rsidRPr="1D1D1DC1">
        <w:rPr>
          <w:rFonts w:ascii="Garamond" w:eastAsia="Garamond" w:hAnsi="Garamond" w:cs="Garamond"/>
        </w:rPr>
        <w:lastRenderedPageBreak/>
        <w:t xml:space="preserve">Appendix B – </w:t>
      </w:r>
      <w:r w:rsidRPr="1D1D1DC1">
        <w:rPr>
          <w:rFonts w:ascii="Garamond" w:eastAsia="Garamond" w:hAnsi="Garamond" w:cs="Garamond"/>
          <w:i/>
          <w:iCs/>
        </w:rPr>
        <w:t>In situ</w:t>
      </w:r>
      <w:r w:rsidRPr="1D1D1DC1">
        <w:rPr>
          <w:rFonts w:ascii="Garamond" w:eastAsia="Garamond" w:hAnsi="Garamond" w:cs="Garamond"/>
        </w:rPr>
        <w:t xml:space="preserve"> &amp; Ancillary data</w:t>
      </w:r>
    </w:p>
    <w:p w14:paraId="0A4199BE" w14:textId="77777777" w:rsidR="00C57F64" w:rsidRDefault="00C57F64" w:rsidP="00C57F64">
      <w:pPr>
        <w:spacing w:after="0" w:line="240" w:lineRule="auto"/>
        <w:jc w:val="center"/>
        <w:rPr>
          <w:rFonts w:ascii="Garamond" w:eastAsia="Times New Roman" w:hAnsi="Garamond" w:cs="Arial"/>
        </w:rPr>
      </w:pPr>
      <w:r>
        <w:rPr>
          <w:noProof/>
        </w:rPr>
        <w:drawing>
          <wp:inline distT="0" distB="0" distL="0" distR="0" wp14:anchorId="3D47E313" wp14:editId="09DF1B35">
            <wp:extent cx="4517854" cy="3551086"/>
            <wp:effectExtent l="19050" t="19050" r="16510" b="11430"/>
            <wp:docPr id="434339624" name="Picture 43433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899113"/>
                    <pic:cNvPicPr/>
                  </pic:nvPicPr>
                  <pic:blipFill>
                    <a:blip r:embed="rId51">
                      <a:extLst>
                        <a:ext uri="{28A0092B-C50C-407E-A947-70E740481C1C}">
                          <a14:useLocalDpi xmlns:a14="http://schemas.microsoft.com/office/drawing/2010/main" val="0"/>
                        </a:ext>
                      </a:extLst>
                    </a:blip>
                    <a:srcRect r="1666"/>
                    <a:stretch>
                      <a:fillRect/>
                    </a:stretch>
                  </pic:blipFill>
                  <pic:spPr>
                    <a:xfrm>
                      <a:off x="0" y="0"/>
                      <a:ext cx="4544466" cy="3572003"/>
                    </a:xfrm>
                    <a:prstGeom prst="rect">
                      <a:avLst/>
                    </a:prstGeom>
                    <a:ln w="3175">
                      <a:solidFill>
                        <a:schemeClr val="tx1"/>
                      </a:solidFill>
                      <a:prstDash val="solid"/>
                    </a:ln>
                  </pic:spPr>
                </pic:pic>
              </a:graphicData>
            </a:graphic>
          </wp:inline>
        </w:drawing>
      </w:r>
    </w:p>
    <w:p w14:paraId="11B3BA16" w14:textId="0D3BA422" w:rsidR="00C57F64" w:rsidRPr="003B7A92" w:rsidRDefault="00C57F64" w:rsidP="00C57F64">
      <w:pPr>
        <w:spacing w:after="0" w:line="240" w:lineRule="auto"/>
        <w:jc w:val="center"/>
        <w:rPr>
          <w:rFonts w:ascii="Garamond" w:eastAsia="Times New Roman" w:hAnsi="Garamond" w:cs="Arial"/>
        </w:rPr>
      </w:pPr>
      <w:r w:rsidRPr="5AD089C2">
        <w:rPr>
          <w:rFonts w:ascii="Garamond" w:eastAsia="Garamond" w:hAnsi="Garamond" w:cs="Garamond"/>
          <w:b/>
          <w:bCs/>
        </w:rPr>
        <w:t xml:space="preserve">Figure B1. </w:t>
      </w:r>
      <w:r w:rsidRPr="5AD089C2">
        <w:rPr>
          <w:rFonts w:ascii="Garamond" w:eastAsia="Garamond" w:hAnsi="Garamond" w:cs="Garamond"/>
        </w:rPr>
        <w:t>Kriging analysis of Lake Anna for 2016</w:t>
      </w:r>
      <w:r w:rsidR="00BE181E">
        <w:rPr>
          <w:rFonts w:ascii="Garamond" w:eastAsia="Garamond" w:hAnsi="Garamond" w:cs="Garamond"/>
        </w:rPr>
        <w:t>–</w:t>
      </w:r>
      <w:r w:rsidRPr="5AD089C2">
        <w:rPr>
          <w:rFonts w:ascii="Garamond" w:eastAsia="Garamond" w:hAnsi="Garamond" w:cs="Garamond"/>
        </w:rPr>
        <w:t xml:space="preserve">2022 average using </w:t>
      </w:r>
      <w:r w:rsidRPr="5AD089C2">
        <w:rPr>
          <w:rFonts w:ascii="Garamond" w:eastAsia="Garamond" w:hAnsi="Garamond" w:cs="Garamond"/>
          <w:i/>
          <w:iCs/>
        </w:rPr>
        <w:t xml:space="preserve">in situ </w:t>
      </w:r>
      <w:r w:rsidRPr="5AD089C2">
        <w:rPr>
          <w:rFonts w:ascii="Garamond" w:eastAsia="Garamond" w:hAnsi="Garamond" w:cs="Garamond"/>
        </w:rPr>
        <w:t>data collected by DEQ, showing the spatial spread of chlorophyll-a (</w:t>
      </w:r>
      <w:r w:rsidRPr="5AD089C2">
        <w:rPr>
          <w:rFonts w:ascii="Garamond" w:eastAsia="Garamond" w:hAnsi="Garamond" w:cs="Garamond"/>
          <w:color w:val="202124"/>
        </w:rPr>
        <w:t>μg/L).</w:t>
      </w:r>
    </w:p>
    <w:p w14:paraId="36F689FA" w14:textId="77777777" w:rsidR="00C57F64" w:rsidRDefault="00C57F64" w:rsidP="00C57F64">
      <w:pPr>
        <w:spacing w:after="0" w:line="240" w:lineRule="auto"/>
        <w:rPr>
          <w:rFonts w:ascii="Garamond" w:eastAsia="Garamond" w:hAnsi="Garamond" w:cs="Garamond"/>
          <w:color w:val="202124"/>
        </w:rPr>
      </w:pPr>
    </w:p>
    <w:p w14:paraId="2B180733" w14:textId="77777777" w:rsidR="00C57F64" w:rsidRDefault="00C57F64" w:rsidP="00C57F64">
      <w:pPr>
        <w:spacing w:after="0"/>
        <w:jc w:val="center"/>
        <w:rPr>
          <w:rFonts w:ascii="Garamond" w:eastAsia="Garamond" w:hAnsi="Garamond" w:cs="Garamond"/>
          <w:b/>
          <w:bCs/>
        </w:rPr>
      </w:pPr>
      <w:r>
        <w:rPr>
          <w:noProof/>
        </w:rPr>
        <w:drawing>
          <wp:inline distT="0" distB="0" distL="0" distR="0" wp14:anchorId="4F2388C9" wp14:editId="21435A44">
            <wp:extent cx="4529096" cy="3452735"/>
            <wp:effectExtent l="19050" t="19050" r="24130" b="14605"/>
            <wp:docPr id="1333720951" name="Picture 133372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720951"/>
                    <pic:cNvPicPr/>
                  </pic:nvPicPr>
                  <pic:blipFill>
                    <a:blip r:embed="rId52">
                      <a:extLst>
                        <a:ext uri="{28A0092B-C50C-407E-A947-70E740481C1C}">
                          <a14:useLocalDpi xmlns:a14="http://schemas.microsoft.com/office/drawing/2010/main" val="0"/>
                        </a:ext>
                      </a:extLst>
                    </a:blip>
                    <a:srcRect l="21400" t="15469" r="19489" b="4419"/>
                    <a:stretch>
                      <a:fillRect/>
                    </a:stretch>
                  </pic:blipFill>
                  <pic:spPr>
                    <a:xfrm>
                      <a:off x="0" y="0"/>
                      <a:ext cx="4562695" cy="3478349"/>
                    </a:xfrm>
                    <a:prstGeom prst="rect">
                      <a:avLst/>
                    </a:prstGeom>
                    <a:ln w="12700">
                      <a:solidFill>
                        <a:schemeClr val="tx1"/>
                      </a:solidFill>
                      <a:prstDash val="solid"/>
                    </a:ln>
                  </pic:spPr>
                </pic:pic>
              </a:graphicData>
            </a:graphic>
          </wp:inline>
        </w:drawing>
      </w:r>
    </w:p>
    <w:p w14:paraId="53D8FF06"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Figure B2.</w:t>
      </w:r>
      <w:r w:rsidRPr="5AD089C2">
        <w:rPr>
          <w:rFonts w:ascii="Garamond" w:eastAsia="Garamond" w:hAnsi="Garamond" w:cs="Garamond"/>
        </w:rPr>
        <w:t xml:space="preserve"> Locations of localized PCA analysis colored in orange. The Upper Pamunkey branch being directly to the north of the Middle North Anna branch.</w:t>
      </w:r>
    </w:p>
    <w:p w14:paraId="46BC7EAB" w14:textId="77777777" w:rsidR="00C57F64" w:rsidRDefault="00C57F64" w:rsidP="00C57F64">
      <w:pPr>
        <w:spacing w:after="0"/>
        <w:rPr>
          <w:rFonts w:ascii="Garamond" w:eastAsia="Garamond" w:hAnsi="Garamond" w:cs="Garamond"/>
        </w:rPr>
      </w:pPr>
    </w:p>
    <w:p w14:paraId="485438C4" w14:textId="77777777" w:rsidR="00C57F64" w:rsidRDefault="00C57F64" w:rsidP="00C57F64">
      <w:pPr>
        <w:spacing w:after="0"/>
        <w:rPr>
          <w:rFonts w:ascii="Garamond" w:eastAsia="Garamond" w:hAnsi="Garamond" w:cs="Garamond"/>
        </w:rPr>
      </w:pPr>
    </w:p>
    <w:p w14:paraId="62129E74" w14:textId="77777777" w:rsidR="00C57F64" w:rsidRDefault="00C57F64" w:rsidP="00C57F64">
      <w:pPr>
        <w:spacing w:after="0"/>
        <w:rPr>
          <w:rFonts w:ascii="Garamond" w:eastAsia="Garamond" w:hAnsi="Garamond" w:cs="Garamond"/>
        </w:rPr>
      </w:pPr>
    </w:p>
    <w:p w14:paraId="7F55AD84" w14:textId="77777777" w:rsidR="00C57F64" w:rsidRDefault="00C57F64" w:rsidP="00C57F64">
      <w:pPr>
        <w:spacing w:after="0"/>
        <w:rPr>
          <w:rFonts w:ascii="Garamond" w:eastAsia="Garamond" w:hAnsi="Garamond" w:cs="Garamond"/>
        </w:rPr>
      </w:pPr>
    </w:p>
    <w:p w14:paraId="14EE97F1" w14:textId="77777777" w:rsidR="00C57F64" w:rsidRDefault="00C57F64" w:rsidP="00C57F64">
      <w:pPr>
        <w:spacing w:after="0"/>
        <w:rPr>
          <w:rFonts w:ascii="Garamond" w:eastAsia="Garamond" w:hAnsi="Garamond" w:cs="Garamond"/>
        </w:rPr>
      </w:pPr>
    </w:p>
    <w:p w14:paraId="2047BD1D" w14:textId="77777777" w:rsidR="00C57F64" w:rsidRDefault="00C57F64" w:rsidP="00C57F64">
      <w:pPr>
        <w:spacing w:after="0"/>
        <w:rPr>
          <w:rFonts w:ascii="Garamond" w:eastAsia="Garamond" w:hAnsi="Garamond" w:cs="Garamond"/>
        </w:rPr>
      </w:pPr>
    </w:p>
    <w:p w14:paraId="7B2EBCBA" w14:textId="77777777" w:rsidR="00C57F64" w:rsidRDefault="00C57F64" w:rsidP="00C57F64">
      <w:pPr>
        <w:spacing w:after="0"/>
        <w:rPr>
          <w:rFonts w:ascii="Garamond" w:eastAsia="Garamond" w:hAnsi="Garamond" w:cs="Garamond"/>
        </w:rPr>
      </w:pPr>
    </w:p>
    <w:p w14:paraId="4B0B1871" w14:textId="77777777" w:rsidR="00C57F64" w:rsidRDefault="00C57F64" w:rsidP="00C57F64">
      <w:pPr>
        <w:spacing w:after="0"/>
        <w:rPr>
          <w:rFonts w:ascii="Garamond" w:eastAsia="Garamond" w:hAnsi="Garamond" w:cs="Garamond"/>
        </w:rPr>
      </w:pPr>
    </w:p>
    <w:p w14:paraId="03B57E0C" w14:textId="77777777" w:rsidR="00C57F64" w:rsidRDefault="00C57F64" w:rsidP="00C57F64">
      <w:pPr>
        <w:spacing w:after="0"/>
        <w:rPr>
          <w:rFonts w:ascii="Garamond" w:eastAsia="Garamond" w:hAnsi="Garamond" w:cs="Garamond"/>
        </w:rPr>
      </w:pPr>
    </w:p>
    <w:p w14:paraId="64B1416A" w14:textId="77777777" w:rsidR="00C57F64" w:rsidRDefault="00C57F64" w:rsidP="00C57F64">
      <w:pPr>
        <w:spacing w:after="0"/>
        <w:rPr>
          <w:rFonts w:ascii="Garamond" w:eastAsia="Gungsuh" w:hAnsi="Garamond" w:cs="Gungsuh"/>
        </w:rPr>
      </w:pPr>
      <w:r>
        <w:rPr>
          <w:noProof/>
        </w:rPr>
        <w:drawing>
          <wp:inline distT="0" distB="0" distL="0" distR="0" wp14:anchorId="2FEAB4FA" wp14:editId="5A2D9F3B">
            <wp:extent cx="5943600" cy="3953500"/>
            <wp:effectExtent l="0" t="0" r="0" b="0"/>
            <wp:docPr id="1990972727" name="Picture 199097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972727"/>
                    <pic:cNvPicPr/>
                  </pic:nvPicPr>
                  <pic:blipFill>
                    <a:blip r:embed="rId53">
                      <a:extLst>
                        <a:ext uri="{28A0092B-C50C-407E-A947-70E740481C1C}">
                          <a14:useLocalDpi xmlns:a14="http://schemas.microsoft.com/office/drawing/2010/main" val="0"/>
                        </a:ext>
                      </a:extLst>
                    </a:blip>
                    <a:srcRect l="47291" t="30740" r="6041" b="14074"/>
                    <a:stretch>
                      <a:fillRect/>
                    </a:stretch>
                  </pic:blipFill>
                  <pic:spPr>
                    <a:xfrm>
                      <a:off x="0" y="0"/>
                      <a:ext cx="5943600" cy="3953500"/>
                    </a:xfrm>
                    <a:prstGeom prst="rect">
                      <a:avLst/>
                    </a:prstGeom>
                  </pic:spPr>
                </pic:pic>
              </a:graphicData>
            </a:graphic>
          </wp:inline>
        </w:drawing>
      </w:r>
      <w:r w:rsidRPr="5AD089C2">
        <w:rPr>
          <w:rFonts w:ascii="Garamond" w:eastAsia="Garamond" w:hAnsi="Garamond" w:cs="Garamond"/>
          <w:b/>
          <w:bCs/>
        </w:rPr>
        <w:t>Figure B3.</w:t>
      </w:r>
      <w:r w:rsidRPr="5AD089C2">
        <w:rPr>
          <w:rFonts w:ascii="Garamond" w:eastAsia="Garamond" w:hAnsi="Garamond" w:cs="Garamond"/>
        </w:rPr>
        <w:t xml:space="preserve"> HUC 12 nutrient loading analysis, colorized based on relative annual phosphorous contributions to Lake Anna. </w:t>
      </w:r>
      <w:r w:rsidRPr="5AD089C2">
        <w:rPr>
          <w:rFonts w:ascii="Garamond" w:eastAsia="Gungsuh" w:hAnsi="Garamond" w:cs="Gungsuh"/>
        </w:rPr>
        <w:t>Clear Creek and Terry’s Run sub-watersheds highlighted in red, Clear Creek located directly west of Terry’s Run.</w:t>
      </w:r>
    </w:p>
    <w:p w14:paraId="7F275C0A" w14:textId="77777777" w:rsidR="00C57F64" w:rsidRDefault="00C57F64" w:rsidP="00C57F64">
      <w:pPr>
        <w:spacing w:after="0"/>
        <w:rPr>
          <w:rFonts w:ascii="Garamond" w:eastAsia="Garamond" w:hAnsi="Garamond" w:cs="Garamond"/>
        </w:rPr>
      </w:pPr>
    </w:p>
    <w:p w14:paraId="2402F85A" w14:textId="77777777" w:rsidR="00C57F64" w:rsidRDefault="00C57F64" w:rsidP="00C57F64">
      <w:pPr>
        <w:spacing w:after="0"/>
        <w:rPr>
          <w:rFonts w:ascii="Garamond" w:eastAsia="Garamond" w:hAnsi="Garamond" w:cs="Garamond"/>
        </w:rPr>
      </w:pPr>
    </w:p>
    <w:p w14:paraId="20FE4CF8" w14:textId="77777777" w:rsidR="00C57F64" w:rsidRDefault="00C57F64" w:rsidP="00C57F64">
      <w:pPr>
        <w:spacing w:after="0"/>
        <w:rPr>
          <w:rFonts w:ascii="Garamond" w:eastAsia="Garamond" w:hAnsi="Garamond" w:cs="Garamond"/>
        </w:rPr>
      </w:pPr>
    </w:p>
    <w:p w14:paraId="56DB8961" w14:textId="77777777" w:rsidR="00C57F64" w:rsidRDefault="00C57F64" w:rsidP="00C57F64">
      <w:pPr>
        <w:spacing w:after="0"/>
        <w:rPr>
          <w:rFonts w:ascii="Garamond" w:eastAsia="Garamond" w:hAnsi="Garamond" w:cs="Garamond"/>
        </w:rPr>
      </w:pPr>
    </w:p>
    <w:p w14:paraId="3F322C6C" w14:textId="77777777" w:rsidR="00C57F64" w:rsidRDefault="00C57F64" w:rsidP="00C57F64">
      <w:pPr>
        <w:spacing w:after="0"/>
        <w:rPr>
          <w:rFonts w:ascii="Garamond" w:eastAsia="Garamond" w:hAnsi="Garamond" w:cs="Garamond"/>
        </w:rPr>
      </w:pPr>
    </w:p>
    <w:p w14:paraId="02DF1171" w14:textId="77777777" w:rsidR="00C57F64" w:rsidRDefault="00C57F64" w:rsidP="00C57F64">
      <w:pPr>
        <w:spacing w:after="0"/>
        <w:rPr>
          <w:rFonts w:ascii="Garamond" w:eastAsia="Garamond" w:hAnsi="Garamond" w:cs="Garamond"/>
        </w:rPr>
      </w:pPr>
    </w:p>
    <w:p w14:paraId="42ACC63C" w14:textId="77777777" w:rsidR="00C57F64" w:rsidRDefault="00C57F64" w:rsidP="00C57F64">
      <w:pPr>
        <w:spacing w:after="0"/>
        <w:rPr>
          <w:rFonts w:ascii="Garamond" w:eastAsia="Garamond" w:hAnsi="Garamond" w:cs="Garamond"/>
        </w:rPr>
      </w:pPr>
    </w:p>
    <w:p w14:paraId="793DCFC0" w14:textId="77777777" w:rsidR="00C57F64" w:rsidRDefault="00C57F64" w:rsidP="00C57F64">
      <w:pPr>
        <w:spacing w:after="0"/>
        <w:rPr>
          <w:rFonts w:ascii="Garamond" w:eastAsia="Garamond" w:hAnsi="Garamond" w:cs="Garamond"/>
        </w:rPr>
      </w:pPr>
    </w:p>
    <w:p w14:paraId="5357F56E" w14:textId="77777777" w:rsidR="00C57F64" w:rsidRDefault="00C57F64" w:rsidP="00C57F64">
      <w:pPr>
        <w:spacing w:after="0"/>
        <w:rPr>
          <w:rFonts w:ascii="Garamond" w:eastAsia="Garamond" w:hAnsi="Garamond" w:cs="Garamond"/>
        </w:rPr>
      </w:pPr>
    </w:p>
    <w:p w14:paraId="706F6063" w14:textId="77777777" w:rsidR="00C57F64" w:rsidRDefault="00C57F64" w:rsidP="00C57F64">
      <w:pPr>
        <w:spacing w:after="0"/>
        <w:rPr>
          <w:rFonts w:ascii="Garamond" w:eastAsia="Garamond" w:hAnsi="Garamond" w:cs="Garamond"/>
        </w:rPr>
      </w:pPr>
    </w:p>
    <w:p w14:paraId="7BD1B796" w14:textId="77777777" w:rsidR="00C57F64" w:rsidRDefault="00C57F64" w:rsidP="00C57F64">
      <w:pPr>
        <w:spacing w:after="0"/>
      </w:pPr>
      <w:r>
        <w:br w:type="page"/>
      </w:r>
    </w:p>
    <w:p w14:paraId="377CFEFD" w14:textId="77777777" w:rsidR="00C57F64" w:rsidRDefault="00C57F64" w:rsidP="00C57F64">
      <w:pPr>
        <w:spacing w:after="0"/>
        <w:jc w:val="center"/>
        <w:rPr>
          <w:rFonts w:ascii="Garamond" w:eastAsia="Garamond" w:hAnsi="Garamond" w:cs="Garamond"/>
        </w:rPr>
      </w:pPr>
      <w:r w:rsidRPr="5AD089C2">
        <w:rPr>
          <w:rFonts w:ascii="Garamond" w:eastAsia="Garamond" w:hAnsi="Garamond" w:cs="Garamond"/>
        </w:rPr>
        <w:lastRenderedPageBreak/>
        <w:t>Appendix C – Cyanobacteria</w:t>
      </w:r>
    </w:p>
    <w:p w14:paraId="514EEF60" w14:textId="77777777" w:rsidR="00C57F64" w:rsidRDefault="00C57F64" w:rsidP="00C57F64">
      <w:pPr>
        <w:spacing w:after="0"/>
        <w:rPr>
          <w:rFonts w:ascii="Garamond" w:eastAsia="Garamond" w:hAnsi="Garamond" w:cs="Garamond"/>
        </w:rPr>
      </w:pPr>
      <w:r>
        <w:rPr>
          <w:noProof/>
        </w:rPr>
        <w:drawing>
          <wp:inline distT="0" distB="0" distL="0" distR="0" wp14:anchorId="23426E0E" wp14:editId="4684DDD6">
            <wp:extent cx="5943600" cy="4593908"/>
            <wp:effectExtent l="0" t="0" r="0" b="0"/>
            <wp:docPr id="55375952" name="Picture 5537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593908"/>
                    </a:xfrm>
                    <a:prstGeom prst="rect">
                      <a:avLst/>
                    </a:prstGeom>
                  </pic:spPr>
                </pic:pic>
              </a:graphicData>
            </a:graphic>
          </wp:inline>
        </w:drawing>
      </w:r>
    </w:p>
    <w:p w14:paraId="5C4209F1"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 xml:space="preserve">Figure C1. </w:t>
      </w:r>
      <w:r w:rsidRPr="5AD089C2">
        <w:rPr>
          <w:rFonts w:ascii="Garamond" w:eastAsia="Garamond" w:hAnsi="Garamond" w:cs="Garamond"/>
        </w:rPr>
        <w:t>Cyanobacteria concentration map, for the composite image of August 2018, representing the peak spatial detection period during our study.</w:t>
      </w:r>
    </w:p>
    <w:p w14:paraId="6C845B1C" w14:textId="77777777" w:rsidR="00C57F64" w:rsidRDefault="00C57F64" w:rsidP="00C57F64">
      <w:pPr>
        <w:spacing w:after="0"/>
        <w:rPr>
          <w:rFonts w:ascii="Garamond" w:eastAsia="Garamond" w:hAnsi="Garamond" w:cs="Garamond"/>
        </w:rPr>
      </w:pPr>
    </w:p>
    <w:p w14:paraId="2CA824FA" w14:textId="77777777" w:rsidR="00C57F64" w:rsidRDefault="00C57F64" w:rsidP="00C57F64">
      <w:pPr>
        <w:spacing w:after="0"/>
        <w:rPr>
          <w:rFonts w:ascii="Garamond" w:eastAsia="Garamond" w:hAnsi="Garamond" w:cs="Garamond"/>
        </w:rPr>
      </w:pPr>
    </w:p>
    <w:p w14:paraId="499F6290" w14:textId="77777777" w:rsidR="00C57F64" w:rsidRDefault="00C57F64" w:rsidP="00C57F64">
      <w:pPr>
        <w:spacing w:after="0"/>
        <w:rPr>
          <w:rFonts w:ascii="Garamond" w:eastAsia="Garamond" w:hAnsi="Garamond" w:cs="Garamond"/>
        </w:rPr>
      </w:pPr>
    </w:p>
    <w:p w14:paraId="0294FCB1" w14:textId="77777777" w:rsidR="00C57F64" w:rsidRDefault="00C57F64" w:rsidP="00C57F64">
      <w:pPr>
        <w:spacing w:after="0"/>
        <w:rPr>
          <w:rFonts w:ascii="Garamond" w:eastAsia="Garamond" w:hAnsi="Garamond" w:cs="Garamond"/>
        </w:rPr>
      </w:pPr>
    </w:p>
    <w:p w14:paraId="28AEC5A1" w14:textId="77777777" w:rsidR="00C57F64" w:rsidRDefault="00C57F64" w:rsidP="00C57F64">
      <w:pPr>
        <w:spacing w:after="0"/>
        <w:rPr>
          <w:rFonts w:ascii="Garamond" w:eastAsia="Garamond" w:hAnsi="Garamond" w:cs="Garamond"/>
        </w:rPr>
      </w:pPr>
    </w:p>
    <w:p w14:paraId="53E0753A" w14:textId="77777777" w:rsidR="00C57F64" w:rsidRDefault="00C57F64" w:rsidP="00C57F64">
      <w:pPr>
        <w:spacing w:after="0"/>
        <w:rPr>
          <w:rFonts w:ascii="Garamond" w:eastAsia="Garamond" w:hAnsi="Garamond" w:cs="Garamond"/>
        </w:rPr>
      </w:pPr>
    </w:p>
    <w:p w14:paraId="64FE0457" w14:textId="77777777" w:rsidR="00C57F64" w:rsidRDefault="00C57F64" w:rsidP="00C57F64">
      <w:pPr>
        <w:spacing w:after="0"/>
        <w:rPr>
          <w:rFonts w:ascii="Garamond" w:eastAsia="Garamond" w:hAnsi="Garamond" w:cs="Garamond"/>
        </w:rPr>
      </w:pPr>
    </w:p>
    <w:p w14:paraId="7FF96860" w14:textId="77777777" w:rsidR="00C57F64" w:rsidRDefault="00C57F64" w:rsidP="00C57F64">
      <w:pPr>
        <w:spacing w:after="0"/>
        <w:rPr>
          <w:rFonts w:ascii="Garamond" w:eastAsia="Garamond" w:hAnsi="Garamond" w:cs="Garamond"/>
        </w:rPr>
      </w:pPr>
    </w:p>
    <w:p w14:paraId="1E2624DC" w14:textId="77777777" w:rsidR="00C57F64" w:rsidRDefault="00C57F64" w:rsidP="00C57F64">
      <w:pPr>
        <w:spacing w:after="0"/>
      </w:pPr>
      <w:r>
        <w:br w:type="page"/>
      </w:r>
    </w:p>
    <w:p w14:paraId="3860DAAC" w14:textId="77777777" w:rsidR="00C57F64" w:rsidRDefault="00C57F64" w:rsidP="00C57F64">
      <w:pPr>
        <w:spacing w:after="0"/>
        <w:jc w:val="center"/>
        <w:rPr>
          <w:rFonts w:ascii="Garamond" w:eastAsia="Garamond" w:hAnsi="Garamond" w:cs="Garamond"/>
        </w:rPr>
      </w:pPr>
      <w:r w:rsidRPr="5AD089C2">
        <w:rPr>
          <w:rFonts w:ascii="Garamond" w:eastAsia="Garamond" w:hAnsi="Garamond" w:cs="Garamond"/>
        </w:rPr>
        <w:lastRenderedPageBreak/>
        <w:t>Appendix D – Tables, Charts, &amp; Graphs</w:t>
      </w:r>
    </w:p>
    <w:p w14:paraId="76B1CEA6" w14:textId="77777777" w:rsidR="00C57F64" w:rsidRDefault="00C57F64" w:rsidP="00C57F64">
      <w:pPr>
        <w:spacing w:after="0"/>
        <w:jc w:val="center"/>
        <w:rPr>
          <w:rFonts w:ascii="Garamond" w:eastAsia="Garamond" w:hAnsi="Garamond" w:cs="Garamond"/>
        </w:rPr>
      </w:pPr>
    </w:p>
    <w:p w14:paraId="1E51B22A"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Table D1.</w:t>
      </w:r>
      <w:r w:rsidRPr="5AD089C2">
        <w:rPr>
          <w:rFonts w:ascii="Garamond" w:eastAsia="Garamond" w:hAnsi="Garamond" w:cs="Garamond"/>
        </w:rPr>
        <w:t xml:space="preserve"> Component TSI equations</w:t>
      </w:r>
    </w:p>
    <w:tbl>
      <w:tblPr>
        <w:tblStyle w:val="PlainTable2"/>
        <w:tblW w:w="0" w:type="auto"/>
        <w:tblLayout w:type="fixed"/>
        <w:tblLook w:val="06A0" w:firstRow="1" w:lastRow="0" w:firstColumn="1" w:lastColumn="0" w:noHBand="1" w:noVBand="1"/>
      </w:tblPr>
      <w:tblGrid>
        <w:gridCol w:w="4680"/>
        <w:gridCol w:w="4680"/>
      </w:tblGrid>
      <w:tr w:rsidR="00C57F64" w14:paraId="787D9A44" w14:textId="77777777" w:rsidTr="00C710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0" w:type="dxa"/>
          </w:tcPr>
          <w:p w14:paraId="3F2CB279" w14:textId="77777777" w:rsidR="00C57F64" w:rsidRDefault="00C57F64" w:rsidP="00C71097">
            <w:pPr>
              <w:jc w:val="center"/>
              <w:rPr>
                <w:rFonts w:ascii="Garamond" w:eastAsia="Garamond" w:hAnsi="Garamond" w:cs="Garamond"/>
                <w:sz w:val="24"/>
                <w:szCs w:val="24"/>
              </w:rPr>
            </w:pPr>
            <w:r w:rsidRPr="5AD089C2">
              <w:rPr>
                <w:rFonts w:ascii="Garamond" w:eastAsia="Garamond" w:hAnsi="Garamond" w:cs="Garamond"/>
                <w:sz w:val="24"/>
                <w:szCs w:val="24"/>
              </w:rPr>
              <w:t>TSI Component</w:t>
            </w:r>
          </w:p>
        </w:tc>
        <w:tc>
          <w:tcPr>
            <w:tcW w:w="4680" w:type="dxa"/>
          </w:tcPr>
          <w:p w14:paraId="30C7B528" w14:textId="77777777" w:rsidR="00C57F64" w:rsidRDefault="00C57F64" w:rsidP="00C71097">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4"/>
                <w:szCs w:val="24"/>
              </w:rPr>
            </w:pPr>
            <w:r w:rsidRPr="5AD089C2">
              <w:rPr>
                <w:rFonts w:ascii="Garamond" w:eastAsia="Garamond" w:hAnsi="Garamond" w:cs="Garamond"/>
                <w:sz w:val="24"/>
                <w:szCs w:val="24"/>
              </w:rPr>
              <w:t>Component Equation</w:t>
            </w:r>
          </w:p>
        </w:tc>
      </w:tr>
      <w:tr w:rsidR="00C57F64" w14:paraId="6F3A793C" w14:textId="77777777" w:rsidTr="00C71097">
        <w:trPr>
          <w:trHeight w:val="30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59421A3" w14:textId="77777777" w:rsidR="00C57F64" w:rsidRDefault="00C57F64" w:rsidP="00C71097">
            <w:pPr>
              <w:rPr>
                <w:rFonts w:ascii="Garamond" w:eastAsia="Garamond" w:hAnsi="Garamond" w:cs="Garamond"/>
              </w:rPr>
            </w:pPr>
          </w:p>
          <w:p w14:paraId="1EDB124E" w14:textId="77777777" w:rsidR="00C57F64" w:rsidRDefault="00C57F64" w:rsidP="00C71097">
            <w:pPr>
              <w:rPr>
                <w:rFonts w:ascii="Garamond" w:eastAsia="Garamond" w:hAnsi="Garamond" w:cs="Garamond"/>
              </w:rPr>
            </w:pPr>
            <w:r w:rsidRPr="5AD089C2">
              <w:rPr>
                <w:rFonts w:ascii="Garamond" w:eastAsia="Garamond" w:hAnsi="Garamond" w:cs="Garamond"/>
                <w:b w:val="0"/>
                <w:bCs w:val="0"/>
              </w:rPr>
              <w:t>Chlorophyll-a</w:t>
            </w:r>
          </w:p>
          <w:p w14:paraId="5559F4A1" w14:textId="77777777" w:rsidR="00C57F64" w:rsidRDefault="00C57F64" w:rsidP="00C71097">
            <w:pPr>
              <w:rPr>
                <w:rFonts w:ascii="Garamond" w:eastAsia="Garamond" w:hAnsi="Garamond" w:cs="Garamond"/>
                <w:b w:val="0"/>
                <w:bCs w:val="0"/>
              </w:rPr>
            </w:pPr>
          </w:p>
        </w:tc>
        <w:tc>
          <w:tcPr>
            <w:tcW w:w="4680" w:type="dxa"/>
            <w:vAlign w:val="center"/>
          </w:tcPr>
          <w:p w14:paraId="770AAA76" w14:textId="77777777" w:rsidR="00C57F64" w:rsidRDefault="00C57F64" w:rsidP="00C7109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m:oMathPara>
              <m:oMath>
                <m:r>
                  <w:rPr>
                    <w:rFonts w:ascii="Cambria Math" w:hAnsi="Cambria Math"/>
                  </w:rPr>
                  <m:t> TSI</m:t>
                </m:r>
                <m:d>
                  <m:dPr>
                    <m:ctrlPr>
                      <w:rPr>
                        <w:rFonts w:ascii="Cambria Math" w:hAnsi="Cambria Math"/>
                      </w:rPr>
                    </m:ctrlPr>
                  </m:dPr>
                  <m:e>
                    <m:r>
                      <w:rPr>
                        <w:rFonts w:ascii="Cambria Math" w:hAnsi="Cambria Math"/>
                      </w:rPr>
                      <m:t>chla</m:t>
                    </m:r>
                  </m:e>
                </m:d>
                <m:r>
                  <w:rPr>
                    <w:rFonts w:ascii="Cambria Math" w:hAnsi="Cambria Math"/>
                  </w:rPr>
                  <m:t>=16.8+</m:t>
                </m:r>
                <m:d>
                  <m:dPr>
                    <m:begChr m:val="["/>
                    <m:endChr m:val="]"/>
                    <m:ctrlPr>
                      <w:rPr>
                        <w:rFonts w:ascii="Cambria Math" w:hAnsi="Cambria Math"/>
                      </w:rPr>
                    </m:ctrlPr>
                  </m:dPr>
                  <m:e>
                    <m:r>
                      <w:rPr>
                        <w:rFonts w:ascii="Cambria Math" w:hAnsi="Cambria Math"/>
                      </w:rPr>
                      <m:t>14.4×</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chla</m:t>
                            </m:r>
                          </m:e>
                        </m:d>
                      </m:e>
                    </m:func>
                  </m:e>
                </m:d>
              </m:oMath>
            </m:oMathPara>
          </w:p>
        </w:tc>
      </w:tr>
      <w:tr w:rsidR="00C57F64" w14:paraId="0498676B" w14:textId="77777777" w:rsidTr="00C71097">
        <w:trPr>
          <w:trHeight w:val="30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149E31E" w14:textId="77777777" w:rsidR="00C57F64" w:rsidRDefault="00C57F64" w:rsidP="00C71097">
            <w:pPr>
              <w:rPr>
                <w:rFonts w:ascii="Garamond" w:eastAsia="Garamond" w:hAnsi="Garamond" w:cs="Garamond"/>
              </w:rPr>
            </w:pPr>
            <w:r w:rsidRPr="5AD089C2">
              <w:rPr>
                <w:rFonts w:ascii="Garamond" w:eastAsia="Garamond" w:hAnsi="Garamond" w:cs="Garamond"/>
                <w:b w:val="0"/>
                <w:bCs w:val="0"/>
              </w:rPr>
              <w:t>Nitrogen</w:t>
            </w:r>
          </w:p>
          <w:p w14:paraId="7A9AB429" w14:textId="77777777" w:rsidR="00C57F64" w:rsidRDefault="00C57F64" w:rsidP="00C71097">
            <w:pPr>
              <w:rPr>
                <w:rFonts w:ascii="Garamond" w:eastAsia="Garamond" w:hAnsi="Garamond" w:cs="Garamond"/>
                <w:b w:val="0"/>
                <w:bCs w:val="0"/>
              </w:rPr>
            </w:pPr>
          </w:p>
        </w:tc>
        <w:tc>
          <w:tcPr>
            <w:tcW w:w="4680" w:type="dxa"/>
            <w:vAlign w:val="center"/>
          </w:tcPr>
          <w:p w14:paraId="1BFE86ED" w14:textId="77777777" w:rsidR="00C57F64" w:rsidRPr="003A4D3E" w:rsidRDefault="00C57F64" w:rsidP="00C7109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m:oMathPara>
              <m:oMath>
                <m:r>
                  <w:rPr>
                    <w:rFonts w:ascii="Cambria Math" w:hAnsi="Cambria Math"/>
                  </w:rPr>
                  <m:t>TSI</m:t>
                </m:r>
                <m:d>
                  <m:dPr>
                    <m:ctrlPr>
                      <w:rPr>
                        <w:rFonts w:ascii="Cambria Math" w:hAnsi="Cambria Math"/>
                      </w:rPr>
                    </m:ctrlPr>
                  </m:dPr>
                  <m:e>
                    <m:r>
                      <w:rPr>
                        <w:rFonts w:ascii="Cambria Math" w:hAnsi="Cambria Math"/>
                      </w:rPr>
                      <m:t>TN</m:t>
                    </m:r>
                  </m:e>
                </m:d>
                <m:r>
                  <w:rPr>
                    <w:rFonts w:ascii="Cambria Math" w:hAnsi="Cambria Math"/>
                  </w:rPr>
                  <m:t>=56+19.8×</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TN</m:t>
                        </m:r>
                      </m:e>
                    </m:d>
                  </m:e>
                </m:func>
              </m:oMath>
            </m:oMathPara>
          </w:p>
          <w:p w14:paraId="0E8AF9A8" w14:textId="77777777" w:rsidR="00C57F64" w:rsidRDefault="00C57F64" w:rsidP="00C71097">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r>
      <w:tr w:rsidR="00C57F64" w14:paraId="7C827D04" w14:textId="77777777" w:rsidTr="00C71097">
        <w:trPr>
          <w:trHeight w:val="30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5C42EFD" w14:textId="77777777" w:rsidR="00C57F64" w:rsidRDefault="00C57F64" w:rsidP="00C71097">
            <w:pPr>
              <w:rPr>
                <w:rFonts w:ascii="Garamond" w:eastAsia="Garamond" w:hAnsi="Garamond" w:cs="Garamond"/>
              </w:rPr>
            </w:pPr>
            <w:r w:rsidRPr="5AD089C2">
              <w:rPr>
                <w:rFonts w:ascii="Garamond" w:eastAsia="Garamond" w:hAnsi="Garamond" w:cs="Garamond"/>
                <w:b w:val="0"/>
                <w:bCs w:val="0"/>
              </w:rPr>
              <w:t>Phosphorous (for phosphorous limited lakes)</w:t>
            </w:r>
          </w:p>
          <w:p w14:paraId="324B85D0" w14:textId="77777777" w:rsidR="00C57F64" w:rsidRDefault="00C57F64" w:rsidP="00C71097">
            <w:pPr>
              <w:rPr>
                <w:rFonts w:ascii="Garamond" w:eastAsia="Garamond" w:hAnsi="Garamond" w:cs="Garamond"/>
                <w:b w:val="0"/>
                <w:bCs w:val="0"/>
              </w:rPr>
            </w:pPr>
          </w:p>
        </w:tc>
        <w:tc>
          <w:tcPr>
            <w:tcW w:w="4680" w:type="dxa"/>
            <w:vAlign w:val="center"/>
          </w:tcPr>
          <w:p w14:paraId="1659579A" w14:textId="77777777" w:rsidR="00C57F64" w:rsidRDefault="00C57F64" w:rsidP="00C71097">
            <w:pPr>
              <w:jc w:val="cente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TSI2</m:t>
                </m:r>
                <m:d>
                  <m:dPr>
                    <m:ctrlPr>
                      <w:rPr>
                        <w:rFonts w:ascii="Cambria Math" w:hAnsi="Cambria Math"/>
                      </w:rPr>
                    </m:ctrlPr>
                  </m:dPr>
                  <m:e>
                    <m:r>
                      <w:rPr>
                        <w:rFonts w:ascii="Cambria Math" w:hAnsi="Cambria Math"/>
                      </w:rPr>
                      <m:t>TP</m:t>
                    </m:r>
                  </m:e>
                </m:d>
                <m:r>
                  <w:rPr>
                    <w:rFonts w:ascii="Cambria Math" w:hAnsi="Cambria Math"/>
                  </w:rPr>
                  <m:t>=10×</m:t>
                </m:r>
                <m:d>
                  <m:dPr>
                    <m:begChr m:val="["/>
                    <m:endChr m:val="]"/>
                    <m:ctrlPr>
                      <w:rPr>
                        <w:rFonts w:ascii="Cambria Math" w:hAnsi="Cambria Math"/>
                      </w:rPr>
                    </m:ctrlPr>
                  </m:dPr>
                  <m:e>
                    <m:r>
                      <w:rPr>
                        <w:rFonts w:ascii="Cambria Math" w:hAnsi="Cambria Math"/>
                      </w:rPr>
                      <m:t>2.36×</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TP×1000</m:t>
                            </m:r>
                          </m:e>
                        </m:d>
                      </m:e>
                    </m:func>
                    <m:r>
                      <w:rPr>
                        <w:rFonts w:ascii="Cambria Math" w:hAnsi="Cambria Math"/>
                      </w:rPr>
                      <m:t>-2.38</m:t>
                    </m:r>
                  </m:e>
                </m:d>
              </m:oMath>
            </m:oMathPara>
          </w:p>
        </w:tc>
      </w:tr>
    </w:tbl>
    <w:p w14:paraId="35030CFF"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Table D1.</w:t>
      </w:r>
      <w:r w:rsidRPr="5AD089C2">
        <w:rPr>
          <w:rFonts w:ascii="Garamond" w:eastAsia="Garamond" w:hAnsi="Garamond" w:cs="Garamond"/>
        </w:rPr>
        <w:t xml:space="preserve"> Component TSI equations</w:t>
      </w:r>
    </w:p>
    <w:p w14:paraId="511666EE" w14:textId="77777777" w:rsidR="00C57F64" w:rsidRDefault="00C57F64" w:rsidP="00C57F64">
      <w:pPr>
        <w:spacing w:after="0"/>
        <w:rPr>
          <w:rFonts w:ascii="Garamond" w:eastAsia="Garamond" w:hAnsi="Garamond" w:cs="Garamond"/>
        </w:rPr>
      </w:pPr>
    </w:p>
    <w:p w14:paraId="63779F8F" w14:textId="77777777" w:rsidR="00C57F64" w:rsidRDefault="00C57F64" w:rsidP="00C57F64">
      <w:pPr>
        <w:spacing w:after="0"/>
        <w:rPr>
          <w:rFonts w:ascii="Garamond" w:eastAsia="Garamond" w:hAnsi="Garamond" w:cs="Garamond"/>
        </w:rPr>
      </w:pPr>
    </w:p>
    <w:p w14:paraId="7F312EC0" w14:textId="77777777" w:rsidR="00C57F64" w:rsidRDefault="00C57F64" w:rsidP="00C57F64">
      <w:pPr>
        <w:spacing w:after="0"/>
        <w:rPr>
          <w:rFonts w:ascii="Garamond" w:eastAsia="Garamond" w:hAnsi="Garamond" w:cs="Garamond"/>
        </w:rPr>
      </w:pPr>
    </w:p>
    <w:p w14:paraId="1CDB7AFB" w14:textId="77777777" w:rsidR="00C57F64" w:rsidRDefault="00C57F64" w:rsidP="00C57F64">
      <w:pPr>
        <w:spacing w:after="0"/>
        <w:rPr>
          <w:rFonts w:ascii="Garamond" w:eastAsia="Garamond" w:hAnsi="Garamond" w:cs="Garamond"/>
        </w:rPr>
      </w:pPr>
    </w:p>
    <w:p w14:paraId="2B09B325" w14:textId="77777777" w:rsidR="00C57F64" w:rsidRDefault="00C57F64" w:rsidP="00C57F64">
      <w:pPr>
        <w:spacing w:after="0"/>
        <w:rPr>
          <w:rFonts w:ascii="Garamond" w:eastAsia="Garamond" w:hAnsi="Garamond" w:cs="Garamond"/>
        </w:rPr>
      </w:pPr>
    </w:p>
    <w:p w14:paraId="2E2A629E" w14:textId="77777777" w:rsidR="00C57F64" w:rsidRDefault="00C57F64" w:rsidP="00C57F64">
      <w:pPr>
        <w:spacing w:after="0"/>
        <w:jc w:val="center"/>
      </w:pPr>
      <w:r>
        <w:rPr>
          <w:noProof/>
        </w:rPr>
        <w:drawing>
          <wp:inline distT="0" distB="0" distL="0" distR="0" wp14:anchorId="723F30E8" wp14:editId="7D443022">
            <wp:extent cx="3657600" cy="2743200"/>
            <wp:effectExtent l="0" t="0" r="0" b="0"/>
            <wp:docPr id="1778144575" name="Picture 177814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rcRect l="19166" t="43333" r="50000" b="15555"/>
                    <a:stretch>
                      <a:fillRect/>
                    </a:stretch>
                  </pic:blipFill>
                  <pic:spPr>
                    <a:xfrm>
                      <a:off x="0" y="0"/>
                      <a:ext cx="3657600" cy="2743200"/>
                    </a:xfrm>
                    <a:prstGeom prst="rect">
                      <a:avLst/>
                    </a:prstGeom>
                  </pic:spPr>
                </pic:pic>
              </a:graphicData>
            </a:graphic>
          </wp:inline>
        </w:drawing>
      </w:r>
    </w:p>
    <w:p w14:paraId="2B160883"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 xml:space="preserve">Figure D2. </w:t>
      </w:r>
      <w:r w:rsidRPr="5AD089C2">
        <w:rPr>
          <w:rFonts w:ascii="Garamond" w:eastAsia="Garamond" w:hAnsi="Garamond" w:cs="Garamond"/>
        </w:rPr>
        <w:t>Box and whisker plot associated with the average area (km</w:t>
      </w:r>
      <w:r w:rsidRPr="5AD089C2">
        <w:rPr>
          <w:rFonts w:ascii="Garamond" w:eastAsia="Garamond" w:hAnsi="Garamond" w:cs="Garamond"/>
          <w:vertAlign w:val="superscript"/>
        </w:rPr>
        <w:t>2</w:t>
      </w:r>
      <w:r w:rsidRPr="5AD089C2">
        <w:rPr>
          <w:rFonts w:ascii="Garamond" w:eastAsia="Garamond" w:hAnsi="Garamond" w:cs="Garamond"/>
        </w:rPr>
        <w:t>) occupied by advisory level cyanobacteria concentrations, by month, during our 28-month study period.</w:t>
      </w:r>
    </w:p>
    <w:p w14:paraId="07515D83" w14:textId="77777777" w:rsidR="00C57F64" w:rsidRDefault="00C57F64" w:rsidP="00C57F64">
      <w:pPr>
        <w:spacing w:after="0"/>
        <w:rPr>
          <w:rFonts w:ascii="Garamond" w:eastAsia="Garamond" w:hAnsi="Garamond" w:cs="Garamond"/>
        </w:rPr>
      </w:pPr>
    </w:p>
    <w:p w14:paraId="577D2ED9" w14:textId="77777777" w:rsidR="00C57F64" w:rsidRDefault="00C57F64" w:rsidP="00C57F64">
      <w:pPr>
        <w:spacing w:after="0"/>
        <w:jc w:val="center"/>
        <w:rPr>
          <w:rFonts w:ascii="Garamond" w:eastAsia="Garamond" w:hAnsi="Garamond" w:cs="Garamond"/>
        </w:rPr>
      </w:pPr>
      <w:r>
        <w:rPr>
          <w:noProof/>
        </w:rPr>
        <w:lastRenderedPageBreak/>
        <w:drawing>
          <wp:inline distT="0" distB="0" distL="0" distR="0" wp14:anchorId="3BF7924C" wp14:editId="23B43086">
            <wp:extent cx="3593990" cy="2743200"/>
            <wp:effectExtent l="0" t="0" r="6985" b="0"/>
            <wp:docPr id="606982511" name="Picture 606982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38727" t="41595" r="28205" b="15954"/>
                    <a:stretch/>
                  </pic:blipFill>
                  <pic:spPr bwMode="auto">
                    <a:xfrm>
                      <a:off x="0" y="0"/>
                      <a:ext cx="3593990" cy="2743200"/>
                    </a:xfrm>
                    <a:prstGeom prst="rect">
                      <a:avLst/>
                    </a:prstGeom>
                    <a:ln>
                      <a:noFill/>
                    </a:ln>
                    <a:extLst>
                      <a:ext uri="{53640926-AAD7-44D8-BBD7-CCE9431645EC}">
                        <a14:shadowObscured xmlns:a14="http://schemas.microsoft.com/office/drawing/2010/main"/>
                      </a:ext>
                    </a:extLst>
                  </pic:spPr>
                </pic:pic>
              </a:graphicData>
            </a:graphic>
          </wp:inline>
        </w:drawing>
      </w:r>
    </w:p>
    <w:p w14:paraId="787B26E0"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 xml:space="preserve">Figure D3. </w:t>
      </w:r>
      <w:r w:rsidRPr="5AD089C2">
        <w:rPr>
          <w:rFonts w:ascii="Garamond" w:eastAsia="Garamond" w:hAnsi="Garamond" w:cs="Garamond"/>
        </w:rPr>
        <w:t>Box and whisker plot associated with the average area (km</w:t>
      </w:r>
      <w:r w:rsidRPr="5AD089C2">
        <w:rPr>
          <w:rFonts w:ascii="Garamond" w:eastAsia="Garamond" w:hAnsi="Garamond" w:cs="Garamond"/>
          <w:vertAlign w:val="superscript"/>
        </w:rPr>
        <w:t>2</w:t>
      </w:r>
      <w:r w:rsidRPr="5AD089C2">
        <w:rPr>
          <w:rFonts w:ascii="Garamond" w:eastAsia="Garamond" w:hAnsi="Garamond" w:cs="Garamond"/>
        </w:rPr>
        <w:t>) occupied by total (advisory and detection level) cyanobacteria concentrations, by month, during our 28-month study period.</w:t>
      </w:r>
    </w:p>
    <w:p w14:paraId="278F5CBB" w14:textId="77777777" w:rsidR="00C57F64" w:rsidRDefault="00C57F64" w:rsidP="00C57F64">
      <w:pPr>
        <w:spacing w:after="0"/>
      </w:pPr>
    </w:p>
    <w:p w14:paraId="41E5476D" w14:textId="77777777" w:rsidR="00C57F64" w:rsidRDefault="00C57F64" w:rsidP="00C57F64">
      <w:pPr>
        <w:spacing w:after="0"/>
      </w:pPr>
    </w:p>
    <w:p w14:paraId="13F2041B" w14:textId="77777777" w:rsidR="00C57F64" w:rsidRDefault="00C57F64" w:rsidP="00C57F64">
      <w:pPr>
        <w:spacing w:after="0"/>
        <w:jc w:val="center"/>
      </w:pPr>
      <w:r>
        <w:rPr>
          <w:noProof/>
        </w:rPr>
        <w:drawing>
          <wp:inline distT="0" distB="0" distL="0" distR="0" wp14:anchorId="52B64006" wp14:editId="34C2FAA0">
            <wp:extent cx="4572000" cy="2952750"/>
            <wp:effectExtent l="0" t="0" r="0" b="0"/>
            <wp:docPr id="1949208715" name="Picture 194920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p>
    <w:p w14:paraId="46943BAD"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Figure D4.</w:t>
      </w:r>
      <w:r w:rsidRPr="5AD089C2">
        <w:rPr>
          <w:rFonts w:ascii="Garamond" w:eastAsia="Garamond" w:hAnsi="Garamond" w:cs="Garamond"/>
        </w:rPr>
        <w:t xml:space="preserve"> PCA loading plot for the Middle North Anna branch, representing total nitrogen (N), total phosphorous (P), temperature (Temp_C), pH (pH), and HAB swimming advisory data (Advisory).</w:t>
      </w:r>
    </w:p>
    <w:p w14:paraId="3FC23AB5" w14:textId="77777777" w:rsidR="00C57F64" w:rsidRDefault="00C57F64" w:rsidP="00C57F64">
      <w:pPr>
        <w:spacing w:after="0"/>
        <w:jc w:val="center"/>
      </w:pPr>
      <w:r>
        <w:rPr>
          <w:noProof/>
        </w:rPr>
        <w:lastRenderedPageBreak/>
        <w:drawing>
          <wp:inline distT="0" distB="0" distL="0" distR="0" wp14:anchorId="37159ACD" wp14:editId="52E079AC">
            <wp:extent cx="4572000" cy="3105150"/>
            <wp:effectExtent l="0" t="0" r="0" b="0"/>
            <wp:docPr id="122037977" name="Picture 1220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195309F2" w14:textId="77777777" w:rsidR="00C57F64" w:rsidRDefault="00C57F64" w:rsidP="00C57F64">
      <w:pPr>
        <w:spacing w:after="0"/>
        <w:rPr>
          <w:rFonts w:ascii="Garamond" w:eastAsia="Garamond" w:hAnsi="Garamond" w:cs="Garamond"/>
        </w:rPr>
      </w:pPr>
      <w:r w:rsidRPr="5AD089C2">
        <w:rPr>
          <w:rFonts w:ascii="Garamond" w:eastAsia="Garamond" w:hAnsi="Garamond" w:cs="Garamond"/>
          <w:b/>
          <w:bCs/>
        </w:rPr>
        <w:t>Figure D5.</w:t>
      </w:r>
      <w:r w:rsidRPr="5AD089C2">
        <w:rPr>
          <w:rFonts w:ascii="Garamond" w:eastAsia="Garamond" w:hAnsi="Garamond" w:cs="Garamond"/>
        </w:rPr>
        <w:t xml:space="preserve"> PCA loading plot for the Upper Pamunkey branch, representing total nitrogen (N), total phosphorous (P), temperature (Temp_C), pH (pH), and HAB swimming advisory data (Advisory).</w:t>
      </w:r>
    </w:p>
    <w:p w14:paraId="21B15ABD" w14:textId="77777777" w:rsidR="00C57F64" w:rsidRDefault="00C57F64" w:rsidP="00C57F64">
      <w:pPr>
        <w:spacing w:after="0"/>
        <w:rPr>
          <w:rFonts w:ascii="Garamond" w:eastAsia="Garamond" w:hAnsi="Garamond" w:cs="Garamond"/>
        </w:rPr>
      </w:pPr>
    </w:p>
    <w:p w14:paraId="2BF2C5A0" w14:textId="77777777" w:rsidR="00C57F64" w:rsidRDefault="00C57F64" w:rsidP="00C57F64">
      <w:pPr>
        <w:spacing w:after="0"/>
        <w:jc w:val="center"/>
      </w:pPr>
      <w:r>
        <w:rPr>
          <w:noProof/>
        </w:rPr>
        <w:drawing>
          <wp:inline distT="0" distB="0" distL="0" distR="0" wp14:anchorId="08A8951A" wp14:editId="466CC336">
            <wp:extent cx="4572000" cy="2386753"/>
            <wp:effectExtent l="0" t="0" r="0" b="0"/>
            <wp:docPr id="1133678353" name="Picture 113367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rcRect l="34166" t="30000" r="4375" b="12962"/>
                    <a:stretch>
                      <a:fillRect/>
                    </a:stretch>
                  </pic:blipFill>
                  <pic:spPr>
                    <a:xfrm>
                      <a:off x="0" y="0"/>
                      <a:ext cx="4572000" cy="2386753"/>
                    </a:xfrm>
                    <a:prstGeom prst="rect">
                      <a:avLst/>
                    </a:prstGeom>
                  </pic:spPr>
                </pic:pic>
              </a:graphicData>
            </a:graphic>
          </wp:inline>
        </w:drawing>
      </w:r>
    </w:p>
    <w:p w14:paraId="1B94511C" w14:textId="4046B8FE" w:rsidR="00C57F64" w:rsidRDefault="00C57F64" w:rsidP="00C57F64">
      <w:pPr>
        <w:spacing w:after="0"/>
        <w:rPr>
          <w:rFonts w:ascii="Garamond" w:eastAsia="Garamond" w:hAnsi="Garamond" w:cs="Garamond"/>
        </w:rPr>
      </w:pPr>
      <w:r w:rsidRPr="5AD089C2">
        <w:rPr>
          <w:rFonts w:ascii="Garamond" w:eastAsia="Garamond" w:hAnsi="Garamond" w:cs="Garamond"/>
          <w:b/>
          <w:bCs/>
        </w:rPr>
        <w:t>Figure D6.</w:t>
      </w:r>
      <w:r w:rsidRPr="5AD089C2">
        <w:rPr>
          <w:rFonts w:ascii="Garamond" w:eastAsia="Garamond" w:hAnsi="Garamond" w:cs="Garamond"/>
        </w:rPr>
        <w:t xml:space="preserve"> Principal Component Analysis with representative ellipses for the Middle North Anna branch during the study period (2019</w:t>
      </w:r>
      <w:r w:rsidR="00BE181E">
        <w:rPr>
          <w:rFonts w:ascii="Garamond" w:eastAsia="Garamond" w:hAnsi="Garamond" w:cs="Garamond"/>
        </w:rPr>
        <w:t>–</w:t>
      </w:r>
      <w:r w:rsidRPr="5AD089C2">
        <w:rPr>
          <w:rFonts w:ascii="Garamond" w:eastAsia="Garamond" w:hAnsi="Garamond" w:cs="Garamond"/>
        </w:rPr>
        <w:t>2022). PCA variables included swim advisory occurrence, total nitrogen, total phosphorous, pH, and temperature.</w:t>
      </w:r>
    </w:p>
    <w:p w14:paraId="23F86BAD" w14:textId="77777777" w:rsidR="00C57F64" w:rsidRDefault="00C57F64" w:rsidP="00C57F64">
      <w:pPr>
        <w:spacing w:after="0"/>
        <w:rPr>
          <w:rFonts w:ascii="Garamond" w:eastAsia="Garamond" w:hAnsi="Garamond" w:cs="Garamond"/>
        </w:rPr>
      </w:pPr>
    </w:p>
    <w:p w14:paraId="0C4790C9" w14:textId="77777777" w:rsidR="00C57F64" w:rsidRDefault="00C57F64" w:rsidP="00C57F64">
      <w:pPr>
        <w:spacing w:after="0"/>
        <w:rPr>
          <w:rFonts w:ascii="Garamond" w:eastAsia="Garamond" w:hAnsi="Garamond" w:cs="Garamond"/>
        </w:rPr>
      </w:pPr>
    </w:p>
    <w:p w14:paraId="308A26B1" w14:textId="77777777" w:rsidR="00C57F64" w:rsidRDefault="00C57F64" w:rsidP="00C57F64">
      <w:pPr>
        <w:spacing w:after="0"/>
        <w:rPr>
          <w:rFonts w:ascii="Garamond" w:eastAsia="Garamond" w:hAnsi="Garamond" w:cs="Garamond"/>
        </w:rPr>
      </w:pPr>
    </w:p>
    <w:p w14:paraId="3EFB2C91" w14:textId="77777777" w:rsidR="00C57F64" w:rsidRDefault="00C57F64" w:rsidP="00C57F64">
      <w:pPr>
        <w:spacing w:after="0"/>
        <w:jc w:val="center"/>
      </w:pPr>
      <w:r>
        <w:rPr>
          <w:noProof/>
        </w:rPr>
        <w:lastRenderedPageBreak/>
        <w:drawing>
          <wp:inline distT="0" distB="0" distL="0" distR="0" wp14:anchorId="5589D45E" wp14:editId="23A50D9D">
            <wp:extent cx="4572000" cy="2386584"/>
            <wp:effectExtent l="0" t="0" r="0" b="0"/>
            <wp:docPr id="856484093" name="Picture 856484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l="33333" t="31111" r="5208" b="15185"/>
                    <a:stretch>
                      <a:fillRect/>
                    </a:stretch>
                  </pic:blipFill>
                  <pic:spPr>
                    <a:xfrm>
                      <a:off x="0" y="0"/>
                      <a:ext cx="4572000" cy="2386584"/>
                    </a:xfrm>
                    <a:prstGeom prst="rect">
                      <a:avLst/>
                    </a:prstGeom>
                  </pic:spPr>
                </pic:pic>
              </a:graphicData>
            </a:graphic>
          </wp:inline>
        </w:drawing>
      </w:r>
    </w:p>
    <w:p w14:paraId="44E98F77" w14:textId="713B2CC8" w:rsidR="00C57F64" w:rsidRDefault="00C57F64" w:rsidP="00C57F64">
      <w:pPr>
        <w:spacing w:after="0"/>
        <w:rPr>
          <w:rFonts w:ascii="Garamond" w:eastAsia="Garamond" w:hAnsi="Garamond" w:cs="Garamond"/>
        </w:rPr>
      </w:pPr>
      <w:r w:rsidRPr="5AD089C2">
        <w:rPr>
          <w:rFonts w:ascii="Garamond" w:eastAsia="Garamond" w:hAnsi="Garamond" w:cs="Garamond"/>
          <w:b/>
          <w:bCs/>
        </w:rPr>
        <w:t>Figure D7.</w:t>
      </w:r>
      <w:r w:rsidRPr="5AD089C2">
        <w:rPr>
          <w:rFonts w:ascii="Garamond" w:eastAsia="Garamond" w:hAnsi="Garamond" w:cs="Garamond"/>
        </w:rPr>
        <w:t xml:space="preserve"> Principal Component Analysis with representative ellipses for the Upper Pamunkey branch during the study period (2019</w:t>
      </w:r>
      <w:r w:rsidR="00BE181E">
        <w:rPr>
          <w:rFonts w:ascii="Garamond" w:eastAsia="Garamond" w:hAnsi="Garamond" w:cs="Garamond"/>
        </w:rPr>
        <w:t>–</w:t>
      </w:r>
      <w:r w:rsidRPr="5AD089C2">
        <w:rPr>
          <w:rFonts w:ascii="Garamond" w:eastAsia="Garamond" w:hAnsi="Garamond" w:cs="Garamond"/>
        </w:rPr>
        <w:t>2022). PCA variables included swim advisory occurrence, total nitrogen, total phosphorous, pH, and temperature.</w:t>
      </w:r>
    </w:p>
    <w:p w14:paraId="4F31AB6F" w14:textId="77777777" w:rsidR="00C57F64" w:rsidRDefault="00C57F64" w:rsidP="00C57F64">
      <w:pPr>
        <w:spacing w:after="0"/>
        <w:rPr>
          <w:rFonts w:ascii="Garamond" w:eastAsia="Garamond" w:hAnsi="Garamond" w:cs="Garamond"/>
        </w:rPr>
      </w:pPr>
    </w:p>
    <w:p w14:paraId="3F8AAE0C" w14:textId="77777777" w:rsidR="00C57F64" w:rsidRDefault="00C57F64" w:rsidP="00C57F64">
      <w:pPr>
        <w:spacing w:after="0"/>
        <w:rPr>
          <w:rFonts w:ascii="Garamond" w:eastAsia="Garamond" w:hAnsi="Garamond" w:cs="Garamond"/>
        </w:rPr>
      </w:pPr>
    </w:p>
    <w:p w14:paraId="4643CB57" w14:textId="77777777" w:rsidR="00C57F64" w:rsidRDefault="00C57F64" w:rsidP="00C57F64">
      <w:pPr>
        <w:spacing w:after="0"/>
        <w:rPr>
          <w:rFonts w:ascii="Garamond" w:eastAsia="Garamond" w:hAnsi="Garamond" w:cs="Garamond"/>
        </w:rPr>
      </w:pPr>
    </w:p>
    <w:p w14:paraId="31DC9F4C" w14:textId="77777777" w:rsidR="00C57F64" w:rsidRDefault="00C57F64" w:rsidP="00C57F64">
      <w:pPr>
        <w:spacing w:after="0"/>
        <w:rPr>
          <w:rFonts w:ascii="Garamond" w:eastAsia="Garamond" w:hAnsi="Garamond" w:cs="Garamond"/>
        </w:rPr>
      </w:pPr>
    </w:p>
    <w:p w14:paraId="77D80684" w14:textId="77777777" w:rsidR="00C57F64" w:rsidRDefault="00C57F64" w:rsidP="00C57F64">
      <w:pPr>
        <w:spacing w:after="0"/>
        <w:rPr>
          <w:rFonts w:ascii="Garamond" w:eastAsia="Garamond" w:hAnsi="Garamond" w:cs="Garamond"/>
        </w:rPr>
      </w:pPr>
    </w:p>
    <w:p w14:paraId="357EE2FA" w14:textId="77777777" w:rsidR="00C57F64" w:rsidRDefault="00C57F64" w:rsidP="00C57F64">
      <w:pPr>
        <w:spacing w:after="0"/>
        <w:rPr>
          <w:rFonts w:ascii="Garamond" w:eastAsia="Garamond" w:hAnsi="Garamond" w:cs="Garamond"/>
        </w:rPr>
      </w:pPr>
    </w:p>
    <w:p w14:paraId="5FD64F62" w14:textId="77777777" w:rsidR="00C57F64" w:rsidRDefault="00C57F64" w:rsidP="00C57F64">
      <w:pPr>
        <w:spacing w:after="0"/>
        <w:rPr>
          <w:rFonts w:ascii="Garamond" w:eastAsia="Garamond" w:hAnsi="Garamond" w:cs="Garamond"/>
        </w:rPr>
      </w:pPr>
    </w:p>
    <w:p w14:paraId="3BB05624" w14:textId="77777777" w:rsidR="00C57F64" w:rsidRDefault="00C57F64" w:rsidP="00C57F64">
      <w:pPr>
        <w:spacing w:after="0"/>
        <w:rPr>
          <w:rFonts w:ascii="Garamond" w:eastAsia="Garamond" w:hAnsi="Garamond" w:cs="Garamond"/>
        </w:rPr>
      </w:pPr>
    </w:p>
    <w:p w14:paraId="76E5805C" w14:textId="77777777" w:rsidR="00C57F64" w:rsidRDefault="00C57F64" w:rsidP="00C57F64">
      <w:pPr>
        <w:spacing w:after="0"/>
        <w:rPr>
          <w:rFonts w:ascii="Garamond" w:eastAsia="Garamond" w:hAnsi="Garamond" w:cs="Garamond"/>
        </w:rPr>
      </w:pPr>
    </w:p>
    <w:p w14:paraId="5D7A4F18" w14:textId="77777777" w:rsidR="00C57F64" w:rsidRDefault="00C57F64" w:rsidP="00C57F64">
      <w:pPr>
        <w:spacing w:after="0"/>
        <w:rPr>
          <w:rFonts w:ascii="Garamond" w:eastAsia="Garamond" w:hAnsi="Garamond" w:cs="Garamond"/>
        </w:rPr>
      </w:pPr>
    </w:p>
    <w:p w14:paraId="3839275B" w14:textId="77777777" w:rsidR="00C57F64" w:rsidRDefault="00C57F64" w:rsidP="00C57F64">
      <w:pPr>
        <w:spacing w:after="0"/>
      </w:pPr>
      <w:r>
        <w:br w:type="page"/>
      </w:r>
    </w:p>
    <w:p w14:paraId="03A7AD85" w14:textId="77777777" w:rsidR="00C57F64" w:rsidRDefault="00C57F64" w:rsidP="00C57F64">
      <w:pPr>
        <w:spacing w:after="0"/>
        <w:jc w:val="center"/>
        <w:rPr>
          <w:rFonts w:ascii="Garamond" w:eastAsia="Garamond" w:hAnsi="Garamond" w:cs="Garamond"/>
        </w:rPr>
      </w:pPr>
      <w:r w:rsidRPr="7477FBD2">
        <w:rPr>
          <w:rFonts w:ascii="Garamond" w:eastAsia="Garamond" w:hAnsi="Garamond" w:cs="Garamond"/>
        </w:rPr>
        <w:lastRenderedPageBreak/>
        <w:t>Appendix E – Surface Water Temperature</w:t>
      </w:r>
    </w:p>
    <w:p w14:paraId="52B88A87" w14:textId="77777777" w:rsidR="00C57F64" w:rsidRDefault="00C57F64" w:rsidP="00C57F64">
      <w:pPr>
        <w:spacing w:after="0"/>
        <w:jc w:val="center"/>
        <w:rPr>
          <w:rFonts w:ascii="Garamond" w:eastAsia="Garamond" w:hAnsi="Garamond" w:cs="Garamond"/>
        </w:rPr>
      </w:pPr>
      <w:r>
        <w:rPr>
          <w:noProof/>
        </w:rPr>
        <w:drawing>
          <wp:inline distT="0" distB="0" distL="0" distR="0" wp14:anchorId="0E08165B" wp14:editId="674E5E20">
            <wp:extent cx="5943600" cy="5411152"/>
            <wp:effectExtent l="0" t="0" r="0" b="0"/>
            <wp:docPr id="754783350" name="Picture 75478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5411152"/>
                    </a:xfrm>
                    <a:prstGeom prst="rect">
                      <a:avLst/>
                    </a:prstGeom>
                  </pic:spPr>
                </pic:pic>
              </a:graphicData>
            </a:graphic>
          </wp:inline>
        </w:drawing>
      </w:r>
    </w:p>
    <w:p w14:paraId="0CA73443" w14:textId="77777777" w:rsidR="00C57F64" w:rsidRDefault="00C57F64" w:rsidP="00C57F64">
      <w:pPr>
        <w:spacing w:after="0"/>
        <w:rPr>
          <w:rFonts w:ascii="Garamond" w:eastAsia="Garamond" w:hAnsi="Garamond" w:cs="Garamond"/>
        </w:rPr>
      </w:pPr>
      <w:r w:rsidRPr="7477FBD2">
        <w:rPr>
          <w:rFonts w:ascii="Garamond" w:eastAsia="Garamond" w:hAnsi="Garamond" w:cs="Garamond"/>
          <w:b/>
          <w:bCs/>
        </w:rPr>
        <w:t>Figure E1</w:t>
      </w:r>
      <w:r w:rsidRPr="7477FBD2">
        <w:rPr>
          <w:rFonts w:ascii="Garamond" w:eastAsia="Garamond" w:hAnsi="Garamond" w:cs="Garamond"/>
        </w:rPr>
        <w:t>. Median surface water temperature ℃ for Lake Anna, June 1</w:t>
      </w:r>
      <w:r w:rsidRPr="7477FBD2">
        <w:rPr>
          <w:rFonts w:ascii="Garamond" w:eastAsia="Garamond" w:hAnsi="Garamond" w:cs="Garamond"/>
          <w:vertAlign w:val="superscript"/>
        </w:rPr>
        <w:t>st</w:t>
      </w:r>
      <w:r w:rsidRPr="7477FBD2">
        <w:rPr>
          <w:rFonts w:ascii="Garamond" w:eastAsia="Garamond" w:hAnsi="Garamond" w:cs="Garamond"/>
        </w:rPr>
        <w:t xml:space="preserve"> – September 30</w:t>
      </w:r>
      <w:r w:rsidRPr="7477FBD2">
        <w:rPr>
          <w:rFonts w:ascii="Garamond" w:eastAsia="Garamond" w:hAnsi="Garamond" w:cs="Garamond"/>
          <w:vertAlign w:val="superscript"/>
        </w:rPr>
        <w:t>th</w:t>
      </w:r>
      <w:r w:rsidRPr="7477FBD2">
        <w:rPr>
          <w:rFonts w:ascii="Garamond" w:eastAsia="Garamond" w:hAnsi="Garamond" w:cs="Garamond"/>
        </w:rPr>
        <w:t>, 2022. Note high temperatures recorded in the Waste Heat Treatment Facility, in the southwestern portion of the reservoir.</w:t>
      </w:r>
    </w:p>
    <w:p w14:paraId="7F73E59A" w14:textId="630C3B29" w:rsidR="7E0D176A" w:rsidRPr="00C57F64" w:rsidRDefault="7E0D176A" w:rsidP="00C57F64"/>
    <w:sectPr w:rsidR="7E0D176A" w:rsidRPr="00C57F64" w:rsidSect="005874BA">
      <w:headerReference w:type="default" r:id="rId62"/>
      <w:footerReference w:type="default" r:id="rId63"/>
      <w:headerReference w:type="first" r:id="rId64"/>
      <w:footerReference w:type="first" r:id="rId6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EDEB4" w14:textId="77777777" w:rsidR="00711182" w:rsidRDefault="00711182" w:rsidP="00242822">
      <w:pPr>
        <w:spacing w:after="0" w:line="240" w:lineRule="auto"/>
      </w:pPr>
      <w:r>
        <w:separator/>
      </w:r>
    </w:p>
  </w:endnote>
  <w:endnote w:type="continuationSeparator" w:id="0">
    <w:p w14:paraId="3B1F6620" w14:textId="77777777" w:rsidR="00711182" w:rsidRDefault="00711182" w:rsidP="00242822">
      <w:pPr>
        <w:spacing w:after="0" w:line="240" w:lineRule="auto"/>
      </w:pPr>
      <w:r>
        <w:continuationSeparator/>
      </w:r>
    </w:p>
  </w:endnote>
  <w:endnote w:type="continuationNotice" w:id="1">
    <w:p w14:paraId="40F5452E" w14:textId="77777777" w:rsidR="00711182" w:rsidRDefault="00711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4144;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6192;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45E6A" w14:textId="77777777" w:rsidR="00711182" w:rsidRDefault="00711182" w:rsidP="00242822">
      <w:pPr>
        <w:spacing w:after="0" w:line="240" w:lineRule="auto"/>
      </w:pPr>
      <w:r>
        <w:separator/>
      </w:r>
    </w:p>
  </w:footnote>
  <w:footnote w:type="continuationSeparator" w:id="0">
    <w:p w14:paraId="7EC8AFF8" w14:textId="77777777" w:rsidR="00711182" w:rsidRDefault="00711182" w:rsidP="00242822">
      <w:pPr>
        <w:spacing w:after="0" w:line="240" w:lineRule="auto"/>
      </w:pPr>
      <w:r>
        <w:continuationSeparator/>
      </w:r>
    </w:p>
  </w:footnote>
  <w:footnote w:type="continuationNotice" w:id="1">
    <w:p w14:paraId="35128128" w14:textId="77777777" w:rsidR="00711182" w:rsidRDefault="00711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0AB5821" w:rsidR="000B6E68" w:rsidRPr="000B6E68" w:rsidRDefault="0077554A" w:rsidP="00552C75">
    <w:pPr>
      <w:spacing w:after="0" w:line="240" w:lineRule="auto"/>
      <w:jc w:val="right"/>
      <w:rPr>
        <w:rFonts w:ascii="Garamond" w:hAnsi="Garamond"/>
        <w:b/>
        <w:sz w:val="32"/>
        <w:szCs w:val="32"/>
      </w:rPr>
    </w:pPr>
    <w:r w:rsidRPr="00C57F6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7EE2634" w:rsidRPr="00C57F64">
      <w:rPr>
        <w:rFonts w:ascii="Garamond" w:hAnsi="Garamond"/>
        <w:b/>
        <w:bCs/>
        <w:sz w:val="32"/>
        <w:szCs w:val="32"/>
      </w:rPr>
      <w:t>Virginia – Langley</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46C"/>
    <w:multiLevelType w:val="hybridMultilevel"/>
    <w:tmpl w:val="9CDC3222"/>
    <w:lvl w:ilvl="0" w:tplc="BA0AA6A6">
      <w:start w:val="1"/>
      <w:numFmt w:val="bullet"/>
      <w:lvlText w:val="-"/>
      <w:lvlJc w:val="left"/>
      <w:pPr>
        <w:ind w:left="720" w:hanging="360"/>
      </w:pPr>
      <w:rPr>
        <w:rFonts w:ascii="Calibri" w:hAnsi="Calibri" w:hint="default"/>
      </w:rPr>
    </w:lvl>
    <w:lvl w:ilvl="1" w:tplc="9DB6C502">
      <w:start w:val="1"/>
      <w:numFmt w:val="bullet"/>
      <w:lvlText w:val="o"/>
      <w:lvlJc w:val="left"/>
      <w:pPr>
        <w:ind w:left="1440" w:hanging="360"/>
      </w:pPr>
      <w:rPr>
        <w:rFonts w:ascii="Courier New" w:hAnsi="Courier New" w:hint="default"/>
      </w:rPr>
    </w:lvl>
    <w:lvl w:ilvl="2" w:tplc="9A3ECFA0">
      <w:start w:val="1"/>
      <w:numFmt w:val="bullet"/>
      <w:lvlText w:val=""/>
      <w:lvlJc w:val="left"/>
      <w:pPr>
        <w:ind w:left="2160" w:hanging="360"/>
      </w:pPr>
      <w:rPr>
        <w:rFonts w:ascii="Wingdings" w:hAnsi="Wingdings" w:hint="default"/>
      </w:rPr>
    </w:lvl>
    <w:lvl w:ilvl="3" w:tplc="C4C09340">
      <w:start w:val="1"/>
      <w:numFmt w:val="bullet"/>
      <w:lvlText w:val=""/>
      <w:lvlJc w:val="left"/>
      <w:pPr>
        <w:ind w:left="2880" w:hanging="360"/>
      </w:pPr>
      <w:rPr>
        <w:rFonts w:ascii="Symbol" w:hAnsi="Symbol" w:hint="default"/>
      </w:rPr>
    </w:lvl>
    <w:lvl w:ilvl="4" w:tplc="83280EE2">
      <w:start w:val="1"/>
      <w:numFmt w:val="bullet"/>
      <w:lvlText w:val="o"/>
      <w:lvlJc w:val="left"/>
      <w:pPr>
        <w:ind w:left="3600" w:hanging="360"/>
      </w:pPr>
      <w:rPr>
        <w:rFonts w:ascii="Courier New" w:hAnsi="Courier New" w:hint="default"/>
      </w:rPr>
    </w:lvl>
    <w:lvl w:ilvl="5" w:tplc="75C80984">
      <w:start w:val="1"/>
      <w:numFmt w:val="bullet"/>
      <w:lvlText w:val=""/>
      <w:lvlJc w:val="left"/>
      <w:pPr>
        <w:ind w:left="4320" w:hanging="360"/>
      </w:pPr>
      <w:rPr>
        <w:rFonts w:ascii="Wingdings" w:hAnsi="Wingdings" w:hint="default"/>
      </w:rPr>
    </w:lvl>
    <w:lvl w:ilvl="6" w:tplc="480A23F8">
      <w:start w:val="1"/>
      <w:numFmt w:val="bullet"/>
      <w:lvlText w:val=""/>
      <w:lvlJc w:val="left"/>
      <w:pPr>
        <w:ind w:left="5040" w:hanging="360"/>
      </w:pPr>
      <w:rPr>
        <w:rFonts w:ascii="Symbol" w:hAnsi="Symbol" w:hint="default"/>
      </w:rPr>
    </w:lvl>
    <w:lvl w:ilvl="7" w:tplc="31E202EE">
      <w:start w:val="1"/>
      <w:numFmt w:val="bullet"/>
      <w:lvlText w:val="o"/>
      <w:lvlJc w:val="left"/>
      <w:pPr>
        <w:ind w:left="5760" w:hanging="360"/>
      </w:pPr>
      <w:rPr>
        <w:rFonts w:ascii="Courier New" w:hAnsi="Courier New" w:hint="default"/>
      </w:rPr>
    </w:lvl>
    <w:lvl w:ilvl="8" w:tplc="A28C65FA">
      <w:start w:val="1"/>
      <w:numFmt w:val="bullet"/>
      <w:lvlText w:val=""/>
      <w:lvlJc w:val="left"/>
      <w:pPr>
        <w:ind w:left="6480" w:hanging="360"/>
      </w:pPr>
      <w:rPr>
        <w:rFonts w:ascii="Wingdings" w:hAnsi="Wingdings" w:hint="default"/>
      </w:rPr>
    </w:lvl>
  </w:abstractNum>
  <w:abstractNum w:abstractNumId="1" w15:restartNumberingAfterBreak="0">
    <w:nsid w:val="02405B6A"/>
    <w:multiLevelType w:val="hybridMultilevel"/>
    <w:tmpl w:val="637A9E7C"/>
    <w:lvl w:ilvl="0" w:tplc="8B1C2AFE">
      <w:start w:val="1"/>
      <w:numFmt w:val="bullet"/>
      <w:lvlText w:val=""/>
      <w:lvlJc w:val="left"/>
      <w:pPr>
        <w:ind w:left="720" w:hanging="360"/>
      </w:pPr>
      <w:rPr>
        <w:rFonts w:ascii="Symbol" w:hAnsi="Symbol" w:hint="default"/>
      </w:rPr>
    </w:lvl>
    <w:lvl w:ilvl="1" w:tplc="AEFEB170">
      <w:start w:val="1"/>
      <w:numFmt w:val="bullet"/>
      <w:lvlText w:val="o"/>
      <w:lvlJc w:val="left"/>
      <w:pPr>
        <w:ind w:left="1440" w:hanging="360"/>
      </w:pPr>
      <w:rPr>
        <w:rFonts w:ascii="Courier New" w:hAnsi="Courier New" w:hint="default"/>
      </w:rPr>
    </w:lvl>
    <w:lvl w:ilvl="2" w:tplc="8B06DCE0">
      <w:start w:val="1"/>
      <w:numFmt w:val="bullet"/>
      <w:lvlText w:val=""/>
      <w:lvlJc w:val="left"/>
      <w:pPr>
        <w:ind w:left="2160" w:hanging="360"/>
      </w:pPr>
      <w:rPr>
        <w:rFonts w:ascii="Wingdings" w:hAnsi="Wingdings" w:hint="default"/>
      </w:rPr>
    </w:lvl>
    <w:lvl w:ilvl="3" w:tplc="34725FD6">
      <w:start w:val="1"/>
      <w:numFmt w:val="bullet"/>
      <w:lvlText w:val=""/>
      <w:lvlJc w:val="left"/>
      <w:pPr>
        <w:ind w:left="2880" w:hanging="360"/>
      </w:pPr>
      <w:rPr>
        <w:rFonts w:ascii="Symbol" w:hAnsi="Symbol" w:hint="default"/>
      </w:rPr>
    </w:lvl>
    <w:lvl w:ilvl="4" w:tplc="2E38A48C">
      <w:start w:val="1"/>
      <w:numFmt w:val="bullet"/>
      <w:lvlText w:val="o"/>
      <w:lvlJc w:val="left"/>
      <w:pPr>
        <w:ind w:left="3600" w:hanging="360"/>
      </w:pPr>
      <w:rPr>
        <w:rFonts w:ascii="Courier New" w:hAnsi="Courier New" w:hint="default"/>
      </w:rPr>
    </w:lvl>
    <w:lvl w:ilvl="5" w:tplc="F98AE66A">
      <w:start w:val="1"/>
      <w:numFmt w:val="bullet"/>
      <w:lvlText w:val=""/>
      <w:lvlJc w:val="left"/>
      <w:pPr>
        <w:ind w:left="4320" w:hanging="360"/>
      </w:pPr>
      <w:rPr>
        <w:rFonts w:ascii="Wingdings" w:hAnsi="Wingdings" w:hint="default"/>
      </w:rPr>
    </w:lvl>
    <w:lvl w:ilvl="6" w:tplc="35902CDC">
      <w:start w:val="1"/>
      <w:numFmt w:val="bullet"/>
      <w:lvlText w:val=""/>
      <w:lvlJc w:val="left"/>
      <w:pPr>
        <w:ind w:left="5040" w:hanging="360"/>
      </w:pPr>
      <w:rPr>
        <w:rFonts w:ascii="Symbol" w:hAnsi="Symbol" w:hint="default"/>
      </w:rPr>
    </w:lvl>
    <w:lvl w:ilvl="7" w:tplc="57EECF80">
      <w:start w:val="1"/>
      <w:numFmt w:val="bullet"/>
      <w:lvlText w:val="o"/>
      <w:lvlJc w:val="left"/>
      <w:pPr>
        <w:ind w:left="5760" w:hanging="360"/>
      </w:pPr>
      <w:rPr>
        <w:rFonts w:ascii="Courier New" w:hAnsi="Courier New" w:hint="default"/>
      </w:rPr>
    </w:lvl>
    <w:lvl w:ilvl="8" w:tplc="DCBA5ED0">
      <w:start w:val="1"/>
      <w:numFmt w:val="bullet"/>
      <w:lvlText w:val=""/>
      <w:lvlJc w:val="left"/>
      <w:pPr>
        <w:ind w:left="6480" w:hanging="360"/>
      </w:pPr>
      <w:rPr>
        <w:rFonts w:ascii="Wingdings" w:hAnsi="Wingdings" w:hint="default"/>
      </w:rPr>
    </w:lvl>
  </w:abstractNum>
  <w:abstractNum w:abstractNumId="2" w15:restartNumberingAfterBreak="0">
    <w:nsid w:val="0271DB14"/>
    <w:multiLevelType w:val="hybridMultilevel"/>
    <w:tmpl w:val="DCB470D8"/>
    <w:lvl w:ilvl="0" w:tplc="79F661B4">
      <w:start w:val="1"/>
      <w:numFmt w:val="bullet"/>
      <w:lvlText w:val=""/>
      <w:lvlJc w:val="left"/>
      <w:pPr>
        <w:ind w:left="720" w:hanging="360"/>
      </w:pPr>
      <w:rPr>
        <w:rFonts w:ascii="Symbol" w:hAnsi="Symbol" w:hint="default"/>
      </w:rPr>
    </w:lvl>
    <w:lvl w:ilvl="1" w:tplc="B1CC6A62">
      <w:start w:val="1"/>
      <w:numFmt w:val="bullet"/>
      <w:lvlText w:val=""/>
      <w:lvlJc w:val="left"/>
      <w:pPr>
        <w:ind w:left="1440" w:hanging="360"/>
      </w:pPr>
      <w:rPr>
        <w:rFonts w:ascii="Symbol" w:hAnsi="Symbol" w:hint="default"/>
      </w:rPr>
    </w:lvl>
    <w:lvl w:ilvl="2" w:tplc="AC281BCE">
      <w:start w:val="1"/>
      <w:numFmt w:val="bullet"/>
      <w:lvlText w:val=""/>
      <w:lvlJc w:val="left"/>
      <w:pPr>
        <w:ind w:left="2160" w:hanging="360"/>
      </w:pPr>
      <w:rPr>
        <w:rFonts w:ascii="Wingdings" w:hAnsi="Wingdings" w:hint="default"/>
      </w:rPr>
    </w:lvl>
    <w:lvl w:ilvl="3" w:tplc="F97CCA2E">
      <w:start w:val="1"/>
      <w:numFmt w:val="bullet"/>
      <w:lvlText w:val=""/>
      <w:lvlJc w:val="left"/>
      <w:pPr>
        <w:ind w:left="2880" w:hanging="360"/>
      </w:pPr>
      <w:rPr>
        <w:rFonts w:ascii="Symbol" w:hAnsi="Symbol" w:hint="default"/>
      </w:rPr>
    </w:lvl>
    <w:lvl w:ilvl="4" w:tplc="D9D67D8C">
      <w:start w:val="1"/>
      <w:numFmt w:val="bullet"/>
      <w:lvlText w:val="o"/>
      <w:lvlJc w:val="left"/>
      <w:pPr>
        <w:ind w:left="3600" w:hanging="360"/>
      </w:pPr>
      <w:rPr>
        <w:rFonts w:ascii="Courier New" w:hAnsi="Courier New" w:hint="default"/>
      </w:rPr>
    </w:lvl>
    <w:lvl w:ilvl="5" w:tplc="C12C5D1A">
      <w:start w:val="1"/>
      <w:numFmt w:val="bullet"/>
      <w:lvlText w:val=""/>
      <w:lvlJc w:val="left"/>
      <w:pPr>
        <w:ind w:left="4320" w:hanging="360"/>
      </w:pPr>
      <w:rPr>
        <w:rFonts w:ascii="Wingdings" w:hAnsi="Wingdings" w:hint="default"/>
      </w:rPr>
    </w:lvl>
    <w:lvl w:ilvl="6" w:tplc="468CE0C0">
      <w:start w:val="1"/>
      <w:numFmt w:val="bullet"/>
      <w:lvlText w:val=""/>
      <w:lvlJc w:val="left"/>
      <w:pPr>
        <w:ind w:left="5040" w:hanging="360"/>
      </w:pPr>
      <w:rPr>
        <w:rFonts w:ascii="Symbol" w:hAnsi="Symbol" w:hint="default"/>
      </w:rPr>
    </w:lvl>
    <w:lvl w:ilvl="7" w:tplc="A862204E">
      <w:start w:val="1"/>
      <w:numFmt w:val="bullet"/>
      <w:lvlText w:val="o"/>
      <w:lvlJc w:val="left"/>
      <w:pPr>
        <w:ind w:left="5760" w:hanging="360"/>
      </w:pPr>
      <w:rPr>
        <w:rFonts w:ascii="Courier New" w:hAnsi="Courier New" w:hint="default"/>
      </w:rPr>
    </w:lvl>
    <w:lvl w:ilvl="8" w:tplc="DCB6D3A4">
      <w:start w:val="1"/>
      <w:numFmt w:val="bullet"/>
      <w:lvlText w:val=""/>
      <w:lvlJc w:val="left"/>
      <w:pPr>
        <w:ind w:left="6480" w:hanging="360"/>
      </w:pPr>
      <w:rPr>
        <w:rFonts w:ascii="Wingdings" w:hAnsi="Wingdings" w:hint="default"/>
      </w:rPr>
    </w:lvl>
  </w:abstractNum>
  <w:abstractNum w:abstractNumId="3"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4"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5"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6" w15:restartNumberingAfterBreak="0">
    <w:nsid w:val="1E2C4961"/>
    <w:multiLevelType w:val="hybridMultilevel"/>
    <w:tmpl w:val="64349D88"/>
    <w:lvl w:ilvl="0" w:tplc="0C4E8172">
      <w:start w:val="1"/>
      <w:numFmt w:val="bullet"/>
      <w:lvlText w:val=""/>
      <w:lvlJc w:val="left"/>
      <w:pPr>
        <w:ind w:left="1080" w:hanging="360"/>
      </w:pPr>
      <w:rPr>
        <w:rFonts w:ascii="Symbol" w:hAnsi="Symbol" w:hint="default"/>
      </w:rPr>
    </w:lvl>
    <w:lvl w:ilvl="1" w:tplc="7812C74A">
      <w:start w:val="1"/>
      <w:numFmt w:val="bullet"/>
      <w:lvlText w:val="o"/>
      <w:lvlJc w:val="left"/>
      <w:pPr>
        <w:ind w:left="1800" w:hanging="360"/>
      </w:pPr>
      <w:rPr>
        <w:rFonts w:ascii="Courier New" w:hAnsi="Courier New" w:hint="default"/>
      </w:rPr>
    </w:lvl>
    <w:lvl w:ilvl="2" w:tplc="EB76BB96">
      <w:start w:val="1"/>
      <w:numFmt w:val="bullet"/>
      <w:lvlText w:val=""/>
      <w:lvlJc w:val="left"/>
      <w:pPr>
        <w:ind w:left="2520" w:hanging="360"/>
      </w:pPr>
      <w:rPr>
        <w:rFonts w:ascii="Wingdings" w:hAnsi="Wingdings" w:hint="default"/>
      </w:rPr>
    </w:lvl>
    <w:lvl w:ilvl="3" w:tplc="0254A76E">
      <w:start w:val="1"/>
      <w:numFmt w:val="bullet"/>
      <w:lvlText w:val=""/>
      <w:lvlJc w:val="left"/>
      <w:pPr>
        <w:ind w:left="3240" w:hanging="360"/>
      </w:pPr>
      <w:rPr>
        <w:rFonts w:ascii="Symbol" w:hAnsi="Symbol" w:hint="default"/>
      </w:rPr>
    </w:lvl>
    <w:lvl w:ilvl="4" w:tplc="A9747724">
      <w:start w:val="1"/>
      <w:numFmt w:val="bullet"/>
      <w:lvlText w:val="o"/>
      <w:lvlJc w:val="left"/>
      <w:pPr>
        <w:ind w:left="3960" w:hanging="360"/>
      </w:pPr>
      <w:rPr>
        <w:rFonts w:ascii="Courier New" w:hAnsi="Courier New" w:hint="default"/>
      </w:rPr>
    </w:lvl>
    <w:lvl w:ilvl="5" w:tplc="2D1E30B0">
      <w:start w:val="1"/>
      <w:numFmt w:val="bullet"/>
      <w:lvlText w:val=""/>
      <w:lvlJc w:val="left"/>
      <w:pPr>
        <w:ind w:left="4680" w:hanging="360"/>
      </w:pPr>
      <w:rPr>
        <w:rFonts w:ascii="Wingdings" w:hAnsi="Wingdings" w:hint="default"/>
      </w:rPr>
    </w:lvl>
    <w:lvl w:ilvl="6" w:tplc="590450D2">
      <w:start w:val="1"/>
      <w:numFmt w:val="bullet"/>
      <w:lvlText w:val=""/>
      <w:lvlJc w:val="left"/>
      <w:pPr>
        <w:ind w:left="5400" w:hanging="360"/>
      </w:pPr>
      <w:rPr>
        <w:rFonts w:ascii="Symbol" w:hAnsi="Symbol" w:hint="default"/>
      </w:rPr>
    </w:lvl>
    <w:lvl w:ilvl="7" w:tplc="F3C22316">
      <w:start w:val="1"/>
      <w:numFmt w:val="bullet"/>
      <w:lvlText w:val="o"/>
      <w:lvlJc w:val="left"/>
      <w:pPr>
        <w:ind w:left="6120" w:hanging="360"/>
      </w:pPr>
      <w:rPr>
        <w:rFonts w:ascii="Courier New" w:hAnsi="Courier New" w:hint="default"/>
      </w:rPr>
    </w:lvl>
    <w:lvl w:ilvl="8" w:tplc="6A9E9D9C">
      <w:start w:val="1"/>
      <w:numFmt w:val="bullet"/>
      <w:lvlText w:val=""/>
      <w:lvlJc w:val="left"/>
      <w:pPr>
        <w:ind w:left="684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2F88D421"/>
    <w:multiLevelType w:val="hybridMultilevel"/>
    <w:tmpl w:val="74B49174"/>
    <w:lvl w:ilvl="0" w:tplc="8ADC8D9E">
      <w:start w:val="1"/>
      <w:numFmt w:val="bullet"/>
      <w:lvlText w:val=""/>
      <w:lvlJc w:val="left"/>
      <w:pPr>
        <w:ind w:left="720" w:hanging="360"/>
      </w:pPr>
      <w:rPr>
        <w:rFonts w:ascii="Symbol" w:hAnsi="Symbol" w:hint="default"/>
      </w:rPr>
    </w:lvl>
    <w:lvl w:ilvl="1" w:tplc="4D0EA04A">
      <w:start w:val="1"/>
      <w:numFmt w:val="bullet"/>
      <w:lvlText w:val="o"/>
      <w:lvlJc w:val="left"/>
      <w:pPr>
        <w:ind w:left="1440" w:hanging="360"/>
      </w:pPr>
      <w:rPr>
        <w:rFonts w:ascii="Courier New" w:hAnsi="Courier New" w:hint="default"/>
      </w:rPr>
    </w:lvl>
    <w:lvl w:ilvl="2" w:tplc="BF128C3C">
      <w:start w:val="1"/>
      <w:numFmt w:val="bullet"/>
      <w:lvlText w:val=""/>
      <w:lvlJc w:val="left"/>
      <w:pPr>
        <w:ind w:left="2160" w:hanging="360"/>
      </w:pPr>
      <w:rPr>
        <w:rFonts w:ascii="Wingdings" w:hAnsi="Wingdings" w:hint="default"/>
      </w:rPr>
    </w:lvl>
    <w:lvl w:ilvl="3" w:tplc="7988B92C">
      <w:start w:val="1"/>
      <w:numFmt w:val="bullet"/>
      <w:lvlText w:val=""/>
      <w:lvlJc w:val="left"/>
      <w:pPr>
        <w:ind w:left="2880" w:hanging="360"/>
      </w:pPr>
      <w:rPr>
        <w:rFonts w:ascii="Symbol" w:hAnsi="Symbol" w:hint="default"/>
      </w:rPr>
    </w:lvl>
    <w:lvl w:ilvl="4" w:tplc="706EC2F0">
      <w:start w:val="1"/>
      <w:numFmt w:val="bullet"/>
      <w:lvlText w:val="o"/>
      <w:lvlJc w:val="left"/>
      <w:pPr>
        <w:ind w:left="3600" w:hanging="360"/>
      </w:pPr>
      <w:rPr>
        <w:rFonts w:ascii="Courier New" w:hAnsi="Courier New" w:hint="default"/>
      </w:rPr>
    </w:lvl>
    <w:lvl w:ilvl="5" w:tplc="FFBED12A">
      <w:start w:val="1"/>
      <w:numFmt w:val="bullet"/>
      <w:lvlText w:val=""/>
      <w:lvlJc w:val="left"/>
      <w:pPr>
        <w:ind w:left="4320" w:hanging="360"/>
      </w:pPr>
      <w:rPr>
        <w:rFonts w:ascii="Wingdings" w:hAnsi="Wingdings" w:hint="default"/>
      </w:rPr>
    </w:lvl>
    <w:lvl w:ilvl="6" w:tplc="E430BC42">
      <w:start w:val="1"/>
      <w:numFmt w:val="bullet"/>
      <w:lvlText w:val=""/>
      <w:lvlJc w:val="left"/>
      <w:pPr>
        <w:ind w:left="5040" w:hanging="360"/>
      </w:pPr>
      <w:rPr>
        <w:rFonts w:ascii="Symbol" w:hAnsi="Symbol" w:hint="default"/>
      </w:rPr>
    </w:lvl>
    <w:lvl w:ilvl="7" w:tplc="C66A7F3C">
      <w:start w:val="1"/>
      <w:numFmt w:val="bullet"/>
      <w:lvlText w:val="o"/>
      <w:lvlJc w:val="left"/>
      <w:pPr>
        <w:ind w:left="5760" w:hanging="360"/>
      </w:pPr>
      <w:rPr>
        <w:rFonts w:ascii="Courier New" w:hAnsi="Courier New" w:hint="default"/>
      </w:rPr>
    </w:lvl>
    <w:lvl w:ilvl="8" w:tplc="AF32B16C">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779D408"/>
    <w:multiLevelType w:val="hybridMultilevel"/>
    <w:tmpl w:val="8EF48ED8"/>
    <w:lvl w:ilvl="0" w:tplc="717AB848">
      <w:start w:val="1"/>
      <w:numFmt w:val="bullet"/>
      <w:lvlText w:val=""/>
      <w:lvlJc w:val="left"/>
      <w:pPr>
        <w:ind w:left="720" w:hanging="360"/>
      </w:pPr>
      <w:rPr>
        <w:rFonts w:ascii="Symbol" w:hAnsi="Symbol" w:hint="default"/>
      </w:rPr>
    </w:lvl>
    <w:lvl w:ilvl="1" w:tplc="22B00E9A">
      <w:start w:val="1"/>
      <w:numFmt w:val="bullet"/>
      <w:lvlText w:val="o"/>
      <w:lvlJc w:val="left"/>
      <w:pPr>
        <w:ind w:left="1440" w:hanging="360"/>
      </w:pPr>
      <w:rPr>
        <w:rFonts w:ascii="Courier New" w:hAnsi="Courier New" w:hint="default"/>
      </w:rPr>
    </w:lvl>
    <w:lvl w:ilvl="2" w:tplc="8F72A462">
      <w:start w:val="1"/>
      <w:numFmt w:val="bullet"/>
      <w:lvlText w:val=""/>
      <w:lvlJc w:val="left"/>
      <w:pPr>
        <w:ind w:left="2160" w:hanging="360"/>
      </w:pPr>
      <w:rPr>
        <w:rFonts w:ascii="Wingdings" w:hAnsi="Wingdings" w:hint="default"/>
      </w:rPr>
    </w:lvl>
    <w:lvl w:ilvl="3" w:tplc="AFFE13F6">
      <w:start w:val="1"/>
      <w:numFmt w:val="bullet"/>
      <w:lvlText w:val=""/>
      <w:lvlJc w:val="left"/>
      <w:pPr>
        <w:ind w:left="2880" w:hanging="360"/>
      </w:pPr>
      <w:rPr>
        <w:rFonts w:ascii="Symbol" w:hAnsi="Symbol" w:hint="default"/>
      </w:rPr>
    </w:lvl>
    <w:lvl w:ilvl="4" w:tplc="0268B1A2">
      <w:start w:val="1"/>
      <w:numFmt w:val="bullet"/>
      <w:lvlText w:val="o"/>
      <w:lvlJc w:val="left"/>
      <w:pPr>
        <w:ind w:left="3600" w:hanging="360"/>
      </w:pPr>
      <w:rPr>
        <w:rFonts w:ascii="Courier New" w:hAnsi="Courier New" w:hint="default"/>
      </w:rPr>
    </w:lvl>
    <w:lvl w:ilvl="5" w:tplc="3E5CAF5C">
      <w:start w:val="1"/>
      <w:numFmt w:val="bullet"/>
      <w:lvlText w:val=""/>
      <w:lvlJc w:val="left"/>
      <w:pPr>
        <w:ind w:left="4320" w:hanging="360"/>
      </w:pPr>
      <w:rPr>
        <w:rFonts w:ascii="Wingdings" w:hAnsi="Wingdings" w:hint="default"/>
      </w:rPr>
    </w:lvl>
    <w:lvl w:ilvl="6" w:tplc="100C1274">
      <w:start w:val="1"/>
      <w:numFmt w:val="bullet"/>
      <w:lvlText w:val=""/>
      <w:lvlJc w:val="left"/>
      <w:pPr>
        <w:ind w:left="5040" w:hanging="360"/>
      </w:pPr>
      <w:rPr>
        <w:rFonts w:ascii="Symbol" w:hAnsi="Symbol" w:hint="default"/>
      </w:rPr>
    </w:lvl>
    <w:lvl w:ilvl="7" w:tplc="6D8AB9F0">
      <w:start w:val="1"/>
      <w:numFmt w:val="bullet"/>
      <w:lvlText w:val="o"/>
      <w:lvlJc w:val="left"/>
      <w:pPr>
        <w:ind w:left="5760" w:hanging="360"/>
      </w:pPr>
      <w:rPr>
        <w:rFonts w:ascii="Courier New" w:hAnsi="Courier New" w:hint="default"/>
      </w:rPr>
    </w:lvl>
    <w:lvl w:ilvl="8" w:tplc="C09A442A">
      <w:start w:val="1"/>
      <w:numFmt w:val="bullet"/>
      <w:lvlText w:val=""/>
      <w:lvlJc w:val="left"/>
      <w:pPr>
        <w:ind w:left="6480" w:hanging="360"/>
      </w:pPr>
      <w:rPr>
        <w:rFonts w:ascii="Wingdings" w:hAnsi="Wingdings" w:hint="default"/>
      </w:rPr>
    </w:lvl>
  </w:abstractNum>
  <w:abstractNum w:abstractNumId="11" w15:restartNumberingAfterBreak="0">
    <w:nsid w:val="38B67A60"/>
    <w:multiLevelType w:val="hybridMultilevel"/>
    <w:tmpl w:val="6AEC4D5A"/>
    <w:lvl w:ilvl="0" w:tplc="F678F9F6">
      <w:start w:val="1"/>
      <w:numFmt w:val="bullet"/>
      <w:lvlText w:val=""/>
      <w:lvlJc w:val="left"/>
      <w:pPr>
        <w:ind w:left="1080" w:hanging="360"/>
      </w:pPr>
      <w:rPr>
        <w:rFonts w:ascii="Symbol" w:hAnsi="Symbol" w:hint="default"/>
      </w:rPr>
    </w:lvl>
    <w:lvl w:ilvl="1" w:tplc="07BE7E2C">
      <w:start w:val="1"/>
      <w:numFmt w:val="bullet"/>
      <w:lvlText w:val="o"/>
      <w:lvlJc w:val="left"/>
      <w:pPr>
        <w:ind w:left="1800" w:hanging="360"/>
      </w:pPr>
      <w:rPr>
        <w:rFonts w:ascii="Courier New" w:hAnsi="Courier New" w:hint="default"/>
      </w:rPr>
    </w:lvl>
    <w:lvl w:ilvl="2" w:tplc="D8909AE0">
      <w:start w:val="1"/>
      <w:numFmt w:val="bullet"/>
      <w:lvlText w:val=""/>
      <w:lvlJc w:val="left"/>
      <w:pPr>
        <w:ind w:left="2520" w:hanging="360"/>
      </w:pPr>
      <w:rPr>
        <w:rFonts w:ascii="Wingdings" w:hAnsi="Wingdings" w:hint="default"/>
      </w:rPr>
    </w:lvl>
    <w:lvl w:ilvl="3" w:tplc="24CADC82">
      <w:start w:val="1"/>
      <w:numFmt w:val="bullet"/>
      <w:lvlText w:val=""/>
      <w:lvlJc w:val="left"/>
      <w:pPr>
        <w:ind w:left="3240" w:hanging="360"/>
      </w:pPr>
      <w:rPr>
        <w:rFonts w:ascii="Symbol" w:hAnsi="Symbol" w:hint="default"/>
      </w:rPr>
    </w:lvl>
    <w:lvl w:ilvl="4" w:tplc="058C063A">
      <w:start w:val="1"/>
      <w:numFmt w:val="bullet"/>
      <w:lvlText w:val="o"/>
      <w:lvlJc w:val="left"/>
      <w:pPr>
        <w:ind w:left="3960" w:hanging="360"/>
      </w:pPr>
      <w:rPr>
        <w:rFonts w:ascii="Courier New" w:hAnsi="Courier New" w:hint="default"/>
      </w:rPr>
    </w:lvl>
    <w:lvl w:ilvl="5" w:tplc="278EE680">
      <w:start w:val="1"/>
      <w:numFmt w:val="bullet"/>
      <w:lvlText w:val=""/>
      <w:lvlJc w:val="left"/>
      <w:pPr>
        <w:ind w:left="4680" w:hanging="360"/>
      </w:pPr>
      <w:rPr>
        <w:rFonts w:ascii="Wingdings" w:hAnsi="Wingdings" w:hint="default"/>
      </w:rPr>
    </w:lvl>
    <w:lvl w:ilvl="6" w:tplc="72BAC0F4">
      <w:start w:val="1"/>
      <w:numFmt w:val="bullet"/>
      <w:lvlText w:val=""/>
      <w:lvlJc w:val="left"/>
      <w:pPr>
        <w:ind w:left="5400" w:hanging="360"/>
      </w:pPr>
      <w:rPr>
        <w:rFonts w:ascii="Symbol" w:hAnsi="Symbol" w:hint="default"/>
      </w:rPr>
    </w:lvl>
    <w:lvl w:ilvl="7" w:tplc="C35E9C9E">
      <w:start w:val="1"/>
      <w:numFmt w:val="bullet"/>
      <w:lvlText w:val="o"/>
      <w:lvlJc w:val="left"/>
      <w:pPr>
        <w:ind w:left="6120" w:hanging="360"/>
      </w:pPr>
      <w:rPr>
        <w:rFonts w:ascii="Courier New" w:hAnsi="Courier New" w:hint="default"/>
      </w:rPr>
    </w:lvl>
    <w:lvl w:ilvl="8" w:tplc="052EF5A6">
      <w:start w:val="1"/>
      <w:numFmt w:val="bullet"/>
      <w:lvlText w:val=""/>
      <w:lvlJc w:val="left"/>
      <w:pPr>
        <w:ind w:left="6840" w:hanging="360"/>
      </w:pPr>
      <w:rPr>
        <w:rFonts w:ascii="Wingdings" w:hAnsi="Wingdings" w:hint="default"/>
      </w:rPr>
    </w:lvl>
  </w:abstractNum>
  <w:abstractNum w:abstractNumId="12"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3"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4" w15:restartNumberingAfterBreak="0">
    <w:nsid w:val="3D8499BB"/>
    <w:multiLevelType w:val="hybridMultilevel"/>
    <w:tmpl w:val="D9727B90"/>
    <w:lvl w:ilvl="0" w:tplc="AD948E90">
      <w:start w:val="1"/>
      <w:numFmt w:val="bullet"/>
      <w:lvlText w:val="-"/>
      <w:lvlJc w:val="left"/>
      <w:pPr>
        <w:ind w:left="720" w:hanging="360"/>
      </w:pPr>
      <w:rPr>
        <w:rFonts w:ascii="Calibri" w:hAnsi="Calibri" w:hint="default"/>
      </w:rPr>
    </w:lvl>
    <w:lvl w:ilvl="1" w:tplc="9E1C4A50">
      <w:start w:val="1"/>
      <w:numFmt w:val="bullet"/>
      <w:lvlText w:val="o"/>
      <w:lvlJc w:val="left"/>
      <w:pPr>
        <w:ind w:left="1440" w:hanging="360"/>
      </w:pPr>
      <w:rPr>
        <w:rFonts w:ascii="Courier New" w:hAnsi="Courier New" w:hint="default"/>
      </w:rPr>
    </w:lvl>
    <w:lvl w:ilvl="2" w:tplc="593E3B8E">
      <w:start w:val="1"/>
      <w:numFmt w:val="bullet"/>
      <w:lvlText w:val=""/>
      <w:lvlJc w:val="left"/>
      <w:pPr>
        <w:ind w:left="2160" w:hanging="360"/>
      </w:pPr>
      <w:rPr>
        <w:rFonts w:ascii="Wingdings" w:hAnsi="Wingdings" w:hint="default"/>
      </w:rPr>
    </w:lvl>
    <w:lvl w:ilvl="3" w:tplc="3926BFF4">
      <w:start w:val="1"/>
      <w:numFmt w:val="bullet"/>
      <w:lvlText w:val=""/>
      <w:lvlJc w:val="left"/>
      <w:pPr>
        <w:ind w:left="2880" w:hanging="360"/>
      </w:pPr>
      <w:rPr>
        <w:rFonts w:ascii="Symbol" w:hAnsi="Symbol" w:hint="default"/>
      </w:rPr>
    </w:lvl>
    <w:lvl w:ilvl="4" w:tplc="8A44D5A0">
      <w:start w:val="1"/>
      <w:numFmt w:val="bullet"/>
      <w:lvlText w:val="o"/>
      <w:lvlJc w:val="left"/>
      <w:pPr>
        <w:ind w:left="3600" w:hanging="360"/>
      </w:pPr>
      <w:rPr>
        <w:rFonts w:ascii="Courier New" w:hAnsi="Courier New" w:hint="default"/>
      </w:rPr>
    </w:lvl>
    <w:lvl w:ilvl="5" w:tplc="149AE02A">
      <w:start w:val="1"/>
      <w:numFmt w:val="bullet"/>
      <w:lvlText w:val=""/>
      <w:lvlJc w:val="left"/>
      <w:pPr>
        <w:ind w:left="4320" w:hanging="360"/>
      </w:pPr>
      <w:rPr>
        <w:rFonts w:ascii="Wingdings" w:hAnsi="Wingdings" w:hint="default"/>
      </w:rPr>
    </w:lvl>
    <w:lvl w:ilvl="6" w:tplc="6222110E">
      <w:start w:val="1"/>
      <w:numFmt w:val="bullet"/>
      <w:lvlText w:val=""/>
      <w:lvlJc w:val="left"/>
      <w:pPr>
        <w:ind w:left="5040" w:hanging="360"/>
      </w:pPr>
      <w:rPr>
        <w:rFonts w:ascii="Symbol" w:hAnsi="Symbol" w:hint="default"/>
      </w:rPr>
    </w:lvl>
    <w:lvl w:ilvl="7" w:tplc="A20E8A1A">
      <w:start w:val="1"/>
      <w:numFmt w:val="bullet"/>
      <w:lvlText w:val="o"/>
      <w:lvlJc w:val="left"/>
      <w:pPr>
        <w:ind w:left="5760" w:hanging="360"/>
      </w:pPr>
      <w:rPr>
        <w:rFonts w:ascii="Courier New" w:hAnsi="Courier New" w:hint="default"/>
      </w:rPr>
    </w:lvl>
    <w:lvl w:ilvl="8" w:tplc="700E3916">
      <w:start w:val="1"/>
      <w:numFmt w:val="bullet"/>
      <w:lvlText w:val=""/>
      <w:lvlJc w:val="left"/>
      <w:pPr>
        <w:ind w:left="6480" w:hanging="360"/>
      </w:pPr>
      <w:rPr>
        <w:rFonts w:ascii="Wingdings" w:hAnsi="Wingdings" w:hint="default"/>
      </w:rPr>
    </w:lvl>
  </w:abstractNum>
  <w:abstractNum w:abstractNumId="15" w15:restartNumberingAfterBreak="0">
    <w:nsid w:val="3F48ACAA"/>
    <w:multiLevelType w:val="hybridMultilevel"/>
    <w:tmpl w:val="B13CD002"/>
    <w:lvl w:ilvl="0" w:tplc="97DEA790">
      <w:start w:val="1"/>
      <w:numFmt w:val="bullet"/>
      <w:lvlText w:val="-"/>
      <w:lvlJc w:val="left"/>
      <w:pPr>
        <w:ind w:left="720" w:hanging="360"/>
      </w:pPr>
      <w:rPr>
        <w:rFonts w:ascii="Calibri" w:hAnsi="Calibri" w:hint="default"/>
      </w:rPr>
    </w:lvl>
    <w:lvl w:ilvl="1" w:tplc="B2A4D29C">
      <w:start w:val="1"/>
      <w:numFmt w:val="bullet"/>
      <w:lvlText w:val="o"/>
      <w:lvlJc w:val="left"/>
      <w:pPr>
        <w:ind w:left="1440" w:hanging="360"/>
      </w:pPr>
      <w:rPr>
        <w:rFonts w:ascii="Courier New" w:hAnsi="Courier New" w:hint="default"/>
      </w:rPr>
    </w:lvl>
    <w:lvl w:ilvl="2" w:tplc="5BAC3DC4">
      <w:start w:val="1"/>
      <w:numFmt w:val="bullet"/>
      <w:lvlText w:val=""/>
      <w:lvlJc w:val="left"/>
      <w:pPr>
        <w:ind w:left="2160" w:hanging="360"/>
      </w:pPr>
      <w:rPr>
        <w:rFonts w:ascii="Wingdings" w:hAnsi="Wingdings" w:hint="default"/>
      </w:rPr>
    </w:lvl>
    <w:lvl w:ilvl="3" w:tplc="D94826D0">
      <w:start w:val="1"/>
      <w:numFmt w:val="bullet"/>
      <w:lvlText w:val=""/>
      <w:lvlJc w:val="left"/>
      <w:pPr>
        <w:ind w:left="2880" w:hanging="360"/>
      </w:pPr>
      <w:rPr>
        <w:rFonts w:ascii="Symbol" w:hAnsi="Symbol" w:hint="default"/>
      </w:rPr>
    </w:lvl>
    <w:lvl w:ilvl="4" w:tplc="3C6EA724">
      <w:start w:val="1"/>
      <w:numFmt w:val="bullet"/>
      <w:lvlText w:val="o"/>
      <w:lvlJc w:val="left"/>
      <w:pPr>
        <w:ind w:left="3600" w:hanging="360"/>
      </w:pPr>
      <w:rPr>
        <w:rFonts w:ascii="Courier New" w:hAnsi="Courier New" w:hint="default"/>
      </w:rPr>
    </w:lvl>
    <w:lvl w:ilvl="5" w:tplc="B286692C">
      <w:start w:val="1"/>
      <w:numFmt w:val="bullet"/>
      <w:lvlText w:val=""/>
      <w:lvlJc w:val="left"/>
      <w:pPr>
        <w:ind w:left="4320" w:hanging="360"/>
      </w:pPr>
      <w:rPr>
        <w:rFonts w:ascii="Wingdings" w:hAnsi="Wingdings" w:hint="default"/>
      </w:rPr>
    </w:lvl>
    <w:lvl w:ilvl="6" w:tplc="244CFA9E">
      <w:start w:val="1"/>
      <w:numFmt w:val="bullet"/>
      <w:lvlText w:val=""/>
      <w:lvlJc w:val="left"/>
      <w:pPr>
        <w:ind w:left="5040" w:hanging="360"/>
      </w:pPr>
      <w:rPr>
        <w:rFonts w:ascii="Symbol" w:hAnsi="Symbol" w:hint="default"/>
      </w:rPr>
    </w:lvl>
    <w:lvl w:ilvl="7" w:tplc="1C2AE564">
      <w:start w:val="1"/>
      <w:numFmt w:val="bullet"/>
      <w:lvlText w:val="o"/>
      <w:lvlJc w:val="left"/>
      <w:pPr>
        <w:ind w:left="5760" w:hanging="360"/>
      </w:pPr>
      <w:rPr>
        <w:rFonts w:ascii="Courier New" w:hAnsi="Courier New" w:hint="default"/>
      </w:rPr>
    </w:lvl>
    <w:lvl w:ilvl="8" w:tplc="C7047D12">
      <w:start w:val="1"/>
      <w:numFmt w:val="bullet"/>
      <w:lvlText w:val=""/>
      <w:lvlJc w:val="left"/>
      <w:pPr>
        <w:ind w:left="6480" w:hanging="360"/>
      </w:pPr>
      <w:rPr>
        <w:rFonts w:ascii="Wingdings" w:hAnsi="Wingdings" w:hint="default"/>
      </w:rPr>
    </w:lvl>
  </w:abstractNum>
  <w:abstractNum w:abstractNumId="16" w15:restartNumberingAfterBreak="0">
    <w:nsid w:val="45A36588"/>
    <w:multiLevelType w:val="hybridMultilevel"/>
    <w:tmpl w:val="B94623BE"/>
    <w:lvl w:ilvl="0" w:tplc="995ABC2A">
      <w:start w:val="1"/>
      <w:numFmt w:val="bullet"/>
      <w:lvlText w:val=""/>
      <w:lvlJc w:val="left"/>
      <w:pPr>
        <w:ind w:left="720" w:hanging="360"/>
      </w:pPr>
      <w:rPr>
        <w:rFonts w:ascii="Symbol" w:hAnsi="Symbol" w:hint="default"/>
      </w:rPr>
    </w:lvl>
    <w:lvl w:ilvl="1" w:tplc="251ADE26">
      <w:start w:val="1"/>
      <w:numFmt w:val="bullet"/>
      <w:lvlText w:val="o"/>
      <w:lvlJc w:val="left"/>
      <w:pPr>
        <w:ind w:left="1440" w:hanging="360"/>
      </w:pPr>
      <w:rPr>
        <w:rFonts w:ascii="Courier New" w:hAnsi="Courier New" w:hint="default"/>
      </w:rPr>
    </w:lvl>
    <w:lvl w:ilvl="2" w:tplc="F74A5C12">
      <w:start w:val="1"/>
      <w:numFmt w:val="bullet"/>
      <w:lvlText w:val=""/>
      <w:lvlJc w:val="left"/>
      <w:pPr>
        <w:ind w:left="2160" w:hanging="360"/>
      </w:pPr>
      <w:rPr>
        <w:rFonts w:ascii="Wingdings" w:hAnsi="Wingdings" w:hint="default"/>
      </w:rPr>
    </w:lvl>
    <w:lvl w:ilvl="3" w:tplc="8FC4CCFE">
      <w:start w:val="1"/>
      <w:numFmt w:val="bullet"/>
      <w:lvlText w:val=""/>
      <w:lvlJc w:val="left"/>
      <w:pPr>
        <w:ind w:left="2880" w:hanging="360"/>
      </w:pPr>
      <w:rPr>
        <w:rFonts w:ascii="Symbol" w:hAnsi="Symbol" w:hint="default"/>
      </w:rPr>
    </w:lvl>
    <w:lvl w:ilvl="4" w:tplc="E77ACC98">
      <w:start w:val="1"/>
      <w:numFmt w:val="bullet"/>
      <w:lvlText w:val="o"/>
      <w:lvlJc w:val="left"/>
      <w:pPr>
        <w:ind w:left="3600" w:hanging="360"/>
      </w:pPr>
      <w:rPr>
        <w:rFonts w:ascii="Courier New" w:hAnsi="Courier New" w:hint="default"/>
      </w:rPr>
    </w:lvl>
    <w:lvl w:ilvl="5" w:tplc="80DCF114">
      <w:start w:val="1"/>
      <w:numFmt w:val="bullet"/>
      <w:lvlText w:val=""/>
      <w:lvlJc w:val="left"/>
      <w:pPr>
        <w:ind w:left="4320" w:hanging="360"/>
      </w:pPr>
      <w:rPr>
        <w:rFonts w:ascii="Wingdings" w:hAnsi="Wingdings" w:hint="default"/>
      </w:rPr>
    </w:lvl>
    <w:lvl w:ilvl="6" w:tplc="0E3208BA">
      <w:start w:val="1"/>
      <w:numFmt w:val="bullet"/>
      <w:lvlText w:val=""/>
      <w:lvlJc w:val="left"/>
      <w:pPr>
        <w:ind w:left="5040" w:hanging="360"/>
      </w:pPr>
      <w:rPr>
        <w:rFonts w:ascii="Symbol" w:hAnsi="Symbol" w:hint="default"/>
      </w:rPr>
    </w:lvl>
    <w:lvl w:ilvl="7" w:tplc="465C8BD6">
      <w:start w:val="1"/>
      <w:numFmt w:val="bullet"/>
      <w:lvlText w:val="o"/>
      <w:lvlJc w:val="left"/>
      <w:pPr>
        <w:ind w:left="5760" w:hanging="360"/>
      </w:pPr>
      <w:rPr>
        <w:rFonts w:ascii="Courier New" w:hAnsi="Courier New" w:hint="default"/>
      </w:rPr>
    </w:lvl>
    <w:lvl w:ilvl="8" w:tplc="F85C6EC0">
      <w:start w:val="1"/>
      <w:numFmt w:val="bullet"/>
      <w:lvlText w:val=""/>
      <w:lvlJc w:val="left"/>
      <w:pPr>
        <w:ind w:left="6480" w:hanging="360"/>
      </w:pPr>
      <w:rPr>
        <w:rFonts w:ascii="Wingdings" w:hAnsi="Wingdings" w:hint="default"/>
      </w:rPr>
    </w:lvl>
  </w:abstractNum>
  <w:abstractNum w:abstractNumId="1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9" w15:restartNumberingAfterBreak="0">
    <w:nsid w:val="4CA82683"/>
    <w:multiLevelType w:val="hybridMultilevel"/>
    <w:tmpl w:val="FFFFFFFF"/>
    <w:lvl w:ilvl="0" w:tplc="D1CAE676">
      <w:start w:val="1"/>
      <w:numFmt w:val="bullet"/>
      <w:lvlText w:val=""/>
      <w:lvlJc w:val="left"/>
      <w:pPr>
        <w:ind w:left="720" w:hanging="360"/>
      </w:pPr>
      <w:rPr>
        <w:rFonts w:ascii="Symbol" w:hAnsi="Symbol" w:hint="default"/>
      </w:rPr>
    </w:lvl>
    <w:lvl w:ilvl="1" w:tplc="C01A2E42">
      <w:start w:val="1"/>
      <w:numFmt w:val="bullet"/>
      <w:lvlText w:val="o"/>
      <w:lvlJc w:val="left"/>
      <w:pPr>
        <w:ind w:left="1440" w:hanging="360"/>
      </w:pPr>
      <w:rPr>
        <w:rFonts w:ascii="Courier New" w:hAnsi="Courier New" w:hint="default"/>
      </w:rPr>
    </w:lvl>
    <w:lvl w:ilvl="2" w:tplc="1CDA2244">
      <w:start w:val="1"/>
      <w:numFmt w:val="bullet"/>
      <w:lvlText w:val=""/>
      <w:lvlJc w:val="left"/>
      <w:pPr>
        <w:ind w:left="2160" w:hanging="360"/>
      </w:pPr>
      <w:rPr>
        <w:rFonts w:ascii="Wingdings" w:hAnsi="Wingdings" w:hint="default"/>
      </w:rPr>
    </w:lvl>
    <w:lvl w:ilvl="3" w:tplc="06A09584">
      <w:start w:val="1"/>
      <w:numFmt w:val="bullet"/>
      <w:lvlText w:val=""/>
      <w:lvlJc w:val="left"/>
      <w:pPr>
        <w:ind w:left="2880" w:hanging="360"/>
      </w:pPr>
      <w:rPr>
        <w:rFonts w:ascii="Symbol" w:hAnsi="Symbol" w:hint="default"/>
      </w:rPr>
    </w:lvl>
    <w:lvl w:ilvl="4" w:tplc="6D9A2E00">
      <w:start w:val="1"/>
      <w:numFmt w:val="bullet"/>
      <w:lvlText w:val="o"/>
      <w:lvlJc w:val="left"/>
      <w:pPr>
        <w:ind w:left="3600" w:hanging="360"/>
      </w:pPr>
      <w:rPr>
        <w:rFonts w:ascii="Courier New" w:hAnsi="Courier New" w:hint="default"/>
      </w:rPr>
    </w:lvl>
    <w:lvl w:ilvl="5" w:tplc="11487650">
      <w:start w:val="1"/>
      <w:numFmt w:val="bullet"/>
      <w:lvlText w:val=""/>
      <w:lvlJc w:val="left"/>
      <w:pPr>
        <w:ind w:left="4320" w:hanging="360"/>
      </w:pPr>
      <w:rPr>
        <w:rFonts w:ascii="Wingdings" w:hAnsi="Wingdings" w:hint="default"/>
      </w:rPr>
    </w:lvl>
    <w:lvl w:ilvl="6" w:tplc="80FCE820">
      <w:start w:val="1"/>
      <w:numFmt w:val="bullet"/>
      <w:lvlText w:val=""/>
      <w:lvlJc w:val="left"/>
      <w:pPr>
        <w:ind w:left="5040" w:hanging="360"/>
      </w:pPr>
      <w:rPr>
        <w:rFonts w:ascii="Symbol" w:hAnsi="Symbol" w:hint="default"/>
      </w:rPr>
    </w:lvl>
    <w:lvl w:ilvl="7" w:tplc="A64AEFD0">
      <w:start w:val="1"/>
      <w:numFmt w:val="bullet"/>
      <w:lvlText w:val="o"/>
      <w:lvlJc w:val="left"/>
      <w:pPr>
        <w:ind w:left="5760" w:hanging="360"/>
      </w:pPr>
      <w:rPr>
        <w:rFonts w:ascii="Courier New" w:hAnsi="Courier New" w:hint="default"/>
      </w:rPr>
    </w:lvl>
    <w:lvl w:ilvl="8" w:tplc="89FE71E0">
      <w:start w:val="1"/>
      <w:numFmt w:val="bullet"/>
      <w:lvlText w:val=""/>
      <w:lvlJc w:val="left"/>
      <w:pPr>
        <w:ind w:left="6480" w:hanging="360"/>
      </w:pPr>
      <w:rPr>
        <w:rFonts w:ascii="Wingdings" w:hAnsi="Wingdings" w:hint="default"/>
      </w:rPr>
    </w:lvl>
  </w:abstractNum>
  <w:abstractNum w:abstractNumId="2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1" w15:restartNumberingAfterBreak="0">
    <w:nsid w:val="53AA93A1"/>
    <w:multiLevelType w:val="hybridMultilevel"/>
    <w:tmpl w:val="FFFFFFFF"/>
    <w:lvl w:ilvl="0" w:tplc="74C04FA0">
      <w:start w:val="1"/>
      <w:numFmt w:val="bullet"/>
      <w:lvlText w:val=""/>
      <w:lvlJc w:val="left"/>
      <w:pPr>
        <w:ind w:left="720" w:hanging="360"/>
      </w:pPr>
      <w:rPr>
        <w:rFonts w:ascii="Symbol" w:hAnsi="Symbol" w:hint="default"/>
      </w:rPr>
    </w:lvl>
    <w:lvl w:ilvl="1" w:tplc="3B4ADC3C">
      <w:start w:val="1"/>
      <w:numFmt w:val="bullet"/>
      <w:lvlText w:val="o"/>
      <w:lvlJc w:val="left"/>
      <w:pPr>
        <w:ind w:left="1440" w:hanging="360"/>
      </w:pPr>
      <w:rPr>
        <w:rFonts w:ascii="Courier New" w:hAnsi="Courier New" w:hint="default"/>
      </w:rPr>
    </w:lvl>
    <w:lvl w:ilvl="2" w:tplc="86EEF8EA">
      <w:start w:val="1"/>
      <w:numFmt w:val="bullet"/>
      <w:lvlText w:val=""/>
      <w:lvlJc w:val="left"/>
      <w:pPr>
        <w:ind w:left="2160" w:hanging="360"/>
      </w:pPr>
      <w:rPr>
        <w:rFonts w:ascii="Wingdings" w:hAnsi="Wingdings" w:hint="default"/>
      </w:rPr>
    </w:lvl>
    <w:lvl w:ilvl="3" w:tplc="CC046D1A">
      <w:start w:val="1"/>
      <w:numFmt w:val="bullet"/>
      <w:lvlText w:val=""/>
      <w:lvlJc w:val="left"/>
      <w:pPr>
        <w:ind w:left="2880" w:hanging="360"/>
      </w:pPr>
      <w:rPr>
        <w:rFonts w:ascii="Symbol" w:hAnsi="Symbol" w:hint="default"/>
      </w:rPr>
    </w:lvl>
    <w:lvl w:ilvl="4" w:tplc="D706A15E">
      <w:start w:val="1"/>
      <w:numFmt w:val="bullet"/>
      <w:lvlText w:val="o"/>
      <w:lvlJc w:val="left"/>
      <w:pPr>
        <w:ind w:left="3600" w:hanging="360"/>
      </w:pPr>
      <w:rPr>
        <w:rFonts w:ascii="Courier New" w:hAnsi="Courier New" w:hint="default"/>
      </w:rPr>
    </w:lvl>
    <w:lvl w:ilvl="5" w:tplc="189431FA">
      <w:start w:val="1"/>
      <w:numFmt w:val="bullet"/>
      <w:lvlText w:val=""/>
      <w:lvlJc w:val="left"/>
      <w:pPr>
        <w:ind w:left="4320" w:hanging="360"/>
      </w:pPr>
      <w:rPr>
        <w:rFonts w:ascii="Wingdings" w:hAnsi="Wingdings" w:hint="default"/>
      </w:rPr>
    </w:lvl>
    <w:lvl w:ilvl="6" w:tplc="A8A4146E">
      <w:start w:val="1"/>
      <w:numFmt w:val="bullet"/>
      <w:lvlText w:val=""/>
      <w:lvlJc w:val="left"/>
      <w:pPr>
        <w:ind w:left="5040" w:hanging="360"/>
      </w:pPr>
      <w:rPr>
        <w:rFonts w:ascii="Symbol" w:hAnsi="Symbol" w:hint="default"/>
      </w:rPr>
    </w:lvl>
    <w:lvl w:ilvl="7" w:tplc="28A460B8">
      <w:start w:val="1"/>
      <w:numFmt w:val="bullet"/>
      <w:lvlText w:val="o"/>
      <w:lvlJc w:val="left"/>
      <w:pPr>
        <w:ind w:left="5760" w:hanging="360"/>
      </w:pPr>
      <w:rPr>
        <w:rFonts w:ascii="Courier New" w:hAnsi="Courier New" w:hint="default"/>
      </w:rPr>
    </w:lvl>
    <w:lvl w:ilvl="8" w:tplc="F0582346">
      <w:start w:val="1"/>
      <w:numFmt w:val="bullet"/>
      <w:lvlText w:val=""/>
      <w:lvlJc w:val="left"/>
      <w:pPr>
        <w:ind w:left="6480" w:hanging="360"/>
      </w:pPr>
      <w:rPr>
        <w:rFonts w:ascii="Wingdings" w:hAnsi="Wingdings" w:hint="default"/>
      </w:rPr>
    </w:lvl>
  </w:abstractNum>
  <w:abstractNum w:abstractNumId="22" w15:restartNumberingAfterBreak="0">
    <w:nsid w:val="54FCD2BE"/>
    <w:multiLevelType w:val="hybridMultilevel"/>
    <w:tmpl w:val="FFFFFFFF"/>
    <w:lvl w:ilvl="0" w:tplc="A8929926">
      <w:start w:val="1"/>
      <w:numFmt w:val="bullet"/>
      <w:lvlText w:val="-"/>
      <w:lvlJc w:val="left"/>
      <w:pPr>
        <w:ind w:left="720" w:hanging="360"/>
      </w:pPr>
      <w:rPr>
        <w:rFonts w:ascii="Calibri" w:hAnsi="Calibri" w:hint="default"/>
      </w:rPr>
    </w:lvl>
    <w:lvl w:ilvl="1" w:tplc="C03AE8BA">
      <w:start w:val="1"/>
      <w:numFmt w:val="bullet"/>
      <w:lvlText w:val="o"/>
      <w:lvlJc w:val="left"/>
      <w:pPr>
        <w:ind w:left="1440" w:hanging="360"/>
      </w:pPr>
      <w:rPr>
        <w:rFonts w:ascii="Courier New" w:hAnsi="Courier New" w:hint="default"/>
      </w:rPr>
    </w:lvl>
    <w:lvl w:ilvl="2" w:tplc="A9583AFC">
      <w:start w:val="1"/>
      <w:numFmt w:val="bullet"/>
      <w:lvlText w:val=""/>
      <w:lvlJc w:val="left"/>
      <w:pPr>
        <w:ind w:left="2160" w:hanging="360"/>
      </w:pPr>
      <w:rPr>
        <w:rFonts w:ascii="Wingdings" w:hAnsi="Wingdings" w:hint="default"/>
      </w:rPr>
    </w:lvl>
    <w:lvl w:ilvl="3" w:tplc="3A0E95D0">
      <w:start w:val="1"/>
      <w:numFmt w:val="bullet"/>
      <w:lvlText w:val=""/>
      <w:lvlJc w:val="left"/>
      <w:pPr>
        <w:ind w:left="2880" w:hanging="360"/>
      </w:pPr>
      <w:rPr>
        <w:rFonts w:ascii="Symbol" w:hAnsi="Symbol" w:hint="default"/>
      </w:rPr>
    </w:lvl>
    <w:lvl w:ilvl="4" w:tplc="B3E6FD98">
      <w:start w:val="1"/>
      <w:numFmt w:val="bullet"/>
      <w:lvlText w:val="o"/>
      <w:lvlJc w:val="left"/>
      <w:pPr>
        <w:ind w:left="3600" w:hanging="360"/>
      </w:pPr>
      <w:rPr>
        <w:rFonts w:ascii="Courier New" w:hAnsi="Courier New" w:hint="default"/>
      </w:rPr>
    </w:lvl>
    <w:lvl w:ilvl="5" w:tplc="3C98DEC8">
      <w:start w:val="1"/>
      <w:numFmt w:val="bullet"/>
      <w:lvlText w:val=""/>
      <w:lvlJc w:val="left"/>
      <w:pPr>
        <w:ind w:left="4320" w:hanging="360"/>
      </w:pPr>
      <w:rPr>
        <w:rFonts w:ascii="Wingdings" w:hAnsi="Wingdings" w:hint="default"/>
      </w:rPr>
    </w:lvl>
    <w:lvl w:ilvl="6" w:tplc="28547520">
      <w:start w:val="1"/>
      <w:numFmt w:val="bullet"/>
      <w:lvlText w:val=""/>
      <w:lvlJc w:val="left"/>
      <w:pPr>
        <w:ind w:left="5040" w:hanging="360"/>
      </w:pPr>
      <w:rPr>
        <w:rFonts w:ascii="Symbol" w:hAnsi="Symbol" w:hint="default"/>
      </w:rPr>
    </w:lvl>
    <w:lvl w:ilvl="7" w:tplc="ABC8B33A">
      <w:start w:val="1"/>
      <w:numFmt w:val="bullet"/>
      <w:lvlText w:val="o"/>
      <w:lvlJc w:val="left"/>
      <w:pPr>
        <w:ind w:left="5760" w:hanging="360"/>
      </w:pPr>
      <w:rPr>
        <w:rFonts w:ascii="Courier New" w:hAnsi="Courier New" w:hint="default"/>
      </w:rPr>
    </w:lvl>
    <w:lvl w:ilvl="8" w:tplc="55B80E28">
      <w:start w:val="1"/>
      <w:numFmt w:val="bullet"/>
      <w:lvlText w:val=""/>
      <w:lvlJc w:val="left"/>
      <w:pPr>
        <w:ind w:left="6480" w:hanging="360"/>
      </w:pPr>
      <w:rPr>
        <w:rFonts w:ascii="Wingdings" w:hAnsi="Wingdings" w:hint="default"/>
      </w:rPr>
    </w:lvl>
  </w:abstractNum>
  <w:abstractNum w:abstractNumId="23" w15:restartNumberingAfterBreak="0">
    <w:nsid w:val="562D50A9"/>
    <w:multiLevelType w:val="hybridMultilevel"/>
    <w:tmpl w:val="7FC05C3E"/>
    <w:lvl w:ilvl="0" w:tplc="1BB8A5EC">
      <w:start w:val="1"/>
      <w:numFmt w:val="bullet"/>
      <w:lvlText w:val=""/>
      <w:lvlJc w:val="left"/>
      <w:pPr>
        <w:ind w:left="720" w:hanging="360"/>
      </w:pPr>
      <w:rPr>
        <w:rFonts w:ascii="Symbol" w:hAnsi="Symbol" w:hint="default"/>
      </w:rPr>
    </w:lvl>
    <w:lvl w:ilvl="1" w:tplc="DB084DCA">
      <w:start w:val="1"/>
      <w:numFmt w:val="bullet"/>
      <w:lvlText w:val="o"/>
      <w:lvlJc w:val="left"/>
      <w:pPr>
        <w:ind w:left="1440" w:hanging="360"/>
      </w:pPr>
      <w:rPr>
        <w:rFonts w:ascii="Courier New" w:hAnsi="Courier New" w:hint="default"/>
      </w:rPr>
    </w:lvl>
    <w:lvl w:ilvl="2" w:tplc="A67C6A72">
      <w:start w:val="1"/>
      <w:numFmt w:val="bullet"/>
      <w:lvlText w:val=""/>
      <w:lvlJc w:val="left"/>
      <w:pPr>
        <w:ind w:left="2160" w:hanging="360"/>
      </w:pPr>
      <w:rPr>
        <w:rFonts w:ascii="Wingdings" w:hAnsi="Wingdings" w:hint="default"/>
      </w:rPr>
    </w:lvl>
    <w:lvl w:ilvl="3" w:tplc="13A286B8">
      <w:start w:val="1"/>
      <w:numFmt w:val="bullet"/>
      <w:lvlText w:val=""/>
      <w:lvlJc w:val="left"/>
      <w:pPr>
        <w:ind w:left="2880" w:hanging="360"/>
      </w:pPr>
      <w:rPr>
        <w:rFonts w:ascii="Symbol" w:hAnsi="Symbol" w:hint="default"/>
      </w:rPr>
    </w:lvl>
    <w:lvl w:ilvl="4" w:tplc="D894578E">
      <w:start w:val="1"/>
      <w:numFmt w:val="bullet"/>
      <w:lvlText w:val="o"/>
      <w:lvlJc w:val="left"/>
      <w:pPr>
        <w:ind w:left="3600" w:hanging="360"/>
      </w:pPr>
      <w:rPr>
        <w:rFonts w:ascii="Courier New" w:hAnsi="Courier New" w:hint="default"/>
      </w:rPr>
    </w:lvl>
    <w:lvl w:ilvl="5" w:tplc="6A8A87EE">
      <w:start w:val="1"/>
      <w:numFmt w:val="bullet"/>
      <w:lvlText w:val=""/>
      <w:lvlJc w:val="left"/>
      <w:pPr>
        <w:ind w:left="4320" w:hanging="360"/>
      </w:pPr>
      <w:rPr>
        <w:rFonts w:ascii="Wingdings" w:hAnsi="Wingdings" w:hint="default"/>
      </w:rPr>
    </w:lvl>
    <w:lvl w:ilvl="6" w:tplc="40183E44">
      <w:start w:val="1"/>
      <w:numFmt w:val="bullet"/>
      <w:lvlText w:val=""/>
      <w:lvlJc w:val="left"/>
      <w:pPr>
        <w:ind w:left="5040" w:hanging="360"/>
      </w:pPr>
      <w:rPr>
        <w:rFonts w:ascii="Symbol" w:hAnsi="Symbol" w:hint="default"/>
      </w:rPr>
    </w:lvl>
    <w:lvl w:ilvl="7" w:tplc="152C9DE4">
      <w:start w:val="1"/>
      <w:numFmt w:val="bullet"/>
      <w:lvlText w:val="o"/>
      <w:lvlJc w:val="left"/>
      <w:pPr>
        <w:ind w:left="5760" w:hanging="360"/>
      </w:pPr>
      <w:rPr>
        <w:rFonts w:ascii="Courier New" w:hAnsi="Courier New" w:hint="default"/>
      </w:rPr>
    </w:lvl>
    <w:lvl w:ilvl="8" w:tplc="D0E2160A">
      <w:start w:val="1"/>
      <w:numFmt w:val="bullet"/>
      <w:lvlText w:val=""/>
      <w:lvlJc w:val="left"/>
      <w:pPr>
        <w:ind w:left="6480" w:hanging="360"/>
      </w:pPr>
      <w:rPr>
        <w:rFonts w:ascii="Wingdings" w:hAnsi="Wingdings" w:hint="default"/>
      </w:rPr>
    </w:lvl>
  </w:abstractNum>
  <w:abstractNum w:abstractNumId="2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6" w15:restartNumberingAfterBreak="0">
    <w:nsid w:val="5B838A6B"/>
    <w:multiLevelType w:val="hybridMultilevel"/>
    <w:tmpl w:val="FFFFFFFF"/>
    <w:lvl w:ilvl="0" w:tplc="F51027F8">
      <w:start w:val="1"/>
      <w:numFmt w:val="bullet"/>
      <w:lvlText w:val=""/>
      <w:lvlJc w:val="left"/>
      <w:pPr>
        <w:ind w:left="720" w:hanging="360"/>
      </w:pPr>
      <w:rPr>
        <w:rFonts w:ascii="Symbol" w:hAnsi="Symbol" w:hint="default"/>
      </w:rPr>
    </w:lvl>
    <w:lvl w:ilvl="1" w:tplc="C21E8FCA">
      <w:start w:val="1"/>
      <w:numFmt w:val="bullet"/>
      <w:lvlText w:val="o"/>
      <w:lvlJc w:val="left"/>
      <w:pPr>
        <w:ind w:left="1440" w:hanging="360"/>
      </w:pPr>
      <w:rPr>
        <w:rFonts w:ascii="Courier New" w:hAnsi="Courier New" w:hint="default"/>
      </w:rPr>
    </w:lvl>
    <w:lvl w:ilvl="2" w:tplc="A34C05F0">
      <w:start w:val="1"/>
      <w:numFmt w:val="bullet"/>
      <w:lvlText w:val=""/>
      <w:lvlJc w:val="left"/>
      <w:pPr>
        <w:ind w:left="2160" w:hanging="360"/>
      </w:pPr>
      <w:rPr>
        <w:rFonts w:ascii="Wingdings" w:hAnsi="Wingdings" w:hint="default"/>
      </w:rPr>
    </w:lvl>
    <w:lvl w:ilvl="3" w:tplc="1FD24036">
      <w:start w:val="1"/>
      <w:numFmt w:val="bullet"/>
      <w:lvlText w:val=""/>
      <w:lvlJc w:val="left"/>
      <w:pPr>
        <w:ind w:left="2880" w:hanging="360"/>
      </w:pPr>
      <w:rPr>
        <w:rFonts w:ascii="Symbol" w:hAnsi="Symbol" w:hint="default"/>
      </w:rPr>
    </w:lvl>
    <w:lvl w:ilvl="4" w:tplc="A9EEC252">
      <w:start w:val="1"/>
      <w:numFmt w:val="bullet"/>
      <w:lvlText w:val="o"/>
      <w:lvlJc w:val="left"/>
      <w:pPr>
        <w:ind w:left="3600" w:hanging="360"/>
      </w:pPr>
      <w:rPr>
        <w:rFonts w:ascii="Courier New" w:hAnsi="Courier New" w:hint="default"/>
      </w:rPr>
    </w:lvl>
    <w:lvl w:ilvl="5" w:tplc="4F36627A">
      <w:start w:val="1"/>
      <w:numFmt w:val="bullet"/>
      <w:lvlText w:val=""/>
      <w:lvlJc w:val="left"/>
      <w:pPr>
        <w:ind w:left="4320" w:hanging="360"/>
      </w:pPr>
      <w:rPr>
        <w:rFonts w:ascii="Wingdings" w:hAnsi="Wingdings" w:hint="default"/>
      </w:rPr>
    </w:lvl>
    <w:lvl w:ilvl="6" w:tplc="3A78A118">
      <w:start w:val="1"/>
      <w:numFmt w:val="bullet"/>
      <w:lvlText w:val=""/>
      <w:lvlJc w:val="left"/>
      <w:pPr>
        <w:ind w:left="5040" w:hanging="360"/>
      </w:pPr>
      <w:rPr>
        <w:rFonts w:ascii="Symbol" w:hAnsi="Symbol" w:hint="default"/>
      </w:rPr>
    </w:lvl>
    <w:lvl w:ilvl="7" w:tplc="9878BF32">
      <w:start w:val="1"/>
      <w:numFmt w:val="bullet"/>
      <w:lvlText w:val="o"/>
      <w:lvlJc w:val="left"/>
      <w:pPr>
        <w:ind w:left="5760" w:hanging="360"/>
      </w:pPr>
      <w:rPr>
        <w:rFonts w:ascii="Courier New" w:hAnsi="Courier New" w:hint="default"/>
      </w:rPr>
    </w:lvl>
    <w:lvl w:ilvl="8" w:tplc="69B0F1F6">
      <w:start w:val="1"/>
      <w:numFmt w:val="bullet"/>
      <w:lvlText w:val=""/>
      <w:lvlJc w:val="left"/>
      <w:pPr>
        <w:ind w:left="6480" w:hanging="360"/>
      </w:pPr>
      <w:rPr>
        <w:rFonts w:ascii="Wingdings" w:hAnsi="Wingdings" w:hint="default"/>
      </w:rPr>
    </w:lvl>
  </w:abstractNum>
  <w:abstractNum w:abstractNumId="27" w15:restartNumberingAfterBreak="0">
    <w:nsid w:val="5D6F80DC"/>
    <w:multiLevelType w:val="hybridMultilevel"/>
    <w:tmpl w:val="FFFFFFFF"/>
    <w:lvl w:ilvl="0" w:tplc="29DE8AA4">
      <w:start w:val="1"/>
      <w:numFmt w:val="bullet"/>
      <w:lvlText w:val="-"/>
      <w:lvlJc w:val="left"/>
      <w:pPr>
        <w:ind w:left="720" w:hanging="360"/>
      </w:pPr>
      <w:rPr>
        <w:rFonts w:ascii="Calibri" w:hAnsi="Calibri" w:hint="default"/>
      </w:rPr>
    </w:lvl>
    <w:lvl w:ilvl="1" w:tplc="5DFE752C">
      <w:start w:val="1"/>
      <w:numFmt w:val="bullet"/>
      <w:lvlText w:val="o"/>
      <w:lvlJc w:val="left"/>
      <w:pPr>
        <w:ind w:left="1440" w:hanging="360"/>
      </w:pPr>
      <w:rPr>
        <w:rFonts w:ascii="Courier New" w:hAnsi="Courier New" w:hint="default"/>
      </w:rPr>
    </w:lvl>
    <w:lvl w:ilvl="2" w:tplc="A9F00D0A">
      <w:start w:val="1"/>
      <w:numFmt w:val="bullet"/>
      <w:lvlText w:val=""/>
      <w:lvlJc w:val="left"/>
      <w:pPr>
        <w:ind w:left="2160" w:hanging="360"/>
      </w:pPr>
      <w:rPr>
        <w:rFonts w:ascii="Wingdings" w:hAnsi="Wingdings" w:hint="default"/>
      </w:rPr>
    </w:lvl>
    <w:lvl w:ilvl="3" w:tplc="9ED4BC98">
      <w:start w:val="1"/>
      <w:numFmt w:val="bullet"/>
      <w:lvlText w:val=""/>
      <w:lvlJc w:val="left"/>
      <w:pPr>
        <w:ind w:left="2880" w:hanging="360"/>
      </w:pPr>
      <w:rPr>
        <w:rFonts w:ascii="Symbol" w:hAnsi="Symbol" w:hint="default"/>
      </w:rPr>
    </w:lvl>
    <w:lvl w:ilvl="4" w:tplc="B8C4EDEC">
      <w:start w:val="1"/>
      <w:numFmt w:val="bullet"/>
      <w:lvlText w:val="o"/>
      <w:lvlJc w:val="left"/>
      <w:pPr>
        <w:ind w:left="3600" w:hanging="360"/>
      </w:pPr>
      <w:rPr>
        <w:rFonts w:ascii="Courier New" w:hAnsi="Courier New" w:hint="default"/>
      </w:rPr>
    </w:lvl>
    <w:lvl w:ilvl="5" w:tplc="0E5E7DB4">
      <w:start w:val="1"/>
      <w:numFmt w:val="bullet"/>
      <w:lvlText w:val=""/>
      <w:lvlJc w:val="left"/>
      <w:pPr>
        <w:ind w:left="4320" w:hanging="360"/>
      </w:pPr>
      <w:rPr>
        <w:rFonts w:ascii="Wingdings" w:hAnsi="Wingdings" w:hint="default"/>
      </w:rPr>
    </w:lvl>
    <w:lvl w:ilvl="6" w:tplc="FBDA9504">
      <w:start w:val="1"/>
      <w:numFmt w:val="bullet"/>
      <w:lvlText w:val=""/>
      <w:lvlJc w:val="left"/>
      <w:pPr>
        <w:ind w:left="5040" w:hanging="360"/>
      </w:pPr>
      <w:rPr>
        <w:rFonts w:ascii="Symbol" w:hAnsi="Symbol" w:hint="default"/>
      </w:rPr>
    </w:lvl>
    <w:lvl w:ilvl="7" w:tplc="66FC53A2">
      <w:start w:val="1"/>
      <w:numFmt w:val="bullet"/>
      <w:lvlText w:val="o"/>
      <w:lvlJc w:val="left"/>
      <w:pPr>
        <w:ind w:left="5760" w:hanging="360"/>
      </w:pPr>
      <w:rPr>
        <w:rFonts w:ascii="Courier New" w:hAnsi="Courier New" w:hint="default"/>
      </w:rPr>
    </w:lvl>
    <w:lvl w:ilvl="8" w:tplc="06F42CC4">
      <w:start w:val="1"/>
      <w:numFmt w:val="bullet"/>
      <w:lvlText w:val=""/>
      <w:lvlJc w:val="left"/>
      <w:pPr>
        <w:ind w:left="6480" w:hanging="360"/>
      </w:pPr>
      <w:rPr>
        <w:rFonts w:ascii="Wingdings" w:hAnsi="Wingdings" w:hint="default"/>
      </w:rPr>
    </w:lvl>
  </w:abstractNum>
  <w:abstractNum w:abstractNumId="28"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9"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30"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1" w15:restartNumberingAfterBreak="0">
    <w:nsid w:val="7AE5EABA"/>
    <w:multiLevelType w:val="hybridMultilevel"/>
    <w:tmpl w:val="4D0C1B16"/>
    <w:lvl w:ilvl="0" w:tplc="90C8E666">
      <w:start w:val="1"/>
      <w:numFmt w:val="bullet"/>
      <w:lvlText w:val="-"/>
      <w:lvlJc w:val="left"/>
      <w:pPr>
        <w:ind w:left="720" w:hanging="360"/>
      </w:pPr>
      <w:rPr>
        <w:rFonts w:ascii="Calibri" w:hAnsi="Calibri" w:hint="default"/>
      </w:rPr>
    </w:lvl>
    <w:lvl w:ilvl="1" w:tplc="875402A0">
      <w:start w:val="1"/>
      <w:numFmt w:val="bullet"/>
      <w:lvlText w:val="o"/>
      <w:lvlJc w:val="left"/>
      <w:pPr>
        <w:ind w:left="1440" w:hanging="360"/>
      </w:pPr>
      <w:rPr>
        <w:rFonts w:ascii="Courier New" w:hAnsi="Courier New" w:hint="default"/>
      </w:rPr>
    </w:lvl>
    <w:lvl w:ilvl="2" w:tplc="2FB23E54">
      <w:start w:val="1"/>
      <w:numFmt w:val="bullet"/>
      <w:lvlText w:val=""/>
      <w:lvlJc w:val="left"/>
      <w:pPr>
        <w:ind w:left="2160" w:hanging="360"/>
      </w:pPr>
      <w:rPr>
        <w:rFonts w:ascii="Wingdings" w:hAnsi="Wingdings" w:hint="default"/>
      </w:rPr>
    </w:lvl>
    <w:lvl w:ilvl="3" w:tplc="7D34AF70">
      <w:start w:val="1"/>
      <w:numFmt w:val="bullet"/>
      <w:lvlText w:val=""/>
      <w:lvlJc w:val="left"/>
      <w:pPr>
        <w:ind w:left="2880" w:hanging="360"/>
      </w:pPr>
      <w:rPr>
        <w:rFonts w:ascii="Symbol" w:hAnsi="Symbol" w:hint="default"/>
      </w:rPr>
    </w:lvl>
    <w:lvl w:ilvl="4" w:tplc="D20C8E40">
      <w:start w:val="1"/>
      <w:numFmt w:val="bullet"/>
      <w:lvlText w:val="o"/>
      <w:lvlJc w:val="left"/>
      <w:pPr>
        <w:ind w:left="3600" w:hanging="360"/>
      </w:pPr>
      <w:rPr>
        <w:rFonts w:ascii="Courier New" w:hAnsi="Courier New" w:hint="default"/>
      </w:rPr>
    </w:lvl>
    <w:lvl w:ilvl="5" w:tplc="98C657C0">
      <w:start w:val="1"/>
      <w:numFmt w:val="bullet"/>
      <w:lvlText w:val=""/>
      <w:lvlJc w:val="left"/>
      <w:pPr>
        <w:ind w:left="4320" w:hanging="360"/>
      </w:pPr>
      <w:rPr>
        <w:rFonts w:ascii="Wingdings" w:hAnsi="Wingdings" w:hint="default"/>
      </w:rPr>
    </w:lvl>
    <w:lvl w:ilvl="6" w:tplc="BCB4D394">
      <w:start w:val="1"/>
      <w:numFmt w:val="bullet"/>
      <w:lvlText w:val=""/>
      <w:lvlJc w:val="left"/>
      <w:pPr>
        <w:ind w:left="5040" w:hanging="360"/>
      </w:pPr>
      <w:rPr>
        <w:rFonts w:ascii="Symbol" w:hAnsi="Symbol" w:hint="default"/>
      </w:rPr>
    </w:lvl>
    <w:lvl w:ilvl="7" w:tplc="82765E48">
      <w:start w:val="1"/>
      <w:numFmt w:val="bullet"/>
      <w:lvlText w:val="o"/>
      <w:lvlJc w:val="left"/>
      <w:pPr>
        <w:ind w:left="5760" w:hanging="360"/>
      </w:pPr>
      <w:rPr>
        <w:rFonts w:ascii="Courier New" w:hAnsi="Courier New" w:hint="default"/>
      </w:rPr>
    </w:lvl>
    <w:lvl w:ilvl="8" w:tplc="61E2A22C">
      <w:start w:val="1"/>
      <w:numFmt w:val="bullet"/>
      <w:lvlText w:val=""/>
      <w:lvlJc w:val="left"/>
      <w:pPr>
        <w:ind w:left="6480" w:hanging="360"/>
      </w:pPr>
      <w:rPr>
        <w:rFonts w:ascii="Wingdings" w:hAnsi="Wingdings" w:hint="default"/>
      </w:rPr>
    </w:lvl>
  </w:abstractNum>
  <w:num w:numId="1" w16cid:durableId="1907758448">
    <w:abstractNumId w:val="29"/>
  </w:num>
  <w:num w:numId="2" w16cid:durableId="1005792404">
    <w:abstractNumId w:val="24"/>
  </w:num>
  <w:num w:numId="3" w16cid:durableId="1053041969">
    <w:abstractNumId w:val="13"/>
  </w:num>
  <w:num w:numId="4" w16cid:durableId="269556169">
    <w:abstractNumId w:val="25"/>
  </w:num>
  <w:num w:numId="5" w16cid:durableId="1060330181">
    <w:abstractNumId w:val="12"/>
  </w:num>
  <w:num w:numId="6" w16cid:durableId="1921593978">
    <w:abstractNumId w:val="3"/>
  </w:num>
  <w:num w:numId="7" w16cid:durableId="1518234163">
    <w:abstractNumId w:val="30"/>
  </w:num>
  <w:num w:numId="8" w16cid:durableId="2040398407">
    <w:abstractNumId w:val="9"/>
  </w:num>
  <w:num w:numId="9" w16cid:durableId="1327826269">
    <w:abstractNumId w:val="17"/>
  </w:num>
  <w:num w:numId="10" w16cid:durableId="1139572560">
    <w:abstractNumId w:val="20"/>
  </w:num>
  <w:num w:numId="11" w16cid:durableId="1906867131">
    <w:abstractNumId w:val="4"/>
  </w:num>
  <w:num w:numId="12" w16cid:durableId="1708486001">
    <w:abstractNumId w:val="5"/>
  </w:num>
  <w:num w:numId="13" w16cid:durableId="1861505052">
    <w:abstractNumId w:val="18"/>
  </w:num>
  <w:num w:numId="14" w16cid:durableId="1379545778">
    <w:abstractNumId w:val="28"/>
  </w:num>
  <w:num w:numId="15" w16cid:durableId="758254244">
    <w:abstractNumId w:val="7"/>
  </w:num>
  <w:num w:numId="16" w16cid:durableId="1544100931">
    <w:abstractNumId w:val="15"/>
  </w:num>
  <w:num w:numId="17" w16cid:durableId="1996952412">
    <w:abstractNumId w:val="31"/>
  </w:num>
  <w:num w:numId="18" w16cid:durableId="1799642831">
    <w:abstractNumId w:val="0"/>
  </w:num>
  <w:num w:numId="19" w16cid:durableId="2076271838">
    <w:abstractNumId w:val="11"/>
  </w:num>
  <w:num w:numId="20" w16cid:durableId="1545480508">
    <w:abstractNumId w:val="2"/>
  </w:num>
  <w:num w:numId="21" w16cid:durableId="705132139">
    <w:abstractNumId w:val="23"/>
  </w:num>
  <w:num w:numId="22" w16cid:durableId="1176925044">
    <w:abstractNumId w:val="8"/>
  </w:num>
  <w:num w:numId="23" w16cid:durableId="2001540215">
    <w:abstractNumId w:val="10"/>
  </w:num>
  <w:num w:numId="24" w16cid:durableId="1492522456">
    <w:abstractNumId w:val="6"/>
  </w:num>
  <w:num w:numId="25" w16cid:durableId="980963458">
    <w:abstractNumId w:val="16"/>
  </w:num>
  <w:num w:numId="26" w16cid:durableId="1062829495">
    <w:abstractNumId w:val="1"/>
  </w:num>
  <w:num w:numId="27" w16cid:durableId="908689023">
    <w:abstractNumId w:val="21"/>
  </w:num>
  <w:num w:numId="28" w16cid:durableId="603195660">
    <w:abstractNumId w:val="26"/>
  </w:num>
  <w:num w:numId="29" w16cid:durableId="995184582">
    <w:abstractNumId w:val="19"/>
  </w:num>
  <w:num w:numId="30" w16cid:durableId="411699901">
    <w:abstractNumId w:val="27"/>
  </w:num>
  <w:num w:numId="31" w16cid:durableId="647515880">
    <w:abstractNumId w:val="22"/>
  </w:num>
  <w:num w:numId="32" w16cid:durableId="152463752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40BC"/>
    <w:rsid w:val="000057A6"/>
    <w:rsid w:val="00014A39"/>
    <w:rsid w:val="00014DAF"/>
    <w:rsid w:val="00030B13"/>
    <w:rsid w:val="000328E4"/>
    <w:rsid w:val="00040AE0"/>
    <w:rsid w:val="000456D3"/>
    <w:rsid w:val="000501ED"/>
    <w:rsid w:val="00054474"/>
    <w:rsid w:val="00054A1A"/>
    <w:rsid w:val="000801F4"/>
    <w:rsid w:val="00086B7E"/>
    <w:rsid w:val="0009499C"/>
    <w:rsid w:val="00096016"/>
    <w:rsid w:val="000B0B32"/>
    <w:rsid w:val="000B300C"/>
    <w:rsid w:val="000B3F87"/>
    <w:rsid w:val="000B6E68"/>
    <w:rsid w:val="000C58B8"/>
    <w:rsid w:val="000D0AF9"/>
    <w:rsid w:val="000D5104"/>
    <w:rsid w:val="000D6939"/>
    <w:rsid w:val="000D79AC"/>
    <w:rsid w:val="000F1545"/>
    <w:rsid w:val="000F1EE7"/>
    <w:rsid w:val="000F2ADA"/>
    <w:rsid w:val="00101280"/>
    <w:rsid w:val="00106FD6"/>
    <w:rsid w:val="001277EC"/>
    <w:rsid w:val="00132BF4"/>
    <w:rsid w:val="0014039E"/>
    <w:rsid w:val="0014286F"/>
    <w:rsid w:val="00145FA8"/>
    <w:rsid w:val="0015019B"/>
    <w:rsid w:val="001556CC"/>
    <w:rsid w:val="00163111"/>
    <w:rsid w:val="00163EFB"/>
    <w:rsid w:val="00171796"/>
    <w:rsid w:val="00173976"/>
    <w:rsid w:val="001821EB"/>
    <w:rsid w:val="0018464B"/>
    <w:rsid w:val="00194FE1"/>
    <w:rsid w:val="00195D23"/>
    <w:rsid w:val="001A67C2"/>
    <w:rsid w:val="001E158F"/>
    <w:rsid w:val="001F1328"/>
    <w:rsid w:val="001F2623"/>
    <w:rsid w:val="00205E47"/>
    <w:rsid w:val="00206AB6"/>
    <w:rsid w:val="00211EC0"/>
    <w:rsid w:val="00220831"/>
    <w:rsid w:val="0022176E"/>
    <w:rsid w:val="00221CE5"/>
    <w:rsid w:val="00234F37"/>
    <w:rsid w:val="0023574D"/>
    <w:rsid w:val="002414E0"/>
    <w:rsid w:val="00242822"/>
    <w:rsid w:val="002539A7"/>
    <w:rsid w:val="00265D20"/>
    <w:rsid w:val="002672C0"/>
    <w:rsid w:val="00271320"/>
    <w:rsid w:val="0029214C"/>
    <w:rsid w:val="00293BB8"/>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26AB5"/>
    <w:rsid w:val="0035532B"/>
    <w:rsid w:val="00366BA2"/>
    <w:rsid w:val="003A24D5"/>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C29AE"/>
    <w:rsid w:val="004C4352"/>
    <w:rsid w:val="004D19D3"/>
    <w:rsid w:val="004D7212"/>
    <w:rsid w:val="004D75BF"/>
    <w:rsid w:val="004D75CF"/>
    <w:rsid w:val="004E726C"/>
    <w:rsid w:val="004E730A"/>
    <w:rsid w:val="004F3873"/>
    <w:rsid w:val="005143D1"/>
    <w:rsid w:val="0051677C"/>
    <w:rsid w:val="00524715"/>
    <w:rsid w:val="005418C9"/>
    <w:rsid w:val="005447A6"/>
    <w:rsid w:val="0055005F"/>
    <w:rsid w:val="00552C75"/>
    <w:rsid w:val="0056152E"/>
    <w:rsid w:val="00561C9E"/>
    <w:rsid w:val="00571F90"/>
    <w:rsid w:val="005757C7"/>
    <w:rsid w:val="00583B86"/>
    <w:rsid w:val="005874BA"/>
    <w:rsid w:val="005974B9"/>
    <w:rsid w:val="005A1E4D"/>
    <w:rsid w:val="005A457F"/>
    <w:rsid w:val="005A5711"/>
    <w:rsid w:val="005A78B0"/>
    <w:rsid w:val="005B6AE3"/>
    <w:rsid w:val="005C723F"/>
    <w:rsid w:val="005D465C"/>
    <w:rsid w:val="005D5E63"/>
    <w:rsid w:val="005E75E3"/>
    <w:rsid w:val="005F6188"/>
    <w:rsid w:val="005F6AD4"/>
    <w:rsid w:val="006043FF"/>
    <w:rsid w:val="00611ACB"/>
    <w:rsid w:val="00615E3A"/>
    <w:rsid w:val="00621AB9"/>
    <w:rsid w:val="00624E1E"/>
    <w:rsid w:val="0063420A"/>
    <w:rsid w:val="006368EC"/>
    <w:rsid w:val="0064280B"/>
    <w:rsid w:val="00643880"/>
    <w:rsid w:val="006528A0"/>
    <w:rsid w:val="0066075C"/>
    <w:rsid w:val="0066138C"/>
    <w:rsid w:val="0066727D"/>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1182"/>
    <w:rsid w:val="007152DE"/>
    <w:rsid w:val="00716586"/>
    <w:rsid w:val="007205EF"/>
    <w:rsid w:val="0072613C"/>
    <w:rsid w:val="00732B10"/>
    <w:rsid w:val="0073363D"/>
    <w:rsid w:val="00753B16"/>
    <w:rsid w:val="007566D3"/>
    <w:rsid w:val="00756C0F"/>
    <w:rsid w:val="00770650"/>
    <w:rsid w:val="00771691"/>
    <w:rsid w:val="0077554A"/>
    <w:rsid w:val="007775D4"/>
    <w:rsid w:val="00781908"/>
    <w:rsid w:val="00793FBF"/>
    <w:rsid w:val="007A20DC"/>
    <w:rsid w:val="007C0A06"/>
    <w:rsid w:val="007C1AEA"/>
    <w:rsid w:val="007D0214"/>
    <w:rsid w:val="007E508C"/>
    <w:rsid w:val="007E68B5"/>
    <w:rsid w:val="007E7C44"/>
    <w:rsid w:val="007F035F"/>
    <w:rsid w:val="007F0CEC"/>
    <w:rsid w:val="007F5769"/>
    <w:rsid w:val="007F6093"/>
    <w:rsid w:val="007F7748"/>
    <w:rsid w:val="007F7BD8"/>
    <w:rsid w:val="0081261B"/>
    <w:rsid w:val="0082104E"/>
    <w:rsid w:val="00824CC4"/>
    <w:rsid w:val="008328B7"/>
    <w:rsid w:val="00832B48"/>
    <w:rsid w:val="0083391E"/>
    <w:rsid w:val="00855532"/>
    <w:rsid w:val="008610DC"/>
    <w:rsid w:val="00865A53"/>
    <w:rsid w:val="00870E95"/>
    <w:rsid w:val="00871621"/>
    <w:rsid w:val="00872A13"/>
    <w:rsid w:val="008741CE"/>
    <w:rsid w:val="00876DBF"/>
    <w:rsid w:val="008842BC"/>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11FE"/>
    <w:rsid w:val="00A542DA"/>
    <w:rsid w:val="00A571A1"/>
    <w:rsid w:val="00A60645"/>
    <w:rsid w:val="00A715D8"/>
    <w:rsid w:val="00A74FA0"/>
    <w:rsid w:val="00A774D7"/>
    <w:rsid w:val="00A84352"/>
    <w:rsid w:val="00A85097"/>
    <w:rsid w:val="00A95E7B"/>
    <w:rsid w:val="00A96390"/>
    <w:rsid w:val="00AA4C5F"/>
    <w:rsid w:val="00AB025A"/>
    <w:rsid w:val="00AB12D0"/>
    <w:rsid w:val="00AB6D21"/>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83CF2"/>
    <w:rsid w:val="00B8577D"/>
    <w:rsid w:val="00BA41F7"/>
    <w:rsid w:val="00BA7E76"/>
    <w:rsid w:val="00BB1B7B"/>
    <w:rsid w:val="00BB78A4"/>
    <w:rsid w:val="00BC113C"/>
    <w:rsid w:val="00BC47BB"/>
    <w:rsid w:val="00BC5578"/>
    <w:rsid w:val="00BD1A87"/>
    <w:rsid w:val="00BD38D8"/>
    <w:rsid w:val="00BE096C"/>
    <w:rsid w:val="00BE181E"/>
    <w:rsid w:val="00BF2838"/>
    <w:rsid w:val="00C01BCB"/>
    <w:rsid w:val="00C15220"/>
    <w:rsid w:val="00C15E9C"/>
    <w:rsid w:val="00C20E39"/>
    <w:rsid w:val="00C3045C"/>
    <w:rsid w:val="00C46DF0"/>
    <w:rsid w:val="00C50F66"/>
    <w:rsid w:val="00C53F96"/>
    <w:rsid w:val="00C57F64"/>
    <w:rsid w:val="00C60F7D"/>
    <w:rsid w:val="00C82473"/>
    <w:rsid w:val="00C86E0B"/>
    <w:rsid w:val="00CA3AEE"/>
    <w:rsid w:val="00CB0C33"/>
    <w:rsid w:val="00CB1C0F"/>
    <w:rsid w:val="00CB7AFE"/>
    <w:rsid w:val="00CC3C2E"/>
    <w:rsid w:val="00CC6A0E"/>
    <w:rsid w:val="00CD092A"/>
    <w:rsid w:val="00CD51C8"/>
    <w:rsid w:val="00CE7909"/>
    <w:rsid w:val="00CE7FDD"/>
    <w:rsid w:val="00CF17F8"/>
    <w:rsid w:val="00CF6083"/>
    <w:rsid w:val="00CF7C01"/>
    <w:rsid w:val="00D1374C"/>
    <w:rsid w:val="00D15940"/>
    <w:rsid w:val="00D3013B"/>
    <w:rsid w:val="00D34229"/>
    <w:rsid w:val="00D37248"/>
    <w:rsid w:val="00D41203"/>
    <w:rsid w:val="00D41395"/>
    <w:rsid w:val="00D41B46"/>
    <w:rsid w:val="00D523CD"/>
    <w:rsid w:val="00D55F9E"/>
    <w:rsid w:val="00D61206"/>
    <w:rsid w:val="00D7644D"/>
    <w:rsid w:val="00D76F21"/>
    <w:rsid w:val="00D94371"/>
    <w:rsid w:val="00DA5145"/>
    <w:rsid w:val="00DA6C24"/>
    <w:rsid w:val="00DA7B77"/>
    <w:rsid w:val="00DA7F96"/>
    <w:rsid w:val="00DB15B2"/>
    <w:rsid w:val="00DB17D1"/>
    <w:rsid w:val="00DC52E2"/>
    <w:rsid w:val="00DE048E"/>
    <w:rsid w:val="00E00E6B"/>
    <w:rsid w:val="00E02B08"/>
    <w:rsid w:val="00E03B8E"/>
    <w:rsid w:val="00E139E4"/>
    <w:rsid w:val="00E1433B"/>
    <w:rsid w:val="00E16257"/>
    <w:rsid w:val="00E341CD"/>
    <w:rsid w:val="00E40B9D"/>
    <w:rsid w:val="00E41324"/>
    <w:rsid w:val="00E43BB7"/>
    <w:rsid w:val="00E578D6"/>
    <w:rsid w:val="00E6103B"/>
    <w:rsid w:val="00E6105B"/>
    <w:rsid w:val="00E64FEA"/>
    <w:rsid w:val="00E74845"/>
    <w:rsid w:val="00E75D54"/>
    <w:rsid w:val="00E91B1A"/>
    <w:rsid w:val="00E91C8B"/>
    <w:rsid w:val="00EB1428"/>
    <w:rsid w:val="00EB565D"/>
    <w:rsid w:val="00ED281B"/>
    <w:rsid w:val="00ED4EBF"/>
    <w:rsid w:val="00EF4E37"/>
    <w:rsid w:val="00F116A4"/>
    <w:rsid w:val="00F121FB"/>
    <w:rsid w:val="00F2411F"/>
    <w:rsid w:val="00F24FCE"/>
    <w:rsid w:val="00F309D0"/>
    <w:rsid w:val="00F37B0F"/>
    <w:rsid w:val="00F425A7"/>
    <w:rsid w:val="00F54C5E"/>
    <w:rsid w:val="00F608C9"/>
    <w:rsid w:val="00F6609D"/>
    <w:rsid w:val="00F80774"/>
    <w:rsid w:val="00F849A5"/>
    <w:rsid w:val="00F85D9B"/>
    <w:rsid w:val="00FA2B26"/>
    <w:rsid w:val="00FB2F9A"/>
    <w:rsid w:val="00FB5846"/>
    <w:rsid w:val="00FB5D9B"/>
    <w:rsid w:val="00FC670A"/>
    <w:rsid w:val="00FD12A3"/>
    <w:rsid w:val="00FD2B86"/>
    <w:rsid w:val="00FD2E28"/>
    <w:rsid w:val="00FD5F1A"/>
    <w:rsid w:val="00FE08DD"/>
    <w:rsid w:val="00FE5203"/>
    <w:rsid w:val="00FE69E0"/>
    <w:rsid w:val="00FF00F5"/>
    <w:rsid w:val="00FF7D1E"/>
    <w:rsid w:val="01172488"/>
    <w:rsid w:val="012CB798"/>
    <w:rsid w:val="01CCA437"/>
    <w:rsid w:val="0275C19E"/>
    <w:rsid w:val="028C91D2"/>
    <w:rsid w:val="02B3D32D"/>
    <w:rsid w:val="02CA8D78"/>
    <w:rsid w:val="02CC0C35"/>
    <w:rsid w:val="039130E2"/>
    <w:rsid w:val="03A3457A"/>
    <w:rsid w:val="03C47707"/>
    <w:rsid w:val="03DD21C9"/>
    <w:rsid w:val="03F869A2"/>
    <w:rsid w:val="03FBAA68"/>
    <w:rsid w:val="041A5BA5"/>
    <w:rsid w:val="04224F90"/>
    <w:rsid w:val="046ACB39"/>
    <w:rsid w:val="047FBF42"/>
    <w:rsid w:val="04FF77DA"/>
    <w:rsid w:val="050D6240"/>
    <w:rsid w:val="058AC3C8"/>
    <w:rsid w:val="05977AC9"/>
    <w:rsid w:val="059D3F04"/>
    <w:rsid w:val="05B9215E"/>
    <w:rsid w:val="060ED63A"/>
    <w:rsid w:val="0620C8ED"/>
    <w:rsid w:val="06375686"/>
    <w:rsid w:val="067054A9"/>
    <w:rsid w:val="06BE7D9A"/>
    <w:rsid w:val="06F36083"/>
    <w:rsid w:val="07138520"/>
    <w:rsid w:val="0717EEBB"/>
    <w:rsid w:val="07561C93"/>
    <w:rsid w:val="07636A0F"/>
    <w:rsid w:val="080D330E"/>
    <w:rsid w:val="085A4DFB"/>
    <w:rsid w:val="087635DF"/>
    <w:rsid w:val="08B0C5BD"/>
    <w:rsid w:val="08C8B089"/>
    <w:rsid w:val="08CBDAC5"/>
    <w:rsid w:val="08D33D72"/>
    <w:rsid w:val="098D9646"/>
    <w:rsid w:val="09D1E60C"/>
    <w:rsid w:val="0A0D1C63"/>
    <w:rsid w:val="0A11DE07"/>
    <w:rsid w:val="0A7ADE3B"/>
    <w:rsid w:val="0AE2475D"/>
    <w:rsid w:val="0AE32DF0"/>
    <w:rsid w:val="0AF7A00F"/>
    <w:rsid w:val="0B018366"/>
    <w:rsid w:val="0B1893CE"/>
    <w:rsid w:val="0BED93F0"/>
    <w:rsid w:val="0C4F53F1"/>
    <w:rsid w:val="0C7E17BE"/>
    <w:rsid w:val="0C86E084"/>
    <w:rsid w:val="0C8DC86C"/>
    <w:rsid w:val="0CAD9384"/>
    <w:rsid w:val="0CF17845"/>
    <w:rsid w:val="0D3880D5"/>
    <w:rsid w:val="0D5A250C"/>
    <w:rsid w:val="0DEF5D15"/>
    <w:rsid w:val="0E4C8DBE"/>
    <w:rsid w:val="0E9F932E"/>
    <w:rsid w:val="0EA9AF16"/>
    <w:rsid w:val="0EC693CD"/>
    <w:rsid w:val="0EF6DE5F"/>
    <w:rsid w:val="0FB39390"/>
    <w:rsid w:val="0FB5B880"/>
    <w:rsid w:val="1014FD2B"/>
    <w:rsid w:val="108FB0DF"/>
    <w:rsid w:val="109962ED"/>
    <w:rsid w:val="10A22402"/>
    <w:rsid w:val="1101E8FF"/>
    <w:rsid w:val="114F12D1"/>
    <w:rsid w:val="115A3FB5"/>
    <w:rsid w:val="11C4A7C9"/>
    <w:rsid w:val="11CB3C78"/>
    <w:rsid w:val="12477534"/>
    <w:rsid w:val="12766D59"/>
    <w:rsid w:val="1329DD41"/>
    <w:rsid w:val="1336ADBD"/>
    <w:rsid w:val="134232EE"/>
    <w:rsid w:val="14418A07"/>
    <w:rsid w:val="147FB88F"/>
    <w:rsid w:val="1487A56F"/>
    <w:rsid w:val="1488D1D3"/>
    <w:rsid w:val="14945A02"/>
    <w:rsid w:val="14EF407F"/>
    <w:rsid w:val="14F083B2"/>
    <w:rsid w:val="15E1494D"/>
    <w:rsid w:val="15FA535E"/>
    <w:rsid w:val="16073A3E"/>
    <w:rsid w:val="1608FBC2"/>
    <w:rsid w:val="166E25EC"/>
    <w:rsid w:val="168E65F9"/>
    <w:rsid w:val="1734BFA0"/>
    <w:rsid w:val="1744D3C0"/>
    <w:rsid w:val="176A43B5"/>
    <w:rsid w:val="17850A9E"/>
    <w:rsid w:val="17D0F8BD"/>
    <w:rsid w:val="180484CC"/>
    <w:rsid w:val="182A365A"/>
    <w:rsid w:val="184252FE"/>
    <w:rsid w:val="18889D4B"/>
    <w:rsid w:val="18BDA8D3"/>
    <w:rsid w:val="18D1CD13"/>
    <w:rsid w:val="1903934B"/>
    <w:rsid w:val="19187AFE"/>
    <w:rsid w:val="1937CCD5"/>
    <w:rsid w:val="19767AFF"/>
    <w:rsid w:val="19ABF7CB"/>
    <w:rsid w:val="1A1ED46D"/>
    <w:rsid w:val="1A22DB08"/>
    <w:rsid w:val="1A37FEAA"/>
    <w:rsid w:val="1ADC6AB7"/>
    <w:rsid w:val="1BD74A9F"/>
    <w:rsid w:val="1BED5972"/>
    <w:rsid w:val="1C495115"/>
    <w:rsid w:val="1CC791FE"/>
    <w:rsid w:val="1CD99519"/>
    <w:rsid w:val="1CE0AFE8"/>
    <w:rsid w:val="1CEE916D"/>
    <w:rsid w:val="1D5D7784"/>
    <w:rsid w:val="1DAC0CE8"/>
    <w:rsid w:val="1DC4FA4C"/>
    <w:rsid w:val="1E1ED861"/>
    <w:rsid w:val="1E2841EC"/>
    <w:rsid w:val="1E6EEAC8"/>
    <w:rsid w:val="1E9F0775"/>
    <w:rsid w:val="1EA9B17E"/>
    <w:rsid w:val="1F0CE2E4"/>
    <w:rsid w:val="1F2F440D"/>
    <w:rsid w:val="201AFC85"/>
    <w:rsid w:val="20344188"/>
    <w:rsid w:val="20382687"/>
    <w:rsid w:val="208E4014"/>
    <w:rsid w:val="20B25069"/>
    <w:rsid w:val="2105BB8B"/>
    <w:rsid w:val="216D7541"/>
    <w:rsid w:val="2188A573"/>
    <w:rsid w:val="21E556E5"/>
    <w:rsid w:val="22011E04"/>
    <w:rsid w:val="22056B35"/>
    <w:rsid w:val="22187C03"/>
    <w:rsid w:val="221E06B2"/>
    <w:rsid w:val="2295FA0B"/>
    <w:rsid w:val="22AFE779"/>
    <w:rsid w:val="233D46D7"/>
    <w:rsid w:val="23486663"/>
    <w:rsid w:val="235B76DE"/>
    <w:rsid w:val="23A1F183"/>
    <w:rsid w:val="240C518F"/>
    <w:rsid w:val="24169875"/>
    <w:rsid w:val="245C11F2"/>
    <w:rsid w:val="245C7762"/>
    <w:rsid w:val="2469D207"/>
    <w:rsid w:val="24A54C6B"/>
    <w:rsid w:val="24F1302F"/>
    <w:rsid w:val="257ACE96"/>
    <w:rsid w:val="25C0DEED"/>
    <w:rsid w:val="25D92CAE"/>
    <w:rsid w:val="25F48ED7"/>
    <w:rsid w:val="267B7CD3"/>
    <w:rsid w:val="271E6F38"/>
    <w:rsid w:val="272D1531"/>
    <w:rsid w:val="2733829E"/>
    <w:rsid w:val="2774FD0F"/>
    <w:rsid w:val="278F3BD3"/>
    <w:rsid w:val="281E1F27"/>
    <w:rsid w:val="28482B8C"/>
    <w:rsid w:val="2884A5D3"/>
    <w:rsid w:val="28864C0D"/>
    <w:rsid w:val="28A9ADEC"/>
    <w:rsid w:val="294995BF"/>
    <w:rsid w:val="2963EFAC"/>
    <w:rsid w:val="2A26ED88"/>
    <w:rsid w:val="2A669ABA"/>
    <w:rsid w:val="2B477DE7"/>
    <w:rsid w:val="2B7A4C4E"/>
    <w:rsid w:val="2B7F8F37"/>
    <w:rsid w:val="2B9A1F87"/>
    <w:rsid w:val="2BC2BDE9"/>
    <w:rsid w:val="2BE1B98B"/>
    <w:rsid w:val="2C265829"/>
    <w:rsid w:val="2C3980E9"/>
    <w:rsid w:val="2C3F12ED"/>
    <w:rsid w:val="2C42AC82"/>
    <w:rsid w:val="2C5C486F"/>
    <w:rsid w:val="2C7E1AC8"/>
    <w:rsid w:val="2C97124D"/>
    <w:rsid w:val="2C9DFB8A"/>
    <w:rsid w:val="2D7990E1"/>
    <w:rsid w:val="2D9EA383"/>
    <w:rsid w:val="2DA5539D"/>
    <w:rsid w:val="2E2A8FCE"/>
    <w:rsid w:val="2E2E595A"/>
    <w:rsid w:val="2E78BCDB"/>
    <w:rsid w:val="2EB9F465"/>
    <w:rsid w:val="2EDBCBFD"/>
    <w:rsid w:val="2F5F52D9"/>
    <w:rsid w:val="2FC29442"/>
    <w:rsid w:val="2FD8F68B"/>
    <w:rsid w:val="2FF7CA11"/>
    <w:rsid w:val="30045741"/>
    <w:rsid w:val="3032099C"/>
    <w:rsid w:val="3045E585"/>
    <w:rsid w:val="30AF7E6A"/>
    <w:rsid w:val="30F28FAE"/>
    <w:rsid w:val="31057609"/>
    <w:rsid w:val="312F2CB2"/>
    <w:rsid w:val="3184A5C6"/>
    <w:rsid w:val="31993DCA"/>
    <w:rsid w:val="3278002D"/>
    <w:rsid w:val="32A7BDDD"/>
    <w:rsid w:val="32E4C4DC"/>
    <w:rsid w:val="33033687"/>
    <w:rsid w:val="337F0C9F"/>
    <w:rsid w:val="33C1273C"/>
    <w:rsid w:val="345E449D"/>
    <w:rsid w:val="3478F9E8"/>
    <w:rsid w:val="3498D449"/>
    <w:rsid w:val="34D5F447"/>
    <w:rsid w:val="3508BF57"/>
    <w:rsid w:val="3524DF36"/>
    <w:rsid w:val="35370452"/>
    <w:rsid w:val="353CCE0F"/>
    <w:rsid w:val="354BA58D"/>
    <w:rsid w:val="35A685F3"/>
    <w:rsid w:val="35E82ADD"/>
    <w:rsid w:val="360BD60C"/>
    <w:rsid w:val="36538852"/>
    <w:rsid w:val="36B6AD61"/>
    <w:rsid w:val="3764764D"/>
    <w:rsid w:val="37673A99"/>
    <w:rsid w:val="376BC68F"/>
    <w:rsid w:val="3789A568"/>
    <w:rsid w:val="388DA67D"/>
    <w:rsid w:val="38E339FE"/>
    <w:rsid w:val="38EA6584"/>
    <w:rsid w:val="38FCE3B4"/>
    <w:rsid w:val="38FFF7B5"/>
    <w:rsid w:val="39435C96"/>
    <w:rsid w:val="394457EB"/>
    <w:rsid w:val="39A01BD4"/>
    <w:rsid w:val="39F3E101"/>
    <w:rsid w:val="3A331EA3"/>
    <w:rsid w:val="3A79FD63"/>
    <w:rsid w:val="3A88AA31"/>
    <w:rsid w:val="3A9BC816"/>
    <w:rsid w:val="3B1DD15D"/>
    <w:rsid w:val="3B2D325B"/>
    <w:rsid w:val="3B31BA4F"/>
    <w:rsid w:val="3B513BF1"/>
    <w:rsid w:val="3BA03723"/>
    <w:rsid w:val="3BDCB3E0"/>
    <w:rsid w:val="3BFDF2A4"/>
    <w:rsid w:val="3C8936B6"/>
    <w:rsid w:val="3CBFC7E1"/>
    <w:rsid w:val="3CCFEA38"/>
    <w:rsid w:val="3D536B56"/>
    <w:rsid w:val="3DB1AAF0"/>
    <w:rsid w:val="3DB6F5BD"/>
    <w:rsid w:val="3DBF41F5"/>
    <w:rsid w:val="3E43DE45"/>
    <w:rsid w:val="3EF2257C"/>
    <w:rsid w:val="3F030670"/>
    <w:rsid w:val="3F3CB6A9"/>
    <w:rsid w:val="3F4CD257"/>
    <w:rsid w:val="3F60822B"/>
    <w:rsid w:val="3F75F123"/>
    <w:rsid w:val="3F94C4FF"/>
    <w:rsid w:val="401188A9"/>
    <w:rsid w:val="40640D52"/>
    <w:rsid w:val="406EB642"/>
    <w:rsid w:val="40DEFDE4"/>
    <w:rsid w:val="40FE8443"/>
    <w:rsid w:val="4110A475"/>
    <w:rsid w:val="41315B17"/>
    <w:rsid w:val="413BCD7B"/>
    <w:rsid w:val="416C5DBC"/>
    <w:rsid w:val="41F321F3"/>
    <w:rsid w:val="41F8E209"/>
    <w:rsid w:val="423CAAD7"/>
    <w:rsid w:val="425D53FE"/>
    <w:rsid w:val="427339A4"/>
    <w:rsid w:val="428DB19E"/>
    <w:rsid w:val="4293D8BC"/>
    <w:rsid w:val="42BAF35F"/>
    <w:rsid w:val="42EC5E61"/>
    <w:rsid w:val="4341E56B"/>
    <w:rsid w:val="43A50CA3"/>
    <w:rsid w:val="43A8E10C"/>
    <w:rsid w:val="43DDDE9E"/>
    <w:rsid w:val="43FDFB6E"/>
    <w:rsid w:val="44A03AD9"/>
    <w:rsid w:val="44BBCDD7"/>
    <w:rsid w:val="44BD1838"/>
    <w:rsid w:val="44C780CA"/>
    <w:rsid w:val="44D067BE"/>
    <w:rsid w:val="44EDB0A0"/>
    <w:rsid w:val="452F3CAA"/>
    <w:rsid w:val="45301A41"/>
    <w:rsid w:val="456747C7"/>
    <w:rsid w:val="45A27BAA"/>
    <w:rsid w:val="45DADA10"/>
    <w:rsid w:val="461A20FB"/>
    <w:rsid w:val="461CC76D"/>
    <w:rsid w:val="462DABE2"/>
    <w:rsid w:val="4689A385"/>
    <w:rsid w:val="46E1253F"/>
    <w:rsid w:val="4700AE89"/>
    <w:rsid w:val="476BD14D"/>
    <w:rsid w:val="478C65AE"/>
    <w:rsid w:val="478DA7E5"/>
    <w:rsid w:val="480D8484"/>
    <w:rsid w:val="481042BF"/>
    <w:rsid w:val="481744D3"/>
    <w:rsid w:val="481943CF"/>
    <w:rsid w:val="481FA72E"/>
    <w:rsid w:val="48910FAD"/>
    <w:rsid w:val="48C155A9"/>
    <w:rsid w:val="48D9E5FC"/>
    <w:rsid w:val="49268C0D"/>
    <w:rsid w:val="49ABFE21"/>
    <w:rsid w:val="4A0A37F5"/>
    <w:rsid w:val="4A18264D"/>
    <w:rsid w:val="4A18513E"/>
    <w:rsid w:val="4A628234"/>
    <w:rsid w:val="4ADBC71A"/>
    <w:rsid w:val="4B51BAEB"/>
    <w:rsid w:val="4B652918"/>
    <w:rsid w:val="4C1FF280"/>
    <w:rsid w:val="4C261001"/>
    <w:rsid w:val="4C6A4D20"/>
    <w:rsid w:val="4C77977B"/>
    <w:rsid w:val="4D28AC71"/>
    <w:rsid w:val="4D601AA9"/>
    <w:rsid w:val="4DDAF449"/>
    <w:rsid w:val="4DDC8AA4"/>
    <w:rsid w:val="4DFC5655"/>
    <w:rsid w:val="4E6F8909"/>
    <w:rsid w:val="4E8B6EF1"/>
    <w:rsid w:val="4EBBF076"/>
    <w:rsid w:val="4ECABC2F"/>
    <w:rsid w:val="4F022841"/>
    <w:rsid w:val="4F3265F2"/>
    <w:rsid w:val="4F5A195D"/>
    <w:rsid w:val="4F929BCB"/>
    <w:rsid w:val="4FCEA4F8"/>
    <w:rsid w:val="50347108"/>
    <w:rsid w:val="5070CE59"/>
    <w:rsid w:val="507DD883"/>
    <w:rsid w:val="50B1AC30"/>
    <w:rsid w:val="514AB03A"/>
    <w:rsid w:val="51AB6F72"/>
    <w:rsid w:val="51C4265A"/>
    <w:rsid w:val="51FBAF6E"/>
    <w:rsid w:val="522AEEEF"/>
    <w:rsid w:val="523F4713"/>
    <w:rsid w:val="52EC9E84"/>
    <w:rsid w:val="533D0F11"/>
    <w:rsid w:val="53DB1774"/>
    <w:rsid w:val="53E975D8"/>
    <w:rsid w:val="53F22133"/>
    <w:rsid w:val="5405D715"/>
    <w:rsid w:val="546186CF"/>
    <w:rsid w:val="5500E939"/>
    <w:rsid w:val="556D1D25"/>
    <w:rsid w:val="557BEB80"/>
    <w:rsid w:val="5582F1C5"/>
    <w:rsid w:val="559BFAE6"/>
    <w:rsid w:val="55AAD028"/>
    <w:rsid w:val="55D58427"/>
    <w:rsid w:val="561D1EED"/>
    <w:rsid w:val="5638C167"/>
    <w:rsid w:val="563B51C4"/>
    <w:rsid w:val="565D4D52"/>
    <w:rsid w:val="569BD0EF"/>
    <w:rsid w:val="56A07841"/>
    <w:rsid w:val="56AAD846"/>
    <w:rsid w:val="56F4CF5D"/>
    <w:rsid w:val="572DA0BA"/>
    <w:rsid w:val="573B1901"/>
    <w:rsid w:val="575C6A6D"/>
    <w:rsid w:val="576FC2A6"/>
    <w:rsid w:val="577A3F61"/>
    <w:rsid w:val="5793A433"/>
    <w:rsid w:val="57BF54C2"/>
    <w:rsid w:val="57EE2634"/>
    <w:rsid w:val="581516E4"/>
    <w:rsid w:val="58477C20"/>
    <w:rsid w:val="58AF55D7"/>
    <w:rsid w:val="59309FFF"/>
    <w:rsid w:val="5942B7AB"/>
    <w:rsid w:val="595321D7"/>
    <w:rsid w:val="5954063B"/>
    <w:rsid w:val="595DDC4C"/>
    <w:rsid w:val="5A0A28C4"/>
    <w:rsid w:val="5A26B34B"/>
    <w:rsid w:val="5A51BE66"/>
    <w:rsid w:val="5B8B4E32"/>
    <w:rsid w:val="5BC283AC"/>
    <w:rsid w:val="5BD3872B"/>
    <w:rsid w:val="5C0C89ED"/>
    <w:rsid w:val="5C5906CF"/>
    <w:rsid w:val="5C9E7A81"/>
    <w:rsid w:val="5D962398"/>
    <w:rsid w:val="5DE936DF"/>
    <w:rsid w:val="5DFBB39C"/>
    <w:rsid w:val="5E2FCDBC"/>
    <w:rsid w:val="5F54B8DE"/>
    <w:rsid w:val="5F5F7D91"/>
    <w:rsid w:val="5F7BC213"/>
    <w:rsid w:val="5FBD9A12"/>
    <w:rsid w:val="602AE0B0"/>
    <w:rsid w:val="605C112C"/>
    <w:rsid w:val="605F7407"/>
    <w:rsid w:val="6074A2E5"/>
    <w:rsid w:val="6085B0F3"/>
    <w:rsid w:val="608CC93A"/>
    <w:rsid w:val="60AF29B8"/>
    <w:rsid w:val="60B5C015"/>
    <w:rsid w:val="60B85B9E"/>
    <w:rsid w:val="60EB562D"/>
    <w:rsid w:val="610D90A9"/>
    <w:rsid w:val="611A6B07"/>
    <w:rsid w:val="6181857B"/>
    <w:rsid w:val="618BA026"/>
    <w:rsid w:val="61A76010"/>
    <w:rsid w:val="6207D172"/>
    <w:rsid w:val="6238C1CE"/>
    <w:rsid w:val="6244CD49"/>
    <w:rsid w:val="624E2147"/>
    <w:rsid w:val="62533736"/>
    <w:rsid w:val="62575B24"/>
    <w:rsid w:val="62D4F28F"/>
    <w:rsid w:val="62D56F04"/>
    <w:rsid w:val="62D9B942"/>
    <w:rsid w:val="63715055"/>
    <w:rsid w:val="639CD5AB"/>
    <w:rsid w:val="63E3CC33"/>
    <w:rsid w:val="640BC51D"/>
    <w:rsid w:val="64BB6437"/>
    <w:rsid w:val="64D735A7"/>
    <w:rsid w:val="64E67DFB"/>
    <w:rsid w:val="64F8C289"/>
    <w:rsid w:val="652F475D"/>
    <w:rsid w:val="6538B51A"/>
    <w:rsid w:val="658BD719"/>
    <w:rsid w:val="659B6F2F"/>
    <w:rsid w:val="662ABC13"/>
    <w:rsid w:val="66530E27"/>
    <w:rsid w:val="66803B7D"/>
    <w:rsid w:val="66886777"/>
    <w:rsid w:val="6692AC5E"/>
    <w:rsid w:val="66A48DBE"/>
    <w:rsid w:val="66BB778E"/>
    <w:rsid w:val="6761ECB3"/>
    <w:rsid w:val="67A17DE8"/>
    <w:rsid w:val="67A57F83"/>
    <w:rsid w:val="67B9DE05"/>
    <w:rsid w:val="67FE58FB"/>
    <w:rsid w:val="68BB11EB"/>
    <w:rsid w:val="690782EF"/>
    <w:rsid w:val="693A3011"/>
    <w:rsid w:val="69B724A3"/>
    <w:rsid w:val="69E78D4D"/>
    <w:rsid w:val="69EE26CD"/>
    <w:rsid w:val="69F2689F"/>
    <w:rsid w:val="6A49742C"/>
    <w:rsid w:val="6A4C9E68"/>
    <w:rsid w:val="6A686A48"/>
    <w:rsid w:val="6B27187E"/>
    <w:rsid w:val="6C0938BC"/>
    <w:rsid w:val="6C245779"/>
    <w:rsid w:val="6C26DCD7"/>
    <w:rsid w:val="6C9869BD"/>
    <w:rsid w:val="6CC35339"/>
    <w:rsid w:val="6D0519F6"/>
    <w:rsid w:val="6D1670AA"/>
    <w:rsid w:val="6D539B82"/>
    <w:rsid w:val="6D7B1AC0"/>
    <w:rsid w:val="6DEF54D2"/>
    <w:rsid w:val="6E00B3BB"/>
    <w:rsid w:val="6E62A43C"/>
    <w:rsid w:val="6F744024"/>
    <w:rsid w:val="705E59E9"/>
    <w:rsid w:val="70BE836F"/>
    <w:rsid w:val="70E183F4"/>
    <w:rsid w:val="711DAF10"/>
    <w:rsid w:val="71DE73B0"/>
    <w:rsid w:val="71E8E30A"/>
    <w:rsid w:val="71F53CEA"/>
    <w:rsid w:val="7215139C"/>
    <w:rsid w:val="726E742A"/>
    <w:rsid w:val="729F00F7"/>
    <w:rsid w:val="7366F21C"/>
    <w:rsid w:val="739A8514"/>
    <w:rsid w:val="739D4F71"/>
    <w:rsid w:val="73DD9917"/>
    <w:rsid w:val="73FBCB8A"/>
    <w:rsid w:val="74B43933"/>
    <w:rsid w:val="74C8019A"/>
    <w:rsid w:val="74E8F0E5"/>
    <w:rsid w:val="74F4A993"/>
    <w:rsid w:val="74F9ED75"/>
    <w:rsid w:val="7522EEE8"/>
    <w:rsid w:val="7538EF1C"/>
    <w:rsid w:val="754D60F5"/>
    <w:rsid w:val="756C2362"/>
    <w:rsid w:val="75877742"/>
    <w:rsid w:val="7590D3A4"/>
    <w:rsid w:val="75BBECFF"/>
    <w:rsid w:val="75CC9A85"/>
    <w:rsid w:val="75F9FA07"/>
    <w:rsid w:val="77202BAC"/>
    <w:rsid w:val="773BE419"/>
    <w:rsid w:val="773DA99C"/>
    <w:rsid w:val="77A06D19"/>
    <w:rsid w:val="77A8CA47"/>
    <w:rsid w:val="77B6DB13"/>
    <w:rsid w:val="77BBD796"/>
    <w:rsid w:val="77DCD686"/>
    <w:rsid w:val="77F6D337"/>
    <w:rsid w:val="783A1D2E"/>
    <w:rsid w:val="7858D351"/>
    <w:rsid w:val="7895309B"/>
    <w:rsid w:val="78B74AD4"/>
    <w:rsid w:val="794D4847"/>
    <w:rsid w:val="7961052E"/>
    <w:rsid w:val="79DD37AE"/>
    <w:rsid w:val="79DE2072"/>
    <w:rsid w:val="7A531B35"/>
    <w:rsid w:val="7A707917"/>
    <w:rsid w:val="7A9A843E"/>
    <w:rsid w:val="7ABCF20C"/>
    <w:rsid w:val="7ACCECE0"/>
    <w:rsid w:val="7AF65529"/>
    <w:rsid w:val="7C3FC044"/>
    <w:rsid w:val="7C662280"/>
    <w:rsid w:val="7D27952C"/>
    <w:rsid w:val="7D8ABBF7"/>
    <w:rsid w:val="7DD65126"/>
    <w:rsid w:val="7E0D176A"/>
    <w:rsid w:val="7E14F21D"/>
    <w:rsid w:val="7E31BC76"/>
    <w:rsid w:val="7E6F7C1B"/>
    <w:rsid w:val="7E814968"/>
    <w:rsid w:val="7EDB5A81"/>
    <w:rsid w:val="7EF37BE7"/>
    <w:rsid w:val="7F3333A8"/>
    <w:rsid w:val="7F6ED8F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table" w:styleId="PlainTable2">
    <w:name w:val="Plain Table 2"/>
    <w:basedOn w:val="TableNormal"/>
    <w:uiPriority w:val="42"/>
    <w:rsid w:val="00C57F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57F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hda.com/english/rpkgs/factoextra" TargetMode="External"/><Relationship Id="rId21" Type="http://schemas.openxmlformats.org/officeDocument/2006/relationships/hyperlink" Target="https://sentinel.esa.int/web/sentinel/user-guides/sentinel-3-olci" TargetMode="External"/><Relationship Id="rId34" Type="http://schemas.openxmlformats.org/officeDocument/2006/relationships/hyperlink" Target="https://pace.oceansciences.org/about.htm" TargetMode="External"/><Relationship Id="rId42" Type="http://schemas.openxmlformats.org/officeDocument/2006/relationships/hyperlink" Target="https://www.vdh.virginia.gov/content/uploads/sites/178/2022/01/FINAL_SIGNED_%20Guidance_for_Cyanobacteria_Recreational_Advisory_Mgt.5Aug2021-1.pdf" TargetMode="External"/><Relationship Id="rId47" Type="http://schemas.openxmlformats.org/officeDocument/2006/relationships/hyperlink" Target="https://doi.org/10.1080/01431160802007640" TargetMode="External"/><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eq.virginia.gov/get-involved/about-us" TargetMode="External"/><Relationship Id="rId29" Type="http://schemas.openxmlformats.org/officeDocument/2006/relationships/hyperlink" Target="https://www.dcr.virginia.gov/state-parks/document/virginia-state-parks-2019-economic-impact-study.pdf" TargetMode="External"/><Relationship Id="rId11" Type="http://schemas.openxmlformats.org/officeDocument/2006/relationships/image" Target="media/image1.png"/><Relationship Id="rId24" Type="http://schemas.openxmlformats.org/officeDocument/2006/relationships/hyperlink" Target="https://doi.org/10.3389/fevo.2021.646080" TargetMode="External"/><Relationship Id="rId32" Type="http://schemas.openxmlformats.org/officeDocument/2006/relationships/hyperlink" Target="https://doi.org/10.1016/j.advwatres.2011.05.010" TargetMode="External"/><Relationship Id="rId37" Type="http://schemas.openxmlformats.org/officeDocument/2006/relationships/hyperlink" Target="https://townhall.virginia.gov/l/GetFile.cfm?File=C:%5CTownHall%5Cdocroot%5CGuidanceDocs%5C440%5CGDoc_DEQ_3959_v3.pdf" TargetMode="External"/><Relationship Id="rId40" Type="http://schemas.openxmlformats.org/officeDocument/2006/relationships/hyperlink" Target="https://doi.org/10.5066/P9OGBGM6" TargetMode="External"/><Relationship Id="rId45" Type="http://schemas.openxmlformats.org/officeDocument/2006/relationships/hyperlink" Target="https://doi.org/10.1007/s002670010258"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https://doi.org/10.5270/S2_-6eb6imz" TargetMode="External"/><Relationship Id="rId14" Type="http://schemas.openxmlformats.org/officeDocument/2006/relationships/hyperlink" Target="https://www.waterboards.ca.gov/waterrights/water_issues/programs/bay_delta/california_waterfix/exhibits/docs/RestoretheDelta/RTD_236.pdf" TargetMode="External"/><Relationship Id="rId22" Type="http://schemas.openxmlformats.org/officeDocument/2006/relationships/hyperlink" Target="http://www.eumetsat.int" TargetMode="External"/><Relationship Id="rId27" Type="http://schemas.openxmlformats.org/officeDocument/2006/relationships/hyperlink" Target="https://services.dwr.virginia.gov/fwis/help/gap/mapkey.htm" TargetMode="External"/><Relationship Id="rId30" Type="http://schemas.openxmlformats.org/officeDocument/2006/relationships/hyperlink" Target="https://doi.org/10.3390/rs12142313" TargetMode="External"/><Relationship Id="rId35" Type="http://schemas.openxmlformats.org/officeDocument/2006/relationships/hyperlink" Target="http://www.hillsborough.wateratlas.usf.edu/upload/documents/1996%20Water-Quality%20Assessment%20for%20the%20State%20of%20Florida%20Section%20305(b)%20Main%20Report.pdf" TargetMode="External"/><Relationship Id="rId43" Type="http://schemas.openxmlformats.org/officeDocument/2006/relationships/hyperlink" Target="https://data.virginia.gov/Government/6th-Order-NWBD-HUC-12-Watersheds/s9fk-xwfb" TargetMode="External"/><Relationship Id="rId48" Type="http://schemas.openxmlformats.org/officeDocument/2006/relationships/hyperlink" Target="https://doi.org/10.25923/606t-m243" TargetMode="External"/><Relationship Id="rId56" Type="http://schemas.openxmlformats.org/officeDocument/2006/relationships/image" Target="media/image11.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6.tif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eq.virginia.gov/topics-of-interest/harmful-algal-blooms/" TargetMode="External"/><Relationship Id="rId25" Type="http://schemas.openxmlformats.org/officeDocument/2006/relationships/hyperlink" Target="https://doi.org/10.18637/jss.v025.i01.2023" TargetMode="External"/><Relationship Id="rId33" Type="http://schemas.openxmlformats.org/officeDocument/2006/relationships/hyperlink" Target="https://earthobservatory.nasa.gov/features/MeasuringVegetation/measuring_vegetation_2.php" TargetMode="External"/><Relationship Id="rId38" Type="http://schemas.openxmlformats.org/officeDocument/2006/relationships/hyperlink" Target="https://www.wric.com/news/virginia-news/emergency-sirens-to-be-replaced-by-cell-phone-alerts-for-unlikely-events-at-north-anna-power-station-in-louisa-county/" TargetMode="External"/><Relationship Id="rId46" Type="http://schemas.openxmlformats.org/officeDocument/2006/relationships/hyperlink" Target="https://doi.org/10.1016/j.ecolecon.2016.12.007" TargetMode="External"/><Relationship Id="rId59" Type="http://schemas.openxmlformats.org/officeDocument/2006/relationships/image" Target="media/image14.png"/><Relationship Id="rId67" Type="http://schemas.openxmlformats.org/officeDocument/2006/relationships/theme" Target="theme/theme1.xml"/><Relationship Id="rId20" Type="http://schemas.openxmlformats.org/officeDocument/2006/relationships/hyperlink" Target="https://sentinels.copernicus.eu/web/sentinel/user-guides/sentinel-3-olci/product-types/level-2-water" TargetMode="External"/><Relationship Id="rId41" Type="http://schemas.openxmlformats.org/officeDocument/2006/relationships/hyperlink" Target="https://doi.org/10.5066/P9OGBGM6" TargetMode="External"/><Relationship Id="rId54" Type="http://schemas.openxmlformats.org/officeDocument/2006/relationships/image" Target="media/image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top.com/virginia/2018/10/harmful-algae-bloom-prompts-no-swimming-advisories-for-virginias-lake-anna/" TargetMode="External"/><Relationship Id="rId23" Type="http://schemas.openxmlformats.org/officeDocument/2006/relationships/hyperlink" Target="http://doi.org/10.15770/EUM_SEC_CLM_0061" TargetMode="External"/><Relationship Id="rId28" Type="http://schemas.openxmlformats.org/officeDocument/2006/relationships/hyperlink" Target="https://doi.org/10.1016/j.rse.2014.06.008" TargetMode="External"/><Relationship Id="rId36" Type="http://schemas.openxmlformats.org/officeDocument/2006/relationships/hyperlink" Target="https://doi.org/10.1016/j.ecolind.2022.108990"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2.gov.bc.ca/gov/content/environment/air-land-water/water/water-quality/algae-watch/what-are-algae/causes-of-an-algae-bloom" TargetMode="External"/><Relationship Id="rId44" Type="http://schemas.openxmlformats.org/officeDocument/2006/relationships/hyperlink" Target="https://data.virginia.gov/Environment-Natural-Resources/Lakes-Reservoirs-WQS/jkr5-zz47"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3390/rs10071140" TargetMode="External"/><Relationship Id="rId39" Type="http://schemas.openxmlformats.org/officeDocument/2006/relationships/hyperlink" Target="https://data.virginia.gov/Government/2019-Virginia-Census-Counties-County-Equivalents/rgvv-r79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Sophia Skoglund</DisplayName>
        <AccountId>466</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B55E3A05-EE12-4EF1-AE6F-C0C40BAA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28</Pages>
  <Words>9543</Words>
  <Characters>54396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2023-09-01T19:17:00Z</dcterms:created>
  <dcterms:modified xsi:type="dcterms:W3CDTF">2023-09-01T19:17:00Z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