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9826" w14:textId="74DA3711" w:rsidR="00381FEA" w:rsidRPr="00DF6D25" w:rsidRDefault="00381FEA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6D25">
        <w:rPr>
          <w:rFonts w:ascii="Times New Roman" w:eastAsiaTheme="minorEastAsia" w:hAnsi="Times New Roman" w:cs="Times New Roman"/>
          <w:sz w:val="28"/>
          <w:szCs w:val="28"/>
        </w:rPr>
        <w:t>Supporting Information</w:t>
      </w:r>
      <w:r w:rsidR="0009775E" w:rsidRPr="00DF6D25">
        <w:rPr>
          <w:rFonts w:ascii="Times New Roman" w:eastAsiaTheme="minorEastAsia" w:hAnsi="Times New Roman" w:cs="Times New Roman"/>
          <w:sz w:val="28"/>
          <w:szCs w:val="28"/>
        </w:rPr>
        <w:t xml:space="preserve"> for</w:t>
      </w:r>
    </w:p>
    <w:p w14:paraId="4353D77B" w14:textId="7C8B473B" w:rsidR="00381FEA" w:rsidRPr="00DF6D25" w:rsidRDefault="00381FEA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F6D25">
        <w:rPr>
          <w:rFonts w:ascii="Times New Roman" w:eastAsiaTheme="minorEastAsia" w:hAnsi="Times New Roman" w:cs="Times New Roman"/>
          <w:b/>
          <w:bCs/>
          <w:sz w:val="28"/>
          <w:szCs w:val="28"/>
        </w:rPr>
        <w:t>Land Surfaces at the Tipping-Point for Water and Energy Balance Coupling</w:t>
      </w:r>
    </w:p>
    <w:p w14:paraId="2A8A084A" w14:textId="77777777" w:rsidR="001F485D" w:rsidRPr="001F485D" w:rsidRDefault="001F485D" w:rsidP="00857ABD">
      <w:pPr>
        <w:spacing w:afterLines="50" w:after="163" w:line="312" w:lineRule="auto"/>
        <w:jc w:val="center"/>
        <w:rPr>
          <w:rFonts w:ascii="Times New Roman" w:eastAsiaTheme="minorEastAsia" w:hAnsi="Times New Roman" w:cs="Times New Roman"/>
          <w:color w:val="000000" w:themeColor="text1"/>
          <w:sz w:val="22"/>
        </w:rPr>
      </w:pPr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>Jianzhi Dong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  <w:vertAlign w:val="superscript"/>
        </w:rPr>
        <w:t>1,2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 xml:space="preserve">, </w:t>
      </w:r>
      <w:proofErr w:type="spellStart"/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>Ruzbeh</w:t>
      </w:r>
      <w:proofErr w:type="spellEnd"/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 xml:space="preserve"> Akbar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  <w:vertAlign w:val="superscript"/>
        </w:rPr>
        <w:t>2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 xml:space="preserve">, </w:t>
      </w:r>
      <w:r w:rsidRPr="001F485D">
        <w:rPr>
          <w:rFonts w:ascii="Times New Roman" w:hAnsi="Times New Roman" w:cs="Times New Roman"/>
          <w:color w:val="000000" w:themeColor="text1"/>
          <w:sz w:val="22"/>
        </w:rPr>
        <w:t>Andrew F. Feldman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  <w:vertAlign w:val="superscript"/>
        </w:rPr>
        <w:t>3,4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>,</w:t>
      </w:r>
      <w:r w:rsidRPr="001F485D">
        <w:rPr>
          <w:rFonts w:ascii="Times New Roman" w:hAnsi="Times New Roman" w:cs="Times New Roman"/>
          <w:color w:val="000000" w:themeColor="text1"/>
          <w:sz w:val="22"/>
        </w:rPr>
        <w:t xml:space="preserve"> Daniel Short Gianotti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  <w:vertAlign w:val="superscript"/>
        </w:rPr>
        <w:t>2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</w:rPr>
        <w:t>, Dara Entekhabi</w:t>
      </w:r>
      <w:r w:rsidRPr="001F485D">
        <w:rPr>
          <w:rFonts w:ascii="Times New Roman" w:eastAsiaTheme="minorEastAsia" w:hAnsi="Times New Roman" w:cs="Times New Roman"/>
          <w:color w:val="000000" w:themeColor="text1"/>
          <w:sz w:val="22"/>
          <w:vertAlign w:val="superscript"/>
        </w:rPr>
        <w:t>2</w:t>
      </w:r>
    </w:p>
    <w:p w14:paraId="0C6CD5A7" w14:textId="77777777" w:rsidR="001F485D" w:rsidRPr="001F485D" w:rsidRDefault="001F485D" w:rsidP="00857ABD">
      <w:pPr>
        <w:pStyle w:val="ae"/>
        <w:widowControl/>
        <w:numPr>
          <w:ilvl w:val="0"/>
          <w:numId w:val="3"/>
        </w:numPr>
        <w:snapToGrid w:val="0"/>
        <w:spacing w:afterLines="50" w:after="163" w:line="312" w:lineRule="auto"/>
        <w:ind w:left="357" w:firstLineChars="0" w:hanging="357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r w:rsidRPr="001F485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Institute of Surface-Earth System Science, Tianjin University, Tianjin, China</w:t>
      </w:r>
    </w:p>
    <w:p w14:paraId="464D282E" w14:textId="77777777" w:rsidR="001F485D" w:rsidRPr="001F485D" w:rsidRDefault="001F485D" w:rsidP="00857ABD">
      <w:pPr>
        <w:pStyle w:val="ae"/>
        <w:widowControl/>
        <w:numPr>
          <w:ilvl w:val="0"/>
          <w:numId w:val="3"/>
        </w:numPr>
        <w:snapToGrid w:val="0"/>
        <w:spacing w:afterLines="50" w:after="163" w:line="312" w:lineRule="auto"/>
        <w:ind w:left="357" w:firstLineChars="0" w:hanging="357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r w:rsidRPr="001F485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Department of Civil and Environmental Engineering, MIT, Cambridge, Massachusetts 02139, USA</w:t>
      </w:r>
    </w:p>
    <w:p w14:paraId="190B559D" w14:textId="77777777" w:rsidR="001F485D" w:rsidRPr="001F485D" w:rsidRDefault="001F485D" w:rsidP="00857ABD">
      <w:pPr>
        <w:pStyle w:val="ae"/>
        <w:numPr>
          <w:ilvl w:val="0"/>
          <w:numId w:val="3"/>
        </w:numPr>
        <w:snapToGrid w:val="0"/>
        <w:spacing w:afterLines="50" w:after="163" w:line="312" w:lineRule="auto"/>
        <w:ind w:left="357" w:firstLineChars="0" w:hanging="357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proofErr w:type="spellStart"/>
      <w:r w:rsidRPr="001F485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Biospheric</w:t>
      </w:r>
      <w:proofErr w:type="spellEnd"/>
      <w:r w:rsidRPr="001F485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 xml:space="preserve"> Sciences Laboratory, NASA Goddard Space Flight Center, Greenbelt, Maryland, USA</w:t>
      </w:r>
    </w:p>
    <w:p w14:paraId="62E026E6" w14:textId="77777777" w:rsidR="001F485D" w:rsidRPr="001F485D" w:rsidRDefault="001F485D" w:rsidP="00857ABD">
      <w:pPr>
        <w:pStyle w:val="ae"/>
        <w:numPr>
          <w:ilvl w:val="0"/>
          <w:numId w:val="3"/>
        </w:numPr>
        <w:snapToGrid w:val="0"/>
        <w:spacing w:afterLines="50" w:after="163" w:line="312" w:lineRule="auto"/>
        <w:ind w:left="357" w:firstLineChars="0" w:hanging="357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r w:rsidRPr="001F485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NASA Postdoctoral Program, NASA Goddard Space Flight Center, Greenbelt, Maryland, USA</w:t>
      </w:r>
    </w:p>
    <w:p w14:paraId="573C2696" w14:textId="77777777" w:rsidR="00B4755A" w:rsidRPr="00DF6D25" w:rsidRDefault="00B4755A" w:rsidP="00857ABD">
      <w:pPr>
        <w:snapToGrid w:val="0"/>
        <w:spacing w:afterLines="50" w:after="163" w:line="312" w:lineRule="auto"/>
        <w:ind w:left="360" w:hanging="360"/>
        <w:rPr>
          <w:rFonts w:ascii="Times New Roman" w:hAnsi="Times New Roman" w:cs="Times New Roman"/>
          <w:szCs w:val="24"/>
        </w:rPr>
      </w:pPr>
    </w:p>
    <w:p w14:paraId="749AF4F7" w14:textId="3AAD9E59" w:rsidR="00B4755A" w:rsidRPr="00DF6D25" w:rsidRDefault="00B4755A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1A08BFB" w14:textId="5137F6FD" w:rsidR="00BE7619" w:rsidRPr="00DF6D25" w:rsidRDefault="00BE7619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Contents of this file:</w:t>
      </w:r>
    </w:p>
    <w:p w14:paraId="6B0B2DCF" w14:textId="70F12E48" w:rsidR="00BE7619" w:rsidRPr="00DF6D25" w:rsidRDefault="00BE7619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ab/>
        <w:t>Sections S1 to S</w:t>
      </w:r>
      <w:r w:rsidR="001A3A3A">
        <w:rPr>
          <w:rFonts w:ascii="Times New Roman" w:eastAsiaTheme="minorEastAsia" w:hAnsi="Times New Roman" w:cs="Times New Roman"/>
          <w:szCs w:val="24"/>
        </w:rPr>
        <w:t>5</w:t>
      </w:r>
    </w:p>
    <w:p w14:paraId="21FA6C53" w14:textId="4797265A" w:rsidR="00BE7619" w:rsidRPr="00DF6D25" w:rsidRDefault="00BE7619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</w:p>
    <w:p w14:paraId="0CA7316D" w14:textId="75504EDE" w:rsidR="00771471" w:rsidRPr="00DF6D25" w:rsidRDefault="00771471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Introduction:</w:t>
      </w:r>
    </w:p>
    <w:p w14:paraId="114A68B1" w14:textId="299EA2F6" w:rsidR="00044BCA" w:rsidRPr="00DF6D25" w:rsidRDefault="00044BCA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ab/>
        <w:t xml:space="preserve">This supporting information provides </w:t>
      </w:r>
      <w:r w:rsidR="00C530D4" w:rsidRPr="00DF6D25">
        <w:rPr>
          <w:rFonts w:ascii="Times New Roman" w:eastAsiaTheme="minorEastAsia" w:hAnsi="Times New Roman" w:cs="Times New Roman"/>
          <w:szCs w:val="24"/>
        </w:rPr>
        <w:t xml:space="preserve">synthetic test results for </w:t>
      </w:r>
      <w:r w:rsidR="000D69AF">
        <w:rPr>
          <w:rFonts w:ascii="Times New Roman" w:eastAsiaTheme="minorEastAsia" w:hAnsi="Times New Roman" w:cs="Times New Roman"/>
          <w:szCs w:val="24"/>
        </w:rPr>
        <w:t>the applied</w:t>
      </w:r>
      <w:r w:rsidR="000D69AF" w:rsidRPr="00DF6D25">
        <w:rPr>
          <w:rFonts w:ascii="Times New Roman" w:eastAsiaTheme="minorEastAsia" w:hAnsi="Times New Roman" w:cs="Times New Roman"/>
          <w:szCs w:val="24"/>
        </w:rPr>
        <w:t xml:space="preserve"> </w:t>
      </w:r>
      <w:r w:rsidR="00C530D4" w:rsidRPr="00DF6D25">
        <w:rPr>
          <w:rFonts w:ascii="Times New Roman" w:eastAsiaTheme="minorEastAsia" w:hAnsi="Times New Roman" w:cs="Times New Roman"/>
          <w:szCs w:val="24"/>
        </w:rPr>
        <w:t xml:space="preserve">soil moisture </w:t>
      </w:r>
      <w:proofErr w:type="spellStart"/>
      <w:r w:rsidR="00C530D4" w:rsidRPr="00DF6D25">
        <w:rPr>
          <w:rFonts w:ascii="Times New Roman" w:eastAsiaTheme="minorEastAsia" w:hAnsi="Times New Roman" w:cs="Times New Roman"/>
          <w:szCs w:val="24"/>
        </w:rPr>
        <w:t>drydown</w:t>
      </w:r>
      <w:proofErr w:type="spellEnd"/>
      <w:r w:rsidR="00C530D4" w:rsidRPr="00DF6D25">
        <w:rPr>
          <w:rFonts w:ascii="Times New Roman" w:eastAsiaTheme="minorEastAsia" w:hAnsi="Times New Roman" w:cs="Times New Roman"/>
          <w:szCs w:val="24"/>
        </w:rPr>
        <w:t xml:space="preserve"> </w:t>
      </w:r>
      <w:r w:rsidR="000D69AF">
        <w:rPr>
          <w:rFonts w:ascii="Times New Roman" w:eastAsiaTheme="minorEastAsia" w:hAnsi="Times New Roman" w:cs="Times New Roman"/>
          <w:szCs w:val="24"/>
        </w:rPr>
        <w:t>identification approach</w:t>
      </w:r>
      <w:r w:rsidR="00C530D4" w:rsidRPr="00DF6D25">
        <w:rPr>
          <w:rFonts w:ascii="Times New Roman" w:eastAsiaTheme="minorEastAsia" w:hAnsi="Times New Roman" w:cs="Times New Roman"/>
          <w:szCs w:val="24"/>
        </w:rPr>
        <w:t xml:space="preserve"> (</w:t>
      </w:r>
      <w:r w:rsidR="00275AEA" w:rsidRPr="00DF6D25">
        <w:rPr>
          <w:rFonts w:ascii="Times New Roman" w:eastAsiaTheme="minorEastAsia" w:hAnsi="Times New Roman" w:cs="Times New Roman"/>
          <w:szCs w:val="24"/>
        </w:rPr>
        <w:t xml:space="preserve">Section </w:t>
      </w:r>
      <w:r w:rsidR="00C530D4" w:rsidRPr="00DF6D25">
        <w:rPr>
          <w:rFonts w:ascii="Times New Roman" w:eastAsiaTheme="minorEastAsia" w:hAnsi="Times New Roman" w:cs="Times New Roman"/>
          <w:szCs w:val="24"/>
        </w:rPr>
        <w:t>S1)</w:t>
      </w:r>
      <w:r w:rsidR="00162920" w:rsidRPr="00DF6D25">
        <w:rPr>
          <w:rFonts w:ascii="Times New Roman" w:eastAsiaTheme="minorEastAsia" w:hAnsi="Times New Roman" w:cs="Times New Roman"/>
          <w:szCs w:val="24"/>
        </w:rPr>
        <w:t xml:space="preserve"> and demonstrates the robustness of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П</m:t>
        </m:r>
      </m:oMath>
      <w:r w:rsidR="00275AEA" w:rsidRPr="00DF6D25">
        <w:rPr>
          <w:rFonts w:ascii="Times New Roman" w:eastAsiaTheme="minorEastAsia" w:hAnsi="Times New Roman" w:cs="Times New Roman"/>
          <w:szCs w:val="24"/>
        </w:rPr>
        <w:t xml:space="preserve"> </w:t>
      </w:r>
      <w:r w:rsidR="00DF047C" w:rsidRPr="00DF6D25">
        <w:rPr>
          <w:rFonts w:ascii="Times New Roman" w:eastAsiaTheme="minorEastAsia" w:hAnsi="Times New Roman" w:cs="Times New Roman"/>
          <w:szCs w:val="24"/>
        </w:rPr>
        <w:t xml:space="preserve">to soil moisture retrieval </w:t>
      </w:r>
      <w:r w:rsidR="00C62429" w:rsidRPr="00DF6D25">
        <w:rPr>
          <w:rFonts w:ascii="Times New Roman" w:eastAsiaTheme="minorEastAsia" w:hAnsi="Times New Roman" w:cs="Times New Roman"/>
          <w:szCs w:val="24"/>
        </w:rPr>
        <w:t>biases</w:t>
      </w:r>
      <w:r w:rsidR="00DF047C" w:rsidRPr="00DF6D25">
        <w:rPr>
          <w:rFonts w:ascii="Times New Roman" w:eastAsiaTheme="minorEastAsia" w:hAnsi="Times New Roman" w:cs="Times New Roman"/>
          <w:szCs w:val="24"/>
        </w:rPr>
        <w:t xml:space="preserve"> (</w:t>
      </w:r>
      <w:r w:rsidR="00275AEA" w:rsidRPr="00DF6D25">
        <w:rPr>
          <w:rFonts w:ascii="Times New Roman" w:eastAsiaTheme="minorEastAsia" w:hAnsi="Times New Roman" w:cs="Times New Roman"/>
          <w:szCs w:val="24"/>
        </w:rPr>
        <w:t xml:space="preserve">Section </w:t>
      </w:r>
      <w:r w:rsidR="00DF047C" w:rsidRPr="00DF6D25">
        <w:rPr>
          <w:rFonts w:ascii="Times New Roman" w:eastAsiaTheme="minorEastAsia" w:hAnsi="Times New Roman" w:cs="Times New Roman"/>
          <w:szCs w:val="24"/>
        </w:rPr>
        <w:t>S</w:t>
      </w:r>
      <w:r w:rsidR="00B4439F" w:rsidRPr="00DF6D25">
        <w:rPr>
          <w:rFonts w:ascii="Times New Roman" w:eastAsiaTheme="minorEastAsia" w:hAnsi="Times New Roman" w:cs="Times New Roman"/>
          <w:szCs w:val="24"/>
        </w:rPr>
        <w:t>2</w:t>
      </w:r>
      <w:r w:rsidR="00DF047C" w:rsidRPr="00DF6D25">
        <w:rPr>
          <w:rFonts w:ascii="Times New Roman" w:eastAsiaTheme="minorEastAsia" w:hAnsi="Times New Roman" w:cs="Times New Roman"/>
          <w:szCs w:val="24"/>
        </w:rPr>
        <w:t xml:space="preserve">). </w:t>
      </w:r>
      <w:r w:rsidR="00305935" w:rsidRPr="00DF6D25">
        <w:rPr>
          <w:rFonts w:ascii="Times New Roman" w:eastAsiaTheme="minorEastAsia" w:hAnsi="Times New Roman" w:cs="Times New Roman"/>
          <w:szCs w:val="24"/>
        </w:rPr>
        <w:t xml:space="preserve">In addition, the spatial distribution of </w:t>
      </w:r>
      <w:r w:rsidR="00EC0B2C" w:rsidRPr="00DF6D25">
        <w:rPr>
          <w:rFonts w:ascii="Times New Roman" w:eastAsiaTheme="minorEastAsia" w:hAnsi="Times New Roman" w:cs="Times New Roman"/>
          <w:szCs w:val="24"/>
        </w:rPr>
        <w:t xml:space="preserve">flux tower observations used for validating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П</m:t>
        </m:r>
      </m:oMath>
      <w:r w:rsidR="00EC0B2C" w:rsidRPr="00DF6D25">
        <w:rPr>
          <w:rFonts w:ascii="Times New Roman" w:eastAsiaTheme="minorEastAsia" w:hAnsi="Times New Roman" w:cs="Times New Roman"/>
          <w:szCs w:val="24"/>
        </w:rPr>
        <w:t xml:space="preserve"> is shown in Section S</w:t>
      </w:r>
      <w:r w:rsidR="00B4439F" w:rsidRPr="00DF6D25">
        <w:rPr>
          <w:rFonts w:ascii="Times New Roman" w:eastAsiaTheme="minorEastAsia" w:hAnsi="Times New Roman" w:cs="Times New Roman"/>
          <w:szCs w:val="24"/>
        </w:rPr>
        <w:t>3</w:t>
      </w:r>
      <w:r w:rsidR="00EC0B2C" w:rsidRPr="00DF6D25">
        <w:rPr>
          <w:rFonts w:ascii="Times New Roman" w:eastAsiaTheme="minorEastAsia" w:hAnsi="Times New Roman" w:cs="Times New Roman"/>
          <w:szCs w:val="24"/>
        </w:rPr>
        <w:t xml:space="preserve">. Finally, the </w:t>
      </w:r>
      <w:r w:rsidR="00B4439F" w:rsidRPr="00DF6D25">
        <w:rPr>
          <w:rFonts w:ascii="Times New Roman" w:eastAsiaTheme="minorEastAsia" w:hAnsi="Times New Roman" w:cs="Times New Roman"/>
          <w:szCs w:val="24"/>
        </w:rPr>
        <w:t xml:space="preserve">estimated soil moisture thresholds as a function of microclimate and vegetation </w:t>
      </w:r>
      <w:r w:rsidR="00C62429" w:rsidRPr="00DF6D25">
        <w:rPr>
          <w:rFonts w:ascii="Times New Roman" w:eastAsiaTheme="minorEastAsia" w:hAnsi="Times New Roman" w:cs="Times New Roman"/>
          <w:szCs w:val="24"/>
        </w:rPr>
        <w:t>are</w:t>
      </w:r>
      <w:r w:rsidR="00B4439F" w:rsidRPr="00DF6D25">
        <w:rPr>
          <w:rFonts w:ascii="Times New Roman" w:eastAsiaTheme="minorEastAsia" w:hAnsi="Times New Roman" w:cs="Times New Roman"/>
          <w:szCs w:val="24"/>
        </w:rPr>
        <w:t xml:space="preserve"> shown in Section S4. </w:t>
      </w:r>
    </w:p>
    <w:p w14:paraId="3AE54613" w14:textId="77777777" w:rsidR="00493520" w:rsidRPr="00DF6D25" w:rsidRDefault="00493520" w:rsidP="00857ABD">
      <w:pPr>
        <w:pStyle w:val="ae"/>
        <w:snapToGrid w:val="0"/>
        <w:spacing w:afterLines="50" w:after="163" w:line="312" w:lineRule="auto"/>
        <w:ind w:left="360" w:firstLineChars="0" w:firstLine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2B5D0DB3" w14:textId="77777777" w:rsidR="00B4755A" w:rsidRPr="00DF6D25" w:rsidRDefault="00B4755A" w:rsidP="00857ABD">
      <w:pPr>
        <w:pStyle w:val="ae"/>
        <w:snapToGrid w:val="0"/>
        <w:spacing w:afterLines="50" w:after="163" w:line="312" w:lineRule="auto"/>
        <w:ind w:left="360" w:firstLineChars="0" w:firstLine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7E012350" w14:textId="28BC588D" w:rsidR="00343475" w:rsidRPr="00DF6D25" w:rsidRDefault="006D1EF7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S1. </w:t>
      </w:r>
      <w:r w:rsidR="00593E59"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Synthetic tests </w:t>
      </w:r>
      <w:r w:rsidR="00343475" w:rsidRPr="00DF6D25">
        <w:rPr>
          <w:rFonts w:ascii="Times New Roman" w:eastAsiaTheme="minorEastAsia" w:hAnsi="Times New Roman" w:cs="Times New Roman"/>
          <w:b/>
          <w:bCs/>
          <w:szCs w:val="24"/>
        </w:rPr>
        <w:t>of SMCS performance</w:t>
      </w:r>
    </w:p>
    <w:p w14:paraId="5E8CE738" w14:textId="3B19C4A1" w:rsidR="00593E59" w:rsidRPr="00DF6D25" w:rsidRDefault="006D1EF7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i/>
          <w:iCs/>
          <w:szCs w:val="24"/>
        </w:rPr>
      </w:pPr>
      <w:r w:rsidRPr="00DF6D25">
        <w:rPr>
          <w:rFonts w:ascii="Times New Roman" w:eastAsiaTheme="minorEastAsia" w:hAnsi="Times New Roman" w:cs="Times New Roman"/>
          <w:i/>
          <w:iCs/>
          <w:szCs w:val="24"/>
        </w:rPr>
        <w:t>S</w:t>
      </w:r>
      <w:r w:rsidR="00593E59" w:rsidRPr="00DF6D25">
        <w:rPr>
          <w:rFonts w:ascii="Times New Roman" w:eastAsiaTheme="minorEastAsia" w:hAnsi="Times New Roman" w:cs="Times New Roman"/>
          <w:i/>
          <w:iCs/>
          <w:szCs w:val="24"/>
        </w:rPr>
        <w:t xml:space="preserve">1.1 </w:t>
      </w:r>
      <w:r w:rsidR="0087775E" w:rsidRPr="00DF6D25">
        <w:rPr>
          <w:rFonts w:ascii="Times New Roman" w:eastAsiaTheme="minorEastAsia" w:hAnsi="Times New Roman" w:cs="Times New Roman"/>
          <w:i/>
          <w:iCs/>
          <w:szCs w:val="24"/>
        </w:rPr>
        <w:t>S</w:t>
      </w:r>
      <w:r w:rsidR="00DC22C7" w:rsidRPr="00DF6D25">
        <w:rPr>
          <w:rFonts w:ascii="Times New Roman" w:eastAsiaTheme="minorEastAsia" w:hAnsi="Times New Roman" w:cs="Times New Roman"/>
          <w:i/>
          <w:iCs/>
          <w:szCs w:val="24"/>
        </w:rPr>
        <w:t>tatistics of s</w:t>
      </w:r>
      <w:r w:rsidR="00593E59" w:rsidRPr="00DF6D25">
        <w:rPr>
          <w:rFonts w:ascii="Times New Roman" w:eastAsiaTheme="minorEastAsia" w:hAnsi="Times New Roman" w:cs="Times New Roman"/>
          <w:i/>
          <w:iCs/>
          <w:szCs w:val="24"/>
        </w:rPr>
        <w:t>ynthetic error</w:t>
      </w:r>
      <w:r w:rsidR="00800436" w:rsidRPr="00DF6D25">
        <w:rPr>
          <w:rFonts w:ascii="Times New Roman" w:eastAsiaTheme="minorEastAsia" w:hAnsi="Times New Roman" w:cs="Times New Roman"/>
          <w:i/>
          <w:iCs/>
          <w:szCs w:val="24"/>
        </w:rPr>
        <w:t>s</w:t>
      </w:r>
    </w:p>
    <w:p w14:paraId="36E51E1F" w14:textId="1205B7AA" w:rsidR="004E3BA1" w:rsidRPr="00DF6D25" w:rsidRDefault="00976448" w:rsidP="00857ABD">
      <w:pPr>
        <w:snapToGrid w:val="0"/>
        <w:spacing w:afterLines="50" w:after="163" w:line="312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>The determination coefficient (</w:t>
      </w:r>
      <w:r w:rsidR="00093137" w:rsidRPr="00DF6D25">
        <w:rPr>
          <w:rFonts w:ascii="Times New Roman" w:eastAsiaTheme="minorEastAsia" w:hAnsi="Times New Roman" w:cs="Times New Roman"/>
          <w:szCs w:val="24"/>
        </w:rPr>
        <w:t>R</w:t>
      </w:r>
      <w:r w:rsidR="00093137" w:rsidRPr="00DF6D25">
        <w:rPr>
          <w:rFonts w:ascii="Times New Roman" w:eastAsiaTheme="minorEastAsia" w:hAnsi="Times New Roman" w:cs="Times New Roman"/>
          <w:szCs w:val="24"/>
          <w:vertAlign w:val="superscript"/>
        </w:rPr>
        <w:t>2</w:t>
      </w:r>
      <w:r w:rsidRPr="00DF6D25">
        <w:rPr>
          <w:rFonts w:ascii="Times New Roman" w:eastAsia="DengXian" w:hAnsi="Times New Roman" w:cs="Times New Roman"/>
          <w:szCs w:val="24"/>
        </w:rPr>
        <w:t xml:space="preserve">) 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between estimated </w:t>
      </w:r>
      <w:r w:rsidRPr="003D5041">
        <w:rPr>
          <w:rFonts w:ascii="Times New Roman" w:eastAsiaTheme="minorEastAsia" w:hAnsi="Times New Roman" w:cs="Times New Roman"/>
          <w:i/>
          <w:iCs/>
          <w:szCs w:val="24"/>
        </w:rPr>
        <w:t>L(</w:t>
      </w:r>
      <w:r w:rsidRPr="003D5041">
        <w:rPr>
          <w:rFonts w:ascii="Times New Roman" w:eastAsia="DengXian" w:hAnsi="Times New Roman" w:cs="Times New Roman"/>
          <w:i/>
          <w:iCs/>
          <w:szCs w:val="24"/>
        </w:rPr>
        <w:t>θ</w:t>
      </w:r>
      <w:r w:rsidRPr="003D5041">
        <w:rPr>
          <w:rFonts w:ascii="Times New Roman" w:eastAsiaTheme="minorEastAsia" w:hAnsi="Times New Roman" w:cs="Times New Roman"/>
          <w:i/>
          <w:iCs/>
          <w:szCs w:val="24"/>
        </w:rPr>
        <w:t>)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and SMAP</w:t>
      </w:r>
      <w:r w:rsidR="00BC2D9F" w:rsidRPr="00DF6D25">
        <w:rPr>
          <w:rFonts w:ascii="Times New Roman" w:eastAsiaTheme="minorEastAsia" w:hAnsi="Times New Roman" w:cs="Times New Roman"/>
          <w:szCs w:val="24"/>
        </w:rPr>
        <w:t>-based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3D5041">
        <w:rPr>
          <w:rFonts w:ascii="Times New Roman" w:eastAsiaTheme="minorEastAsia" w:hAnsi="Times New Roman" w:cs="Times New Roman"/>
          <w:i/>
          <w:iCs/>
          <w:szCs w:val="24"/>
        </w:rPr>
        <w:t>d</w:t>
      </w:r>
      <w:r w:rsidRPr="003D5041">
        <w:rPr>
          <w:rFonts w:ascii="Times New Roman" w:eastAsia="DengXian" w:hAnsi="Times New Roman" w:cs="Times New Roman"/>
          <w:i/>
          <w:iCs/>
          <w:szCs w:val="24"/>
        </w:rPr>
        <w:t>θ</w:t>
      </w:r>
      <w:proofErr w:type="spellEnd"/>
      <w:r w:rsidRPr="003D5041">
        <w:rPr>
          <w:rFonts w:ascii="Times New Roman" w:eastAsiaTheme="minorEastAsia" w:hAnsi="Times New Roman" w:cs="Times New Roman"/>
          <w:i/>
          <w:iCs/>
          <w:szCs w:val="24"/>
        </w:rPr>
        <w:t>/dt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are globally estimated for four seasons (not shown). The estimated </w:t>
      </w:r>
      <w:r w:rsidR="00BC2D9F" w:rsidRPr="003D5041">
        <w:rPr>
          <w:rFonts w:ascii="Times New Roman" w:eastAsiaTheme="minorEastAsia" w:hAnsi="Times New Roman" w:cs="Times New Roman"/>
          <w:i/>
          <w:iCs/>
          <w:szCs w:val="24"/>
        </w:rPr>
        <w:t>L(</w:t>
      </w:r>
      <w:r w:rsidR="00BC2D9F" w:rsidRPr="003D5041">
        <w:rPr>
          <w:rFonts w:ascii="Times New Roman" w:eastAsia="DengXian" w:hAnsi="Times New Roman" w:cs="Times New Roman"/>
          <w:i/>
          <w:iCs/>
          <w:szCs w:val="24"/>
        </w:rPr>
        <w:t>θ</w:t>
      </w:r>
      <w:r w:rsidR="00BC2D9F" w:rsidRPr="003D5041">
        <w:rPr>
          <w:rFonts w:ascii="Times New Roman" w:eastAsiaTheme="minorEastAsia" w:hAnsi="Times New Roman" w:cs="Times New Roman"/>
          <w:i/>
          <w:iCs/>
          <w:szCs w:val="24"/>
        </w:rPr>
        <w:t>)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explains more than 50% of the variability in </w:t>
      </w:r>
      <w:proofErr w:type="spellStart"/>
      <w:r w:rsidRPr="003D5041">
        <w:rPr>
          <w:rFonts w:ascii="Times New Roman" w:eastAsiaTheme="minorEastAsia" w:hAnsi="Times New Roman" w:cs="Times New Roman"/>
          <w:i/>
          <w:iCs/>
          <w:szCs w:val="24"/>
        </w:rPr>
        <w:t>d</w:t>
      </w:r>
      <w:r w:rsidRPr="003D5041">
        <w:rPr>
          <w:rFonts w:ascii="Times New Roman" w:eastAsia="DengXian" w:hAnsi="Times New Roman" w:cs="Times New Roman"/>
          <w:i/>
          <w:iCs/>
          <w:szCs w:val="24"/>
        </w:rPr>
        <w:t>θ</w:t>
      </w:r>
      <w:proofErr w:type="spellEnd"/>
      <w:r w:rsidRPr="003D5041">
        <w:rPr>
          <w:rFonts w:ascii="Times New Roman" w:eastAsiaTheme="minorEastAsia" w:hAnsi="Times New Roman" w:cs="Times New Roman"/>
          <w:i/>
          <w:iCs/>
          <w:szCs w:val="24"/>
        </w:rPr>
        <w:t>/dt</w:t>
      </w:r>
      <w:r w:rsidRPr="00DF6D25">
        <w:rPr>
          <w:rFonts w:ascii="Times New Roman" w:eastAsiaTheme="minorEastAsia" w:hAnsi="Times New Roman" w:cs="Times New Roman"/>
          <w:szCs w:val="24"/>
        </w:rPr>
        <w:t>. Regions with more water-limitation have more variance explained when compared to regions with energy-limitation as the dominant evaporation regime.</w:t>
      </w:r>
    </w:p>
    <w:p w14:paraId="18D6F760" w14:textId="50458210" w:rsidR="004E3BA1" w:rsidRPr="00DF6D25" w:rsidRDefault="00635470" w:rsidP="00857ABD">
      <w:pPr>
        <w:snapToGrid w:val="0"/>
        <w:spacing w:afterLines="50" w:after="163" w:line="312" w:lineRule="auto"/>
        <w:ind w:firstLine="420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>As such</w:t>
      </w:r>
      <w:r w:rsidR="004E3BA1" w:rsidRPr="00DF6D25">
        <w:rPr>
          <w:rFonts w:ascii="Times New Roman" w:eastAsiaTheme="minorEastAsia" w:hAnsi="Times New Roman" w:cs="Times New Roman"/>
          <w:szCs w:val="24"/>
        </w:rPr>
        <w:t>, we can provide a realistic estimate of the noise</w:t>
      </w:r>
      <w:r w:rsidR="00BF0DDD">
        <w:rPr>
          <w:rFonts w:ascii="Times New Roman" w:eastAsiaTheme="minorEastAsia" w:hAnsi="Times New Roman" w:cs="Times New Roman"/>
          <w:szCs w:val="24"/>
        </w:rPr>
        <w:t xml:space="preserve">s </w:t>
      </w:r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of SMAP-observed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dθ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dt</m:t>
            </m:r>
          </m:den>
        </m:f>
      </m:oMath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 (denoted as </w:t>
      </w:r>
      <m:oMath>
        <m:r>
          <w:rPr>
            <w:rFonts w:ascii="Cambria Math" w:eastAsiaTheme="minorEastAsia" w:hAnsi="Cambria Math" w:cs="Times New Roman"/>
            <w:szCs w:val="24"/>
          </w:rPr>
          <m:t>γ</m:t>
        </m:r>
      </m:oMath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 for brevity). Note that R</w:t>
      </w:r>
      <w:r w:rsidR="004E3BA1" w:rsidRPr="00DF6D25">
        <w:rPr>
          <w:rFonts w:ascii="Times New Roman" w:eastAsiaTheme="minorEastAsia" w:hAnsi="Times New Roman" w:cs="Times New Roman"/>
          <w:szCs w:val="24"/>
          <w:vertAlign w:val="superscript"/>
        </w:rPr>
        <w:t>2</w:t>
      </w:r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 is approximately the portion of true signal variance </w:t>
      </w:r>
      <w:r w:rsidR="004E3BA1" w:rsidRPr="00DF6D25">
        <w:rPr>
          <w:rFonts w:ascii="Times New Roman" w:eastAsiaTheme="minorEastAsia" w:hAnsi="Times New Roman" w:cs="Times New Roman"/>
          <w:szCs w:val="24"/>
        </w:rPr>
        <w:lastRenderedPageBreak/>
        <w:t xml:space="preserve">within the variance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t</m:t>
            </m:r>
          </m:sub>
        </m:sSub>
      </m:oMath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 (denoted as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bSup>
      </m:oMath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). Therefore, the variance of the error (denoted as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bSup>
      </m:oMath>
      <w:r w:rsidR="004E3BA1" w:rsidRPr="00DF6D25">
        <w:rPr>
          <w:rFonts w:ascii="Times New Roman" w:eastAsiaTheme="minorEastAsia" w:hAnsi="Times New Roman" w:cs="Times New Roman"/>
          <w:szCs w:val="24"/>
        </w:rPr>
        <w:t>) can be estimated as: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3BA1" w:rsidRPr="00DF6D25" w14:paraId="1DF57ED3" w14:textId="77777777" w:rsidTr="00C9757E">
        <w:tc>
          <w:tcPr>
            <w:tcW w:w="3116" w:type="dxa"/>
          </w:tcPr>
          <w:p w14:paraId="09DCDBD8" w14:textId="77777777" w:rsidR="004E3BA1" w:rsidRPr="00DF6D25" w:rsidRDefault="004E3BA1" w:rsidP="00857ABD">
            <w:pPr>
              <w:snapToGrid w:val="0"/>
              <w:spacing w:afterLines="50" w:after="163" w:line="312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14:paraId="78EAA942" w14:textId="77777777" w:rsidR="004E3BA1" w:rsidRPr="00DF6D25" w:rsidRDefault="00000000" w:rsidP="00857ABD">
            <w:pPr>
              <w:snapToGrid w:val="0"/>
              <w:spacing w:afterLines="50" w:after="163" w:line="312" w:lineRule="auto"/>
              <w:rPr>
                <w:rFonts w:ascii="Times New Roman" w:eastAsiaTheme="minorEastAsia" w:hAnsi="Times New Roman" w:cs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DengXian" w:hAnsi="Cambria Math" w:cs="Times New Roman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DengXian" w:hAnsi="Cambria Math" w:cs="Times New Roman"/>
                    <w:szCs w:val="24"/>
                  </w:rPr>
                  <m:t>(1-</m:t>
                </m:r>
                <m:sSup>
                  <m:sSup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DengXian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3117" w:type="dxa"/>
          </w:tcPr>
          <w:p w14:paraId="5D6C473B" w14:textId="77777777" w:rsidR="004E3BA1" w:rsidRPr="00DF6D25" w:rsidRDefault="004E3BA1" w:rsidP="00857ABD">
            <w:pPr>
              <w:snapToGrid w:val="0"/>
              <w:spacing w:afterLines="50" w:after="163" w:line="312" w:lineRule="auto"/>
              <w:jc w:val="right"/>
              <w:rPr>
                <w:rFonts w:ascii="Times New Roman" w:eastAsiaTheme="minorEastAsia" w:hAnsi="Times New Roman" w:cs="Times New Roman"/>
                <w:szCs w:val="24"/>
              </w:rPr>
            </w:pPr>
            <w:r w:rsidRPr="00DF6D25">
              <w:rPr>
                <w:rFonts w:ascii="Times New Roman" w:eastAsia="DengXian" w:hAnsi="Times New Roman" w:cs="Times New Roman"/>
                <w:szCs w:val="24"/>
              </w:rPr>
              <w:t>(S1)</w:t>
            </w:r>
          </w:p>
        </w:tc>
      </w:tr>
    </w:tbl>
    <w:p w14:paraId="2A52B685" w14:textId="6F01C0FF" w:rsidR="004E3BA1" w:rsidRPr="00DF6D25" w:rsidRDefault="00BC119E" w:rsidP="00857ABD">
      <w:pPr>
        <w:snapToGrid w:val="0"/>
        <w:spacing w:afterLines="50" w:after="163" w:line="312" w:lineRule="auto"/>
        <w:ind w:firstLine="420"/>
        <w:rPr>
          <w:rFonts w:ascii="Times New Roman" w:eastAsia="DengXian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>W</w:t>
      </w:r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e find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</m:sSub>
          </m:sub>
        </m:sSub>
      </m:oMath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 typically has a strong </w:t>
      </w:r>
      <m:oMath>
        <m:r>
          <w:rPr>
            <w:rFonts w:ascii="Cambria Math" w:eastAsiaTheme="minorEastAsia" w:hAnsi="Cambria Math" w:cs="Times New Roman"/>
            <w:szCs w:val="24"/>
          </w:rPr>
          <m:t>γ</m:t>
        </m:r>
      </m:oMath>
      <w:r w:rsidR="004E3BA1" w:rsidRPr="00DF6D25">
        <w:rPr>
          <w:rFonts w:ascii="Times New Roman" w:eastAsia="DengXian" w:hAnsi="Times New Roman" w:cs="Times New Roman"/>
          <w:szCs w:val="24"/>
        </w:rPr>
        <w:t xml:space="preserve"> dependency</w:t>
      </w:r>
      <w:r w:rsidR="00635470" w:rsidRPr="00DF6D25">
        <w:rPr>
          <w:rFonts w:ascii="Times New Roman" w:eastAsia="DengXian" w:hAnsi="Times New Roman" w:cs="Times New Roman"/>
          <w:szCs w:val="24"/>
        </w:rPr>
        <w:t xml:space="preserve"> (not shown). </w:t>
      </w:r>
      <w:r w:rsidR="004E3BA1" w:rsidRPr="00DF6D25">
        <w:rPr>
          <w:rFonts w:ascii="Times New Roman" w:eastAsiaTheme="minorEastAsia" w:hAnsi="Times New Roman" w:cs="Times New Roman"/>
          <w:szCs w:val="24"/>
        </w:rPr>
        <w:t xml:space="preserve">To capture such </w:t>
      </w:r>
      <m:oMath>
        <m:r>
          <w:rPr>
            <w:rFonts w:ascii="Cambria Math" w:eastAsiaTheme="minorEastAsia" w:hAnsi="Cambria Math" w:cs="Times New Roman"/>
            <w:szCs w:val="24"/>
          </w:rPr>
          <m:t>γ</m:t>
        </m:r>
      </m:oMath>
      <w:r w:rsidR="004E3BA1" w:rsidRPr="00DF6D25">
        <w:rPr>
          <w:rFonts w:ascii="Times New Roman" w:eastAsia="DengXian" w:hAnsi="Times New Roman" w:cs="Times New Roman"/>
          <w:szCs w:val="24"/>
        </w:rPr>
        <w:t xml:space="preserve">-dependency, the “observation errors” in the synthetic experiments is generated using a zero-mean unit-variance Gaussian noises (denoted as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4"/>
              </w:rPr>
              <m:t>η</m:t>
            </m:r>
          </m:e>
          <m:sub>
            <m:r>
              <w:rPr>
                <w:rFonts w:ascii="Cambria Math" w:eastAsia="DengXian" w:hAnsi="Cambria Math" w:cs="Times New Roman"/>
                <w:szCs w:val="24"/>
              </w:rPr>
              <m:t>t</m:t>
            </m:r>
          </m:sub>
        </m:sSub>
      </m:oMath>
      <w:r w:rsidR="004E3BA1" w:rsidRPr="00DF6D25">
        <w:rPr>
          <w:rFonts w:ascii="Times New Roman" w:eastAsia="DengXian" w:hAnsi="Times New Roman" w:cs="Times New Roman"/>
          <w:szCs w:val="24"/>
        </w:rPr>
        <w:t>) as: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3BA1" w:rsidRPr="00DF6D25" w14:paraId="73D9CB60" w14:textId="77777777" w:rsidTr="00C9757E">
        <w:tc>
          <w:tcPr>
            <w:tcW w:w="3116" w:type="dxa"/>
          </w:tcPr>
          <w:p w14:paraId="4230E09C" w14:textId="77777777" w:rsidR="004E3BA1" w:rsidRPr="00DF6D25" w:rsidRDefault="004E3BA1" w:rsidP="00857ABD">
            <w:pPr>
              <w:snapToGrid w:val="0"/>
              <w:spacing w:afterLines="50" w:after="163" w:line="312" w:lineRule="auto"/>
              <w:rPr>
                <w:rFonts w:ascii="Times New Roman" w:eastAsia="DengXi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14:paraId="6825A7C5" w14:textId="77777777" w:rsidR="004E3BA1" w:rsidRPr="00DF6D25" w:rsidRDefault="00000000" w:rsidP="00857ABD">
            <w:pPr>
              <w:snapToGrid w:val="0"/>
              <w:spacing w:afterLines="50" w:after="163" w:line="312" w:lineRule="auto"/>
              <w:rPr>
                <w:rFonts w:ascii="Times New Roman" w:eastAsia="DengXian" w:hAnsi="Times New Roman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07A22E60" w14:textId="77777777" w:rsidR="004E3BA1" w:rsidRPr="00DF6D25" w:rsidRDefault="004E3BA1" w:rsidP="00857ABD">
            <w:pPr>
              <w:snapToGrid w:val="0"/>
              <w:spacing w:afterLines="50" w:after="163" w:line="312" w:lineRule="auto"/>
              <w:jc w:val="right"/>
              <w:rPr>
                <w:rFonts w:ascii="Times New Roman" w:eastAsia="DengXian" w:hAnsi="Times New Roman" w:cs="Times New Roman"/>
                <w:szCs w:val="24"/>
              </w:rPr>
            </w:pPr>
            <w:r w:rsidRPr="00DF6D25">
              <w:rPr>
                <w:rFonts w:ascii="Times New Roman" w:eastAsia="DengXian" w:hAnsi="Times New Roman" w:cs="Times New Roman"/>
                <w:szCs w:val="24"/>
              </w:rPr>
              <w:t>(S2)</w:t>
            </w:r>
          </w:p>
        </w:tc>
      </w:tr>
      <w:tr w:rsidR="004E3BA1" w:rsidRPr="00DF6D25" w14:paraId="16B7D445" w14:textId="77777777" w:rsidTr="00C9757E">
        <w:tc>
          <w:tcPr>
            <w:tcW w:w="3116" w:type="dxa"/>
          </w:tcPr>
          <w:p w14:paraId="055C0C0D" w14:textId="77777777" w:rsidR="004E3BA1" w:rsidRPr="00DF6D25" w:rsidRDefault="004E3BA1" w:rsidP="00857ABD">
            <w:pPr>
              <w:snapToGrid w:val="0"/>
              <w:spacing w:afterLines="50" w:after="163" w:line="312" w:lineRule="auto"/>
              <w:rPr>
                <w:rFonts w:ascii="Times New Roman" w:eastAsia="DengXi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14:paraId="37471109" w14:textId="77777777" w:rsidR="004E3BA1" w:rsidRPr="00DF6D25" w:rsidRDefault="00000000" w:rsidP="00857ABD">
            <w:pPr>
              <w:snapToGrid w:val="0"/>
              <w:spacing w:afterLines="50" w:after="163" w:line="312" w:lineRule="auto"/>
              <w:rPr>
                <w:rFonts w:ascii="Times New Roman" w:eastAsia="DengXian" w:hAnsi="Times New Roman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Cs w:val="24"/>
                          </w:rPr>
                          <m:t>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DengXian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DengXian" w:hAnsi="Cambria Math" w:cs="Times New Roman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DengXian" w:hAnsi="Cambria Math" w:cs="Times New Roman"/>
                                <w:szCs w:val="24"/>
                              </w:rPr>
                              <m:t>t</m:t>
                            </m:r>
                          </m:sub>
                        </m:sSub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117" w:type="dxa"/>
          </w:tcPr>
          <w:p w14:paraId="3C655698" w14:textId="77777777" w:rsidR="004E3BA1" w:rsidRPr="00DF6D25" w:rsidRDefault="004E3BA1" w:rsidP="00857ABD">
            <w:pPr>
              <w:snapToGrid w:val="0"/>
              <w:spacing w:afterLines="50" w:after="163" w:line="312" w:lineRule="auto"/>
              <w:jc w:val="right"/>
              <w:rPr>
                <w:rFonts w:ascii="Times New Roman" w:eastAsia="DengXian" w:hAnsi="Times New Roman" w:cs="Times New Roman"/>
                <w:szCs w:val="24"/>
              </w:rPr>
            </w:pPr>
            <w:r w:rsidRPr="00DF6D25">
              <w:rPr>
                <w:rFonts w:ascii="Times New Roman" w:eastAsia="DengXian" w:hAnsi="Times New Roman" w:cs="Times New Roman"/>
                <w:szCs w:val="24"/>
              </w:rPr>
              <w:t>(S3)</w:t>
            </w:r>
          </w:p>
        </w:tc>
      </w:tr>
    </w:tbl>
    <w:p w14:paraId="7D87E6A5" w14:textId="59C430F2" w:rsidR="00CB1EE0" w:rsidRPr="00DF6D25" w:rsidRDefault="004E3BA1" w:rsidP="00857ABD">
      <w:pPr>
        <w:snapToGrid w:val="0"/>
        <w:spacing w:afterLines="50" w:after="163" w:line="312" w:lineRule="auto"/>
        <w:rPr>
          <w:rFonts w:ascii="Times New Roman" w:eastAsia="DengXian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 xml:space="preserve">where </w:t>
      </w:r>
      <w:r w:rsidRPr="00DF6D25">
        <w:rPr>
          <w:rFonts w:ascii="Times New Roman" w:eastAsia="DengXian" w:hAnsi="Times New Roman" w:cs="Times New Roman"/>
          <w:szCs w:val="24"/>
        </w:rPr>
        <w:t xml:space="preserve">σ denotes the standard deviation of the subscript variable. </w:t>
      </w:r>
    </w:p>
    <w:p w14:paraId="56968B6E" w14:textId="686FDACB" w:rsidR="0091522A" w:rsidRPr="00DF6D25" w:rsidRDefault="0091522A" w:rsidP="00857ABD">
      <w:pPr>
        <w:snapToGrid w:val="0"/>
        <w:spacing w:afterLines="50" w:after="163" w:line="312" w:lineRule="auto"/>
        <w:rPr>
          <w:rFonts w:ascii="Times New Roman" w:eastAsia="DengXian" w:hAnsi="Times New Roman" w:cs="Times New Roman"/>
          <w:szCs w:val="24"/>
        </w:rPr>
      </w:pPr>
    </w:p>
    <w:p w14:paraId="262983CD" w14:textId="4BCC656C" w:rsidR="0091522A" w:rsidRPr="00DF6D25" w:rsidRDefault="006D1EF7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i/>
          <w:iCs/>
          <w:szCs w:val="24"/>
        </w:rPr>
      </w:pPr>
      <w:r w:rsidRPr="00DF6D25">
        <w:rPr>
          <w:rFonts w:ascii="Times New Roman" w:eastAsiaTheme="minorEastAsia" w:hAnsi="Times New Roman" w:cs="Times New Roman"/>
          <w:i/>
          <w:iCs/>
          <w:szCs w:val="24"/>
        </w:rPr>
        <w:t>S</w:t>
      </w:r>
      <w:r w:rsidR="0091522A" w:rsidRPr="00DF6D25">
        <w:rPr>
          <w:rFonts w:ascii="Times New Roman" w:eastAsiaTheme="minorEastAsia" w:hAnsi="Times New Roman" w:cs="Times New Roman"/>
          <w:i/>
          <w:iCs/>
          <w:szCs w:val="24"/>
        </w:rPr>
        <w:t xml:space="preserve">1.2 Design of synthetic experiments </w:t>
      </w:r>
    </w:p>
    <w:p w14:paraId="326E2958" w14:textId="3AB2C6C9" w:rsidR="00B077B1" w:rsidRDefault="00CB1EE0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="DengXian" w:hAnsi="Times New Roman" w:cs="Times New Roman"/>
          <w:szCs w:val="24"/>
        </w:rPr>
        <w:tab/>
        <w:t>Based on (S1) to (S3), a series of s</w:t>
      </w:r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ynthetic experiments are used for testing the performance of SMCS under different observation error levels and configurations. The robustness of SMCS is evaluated using a 500-member synthetic test, and the synthetic “truth” for each member is generated based on randomly selected </w:t>
      </w:r>
      <m:oMath>
        <m:r>
          <w:rPr>
            <w:rFonts w:ascii="Cambria Math" w:eastAsiaTheme="minorEastAsia" w:hAnsi="Cambria Math" w:cs="Times New Roman"/>
            <w:szCs w:val="24"/>
          </w:rPr>
          <m:t>L(θ)</m:t>
        </m:r>
      </m:oMath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 form (Figure 1), with slope and soil </w:t>
      </w:r>
      <w:r w:rsidR="00643EA1" w:rsidRPr="00DF6D25">
        <w:rPr>
          <w:rFonts w:ascii="Times New Roman" w:eastAsiaTheme="minorEastAsia" w:hAnsi="Times New Roman" w:cs="Times New Roman"/>
          <w:szCs w:val="24"/>
        </w:rPr>
        <w:t>moisture thresholds</w:t>
      </w:r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 randomly drawn from 20 to 30 mm/day and 0.05 to 0.37 m</w:t>
      </w:r>
      <w:r w:rsidR="00B077B1" w:rsidRPr="00DF6D25">
        <w:rPr>
          <w:rFonts w:ascii="Times New Roman" w:eastAsiaTheme="minorEastAsia" w:hAnsi="Times New Roman" w:cs="Times New Roman"/>
          <w:szCs w:val="24"/>
          <w:vertAlign w:val="superscript"/>
        </w:rPr>
        <w:t>3</w:t>
      </w:r>
      <w:r w:rsidR="00B077B1" w:rsidRPr="00DF6D25">
        <w:rPr>
          <w:rFonts w:ascii="Times New Roman" w:eastAsiaTheme="minorEastAsia" w:hAnsi="Times New Roman" w:cs="Times New Roman"/>
          <w:szCs w:val="24"/>
        </w:rPr>
        <w:t>/m</w:t>
      </w:r>
      <w:r w:rsidR="00B077B1" w:rsidRPr="00DF6D25">
        <w:rPr>
          <w:rFonts w:ascii="Times New Roman" w:eastAsiaTheme="minorEastAsia" w:hAnsi="Times New Roman" w:cs="Times New Roman"/>
          <w:szCs w:val="24"/>
          <w:vertAlign w:val="superscript"/>
        </w:rPr>
        <w:t>3</w:t>
      </w:r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, respectively. The synthetic truths are then perturbed by adding random noises to produce synthetic observations – capturing the RS retrieval error impacts on L(θ) determination. The above 500-member synthetic experiment is performed with 50, 100, 300 and 500 particles, respectively, to investigate the optimal configurations of SMCS. </w:t>
      </w:r>
      <w:r w:rsidR="000C6225" w:rsidRPr="00DF6D25">
        <w:rPr>
          <w:rFonts w:ascii="Times New Roman" w:eastAsiaTheme="minorEastAsia" w:hAnsi="Times New Roman" w:cs="Times New Roman"/>
          <w:szCs w:val="24"/>
        </w:rPr>
        <w:t>W</w:t>
      </w:r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e also include cases with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den>
        </m:f>
      </m:oMath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 of 0.1, 0.5</w:t>
      </w:r>
      <w:r w:rsidR="000C6225" w:rsidRPr="00DF6D25">
        <w:rPr>
          <w:rFonts w:ascii="Times New Roman" w:eastAsiaTheme="minorEastAsia" w:hAnsi="Times New Roman" w:cs="Times New Roman"/>
          <w:szCs w:val="24"/>
        </w:rPr>
        <w:t xml:space="preserve">, 1.0 </w:t>
      </w:r>
      <w:r w:rsidR="00B077B1" w:rsidRPr="00DF6D25">
        <w:rPr>
          <w:rFonts w:ascii="Times New Roman" w:eastAsiaTheme="minorEastAsia" w:hAnsi="Times New Roman" w:cs="Times New Roman"/>
          <w:szCs w:val="24"/>
        </w:rPr>
        <w:t xml:space="preserve">and 1.5 to investigate the performances of SMCS under different error assumptions. </w:t>
      </w:r>
      <w:r w:rsidR="000376D7" w:rsidRPr="00DF6D25">
        <w:rPr>
          <w:rFonts w:ascii="Times New Roman" w:eastAsiaTheme="minorEastAsia" w:hAnsi="Times New Roman" w:cs="Times New Roman"/>
          <w:szCs w:val="24"/>
        </w:rPr>
        <w:t xml:space="preserve">As mentioned above, globally averaged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den>
        </m:f>
      </m:oMath>
      <w:r w:rsidR="000376D7" w:rsidRPr="00DF6D25">
        <w:rPr>
          <w:rFonts w:ascii="Times New Roman" w:eastAsiaTheme="minorEastAsia" w:hAnsi="Times New Roman" w:cs="Times New Roman"/>
          <w:szCs w:val="24"/>
        </w:rPr>
        <w:t xml:space="preserve"> for SMAP retrievals is approximately 1 and hence,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Cs w:val="24"/>
          </w:rPr>
          <m:t>=1.5</m:t>
        </m:r>
      </m:oMath>
      <w:r w:rsidR="000376D7" w:rsidRPr="00DF6D25">
        <w:rPr>
          <w:rFonts w:ascii="Times New Roman" w:eastAsiaTheme="minorEastAsia" w:hAnsi="Times New Roman" w:cs="Times New Roman"/>
          <w:szCs w:val="24"/>
        </w:rPr>
        <w:t xml:space="preserve"> represents error levels that approximately 50% higher than the SMAP observations. </w:t>
      </w:r>
    </w:p>
    <w:p w14:paraId="2EFC2512" w14:textId="77777777" w:rsidR="00857ABD" w:rsidRDefault="00857ABD" w:rsidP="00857ABD">
      <w:pPr>
        <w:snapToGrid w:val="0"/>
        <w:spacing w:afterLines="50" w:after="163" w:line="312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 xml:space="preserve">Results show that SMCS can robustly identify the forms of </w:t>
      </w:r>
      <w:r w:rsidRPr="00183454">
        <w:rPr>
          <w:rFonts w:ascii="Times New Roman" w:eastAsiaTheme="minorEastAsia" w:hAnsi="Times New Roman" w:cs="Times New Roman"/>
          <w:i/>
          <w:iCs/>
          <w:szCs w:val="24"/>
        </w:rPr>
        <w:t>L(θ)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– with classification accuracy above 94% for all cases. For the error levels comparable to the SMAP observations (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Cs w:val="24"/>
              </w:rPr>
              <m:t>=1</m:t>
            </m:r>
          </m:den>
        </m:f>
      </m:oMath>
      <w:r w:rsidRPr="00DF6D25">
        <w:rPr>
          <w:rFonts w:ascii="Times New Roman" w:eastAsiaTheme="minorEastAsia" w:hAnsi="Times New Roman" w:cs="Times New Roman"/>
          <w:szCs w:val="24"/>
        </w:rPr>
        <w:t>), R</w:t>
      </w:r>
      <w:r w:rsidRPr="00DF6D25">
        <w:rPr>
          <w:rFonts w:ascii="Times New Roman" w:eastAsiaTheme="minorEastAsia" w:hAnsi="Times New Roman" w:cs="Times New Roman"/>
          <w:szCs w:val="24"/>
          <w:vertAlign w:val="superscript"/>
        </w:rPr>
        <w:t>2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of the parameter estimates is above 0.8 when more than 100 particles are used. On average, the R</w:t>
      </w:r>
      <w:r w:rsidRPr="00DF6D25">
        <w:rPr>
          <w:rFonts w:ascii="Times New Roman" w:eastAsiaTheme="minorEastAsia" w:hAnsi="Times New Roman" w:cs="Times New Roman"/>
          <w:szCs w:val="24"/>
          <w:vertAlign w:val="superscript"/>
        </w:rPr>
        <w:t>2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 of parameter estimation with 300 is similar as that with 500 </w:t>
      </w:r>
      <w:proofErr w:type="gramStart"/>
      <w:r w:rsidRPr="00DF6D25">
        <w:rPr>
          <w:rFonts w:ascii="Times New Roman" w:eastAsiaTheme="minorEastAsia" w:hAnsi="Times New Roman" w:cs="Times New Roman"/>
          <w:szCs w:val="24"/>
        </w:rPr>
        <w:t>particles, but</w:t>
      </w:r>
      <w:proofErr w:type="gramEnd"/>
      <w:r w:rsidRPr="00DF6D25">
        <w:rPr>
          <w:rFonts w:ascii="Times New Roman" w:eastAsiaTheme="minorEastAsia" w:hAnsi="Times New Roman" w:cs="Times New Roman"/>
          <w:szCs w:val="24"/>
        </w:rPr>
        <w:t xml:space="preserve"> has significantly reduced computational cost</w:t>
      </w:r>
      <w:r>
        <w:rPr>
          <w:rFonts w:ascii="Times New Roman" w:eastAsiaTheme="minorEastAsia" w:hAnsi="Times New Roman" w:cs="Times New Roman"/>
          <w:szCs w:val="24"/>
        </w:rPr>
        <w:t xml:space="preserve"> – see Figure S1. </w:t>
      </w:r>
    </w:p>
    <w:p w14:paraId="693132DE" w14:textId="45E5BB5E" w:rsidR="00CF57F9" w:rsidRPr="00857ABD" w:rsidRDefault="00857ABD" w:rsidP="00857ABD">
      <w:pPr>
        <w:snapToGrid w:val="0"/>
        <w:spacing w:afterLines="50" w:after="163" w:line="312" w:lineRule="auto"/>
        <w:ind w:firstLine="360"/>
        <w:rPr>
          <w:rFonts w:ascii="Times New Roman" w:eastAsiaTheme="minorEastAsia" w:hAnsi="Times New Roman" w:cs="Times New Roman" w:hint="eastAsia"/>
          <w:szCs w:val="24"/>
        </w:rPr>
      </w:pPr>
      <w:r>
        <w:rPr>
          <w:rFonts w:ascii="Times New Roman" w:eastAsiaTheme="minorEastAsia" w:hAnsi="Times New Roman" w:cs="Times New Roman" w:hint="eastAsia"/>
          <w:szCs w:val="24"/>
        </w:rPr>
        <w:t>W</w:t>
      </w:r>
      <w:r>
        <w:rPr>
          <w:rFonts w:ascii="Times New Roman" w:eastAsiaTheme="minorEastAsia" w:hAnsi="Times New Roman" w:cs="Times New Roman"/>
          <w:szCs w:val="24"/>
        </w:rPr>
        <w:t xml:space="preserve">e repeated our analysis with the traditional strategy that estimates all the five parameters at once. This traditional approach constantly underperforms our two-stage approach for all </w:t>
      </w:r>
      <w:r>
        <w:rPr>
          <w:rFonts w:ascii="Times New Roman" w:eastAsiaTheme="minorEastAsia" w:hAnsi="Times New Roman" w:cs="Times New Roman"/>
          <w:szCs w:val="24"/>
        </w:rPr>
        <w:lastRenderedPageBreak/>
        <w:t xml:space="preserve">scenarios. The all-case-averaged classification accuracy and parameter estimation accuracy for the traditional approach is 95% and 0.78, respectively, comparing with the accuracies of 97% and 0.87 for our two-stage approach.  </w:t>
      </w:r>
    </w:p>
    <w:p w14:paraId="0C7627F7" w14:textId="77777777" w:rsidR="00CF57F9" w:rsidRDefault="00CF57F9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noProof/>
          <w:szCs w:val="24"/>
        </w:rPr>
        <w:drawing>
          <wp:inline distT="0" distB="0" distL="0" distR="0" wp14:anchorId="782BD073" wp14:editId="43E8D3FF">
            <wp:extent cx="4394469" cy="255396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2"/>
                    <a:stretch/>
                  </pic:blipFill>
                  <pic:spPr bwMode="auto">
                    <a:xfrm>
                      <a:off x="0" y="0"/>
                      <a:ext cx="4401735" cy="255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15D16" w14:textId="76124560" w:rsidR="00CF57F9" w:rsidRPr="00857ABD" w:rsidRDefault="00CF57F9" w:rsidP="00857ABD">
      <w:pPr>
        <w:snapToGrid w:val="0"/>
        <w:spacing w:afterLines="50" w:after="163" w:line="312" w:lineRule="auto"/>
        <w:jc w:val="left"/>
        <w:rPr>
          <w:rFonts w:ascii="Times New Roman" w:eastAsia="DengXian" w:hAnsi="Times New Roman" w:cs="Times New Roman" w:hint="eastAsia"/>
          <w:szCs w:val="24"/>
        </w:rPr>
      </w:pPr>
      <w:r w:rsidRPr="00DF6D25">
        <w:rPr>
          <w:rFonts w:ascii="Times New Roman" w:eastAsia="DengXian" w:hAnsi="Times New Roman" w:cs="Times New Roman"/>
          <w:b/>
          <w:bCs/>
          <w:szCs w:val="24"/>
        </w:rPr>
        <w:t>Figure S</w:t>
      </w:r>
      <w:r>
        <w:rPr>
          <w:rFonts w:ascii="Times New Roman" w:eastAsia="DengXian" w:hAnsi="Times New Roman" w:cs="Times New Roman"/>
          <w:b/>
          <w:bCs/>
          <w:szCs w:val="24"/>
        </w:rPr>
        <w:t>1</w:t>
      </w:r>
      <w:r w:rsidRPr="00DF6D25">
        <w:rPr>
          <w:rFonts w:ascii="Times New Roman" w:eastAsia="DengXian" w:hAnsi="Times New Roman" w:cs="Times New Roman"/>
          <w:szCs w:val="24"/>
        </w:rPr>
        <w:t xml:space="preserve">. </w:t>
      </w:r>
      <w:r>
        <w:rPr>
          <w:rFonts w:ascii="Times New Roman" w:eastAsia="DengXian" w:hAnsi="Times New Roman" w:cs="Times New Roman" w:hint="eastAsia"/>
          <w:szCs w:val="24"/>
        </w:rPr>
        <w:t>T</w:t>
      </w:r>
      <w:r>
        <w:rPr>
          <w:rFonts w:ascii="Times New Roman" w:eastAsia="DengXian" w:hAnsi="Times New Roman" w:cs="Times New Roman"/>
          <w:szCs w:val="24"/>
        </w:rPr>
        <w:t>he performance of the</w:t>
      </w:r>
      <w:r w:rsidR="000D69AF">
        <w:rPr>
          <w:rFonts w:ascii="Times New Roman" w:eastAsia="DengXian" w:hAnsi="Times New Roman" w:cs="Times New Roman"/>
          <w:szCs w:val="24"/>
        </w:rPr>
        <w:t xml:space="preserve"> </w:t>
      </w:r>
      <w:r>
        <w:rPr>
          <w:rFonts w:ascii="Times New Roman" w:eastAsia="DengXian" w:hAnsi="Times New Roman" w:cs="Times New Roman"/>
          <w:szCs w:val="24"/>
        </w:rPr>
        <w:t xml:space="preserve">soil moisture </w:t>
      </w:r>
      <w:proofErr w:type="spellStart"/>
      <w:r>
        <w:rPr>
          <w:rFonts w:ascii="Times New Roman" w:eastAsia="DengXian" w:hAnsi="Times New Roman" w:cs="Times New Roman"/>
          <w:szCs w:val="24"/>
        </w:rPr>
        <w:t>drydown</w:t>
      </w:r>
      <w:proofErr w:type="spellEnd"/>
      <w:r>
        <w:rPr>
          <w:rFonts w:ascii="Times New Roman" w:eastAsia="DengXian" w:hAnsi="Times New Roman" w:cs="Times New Roman"/>
          <w:szCs w:val="24"/>
        </w:rPr>
        <w:t xml:space="preserve"> </w:t>
      </w:r>
      <w:r w:rsidR="000D69AF">
        <w:rPr>
          <w:rFonts w:ascii="Times New Roman" w:eastAsia="DengXian" w:hAnsi="Times New Roman" w:cs="Times New Roman"/>
          <w:szCs w:val="24"/>
        </w:rPr>
        <w:t xml:space="preserve">identification </w:t>
      </w:r>
      <w:r>
        <w:rPr>
          <w:rFonts w:ascii="Times New Roman" w:eastAsia="DengXian" w:hAnsi="Times New Roman" w:cs="Times New Roman"/>
          <w:szCs w:val="24"/>
        </w:rPr>
        <w:t xml:space="preserve">framework under different assumptions of observation error and the number of particles. Part a: classification accuracy; part b: parameter estimation accuracy, averaged across all soil moisture thresholds (i.e.,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="DengXian" w:hAnsi="Cambria Math" w:cs="Times New Roman"/>
                <w:szCs w:val="24"/>
              </w:rPr>
              <m:t>w</m:t>
            </m:r>
          </m:sub>
        </m:sSub>
      </m:oMath>
      <w:r>
        <w:rPr>
          <w:rFonts w:ascii="Times New Roman" w:eastAsia="DengXian" w:hAnsi="Times New Roman" w:cs="Times New Roman" w:hint="eastAsia"/>
          <w:szCs w:val="24"/>
        </w:rPr>
        <w:t>,</w:t>
      </w:r>
      <w:r>
        <w:rPr>
          <w:rFonts w:ascii="Times New Roman" w:eastAsia="DengXi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="DengXian" w:hAnsi="Cambria Math" w:cs="Times New Roman"/>
                <w:szCs w:val="24"/>
              </w:rPr>
              <m:t>*</m:t>
            </m:r>
          </m:sub>
        </m:sSub>
      </m:oMath>
      <w:r>
        <w:rPr>
          <w:rFonts w:ascii="Times New Roman" w:eastAsia="DengXian" w:hAnsi="Times New Roman" w:cs="Times New Roman" w:hint="eastAsia"/>
          <w:szCs w:val="24"/>
        </w:rPr>
        <w:t xml:space="preserve"> </w:t>
      </w:r>
      <w:r>
        <w:rPr>
          <w:rFonts w:ascii="Times New Roman" w:eastAsia="DengXian" w:hAnsi="Times New Roman" w:cs="Times New Roman"/>
          <w:szCs w:val="24"/>
        </w:rPr>
        <w:t xml:space="preserve">and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="DengXian" w:hAnsi="Cambria Math" w:cs="Times New Roman"/>
                <w:szCs w:val="24"/>
              </w:rPr>
              <m:t>fc</m:t>
            </m:r>
          </m:sub>
        </m:sSub>
      </m:oMath>
      <w:r>
        <w:rPr>
          <w:rFonts w:ascii="Times New Roman" w:eastAsia="DengXian" w:hAnsi="Times New Roman" w:cs="Times New Roman" w:hint="eastAsia"/>
          <w:szCs w:val="24"/>
        </w:rPr>
        <w:t>)</w:t>
      </w:r>
      <w:r>
        <w:rPr>
          <w:rFonts w:ascii="Times New Roman" w:eastAsia="DengXian" w:hAnsi="Times New Roman" w:cs="Times New Roman"/>
          <w:szCs w:val="24"/>
        </w:rPr>
        <w:t xml:space="preserve">; parts c to f: comparison of true and estimated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="DengXian" w:hAnsi="Cambria Math" w:cs="Times New Roman"/>
                <w:szCs w:val="24"/>
              </w:rPr>
              <m:t>*</m:t>
            </m:r>
          </m:sub>
        </m:sSub>
      </m:oMath>
      <w:r>
        <w:rPr>
          <w:rFonts w:ascii="Times New Roman" w:eastAsia="DengXian" w:hAnsi="Times New Roman" w:cs="Times New Roman" w:hint="eastAsia"/>
          <w:szCs w:val="24"/>
        </w:rPr>
        <w:t xml:space="preserve"> </w:t>
      </w:r>
      <w:r w:rsidR="00C12127">
        <w:rPr>
          <w:rFonts w:ascii="Times New Roman" w:eastAsia="DengXian" w:hAnsi="Times New Roman" w:cs="Times New Roman"/>
          <w:szCs w:val="24"/>
        </w:rPr>
        <w:t xml:space="preserve">with 300 particles </w:t>
      </w:r>
      <w:r>
        <w:rPr>
          <w:rFonts w:ascii="Times New Roman" w:eastAsia="DengXian" w:hAnsi="Times New Roman" w:cs="Times New Roman"/>
          <w:szCs w:val="24"/>
        </w:rPr>
        <w:t xml:space="preserve">under different synthetic observation error levels.  </w:t>
      </w:r>
    </w:p>
    <w:p w14:paraId="08E41090" w14:textId="77777777" w:rsidR="00816B9C" w:rsidRDefault="0060790F" w:rsidP="00857ABD">
      <w:pPr>
        <w:snapToGrid w:val="0"/>
        <w:spacing w:afterLines="50" w:after="163" w:line="312" w:lineRule="auto"/>
        <w:ind w:firstLine="360"/>
        <w:rPr>
          <w:rFonts w:ascii="Times New Roman" w:eastAsiaTheme="minorEastAsia" w:hAnsi="Times New Roman" w:cs="Times New Roman"/>
          <w:szCs w:val="24"/>
        </w:rPr>
      </w:pPr>
      <w:bookmarkStart w:id="0" w:name="OLE_LINK1"/>
      <w:r>
        <w:rPr>
          <w:rFonts w:ascii="Times New Roman" w:eastAsiaTheme="minorEastAsia" w:hAnsi="Times New Roman" w:cs="Times New Roman" w:hint="eastAsia"/>
          <w:szCs w:val="24"/>
        </w:rPr>
        <w:t>I</w:t>
      </w:r>
      <w:r>
        <w:rPr>
          <w:rFonts w:ascii="Times New Roman" w:eastAsiaTheme="minorEastAsia" w:hAnsi="Times New Roman" w:cs="Times New Roman"/>
          <w:szCs w:val="24"/>
        </w:rPr>
        <w:t xml:space="preserve">n addition, </w:t>
      </w:r>
      <w:r w:rsidR="009D4C93">
        <w:rPr>
          <w:rFonts w:ascii="Times New Roman" w:eastAsiaTheme="minorEastAsia" w:hAnsi="Times New Roman" w:cs="Times New Roman"/>
          <w:szCs w:val="24"/>
        </w:rPr>
        <w:t xml:space="preserve">we also compared estimates based on the </w:t>
      </w:r>
      <w:r w:rsidR="0004487B">
        <w:rPr>
          <w:rFonts w:ascii="Times New Roman" w:eastAsiaTheme="minorEastAsia" w:hAnsi="Times New Roman" w:cs="Times New Roman"/>
          <w:szCs w:val="24"/>
        </w:rPr>
        <w:t>recent</w:t>
      </w:r>
      <w:r w:rsidR="00CC76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9D4C93">
        <w:rPr>
          <w:rFonts w:ascii="Times New Roman" w:eastAsiaTheme="minorEastAsia" w:hAnsi="Times New Roman" w:cs="Times New Roman"/>
          <w:szCs w:val="24"/>
        </w:rPr>
        <w:t>DREAM_zs</w:t>
      </w:r>
      <w:proofErr w:type="spellEnd"/>
      <w:r w:rsidR="009D4C93">
        <w:rPr>
          <w:rFonts w:ascii="Times New Roman" w:eastAsiaTheme="minorEastAsia" w:hAnsi="Times New Roman" w:cs="Times New Roman"/>
          <w:szCs w:val="24"/>
        </w:rPr>
        <w:t xml:space="preserve"> </w:t>
      </w:r>
      <w:r w:rsidR="009D4C93">
        <w:rPr>
          <w:rFonts w:ascii="Times New Roman" w:eastAsiaTheme="minorEastAsia" w:hAnsi="Times New Roman" w:cs="Times New Roman" w:hint="eastAsia"/>
          <w:szCs w:val="24"/>
        </w:rPr>
        <w:t>algo</w:t>
      </w:r>
      <w:r w:rsidR="009D4C93">
        <w:rPr>
          <w:rFonts w:ascii="Times New Roman" w:eastAsiaTheme="minorEastAsia" w:hAnsi="Times New Roman" w:cs="Times New Roman"/>
          <w:szCs w:val="24"/>
        </w:rPr>
        <w:t>rithm</w:t>
      </w:r>
      <w:r w:rsidR="00751013">
        <w:rPr>
          <w:rFonts w:ascii="Times New Roman" w:eastAsiaTheme="minorEastAsia" w:hAnsi="Times New Roman" w:cs="Times New Roman"/>
          <w:szCs w:val="24"/>
        </w:rPr>
        <w:t xml:space="preserve"> </w:t>
      </w:r>
      <w:r w:rsidR="00CC763C">
        <w:rPr>
          <w:rFonts w:ascii="Times New Roman" w:eastAsiaTheme="minorEastAsia" w:hAnsi="Times New Roman" w:cs="Times New Roman"/>
          <w:szCs w:val="24"/>
        </w:rPr>
        <w:t>(</w:t>
      </w:r>
      <w:hyperlink r:id="rId8" w:history="1">
        <w:r w:rsidR="00751013" w:rsidRPr="002C1034">
          <w:rPr>
            <w:rStyle w:val="af0"/>
            <w:rFonts w:ascii="Times New Roman" w:eastAsiaTheme="minorEastAsia" w:hAnsi="Times New Roman" w:cs="Times New Roman"/>
            <w:szCs w:val="24"/>
          </w:rPr>
          <w:t>https://sticsrpacks.github.io/CroptimizR/articles/Parameter_estimation_DREAM.html</w:t>
        </w:r>
      </w:hyperlink>
      <w:r w:rsidR="00751013">
        <w:rPr>
          <w:rFonts w:ascii="Times New Roman" w:eastAsiaTheme="minorEastAsia" w:hAnsi="Times New Roman" w:cs="Times New Roman"/>
          <w:szCs w:val="24"/>
        </w:rPr>
        <w:t>)</w:t>
      </w:r>
      <w:r w:rsidR="009D4C93">
        <w:rPr>
          <w:rFonts w:ascii="Times New Roman" w:eastAsiaTheme="minorEastAsia" w:hAnsi="Times New Roman" w:cs="Times New Roman"/>
          <w:szCs w:val="24"/>
        </w:rPr>
        <w:t>, which is a</w:t>
      </w:r>
      <w:r w:rsidR="00CC763C">
        <w:rPr>
          <w:rFonts w:ascii="Times New Roman" w:eastAsiaTheme="minorEastAsia" w:hAnsi="Times New Roman" w:cs="Times New Roman"/>
          <w:szCs w:val="24"/>
        </w:rPr>
        <w:t>n</w:t>
      </w:r>
      <w:r w:rsidR="009D4C93">
        <w:rPr>
          <w:rFonts w:ascii="Times New Roman" w:eastAsiaTheme="minorEastAsia" w:hAnsi="Times New Roman" w:cs="Times New Roman"/>
          <w:szCs w:val="24"/>
        </w:rPr>
        <w:t xml:space="preserve"> advanced Monte Carlo based global optimization algorithm</w:t>
      </w:r>
      <w:r w:rsidR="00593CBD">
        <w:rPr>
          <w:rFonts w:ascii="Times New Roman" w:eastAsiaTheme="minorEastAsia" w:hAnsi="Times New Roman" w:cs="Times New Roman"/>
          <w:szCs w:val="24"/>
        </w:rPr>
        <w:t xml:space="preserve">. The </w:t>
      </w:r>
      <w:proofErr w:type="spellStart"/>
      <w:r w:rsidR="007222C9">
        <w:rPr>
          <w:rFonts w:ascii="Times New Roman" w:eastAsiaTheme="minorEastAsia" w:hAnsi="Times New Roman" w:cs="Times New Roman"/>
          <w:szCs w:val="24"/>
        </w:rPr>
        <w:t>DREAM_zs</w:t>
      </w:r>
      <w:proofErr w:type="spellEnd"/>
      <w:r w:rsidR="007222C9">
        <w:rPr>
          <w:rFonts w:ascii="Times New Roman" w:eastAsiaTheme="minorEastAsia" w:hAnsi="Times New Roman" w:cs="Times New Roman"/>
          <w:szCs w:val="24"/>
        </w:rPr>
        <w:t xml:space="preserve">- and SMCS-based estimates are highly consistent. </w:t>
      </w:r>
    </w:p>
    <w:bookmarkEnd w:id="0"/>
    <w:p w14:paraId="7369420D" w14:textId="77777777" w:rsidR="00857ABD" w:rsidRDefault="003A19A1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T</w:t>
      </w:r>
      <w:r w:rsidR="00816B9C" w:rsidRPr="00816B9C">
        <w:rPr>
          <w:rFonts w:ascii="Times New Roman" w:eastAsiaTheme="minorEastAsia" w:hAnsi="Times New Roman" w:cs="Times New Roman"/>
          <w:szCs w:val="24"/>
        </w:rPr>
        <w:t>he impact of information criteria/metric is also compared. Results based on the same experiment settings as Figure S1, but</w:t>
      </w:r>
      <w:r w:rsidR="00E5660C">
        <w:rPr>
          <w:rFonts w:ascii="Times New Roman" w:eastAsiaTheme="minorEastAsia" w:hAnsi="Times New Roman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</w:rPr>
          <m:t>L(θ)</m:t>
        </m:r>
      </m:oMath>
      <w:r w:rsidR="00816B9C" w:rsidRPr="00816B9C">
        <w:rPr>
          <w:rFonts w:ascii="Times New Roman" w:eastAsiaTheme="minorEastAsia" w:hAnsi="Times New Roman" w:cs="Times New Roman"/>
          <w:szCs w:val="24"/>
        </w:rPr>
        <w:t xml:space="preserve"> </w:t>
      </w:r>
      <w:r w:rsidR="00E5660C">
        <w:rPr>
          <w:rFonts w:ascii="Times New Roman" w:eastAsiaTheme="minorEastAsia" w:hAnsi="Times New Roman" w:cs="Times New Roman"/>
          <w:szCs w:val="24"/>
        </w:rPr>
        <w:t>is classified using</w:t>
      </w:r>
      <w:r w:rsidR="00816B9C" w:rsidRPr="00816B9C">
        <w:rPr>
          <w:rFonts w:ascii="Times New Roman" w:eastAsiaTheme="minorEastAsia" w:hAnsi="Times New Roman" w:cs="Times New Roman"/>
          <w:szCs w:val="24"/>
        </w:rPr>
        <w:t xml:space="preserve"> AIC and RMSE, yield nearly identical results as that with AICc</w:t>
      </w:r>
      <w:r w:rsidR="0053022B">
        <w:rPr>
          <w:rFonts w:ascii="Times New Roman" w:eastAsiaTheme="minorEastAsia" w:hAnsi="Times New Roman" w:cs="Times New Roman"/>
          <w:szCs w:val="24"/>
        </w:rPr>
        <w:t xml:space="preserve">. </w:t>
      </w:r>
      <w:bookmarkStart w:id="1" w:name="OLE_LINK2"/>
    </w:p>
    <w:p w14:paraId="59665744" w14:textId="77777777" w:rsidR="00857ABD" w:rsidRDefault="00857ABD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</w:p>
    <w:p w14:paraId="47A19E07" w14:textId="0712F98C" w:rsidR="00857ABD" w:rsidRPr="00857ABD" w:rsidRDefault="00857ABD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S</w:t>
      </w:r>
      <w:r>
        <w:rPr>
          <w:rFonts w:ascii="Times New Roman" w:eastAsiaTheme="minorEastAsia" w:hAnsi="Times New Roman" w:cs="Times New Roman"/>
          <w:b/>
          <w:bCs/>
          <w:szCs w:val="24"/>
        </w:rPr>
        <w:t>2</w:t>
      </w:r>
      <w:r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. SMAP retrieval bias impacts on </w:t>
      </w:r>
      <w:r w:rsidRPr="00DF6D25">
        <w:rPr>
          <w:rFonts w:ascii="Times New Roman" w:eastAsia="DengXian" w:hAnsi="Times New Roman" w:cs="Times New Roman"/>
          <w:b/>
          <w:bCs/>
          <w:szCs w:val="24"/>
        </w:rPr>
        <w:t>П</w:t>
      </w:r>
    </w:p>
    <w:bookmarkEnd w:id="1"/>
    <w:p w14:paraId="1E385CA5" w14:textId="77777777" w:rsidR="00857ABD" w:rsidRPr="00DF6D25" w:rsidRDefault="00857ABD" w:rsidP="00857ABD">
      <w:pPr>
        <w:snapToGrid w:val="0"/>
        <w:spacing w:afterLines="50" w:after="163" w:line="312" w:lineRule="auto"/>
        <w:ind w:firstLine="360"/>
        <w:rPr>
          <w:rFonts w:ascii="Times New Roman" w:eastAsia="DengXian" w:hAnsi="Times New Roman" w:cs="Times New Roman"/>
          <w:szCs w:val="24"/>
        </w:rPr>
      </w:pPr>
      <w:r w:rsidRPr="00DF6D25">
        <w:rPr>
          <w:rFonts w:ascii="Times New Roman" w:eastAsiaTheme="minorEastAsia" w:hAnsi="Times New Roman" w:cs="Times New Roman"/>
          <w:szCs w:val="24"/>
        </w:rPr>
        <w:t xml:space="preserve">To investigate the impact of observation biases on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П</m:t>
        </m:r>
      </m:oMath>
      <w:r w:rsidRPr="00DF6D25">
        <w:rPr>
          <w:rFonts w:ascii="Times New Roman" w:eastAsiaTheme="minorEastAsia" w:hAnsi="Times New Roman" w:cs="Times New Roman"/>
          <w:szCs w:val="24"/>
        </w:rPr>
        <w:t xml:space="preserve">, we can approximate the biased </w:t>
      </w:r>
      <w:r w:rsidRPr="00DF6D25">
        <w:rPr>
          <w:rFonts w:ascii="Times New Roman" w:eastAsia="DengXian" w:hAnsi="Times New Roman" w:cs="Times New Roman"/>
          <w:szCs w:val="24"/>
        </w:rPr>
        <w:t xml:space="preserve">θ time series (denoted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)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1+a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θ+b</m:t>
        </m:r>
      </m:oMath>
      <w:r w:rsidRPr="00DF6D25">
        <w:rPr>
          <w:rFonts w:ascii="Times New Roman" w:eastAsia="DengXian" w:hAnsi="Times New Roman" w:cs="Times New Roman"/>
          <w:szCs w:val="24"/>
        </w:rPr>
        <w:t xml:space="preserve">, where </w:t>
      </w:r>
      <w:r w:rsidRPr="00DF6D25">
        <w:rPr>
          <w:rFonts w:ascii="Times New Roman" w:eastAsia="DengXian" w:hAnsi="Times New Roman" w:cs="Times New Roman"/>
          <w:i/>
          <w:iCs/>
          <w:szCs w:val="24"/>
        </w:rPr>
        <w:t>a</w:t>
      </w:r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w:r w:rsidRPr="00DF6D25">
        <w:rPr>
          <w:rFonts w:ascii="Times New Roman" w:eastAsia="DengXian" w:hAnsi="Times New Roman" w:cs="Times New Roman"/>
          <w:i/>
          <w:iCs/>
          <w:szCs w:val="24"/>
        </w:rPr>
        <w:t>b</w:t>
      </w:r>
      <w:r w:rsidRPr="00DF6D25">
        <w:rPr>
          <w:rFonts w:ascii="Times New Roman" w:eastAsia="DengXian" w:hAnsi="Times New Roman" w:cs="Times New Roman"/>
          <w:szCs w:val="24"/>
        </w:rPr>
        <w:t xml:space="preserve"> are multiplicative and additive biases of θ observations, respectively. Clearly,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is a linear transformation of </w:t>
      </w:r>
      <m:oMath>
        <m:r>
          <w:rPr>
            <w:rFonts w:ascii="Cambria Math" w:eastAsiaTheme="minorEastAsia" w:hAnsi="Cambria Math" w:cs="Times New Roman"/>
            <w:szCs w:val="24"/>
          </w:rPr>
          <m:t>θ</m:t>
        </m:r>
      </m:oMath>
      <w:r w:rsidRPr="00DF6D25">
        <w:rPr>
          <w:rFonts w:ascii="Times New Roman" w:eastAsia="DengXian" w:hAnsi="Times New Roman" w:cs="Times New Roman"/>
          <w:szCs w:val="24"/>
        </w:rPr>
        <w:t xml:space="preserve"> and hence, the multiplicative and additive biases do not change the functional form of L(θ). Likewise, the </w:t>
      </w:r>
      <w:r w:rsidRPr="00DF6D25">
        <w:rPr>
          <w:rFonts w:ascii="Times New Roman" w:eastAsia="DengXian" w:hAnsi="Times New Roman" w:cs="Times New Roman"/>
          <w:szCs w:val="24"/>
        </w:rPr>
        <w:lastRenderedPageBreak/>
        <w:t xml:space="preserve">optimal L(θ) parameter base 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(denoted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b*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bw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) is also a linear transformation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*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w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, which can be written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b*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1+a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*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+b</m:t>
        </m:r>
      </m:oMath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bw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1+a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w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+b</m:t>
        </m:r>
      </m:oMath>
      <w:r w:rsidRPr="00DF6D25">
        <w:rPr>
          <w:rFonts w:ascii="Times New Roman" w:eastAsia="DengXian" w:hAnsi="Times New Roman" w:cs="Times New Roman"/>
          <w:szCs w:val="24"/>
        </w:rPr>
        <w:t xml:space="preserve">, respectively. </w:t>
      </w:r>
    </w:p>
    <w:p w14:paraId="7346E135" w14:textId="77777777" w:rsidR="00857ABD" w:rsidRPr="00DF6D25" w:rsidRDefault="00857ABD" w:rsidP="00857ABD">
      <w:pPr>
        <w:snapToGrid w:val="0"/>
        <w:spacing w:afterLines="50" w:after="163" w:line="312" w:lineRule="auto"/>
        <w:ind w:firstLine="360"/>
        <w:rPr>
          <w:rFonts w:ascii="Times New Roman" w:eastAsia="DengXian" w:hAnsi="Times New Roman" w:cs="Times New Roman"/>
          <w:szCs w:val="24"/>
        </w:rPr>
      </w:pPr>
      <w:r w:rsidRPr="00DF6D25">
        <w:rPr>
          <w:rFonts w:ascii="Times New Roman" w:eastAsia="DengXian" w:hAnsi="Times New Roman" w:cs="Times New Roman"/>
          <w:szCs w:val="24"/>
        </w:rPr>
        <w:t xml:space="preserve">Combining the mathematical expressions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b*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bw</m:t>
            </m:r>
          </m:sub>
        </m:sSub>
      </m:oMath>
      <w:r w:rsidRPr="00DF6D25">
        <w:rPr>
          <w:rFonts w:ascii="Times New Roman" w:eastAsia="DengXian" w:hAnsi="Times New Roman" w:cs="Times New Roman"/>
          <w:szCs w:val="24"/>
        </w:rPr>
        <w:t xml:space="preserve"> and </w:t>
      </w:r>
      <w:r w:rsidRPr="00DF6D25">
        <w:rPr>
          <w:rFonts w:ascii="Times New Roman" w:eastAsiaTheme="minorEastAsia" w:hAnsi="Times New Roman" w:cs="Times New Roman"/>
          <w:szCs w:val="24"/>
        </w:rPr>
        <w:t>(11), it is clear that</w:t>
      </w:r>
      <w:r w:rsidRPr="00DF6D25">
        <w:rPr>
          <w:rFonts w:ascii="Times New Roman" w:eastAsia="DengXian" w:hAnsi="Times New Roman" w:cs="Times New Roman"/>
          <w:szCs w:val="24"/>
        </w:rPr>
        <w:t xml:space="preserve"> all the biasing impacts (i.e., a and b) are cancelled out 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П</m:t>
        </m:r>
      </m:oMath>
      <w:r w:rsidRPr="00DF6D25">
        <w:rPr>
          <w:rFonts w:ascii="Times New Roman" w:eastAsia="DengXian" w:hAnsi="Times New Roman" w:cs="Times New Roman"/>
          <w:szCs w:val="24"/>
        </w:rPr>
        <w:t xml:space="preserve"> estimation.</w:t>
      </w:r>
    </w:p>
    <w:p w14:paraId="78A0C43D" w14:textId="013AA219" w:rsidR="00652458" w:rsidRDefault="00652458" w:rsidP="00857ABD">
      <w:pPr>
        <w:snapToGrid w:val="0"/>
        <w:spacing w:afterLines="50" w:after="163" w:line="312" w:lineRule="auto"/>
        <w:ind w:firstLine="360"/>
        <w:rPr>
          <w:rFonts w:ascii="Times New Roman" w:eastAsiaTheme="minorEastAsia" w:hAnsi="Times New Roman" w:cs="Times New Roman"/>
          <w:szCs w:val="24"/>
        </w:rPr>
      </w:pPr>
    </w:p>
    <w:p w14:paraId="397F5DB6" w14:textId="48AC2FE1" w:rsidR="003A19A1" w:rsidRPr="003A19A1" w:rsidRDefault="003A19A1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S</w:t>
      </w:r>
      <w:r w:rsidR="00857ABD">
        <w:rPr>
          <w:rFonts w:ascii="Times New Roman" w:eastAsiaTheme="minorEastAsia" w:hAnsi="Times New Roman" w:cs="Times New Roman"/>
          <w:b/>
          <w:bCs/>
          <w:szCs w:val="24"/>
        </w:rPr>
        <w:t>3</w:t>
      </w:r>
      <w:r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Cs w:val="24"/>
        </w:rPr>
        <w:t xml:space="preserve">Number of data pairs in </w:t>
      </w:r>
      <w:proofErr w:type="spellStart"/>
      <w:r>
        <w:rPr>
          <w:rFonts w:ascii="Times New Roman" w:eastAsiaTheme="minorEastAsia" w:hAnsi="Times New Roman" w:cs="Times New Roman"/>
          <w:b/>
          <w:bCs/>
          <w:szCs w:val="24"/>
        </w:rPr>
        <w:t>drydown</w:t>
      </w:r>
      <w:proofErr w:type="spellEnd"/>
      <w:r>
        <w:rPr>
          <w:rFonts w:ascii="Times New Roman" w:eastAsiaTheme="minorEastAsia" w:hAnsi="Times New Roman" w:cs="Times New Roman"/>
          <w:b/>
          <w:bCs/>
          <w:szCs w:val="24"/>
        </w:rPr>
        <w:t xml:space="preserve"> analysis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2FE4FD0A" w14:textId="52E70C16" w:rsidR="003A19A1" w:rsidRDefault="003A19A1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szCs w:val="24"/>
        </w:rPr>
      </w:pPr>
    </w:p>
    <w:p w14:paraId="04C78A87" w14:textId="2FA9A439" w:rsidR="003A19A1" w:rsidRDefault="003A19A1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 w:hint="eastAsia"/>
          <w:noProof/>
          <w:szCs w:val="24"/>
        </w:rPr>
        <w:drawing>
          <wp:inline distT="0" distB="0" distL="0" distR="0" wp14:anchorId="0D553630" wp14:editId="6ACD0103">
            <wp:extent cx="3675099" cy="2526631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771" cy="256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E00C" w14:textId="701F8E24" w:rsidR="003A19A1" w:rsidRPr="00816B9C" w:rsidRDefault="003A19A1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szCs w:val="24"/>
        </w:rPr>
      </w:pPr>
      <w:r w:rsidRPr="003A19A1">
        <w:rPr>
          <w:rFonts w:ascii="Times New Roman" w:eastAsiaTheme="minorEastAsia" w:hAnsi="Times New Roman" w:cs="Times New Roman" w:hint="eastAsia"/>
          <w:b/>
          <w:bCs/>
          <w:szCs w:val="24"/>
        </w:rPr>
        <w:t>F</w:t>
      </w:r>
      <w:r w:rsidRPr="003A19A1">
        <w:rPr>
          <w:rFonts w:ascii="Times New Roman" w:eastAsiaTheme="minorEastAsia" w:hAnsi="Times New Roman" w:cs="Times New Roman"/>
          <w:b/>
          <w:bCs/>
          <w:szCs w:val="24"/>
        </w:rPr>
        <w:t>igure S2</w:t>
      </w:r>
      <w:r>
        <w:rPr>
          <w:rFonts w:ascii="Times New Roman" w:eastAsiaTheme="minorEastAsia" w:hAnsi="Times New Roman" w:cs="Times New Roman"/>
          <w:szCs w:val="24"/>
        </w:rPr>
        <w:t xml:space="preserve">. The number of valid SMAP soil moisture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drydown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data pairs across different seasons.</w:t>
      </w:r>
    </w:p>
    <w:p w14:paraId="48A2605F" w14:textId="77777777" w:rsidR="00816B9C" w:rsidRPr="00DF6D25" w:rsidRDefault="00816B9C" w:rsidP="00857ABD">
      <w:pPr>
        <w:snapToGrid w:val="0"/>
        <w:spacing w:afterLines="50" w:after="163" w:line="312" w:lineRule="auto"/>
        <w:jc w:val="left"/>
        <w:rPr>
          <w:rFonts w:ascii="Times New Roman" w:eastAsiaTheme="minorEastAsia" w:hAnsi="Times New Roman" w:cs="Times New Roman"/>
          <w:szCs w:val="24"/>
        </w:rPr>
      </w:pPr>
    </w:p>
    <w:p w14:paraId="03AFA01F" w14:textId="56731388" w:rsidR="00005049" w:rsidRPr="00DF6D25" w:rsidRDefault="006D1EF7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S</w:t>
      </w:r>
      <w:r w:rsidR="00715D96">
        <w:rPr>
          <w:rFonts w:ascii="Times New Roman" w:eastAsiaTheme="minorEastAsia" w:hAnsi="Times New Roman" w:cs="Times New Roman"/>
          <w:b/>
          <w:bCs/>
          <w:szCs w:val="24"/>
        </w:rPr>
        <w:t>4</w:t>
      </w:r>
      <w:r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. </w:t>
      </w:r>
      <w:r w:rsidR="00005049" w:rsidRPr="00DF6D25">
        <w:rPr>
          <w:rFonts w:ascii="Times New Roman" w:eastAsiaTheme="minorEastAsia" w:hAnsi="Times New Roman" w:cs="Times New Roman"/>
          <w:b/>
          <w:bCs/>
          <w:szCs w:val="24"/>
        </w:rPr>
        <w:t>Spatial distribution of flux tower observations</w:t>
      </w:r>
    </w:p>
    <w:p w14:paraId="6AC16AB5" w14:textId="0306B4CD" w:rsidR="002E664D" w:rsidRPr="00DF6D25" w:rsidRDefault="00B56326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noProof/>
          <w:szCs w:val="24"/>
        </w:rPr>
        <w:drawing>
          <wp:inline distT="0" distB="0" distL="0" distR="0" wp14:anchorId="5DFC692A" wp14:editId="708B0CF6">
            <wp:extent cx="2958992" cy="18479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2839" r="4278" b="6039"/>
                    <a:stretch/>
                  </pic:blipFill>
                  <pic:spPr bwMode="auto">
                    <a:xfrm>
                      <a:off x="0" y="0"/>
                      <a:ext cx="2976238" cy="185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2DE19" w14:textId="14EAF831" w:rsidR="0082559F" w:rsidRPr="00DF6D25" w:rsidRDefault="00B56326" w:rsidP="00857ABD">
      <w:pPr>
        <w:snapToGrid w:val="0"/>
        <w:spacing w:afterLines="50" w:after="163" w:line="312" w:lineRule="auto"/>
        <w:jc w:val="left"/>
        <w:rPr>
          <w:rFonts w:ascii="Times New Roman" w:eastAsiaTheme="minorEastAsia" w:hAnsi="Times New Roman" w:cs="Times New Roman"/>
          <w:szCs w:val="24"/>
        </w:rPr>
      </w:pPr>
      <w:r w:rsidRPr="00DF6D25">
        <w:rPr>
          <w:rFonts w:ascii="Times New Roman" w:eastAsia="DengXian" w:hAnsi="Times New Roman" w:cs="Times New Roman"/>
          <w:b/>
          <w:bCs/>
          <w:szCs w:val="24"/>
        </w:rPr>
        <w:t>Figure S</w:t>
      </w:r>
      <w:r w:rsidR="00715D96">
        <w:rPr>
          <w:rFonts w:ascii="Times New Roman" w:eastAsia="DengXian" w:hAnsi="Times New Roman" w:cs="Times New Roman"/>
          <w:b/>
          <w:bCs/>
          <w:szCs w:val="24"/>
        </w:rPr>
        <w:t>3</w:t>
      </w:r>
      <w:r w:rsidRPr="00DF6D25">
        <w:rPr>
          <w:rFonts w:ascii="Times New Roman" w:eastAsia="DengXian" w:hAnsi="Times New Roman" w:cs="Times New Roman"/>
          <w:szCs w:val="24"/>
        </w:rPr>
        <w:t xml:space="preserve">. </w:t>
      </w:r>
      <w:r w:rsidRPr="00DF6D25">
        <w:rPr>
          <w:rFonts w:ascii="Times New Roman" w:eastAsiaTheme="minorEastAsia" w:hAnsi="Times New Roman" w:cs="Times New Roman"/>
          <w:szCs w:val="24"/>
        </w:rPr>
        <w:t xml:space="preserve">The </w:t>
      </w:r>
      <w:r w:rsidR="001115A2" w:rsidRPr="00DF6D25">
        <w:rPr>
          <w:rFonts w:ascii="Times New Roman" w:eastAsiaTheme="minorEastAsia" w:hAnsi="Times New Roman" w:cs="Times New Roman"/>
          <w:szCs w:val="24"/>
        </w:rPr>
        <w:t xml:space="preserve">spatial distribution of </w:t>
      </w:r>
      <w:proofErr w:type="spellStart"/>
      <w:r w:rsidR="001115A2" w:rsidRPr="00DF6D25">
        <w:rPr>
          <w:rFonts w:ascii="Times New Roman" w:eastAsiaTheme="minorEastAsia" w:hAnsi="Times New Roman" w:cs="Times New Roman"/>
          <w:szCs w:val="24"/>
        </w:rPr>
        <w:t>AmeriFlux</w:t>
      </w:r>
      <w:proofErr w:type="spellEnd"/>
      <w:r w:rsidR="001115A2" w:rsidRPr="00DF6D25">
        <w:rPr>
          <w:rFonts w:ascii="Times New Roman" w:eastAsiaTheme="minorEastAsia" w:hAnsi="Times New Roman" w:cs="Times New Roman"/>
          <w:szCs w:val="24"/>
        </w:rPr>
        <w:t xml:space="preserve"> sites that has at least 5 years of data during April 2015 to April 2021. Background color represents the</w:t>
      </w:r>
      <w:r w:rsidR="001A0855" w:rsidRPr="00DF6D25">
        <w:rPr>
          <w:rFonts w:ascii="Times New Roman" w:eastAsiaTheme="minorEastAsia" w:hAnsi="Times New Roman" w:cs="Times New Roman"/>
          <w:szCs w:val="24"/>
        </w:rPr>
        <w:t xml:space="preserve"> spatial distribution of AI values</w:t>
      </w:r>
      <w:r w:rsidR="001115A2" w:rsidRPr="00DF6D25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06FB19A1" w14:textId="77777777" w:rsidR="0082559F" w:rsidRPr="00DF6D25" w:rsidRDefault="0082559F" w:rsidP="00857ABD">
      <w:pPr>
        <w:snapToGrid w:val="0"/>
        <w:spacing w:afterLines="50" w:after="163" w:line="312" w:lineRule="auto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6537E26" w14:textId="15084D0D" w:rsidR="00C479DB" w:rsidRPr="00DF6D25" w:rsidRDefault="007063F8" w:rsidP="00857ABD">
      <w:pPr>
        <w:snapToGrid w:val="0"/>
        <w:spacing w:afterLines="50" w:after="163" w:line="312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Theme="minorEastAsia" w:hAnsi="Times New Roman" w:cs="Times New Roman"/>
          <w:b/>
          <w:bCs/>
          <w:szCs w:val="24"/>
        </w:rPr>
        <w:t>S</w:t>
      </w:r>
      <w:r w:rsidR="00715D96">
        <w:rPr>
          <w:rFonts w:ascii="Times New Roman" w:eastAsiaTheme="minorEastAsia" w:hAnsi="Times New Roman" w:cs="Times New Roman"/>
          <w:b/>
          <w:bCs/>
          <w:szCs w:val="24"/>
        </w:rPr>
        <w:t>5</w:t>
      </w:r>
      <w:r w:rsidRPr="00DF6D25">
        <w:rPr>
          <w:rFonts w:ascii="Times New Roman" w:eastAsiaTheme="minorEastAsia" w:hAnsi="Times New Roman" w:cs="Times New Roman"/>
          <w:b/>
          <w:bCs/>
          <w:szCs w:val="24"/>
        </w:rPr>
        <w:t xml:space="preserve">. </w:t>
      </w:r>
      <w:r w:rsidR="00F5411F" w:rsidRPr="00DF6D25">
        <w:rPr>
          <w:rFonts w:ascii="Times New Roman" w:eastAsiaTheme="minorEastAsia" w:hAnsi="Times New Roman" w:cs="Times New Roman"/>
          <w:b/>
          <w:bCs/>
          <w:szCs w:val="24"/>
        </w:rPr>
        <w:t>Seasonal variations of hydrological regime</w:t>
      </w:r>
    </w:p>
    <w:p w14:paraId="76C87C32" w14:textId="1559040F" w:rsidR="005B4059" w:rsidRPr="00DF6D25" w:rsidRDefault="005B4059" w:rsidP="00857ABD">
      <w:pPr>
        <w:snapToGrid w:val="0"/>
        <w:spacing w:afterLines="50" w:after="163" w:line="312" w:lineRule="auto"/>
        <w:rPr>
          <w:rFonts w:ascii="Times New Roman" w:eastAsia="DengXian" w:hAnsi="Times New Roman" w:cs="Times New Roman"/>
          <w:szCs w:val="24"/>
        </w:rPr>
      </w:pPr>
    </w:p>
    <w:p w14:paraId="12FD7E75" w14:textId="455225C3" w:rsidR="008854F9" w:rsidRPr="00DF6D25" w:rsidRDefault="004F5AA6" w:rsidP="00857ABD">
      <w:pPr>
        <w:snapToGrid w:val="0"/>
        <w:spacing w:afterLines="50" w:after="163" w:line="312" w:lineRule="auto"/>
        <w:rPr>
          <w:rFonts w:ascii="Times New Roman" w:eastAsia="DengXian" w:hAnsi="Times New Roman" w:cs="Times New Roman"/>
          <w:szCs w:val="24"/>
        </w:rPr>
      </w:pPr>
      <w:r w:rsidRPr="00DF6D25">
        <w:rPr>
          <w:rFonts w:ascii="Times New Roman" w:eastAsia="DengXian" w:hAnsi="Times New Roman" w:cs="Times New Roman"/>
          <w:noProof/>
          <w:szCs w:val="24"/>
        </w:rPr>
        <w:drawing>
          <wp:inline distT="0" distB="0" distL="0" distR="0" wp14:anchorId="6699DC99" wp14:editId="782831CD">
            <wp:extent cx="5943600" cy="227866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0"/>
                    <a:stretch/>
                  </pic:blipFill>
                  <pic:spPr bwMode="auto">
                    <a:xfrm>
                      <a:off x="0" y="0"/>
                      <a:ext cx="5943600" cy="227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8FC9E" w14:textId="7E110846" w:rsidR="004F5AA6" w:rsidRPr="00DF6D25" w:rsidRDefault="004F5AA6" w:rsidP="00857ABD">
      <w:pPr>
        <w:snapToGrid w:val="0"/>
        <w:spacing w:afterLines="50" w:after="163" w:line="312" w:lineRule="auto"/>
        <w:jc w:val="left"/>
        <w:rPr>
          <w:rFonts w:ascii="Times New Roman" w:eastAsiaTheme="minorEastAsia" w:hAnsi="Times New Roman" w:cs="Times New Roman"/>
          <w:b/>
          <w:bCs/>
          <w:szCs w:val="24"/>
        </w:rPr>
      </w:pPr>
      <w:r w:rsidRPr="00DF6D25">
        <w:rPr>
          <w:rFonts w:ascii="Times New Roman" w:eastAsia="DengXian" w:hAnsi="Times New Roman" w:cs="Times New Roman"/>
          <w:b/>
          <w:bCs/>
          <w:szCs w:val="24"/>
        </w:rPr>
        <w:t>Figure S</w:t>
      </w:r>
      <w:r w:rsidR="00715D96">
        <w:rPr>
          <w:rFonts w:ascii="Times New Roman" w:eastAsia="DengXian" w:hAnsi="Times New Roman" w:cs="Times New Roman"/>
          <w:b/>
          <w:bCs/>
          <w:szCs w:val="24"/>
        </w:rPr>
        <w:t>4</w:t>
      </w:r>
      <w:r w:rsidRPr="00DF6D25">
        <w:rPr>
          <w:rFonts w:ascii="Times New Roman" w:eastAsia="DengXian" w:hAnsi="Times New Roman" w:cs="Times New Roman"/>
          <w:szCs w:val="24"/>
        </w:rPr>
        <w:t>.</w:t>
      </w:r>
      <w:r w:rsidR="00FE5649" w:rsidRPr="00DF6D25">
        <w:rPr>
          <w:rFonts w:ascii="Times New Roman" w:eastAsia="DengXi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w</m:t>
            </m:r>
          </m:sub>
        </m:sSub>
      </m:oMath>
      <w:r w:rsidR="00371984" w:rsidRPr="00DF6D25">
        <w:rPr>
          <w:rFonts w:ascii="Times New Roman" w:eastAsiaTheme="minorEastAsia" w:hAnsi="Times New Roman" w:cs="Times New Roman"/>
          <w:szCs w:val="24"/>
        </w:rPr>
        <w:t xml:space="preserve"> (a),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*</m:t>
            </m:r>
          </m:sub>
        </m:sSub>
      </m:oMath>
      <w:r w:rsidR="00371984" w:rsidRPr="00DF6D25">
        <w:rPr>
          <w:rFonts w:ascii="Times New Roman" w:eastAsiaTheme="minorEastAsia" w:hAnsi="Times New Roman" w:cs="Times New Roman"/>
          <w:szCs w:val="24"/>
        </w:rPr>
        <w:t xml:space="preserve"> (b)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fc</m:t>
            </m:r>
          </m:sub>
        </m:sSub>
      </m:oMath>
      <w:r w:rsidR="00371984" w:rsidRPr="00DF6D25">
        <w:rPr>
          <w:rFonts w:ascii="Times New Roman" w:eastAsiaTheme="minorEastAsia" w:hAnsi="Times New Roman" w:cs="Times New Roman"/>
          <w:szCs w:val="24"/>
        </w:rPr>
        <w:t xml:space="preserve"> (c)</w:t>
      </w:r>
      <w:r w:rsidR="00FE5649" w:rsidRPr="00DF6D25">
        <w:rPr>
          <w:rFonts w:ascii="Times New Roman" w:eastAsiaTheme="minorEastAsia" w:hAnsi="Times New Roman" w:cs="Times New Roman"/>
          <w:szCs w:val="24"/>
        </w:rPr>
        <w:t xml:space="preserve"> as a function of LAI and AI.</w:t>
      </w:r>
      <w:r w:rsidR="003F2FF7" w:rsidRPr="00DF6D25">
        <w:rPr>
          <w:rFonts w:ascii="Times New Roman" w:eastAsiaTheme="minorEastAsia" w:hAnsi="Times New Roman" w:cs="Times New Roman"/>
          <w:szCs w:val="24"/>
        </w:rPr>
        <w:t xml:space="preserve"> The irregular LAI bins are determined according to different percentiles of global LAI distribution. The error bars denote the </w:t>
      </w:r>
      <w:r w:rsidR="00B26B57" w:rsidRPr="00DF6D25">
        <w:rPr>
          <w:rFonts w:ascii="Times New Roman" w:eastAsiaTheme="minorEastAsia" w:hAnsi="Times New Roman" w:cs="Times New Roman"/>
          <w:szCs w:val="24"/>
        </w:rPr>
        <w:t xml:space="preserve">variability of AI within each LAI bin. Color shadings of the circles are median soil </w:t>
      </w:r>
      <w:r w:rsidR="00333075" w:rsidRPr="00DF6D25">
        <w:rPr>
          <w:rFonts w:ascii="Times New Roman" w:eastAsiaTheme="minorEastAsia" w:hAnsi="Times New Roman" w:cs="Times New Roman"/>
          <w:szCs w:val="24"/>
        </w:rPr>
        <w:t>moisture thresholds</w:t>
      </w:r>
      <w:r w:rsidR="00B26B57" w:rsidRPr="00DF6D25">
        <w:rPr>
          <w:rFonts w:ascii="Times New Roman" w:eastAsiaTheme="minorEastAsia" w:hAnsi="Times New Roman" w:cs="Times New Roman"/>
          <w:szCs w:val="24"/>
        </w:rPr>
        <w:t xml:space="preserve"> for each LAI bin</w:t>
      </w:r>
      <w:r w:rsidR="00685CA6" w:rsidRPr="00DF6D25">
        <w:rPr>
          <w:rFonts w:ascii="Times New Roman" w:eastAsiaTheme="minorEastAsia" w:hAnsi="Times New Roman" w:cs="Times New Roman"/>
          <w:szCs w:val="24"/>
        </w:rPr>
        <w:t xml:space="preserve">. </w:t>
      </w:r>
      <w:r w:rsidR="00B26B57" w:rsidRPr="00DF6D25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7B7F9416" w14:textId="77777777" w:rsidR="004F5AA6" w:rsidRPr="00DF6D25" w:rsidRDefault="004F5AA6" w:rsidP="00857ABD">
      <w:pPr>
        <w:snapToGrid w:val="0"/>
        <w:spacing w:afterLines="50" w:after="163" w:line="312" w:lineRule="auto"/>
        <w:rPr>
          <w:rFonts w:ascii="Times New Roman" w:eastAsia="DengXian" w:hAnsi="Times New Roman" w:cs="Times New Roman"/>
          <w:szCs w:val="24"/>
        </w:rPr>
      </w:pPr>
    </w:p>
    <w:sectPr w:rsidR="004F5AA6" w:rsidRPr="00DF6D25" w:rsidSect="00462C63">
      <w:pgSz w:w="12240" w:h="15840"/>
      <w:pgMar w:top="1440" w:right="1440" w:bottom="1440" w:left="1440" w:header="720" w:footer="720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5727" w14:textId="77777777" w:rsidR="00AB4FB5" w:rsidRDefault="00AB4FB5" w:rsidP="007571C3">
      <w:pPr>
        <w:spacing w:line="240" w:lineRule="auto"/>
      </w:pPr>
      <w:r>
        <w:separator/>
      </w:r>
    </w:p>
  </w:endnote>
  <w:endnote w:type="continuationSeparator" w:id="0">
    <w:p w14:paraId="4AFE79CC" w14:textId="77777777" w:rsidR="00AB4FB5" w:rsidRDefault="00AB4FB5" w:rsidP="00757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4BDC" w14:textId="77777777" w:rsidR="00AB4FB5" w:rsidRDefault="00AB4FB5" w:rsidP="007571C3">
      <w:pPr>
        <w:spacing w:line="240" w:lineRule="auto"/>
      </w:pPr>
      <w:r>
        <w:separator/>
      </w:r>
    </w:p>
  </w:footnote>
  <w:footnote w:type="continuationSeparator" w:id="0">
    <w:p w14:paraId="15EFB94B" w14:textId="77777777" w:rsidR="00AB4FB5" w:rsidRDefault="00AB4FB5" w:rsidP="00757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6259"/>
    <w:multiLevelType w:val="hybridMultilevel"/>
    <w:tmpl w:val="28744B46"/>
    <w:lvl w:ilvl="0" w:tplc="6944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C466AA"/>
    <w:multiLevelType w:val="hybridMultilevel"/>
    <w:tmpl w:val="09A425A0"/>
    <w:lvl w:ilvl="0" w:tplc="808AA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E16DC1"/>
    <w:multiLevelType w:val="hybridMultilevel"/>
    <w:tmpl w:val="7010A80A"/>
    <w:lvl w:ilvl="0" w:tplc="D8CA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20482273">
    <w:abstractNumId w:val="1"/>
  </w:num>
  <w:num w:numId="2" w16cid:durableId="2020737313">
    <w:abstractNumId w:val="2"/>
  </w:num>
  <w:num w:numId="3" w16cid:durableId="194059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mote Sensing of Enviro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dfef5svx9rdletvp5xt0919wf0ede2tdr0&quot;&gt;My EndNote Library&lt;record-ids&gt;&lt;item&gt;1&lt;/item&gt;&lt;item&gt;53&lt;/item&gt;&lt;item&gt;97&lt;/item&gt;&lt;/record-ids&gt;&lt;/item&gt;&lt;/Libraries&gt;"/>
  </w:docVars>
  <w:rsids>
    <w:rsidRoot w:val="00726020"/>
    <w:rsid w:val="00005049"/>
    <w:rsid w:val="000104D0"/>
    <w:rsid w:val="00027B5B"/>
    <w:rsid w:val="00030BAD"/>
    <w:rsid w:val="00034682"/>
    <w:rsid w:val="00035E6C"/>
    <w:rsid w:val="000376D7"/>
    <w:rsid w:val="000418B4"/>
    <w:rsid w:val="000429E8"/>
    <w:rsid w:val="00043B2D"/>
    <w:rsid w:val="0004487B"/>
    <w:rsid w:val="00044BCA"/>
    <w:rsid w:val="00053B8A"/>
    <w:rsid w:val="000831FD"/>
    <w:rsid w:val="00093137"/>
    <w:rsid w:val="0009775E"/>
    <w:rsid w:val="000A0EFF"/>
    <w:rsid w:val="000A5935"/>
    <w:rsid w:val="000A6CA6"/>
    <w:rsid w:val="000C6225"/>
    <w:rsid w:val="000D696C"/>
    <w:rsid w:val="000D69AF"/>
    <w:rsid w:val="000E0A54"/>
    <w:rsid w:val="000E3EA7"/>
    <w:rsid w:val="000E6C45"/>
    <w:rsid w:val="000F61C2"/>
    <w:rsid w:val="000F7C95"/>
    <w:rsid w:val="001102CB"/>
    <w:rsid w:val="001115A2"/>
    <w:rsid w:val="00120ACF"/>
    <w:rsid w:val="00126A64"/>
    <w:rsid w:val="001315B2"/>
    <w:rsid w:val="001325CA"/>
    <w:rsid w:val="00134905"/>
    <w:rsid w:val="00135682"/>
    <w:rsid w:val="00162920"/>
    <w:rsid w:val="0018291C"/>
    <w:rsid w:val="00183454"/>
    <w:rsid w:val="00186ED9"/>
    <w:rsid w:val="00191BF8"/>
    <w:rsid w:val="00197C05"/>
    <w:rsid w:val="001A0855"/>
    <w:rsid w:val="001A3A3A"/>
    <w:rsid w:val="001A685E"/>
    <w:rsid w:val="001B42E6"/>
    <w:rsid w:val="001C13BF"/>
    <w:rsid w:val="001C39A5"/>
    <w:rsid w:val="001D57F5"/>
    <w:rsid w:val="001F485D"/>
    <w:rsid w:val="001F4BF3"/>
    <w:rsid w:val="001F7E20"/>
    <w:rsid w:val="002020E5"/>
    <w:rsid w:val="00202B1E"/>
    <w:rsid w:val="00212265"/>
    <w:rsid w:val="00213AC6"/>
    <w:rsid w:val="0021750B"/>
    <w:rsid w:val="00227713"/>
    <w:rsid w:val="00243227"/>
    <w:rsid w:val="00243DB4"/>
    <w:rsid w:val="002466D0"/>
    <w:rsid w:val="00256797"/>
    <w:rsid w:val="0026161A"/>
    <w:rsid w:val="00264863"/>
    <w:rsid w:val="00275AEA"/>
    <w:rsid w:val="002828B4"/>
    <w:rsid w:val="00290DE2"/>
    <w:rsid w:val="002A37C2"/>
    <w:rsid w:val="002A5EF7"/>
    <w:rsid w:val="002B1F00"/>
    <w:rsid w:val="002B2121"/>
    <w:rsid w:val="002C1C9A"/>
    <w:rsid w:val="002C2D5D"/>
    <w:rsid w:val="002D0CF3"/>
    <w:rsid w:val="002E0A9A"/>
    <w:rsid w:val="002E0C14"/>
    <w:rsid w:val="002E1537"/>
    <w:rsid w:val="002E41FD"/>
    <w:rsid w:val="002E5CE4"/>
    <w:rsid w:val="002E6194"/>
    <w:rsid w:val="002E664D"/>
    <w:rsid w:val="002F2097"/>
    <w:rsid w:val="002F63A4"/>
    <w:rsid w:val="00301E85"/>
    <w:rsid w:val="00305935"/>
    <w:rsid w:val="00311F6D"/>
    <w:rsid w:val="00317962"/>
    <w:rsid w:val="0032105A"/>
    <w:rsid w:val="00326058"/>
    <w:rsid w:val="003327CC"/>
    <w:rsid w:val="00333075"/>
    <w:rsid w:val="00336AFC"/>
    <w:rsid w:val="00343475"/>
    <w:rsid w:val="00365623"/>
    <w:rsid w:val="003707C0"/>
    <w:rsid w:val="00371984"/>
    <w:rsid w:val="00375C5A"/>
    <w:rsid w:val="003764D6"/>
    <w:rsid w:val="00381208"/>
    <w:rsid w:val="00381FEA"/>
    <w:rsid w:val="00387DEA"/>
    <w:rsid w:val="003A19A1"/>
    <w:rsid w:val="003A5303"/>
    <w:rsid w:val="003B0658"/>
    <w:rsid w:val="003B0AE3"/>
    <w:rsid w:val="003B333E"/>
    <w:rsid w:val="003B3E2E"/>
    <w:rsid w:val="003C7F2E"/>
    <w:rsid w:val="003D0643"/>
    <w:rsid w:val="003D5041"/>
    <w:rsid w:val="003F220F"/>
    <w:rsid w:val="003F2FF7"/>
    <w:rsid w:val="003F3F87"/>
    <w:rsid w:val="00406417"/>
    <w:rsid w:val="00407153"/>
    <w:rsid w:val="004078F0"/>
    <w:rsid w:val="00407A82"/>
    <w:rsid w:val="00421B29"/>
    <w:rsid w:val="004438E1"/>
    <w:rsid w:val="00446CD2"/>
    <w:rsid w:val="00447D96"/>
    <w:rsid w:val="004504A4"/>
    <w:rsid w:val="00454D79"/>
    <w:rsid w:val="00455D39"/>
    <w:rsid w:val="00462C63"/>
    <w:rsid w:val="00463F3F"/>
    <w:rsid w:val="0047204F"/>
    <w:rsid w:val="0048687A"/>
    <w:rsid w:val="00487931"/>
    <w:rsid w:val="00493520"/>
    <w:rsid w:val="004A293E"/>
    <w:rsid w:val="004E3BA1"/>
    <w:rsid w:val="004E5E82"/>
    <w:rsid w:val="004F5AA6"/>
    <w:rsid w:val="004F658E"/>
    <w:rsid w:val="00500BDA"/>
    <w:rsid w:val="0051461A"/>
    <w:rsid w:val="0053022B"/>
    <w:rsid w:val="00534080"/>
    <w:rsid w:val="005471DE"/>
    <w:rsid w:val="00557E4C"/>
    <w:rsid w:val="00574C44"/>
    <w:rsid w:val="00576597"/>
    <w:rsid w:val="00593CBD"/>
    <w:rsid w:val="00593E59"/>
    <w:rsid w:val="005955EB"/>
    <w:rsid w:val="005974E1"/>
    <w:rsid w:val="005A2B26"/>
    <w:rsid w:val="005A457A"/>
    <w:rsid w:val="005B4059"/>
    <w:rsid w:val="005B43D4"/>
    <w:rsid w:val="005C3381"/>
    <w:rsid w:val="005C33FE"/>
    <w:rsid w:val="005C638A"/>
    <w:rsid w:val="005D7E95"/>
    <w:rsid w:val="005E3115"/>
    <w:rsid w:val="005E3961"/>
    <w:rsid w:val="005E4A6C"/>
    <w:rsid w:val="0060513B"/>
    <w:rsid w:val="0060790F"/>
    <w:rsid w:val="00634E7C"/>
    <w:rsid w:val="00635470"/>
    <w:rsid w:val="00643EA1"/>
    <w:rsid w:val="0065094D"/>
    <w:rsid w:val="00652458"/>
    <w:rsid w:val="00660977"/>
    <w:rsid w:val="006734CA"/>
    <w:rsid w:val="00685CA6"/>
    <w:rsid w:val="00691337"/>
    <w:rsid w:val="00691B33"/>
    <w:rsid w:val="00692B45"/>
    <w:rsid w:val="00697EB8"/>
    <w:rsid w:val="006A113E"/>
    <w:rsid w:val="006C2B7D"/>
    <w:rsid w:val="006D126B"/>
    <w:rsid w:val="006D1EF7"/>
    <w:rsid w:val="006E0604"/>
    <w:rsid w:val="007049E9"/>
    <w:rsid w:val="007063F8"/>
    <w:rsid w:val="007144C2"/>
    <w:rsid w:val="00715203"/>
    <w:rsid w:val="00715D96"/>
    <w:rsid w:val="007222C9"/>
    <w:rsid w:val="00726020"/>
    <w:rsid w:val="00742B52"/>
    <w:rsid w:val="00746A1B"/>
    <w:rsid w:val="00751013"/>
    <w:rsid w:val="00753008"/>
    <w:rsid w:val="007571C3"/>
    <w:rsid w:val="00760869"/>
    <w:rsid w:val="00763448"/>
    <w:rsid w:val="00771471"/>
    <w:rsid w:val="0077175C"/>
    <w:rsid w:val="0078758B"/>
    <w:rsid w:val="0078771F"/>
    <w:rsid w:val="00790263"/>
    <w:rsid w:val="00793BEA"/>
    <w:rsid w:val="007A32C1"/>
    <w:rsid w:val="007C4022"/>
    <w:rsid w:val="007C6B0A"/>
    <w:rsid w:val="007D0D92"/>
    <w:rsid w:val="007E4D5D"/>
    <w:rsid w:val="007E51C9"/>
    <w:rsid w:val="00800436"/>
    <w:rsid w:val="00801E48"/>
    <w:rsid w:val="00816B9C"/>
    <w:rsid w:val="00816D20"/>
    <w:rsid w:val="0082559F"/>
    <w:rsid w:val="008379B6"/>
    <w:rsid w:val="00840D60"/>
    <w:rsid w:val="00846869"/>
    <w:rsid w:val="00857ABD"/>
    <w:rsid w:val="00864285"/>
    <w:rsid w:val="0086453C"/>
    <w:rsid w:val="00865255"/>
    <w:rsid w:val="0086578B"/>
    <w:rsid w:val="00867ADD"/>
    <w:rsid w:val="00873DCD"/>
    <w:rsid w:val="0087775E"/>
    <w:rsid w:val="00883FBC"/>
    <w:rsid w:val="008854F9"/>
    <w:rsid w:val="0089365A"/>
    <w:rsid w:val="008C1156"/>
    <w:rsid w:val="008D5E8B"/>
    <w:rsid w:val="008E34E7"/>
    <w:rsid w:val="0091522A"/>
    <w:rsid w:val="009172E1"/>
    <w:rsid w:val="0091784C"/>
    <w:rsid w:val="00920ABD"/>
    <w:rsid w:val="00922CA7"/>
    <w:rsid w:val="009278A4"/>
    <w:rsid w:val="00937123"/>
    <w:rsid w:val="009435F8"/>
    <w:rsid w:val="009437CD"/>
    <w:rsid w:val="00944F96"/>
    <w:rsid w:val="00947223"/>
    <w:rsid w:val="009472EC"/>
    <w:rsid w:val="0096043E"/>
    <w:rsid w:val="00976448"/>
    <w:rsid w:val="00981C25"/>
    <w:rsid w:val="009B4A18"/>
    <w:rsid w:val="009C01B8"/>
    <w:rsid w:val="009C16EF"/>
    <w:rsid w:val="009C4766"/>
    <w:rsid w:val="009D2B5F"/>
    <w:rsid w:val="009D3A13"/>
    <w:rsid w:val="009D4C93"/>
    <w:rsid w:val="009E544E"/>
    <w:rsid w:val="009E5F38"/>
    <w:rsid w:val="00A06186"/>
    <w:rsid w:val="00A14E48"/>
    <w:rsid w:val="00A26001"/>
    <w:rsid w:val="00A47096"/>
    <w:rsid w:val="00A574A8"/>
    <w:rsid w:val="00A658D3"/>
    <w:rsid w:val="00A87BFD"/>
    <w:rsid w:val="00AA397B"/>
    <w:rsid w:val="00AA619E"/>
    <w:rsid w:val="00AA7168"/>
    <w:rsid w:val="00AB4FB5"/>
    <w:rsid w:val="00AC4452"/>
    <w:rsid w:val="00AC5583"/>
    <w:rsid w:val="00AD09E6"/>
    <w:rsid w:val="00AD374E"/>
    <w:rsid w:val="00AE2383"/>
    <w:rsid w:val="00AE556D"/>
    <w:rsid w:val="00AF08E2"/>
    <w:rsid w:val="00AF196C"/>
    <w:rsid w:val="00B05879"/>
    <w:rsid w:val="00B077B1"/>
    <w:rsid w:val="00B1555C"/>
    <w:rsid w:val="00B172D5"/>
    <w:rsid w:val="00B20CEE"/>
    <w:rsid w:val="00B25363"/>
    <w:rsid w:val="00B2549E"/>
    <w:rsid w:val="00B26B57"/>
    <w:rsid w:val="00B26CD8"/>
    <w:rsid w:val="00B345BF"/>
    <w:rsid w:val="00B4439F"/>
    <w:rsid w:val="00B4755A"/>
    <w:rsid w:val="00B47769"/>
    <w:rsid w:val="00B47E65"/>
    <w:rsid w:val="00B51D50"/>
    <w:rsid w:val="00B523CA"/>
    <w:rsid w:val="00B56326"/>
    <w:rsid w:val="00B57F86"/>
    <w:rsid w:val="00B66A0F"/>
    <w:rsid w:val="00B706A2"/>
    <w:rsid w:val="00B71B6E"/>
    <w:rsid w:val="00BA252D"/>
    <w:rsid w:val="00BA63C4"/>
    <w:rsid w:val="00BB7E39"/>
    <w:rsid w:val="00BC119E"/>
    <w:rsid w:val="00BC2D9F"/>
    <w:rsid w:val="00BD1A93"/>
    <w:rsid w:val="00BD4860"/>
    <w:rsid w:val="00BE0EDF"/>
    <w:rsid w:val="00BE7619"/>
    <w:rsid w:val="00BF02DC"/>
    <w:rsid w:val="00BF0DDD"/>
    <w:rsid w:val="00BF5CF2"/>
    <w:rsid w:val="00C046BA"/>
    <w:rsid w:val="00C12127"/>
    <w:rsid w:val="00C14FA9"/>
    <w:rsid w:val="00C23E6E"/>
    <w:rsid w:val="00C26E16"/>
    <w:rsid w:val="00C479DB"/>
    <w:rsid w:val="00C530D4"/>
    <w:rsid w:val="00C53B4F"/>
    <w:rsid w:val="00C62429"/>
    <w:rsid w:val="00C73899"/>
    <w:rsid w:val="00C76106"/>
    <w:rsid w:val="00C806AB"/>
    <w:rsid w:val="00C9266A"/>
    <w:rsid w:val="00C9757E"/>
    <w:rsid w:val="00CA2812"/>
    <w:rsid w:val="00CB1EE0"/>
    <w:rsid w:val="00CB4278"/>
    <w:rsid w:val="00CC763C"/>
    <w:rsid w:val="00CD4CB4"/>
    <w:rsid w:val="00CE2C40"/>
    <w:rsid w:val="00CF57F9"/>
    <w:rsid w:val="00D042EC"/>
    <w:rsid w:val="00D1027E"/>
    <w:rsid w:val="00D1155A"/>
    <w:rsid w:val="00D13A65"/>
    <w:rsid w:val="00D16C85"/>
    <w:rsid w:val="00D24FA3"/>
    <w:rsid w:val="00D31FEF"/>
    <w:rsid w:val="00D50C2E"/>
    <w:rsid w:val="00D50F26"/>
    <w:rsid w:val="00D75321"/>
    <w:rsid w:val="00D807F5"/>
    <w:rsid w:val="00D81B5A"/>
    <w:rsid w:val="00D82145"/>
    <w:rsid w:val="00D823FE"/>
    <w:rsid w:val="00D9411F"/>
    <w:rsid w:val="00D962B3"/>
    <w:rsid w:val="00DA03F2"/>
    <w:rsid w:val="00DA0F19"/>
    <w:rsid w:val="00DB3EC7"/>
    <w:rsid w:val="00DC22C7"/>
    <w:rsid w:val="00DC7290"/>
    <w:rsid w:val="00DD3EB6"/>
    <w:rsid w:val="00DD6DDF"/>
    <w:rsid w:val="00DE1A84"/>
    <w:rsid w:val="00DE46F6"/>
    <w:rsid w:val="00DF047C"/>
    <w:rsid w:val="00DF3F0A"/>
    <w:rsid w:val="00DF6D25"/>
    <w:rsid w:val="00E06BA2"/>
    <w:rsid w:val="00E10588"/>
    <w:rsid w:val="00E1110B"/>
    <w:rsid w:val="00E17077"/>
    <w:rsid w:val="00E17C78"/>
    <w:rsid w:val="00E218BE"/>
    <w:rsid w:val="00E26F5E"/>
    <w:rsid w:val="00E31E25"/>
    <w:rsid w:val="00E367A5"/>
    <w:rsid w:val="00E377E3"/>
    <w:rsid w:val="00E46308"/>
    <w:rsid w:val="00E5660C"/>
    <w:rsid w:val="00E60B7A"/>
    <w:rsid w:val="00E70B13"/>
    <w:rsid w:val="00E750CB"/>
    <w:rsid w:val="00E97510"/>
    <w:rsid w:val="00EA3E35"/>
    <w:rsid w:val="00EC0B2C"/>
    <w:rsid w:val="00EC5B24"/>
    <w:rsid w:val="00EF3B68"/>
    <w:rsid w:val="00F051DF"/>
    <w:rsid w:val="00F05290"/>
    <w:rsid w:val="00F10AFA"/>
    <w:rsid w:val="00F1364E"/>
    <w:rsid w:val="00F1380A"/>
    <w:rsid w:val="00F173EA"/>
    <w:rsid w:val="00F2094B"/>
    <w:rsid w:val="00F32B54"/>
    <w:rsid w:val="00F35861"/>
    <w:rsid w:val="00F37911"/>
    <w:rsid w:val="00F42186"/>
    <w:rsid w:val="00F53929"/>
    <w:rsid w:val="00F5411F"/>
    <w:rsid w:val="00F54E58"/>
    <w:rsid w:val="00F610A7"/>
    <w:rsid w:val="00F6134B"/>
    <w:rsid w:val="00F774C2"/>
    <w:rsid w:val="00F77F65"/>
    <w:rsid w:val="00FA4365"/>
    <w:rsid w:val="00FB3BB2"/>
    <w:rsid w:val="00FB68CB"/>
    <w:rsid w:val="00FC2023"/>
    <w:rsid w:val="00FC263B"/>
    <w:rsid w:val="00FC339F"/>
    <w:rsid w:val="00FD2F04"/>
    <w:rsid w:val="00FD5C84"/>
    <w:rsid w:val="00FE5649"/>
    <w:rsid w:val="00FF2451"/>
    <w:rsid w:val="00FF41F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6CE69"/>
  <w15:docId w15:val="{C3F390C2-6E68-441C-A16C-EE35465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A1"/>
    <w:pPr>
      <w:spacing w:line="360" w:lineRule="auto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rsid w:val="000A5935"/>
  </w:style>
  <w:style w:type="character" w:styleId="a3">
    <w:name w:val="Placeholder Text"/>
    <w:basedOn w:val="a0"/>
    <w:uiPriority w:val="99"/>
    <w:semiHidden/>
    <w:rsid w:val="00D50C2E"/>
    <w:rPr>
      <w:color w:val="808080"/>
    </w:rPr>
  </w:style>
  <w:style w:type="table" w:styleId="a4">
    <w:name w:val="Table Grid"/>
    <w:basedOn w:val="a1"/>
    <w:uiPriority w:val="39"/>
    <w:rsid w:val="0040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47E65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47E65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B47E65"/>
    <w:rPr>
      <w:rFonts w:eastAsia="Times New Roman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7E6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47E65"/>
    <w:rPr>
      <w:rFonts w:eastAsia="Times New Roman"/>
      <w:b/>
      <w:bCs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DD3EB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D3EB6"/>
    <w:rPr>
      <w:rFonts w:ascii="Calibri" w:eastAsia="Times New Roman" w:hAnsi="Calibri" w:cs="Calibri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DD3E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D3EB6"/>
    <w:rPr>
      <w:rFonts w:ascii="Calibri" w:eastAsia="Times New Roman" w:hAnsi="Calibri" w:cs="Calibri"/>
      <w:noProof/>
      <w:sz w:val="24"/>
    </w:rPr>
  </w:style>
  <w:style w:type="paragraph" w:styleId="aa">
    <w:name w:val="header"/>
    <w:basedOn w:val="a"/>
    <w:link w:val="ab"/>
    <w:uiPriority w:val="99"/>
    <w:unhideWhenUsed/>
    <w:rsid w:val="007571C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571C3"/>
    <w:rPr>
      <w:rFonts w:eastAsia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571C3"/>
    <w:pPr>
      <w:tabs>
        <w:tab w:val="center" w:pos="4513"/>
        <w:tab w:val="right" w:pos="902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7571C3"/>
    <w:rPr>
      <w:rFonts w:eastAsia="Times New Roman"/>
      <w:sz w:val="18"/>
      <w:szCs w:val="18"/>
    </w:rPr>
  </w:style>
  <w:style w:type="paragraph" w:styleId="ae">
    <w:name w:val="List Paragraph"/>
    <w:basedOn w:val="a"/>
    <w:uiPriority w:val="34"/>
    <w:qFormat/>
    <w:rsid w:val="00343475"/>
    <w:pPr>
      <w:ind w:firstLineChars="200" w:firstLine="420"/>
    </w:pPr>
  </w:style>
  <w:style w:type="character" w:styleId="af">
    <w:name w:val="line number"/>
    <w:basedOn w:val="a0"/>
    <w:uiPriority w:val="99"/>
    <w:semiHidden/>
    <w:unhideWhenUsed/>
    <w:rsid w:val="00462C63"/>
  </w:style>
  <w:style w:type="character" w:styleId="af0">
    <w:name w:val="Hyperlink"/>
    <w:basedOn w:val="a0"/>
    <w:uiPriority w:val="99"/>
    <w:unhideWhenUsed/>
    <w:rsid w:val="009D4C9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D4C9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D69AF"/>
    <w:pPr>
      <w:widowControl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csrpacks.github.io/CroptimizR/articles/Parameter_estimation_DRE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dongjianzhi@163.com</dc:creator>
  <cp:keywords/>
  <dc:description/>
  <cp:lastModifiedBy>office user</cp:lastModifiedBy>
  <cp:revision>20</cp:revision>
  <dcterms:created xsi:type="dcterms:W3CDTF">2021-09-07T02:15:00Z</dcterms:created>
  <dcterms:modified xsi:type="dcterms:W3CDTF">2022-11-11T03:16:00Z</dcterms:modified>
</cp:coreProperties>
</file>