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E9EA" w14:textId="0D47B79F" w:rsidR="002C0E0D" w:rsidRDefault="0065405F">
      <w:r>
        <w:softHyphen/>
      </w:r>
      <w:r>
        <w:softHyphen/>
      </w:r>
    </w:p>
    <w:p w14:paraId="6B2FE153" w14:textId="77777777" w:rsidR="000B76E3" w:rsidRDefault="000B76E3" w:rsidP="000B76E3">
      <w:pPr>
        <w:jc w:val="center"/>
        <w:rPr>
          <w:sz w:val="36"/>
          <w:szCs w:val="36"/>
        </w:rPr>
      </w:pPr>
      <w:r>
        <w:rPr>
          <w:noProof/>
          <w:sz w:val="36"/>
          <w:szCs w:val="36"/>
        </w:rPr>
        <w:drawing>
          <wp:inline distT="0" distB="0" distL="0" distR="0" wp14:anchorId="2AD0B027" wp14:editId="230281B7">
            <wp:extent cx="3200400" cy="609600"/>
            <wp:effectExtent l="0" t="0" r="0" b="0"/>
            <wp:docPr id="3" name="Picture 3"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26E41202" w14:textId="7D985F67" w:rsidR="000B76E3" w:rsidRPr="00BF1BF9" w:rsidRDefault="00D431B4" w:rsidP="000B76E3">
      <w:pPr>
        <w:spacing w:before="100" w:beforeAutospacing="1" w:after="100" w:afterAutospacing="1"/>
        <w:jc w:val="center"/>
        <w:rPr>
          <w:rFonts w:ascii="Myriad Pro" w:hAnsi="Myriad Pro"/>
          <w:i/>
          <w:sz w:val="22"/>
          <w:szCs w:val="22"/>
        </w:rPr>
      </w:pPr>
      <w:r>
        <w:rPr>
          <w:rFonts w:ascii="Myriad Pro" w:hAnsi="Myriad Pro"/>
          <w:i/>
          <w:sz w:val="22"/>
          <w:szCs w:val="22"/>
        </w:rPr>
        <w:t>Global Biogeochemical Cycles</w:t>
      </w:r>
    </w:p>
    <w:p w14:paraId="60E924A6" w14:textId="77777777" w:rsidR="000B76E3" w:rsidRDefault="000B76E3"/>
    <w:p w14:paraId="5990EF52" w14:textId="77777777" w:rsidR="00D431B4" w:rsidRPr="00D431B4" w:rsidRDefault="00D431B4" w:rsidP="00D431B4">
      <w:pPr>
        <w:pStyle w:val="CommentText"/>
        <w:jc w:val="center"/>
        <w:rPr>
          <w:b/>
          <w:bCs/>
          <w:sz w:val="24"/>
          <w:szCs w:val="24"/>
        </w:rPr>
      </w:pPr>
      <w:r w:rsidRPr="00D431B4">
        <w:rPr>
          <w:b/>
          <w:bCs/>
          <w:sz w:val="24"/>
          <w:szCs w:val="24"/>
        </w:rPr>
        <w:t>Quantification of discharge-specific effects on dissolved organic matter export from major Arctic rivers from 1982 through 2019</w:t>
      </w:r>
    </w:p>
    <w:p w14:paraId="66B26482" w14:textId="77777777" w:rsidR="009A2AB8" w:rsidRPr="007467DF" w:rsidRDefault="009A2AB8" w:rsidP="009A2AB8">
      <w:pPr>
        <w:spacing w:line="360" w:lineRule="auto"/>
        <w:jc w:val="both"/>
      </w:pPr>
    </w:p>
    <w:p w14:paraId="6087A553" w14:textId="77777777" w:rsidR="000B76E3" w:rsidRDefault="000B76E3" w:rsidP="000B76E3">
      <w:pPr>
        <w:spacing w:line="360" w:lineRule="auto"/>
        <w:jc w:val="both"/>
      </w:pPr>
      <w:r>
        <w:t>J. Blake Clark</w:t>
      </w:r>
      <w:r>
        <w:rPr>
          <w:vertAlign w:val="superscript"/>
        </w:rPr>
        <w:t>1,2</w:t>
      </w:r>
      <w:r>
        <w:t>, Antonio Mannino</w:t>
      </w:r>
      <w:r>
        <w:rPr>
          <w:vertAlign w:val="superscript"/>
        </w:rPr>
        <w:t>1</w:t>
      </w:r>
      <w:r>
        <w:t>, Robert G.M. Spencer</w:t>
      </w:r>
      <w:r>
        <w:rPr>
          <w:vertAlign w:val="superscript"/>
        </w:rPr>
        <w:t>3</w:t>
      </w:r>
      <w:r>
        <w:t>, Suzanne E. Tank</w:t>
      </w:r>
      <w:r>
        <w:rPr>
          <w:vertAlign w:val="superscript"/>
        </w:rPr>
        <w:t>4</w:t>
      </w:r>
      <w:r>
        <w:t>, James W. McClelland</w:t>
      </w:r>
      <w:r>
        <w:rPr>
          <w:vertAlign w:val="superscript"/>
        </w:rPr>
        <w:t>5,6</w:t>
      </w:r>
    </w:p>
    <w:p w14:paraId="4EDE5BCF" w14:textId="77777777" w:rsidR="000B76E3" w:rsidRDefault="000B76E3" w:rsidP="000B76E3">
      <w:pPr>
        <w:spacing w:line="360" w:lineRule="auto"/>
        <w:jc w:val="both"/>
      </w:pPr>
      <w:r>
        <w:t xml:space="preserve">1. </w:t>
      </w:r>
      <w:r w:rsidRPr="008573A9">
        <w:t>Ocean Ecology Laboratory, Code 616.1, NASA Goddard Space Flight Center, Greenbelt, Maryland</w:t>
      </w:r>
      <w:r>
        <w:t>, USA</w:t>
      </w:r>
    </w:p>
    <w:p w14:paraId="4374FB4D" w14:textId="77777777" w:rsidR="000B76E3" w:rsidRDefault="000B76E3" w:rsidP="000B76E3">
      <w:pPr>
        <w:spacing w:line="360" w:lineRule="auto"/>
        <w:jc w:val="both"/>
      </w:pPr>
      <w:r>
        <w:t>2. Goddard Earth Sciences Technology and Research II, University of Maryland, Baltimore County, Baltimore, Maryland, USA</w:t>
      </w:r>
    </w:p>
    <w:p w14:paraId="79D99069" w14:textId="77777777" w:rsidR="000B76E3" w:rsidRDefault="000B76E3" w:rsidP="000B76E3">
      <w:pPr>
        <w:spacing w:line="360" w:lineRule="auto"/>
        <w:jc w:val="both"/>
      </w:pPr>
      <w:r>
        <w:t xml:space="preserve">3. </w:t>
      </w:r>
      <w:r w:rsidRPr="002109F2">
        <w:t>Department of Earth, Ocean and Atmospheric Science, Florida State University, Tallahassee, Florid</w:t>
      </w:r>
      <w:r>
        <w:t>a</w:t>
      </w:r>
      <w:r w:rsidRPr="002109F2">
        <w:t xml:space="preserve">, </w:t>
      </w:r>
      <w:r>
        <w:t>USA</w:t>
      </w:r>
    </w:p>
    <w:p w14:paraId="2A860B60" w14:textId="77777777" w:rsidR="000B76E3" w:rsidRPr="00284D61" w:rsidRDefault="000B76E3" w:rsidP="000B76E3">
      <w:pPr>
        <w:spacing w:line="360" w:lineRule="auto"/>
        <w:jc w:val="both"/>
      </w:pPr>
      <w:r w:rsidRPr="00284D61">
        <w:t>4. Department of Biological Sciences, University of Alberta, Edmonton, Alberta Canada</w:t>
      </w:r>
    </w:p>
    <w:p w14:paraId="736F25D5" w14:textId="77777777" w:rsidR="000B76E3" w:rsidRPr="00284D61" w:rsidRDefault="000B76E3" w:rsidP="000B76E3">
      <w:pPr>
        <w:spacing w:line="360" w:lineRule="auto"/>
        <w:jc w:val="both"/>
      </w:pPr>
      <w:r w:rsidRPr="00284D61">
        <w:t>5. Marine Science Institute, The University of Texas at Austin, Port Aransas, TX, USA</w:t>
      </w:r>
    </w:p>
    <w:p w14:paraId="0A0B52EB" w14:textId="77777777" w:rsidR="000B76E3" w:rsidRPr="00284D61" w:rsidRDefault="000B76E3" w:rsidP="000B76E3">
      <w:r w:rsidRPr="00284D61">
        <w:t xml:space="preserve">6. </w:t>
      </w:r>
      <w:r w:rsidRPr="00961C90">
        <w:rPr>
          <w:color w:val="000000"/>
        </w:rPr>
        <w:t>The Ecosystems Center, Marine Biological Laboratory, Woods Hole, Massachusetts, USA</w:t>
      </w:r>
    </w:p>
    <w:p w14:paraId="3AE57FDD" w14:textId="1167064C" w:rsidR="002C0E0D" w:rsidRDefault="002C0E0D" w:rsidP="00373B64">
      <w:pPr>
        <w:spacing w:line="360" w:lineRule="auto"/>
        <w:jc w:val="both"/>
      </w:pPr>
    </w:p>
    <w:p w14:paraId="137122D7" w14:textId="77777777" w:rsidR="000B76E3" w:rsidRDefault="000B76E3" w:rsidP="000B76E3">
      <w:pPr>
        <w:rPr>
          <w:rFonts w:ascii="Myriad Pro" w:hAnsi="Myriad Pro"/>
          <w:b/>
        </w:rPr>
      </w:pPr>
      <w:r w:rsidRPr="00CE6EAA">
        <w:rPr>
          <w:rFonts w:ascii="Myriad Pro" w:hAnsi="Myriad Pro"/>
          <w:b/>
        </w:rPr>
        <w:t>Contents of this file</w:t>
      </w:r>
      <w:r>
        <w:rPr>
          <w:rFonts w:ascii="Myriad Pro" w:hAnsi="Myriad Pro"/>
          <w:b/>
        </w:rPr>
        <w:t xml:space="preserve"> </w:t>
      </w:r>
    </w:p>
    <w:p w14:paraId="76525D08" w14:textId="77777777" w:rsidR="000B76E3" w:rsidRPr="00E40896" w:rsidRDefault="000B76E3" w:rsidP="000B76E3">
      <w:pPr>
        <w:rPr>
          <w:rFonts w:ascii="Myriad Pro" w:hAnsi="Myriad Pro"/>
        </w:rPr>
      </w:pPr>
    </w:p>
    <w:p w14:paraId="70F53A55" w14:textId="448D30F2" w:rsidR="000B76E3" w:rsidRDefault="000B76E3" w:rsidP="000B76E3">
      <w:pPr>
        <w:ind w:left="720"/>
        <w:rPr>
          <w:rFonts w:ascii="Myriad Pro" w:hAnsi="Myriad Pro"/>
          <w:sz w:val="22"/>
          <w:szCs w:val="22"/>
        </w:rPr>
      </w:pPr>
      <w:r w:rsidRPr="00CE6EAA">
        <w:rPr>
          <w:rFonts w:ascii="Myriad Pro" w:hAnsi="Myriad Pro"/>
          <w:sz w:val="22"/>
          <w:szCs w:val="22"/>
        </w:rPr>
        <w:t>Text S1 to S</w:t>
      </w:r>
      <w:r w:rsidR="002B3805">
        <w:rPr>
          <w:rFonts w:ascii="Myriad Pro" w:hAnsi="Myriad Pro"/>
          <w:sz w:val="22"/>
          <w:szCs w:val="22"/>
        </w:rPr>
        <w:t>1</w:t>
      </w:r>
      <w:r>
        <w:rPr>
          <w:rFonts w:ascii="Myriad Pro" w:hAnsi="Myriad Pro"/>
          <w:sz w:val="22"/>
          <w:szCs w:val="22"/>
        </w:rPr>
        <w:t>.3</w:t>
      </w:r>
    </w:p>
    <w:p w14:paraId="31756250" w14:textId="1729640D" w:rsidR="000B76E3" w:rsidRPr="00CE6EAA" w:rsidRDefault="000B76E3" w:rsidP="000B76E3">
      <w:pPr>
        <w:ind w:left="720"/>
        <w:rPr>
          <w:rFonts w:ascii="Myriad Pro" w:hAnsi="Myriad Pro"/>
          <w:sz w:val="22"/>
          <w:szCs w:val="22"/>
        </w:rPr>
      </w:pPr>
      <w:r>
        <w:rPr>
          <w:rFonts w:ascii="Myriad Pro" w:hAnsi="Myriad Pro"/>
          <w:sz w:val="22"/>
          <w:szCs w:val="22"/>
        </w:rPr>
        <w:t>Table S1</w:t>
      </w:r>
    </w:p>
    <w:p w14:paraId="210EA7B8" w14:textId="54713A6C" w:rsidR="000B76E3" w:rsidRDefault="000B76E3" w:rsidP="000B76E3">
      <w:pPr>
        <w:ind w:left="720"/>
        <w:rPr>
          <w:rFonts w:ascii="Myriad Pro" w:hAnsi="Myriad Pro"/>
          <w:sz w:val="22"/>
          <w:szCs w:val="22"/>
        </w:rPr>
      </w:pPr>
      <w:r w:rsidRPr="00CE6EAA">
        <w:rPr>
          <w:rFonts w:ascii="Myriad Pro" w:hAnsi="Myriad Pro"/>
          <w:sz w:val="22"/>
          <w:szCs w:val="22"/>
        </w:rPr>
        <w:t xml:space="preserve">Figures S1 to </w:t>
      </w:r>
      <w:r w:rsidR="00032508" w:rsidRPr="00CE6EAA">
        <w:rPr>
          <w:rFonts w:ascii="Myriad Pro" w:hAnsi="Myriad Pro"/>
          <w:sz w:val="22"/>
          <w:szCs w:val="22"/>
        </w:rPr>
        <w:t>S</w:t>
      </w:r>
      <w:r w:rsidR="00032508">
        <w:rPr>
          <w:rFonts w:ascii="Myriad Pro" w:hAnsi="Myriad Pro"/>
          <w:sz w:val="22"/>
          <w:szCs w:val="22"/>
        </w:rPr>
        <w:t>4</w:t>
      </w:r>
    </w:p>
    <w:p w14:paraId="4A44EED9" w14:textId="77777777" w:rsidR="000B76E3" w:rsidRDefault="000B76E3" w:rsidP="000B76E3">
      <w:pPr>
        <w:rPr>
          <w:rFonts w:ascii="Myriad Pro" w:hAnsi="Myriad Pro"/>
          <w:sz w:val="22"/>
          <w:szCs w:val="22"/>
        </w:rPr>
      </w:pPr>
    </w:p>
    <w:p w14:paraId="518BCCBA" w14:textId="77777777" w:rsidR="000B76E3" w:rsidRPr="00E7139F" w:rsidRDefault="000B76E3" w:rsidP="000B76E3">
      <w:pPr>
        <w:rPr>
          <w:rFonts w:ascii="Myriad Pro" w:hAnsi="Myriad Pro"/>
          <w:sz w:val="22"/>
          <w:szCs w:val="22"/>
        </w:rPr>
      </w:pPr>
      <w:r w:rsidRPr="00CE6EAA">
        <w:rPr>
          <w:rFonts w:ascii="Myriad Pro" w:hAnsi="Myriad Pro"/>
          <w:b/>
          <w:bCs/>
        </w:rPr>
        <w:t>Introduction</w:t>
      </w:r>
      <w:r w:rsidRPr="00CE6EAA">
        <w:rPr>
          <w:rFonts w:ascii="Myriad Pro" w:hAnsi="Myriad Pro"/>
          <w:b/>
        </w:rPr>
        <w:t xml:space="preserve"> </w:t>
      </w:r>
    </w:p>
    <w:p w14:paraId="7B39E9DD" w14:textId="77A97619" w:rsidR="000B76E3" w:rsidRPr="00E40896" w:rsidRDefault="000B76E3" w:rsidP="000B76E3">
      <w:pPr>
        <w:rPr>
          <w:rFonts w:ascii="Myriad Pro" w:hAnsi="Myriad Pro"/>
        </w:rPr>
      </w:pPr>
      <w:r>
        <w:rPr>
          <w:rFonts w:ascii="Myriad Pro" w:hAnsi="Myriad Pro"/>
          <w:sz w:val="22"/>
          <w:szCs w:val="22"/>
        </w:rPr>
        <w:t xml:space="preserve">Below is supporting information for the </w:t>
      </w:r>
      <w:r w:rsidR="000226CF">
        <w:rPr>
          <w:rFonts w:ascii="Myriad Pro" w:hAnsi="Myriad Pro"/>
          <w:sz w:val="22"/>
          <w:szCs w:val="22"/>
        </w:rPr>
        <w:t xml:space="preserve">above manuscript that details changes in Arctic River dissolved organic carbon chemistry and fluxes over time. The text </w:t>
      </w:r>
      <w:r w:rsidR="00320E6E">
        <w:rPr>
          <w:rFonts w:ascii="Myriad Pro" w:hAnsi="Myriad Pro"/>
          <w:sz w:val="22"/>
          <w:szCs w:val="22"/>
        </w:rPr>
        <w:t>provides</w:t>
      </w:r>
      <w:r w:rsidR="000226CF">
        <w:rPr>
          <w:rFonts w:ascii="Myriad Pro" w:hAnsi="Myriad Pro"/>
          <w:sz w:val="22"/>
          <w:szCs w:val="22"/>
        </w:rPr>
        <w:t xml:space="preserve"> </w:t>
      </w:r>
      <w:r w:rsidR="00320E6E">
        <w:rPr>
          <w:rFonts w:ascii="Myriad Pro" w:hAnsi="Myriad Pro"/>
          <w:sz w:val="22"/>
          <w:szCs w:val="22"/>
        </w:rPr>
        <w:t>additional</w:t>
      </w:r>
      <w:r w:rsidR="000226CF">
        <w:rPr>
          <w:rFonts w:ascii="Myriad Pro" w:hAnsi="Myriad Pro"/>
          <w:sz w:val="22"/>
          <w:szCs w:val="22"/>
        </w:rPr>
        <w:t xml:space="preserve"> detail</w:t>
      </w:r>
      <w:r w:rsidR="00320E6E">
        <w:rPr>
          <w:rFonts w:ascii="Myriad Pro" w:hAnsi="Myriad Pro"/>
          <w:sz w:val="22"/>
          <w:szCs w:val="22"/>
        </w:rPr>
        <w:t>s</w:t>
      </w:r>
      <w:r w:rsidR="000226CF">
        <w:rPr>
          <w:rFonts w:ascii="Myriad Pro" w:hAnsi="Myriad Pro"/>
          <w:sz w:val="22"/>
          <w:szCs w:val="22"/>
        </w:rPr>
        <w:t xml:space="preserve"> </w:t>
      </w:r>
      <w:r w:rsidR="00320E6E">
        <w:rPr>
          <w:rFonts w:ascii="Myriad Pro" w:hAnsi="Myriad Pro"/>
          <w:sz w:val="22"/>
          <w:szCs w:val="22"/>
        </w:rPr>
        <w:t>for</w:t>
      </w:r>
      <w:r w:rsidR="000226CF">
        <w:rPr>
          <w:rFonts w:ascii="Myriad Pro" w:hAnsi="Myriad Pro"/>
          <w:sz w:val="22"/>
          <w:szCs w:val="22"/>
        </w:rPr>
        <w:t xml:space="preserve"> some of the methods used in the derivation of dissolved organic carbon optical properties and modeling of river fluxes. There are also figures related to the methodology that shoes some statistical assessment and uncertainty of the hydrologic model predictions.</w:t>
      </w:r>
    </w:p>
    <w:p w14:paraId="154C8C2E" w14:textId="03F9A0D8" w:rsidR="002C0E0D" w:rsidRDefault="002C0E0D" w:rsidP="00373B64">
      <w:pPr>
        <w:spacing w:line="360" w:lineRule="auto"/>
        <w:jc w:val="both"/>
      </w:pPr>
    </w:p>
    <w:p w14:paraId="1A9C3685" w14:textId="75E43AB2" w:rsidR="000226CF" w:rsidRDefault="000226CF" w:rsidP="00373B64">
      <w:pPr>
        <w:spacing w:line="360" w:lineRule="auto"/>
        <w:jc w:val="both"/>
      </w:pPr>
    </w:p>
    <w:p w14:paraId="4FACA936" w14:textId="77777777" w:rsidR="000226CF" w:rsidRDefault="000226CF" w:rsidP="00373B64">
      <w:pPr>
        <w:spacing w:line="360" w:lineRule="auto"/>
        <w:jc w:val="both"/>
      </w:pPr>
    </w:p>
    <w:p w14:paraId="44C679FC" w14:textId="727649F8" w:rsidR="00373B64" w:rsidRDefault="000B76E3" w:rsidP="00373B64">
      <w:pPr>
        <w:spacing w:line="360" w:lineRule="auto"/>
        <w:jc w:val="both"/>
        <w:rPr>
          <w:b/>
          <w:bCs/>
        </w:rPr>
      </w:pPr>
      <w:r>
        <w:rPr>
          <w:b/>
          <w:bCs/>
        </w:rPr>
        <w:lastRenderedPageBreak/>
        <w:t xml:space="preserve">S1. </w:t>
      </w:r>
      <w:r w:rsidR="0020128F">
        <w:rPr>
          <w:b/>
          <w:bCs/>
        </w:rPr>
        <w:t>Methods</w:t>
      </w:r>
    </w:p>
    <w:p w14:paraId="3F3DB3F3" w14:textId="1C012C9E" w:rsidR="00E82382" w:rsidRPr="00323181" w:rsidRDefault="002B3805" w:rsidP="00373B64">
      <w:pPr>
        <w:spacing w:line="360" w:lineRule="auto"/>
        <w:jc w:val="both"/>
        <w:rPr>
          <w:b/>
          <w:bCs/>
        </w:rPr>
      </w:pPr>
      <w:r>
        <w:rPr>
          <w:b/>
          <w:bCs/>
        </w:rPr>
        <w:t xml:space="preserve">S1.1 </w:t>
      </w:r>
      <w:r w:rsidR="00E82382" w:rsidRPr="00323181">
        <w:rPr>
          <w:b/>
          <w:bCs/>
        </w:rPr>
        <w:t>Quality Control of Colored Dissolved Organic Matter Spectra</w:t>
      </w:r>
    </w:p>
    <w:p w14:paraId="5FB4FBA9" w14:textId="2BA1A153" w:rsidR="00E82382" w:rsidRPr="00F3454D" w:rsidRDefault="00EC29CD" w:rsidP="00E82382">
      <w:pPr>
        <w:spacing w:line="360" w:lineRule="auto"/>
        <w:ind w:firstLine="720"/>
        <w:jc w:val="both"/>
      </w:pPr>
      <w:r>
        <w:t>E</w:t>
      </w:r>
      <w:r w:rsidR="00E82382">
        <w:t>ach spectrum was baseline corrected by using a non-linear fitting routine to find an estimated offset of the spectra from a baseline of zero at 750 nm (</w:t>
      </w:r>
      <w:proofErr w:type="spellStart"/>
      <w:r w:rsidR="00E82382">
        <w:t>Markager</w:t>
      </w:r>
      <w:proofErr w:type="spellEnd"/>
      <w:r w:rsidR="00E82382">
        <w:t xml:space="preserve"> and Vincent 2000</w:t>
      </w:r>
      <w:r w:rsidR="00E82382" w:rsidRPr="00EA567F">
        <w:rPr>
          <w:b/>
          <w:bCs/>
        </w:rPr>
        <w:t>)</w:t>
      </w:r>
      <w:r w:rsidR="00E82382">
        <w:rPr>
          <w:b/>
          <w:bCs/>
        </w:rPr>
        <w:t>.</w:t>
      </w:r>
      <w:r w:rsidR="00E82382" w:rsidRPr="00EA567F">
        <w:rPr>
          <w:b/>
          <w:bCs/>
        </w:rPr>
        <w:t xml:space="preserve"> </w:t>
      </w:r>
      <w:r w:rsidR="00E82382">
        <w:t xml:space="preserve">Each absorbance scan (200-800 nm) was fit from 350-800 nm using </w:t>
      </w:r>
      <w:r>
        <w:t xml:space="preserve">Eq. </w:t>
      </w:r>
      <w:r w:rsidR="001F4AE1">
        <w:t>S</w:t>
      </w:r>
      <w:r>
        <w:t>1</w:t>
      </w:r>
      <w:r w:rsidR="00E82382">
        <w:t xml:space="preserve"> and the MATLAB® function </w:t>
      </w:r>
      <w:proofErr w:type="spellStart"/>
      <w:r w:rsidR="00E82382">
        <w:rPr>
          <w:i/>
          <w:iCs/>
        </w:rPr>
        <w:t>fitnlm.m</w:t>
      </w:r>
      <w:proofErr w:type="spellEnd"/>
      <w:r w:rsidR="00E82382">
        <w:t xml:space="preserve"> where spectral CDOM absorbance, abs(</w:t>
      </w:r>
      <w:r w:rsidR="00E82382">
        <w:rPr>
          <w:lang w:val="el-GR"/>
        </w:rPr>
        <w:t>λ</w:t>
      </w:r>
      <w:r w:rsidR="00E82382">
        <w:t>), is a function of wavelength</w:t>
      </w:r>
      <w:r w:rsidR="00E82382" w:rsidRPr="00892C35">
        <w:t xml:space="preserve">, </w:t>
      </w:r>
      <w:r w:rsidR="00E82382">
        <w:rPr>
          <w:lang w:val="el-GR"/>
        </w:rPr>
        <w:t>λ</w:t>
      </w:r>
      <w:r w:rsidR="00E82382" w:rsidRPr="00892C35">
        <w:t>.</w:t>
      </w:r>
      <w:r w:rsidR="00E82382">
        <w:t xml:space="preserve"> b</w:t>
      </w:r>
      <w:r w:rsidR="00E82382">
        <w:rPr>
          <w:vertAlign w:val="subscript"/>
        </w:rPr>
        <w:t>1</w:t>
      </w:r>
      <w:r w:rsidR="00E82382">
        <w:t xml:space="preserve"> is a correction factor that </w:t>
      </w:r>
      <w:r>
        <w:t>was</w:t>
      </w:r>
      <w:r w:rsidR="00E82382">
        <w:t xml:space="preserve"> added to the total absorbance spectrum, and b</w:t>
      </w:r>
      <w:r w:rsidR="00E82382">
        <w:rPr>
          <w:vertAlign w:val="subscript"/>
        </w:rPr>
        <w:t>2</w:t>
      </w:r>
      <w:r w:rsidR="00E82382">
        <w:t xml:space="preserve"> and b</w:t>
      </w:r>
      <w:r w:rsidR="00E82382">
        <w:rPr>
          <w:vertAlign w:val="subscript"/>
        </w:rPr>
        <w:t>3</w:t>
      </w:r>
      <w:r w:rsidR="00E82382">
        <w:t xml:space="preserve"> are fitting coefficients. If the model predicted vs observed absorbance coefficient of covariance (R</w:t>
      </w:r>
      <w:r w:rsidR="00E82382">
        <w:rPr>
          <w:vertAlign w:val="superscript"/>
        </w:rPr>
        <w:t>2</w:t>
      </w:r>
      <w:r w:rsidR="00E82382">
        <w:t>) was greater than 0.8 (indicating an expected exponential decay) and the absorbance at 400 nm was greater than b</w:t>
      </w:r>
      <w:r w:rsidR="00E82382">
        <w:rPr>
          <w:vertAlign w:val="subscript"/>
        </w:rPr>
        <w:t>1</w:t>
      </w:r>
      <w:r w:rsidR="00E82382">
        <w:t xml:space="preserve">, the spectra was deemed acceptable. This removed spectra with unreasonable shapes and declines before 400 nm and spectra that were particularly noisy in the region of the absorbance </w:t>
      </w:r>
      <w:r>
        <w:t xml:space="preserve">spectrum </w:t>
      </w:r>
      <w:r w:rsidR="00E82382">
        <w:t xml:space="preserve">that should be relatively smooth.  The total reduction in suitable spectra were 1, 0, 10, 1, 0, and 8 for the Kolyma, Lena, Mackenzie, Ob’, Yenisey, and Yukon </w:t>
      </w:r>
      <w:r>
        <w:t>r</w:t>
      </w:r>
      <w:r w:rsidR="00E82382">
        <w:t xml:space="preserve">ivers. This filtering process ensured that high quality spectra were used in the subsequent mathematical derivation where spectral quality is of substantial importance to limit measurement error propagation into the derived spectra and CDOC concentration. Last, the spectra were reduced to 270-700 nm, absorbance was converted to </w:t>
      </w:r>
      <w:proofErr w:type="spellStart"/>
      <w:r w:rsidR="00E82382">
        <w:t>Naperian</w:t>
      </w:r>
      <w:proofErr w:type="spellEnd"/>
      <w:r w:rsidR="00E82382">
        <w:t xml:space="preserve"> absorption (m</w:t>
      </w:r>
      <w:r w:rsidR="00E82382">
        <w:rPr>
          <w:vertAlign w:val="superscript"/>
        </w:rPr>
        <w:t>-1</w:t>
      </w:r>
      <w:r w:rsidR="00E82382">
        <w:t>), and spectral slopes for 275-295 and 350-400 nm were calculated as previously reported (Helms et al. 2008; Mannino et al. 2014)</w:t>
      </w:r>
    </w:p>
    <w:p w14:paraId="3D2765E6" w14:textId="77777777" w:rsidR="00E82382" w:rsidRPr="00892C35" w:rsidRDefault="00E82382" w:rsidP="00E82382">
      <w:pPr>
        <w:spacing w:line="360" w:lineRule="auto"/>
        <w:jc w:val="both"/>
      </w:pPr>
    </w:p>
    <w:p w14:paraId="2B7D0ACA" w14:textId="2C841B55" w:rsidR="00E82382" w:rsidRPr="00892C35" w:rsidRDefault="00E82382" w:rsidP="00E82382">
      <w:pPr>
        <w:spacing w:line="360" w:lineRule="auto"/>
        <w:jc w:val="both"/>
        <w:rPr>
          <w:iCs/>
          <w:sz w:val="28"/>
          <w:szCs w:val="28"/>
        </w:rPr>
      </w:pPr>
      <m:oMath>
        <m:r>
          <w:rPr>
            <w:rFonts w:ascii="Cambria Math" w:hAnsi="Cambria Math"/>
            <w:sz w:val="28"/>
            <w:szCs w:val="28"/>
          </w:rPr>
          <m:t>abs</m:t>
        </m:r>
        <m:d>
          <m:dPr>
            <m:ctrlPr>
              <w:rPr>
                <w:rFonts w:ascii="Cambria Math" w:hAnsi="Cambria Math"/>
                <w:i/>
                <w:sz w:val="28"/>
                <w:szCs w:val="28"/>
              </w:rPr>
            </m:ctrlPr>
          </m:dPr>
          <m:e>
            <m:r>
              <w:rPr>
                <w:rFonts w:ascii="Cambria Math" w:hAnsi="Cambria Math"/>
                <w:sz w:val="28"/>
                <w:szCs w:val="28"/>
                <w:lang w:val="el-GR"/>
              </w:rPr>
              <m:t>λ</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sSup>
          <m:sSupPr>
            <m:ctrlPr>
              <w:rPr>
                <w:rFonts w:ascii="Cambria Math" w:hAnsi="Cambria Math"/>
                <w:sz w:val="28"/>
                <w:szCs w:val="28"/>
              </w:rPr>
            </m:ctrlPr>
          </m:sSupPr>
          <m:e>
            <m:r>
              <w:rPr>
                <w:rFonts w:ascii="Cambria Math" w:hAnsi="Cambria Math"/>
                <w:sz w:val="28"/>
                <w:szCs w:val="28"/>
              </w:rPr>
              <m:t>e</m:t>
            </m:r>
          </m:e>
          <m:sup>
            <m:r>
              <m:rPr>
                <m:sty m:val="p"/>
              </m:rPr>
              <w:rPr>
                <w:rFonts w:ascii="Cambria Math" w:hAnsi="Cambria Math"/>
                <w:sz w:val="28"/>
                <w:szCs w:val="28"/>
              </w:rPr>
              <m:t>[</m:t>
            </m:r>
            <m:r>
              <w:rPr>
                <w:rFonts w:ascii="Cambria Math" w:hAnsi="Cambria Math"/>
                <w:sz w:val="28"/>
                <w:szCs w:val="28"/>
                <w:lang w:val="el-GR"/>
              </w:rPr>
              <m:t>λ</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3</m:t>
                    </m:r>
                  </m:sub>
                </m:sSub>
              </m:e>
            </m:d>
            <m:r>
              <w:rPr>
                <w:rFonts w:ascii="Cambria Math" w:hAnsi="Cambria Math"/>
                <w:sz w:val="28"/>
                <w:szCs w:val="28"/>
              </w:rPr>
              <m:t>]</m:t>
            </m:r>
          </m:sup>
        </m:sSup>
        <m:r>
          <m:rPr>
            <m:sty m:val="p"/>
          </m:rPr>
          <w:rPr>
            <w:rFonts w:ascii="Cambria Math" w:hAnsi="Cambria Math"/>
            <w:sz w:val="28"/>
            <w:szCs w:val="28"/>
          </w:rPr>
          <m:t>⁡</m:t>
        </m:r>
      </m:oMath>
      <w:r w:rsidRPr="00892C35">
        <w:rPr>
          <w:rFonts w:eastAsiaTheme="minorEastAsia"/>
          <w:i/>
          <w:sz w:val="28"/>
          <w:szCs w:val="28"/>
        </w:rPr>
        <w:tab/>
      </w:r>
      <w:r>
        <w:rPr>
          <w:rFonts w:eastAsiaTheme="minorEastAsia"/>
          <w:i/>
          <w:sz w:val="28"/>
          <w:szCs w:val="28"/>
        </w:rPr>
        <w:tab/>
      </w:r>
      <w:r>
        <w:rPr>
          <w:rFonts w:eastAsiaTheme="minorEastAsia"/>
          <w:i/>
          <w:sz w:val="28"/>
          <w:szCs w:val="28"/>
        </w:rPr>
        <w:tab/>
      </w:r>
      <w:r>
        <w:rPr>
          <w:rFonts w:eastAsiaTheme="minorEastAsia"/>
          <w:i/>
          <w:sz w:val="28"/>
          <w:szCs w:val="28"/>
        </w:rPr>
        <w:tab/>
      </w:r>
      <w:r>
        <w:rPr>
          <w:rFonts w:eastAsiaTheme="minorEastAsia"/>
          <w:i/>
          <w:sz w:val="28"/>
          <w:szCs w:val="28"/>
        </w:rPr>
        <w:tab/>
      </w:r>
      <w:r>
        <w:rPr>
          <w:rFonts w:eastAsiaTheme="minorEastAsia"/>
          <w:i/>
          <w:sz w:val="28"/>
          <w:szCs w:val="28"/>
        </w:rPr>
        <w:tab/>
      </w:r>
      <w:r>
        <w:rPr>
          <w:rFonts w:eastAsiaTheme="minorEastAsia"/>
          <w:i/>
          <w:sz w:val="28"/>
          <w:szCs w:val="28"/>
        </w:rPr>
        <w:tab/>
      </w:r>
      <w:r>
        <w:rPr>
          <w:rFonts w:eastAsiaTheme="minorEastAsia"/>
          <w:iCs/>
          <w:sz w:val="28"/>
          <w:szCs w:val="28"/>
        </w:rPr>
        <w:t xml:space="preserve">     </w:t>
      </w:r>
      <w:r>
        <w:rPr>
          <w:rFonts w:eastAsiaTheme="minorEastAsia"/>
          <w:iCs/>
          <w:sz w:val="28"/>
          <w:szCs w:val="28"/>
        </w:rPr>
        <w:tab/>
        <w:t>(</w:t>
      </w:r>
      <w:r w:rsidR="00D4587B">
        <w:rPr>
          <w:rFonts w:eastAsiaTheme="minorEastAsia"/>
          <w:iCs/>
          <w:sz w:val="28"/>
          <w:szCs w:val="28"/>
        </w:rPr>
        <w:t>S</w:t>
      </w:r>
      <w:r>
        <w:rPr>
          <w:rFonts w:eastAsiaTheme="minorEastAsia"/>
          <w:iCs/>
          <w:sz w:val="28"/>
          <w:szCs w:val="28"/>
        </w:rPr>
        <w:t>1)</w:t>
      </w:r>
    </w:p>
    <w:p w14:paraId="59A8504E" w14:textId="77777777" w:rsidR="00E82382" w:rsidRPr="00FD4E18" w:rsidRDefault="00E82382" w:rsidP="00373B64">
      <w:pPr>
        <w:spacing w:line="360" w:lineRule="auto"/>
        <w:jc w:val="both"/>
        <w:rPr>
          <w:i/>
          <w:iCs/>
        </w:rPr>
      </w:pPr>
    </w:p>
    <w:p w14:paraId="519727D2" w14:textId="72E341A9" w:rsidR="0020128F" w:rsidRPr="00323181" w:rsidRDefault="000B76E3" w:rsidP="0020128F">
      <w:pPr>
        <w:spacing w:line="360" w:lineRule="auto"/>
        <w:jc w:val="both"/>
        <w:rPr>
          <w:b/>
          <w:bCs/>
        </w:rPr>
      </w:pPr>
      <w:r>
        <w:rPr>
          <w:b/>
          <w:bCs/>
        </w:rPr>
        <w:t>S</w:t>
      </w:r>
      <w:r w:rsidR="002B3805">
        <w:rPr>
          <w:b/>
          <w:bCs/>
        </w:rPr>
        <w:t>1.2</w:t>
      </w:r>
      <w:r>
        <w:rPr>
          <w:b/>
          <w:bCs/>
        </w:rPr>
        <w:t xml:space="preserve"> </w:t>
      </w:r>
      <w:r w:rsidR="0020128F" w:rsidRPr="00323181">
        <w:rPr>
          <w:b/>
          <w:bCs/>
        </w:rPr>
        <w:t>Statistical Analysis and Trend Estimates</w:t>
      </w:r>
    </w:p>
    <w:p w14:paraId="2EDF8958" w14:textId="7FA341CF" w:rsidR="0020128F" w:rsidRDefault="0020128F" w:rsidP="0020128F">
      <w:pPr>
        <w:spacing w:line="360" w:lineRule="auto"/>
        <w:jc w:val="both"/>
      </w:pPr>
      <w:r>
        <w:tab/>
        <w:t>The iterative least squares regression function to estimate individual CDOC concentrations for each measurement were assessed by using the sum of squared residuals (SSR) for each predicted CDOM(</w:t>
      </w:r>
      <w:r>
        <w:rPr>
          <w:lang w:val="el-GR"/>
        </w:rPr>
        <w:t>λ</w:t>
      </w:r>
      <w:r>
        <w:t>) spectra that CDOC concentration were being fit to according to Eq. 4. LOADEST model predicted concentration and CDOM metrics were assessed for model appropriateness and bias using coefficient of covariance (R</w:t>
      </w:r>
      <w:r>
        <w:rPr>
          <w:vertAlign w:val="superscript"/>
        </w:rPr>
        <w:t>2</w:t>
      </w:r>
      <w:r>
        <w:t>) and the statistical distribution of the model residuals (bias). To estimate trends in seasonal and annual riverine patterns and combined trends for all six rivers, Mann-Kendall analysis and Theil-Sen’s slope trend analytical regression techniques were utilized (</w:t>
      </w:r>
      <w:proofErr w:type="spellStart"/>
      <w:r>
        <w:t>Helsel</w:t>
      </w:r>
      <w:proofErr w:type="spellEnd"/>
      <w:r>
        <w:t xml:space="preserve"> et al., 20</w:t>
      </w:r>
      <w:r w:rsidR="009628CC">
        <w:t>20</w:t>
      </w:r>
      <w:r>
        <w:t xml:space="preserve">). Theil-Sen’s slope offers a more robust linear fitting </w:t>
      </w:r>
      <w:r>
        <w:lastRenderedPageBreak/>
        <w:t>technique relative to OLS when data residuals are not normally distributed, and is commonly used in riverine trend estimates (</w:t>
      </w:r>
      <w:proofErr w:type="gramStart"/>
      <w:r>
        <w:t>e.g.</w:t>
      </w:r>
      <w:proofErr w:type="gramEnd"/>
      <w:r>
        <w:t xml:space="preserve"> McClelland et al., 2006). These non-parametric statistics were utilized using the MATLAB® open-source function </w:t>
      </w:r>
      <w:proofErr w:type="spellStart"/>
      <w:r>
        <w:rPr>
          <w:i/>
          <w:iCs/>
        </w:rPr>
        <w:t>ktaub.m</w:t>
      </w:r>
      <w:proofErr w:type="spellEnd"/>
      <w:r>
        <w:rPr>
          <w:i/>
          <w:iCs/>
        </w:rPr>
        <w:t xml:space="preserve"> </w:t>
      </w:r>
      <w:r>
        <w:t>(</w:t>
      </w:r>
      <w:proofErr w:type="spellStart"/>
      <w:r>
        <w:t>Burkey</w:t>
      </w:r>
      <w:proofErr w:type="spellEnd"/>
      <w:r>
        <w:t xml:space="preserve"> 2006) to estimate long-term trends for each river and the total combined from the six rivers. Seasonal and annual </w:t>
      </w:r>
      <w:r w:rsidR="00C40256">
        <w:t xml:space="preserve">mass </w:t>
      </w:r>
      <w:r>
        <w:t xml:space="preserve">loads and concentrations were calculated by summing the </w:t>
      </w:r>
      <w:r w:rsidR="007E2B5E">
        <w:t xml:space="preserve">total annual mass </w:t>
      </w:r>
      <w:r>
        <w:t xml:space="preserve">and averaging the concentration for each time period for each year, giving long-term time series estimates of mass flux and concentration. </w:t>
      </w:r>
    </w:p>
    <w:p w14:paraId="19E52230" w14:textId="06579085" w:rsidR="00F50EF6" w:rsidRDefault="00F50EF6" w:rsidP="0020128F">
      <w:pPr>
        <w:spacing w:line="360" w:lineRule="auto"/>
        <w:jc w:val="both"/>
      </w:pPr>
    </w:p>
    <w:p w14:paraId="685003C6" w14:textId="4F1227C1" w:rsidR="00F50EF6" w:rsidRPr="002041A0" w:rsidRDefault="000B76E3" w:rsidP="0020128F">
      <w:pPr>
        <w:spacing w:line="360" w:lineRule="auto"/>
        <w:jc w:val="both"/>
        <w:rPr>
          <w:b/>
          <w:bCs/>
        </w:rPr>
      </w:pPr>
      <w:r>
        <w:rPr>
          <w:b/>
          <w:bCs/>
        </w:rPr>
        <w:t>S</w:t>
      </w:r>
      <w:r w:rsidR="002B3805">
        <w:rPr>
          <w:b/>
          <w:bCs/>
        </w:rPr>
        <w:t>1.</w:t>
      </w:r>
      <w:r>
        <w:rPr>
          <w:b/>
          <w:bCs/>
        </w:rPr>
        <w:t xml:space="preserve">3 </w:t>
      </w:r>
      <w:r w:rsidR="00F50EF6" w:rsidRPr="002041A0">
        <w:rPr>
          <w:b/>
          <w:bCs/>
        </w:rPr>
        <w:t>LOADEST Model Setup</w:t>
      </w:r>
    </w:p>
    <w:p w14:paraId="54DE62DA" w14:textId="7F118510" w:rsidR="00F50EF6" w:rsidRPr="00FC22EC" w:rsidRDefault="00F50EF6" w:rsidP="002041A0">
      <w:pPr>
        <w:spacing w:line="360" w:lineRule="auto"/>
        <w:ind w:firstLine="720"/>
        <w:jc w:val="both"/>
        <w:rPr>
          <w:b/>
          <w:bCs/>
        </w:rPr>
      </w:pPr>
      <w:r>
        <w:t>LOADEST is a Fortran program designed to estimate riverine material loads (</w:t>
      </w:r>
      <w:proofErr w:type="gramStart"/>
      <w:r>
        <w:t>i.e.</w:t>
      </w:r>
      <w:proofErr w:type="gramEnd"/>
      <w:r>
        <w:t xml:space="preserve"> mass export) using observations of river </w:t>
      </w:r>
      <w:r w:rsidRPr="00446B7D">
        <w:rPr>
          <w:i/>
          <w:iCs/>
        </w:rPr>
        <w:t>Q</w:t>
      </w:r>
      <w:r>
        <w:t xml:space="preserve"> and concentration (</w:t>
      </w:r>
      <w:proofErr w:type="spellStart"/>
      <w:r>
        <w:t>Runkel</w:t>
      </w:r>
      <w:proofErr w:type="spellEnd"/>
      <w:r>
        <w:t xml:space="preserve"> et al. 2004). LOADEST predicts mass flux as a function of </w:t>
      </w:r>
      <w:r w:rsidRPr="00446B7D">
        <w:rPr>
          <w:i/>
          <w:iCs/>
        </w:rPr>
        <w:t>Q</w:t>
      </w:r>
      <w:r>
        <w:t xml:space="preserve"> by centering time dependent observations of river flow and concentration and linear combination of functions to estimate river export (and subsequently concentration) at any measured </w:t>
      </w:r>
      <w:r w:rsidRPr="00446B7D">
        <w:rPr>
          <w:i/>
          <w:iCs/>
        </w:rPr>
        <w:t>Q</w:t>
      </w:r>
      <w:r>
        <w:t>. Adjusted maximum likelihood estimates (AMLE) were used for each predicted load because overwhelmingly model residuals were found to be normally distributed (</w:t>
      </w:r>
      <w:r w:rsidRPr="0099372F">
        <w:t>SI Fig. S2).</w:t>
      </w:r>
      <w:r w:rsidRPr="00CF49F5">
        <w:t xml:space="preserve"> </w:t>
      </w:r>
      <w:r>
        <w:t>Model Six (Eq. S2) was used as in previous studies (</w:t>
      </w:r>
      <w:proofErr w:type="gramStart"/>
      <w:r>
        <w:t>e.g.</w:t>
      </w:r>
      <w:proofErr w:type="gramEnd"/>
      <w:r>
        <w:t xml:space="preserve"> McClelland et al. 2016) to avoid spurious extrapolations due to inter-annual trends in </w:t>
      </w:r>
      <w:r w:rsidRPr="00446B7D">
        <w:rPr>
          <w:i/>
          <w:iCs/>
        </w:rPr>
        <w:t>Q</w:t>
      </w:r>
      <w:r>
        <w:t xml:space="preserve"> while accounting for seasonal variance. Therefore, any changes in load and concentration over time are due to changing seasonality, and not long-term extrapolated trends. Daily load, </w:t>
      </w:r>
      <w:r w:rsidRPr="00446B7D">
        <w:rPr>
          <w:i/>
          <w:iCs/>
        </w:rPr>
        <w:t>L</w:t>
      </w:r>
      <w:r>
        <w:t xml:space="preserve"> (kg d</w:t>
      </w:r>
      <w:r>
        <w:rPr>
          <w:vertAlign w:val="superscript"/>
        </w:rPr>
        <w:t>-1</w:t>
      </w:r>
      <w:r>
        <w:t xml:space="preserve">), was estimated and daily concentration was derived as </w:t>
      </w:r>
      <w:r w:rsidRPr="00446B7D">
        <w:rPr>
          <w:i/>
          <w:iCs/>
        </w:rPr>
        <w:t xml:space="preserve">L </w:t>
      </w:r>
      <w:r>
        <w:t>divided by the total daily river flow volume, and a</w:t>
      </w:r>
      <w:r>
        <w:softHyphen/>
      </w:r>
      <w:r>
        <w:rPr>
          <w:vertAlign w:val="subscript"/>
        </w:rPr>
        <w:t>1-4</w:t>
      </w:r>
      <w:r>
        <w:t xml:space="preserve"> are fitting coefficients while </w:t>
      </w:r>
      <w:r w:rsidRPr="00446B7D">
        <w:rPr>
          <w:i/>
          <w:iCs/>
        </w:rPr>
        <w:t>Q</w:t>
      </w:r>
      <w:r>
        <w:t xml:space="preserve"> is the centered river </w:t>
      </w:r>
      <w:r w:rsidRPr="00446B7D">
        <w:rPr>
          <w:i/>
          <w:iCs/>
        </w:rPr>
        <w:t>Q</w:t>
      </w:r>
      <w:r>
        <w:t xml:space="preserve"> and </w:t>
      </w:r>
      <w:proofErr w:type="spellStart"/>
      <w:r>
        <w:rPr>
          <w:i/>
          <w:iCs/>
        </w:rPr>
        <w:t>dtime</w:t>
      </w:r>
      <w:proofErr w:type="spellEnd"/>
      <w:r>
        <w:t xml:space="preserve"> is the centered decimal time. </w:t>
      </w:r>
      <w:r>
        <w:rPr>
          <w:i/>
          <w:iCs/>
        </w:rPr>
        <w:t>a</w:t>
      </w:r>
      <w:r>
        <w:rPr>
          <w:i/>
          <w:iCs/>
          <w:vertAlign w:val="subscript"/>
        </w:rPr>
        <w:t>300</w:t>
      </w:r>
      <w:r>
        <w:t xml:space="preserve">, </w:t>
      </w:r>
      <w:r w:rsidRPr="00D84845">
        <w:rPr>
          <w:i/>
          <w:iCs/>
        </w:rPr>
        <w:t>S</w:t>
      </w:r>
      <w:r w:rsidRPr="00D84845">
        <w:rPr>
          <w:vertAlign w:val="subscript"/>
        </w:rPr>
        <w:t>275-295</w:t>
      </w:r>
      <w:r>
        <w:t xml:space="preserve">, and </w:t>
      </w:r>
      <w:r w:rsidRPr="00D84845">
        <w:rPr>
          <w:i/>
          <w:iCs/>
        </w:rPr>
        <w:t>S</w:t>
      </w:r>
      <w:r w:rsidRPr="00D84845">
        <w:rPr>
          <w:vertAlign w:val="subscript"/>
        </w:rPr>
        <w:t>350-400</w:t>
      </w:r>
      <w:r>
        <w:t xml:space="preserve"> were treated as a concentration for model input and the output units were adjusted to match the input by dividing the final value by 1000 yielding original units.</w:t>
      </w:r>
    </w:p>
    <w:p w14:paraId="72832939" w14:textId="77777777" w:rsidR="00F50EF6" w:rsidRDefault="00F50EF6" w:rsidP="00F50EF6">
      <w:pPr>
        <w:spacing w:line="360" w:lineRule="auto"/>
        <w:jc w:val="both"/>
      </w:pPr>
    </w:p>
    <w:p w14:paraId="2CD15C5B" w14:textId="1C39E6A6" w:rsidR="00F50EF6" w:rsidRDefault="00F50EF6" w:rsidP="00F50EF6">
      <w:pPr>
        <w:spacing w:line="360" w:lineRule="auto"/>
        <w:jc w:val="both"/>
        <w:rPr>
          <w:rFonts w:eastAsiaTheme="minorEastAsia"/>
          <w:iCs/>
        </w:rPr>
      </w:pP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Q</m:t>
                </m:r>
              </m:e>
            </m:d>
          </m:e>
        </m:fun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2</m:t>
                    </m:r>
                  </m:sup>
                </m:sSup>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2π dtime</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m:rPr>
            <m:sty m:val="p"/>
          </m:rPr>
          <w:rPr>
            <w:rFonts w:ascii="Cambria Math" w:eastAsiaTheme="minorEastAsia" w:hAnsi="Cambria Math"/>
          </w:rPr>
          <m:t>cos⁡</m:t>
        </m:r>
        <m:r>
          <w:rPr>
            <w:rFonts w:ascii="Cambria Math" w:eastAsiaTheme="minorEastAsia" w:hAnsi="Cambria Math"/>
          </w:rPr>
          <m:t>(2</m:t>
        </m:r>
        <m:r>
          <w:rPr>
            <w:rFonts w:ascii="Cambria Math" w:eastAsiaTheme="minorEastAsia" w:hAnsi="Cambria Math"/>
            <w:lang w:val="el-GR"/>
          </w:rPr>
          <m:t>π</m:t>
        </m:r>
        <m:r>
          <w:rPr>
            <w:rFonts w:ascii="Cambria Math" w:eastAsiaTheme="minorEastAsia" w:hAnsi="Cambria Math"/>
          </w:rPr>
          <m:t xml:space="preserve"> dtime)</m:t>
        </m:r>
      </m:oMath>
      <w:r>
        <w:rPr>
          <w:rFonts w:eastAsiaTheme="minorEastAsia"/>
          <w:i/>
        </w:rPr>
        <w:tab/>
        <w:t xml:space="preserve">   </w:t>
      </w:r>
      <w:r>
        <w:rPr>
          <w:rFonts w:eastAsiaTheme="minorEastAsia"/>
          <w:iCs/>
        </w:rPr>
        <w:t xml:space="preserve">              (S2)</w:t>
      </w:r>
    </w:p>
    <w:p w14:paraId="36AF4DA4" w14:textId="77777777" w:rsidR="00F50EF6" w:rsidRPr="003C0D47" w:rsidRDefault="00F50EF6" w:rsidP="0020128F">
      <w:pPr>
        <w:spacing w:line="360" w:lineRule="auto"/>
        <w:jc w:val="both"/>
      </w:pPr>
    </w:p>
    <w:p w14:paraId="67773446" w14:textId="36DFF5AD" w:rsidR="00373B64" w:rsidRDefault="00373B64"/>
    <w:p w14:paraId="2632D7E0" w14:textId="28E0BE7A" w:rsidR="00373B64" w:rsidRPr="0020128F" w:rsidRDefault="00373B64" w:rsidP="00373B64">
      <w:r w:rsidRPr="0020128F">
        <w:rPr>
          <w:b/>
          <w:bCs/>
        </w:rPr>
        <w:t xml:space="preserve">Supporting Information Table </w:t>
      </w:r>
      <w:r w:rsidR="00320E6E">
        <w:rPr>
          <w:b/>
          <w:bCs/>
        </w:rPr>
        <w:t>S</w:t>
      </w:r>
      <w:r w:rsidRPr="0020128F">
        <w:rPr>
          <w:b/>
          <w:bCs/>
        </w:rPr>
        <w:t>1</w:t>
      </w:r>
      <w:r w:rsidRPr="0020128F">
        <w:t xml:space="preserve"> River dissolved organic carbon (DOC) and non-colored and initial colored DOC</w:t>
      </w:r>
      <w:r w:rsidR="006F658E">
        <w:t xml:space="preserve"> </w:t>
      </w:r>
      <w:r w:rsidRPr="0020128F">
        <w:t xml:space="preserve">(NCDOC and </w:t>
      </w:r>
      <w:proofErr w:type="spellStart"/>
      <w:r w:rsidRPr="0020128F">
        <w:t>iCDOC</w:t>
      </w:r>
      <w:proofErr w:type="spellEnd"/>
      <w:r w:rsidRPr="0020128F">
        <w:t xml:space="preserve">) characteristics from the set of </w:t>
      </w:r>
      <w:proofErr w:type="spellStart"/>
      <w:r w:rsidRPr="0020128F">
        <w:t>ArcticGRO</w:t>
      </w:r>
      <w:proofErr w:type="spellEnd"/>
      <w:r w:rsidRPr="0020128F">
        <w:t xml:space="preserve"> measurements from 2009-2019 where both DOC and CDOM were coincidentally measured. NCDOC is the intercept of the regression of measured DOC concentration as a function of CDOM absorption at 300 nm (a300) and </w:t>
      </w:r>
      <w:proofErr w:type="spellStart"/>
      <w:r w:rsidRPr="0020128F">
        <w:t>iCDOC</w:t>
      </w:r>
      <w:proofErr w:type="spellEnd"/>
      <w:r w:rsidRPr="0020128F">
        <w:t xml:space="preserve"> was the initial CDOC concentration taken as the difference between the DOC measurements NCDOC. </w:t>
      </w:r>
      <w:r w:rsidRPr="0020128F">
        <w:rPr>
          <w:lang w:val="el-GR"/>
        </w:rPr>
        <w:t>σ</w:t>
      </w:r>
      <w:r w:rsidRPr="0020128F">
        <w:t xml:space="preserve"> represents the standard deviation, CI </w:t>
      </w:r>
      <w:r w:rsidRPr="0020128F">
        <w:lastRenderedPageBreak/>
        <w:t>represents the 95% confidence intervals, R</w:t>
      </w:r>
      <w:r w:rsidRPr="0020128F">
        <w:rPr>
          <w:vertAlign w:val="superscript"/>
        </w:rPr>
        <w:t>2</w:t>
      </w:r>
      <w:r w:rsidRPr="0020128F">
        <w:t xml:space="preserve"> represents the coefficient of </w:t>
      </w:r>
      <w:r w:rsidR="00E85844">
        <w:t>determination</w:t>
      </w:r>
      <w:r w:rsidRPr="0020128F">
        <w:t>, and S</w:t>
      </w:r>
      <w:r w:rsidRPr="0020128F">
        <w:rPr>
          <w:vertAlign w:val="subscript"/>
        </w:rPr>
        <w:t>R</w:t>
      </w:r>
      <w:r w:rsidRPr="0020128F">
        <w:t xml:space="preserve"> represents the spectral slope ratio (Helms et al. 2008). Associated plots can be found in Fig. 2.</w:t>
      </w:r>
    </w:p>
    <w:p w14:paraId="4B06AE92" w14:textId="77777777" w:rsidR="001A1F7F" w:rsidRPr="001E4A25" w:rsidRDefault="001A1F7F" w:rsidP="00373B64">
      <w:pPr>
        <w:rPr>
          <w:rFonts w:ascii="Arial" w:hAnsi="Arial" w:cs="Arial"/>
          <w:sz w:val="20"/>
          <w:szCs w:val="20"/>
        </w:rPr>
      </w:pPr>
    </w:p>
    <w:tbl>
      <w:tblPr>
        <w:tblStyle w:val="TableGrid"/>
        <w:tblW w:w="9556" w:type="dxa"/>
        <w:tblLayout w:type="fixed"/>
        <w:tblLook w:val="04A0" w:firstRow="1" w:lastRow="0" w:firstColumn="1" w:lastColumn="0" w:noHBand="0" w:noVBand="1"/>
      </w:tblPr>
      <w:tblGrid>
        <w:gridCol w:w="985"/>
        <w:gridCol w:w="1329"/>
        <w:gridCol w:w="1551"/>
        <w:gridCol w:w="1551"/>
        <w:gridCol w:w="1710"/>
        <w:gridCol w:w="1170"/>
        <w:gridCol w:w="1260"/>
      </w:tblGrid>
      <w:tr w:rsidR="00BD03F3" w:rsidRPr="0045191A" w14:paraId="6C6BD020" w14:textId="77777777" w:rsidTr="005E24AD">
        <w:trPr>
          <w:trHeight w:val="593"/>
        </w:trPr>
        <w:tc>
          <w:tcPr>
            <w:tcW w:w="985" w:type="dxa"/>
          </w:tcPr>
          <w:p w14:paraId="07906FE4" w14:textId="77777777" w:rsidR="00BD03F3" w:rsidRPr="0045191A" w:rsidRDefault="00BD03F3" w:rsidP="00BD03F3">
            <w:pPr>
              <w:jc w:val="center"/>
              <w:rPr>
                <w:rFonts w:ascii="Arial" w:hAnsi="Arial" w:cs="Arial"/>
                <w:sz w:val="20"/>
                <w:szCs w:val="20"/>
              </w:rPr>
            </w:pPr>
          </w:p>
        </w:tc>
        <w:tc>
          <w:tcPr>
            <w:tcW w:w="1329" w:type="dxa"/>
          </w:tcPr>
          <w:p w14:paraId="4B212431" w14:textId="77777777" w:rsidR="00BD03F3" w:rsidRPr="0014337E" w:rsidRDefault="00BD03F3" w:rsidP="00BD03F3">
            <w:pPr>
              <w:jc w:val="center"/>
              <w:rPr>
                <w:rFonts w:ascii="Arial" w:hAnsi="Arial" w:cs="Arial"/>
                <w:b/>
                <w:bCs/>
                <w:sz w:val="20"/>
                <w:szCs w:val="20"/>
              </w:rPr>
            </w:pPr>
            <w:r w:rsidRPr="007D6603">
              <w:rPr>
                <w:rFonts w:ascii="Arial" w:hAnsi="Arial" w:cs="Arial"/>
                <w:b/>
                <w:bCs/>
                <w:sz w:val="20"/>
                <w:szCs w:val="20"/>
              </w:rPr>
              <w:t>DOC (g C m</w:t>
            </w:r>
            <w:r w:rsidRPr="007D6603">
              <w:rPr>
                <w:rFonts w:ascii="Arial" w:hAnsi="Arial" w:cs="Arial"/>
                <w:b/>
                <w:bCs/>
                <w:sz w:val="20"/>
                <w:szCs w:val="20"/>
                <w:vertAlign w:val="superscript"/>
              </w:rPr>
              <w:t>-3</w:t>
            </w:r>
            <w:r w:rsidRPr="007D6603">
              <w:rPr>
                <w:rFonts w:ascii="Arial" w:hAnsi="Arial" w:cs="Arial"/>
                <w:b/>
                <w:bCs/>
                <w:sz w:val="20"/>
                <w:szCs w:val="20"/>
              </w:rPr>
              <w:t xml:space="preserve">) ± </w:t>
            </w:r>
            <w:r w:rsidRPr="007D6603">
              <w:rPr>
                <w:rFonts w:ascii="Arial" w:hAnsi="Arial" w:cs="Arial"/>
                <w:b/>
                <w:bCs/>
                <w:sz w:val="20"/>
                <w:szCs w:val="20"/>
                <w:lang w:val="el-GR"/>
              </w:rPr>
              <w:t>σ</w:t>
            </w:r>
          </w:p>
          <w:p w14:paraId="517645A4" w14:textId="77777777"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Winter</w:t>
            </w:r>
          </w:p>
          <w:p w14:paraId="415A7640" w14:textId="77777777"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Spring</w:t>
            </w:r>
          </w:p>
          <w:p w14:paraId="46774EA4" w14:textId="77777777"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Summer</w:t>
            </w:r>
          </w:p>
          <w:p w14:paraId="6A10B7CD" w14:textId="69880999" w:rsidR="00BD03F3" w:rsidRPr="007D6603" w:rsidRDefault="006F658E" w:rsidP="00BD03F3">
            <w:pPr>
              <w:jc w:val="center"/>
              <w:rPr>
                <w:rFonts w:ascii="Arial" w:hAnsi="Arial" w:cs="Arial"/>
                <w:b/>
                <w:bCs/>
                <w:sz w:val="20"/>
                <w:szCs w:val="20"/>
              </w:rPr>
            </w:pPr>
            <w:r>
              <w:rPr>
                <w:rFonts w:ascii="Arial" w:hAnsi="Arial" w:cs="Arial"/>
                <w:b/>
                <w:bCs/>
                <w:sz w:val="20"/>
                <w:szCs w:val="20"/>
              </w:rPr>
              <w:t>All</w:t>
            </w:r>
          </w:p>
        </w:tc>
        <w:tc>
          <w:tcPr>
            <w:tcW w:w="1551" w:type="dxa"/>
          </w:tcPr>
          <w:p w14:paraId="28F4A39F" w14:textId="3EBDD8C0" w:rsidR="00BD03F3" w:rsidRPr="007D6603" w:rsidRDefault="00BD03F3" w:rsidP="00BD03F3">
            <w:pPr>
              <w:jc w:val="center"/>
              <w:rPr>
                <w:rFonts w:ascii="Arial" w:hAnsi="Arial" w:cs="Arial"/>
                <w:b/>
                <w:bCs/>
                <w:sz w:val="20"/>
                <w:szCs w:val="20"/>
              </w:rPr>
            </w:pPr>
            <w:proofErr w:type="gramStart"/>
            <w:r w:rsidRPr="007D6603">
              <w:rPr>
                <w:rFonts w:ascii="Arial" w:hAnsi="Arial" w:cs="Arial"/>
                <w:b/>
                <w:bCs/>
                <w:sz w:val="20"/>
                <w:szCs w:val="20"/>
              </w:rPr>
              <w:t>DOC:a</w:t>
            </w:r>
            <w:proofErr w:type="gramEnd"/>
            <w:r w:rsidRPr="007D6603">
              <w:rPr>
                <w:rFonts w:ascii="Arial" w:hAnsi="Arial" w:cs="Arial"/>
                <w:b/>
                <w:bCs/>
                <w:sz w:val="20"/>
                <w:szCs w:val="20"/>
              </w:rPr>
              <w:t>300 Slope (g C m</w:t>
            </w:r>
            <w:r w:rsidRPr="007D6603">
              <w:rPr>
                <w:rFonts w:ascii="Arial" w:hAnsi="Arial" w:cs="Arial"/>
                <w:b/>
                <w:bCs/>
                <w:sz w:val="20"/>
                <w:szCs w:val="20"/>
                <w:vertAlign w:val="superscript"/>
              </w:rPr>
              <w:t>-3</w:t>
            </w:r>
            <w:r w:rsidRPr="007D6603">
              <w:rPr>
                <w:rFonts w:ascii="Arial" w:hAnsi="Arial" w:cs="Arial"/>
                <w:b/>
                <w:bCs/>
                <w:sz w:val="20"/>
                <w:szCs w:val="20"/>
              </w:rPr>
              <w:t xml:space="preserve"> m</w:t>
            </w:r>
            <w:r w:rsidRPr="007D6603">
              <w:rPr>
                <w:rFonts w:ascii="Arial" w:hAnsi="Arial" w:cs="Arial"/>
                <w:b/>
                <w:bCs/>
                <w:sz w:val="20"/>
                <w:szCs w:val="20"/>
                <w:vertAlign w:val="superscript"/>
              </w:rPr>
              <w:t>-1</w:t>
            </w:r>
            <w:r w:rsidRPr="007D6603">
              <w:rPr>
                <w:rFonts w:ascii="Arial" w:hAnsi="Arial" w:cs="Arial"/>
                <w:b/>
                <w:bCs/>
                <w:sz w:val="20"/>
                <w:szCs w:val="20"/>
              </w:rPr>
              <w:t>), R</w:t>
            </w:r>
            <w:r w:rsidRPr="007D6603">
              <w:rPr>
                <w:rFonts w:ascii="Arial" w:hAnsi="Arial" w:cs="Arial"/>
                <w:b/>
                <w:bCs/>
                <w:sz w:val="20"/>
                <w:szCs w:val="20"/>
                <w:vertAlign w:val="superscript"/>
              </w:rPr>
              <w:t>2</w:t>
            </w:r>
            <w:r w:rsidRPr="007D6603">
              <w:rPr>
                <w:rFonts w:ascii="Arial" w:hAnsi="Arial" w:cs="Arial"/>
                <w:b/>
                <w:bCs/>
                <w:sz w:val="20"/>
                <w:szCs w:val="20"/>
              </w:rPr>
              <w:t>,</w:t>
            </w:r>
          </w:p>
        </w:tc>
        <w:tc>
          <w:tcPr>
            <w:tcW w:w="1551" w:type="dxa"/>
          </w:tcPr>
          <w:p w14:paraId="1E682597" w14:textId="646FF114"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NCDOC</w:t>
            </w:r>
          </w:p>
          <w:p w14:paraId="1C76DDD6" w14:textId="77777777"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(g C m</w:t>
            </w:r>
            <w:r w:rsidRPr="007D6603">
              <w:rPr>
                <w:rFonts w:ascii="Arial" w:hAnsi="Arial" w:cs="Arial"/>
                <w:b/>
                <w:bCs/>
                <w:sz w:val="20"/>
                <w:szCs w:val="20"/>
                <w:vertAlign w:val="superscript"/>
              </w:rPr>
              <w:t>-3</w:t>
            </w:r>
            <w:r w:rsidRPr="007D6603">
              <w:rPr>
                <w:rFonts w:ascii="Arial" w:hAnsi="Arial" w:cs="Arial"/>
                <w:b/>
                <w:bCs/>
                <w:sz w:val="20"/>
                <w:szCs w:val="20"/>
              </w:rPr>
              <w:t>)</w:t>
            </w:r>
          </w:p>
          <w:p w14:paraId="17291544" w14:textId="77777777"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(95% CI)</w:t>
            </w:r>
          </w:p>
        </w:tc>
        <w:tc>
          <w:tcPr>
            <w:tcW w:w="1710" w:type="dxa"/>
          </w:tcPr>
          <w:p w14:paraId="1E217FDD" w14:textId="77777777" w:rsidR="00BD03F3" w:rsidRPr="007D6603" w:rsidRDefault="00BD03F3" w:rsidP="00BD03F3">
            <w:pPr>
              <w:jc w:val="center"/>
              <w:rPr>
                <w:rFonts w:ascii="Arial" w:hAnsi="Arial" w:cs="Arial"/>
                <w:b/>
                <w:bCs/>
                <w:sz w:val="20"/>
                <w:szCs w:val="20"/>
              </w:rPr>
            </w:pPr>
            <w:proofErr w:type="spellStart"/>
            <w:r>
              <w:rPr>
                <w:rFonts w:ascii="Arial" w:hAnsi="Arial" w:cs="Arial"/>
                <w:b/>
                <w:bCs/>
                <w:sz w:val="20"/>
                <w:szCs w:val="20"/>
              </w:rPr>
              <w:t>i</w:t>
            </w:r>
            <w:r w:rsidRPr="007D6603">
              <w:rPr>
                <w:rFonts w:ascii="Arial" w:hAnsi="Arial" w:cs="Arial"/>
                <w:b/>
                <w:bCs/>
                <w:sz w:val="20"/>
                <w:szCs w:val="20"/>
              </w:rPr>
              <w:t>CDOC</w:t>
            </w:r>
            <w:proofErr w:type="spellEnd"/>
            <w:r w:rsidRPr="007D6603">
              <w:rPr>
                <w:rFonts w:ascii="Arial" w:hAnsi="Arial" w:cs="Arial"/>
                <w:b/>
                <w:bCs/>
                <w:sz w:val="20"/>
                <w:szCs w:val="20"/>
              </w:rPr>
              <w:t xml:space="preserve"> (g C m</w:t>
            </w:r>
            <w:r w:rsidRPr="007D6603">
              <w:rPr>
                <w:rFonts w:ascii="Arial" w:hAnsi="Arial" w:cs="Arial"/>
                <w:b/>
                <w:bCs/>
                <w:sz w:val="20"/>
                <w:szCs w:val="20"/>
                <w:vertAlign w:val="superscript"/>
              </w:rPr>
              <w:t>-3</w:t>
            </w:r>
            <w:r w:rsidRPr="007D6603">
              <w:rPr>
                <w:rFonts w:ascii="Arial" w:hAnsi="Arial" w:cs="Arial"/>
                <w:b/>
                <w:bCs/>
                <w:sz w:val="20"/>
                <w:szCs w:val="20"/>
              </w:rPr>
              <w:t>) (95% CI)</w:t>
            </w:r>
          </w:p>
        </w:tc>
        <w:tc>
          <w:tcPr>
            <w:tcW w:w="1170" w:type="dxa"/>
          </w:tcPr>
          <w:p w14:paraId="0632F092" w14:textId="77777777"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a300 (m</w:t>
            </w:r>
            <w:r w:rsidRPr="007D6603">
              <w:rPr>
                <w:rFonts w:ascii="Arial" w:hAnsi="Arial" w:cs="Arial"/>
                <w:b/>
                <w:bCs/>
                <w:sz w:val="20"/>
                <w:szCs w:val="20"/>
                <w:vertAlign w:val="superscript"/>
              </w:rPr>
              <w:t>-1</w:t>
            </w:r>
            <w:r w:rsidRPr="007D6603">
              <w:rPr>
                <w:rFonts w:ascii="Arial" w:hAnsi="Arial" w:cs="Arial"/>
                <w:b/>
                <w:bCs/>
                <w:sz w:val="20"/>
                <w:szCs w:val="20"/>
              </w:rPr>
              <w:t xml:space="preserve">) ± </w:t>
            </w:r>
            <w:r w:rsidRPr="007D6603">
              <w:rPr>
                <w:rFonts w:ascii="Arial" w:hAnsi="Arial" w:cs="Arial"/>
                <w:b/>
                <w:bCs/>
                <w:sz w:val="20"/>
                <w:szCs w:val="20"/>
                <w:lang w:val="el-GR"/>
              </w:rPr>
              <w:t>σ</w:t>
            </w:r>
          </w:p>
        </w:tc>
        <w:tc>
          <w:tcPr>
            <w:tcW w:w="1260" w:type="dxa"/>
          </w:tcPr>
          <w:p w14:paraId="1FA0871B" w14:textId="48A73692" w:rsidR="00BD03F3" w:rsidRPr="007D6603" w:rsidRDefault="00BD03F3" w:rsidP="00BD03F3">
            <w:pPr>
              <w:jc w:val="center"/>
              <w:rPr>
                <w:rFonts w:ascii="Arial" w:hAnsi="Arial" w:cs="Arial"/>
                <w:b/>
                <w:bCs/>
                <w:sz w:val="20"/>
                <w:szCs w:val="20"/>
              </w:rPr>
            </w:pPr>
            <w:r w:rsidRPr="007D6603">
              <w:rPr>
                <w:rFonts w:ascii="Arial" w:hAnsi="Arial" w:cs="Arial"/>
                <w:b/>
                <w:bCs/>
                <w:sz w:val="20"/>
                <w:szCs w:val="20"/>
              </w:rPr>
              <w:t>S</w:t>
            </w:r>
            <w:r w:rsidRPr="007D6603">
              <w:rPr>
                <w:rFonts w:ascii="Arial" w:hAnsi="Arial" w:cs="Arial"/>
                <w:b/>
                <w:bCs/>
                <w:sz w:val="20"/>
                <w:szCs w:val="20"/>
                <w:vertAlign w:val="subscript"/>
              </w:rPr>
              <w:t>R</w:t>
            </w:r>
            <w:r w:rsidRPr="007D6603">
              <w:rPr>
                <w:rFonts w:ascii="Arial" w:hAnsi="Arial" w:cs="Arial"/>
                <w:b/>
                <w:bCs/>
                <w:sz w:val="20"/>
                <w:szCs w:val="20"/>
              </w:rPr>
              <w:t xml:space="preserve"> (275</w:t>
            </w:r>
            <w:r w:rsidR="00FB7EAA">
              <w:rPr>
                <w:rFonts w:ascii="Arial" w:hAnsi="Arial" w:cs="Arial"/>
                <w:b/>
                <w:bCs/>
                <w:sz w:val="20"/>
                <w:szCs w:val="20"/>
              </w:rPr>
              <w:t>-</w:t>
            </w:r>
            <w:r w:rsidRPr="007D6603">
              <w:rPr>
                <w:rFonts w:ascii="Arial" w:hAnsi="Arial" w:cs="Arial"/>
                <w:b/>
                <w:bCs/>
                <w:sz w:val="20"/>
                <w:szCs w:val="20"/>
              </w:rPr>
              <w:t>295/350</w:t>
            </w:r>
            <w:r w:rsidR="00FB7EAA">
              <w:rPr>
                <w:rFonts w:ascii="Arial" w:hAnsi="Arial" w:cs="Arial"/>
                <w:b/>
                <w:bCs/>
                <w:sz w:val="20"/>
                <w:szCs w:val="20"/>
              </w:rPr>
              <w:t>-</w:t>
            </w:r>
            <w:r w:rsidRPr="007D6603">
              <w:rPr>
                <w:rFonts w:ascii="Arial" w:hAnsi="Arial" w:cs="Arial"/>
                <w:b/>
                <w:bCs/>
                <w:sz w:val="20"/>
                <w:szCs w:val="20"/>
              </w:rPr>
              <w:t>400)</w:t>
            </w:r>
          </w:p>
        </w:tc>
      </w:tr>
      <w:tr w:rsidR="00BD03F3" w:rsidRPr="0045191A" w14:paraId="71074E12" w14:textId="77777777" w:rsidTr="00BD03F3">
        <w:tc>
          <w:tcPr>
            <w:tcW w:w="985" w:type="dxa"/>
          </w:tcPr>
          <w:p w14:paraId="7F1C5A1A" w14:textId="77777777" w:rsidR="00BD03F3" w:rsidRDefault="00BD03F3" w:rsidP="00BD03F3">
            <w:pPr>
              <w:jc w:val="center"/>
              <w:rPr>
                <w:rFonts w:ascii="Arial" w:hAnsi="Arial" w:cs="Arial"/>
                <w:b/>
                <w:bCs/>
                <w:sz w:val="20"/>
                <w:szCs w:val="20"/>
              </w:rPr>
            </w:pPr>
            <w:r w:rsidRPr="0045191A">
              <w:rPr>
                <w:rFonts w:ascii="Arial" w:hAnsi="Arial" w:cs="Arial"/>
                <w:b/>
                <w:bCs/>
                <w:sz w:val="20"/>
                <w:szCs w:val="20"/>
              </w:rPr>
              <w:t>Kolyma</w:t>
            </w:r>
          </w:p>
          <w:p w14:paraId="7DB988A9" w14:textId="77777777" w:rsidR="00BD03F3" w:rsidRPr="0045191A" w:rsidRDefault="00BD03F3" w:rsidP="00BD03F3">
            <w:pPr>
              <w:jc w:val="center"/>
              <w:rPr>
                <w:rFonts w:ascii="Arial" w:hAnsi="Arial" w:cs="Arial"/>
                <w:b/>
                <w:bCs/>
                <w:sz w:val="20"/>
                <w:szCs w:val="20"/>
              </w:rPr>
            </w:pPr>
            <w:r>
              <w:rPr>
                <w:rFonts w:ascii="Arial" w:hAnsi="Arial" w:cs="Arial"/>
                <w:b/>
                <w:bCs/>
                <w:sz w:val="20"/>
                <w:szCs w:val="20"/>
              </w:rPr>
              <w:t>n=21, 17, 18, 56</w:t>
            </w:r>
          </w:p>
        </w:tc>
        <w:tc>
          <w:tcPr>
            <w:tcW w:w="1329" w:type="dxa"/>
          </w:tcPr>
          <w:p w14:paraId="51BCA6EA" w14:textId="77777777" w:rsidR="00BD03F3" w:rsidRDefault="00BD03F3" w:rsidP="00BD03F3">
            <w:pPr>
              <w:jc w:val="center"/>
              <w:rPr>
                <w:rFonts w:ascii="Arial" w:hAnsi="Arial" w:cs="Arial"/>
                <w:sz w:val="20"/>
                <w:szCs w:val="20"/>
              </w:rPr>
            </w:pPr>
            <w:r>
              <w:rPr>
                <w:rFonts w:ascii="Arial" w:hAnsi="Arial" w:cs="Arial"/>
                <w:sz w:val="20"/>
                <w:szCs w:val="20"/>
              </w:rPr>
              <w:t xml:space="preserve">3.7±1.1 8.8±4.2 </w:t>
            </w:r>
          </w:p>
          <w:p w14:paraId="4D5C5206" w14:textId="77777777" w:rsidR="00BD03F3" w:rsidRDefault="00BD03F3" w:rsidP="00BD03F3">
            <w:pPr>
              <w:jc w:val="center"/>
              <w:rPr>
                <w:rFonts w:ascii="Arial" w:hAnsi="Arial" w:cs="Arial"/>
                <w:sz w:val="20"/>
                <w:szCs w:val="20"/>
              </w:rPr>
            </w:pPr>
            <w:r>
              <w:rPr>
                <w:rFonts w:ascii="Arial" w:hAnsi="Arial" w:cs="Arial"/>
                <w:sz w:val="20"/>
                <w:szCs w:val="20"/>
              </w:rPr>
              <w:t>4.3±0.9</w:t>
            </w:r>
          </w:p>
          <w:p w14:paraId="69C3830C"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5.4±3.3</w:t>
            </w:r>
          </w:p>
        </w:tc>
        <w:tc>
          <w:tcPr>
            <w:tcW w:w="1551" w:type="dxa"/>
          </w:tcPr>
          <w:p w14:paraId="143108E8" w14:textId="77777777" w:rsidR="00BD03F3" w:rsidRDefault="00BD03F3" w:rsidP="00BD03F3">
            <w:pPr>
              <w:jc w:val="center"/>
              <w:rPr>
                <w:rFonts w:ascii="Arial" w:hAnsi="Arial" w:cs="Arial"/>
                <w:sz w:val="20"/>
                <w:szCs w:val="20"/>
              </w:rPr>
            </w:pPr>
            <w:r>
              <w:rPr>
                <w:rFonts w:ascii="Arial" w:hAnsi="Arial" w:cs="Arial"/>
                <w:sz w:val="20"/>
                <w:szCs w:val="20"/>
              </w:rPr>
              <w:t>0.29, 0.82</w:t>
            </w:r>
          </w:p>
          <w:p w14:paraId="382F66E0" w14:textId="77777777" w:rsidR="00BD03F3" w:rsidRDefault="00BD03F3" w:rsidP="00BD03F3">
            <w:pPr>
              <w:jc w:val="center"/>
              <w:rPr>
                <w:rFonts w:ascii="Arial" w:hAnsi="Arial" w:cs="Arial"/>
                <w:sz w:val="20"/>
                <w:szCs w:val="20"/>
              </w:rPr>
            </w:pPr>
            <w:r>
              <w:rPr>
                <w:rFonts w:ascii="Arial" w:hAnsi="Arial" w:cs="Arial"/>
                <w:sz w:val="20"/>
                <w:szCs w:val="20"/>
              </w:rPr>
              <w:t>0.24, 0.92</w:t>
            </w:r>
          </w:p>
          <w:p w14:paraId="0D8A7ADE" w14:textId="77777777" w:rsidR="00BD03F3" w:rsidRDefault="00BD03F3" w:rsidP="00BD03F3">
            <w:pPr>
              <w:jc w:val="center"/>
              <w:rPr>
                <w:rFonts w:ascii="Arial" w:hAnsi="Arial" w:cs="Arial"/>
                <w:sz w:val="20"/>
                <w:szCs w:val="20"/>
              </w:rPr>
            </w:pPr>
            <w:r>
              <w:rPr>
                <w:rFonts w:ascii="Arial" w:hAnsi="Arial" w:cs="Arial"/>
                <w:sz w:val="20"/>
                <w:szCs w:val="20"/>
              </w:rPr>
              <w:t>0.26, 0.51</w:t>
            </w:r>
          </w:p>
          <w:p w14:paraId="4AC65729" w14:textId="149841CF" w:rsidR="00BD03F3" w:rsidRDefault="00BD03F3" w:rsidP="00BD03F3">
            <w:pPr>
              <w:jc w:val="center"/>
              <w:rPr>
                <w:rFonts w:ascii="Arial" w:hAnsi="Arial" w:cs="Arial"/>
                <w:sz w:val="20"/>
                <w:szCs w:val="20"/>
              </w:rPr>
            </w:pPr>
            <w:r w:rsidRPr="003D4900">
              <w:rPr>
                <w:rFonts w:ascii="Arial" w:hAnsi="Arial" w:cs="Arial"/>
                <w:b/>
                <w:bCs/>
                <w:sz w:val="20"/>
                <w:szCs w:val="20"/>
              </w:rPr>
              <w:t>0.23, 0.94</w:t>
            </w:r>
          </w:p>
        </w:tc>
        <w:tc>
          <w:tcPr>
            <w:tcW w:w="1551" w:type="dxa"/>
          </w:tcPr>
          <w:p w14:paraId="0C875F85" w14:textId="1C3B5011" w:rsidR="00BD03F3" w:rsidRDefault="00BD03F3" w:rsidP="00BD03F3">
            <w:pPr>
              <w:jc w:val="center"/>
              <w:rPr>
                <w:rFonts w:ascii="Arial" w:hAnsi="Arial" w:cs="Arial"/>
                <w:sz w:val="20"/>
                <w:szCs w:val="20"/>
              </w:rPr>
            </w:pPr>
            <w:r>
              <w:rPr>
                <w:rFonts w:ascii="Arial" w:hAnsi="Arial" w:cs="Arial"/>
                <w:sz w:val="20"/>
                <w:szCs w:val="20"/>
              </w:rPr>
              <w:t>1.3 (0.7, 1.9)</w:t>
            </w:r>
          </w:p>
          <w:p w14:paraId="406823F8" w14:textId="77777777" w:rsidR="00BD03F3" w:rsidRDefault="00BD03F3" w:rsidP="00BD03F3">
            <w:pPr>
              <w:jc w:val="center"/>
              <w:rPr>
                <w:rFonts w:ascii="Arial" w:hAnsi="Arial" w:cs="Arial"/>
                <w:sz w:val="20"/>
                <w:szCs w:val="20"/>
              </w:rPr>
            </w:pPr>
            <w:r>
              <w:rPr>
                <w:rFonts w:ascii="Arial" w:hAnsi="Arial" w:cs="Arial"/>
                <w:sz w:val="20"/>
                <w:szCs w:val="20"/>
              </w:rPr>
              <w:t>1.2 (0.1, 2.5)</w:t>
            </w:r>
          </w:p>
          <w:p w14:paraId="7638B2D6" w14:textId="5088C59D" w:rsidR="00BD03F3" w:rsidRDefault="00BD03F3" w:rsidP="00BD03F3">
            <w:pPr>
              <w:jc w:val="center"/>
              <w:rPr>
                <w:rFonts w:ascii="Arial" w:hAnsi="Arial" w:cs="Arial"/>
                <w:sz w:val="20"/>
                <w:szCs w:val="20"/>
              </w:rPr>
            </w:pPr>
            <w:r>
              <w:rPr>
                <w:rFonts w:ascii="Arial" w:hAnsi="Arial" w:cs="Arial"/>
                <w:sz w:val="20"/>
                <w:szCs w:val="20"/>
              </w:rPr>
              <w:t>0.9 (0.1, 2.6)</w:t>
            </w:r>
          </w:p>
          <w:p w14:paraId="7831C276"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1.5 (1.2, 1.9)</w:t>
            </w:r>
          </w:p>
        </w:tc>
        <w:tc>
          <w:tcPr>
            <w:tcW w:w="1710" w:type="dxa"/>
          </w:tcPr>
          <w:p w14:paraId="27FE197C" w14:textId="5462DECE" w:rsidR="00BD03F3" w:rsidRDefault="00BD03F3" w:rsidP="00BD03F3">
            <w:pPr>
              <w:jc w:val="center"/>
              <w:rPr>
                <w:rFonts w:ascii="Arial" w:hAnsi="Arial" w:cs="Arial"/>
                <w:sz w:val="20"/>
                <w:szCs w:val="20"/>
              </w:rPr>
            </w:pPr>
            <w:r>
              <w:rPr>
                <w:rFonts w:ascii="Arial" w:hAnsi="Arial" w:cs="Arial"/>
                <w:sz w:val="20"/>
                <w:szCs w:val="20"/>
              </w:rPr>
              <w:t>2.2 (1.8</w:t>
            </w:r>
            <w:r w:rsidR="0059350C">
              <w:rPr>
                <w:rFonts w:ascii="Arial" w:hAnsi="Arial" w:cs="Arial"/>
                <w:sz w:val="20"/>
                <w:szCs w:val="20"/>
              </w:rPr>
              <w:t>,</w:t>
            </w:r>
            <w:r>
              <w:rPr>
                <w:rFonts w:ascii="Arial" w:hAnsi="Arial" w:cs="Arial"/>
                <w:sz w:val="20"/>
                <w:szCs w:val="20"/>
              </w:rPr>
              <w:t xml:space="preserve"> 2.5)</w:t>
            </w:r>
          </w:p>
          <w:p w14:paraId="5A24842F" w14:textId="700A74DA" w:rsidR="00BD03F3" w:rsidRDefault="00BD03F3" w:rsidP="00BD03F3">
            <w:pPr>
              <w:jc w:val="center"/>
              <w:rPr>
                <w:rFonts w:ascii="Arial" w:hAnsi="Arial" w:cs="Arial"/>
                <w:sz w:val="20"/>
                <w:szCs w:val="20"/>
              </w:rPr>
            </w:pPr>
            <w:r>
              <w:rPr>
                <w:rFonts w:ascii="Arial" w:hAnsi="Arial" w:cs="Arial"/>
                <w:sz w:val="20"/>
                <w:szCs w:val="20"/>
              </w:rPr>
              <w:t>7.2 (6.9</w:t>
            </w:r>
            <w:r w:rsidR="0059350C">
              <w:rPr>
                <w:rFonts w:ascii="Arial" w:hAnsi="Arial" w:cs="Arial"/>
                <w:sz w:val="20"/>
                <w:szCs w:val="20"/>
              </w:rPr>
              <w:t>,</w:t>
            </w:r>
            <w:r>
              <w:rPr>
                <w:rFonts w:ascii="Arial" w:hAnsi="Arial" w:cs="Arial"/>
                <w:sz w:val="20"/>
                <w:szCs w:val="20"/>
              </w:rPr>
              <w:t xml:space="preserve"> 7.6)</w:t>
            </w:r>
          </w:p>
          <w:p w14:paraId="45EFEC9F" w14:textId="5C31BE3D" w:rsidR="00BD03F3" w:rsidRDefault="00BD03F3" w:rsidP="00BD03F3">
            <w:pPr>
              <w:jc w:val="center"/>
              <w:rPr>
                <w:rFonts w:ascii="Arial" w:hAnsi="Arial" w:cs="Arial"/>
                <w:sz w:val="20"/>
                <w:szCs w:val="20"/>
              </w:rPr>
            </w:pPr>
            <w:r>
              <w:rPr>
                <w:rFonts w:ascii="Arial" w:hAnsi="Arial" w:cs="Arial"/>
                <w:sz w:val="20"/>
                <w:szCs w:val="20"/>
              </w:rPr>
              <w:t>2.7 (2.4</w:t>
            </w:r>
            <w:r w:rsidR="0059350C">
              <w:rPr>
                <w:rFonts w:ascii="Arial" w:hAnsi="Arial" w:cs="Arial"/>
                <w:sz w:val="20"/>
                <w:szCs w:val="20"/>
              </w:rPr>
              <w:t>,</w:t>
            </w:r>
            <w:r>
              <w:rPr>
                <w:rFonts w:ascii="Arial" w:hAnsi="Arial" w:cs="Arial"/>
                <w:sz w:val="20"/>
                <w:szCs w:val="20"/>
              </w:rPr>
              <w:t xml:space="preserve"> 3.1)</w:t>
            </w:r>
          </w:p>
          <w:p w14:paraId="205558AB" w14:textId="7B5C0B7D" w:rsidR="00BD03F3" w:rsidRPr="00C86B3B" w:rsidRDefault="00BD03F3" w:rsidP="00BD03F3">
            <w:pPr>
              <w:jc w:val="center"/>
              <w:rPr>
                <w:rFonts w:ascii="Arial" w:hAnsi="Arial" w:cs="Arial"/>
                <w:b/>
                <w:bCs/>
                <w:sz w:val="20"/>
                <w:szCs w:val="20"/>
              </w:rPr>
            </w:pPr>
            <w:r w:rsidRPr="00584FD8">
              <w:rPr>
                <w:rFonts w:ascii="Arial" w:hAnsi="Arial" w:cs="Arial"/>
                <w:b/>
                <w:bCs/>
                <w:sz w:val="20"/>
                <w:szCs w:val="20"/>
              </w:rPr>
              <w:t>3.9 (3.5</w:t>
            </w:r>
            <w:r w:rsidR="0059350C">
              <w:rPr>
                <w:rFonts w:ascii="Arial" w:hAnsi="Arial" w:cs="Arial"/>
                <w:b/>
                <w:bCs/>
                <w:sz w:val="20"/>
                <w:szCs w:val="20"/>
              </w:rPr>
              <w:t>,</w:t>
            </w:r>
            <w:r w:rsidRPr="00584FD8">
              <w:rPr>
                <w:rFonts w:ascii="Arial" w:hAnsi="Arial" w:cs="Arial"/>
                <w:b/>
                <w:bCs/>
                <w:sz w:val="20"/>
                <w:szCs w:val="20"/>
              </w:rPr>
              <w:t xml:space="preserve"> 4.2)</w:t>
            </w:r>
          </w:p>
        </w:tc>
        <w:tc>
          <w:tcPr>
            <w:tcW w:w="1170" w:type="dxa"/>
          </w:tcPr>
          <w:p w14:paraId="053767D9" w14:textId="77777777" w:rsidR="00BD03F3" w:rsidRDefault="00BD03F3" w:rsidP="00BD03F3">
            <w:pPr>
              <w:jc w:val="center"/>
              <w:rPr>
                <w:rFonts w:ascii="Arial" w:hAnsi="Arial" w:cs="Arial"/>
                <w:sz w:val="20"/>
                <w:szCs w:val="20"/>
              </w:rPr>
            </w:pPr>
            <w:r>
              <w:rPr>
                <w:rFonts w:ascii="Arial" w:hAnsi="Arial" w:cs="Arial"/>
                <w:sz w:val="20"/>
                <w:szCs w:val="20"/>
              </w:rPr>
              <w:t>8.1±3.3</w:t>
            </w:r>
          </w:p>
          <w:p w14:paraId="3997AD80" w14:textId="77777777" w:rsidR="00BD03F3" w:rsidRDefault="00BD03F3" w:rsidP="00BD03F3">
            <w:pPr>
              <w:jc w:val="center"/>
              <w:rPr>
                <w:rFonts w:ascii="Arial" w:hAnsi="Arial" w:cs="Arial"/>
                <w:sz w:val="20"/>
                <w:szCs w:val="20"/>
              </w:rPr>
            </w:pPr>
            <w:r>
              <w:rPr>
                <w:rFonts w:ascii="Arial" w:hAnsi="Arial" w:cs="Arial"/>
                <w:sz w:val="20"/>
                <w:szCs w:val="20"/>
              </w:rPr>
              <w:t>31.8±17.1</w:t>
            </w:r>
          </w:p>
          <w:p w14:paraId="0AE7CDC9" w14:textId="77777777" w:rsidR="00BD03F3" w:rsidRDefault="00BD03F3" w:rsidP="00BD03F3">
            <w:pPr>
              <w:jc w:val="center"/>
              <w:rPr>
                <w:rFonts w:ascii="Arial" w:hAnsi="Arial" w:cs="Arial"/>
                <w:sz w:val="20"/>
                <w:szCs w:val="20"/>
              </w:rPr>
            </w:pPr>
            <w:r>
              <w:rPr>
                <w:rFonts w:ascii="Arial" w:hAnsi="Arial" w:cs="Arial"/>
                <w:sz w:val="20"/>
                <w:szCs w:val="20"/>
              </w:rPr>
              <w:t>13.0±2.6</w:t>
            </w:r>
          </w:p>
          <w:p w14:paraId="79CE5A07" w14:textId="2949935A" w:rsidR="00BD03F3" w:rsidRPr="00857C35" w:rsidRDefault="00BD03F3" w:rsidP="00BD03F3">
            <w:pPr>
              <w:jc w:val="center"/>
              <w:rPr>
                <w:rFonts w:ascii="Arial" w:hAnsi="Arial" w:cs="Arial"/>
                <w:b/>
                <w:bCs/>
                <w:sz w:val="20"/>
                <w:szCs w:val="20"/>
              </w:rPr>
            </w:pPr>
            <w:r w:rsidRPr="00857C35">
              <w:rPr>
                <w:rFonts w:ascii="Arial" w:hAnsi="Arial" w:cs="Arial"/>
                <w:b/>
                <w:bCs/>
                <w:sz w:val="20"/>
                <w:szCs w:val="20"/>
              </w:rPr>
              <w:t>16.9±13.9</w:t>
            </w:r>
          </w:p>
        </w:tc>
        <w:tc>
          <w:tcPr>
            <w:tcW w:w="1260" w:type="dxa"/>
          </w:tcPr>
          <w:p w14:paraId="7BE03B51" w14:textId="51E54E50" w:rsidR="00BD03F3" w:rsidRDefault="00BD03F3" w:rsidP="00BD03F3">
            <w:pPr>
              <w:jc w:val="center"/>
              <w:rPr>
                <w:rFonts w:ascii="Arial" w:hAnsi="Arial" w:cs="Arial"/>
                <w:sz w:val="20"/>
                <w:szCs w:val="20"/>
              </w:rPr>
            </w:pPr>
            <w:r>
              <w:rPr>
                <w:rFonts w:ascii="Arial" w:hAnsi="Arial" w:cs="Arial"/>
                <w:sz w:val="20"/>
                <w:szCs w:val="20"/>
              </w:rPr>
              <w:t>0.87±0.08</w:t>
            </w:r>
          </w:p>
          <w:p w14:paraId="645085D0" w14:textId="64FA33A5" w:rsidR="00BD03F3" w:rsidRDefault="00BD03F3" w:rsidP="00BD03F3">
            <w:pPr>
              <w:jc w:val="center"/>
              <w:rPr>
                <w:rFonts w:ascii="Arial" w:hAnsi="Arial" w:cs="Arial"/>
                <w:sz w:val="20"/>
                <w:szCs w:val="20"/>
              </w:rPr>
            </w:pPr>
            <w:r>
              <w:rPr>
                <w:rFonts w:ascii="Arial" w:hAnsi="Arial" w:cs="Arial"/>
                <w:sz w:val="20"/>
                <w:szCs w:val="20"/>
              </w:rPr>
              <w:t>0.84±0.04</w:t>
            </w:r>
          </w:p>
          <w:p w14:paraId="002A7247" w14:textId="6D9C1FF3" w:rsidR="00BD03F3" w:rsidRDefault="00BD03F3" w:rsidP="00BD03F3">
            <w:pPr>
              <w:jc w:val="center"/>
              <w:rPr>
                <w:rFonts w:ascii="Arial" w:hAnsi="Arial" w:cs="Arial"/>
                <w:sz w:val="20"/>
                <w:szCs w:val="20"/>
              </w:rPr>
            </w:pPr>
            <w:r>
              <w:rPr>
                <w:rFonts w:ascii="Arial" w:hAnsi="Arial" w:cs="Arial"/>
                <w:sz w:val="20"/>
                <w:szCs w:val="20"/>
              </w:rPr>
              <w:t>0.88±0.05</w:t>
            </w:r>
          </w:p>
          <w:p w14:paraId="776ECEFA" w14:textId="77777777" w:rsidR="00BD03F3" w:rsidRPr="00857C35" w:rsidRDefault="00BD03F3" w:rsidP="00BD03F3">
            <w:pPr>
              <w:jc w:val="center"/>
              <w:rPr>
                <w:rFonts w:ascii="Arial" w:hAnsi="Arial" w:cs="Arial"/>
                <w:b/>
                <w:bCs/>
                <w:sz w:val="20"/>
                <w:szCs w:val="20"/>
              </w:rPr>
            </w:pPr>
            <w:r w:rsidRPr="00857C35">
              <w:rPr>
                <w:rFonts w:ascii="Arial" w:hAnsi="Arial" w:cs="Arial"/>
                <w:b/>
                <w:bCs/>
                <w:sz w:val="20"/>
                <w:szCs w:val="20"/>
              </w:rPr>
              <w:t>0.87±0.06</w:t>
            </w:r>
          </w:p>
        </w:tc>
      </w:tr>
      <w:tr w:rsidR="00BD03F3" w:rsidRPr="0045191A" w14:paraId="4DD81C6B" w14:textId="77777777" w:rsidTr="00BD03F3">
        <w:tc>
          <w:tcPr>
            <w:tcW w:w="985" w:type="dxa"/>
          </w:tcPr>
          <w:p w14:paraId="404AFD81" w14:textId="77777777" w:rsidR="00BD03F3" w:rsidRDefault="00BD03F3" w:rsidP="00BD03F3">
            <w:pPr>
              <w:jc w:val="center"/>
              <w:rPr>
                <w:rFonts w:ascii="Arial" w:hAnsi="Arial" w:cs="Arial"/>
                <w:b/>
                <w:bCs/>
                <w:sz w:val="20"/>
                <w:szCs w:val="20"/>
              </w:rPr>
            </w:pPr>
            <w:r w:rsidRPr="0045191A">
              <w:rPr>
                <w:rFonts w:ascii="Arial" w:hAnsi="Arial" w:cs="Arial"/>
                <w:b/>
                <w:bCs/>
                <w:sz w:val="20"/>
                <w:szCs w:val="20"/>
              </w:rPr>
              <w:t>Lena</w:t>
            </w:r>
          </w:p>
          <w:p w14:paraId="17EC062C" w14:textId="77777777" w:rsidR="00BD03F3" w:rsidRPr="0045191A" w:rsidRDefault="00BD03F3" w:rsidP="00BD03F3">
            <w:pPr>
              <w:jc w:val="center"/>
              <w:rPr>
                <w:rFonts w:ascii="Arial" w:hAnsi="Arial" w:cs="Arial"/>
                <w:b/>
                <w:bCs/>
                <w:sz w:val="20"/>
                <w:szCs w:val="20"/>
              </w:rPr>
            </w:pPr>
            <w:r>
              <w:rPr>
                <w:rFonts w:ascii="Arial" w:hAnsi="Arial" w:cs="Arial"/>
                <w:b/>
                <w:bCs/>
                <w:sz w:val="20"/>
                <w:szCs w:val="20"/>
              </w:rPr>
              <w:t>n=24, 17, 17, 58</w:t>
            </w:r>
          </w:p>
        </w:tc>
        <w:tc>
          <w:tcPr>
            <w:tcW w:w="1329" w:type="dxa"/>
          </w:tcPr>
          <w:p w14:paraId="54B58453" w14:textId="77777777" w:rsidR="00BD03F3" w:rsidRDefault="00BD03F3" w:rsidP="00BD03F3">
            <w:pPr>
              <w:jc w:val="center"/>
              <w:rPr>
                <w:rFonts w:ascii="Arial" w:hAnsi="Arial" w:cs="Arial"/>
                <w:sz w:val="20"/>
                <w:szCs w:val="20"/>
              </w:rPr>
            </w:pPr>
            <w:r>
              <w:rPr>
                <w:rFonts w:ascii="Arial" w:hAnsi="Arial" w:cs="Arial"/>
                <w:sz w:val="20"/>
                <w:szCs w:val="20"/>
              </w:rPr>
              <w:t>7.1±2.1</w:t>
            </w:r>
          </w:p>
          <w:p w14:paraId="52A242C9" w14:textId="77777777" w:rsidR="00BD03F3" w:rsidRDefault="00BD03F3" w:rsidP="00BD03F3">
            <w:pPr>
              <w:jc w:val="center"/>
              <w:rPr>
                <w:rFonts w:ascii="Arial" w:hAnsi="Arial" w:cs="Arial"/>
                <w:sz w:val="20"/>
                <w:szCs w:val="20"/>
              </w:rPr>
            </w:pPr>
            <w:r>
              <w:rPr>
                <w:rFonts w:ascii="Arial" w:hAnsi="Arial" w:cs="Arial"/>
                <w:sz w:val="20"/>
                <w:szCs w:val="20"/>
              </w:rPr>
              <w:t>14.9±5.7</w:t>
            </w:r>
          </w:p>
          <w:p w14:paraId="35E902AB" w14:textId="77777777" w:rsidR="00BD03F3" w:rsidRDefault="00BD03F3" w:rsidP="00BD03F3">
            <w:pPr>
              <w:jc w:val="center"/>
              <w:rPr>
                <w:rFonts w:ascii="Arial" w:hAnsi="Arial" w:cs="Arial"/>
                <w:sz w:val="20"/>
                <w:szCs w:val="20"/>
              </w:rPr>
            </w:pPr>
            <w:r>
              <w:rPr>
                <w:rFonts w:ascii="Arial" w:hAnsi="Arial" w:cs="Arial"/>
                <w:sz w:val="20"/>
                <w:szCs w:val="20"/>
              </w:rPr>
              <w:t>7.4±1.7</w:t>
            </w:r>
          </w:p>
          <w:p w14:paraId="4718384E"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9.5±4.9</w:t>
            </w:r>
          </w:p>
        </w:tc>
        <w:tc>
          <w:tcPr>
            <w:tcW w:w="1551" w:type="dxa"/>
          </w:tcPr>
          <w:p w14:paraId="30216DA7" w14:textId="77777777" w:rsidR="00BD03F3" w:rsidRDefault="00BD03F3" w:rsidP="00BD03F3">
            <w:pPr>
              <w:jc w:val="center"/>
              <w:rPr>
                <w:rFonts w:ascii="Arial" w:hAnsi="Arial" w:cs="Arial"/>
                <w:sz w:val="20"/>
                <w:szCs w:val="20"/>
              </w:rPr>
            </w:pPr>
            <w:r>
              <w:rPr>
                <w:rFonts w:ascii="Arial" w:hAnsi="Arial" w:cs="Arial"/>
                <w:sz w:val="20"/>
                <w:szCs w:val="20"/>
              </w:rPr>
              <w:t>0.22, 0.73</w:t>
            </w:r>
          </w:p>
          <w:p w14:paraId="0D787623" w14:textId="77777777" w:rsidR="00BD03F3" w:rsidRDefault="00BD03F3" w:rsidP="00BD03F3">
            <w:pPr>
              <w:jc w:val="center"/>
              <w:rPr>
                <w:rFonts w:ascii="Arial" w:hAnsi="Arial" w:cs="Arial"/>
                <w:sz w:val="20"/>
                <w:szCs w:val="20"/>
              </w:rPr>
            </w:pPr>
            <w:r>
              <w:rPr>
                <w:rFonts w:ascii="Arial" w:hAnsi="Arial" w:cs="Arial"/>
                <w:sz w:val="20"/>
                <w:szCs w:val="20"/>
              </w:rPr>
              <w:t>0.20, 0.82</w:t>
            </w:r>
          </w:p>
          <w:p w14:paraId="6158E7B7" w14:textId="77777777" w:rsidR="00BD03F3" w:rsidRDefault="00BD03F3" w:rsidP="00BD03F3">
            <w:pPr>
              <w:jc w:val="center"/>
              <w:rPr>
                <w:rFonts w:ascii="Arial" w:hAnsi="Arial" w:cs="Arial"/>
                <w:sz w:val="20"/>
                <w:szCs w:val="20"/>
              </w:rPr>
            </w:pPr>
            <w:r>
              <w:rPr>
                <w:rFonts w:ascii="Arial" w:hAnsi="Arial" w:cs="Arial"/>
                <w:sz w:val="20"/>
                <w:szCs w:val="20"/>
              </w:rPr>
              <w:t>0.17, 0.68</w:t>
            </w:r>
          </w:p>
          <w:p w14:paraId="4F6AF676" w14:textId="2ABE50DE" w:rsidR="00BD03F3" w:rsidRDefault="00BD03F3" w:rsidP="00BD03F3">
            <w:pPr>
              <w:jc w:val="center"/>
              <w:rPr>
                <w:rFonts w:ascii="Arial" w:hAnsi="Arial" w:cs="Arial"/>
                <w:sz w:val="20"/>
                <w:szCs w:val="20"/>
              </w:rPr>
            </w:pPr>
            <w:r w:rsidRPr="003D4900">
              <w:rPr>
                <w:rFonts w:ascii="Arial" w:hAnsi="Arial" w:cs="Arial"/>
                <w:b/>
                <w:bCs/>
                <w:sz w:val="20"/>
                <w:szCs w:val="20"/>
              </w:rPr>
              <w:t>0.20, 0.90</w:t>
            </w:r>
          </w:p>
        </w:tc>
        <w:tc>
          <w:tcPr>
            <w:tcW w:w="1551" w:type="dxa"/>
          </w:tcPr>
          <w:p w14:paraId="0734EE8B" w14:textId="58E7BD1D" w:rsidR="00BD03F3" w:rsidRDefault="00BD03F3" w:rsidP="00BD03F3">
            <w:pPr>
              <w:jc w:val="center"/>
              <w:rPr>
                <w:rFonts w:ascii="Arial" w:hAnsi="Arial" w:cs="Arial"/>
                <w:sz w:val="20"/>
                <w:szCs w:val="20"/>
              </w:rPr>
            </w:pPr>
            <w:r>
              <w:rPr>
                <w:rFonts w:ascii="Arial" w:hAnsi="Arial" w:cs="Arial"/>
                <w:sz w:val="20"/>
                <w:szCs w:val="20"/>
              </w:rPr>
              <w:t>1.4 (0.1, 2.9)</w:t>
            </w:r>
          </w:p>
          <w:p w14:paraId="14AFF4AF" w14:textId="77777777" w:rsidR="00BD03F3" w:rsidRDefault="00BD03F3" w:rsidP="00BD03F3">
            <w:pPr>
              <w:jc w:val="center"/>
              <w:rPr>
                <w:rFonts w:ascii="Arial" w:hAnsi="Arial" w:cs="Arial"/>
                <w:sz w:val="20"/>
                <w:szCs w:val="20"/>
              </w:rPr>
            </w:pPr>
            <w:r>
              <w:rPr>
                <w:rFonts w:ascii="Arial" w:hAnsi="Arial" w:cs="Arial"/>
                <w:sz w:val="20"/>
                <w:szCs w:val="20"/>
              </w:rPr>
              <w:t>1.3 (0.1, 4.9)</w:t>
            </w:r>
          </w:p>
          <w:p w14:paraId="3D4A9B2A" w14:textId="77777777" w:rsidR="00BD03F3" w:rsidRDefault="00BD03F3" w:rsidP="00BD03F3">
            <w:pPr>
              <w:jc w:val="center"/>
              <w:rPr>
                <w:rFonts w:ascii="Arial" w:hAnsi="Arial" w:cs="Arial"/>
                <w:sz w:val="20"/>
                <w:szCs w:val="20"/>
              </w:rPr>
            </w:pPr>
            <w:r>
              <w:rPr>
                <w:rFonts w:ascii="Arial" w:hAnsi="Arial" w:cs="Arial"/>
                <w:sz w:val="20"/>
                <w:szCs w:val="20"/>
              </w:rPr>
              <w:t>2.7 (0.9, 4.5)</w:t>
            </w:r>
          </w:p>
          <w:p w14:paraId="722F7FEF"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1.9 (1.1, 2.7)</w:t>
            </w:r>
          </w:p>
        </w:tc>
        <w:tc>
          <w:tcPr>
            <w:tcW w:w="1710" w:type="dxa"/>
          </w:tcPr>
          <w:p w14:paraId="234BE053" w14:textId="06A6A290" w:rsidR="00BD03F3" w:rsidRDefault="00BD03F3" w:rsidP="00BD03F3">
            <w:pPr>
              <w:jc w:val="center"/>
              <w:rPr>
                <w:rFonts w:ascii="Arial" w:hAnsi="Arial" w:cs="Arial"/>
                <w:sz w:val="20"/>
                <w:szCs w:val="20"/>
              </w:rPr>
            </w:pPr>
            <w:r>
              <w:rPr>
                <w:rFonts w:ascii="Arial" w:hAnsi="Arial" w:cs="Arial"/>
                <w:sz w:val="20"/>
                <w:szCs w:val="20"/>
              </w:rPr>
              <w:t>5.2 (4.4</w:t>
            </w:r>
            <w:r w:rsidR="00ED6C3B">
              <w:rPr>
                <w:rFonts w:ascii="Arial" w:hAnsi="Arial" w:cs="Arial"/>
                <w:sz w:val="20"/>
                <w:szCs w:val="20"/>
              </w:rPr>
              <w:t>,</w:t>
            </w:r>
            <w:r>
              <w:rPr>
                <w:rFonts w:ascii="Arial" w:hAnsi="Arial" w:cs="Arial"/>
                <w:sz w:val="20"/>
                <w:szCs w:val="20"/>
              </w:rPr>
              <w:t xml:space="preserve"> 5.9)</w:t>
            </w:r>
          </w:p>
          <w:p w14:paraId="30E9843B" w14:textId="41B73100" w:rsidR="00BD03F3" w:rsidRDefault="00BD03F3" w:rsidP="00BD03F3">
            <w:pPr>
              <w:jc w:val="center"/>
              <w:rPr>
                <w:rFonts w:ascii="Arial" w:hAnsi="Arial" w:cs="Arial"/>
                <w:sz w:val="20"/>
                <w:szCs w:val="20"/>
              </w:rPr>
            </w:pPr>
            <w:r>
              <w:rPr>
                <w:rFonts w:ascii="Arial" w:hAnsi="Arial" w:cs="Arial"/>
                <w:sz w:val="20"/>
                <w:szCs w:val="20"/>
              </w:rPr>
              <w:t>13.0 (12.2</w:t>
            </w:r>
            <w:r w:rsidR="00ED6C3B">
              <w:rPr>
                <w:rFonts w:ascii="Arial" w:hAnsi="Arial" w:cs="Arial"/>
                <w:sz w:val="20"/>
                <w:szCs w:val="20"/>
              </w:rPr>
              <w:t>,</w:t>
            </w:r>
            <w:r>
              <w:rPr>
                <w:rFonts w:ascii="Arial" w:hAnsi="Arial" w:cs="Arial"/>
                <w:sz w:val="20"/>
                <w:szCs w:val="20"/>
              </w:rPr>
              <w:t xml:space="preserve"> 13.8)</w:t>
            </w:r>
          </w:p>
          <w:p w14:paraId="09828821" w14:textId="2BDF99CE" w:rsidR="00BD03F3" w:rsidRDefault="00BD03F3" w:rsidP="00BD03F3">
            <w:pPr>
              <w:jc w:val="center"/>
              <w:rPr>
                <w:rFonts w:ascii="Arial" w:hAnsi="Arial" w:cs="Arial"/>
                <w:sz w:val="20"/>
                <w:szCs w:val="20"/>
              </w:rPr>
            </w:pPr>
            <w:r>
              <w:rPr>
                <w:rFonts w:ascii="Arial" w:hAnsi="Arial" w:cs="Arial"/>
                <w:sz w:val="20"/>
                <w:szCs w:val="20"/>
              </w:rPr>
              <w:t>5.6 (4.8</w:t>
            </w:r>
            <w:r w:rsidR="00ED6C3B">
              <w:rPr>
                <w:rFonts w:ascii="Arial" w:hAnsi="Arial" w:cs="Arial"/>
                <w:sz w:val="20"/>
                <w:szCs w:val="20"/>
              </w:rPr>
              <w:t>,</w:t>
            </w:r>
            <w:r>
              <w:rPr>
                <w:rFonts w:ascii="Arial" w:hAnsi="Arial" w:cs="Arial"/>
                <w:sz w:val="20"/>
                <w:szCs w:val="20"/>
              </w:rPr>
              <w:t xml:space="preserve"> 6.3)</w:t>
            </w:r>
          </w:p>
          <w:p w14:paraId="6FAD1268" w14:textId="3C1C2E48" w:rsidR="00BD03F3" w:rsidRPr="00584FD8" w:rsidRDefault="00BD03F3" w:rsidP="00BD03F3">
            <w:pPr>
              <w:jc w:val="center"/>
              <w:rPr>
                <w:rFonts w:ascii="Arial" w:hAnsi="Arial" w:cs="Arial"/>
                <w:b/>
                <w:bCs/>
                <w:sz w:val="20"/>
                <w:szCs w:val="20"/>
              </w:rPr>
            </w:pPr>
            <w:r>
              <w:rPr>
                <w:rFonts w:ascii="Arial" w:hAnsi="Arial" w:cs="Arial"/>
                <w:b/>
                <w:bCs/>
                <w:sz w:val="20"/>
                <w:szCs w:val="20"/>
              </w:rPr>
              <w:t>7.6 (6.8</w:t>
            </w:r>
            <w:r w:rsidR="00ED6C3B">
              <w:rPr>
                <w:rFonts w:ascii="Arial" w:hAnsi="Arial" w:cs="Arial"/>
                <w:b/>
                <w:bCs/>
                <w:sz w:val="20"/>
                <w:szCs w:val="20"/>
              </w:rPr>
              <w:t>,</w:t>
            </w:r>
            <w:r>
              <w:rPr>
                <w:rFonts w:ascii="Arial" w:hAnsi="Arial" w:cs="Arial"/>
                <w:b/>
                <w:bCs/>
                <w:sz w:val="20"/>
                <w:szCs w:val="20"/>
              </w:rPr>
              <w:t xml:space="preserve"> 8.4)</w:t>
            </w:r>
          </w:p>
        </w:tc>
        <w:tc>
          <w:tcPr>
            <w:tcW w:w="1170" w:type="dxa"/>
          </w:tcPr>
          <w:p w14:paraId="5DA8175E" w14:textId="77777777" w:rsidR="00BD03F3" w:rsidRDefault="00BD03F3" w:rsidP="00BD03F3">
            <w:pPr>
              <w:jc w:val="center"/>
              <w:rPr>
                <w:rFonts w:ascii="Arial" w:hAnsi="Arial" w:cs="Arial"/>
                <w:sz w:val="20"/>
                <w:szCs w:val="20"/>
              </w:rPr>
            </w:pPr>
            <w:r>
              <w:rPr>
                <w:rFonts w:ascii="Arial" w:hAnsi="Arial" w:cs="Arial"/>
                <w:sz w:val="20"/>
                <w:szCs w:val="20"/>
              </w:rPr>
              <w:t>26.3±8.2</w:t>
            </w:r>
          </w:p>
          <w:p w14:paraId="14954718" w14:textId="77777777" w:rsidR="00BD03F3" w:rsidRDefault="00BD03F3" w:rsidP="00BD03F3">
            <w:pPr>
              <w:jc w:val="center"/>
              <w:rPr>
                <w:rFonts w:ascii="Arial" w:hAnsi="Arial" w:cs="Arial"/>
                <w:sz w:val="20"/>
                <w:szCs w:val="20"/>
              </w:rPr>
            </w:pPr>
            <w:r>
              <w:rPr>
                <w:rFonts w:ascii="Arial" w:hAnsi="Arial" w:cs="Arial"/>
                <w:sz w:val="20"/>
                <w:szCs w:val="20"/>
              </w:rPr>
              <w:t>66.6±25.2</w:t>
            </w:r>
          </w:p>
          <w:p w14:paraId="3DD5244F" w14:textId="77777777" w:rsidR="00BD03F3" w:rsidRDefault="00BD03F3" w:rsidP="00BD03F3">
            <w:pPr>
              <w:jc w:val="center"/>
              <w:rPr>
                <w:rFonts w:ascii="Arial" w:hAnsi="Arial" w:cs="Arial"/>
                <w:sz w:val="20"/>
                <w:szCs w:val="20"/>
              </w:rPr>
            </w:pPr>
            <w:r>
              <w:rPr>
                <w:rFonts w:ascii="Arial" w:hAnsi="Arial" w:cs="Arial"/>
                <w:sz w:val="20"/>
                <w:szCs w:val="20"/>
              </w:rPr>
              <w:t>27.5±8.4</w:t>
            </w:r>
          </w:p>
          <w:p w14:paraId="34DEB434"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38.4±23.6</w:t>
            </w:r>
          </w:p>
        </w:tc>
        <w:tc>
          <w:tcPr>
            <w:tcW w:w="1260" w:type="dxa"/>
          </w:tcPr>
          <w:p w14:paraId="60A44728" w14:textId="77777777" w:rsidR="00BD03F3" w:rsidRDefault="00BD03F3" w:rsidP="00BD03F3">
            <w:pPr>
              <w:jc w:val="center"/>
              <w:rPr>
                <w:rFonts w:ascii="Arial" w:hAnsi="Arial" w:cs="Arial"/>
                <w:sz w:val="20"/>
                <w:szCs w:val="20"/>
              </w:rPr>
            </w:pPr>
            <w:r>
              <w:rPr>
                <w:rFonts w:ascii="Arial" w:hAnsi="Arial" w:cs="Arial"/>
                <w:sz w:val="20"/>
                <w:szCs w:val="20"/>
              </w:rPr>
              <w:t>0.88±0.03</w:t>
            </w:r>
          </w:p>
          <w:p w14:paraId="194AB80E" w14:textId="77777777" w:rsidR="00BD03F3" w:rsidRDefault="00BD03F3" w:rsidP="00BD03F3">
            <w:pPr>
              <w:jc w:val="center"/>
              <w:rPr>
                <w:rFonts w:ascii="Arial" w:hAnsi="Arial" w:cs="Arial"/>
                <w:sz w:val="20"/>
                <w:szCs w:val="20"/>
              </w:rPr>
            </w:pPr>
            <w:r>
              <w:rPr>
                <w:rFonts w:ascii="Arial" w:hAnsi="Arial" w:cs="Arial"/>
                <w:sz w:val="20"/>
                <w:szCs w:val="20"/>
              </w:rPr>
              <w:t>0.85±0.04</w:t>
            </w:r>
          </w:p>
          <w:p w14:paraId="6283A17D" w14:textId="77777777" w:rsidR="00BD03F3" w:rsidRDefault="00BD03F3" w:rsidP="00BD03F3">
            <w:pPr>
              <w:jc w:val="center"/>
              <w:rPr>
                <w:rFonts w:ascii="Arial" w:hAnsi="Arial" w:cs="Arial"/>
                <w:sz w:val="20"/>
                <w:szCs w:val="20"/>
              </w:rPr>
            </w:pPr>
            <w:r>
              <w:rPr>
                <w:rFonts w:ascii="Arial" w:hAnsi="Arial" w:cs="Arial"/>
                <w:sz w:val="20"/>
                <w:szCs w:val="20"/>
              </w:rPr>
              <w:t>0.90±0.03</w:t>
            </w:r>
          </w:p>
          <w:p w14:paraId="6ED71F49" w14:textId="77777777" w:rsidR="00BD03F3" w:rsidRPr="00857C35" w:rsidRDefault="00BD03F3" w:rsidP="00BD03F3">
            <w:pPr>
              <w:jc w:val="center"/>
              <w:rPr>
                <w:rFonts w:ascii="Arial" w:hAnsi="Arial" w:cs="Arial"/>
                <w:b/>
                <w:bCs/>
                <w:sz w:val="20"/>
                <w:szCs w:val="20"/>
              </w:rPr>
            </w:pPr>
            <w:r w:rsidRPr="00857C35">
              <w:rPr>
                <w:rFonts w:ascii="Arial" w:hAnsi="Arial" w:cs="Arial"/>
                <w:b/>
                <w:bCs/>
                <w:sz w:val="20"/>
                <w:szCs w:val="20"/>
              </w:rPr>
              <w:t>0.87±0.04</w:t>
            </w:r>
          </w:p>
        </w:tc>
      </w:tr>
      <w:tr w:rsidR="00BD03F3" w:rsidRPr="0045191A" w14:paraId="47C3277B" w14:textId="77777777" w:rsidTr="00BD03F3">
        <w:tc>
          <w:tcPr>
            <w:tcW w:w="985" w:type="dxa"/>
          </w:tcPr>
          <w:p w14:paraId="76C71A19" w14:textId="77777777" w:rsidR="00BD03F3" w:rsidRDefault="00BD03F3" w:rsidP="00BD03F3">
            <w:pPr>
              <w:jc w:val="center"/>
              <w:rPr>
                <w:rFonts w:ascii="Arial" w:hAnsi="Arial" w:cs="Arial"/>
                <w:b/>
                <w:bCs/>
                <w:sz w:val="20"/>
                <w:szCs w:val="20"/>
              </w:rPr>
            </w:pPr>
            <w:r w:rsidRPr="0045191A">
              <w:rPr>
                <w:rFonts w:ascii="Arial" w:hAnsi="Arial" w:cs="Arial"/>
                <w:b/>
                <w:bCs/>
                <w:sz w:val="20"/>
                <w:szCs w:val="20"/>
              </w:rPr>
              <w:t>Mackenzie</w:t>
            </w:r>
          </w:p>
          <w:p w14:paraId="4F411A22" w14:textId="77777777" w:rsidR="00BD03F3" w:rsidRPr="0045191A" w:rsidRDefault="00BD03F3" w:rsidP="00BD03F3">
            <w:pPr>
              <w:jc w:val="center"/>
              <w:rPr>
                <w:rFonts w:ascii="Arial" w:hAnsi="Arial" w:cs="Arial"/>
                <w:b/>
                <w:bCs/>
                <w:sz w:val="20"/>
                <w:szCs w:val="20"/>
              </w:rPr>
            </w:pPr>
            <w:r>
              <w:rPr>
                <w:rFonts w:ascii="Arial" w:hAnsi="Arial" w:cs="Arial"/>
                <w:b/>
                <w:bCs/>
                <w:sz w:val="20"/>
                <w:szCs w:val="20"/>
              </w:rPr>
              <w:t>n=17, 13, 18, 48</w:t>
            </w:r>
          </w:p>
        </w:tc>
        <w:tc>
          <w:tcPr>
            <w:tcW w:w="1329" w:type="dxa"/>
          </w:tcPr>
          <w:p w14:paraId="0F94574E" w14:textId="77777777" w:rsidR="00BD03F3" w:rsidRDefault="00BD03F3" w:rsidP="00BD03F3">
            <w:pPr>
              <w:jc w:val="center"/>
              <w:rPr>
                <w:rFonts w:ascii="Arial" w:hAnsi="Arial" w:cs="Arial"/>
                <w:sz w:val="20"/>
                <w:szCs w:val="20"/>
              </w:rPr>
            </w:pPr>
            <w:r>
              <w:rPr>
                <w:rFonts w:ascii="Arial" w:hAnsi="Arial" w:cs="Arial"/>
                <w:sz w:val="20"/>
                <w:szCs w:val="20"/>
              </w:rPr>
              <w:t>4.3±0.5</w:t>
            </w:r>
          </w:p>
          <w:p w14:paraId="48E613B7" w14:textId="77777777" w:rsidR="00BD03F3" w:rsidRDefault="00BD03F3" w:rsidP="00BD03F3">
            <w:pPr>
              <w:jc w:val="center"/>
              <w:rPr>
                <w:rFonts w:ascii="Arial" w:hAnsi="Arial" w:cs="Arial"/>
                <w:sz w:val="20"/>
                <w:szCs w:val="20"/>
              </w:rPr>
            </w:pPr>
            <w:r>
              <w:rPr>
                <w:rFonts w:ascii="Arial" w:hAnsi="Arial" w:cs="Arial"/>
                <w:sz w:val="20"/>
                <w:szCs w:val="20"/>
              </w:rPr>
              <w:t>6.0±1.2</w:t>
            </w:r>
          </w:p>
          <w:p w14:paraId="3D8F3F27" w14:textId="77777777" w:rsidR="00BD03F3" w:rsidRDefault="00BD03F3" w:rsidP="00BD03F3">
            <w:pPr>
              <w:jc w:val="center"/>
              <w:rPr>
                <w:rFonts w:ascii="Arial" w:hAnsi="Arial" w:cs="Arial"/>
                <w:sz w:val="20"/>
                <w:szCs w:val="20"/>
              </w:rPr>
            </w:pPr>
            <w:r>
              <w:rPr>
                <w:rFonts w:ascii="Arial" w:hAnsi="Arial" w:cs="Arial"/>
                <w:sz w:val="20"/>
                <w:szCs w:val="20"/>
              </w:rPr>
              <w:t>4.7±0.9</w:t>
            </w:r>
          </w:p>
          <w:p w14:paraId="3B7695AF"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4.</w:t>
            </w:r>
            <w:r>
              <w:rPr>
                <w:rFonts w:ascii="Arial" w:hAnsi="Arial" w:cs="Arial"/>
                <w:b/>
                <w:bCs/>
                <w:sz w:val="20"/>
                <w:szCs w:val="20"/>
              </w:rPr>
              <w:t>9</w:t>
            </w:r>
            <w:r w:rsidRPr="00944508">
              <w:rPr>
                <w:rFonts w:ascii="Arial" w:hAnsi="Arial" w:cs="Arial"/>
                <w:b/>
                <w:bCs/>
                <w:sz w:val="20"/>
                <w:szCs w:val="20"/>
              </w:rPr>
              <w:t>±1.1</w:t>
            </w:r>
          </w:p>
        </w:tc>
        <w:tc>
          <w:tcPr>
            <w:tcW w:w="1551" w:type="dxa"/>
          </w:tcPr>
          <w:p w14:paraId="62311203" w14:textId="77777777" w:rsidR="00BD03F3" w:rsidRDefault="00BD03F3" w:rsidP="00BD03F3">
            <w:pPr>
              <w:jc w:val="center"/>
              <w:rPr>
                <w:rFonts w:ascii="Arial" w:hAnsi="Arial" w:cs="Arial"/>
                <w:sz w:val="20"/>
                <w:szCs w:val="20"/>
              </w:rPr>
            </w:pPr>
            <w:r>
              <w:rPr>
                <w:rFonts w:ascii="Arial" w:hAnsi="Arial" w:cs="Arial"/>
                <w:sz w:val="20"/>
                <w:szCs w:val="20"/>
              </w:rPr>
              <w:t>0.31, 0.36</w:t>
            </w:r>
          </w:p>
          <w:p w14:paraId="0F8CF43B" w14:textId="77777777" w:rsidR="00BD03F3" w:rsidRDefault="00BD03F3" w:rsidP="00BD03F3">
            <w:pPr>
              <w:jc w:val="center"/>
              <w:rPr>
                <w:rFonts w:ascii="Arial" w:hAnsi="Arial" w:cs="Arial"/>
                <w:sz w:val="20"/>
                <w:szCs w:val="20"/>
              </w:rPr>
            </w:pPr>
            <w:r>
              <w:rPr>
                <w:rFonts w:ascii="Arial" w:hAnsi="Arial" w:cs="Arial"/>
                <w:sz w:val="20"/>
                <w:szCs w:val="20"/>
              </w:rPr>
              <w:t>0.13, 0.24</w:t>
            </w:r>
          </w:p>
          <w:p w14:paraId="2D822791" w14:textId="77777777" w:rsidR="00BD03F3" w:rsidRDefault="00BD03F3" w:rsidP="00BD03F3">
            <w:pPr>
              <w:jc w:val="center"/>
              <w:rPr>
                <w:rFonts w:ascii="Arial" w:hAnsi="Arial" w:cs="Arial"/>
                <w:sz w:val="20"/>
                <w:szCs w:val="20"/>
              </w:rPr>
            </w:pPr>
            <w:r>
              <w:rPr>
                <w:rFonts w:ascii="Arial" w:hAnsi="Arial" w:cs="Arial"/>
                <w:sz w:val="20"/>
                <w:szCs w:val="20"/>
              </w:rPr>
              <w:t>0.21, 0.67</w:t>
            </w:r>
          </w:p>
          <w:p w14:paraId="5964A6CC" w14:textId="7534BEFD" w:rsidR="00BD03F3" w:rsidRDefault="00BD03F3" w:rsidP="00BD03F3">
            <w:pPr>
              <w:jc w:val="center"/>
              <w:rPr>
                <w:rFonts w:ascii="Arial" w:hAnsi="Arial" w:cs="Arial"/>
                <w:sz w:val="20"/>
                <w:szCs w:val="20"/>
              </w:rPr>
            </w:pPr>
            <w:r w:rsidRPr="003D4900">
              <w:rPr>
                <w:rFonts w:ascii="Arial" w:hAnsi="Arial" w:cs="Arial"/>
                <w:b/>
                <w:bCs/>
                <w:sz w:val="20"/>
                <w:szCs w:val="20"/>
              </w:rPr>
              <w:t>0.16, 0.62</w:t>
            </w:r>
          </w:p>
        </w:tc>
        <w:tc>
          <w:tcPr>
            <w:tcW w:w="1551" w:type="dxa"/>
          </w:tcPr>
          <w:p w14:paraId="4F591E3C" w14:textId="663FB82A" w:rsidR="00BD03F3" w:rsidRDefault="00BD03F3" w:rsidP="00BD03F3">
            <w:pPr>
              <w:jc w:val="center"/>
              <w:rPr>
                <w:rFonts w:ascii="Arial" w:hAnsi="Arial" w:cs="Arial"/>
                <w:sz w:val="20"/>
                <w:szCs w:val="20"/>
              </w:rPr>
            </w:pPr>
            <w:r>
              <w:rPr>
                <w:rFonts w:ascii="Arial" w:hAnsi="Arial" w:cs="Arial"/>
                <w:sz w:val="20"/>
                <w:szCs w:val="20"/>
              </w:rPr>
              <w:t>2.0 (0.4, 3.6)</w:t>
            </w:r>
          </w:p>
          <w:p w14:paraId="28E9BE76" w14:textId="77777777" w:rsidR="00BD03F3" w:rsidRDefault="00BD03F3" w:rsidP="00BD03F3">
            <w:pPr>
              <w:jc w:val="center"/>
              <w:rPr>
                <w:rFonts w:ascii="Arial" w:hAnsi="Arial" w:cs="Arial"/>
                <w:sz w:val="20"/>
                <w:szCs w:val="20"/>
              </w:rPr>
            </w:pPr>
            <w:r>
              <w:rPr>
                <w:rFonts w:ascii="Arial" w:hAnsi="Arial" w:cs="Arial"/>
                <w:sz w:val="20"/>
                <w:szCs w:val="20"/>
              </w:rPr>
              <w:t>3.6 (1.1, 6.1)</w:t>
            </w:r>
          </w:p>
          <w:p w14:paraId="2A3C8677" w14:textId="77777777" w:rsidR="00BD03F3" w:rsidRDefault="00BD03F3" w:rsidP="00BD03F3">
            <w:pPr>
              <w:jc w:val="center"/>
              <w:rPr>
                <w:rFonts w:ascii="Arial" w:hAnsi="Arial" w:cs="Arial"/>
                <w:sz w:val="20"/>
                <w:szCs w:val="20"/>
              </w:rPr>
            </w:pPr>
            <w:r>
              <w:rPr>
                <w:rFonts w:ascii="Arial" w:hAnsi="Arial" w:cs="Arial"/>
                <w:sz w:val="20"/>
                <w:szCs w:val="20"/>
              </w:rPr>
              <w:t>2.1 (1.2, 3.1)</w:t>
            </w:r>
          </w:p>
          <w:p w14:paraId="6EFF55A6" w14:textId="77777777" w:rsidR="00BD03F3" w:rsidRPr="00875B06" w:rsidRDefault="00BD03F3" w:rsidP="00BD03F3">
            <w:pPr>
              <w:jc w:val="center"/>
              <w:rPr>
                <w:rFonts w:ascii="Arial" w:hAnsi="Arial" w:cs="Arial"/>
                <w:b/>
                <w:bCs/>
                <w:sz w:val="20"/>
                <w:szCs w:val="20"/>
              </w:rPr>
            </w:pPr>
            <w:r w:rsidRPr="00875B06">
              <w:rPr>
                <w:rFonts w:ascii="Arial" w:hAnsi="Arial" w:cs="Arial"/>
                <w:b/>
                <w:bCs/>
                <w:sz w:val="20"/>
                <w:szCs w:val="20"/>
              </w:rPr>
              <w:t>3.0 (2.5</w:t>
            </w:r>
            <w:r>
              <w:rPr>
                <w:rFonts w:ascii="Arial" w:hAnsi="Arial" w:cs="Arial"/>
                <w:b/>
                <w:bCs/>
                <w:sz w:val="20"/>
                <w:szCs w:val="20"/>
              </w:rPr>
              <w:t xml:space="preserve">, </w:t>
            </w:r>
            <w:r w:rsidRPr="00875B06">
              <w:rPr>
                <w:rFonts w:ascii="Arial" w:hAnsi="Arial" w:cs="Arial"/>
                <w:b/>
                <w:bCs/>
                <w:sz w:val="20"/>
                <w:szCs w:val="20"/>
              </w:rPr>
              <w:t>3.4)</w:t>
            </w:r>
          </w:p>
        </w:tc>
        <w:tc>
          <w:tcPr>
            <w:tcW w:w="1710" w:type="dxa"/>
          </w:tcPr>
          <w:p w14:paraId="5485BA03" w14:textId="20284DB6" w:rsidR="00BD03F3" w:rsidRDefault="00BD03F3" w:rsidP="00BD03F3">
            <w:pPr>
              <w:jc w:val="center"/>
              <w:rPr>
                <w:rFonts w:ascii="Arial" w:hAnsi="Arial" w:cs="Arial"/>
                <w:sz w:val="20"/>
                <w:szCs w:val="20"/>
              </w:rPr>
            </w:pPr>
            <w:r w:rsidRPr="00584FD8">
              <w:rPr>
                <w:rFonts w:ascii="Arial" w:hAnsi="Arial" w:cs="Arial"/>
                <w:sz w:val="20"/>
                <w:szCs w:val="20"/>
              </w:rPr>
              <w:t>1.3 (0.8</w:t>
            </w:r>
            <w:r w:rsidR="00ED6C3B">
              <w:rPr>
                <w:rFonts w:ascii="Arial" w:hAnsi="Arial" w:cs="Arial"/>
                <w:sz w:val="20"/>
                <w:szCs w:val="20"/>
              </w:rPr>
              <w:t>,</w:t>
            </w:r>
            <w:r w:rsidRPr="00584FD8">
              <w:rPr>
                <w:rFonts w:ascii="Arial" w:hAnsi="Arial" w:cs="Arial"/>
                <w:sz w:val="20"/>
                <w:szCs w:val="20"/>
              </w:rPr>
              <w:t xml:space="preserve"> 1.8)</w:t>
            </w:r>
          </w:p>
          <w:p w14:paraId="293DF6E8" w14:textId="4539F285" w:rsidR="00BD03F3" w:rsidRDefault="00BD03F3" w:rsidP="00BD03F3">
            <w:pPr>
              <w:jc w:val="center"/>
              <w:rPr>
                <w:rFonts w:ascii="Arial" w:hAnsi="Arial" w:cs="Arial"/>
                <w:sz w:val="20"/>
                <w:szCs w:val="20"/>
              </w:rPr>
            </w:pPr>
            <w:r>
              <w:rPr>
                <w:rFonts w:ascii="Arial" w:hAnsi="Arial" w:cs="Arial"/>
                <w:sz w:val="20"/>
                <w:szCs w:val="20"/>
              </w:rPr>
              <w:t>3.0 (2.5</w:t>
            </w:r>
            <w:r w:rsidR="00ED6C3B">
              <w:rPr>
                <w:rFonts w:ascii="Arial" w:hAnsi="Arial" w:cs="Arial"/>
                <w:sz w:val="20"/>
                <w:szCs w:val="20"/>
              </w:rPr>
              <w:t>,</w:t>
            </w:r>
            <w:r>
              <w:rPr>
                <w:rFonts w:ascii="Arial" w:hAnsi="Arial" w:cs="Arial"/>
                <w:sz w:val="20"/>
                <w:szCs w:val="20"/>
              </w:rPr>
              <w:t xml:space="preserve"> 3.5)</w:t>
            </w:r>
          </w:p>
          <w:p w14:paraId="4935F8C0" w14:textId="5B19A305" w:rsidR="00BD03F3" w:rsidRDefault="00BD03F3" w:rsidP="00BD03F3">
            <w:pPr>
              <w:jc w:val="center"/>
              <w:rPr>
                <w:rFonts w:ascii="Arial" w:hAnsi="Arial" w:cs="Arial"/>
                <w:sz w:val="20"/>
                <w:szCs w:val="20"/>
              </w:rPr>
            </w:pPr>
            <w:r>
              <w:rPr>
                <w:rFonts w:ascii="Arial" w:hAnsi="Arial" w:cs="Arial"/>
                <w:sz w:val="20"/>
                <w:szCs w:val="20"/>
              </w:rPr>
              <w:t>1.8 (1.3</w:t>
            </w:r>
            <w:r w:rsidR="00ED6C3B">
              <w:rPr>
                <w:rFonts w:ascii="Arial" w:hAnsi="Arial" w:cs="Arial"/>
                <w:sz w:val="20"/>
                <w:szCs w:val="20"/>
              </w:rPr>
              <w:t>,</w:t>
            </w:r>
            <w:r>
              <w:rPr>
                <w:rFonts w:ascii="Arial" w:hAnsi="Arial" w:cs="Arial"/>
                <w:sz w:val="20"/>
                <w:szCs w:val="20"/>
              </w:rPr>
              <w:t xml:space="preserve"> 2.2)</w:t>
            </w:r>
          </w:p>
          <w:p w14:paraId="3694A8C1" w14:textId="018FD455" w:rsidR="00BD03F3" w:rsidRPr="00584FD8" w:rsidRDefault="00BD03F3" w:rsidP="00BD03F3">
            <w:pPr>
              <w:jc w:val="center"/>
              <w:rPr>
                <w:rFonts w:ascii="Arial" w:hAnsi="Arial" w:cs="Arial"/>
                <w:b/>
                <w:bCs/>
                <w:sz w:val="20"/>
                <w:szCs w:val="20"/>
              </w:rPr>
            </w:pPr>
            <w:r w:rsidRPr="00584FD8">
              <w:rPr>
                <w:rFonts w:ascii="Arial" w:hAnsi="Arial" w:cs="Arial"/>
                <w:b/>
                <w:bCs/>
                <w:sz w:val="20"/>
                <w:szCs w:val="20"/>
              </w:rPr>
              <w:t>1.9 (1.5</w:t>
            </w:r>
            <w:r w:rsidR="00ED6C3B">
              <w:rPr>
                <w:rFonts w:ascii="Arial" w:hAnsi="Arial" w:cs="Arial"/>
                <w:b/>
                <w:bCs/>
                <w:sz w:val="20"/>
                <w:szCs w:val="20"/>
              </w:rPr>
              <w:t>,</w:t>
            </w:r>
            <w:r w:rsidRPr="00584FD8">
              <w:rPr>
                <w:rFonts w:ascii="Arial" w:hAnsi="Arial" w:cs="Arial"/>
                <w:b/>
                <w:bCs/>
                <w:sz w:val="20"/>
                <w:szCs w:val="20"/>
              </w:rPr>
              <w:t xml:space="preserve"> 2.4</w:t>
            </w:r>
          </w:p>
        </w:tc>
        <w:tc>
          <w:tcPr>
            <w:tcW w:w="1170" w:type="dxa"/>
          </w:tcPr>
          <w:p w14:paraId="001AC723" w14:textId="77777777" w:rsidR="00BD03F3" w:rsidRDefault="00BD03F3" w:rsidP="00BD03F3">
            <w:pPr>
              <w:jc w:val="center"/>
              <w:rPr>
                <w:rFonts w:ascii="Arial" w:hAnsi="Arial" w:cs="Arial"/>
                <w:sz w:val="20"/>
                <w:szCs w:val="20"/>
              </w:rPr>
            </w:pPr>
            <w:r>
              <w:rPr>
                <w:rFonts w:ascii="Arial" w:hAnsi="Arial" w:cs="Arial"/>
                <w:sz w:val="20"/>
                <w:szCs w:val="20"/>
              </w:rPr>
              <w:t>7.4±1.1</w:t>
            </w:r>
          </w:p>
          <w:p w14:paraId="1E564715" w14:textId="77777777" w:rsidR="00BD03F3" w:rsidRDefault="00BD03F3" w:rsidP="00BD03F3">
            <w:pPr>
              <w:jc w:val="center"/>
              <w:rPr>
                <w:rFonts w:ascii="Arial" w:hAnsi="Arial" w:cs="Arial"/>
                <w:sz w:val="20"/>
                <w:szCs w:val="20"/>
              </w:rPr>
            </w:pPr>
            <w:r>
              <w:rPr>
                <w:rFonts w:ascii="Arial" w:hAnsi="Arial" w:cs="Arial"/>
                <w:sz w:val="20"/>
                <w:szCs w:val="20"/>
              </w:rPr>
              <w:t>18.2±5.0</w:t>
            </w:r>
          </w:p>
          <w:p w14:paraId="6EF1C167" w14:textId="77777777" w:rsidR="00BD03F3" w:rsidRDefault="00BD03F3" w:rsidP="00BD03F3">
            <w:pPr>
              <w:jc w:val="center"/>
              <w:rPr>
                <w:rFonts w:ascii="Arial" w:hAnsi="Arial" w:cs="Arial"/>
                <w:sz w:val="20"/>
                <w:szCs w:val="20"/>
              </w:rPr>
            </w:pPr>
            <w:r>
              <w:rPr>
                <w:rFonts w:ascii="Arial" w:hAnsi="Arial" w:cs="Arial"/>
                <w:sz w:val="20"/>
                <w:szCs w:val="20"/>
              </w:rPr>
              <w:t>12.1±3.4</w:t>
            </w:r>
          </w:p>
          <w:p w14:paraId="4B956D4D"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12.1±5.4</w:t>
            </w:r>
          </w:p>
        </w:tc>
        <w:tc>
          <w:tcPr>
            <w:tcW w:w="1260" w:type="dxa"/>
          </w:tcPr>
          <w:p w14:paraId="6CCD80AE" w14:textId="77777777" w:rsidR="00BD03F3" w:rsidRDefault="00BD03F3" w:rsidP="00BD03F3">
            <w:pPr>
              <w:jc w:val="center"/>
              <w:rPr>
                <w:rFonts w:ascii="Arial" w:hAnsi="Arial" w:cs="Arial"/>
                <w:sz w:val="20"/>
                <w:szCs w:val="20"/>
              </w:rPr>
            </w:pPr>
            <w:r>
              <w:rPr>
                <w:rFonts w:ascii="Arial" w:hAnsi="Arial" w:cs="Arial"/>
                <w:sz w:val="20"/>
                <w:szCs w:val="20"/>
              </w:rPr>
              <w:t>0.96±0.22</w:t>
            </w:r>
          </w:p>
          <w:p w14:paraId="22CE7631" w14:textId="77777777" w:rsidR="00BD03F3" w:rsidRDefault="00BD03F3" w:rsidP="00BD03F3">
            <w:pPr>
              <w:jc w:val="center"/>
              <w:rPr>
                <w:rFonts w:ascii="Arial" w:hAnsi="Arial" w:cs="Arial"/>
                <w:sz w:val="20"/>
                <w:szCs w:val="20"/>
              </w:rPr>
            </w:pPr>
            <w:r>
              <w:rPr>
                <w:rFonts w:ascii="Arial" w:hAnsi="Arial" w:cs="Arial"/>
                <w:sz w:val="20"/>
                <w:szCs w:val="20"/>
              </w:rPr>
              <w:t>0.90±0.05</w:t>
            </w:r>
          </w:p>
          <w:p w14:paraId="65990DB1" w14:textId="77777777" w:rsidR="00BD03F3" w:rsidRDefault="00BD03F3" w:rsidP="00BD03F3">
            <w:pPr>
              <w:jc w:val="center"/>
              <w:rPr>
                <w:rFonts w:ascii="Arial" w:hAnsi="Arial" w:cs="Arial"/>
                <w:sz w:val="20"/>
                <w:szCs w:val="20"/>
              </w:rPr>
            </w:pPr>
            <w:r>
              <w:rPr>
                <w:rFonts w:ascii="Arial" w:hAnsi="Arial" w:cs="Arial"/>
                <w:sz w:val="20"/>
                <w:szCs w:val="20"/>
              </w:rPr>
              <w:t>0.87±0.10</w:t>
            </w:r>
          </w:p>
          <w:p w14:paraId="3BAF1B9D" w14:textId="77777777" w:rsidR="00BD03F3" w:rsidRPr="00857C35" w:rsidRDefault="00BD03F3" w:rsidP="00BD03F3">
            <w:pPr>
              <w:jc w:val="center"/>
              <w:rPr>
                <w:rFonts w:ascii="Arial" w:hAnsi="Arial" w:cs="Arial"/>
                <w:b/>
                <w:bCs/>
                <w:sz w:val="20"/>
                <w:szCs w:val="20"/>
              </w:rPr>
            </w:pPr>
            <w:r w:rsidRPr="00857C35">
              <w:rPr>
                <w:rFonts w:ascii="Arial" w:hAnsi="Arial" w:cs="Arial"/>
                <w:b/>
                <w:bCs/>
                <w:sz w:val="20"/>
                <w:szCs w:val="20"/>
              </w:rPr>
              <w:t>0.91±0.15</w:t>
            </w:r>
          </w:p>
        </w:tc>
      </w:tr>
      <w:tr w:rsidR="00BD03F3" w:rsidRPr="0045191A" w14:paraId="78F3A165" w14:textId="77777777" w:rsidTr="00BD03F3">
        <w:tc>
          <w:tcPr>
            <w:tcW w:w="985" w:type="dxa"/>
          </w:tcPr>
          <w:p w14:paraId="24CE8489" w14:textId="77777777" w:rsidR="00BD03F3" w:rsidRDefault="00BD03F3" w:rsidP="00BD03F3">
            <w:pPr>
              <w:jc w:val="center"/>
              <w:rPr>
                <w:rFonts w:ascii="Arial" w:hAnsi="Arial" w:cs="Arial"/>
                <w:b/>
                <w:bCs/>
                <w:sz w:val="20"/>
                <w:szCs w:val="20"/>
              </w:rPr>
            </w:pPr>
            <w:r w:rsidRPr="0045191A">
              <w:rPr>
                <w:rFonts w:ascii="Arial" w:hAnsi="Arial" w:cs="Arial"/>
                <w:b/>
                <w:bCs/>
                <w:sz w:val="20"/>
                <w:szCs w:val="20"/>
              </w:rPr>
              <w:t>Ob’</w:t>
            </w:r>
          </w:p>
          <w:p w14:paraId="21BF2FFF" w14:textId="77777777" w:rsidR="00BD03F3" w:rsidRPr="0045191A" w:rsidRDefault="00BD03F3" w:rsidP="00BD03F3">
            <w:pPr>
              <w:jc w:val="center"/>
              <w:rPr>
                <w:rFonts w:ascii="Arial" w:hAnsi="Arial" w:cs="Arial"/>
                <w:b/>
                <w:bCs/>
                <w:sz w:val="20"/>
                <w:szCs w:val="20"/>
              </w:rPr>
            </w:pPr>
            <w:r>
              <w:rPr>
                <w:rFonts w:ascii="Arial" w:hAnsi="Arial" w:cs="Arial"/>
                <w:b/>
                <w:bCs/>
                <w:sz w:val="20"/>
                <w:szCs w:val="20"/>
              </w:rPr>
              <w:t>n=24, 16, 18, 58</w:t>
            </w:r>
          </w:p>
        </w:tc>
        <w:tc>
          <w:tcPr>
            <w:tcW w:w="1329" w:type="dxa"/>
          </w:tcPr>
          <w:p w14:paraId="3EA11444" w14:textId="77777777" w:rsidR="00BD03F3" w:rsidRDefault="00BD03F3" w:rsidP="00BD03F3">
            <w:pPr>
              <w:jc w:val="center"/>
              <w:rPr>
                <w:rFonts w:ascii="Arial" w:hAnsi="Arial" w:cs="Arial"/>
                <w:sz w:val="20"/>
                <w:szCs w:val="20"/>
              </w:rPr>
            </w:pPr>
            <w:r>
              <w:rPr>
                <w:rFonts w:ascii="Arial" w:hAnsi="Arial" w:cs="Arial"/>
                <w:sz w:val="20"/>
                <w:szCs w:val="20"/>
              </w:rPr>
              <w:t>7.6±2.4</w:t>
            </w:r>
          </w:p>
          <w:p w14:paraId="44934B3F" w14:textId="77777777" w:rsidR="00BD03F3" w:rsidRDefault="00BD03F3" w:rsidP="00BD03F3">
            <w:pPr>
              <w:jc w:val="center"/>
              <w:rPr>
                <w:rFonts w:ascii="Arial" w:hAnsi="Arial" w:cs="Arial"/>
                <w:sz w:val="20"/>
                <w:szCs w:val="20"/>
              </w:rPr>
            </w:pPr>
            <w:r>
              <w:rPr>
                <w:rFonts w:ascii="Arial" w:hAnsi="Arial" w:cs="Arial"/>
                <w:sz w:val="20"/>
                <w:szCs w:val="20"/>
              </w:rPr>
              <w:t>10.2±2.4</w:t>
            </w:r>
          </w:p>
          <w:p w14:paraId="61BA81DB" w14:textId="77777777" w:rsidR="00BD03F3" w:rsidRDefault="00BD03F3" w:rsidP="00BD03F3">
            <w:pPr>
              <w:jc w:val="center"/>
              <w:rPr>
                <w:rFonts w:ascii="Arial" w:hAnsi="Arial" w:cs="Arial"/>
                <w:sz w:val="20"/>
                <w:szCs w:val="20"/>
              </w:rPr>
            </w:pPr>
            <w:r>
              <w:rPr>
                <w:rFonts w:ascii="Arial" w:hAnsi="Arial" w:cs="Arial"/>
                <w:sz w:val="20"/>
                <w:szCs w:val="20"/>
              </w:rPr>
              <w:t>11.4±2.9</w:t>
            </w:r>
          </w:p>
          <w:p w14:paraId="4B14A3D2"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9.5±3.0</w:t>
            </w:r>
          </w:p>
        </w:tc>
        <w:tc>
          <w:tcPr>
            <w:tcW w:w="1551" w:type="dxa"/>
          </w:tcPr>
          <w:p w14:paraId="038FDD89" w14:textId="77777777" w:rsidR="00BD03F3" w:rsidRDefault="00BD03F3" w:rsidP="00BD03F3">
            <w:pPr>
              <w:jc w:val="center"/>
              <w:rPr>
                <w:rFonts w:ascii="Arial" w:hAnsi="Arial" w:cs="Arial"/>
                <w:sz w:val="20"/>
                <w:szCs w:val="20"/>
              </w:rPr>
            </w:pPr>
            <w:r>
              <w:rPr>
                <w:rFonts w:ascii="Arial" w:hAnsi="Arial" w:cs="Arial"/>
                <w:sz w:val="20"/>
                <w:szCs w:val="20"/>
              </w:rPr>
              <w:t>0.16, 0.78</w:t>
            </w:r>
          </w:p>
          <w:p w14:paraId="41327A5B" w14:textId="77777777" w:rsidR="00BD03F3" w:rsidRDefault="00BD03F3" w:rsidP="00BD03F3">
            <w:pPr>
              <w:jc w:val="center"/>
              <w:rPr>
                <w:rFonts w:ascii="Arial" w:hAnsi="Arial" w:cs="Arial"/>
                <w:sz w:val="20"/>
                <w:szCs w:val="20"/>
              </w:rPr>
            </w:pPr>
            <w:r>
              <w:rPr>
                <w:rFonts w:ascii="Arial" w:hAnsi="Arial" w:cs="Arial"/>
                <w:sz w:val="20"/>
                <w:szCs w:val="20"/>
              </w:rPr>
              <w:t>0.17, 0.66</w:t>
            </w:r>
          </w:p>
          <w:p w14:paraId="488CC7A1" w14:textId="77777777" w:rsidR="00BD03F3" w:rsidRDefault="00BD03F3" w:rsidP="00BD03F3">
            <w:pPr>
              <w:jc w:val="center"/>
              <w:rPr>
                <w:rFonts w:ascii="Arial" w:hAnsi="Arial" w:cs="Arial"/>
                <w:sz w:val="20"/>
                <w:szCs w:val="20"/>
              </w:rPr>
            </w:pPr>
            <w:r>
              <w:rPr>
                <w:rFonts w:ascii="Arial" w:hAnsi="Arial" w:cs="Arial"/>
                <w:sz w:val="20"/>
                <w:szCs w:val="20"/>
              </w:rPr>
              <w:t>0.16, 0.63</w:t>
            </w:r>
          </w:p>
          <w:p w14:paraId="45114994" w14:textId="5BD34BC5" w:rsidR="00BD03F3" w:rsidRDefault="00BD03F3" w:rsidP="00BD03F3">
            <w:pPr>
              <w:jc w:val="center"/>
              <w:rPr>
                <w:rFonts w:ascii="Arial" w:hAnsi="Arial" w:cs="Arial"/>
                <w:sz w:val="20"/>
                <w:szCs w:val="20"/>
              </w:rPr>
            </w:pPr>
            <w:r w:rsidRPr="003D4900">
              <w:rPr>
                <w:rFonts w:ascii="Arial" w:hAnsi="Arial" w:cs="Arial"/>
                <w:b/>
                <w:bCs/>
                <w:sz w:val="20"/>
                <w:szCs w:val="20"/>
              </w:rPr>
              <w:t>0.17, 0.78</w:t>
            </w:r>
          </w:p>
        </w:tc>
        <w:tc>
          <w:tcPr>
            <w:tcW w:w="1551" w:type="dxa"/>
          </w:tcPr>
          <w:p w14:paraId="71DD9364" w14:textId="66761651" w:rsidR="00BD03F3" w:rsidRDefault="00BD03F3" w:rsidP="00BD03F3">
            <w:pPr>
              <w:jc w:val="center"/>
              <w:rPr>
                <w:rFonts w:ascii="Arial" w:hAnsi="Arial" w:cs="Arial"/>
                <w:sz w:val="20"/>
                <w:szCs w:val="20"/>
              </w:rPr>
            </w:pPr>
            <w:r>
              <w:rPr>
                <w:rFonts w:ascii="Arial" w:hAnsi="Arial" w:cs="Arial"/>
                <w:sz w:val="20"/>
                <w:szCs w:val="20"/>
              </w:rPr>
              <w:t>2.8 (1.7, 4.0)</w:t>
            </w:r>
          </w:p>
          <w:p w14:paraId="5C6C56F1" w14:textId="77777777" w:rsidR="00BD03F3" w:rsidRDefault="00BD03F3" w:rsidP="00BD03F3">
            <w:pPr>
              <w:jc w:val="center"/>
              <w:rPr>
                <w:rFonts w:ascii="Arial" w:hAnsi="Arial" w:cs="Arial"/>
                <w:sz w:val="20"/>
                <w:szCs w:val="20"/>
              </w:rPr>
            </w:pPr>
            <w:r>
              <w:rPr>
                <w:rFonts w:ascii="Arial" w:hAnsi="Arial" w:cs="Arial"/>
                <w:sz w:val="20"/>
                <w:szCs w:val="20"/>
              </w:rPr>
              <w:t>2.5 (0.1, 5.6)</w:t>
            </w:r>
          </w:p>
          <w:p w14:paraId="43503FE1" w14:textId="77777777" w:rsidR="00BD03F3" w:rsidRDefault="00BD03F3" w:rsidP="00BD03F3">
            <w:pPr>
              <w:jc w:val="center"/>
              <w:rPr>
                <w:rFonts w:ascii="Arial" w:hAnsi="Arial" w:cs="Arial"/>
                <w:sz w:val="20"/>
                <w:szCs w:val="20"/>
              </w:rPr>
            </w:pPr>
            <w:r>
              <w:rPr>
                <w:rFonts w:ascii="Arial" w:hAnsi="Arial" w:cs="Arial"/>
                <w:sz w:val="20"/>
                <w:szCs w:val="20"/>
              </w:rPr>
              <w:t>3.6 (0.5, 6.8)</w:t>
            </w:r>
          </w:p>
          <w:p w14:paraId="78AF7CE4" w14:textId="77777777" w:rsidR="00BD03F3" w:rsidRPr="006B0CC8" w:rsidRDefault="00BD03F3" w:rsidP="00BD03F3">
            <w:pPr>
              <w:jc w:val="center"/>
              <w:rPr>
                <w:rFonts w:ascii="Arial" w:hAnsi="Arial" w:cs="Arial"/>
                <w:b/>
                <w:bCs/>
                <w:sz w:val="20"/>
                <w:szCs w:val="20"/>
              </w:rPr>
            </w:pPr>
            <w:r w:rsidRPr="006B0CC8">
              <w:rPr>
                <w:rFonts w:ascii="Arial" w:hAnsi="Arial" w:cs="Arial"/>
                <w:b/>
                <w:bCs/>
                <w:sz w:val="20"/>
                <w:szCs w:val="20"/>
              </w:rPr>
              <w:t>2.7 (1.6, 3.7)</w:t>
            </w:r>
          </w:p>
        </w:tc>
        <w:tc>
          <w:tcPr>
            <w:tcW w:w="1710" w:type="dxa"/>
          </w:tcPr>
          <w:p w14:paraId="7F573514" w14:textId="05D1685F" w:rsidR="00BD03F3" w:rsidRDefault="00BD03F3" w:rsidP="00BD03F3">
            <w:pPr>
              <w:jc w:val="center"/>
              <w:rPr>
                <w:rFonts w:ascii="Arial" w:hAnsi="Arial" w:cs="Arial"/>
                <w:sz w:val="20"/>
                <w:szCs w:val="20"/>
              </w:rPr>
            </w:pPr>
            <w:r>
              <w:rPr>
                <w:rFonts w:ascii="Arial" w:hAnsi="Arial" w:cs="Arial"/>
                <w:sz w:val="20"/>
                <w:szCs w:val="20"/>
              </w:rPr>
              <w:t>5.0 (4.0</w:t>
            </w:r>
            <w:r w:rsidR="00ED6C3B">
              <w:rPr>
                <w:rFonts w:ascii="Arial" w:hAnsi="Arial" w:cs="Arial"/>
                <w:sz w:val="20"/>
                <w:szCs w:val="20"/>
              </w:rPr>
              <w:t>,</w:t>
            </w:r>
            <w:r>
              <w:rPr>
                <w:rFonts w:ascii="Arial" w:hAnsi="Arial" w:cs="Arial"/>
                <w:sz w:val="20"/>
                <w:szCs w:val="20"/>
              </w:rPr>
              <w:t xml:space="preserve"> 6.0)</w:t>
            </w:r>
          </w:p>
          <w:p w14:paraId="4F9C4304" w14:textId="4D9DAD6C" w:rsidR="00BD03F3" w:rsidRDefault="00BD03F3" w:rsidP="00BD03F3">
            <w:pPr>
              <w:jc w:val="center"/>
              <w:rPr>
                <w:rFonts w:ascii="Arial" w:hAnsi="Arial" w:cs="Arial"/>
                <w:sz w:val="20"/>
                <w:szCs w:val="20"/>
              </w:rPr>
            </w:pPr>
            <w:r>
              <w:rPr>
                <w:rFonts w:ascii="Arial" w:hAnsi="Arial" w:cs="Arial"/>
                <w:sz w:val="20"/>
                <w:szCs w:val="20"/>
              </w:rPr>
              <w:t>7.6 (6.5</w:t>
            </w:r>
            <w:r w:rsidR="00ED6C3B">
              <w:rPr>
                <w:rFonts w:ascii="Arial" w:hAnsi="Arial" w:cs="Arial"/>
                <w:sz w:val="20"/>
                <w:szCs w:val="20"/>
              </w:rPr>
              <w:t>,</w:t>
            </w:r>
            <w:r>
              <w:rPr>
                <w:rFonts w:ascii="Arial" w:hAnsi="Arial" w:cs="Arial"/>
                <w:sz w:val="20"/>
                <w:szCs w:val="20"/>
              </w:rPr>
              <w:t xml:space="preserve"> 8.6)</w:t>
            </w:r>
          </w:p>
          <w:p w14:paraId="38C3C8F2" w14:textId="3512F451" w:rsidR="00BD03F3" w:rsidRDefault="00BD03F3" w:rsidP="00BD03F3">
            <w:pPr>
              <w:jc w:val="center"/>
              <w:rPr>
                <w:rFonts w:ascii="Arial" w:hAnsi="Arial" w:cs="Arial"/>
                <w:sz w:val="20"/>
                <w:szCs w:val="20"/>
              </w:rPr>
            </w:pPr>
            <w:r>
              <w:rPr>
                <w:rFonts w:ascii="Arial" w:hAnsi="Arial" w:cs="Arial"/>
                <w:sz w:val="20"/>
                <w:szCs w:val="20"/>
              </w:rPr>
              <w:t>8.8 (7.8</w:t>
            </w:r>
            <w:r w:rsidR="00ED6C3B">
              <w:rPr>
                <w:rFonts w:ascii="Arial" w:hAnsi="Arial" w:cs="Arial"/>
                <w:sz w:val="20"/>
                <w:szCs w:val="20"/>
              </w:rPr>
              <w:t>,</w:t>
            </w:r>
            <w:r>
              <w:rPr>
                <w:rFonts w:ascii="Arial" w:hAnsi="Arial" w:cs="Arial"/>
                <w:sz w:val="20"/>
                <w:szCs w:val="20"/>
              </w:rPr>
              <w:t xml:space="preserve"> 9.8)</w:t>
            </w:r>
          </w:p>
          <w:p w14:paraId="4A00B33F" w14:textId="3333871E" w:rsidR="00BD03F3" w:rsidRPr="0043293F" w:rsidRDefault="00BD03F3" w:rsidP="00BD03F3">
            <w:pPr>
              <w:jc w:val="center"/>
              <w:rPr>
                <w:rFonts w:ascii="Arial" w:hAnsi="Arial" w:cs="Arial"/>
                <w:b/>
                <w:bCs/>
                <w:sz w:val="20"/>
                <w:szCs w:val="20"/>
              </w:rPr>
            </w:pPr>
            <w:r>
              <w:rPr>
                <w:rFonts w:ascii="Arial" w:hAnsi="Arial" w:cs="Arial"/>
                <w:b/>
                <w:bCs/>
                <w:sz w:val="20"/>
                <w:szCs w:val="20"/>
              </w:rPr>
              <w:t>6.9 (5.8</w:t>
            </w:r>
            <w:r w:rsidR="00ED6C3B">
              <w:rPr>
                <w:rFonts w:ascii="Arial" w:hAnsi="Arial" w:cs="Arial"/>
                <w:b/>
                <w:bCs/>
                <w:sz w:val="20"/>
                <w:szCs w:val="20"/>
              </w:rPr>
              <w:t>,</w:t>
            </w:r>
            <w:r>
              <w:rPr>
                <w:rFonts w:ascii="Arial" w:hAnsi="Arial" w:cs="Arial"/>
                <w:b/>
                <w:bCs/>
                <w:sz w:val="20"/>
                <w:szCs w:val="20"/>
              </w:rPr>
              <w:t xml:space="preserve"> 7.9)</w:t>
            </w:r>
          </w:p>
        </w:tc>
        <w:tc>
          <w:tcPr>
            <w:tcW w:w="1170" w:type="dxa"/>
          </w:tcPr>
          <w:p w14:paraId="17E94EBB" w14:textId="77777777" w:rsidR="00BD03F3" w:rsidRDefault="00BD03F3" w:rsidP="00BD03F3">
            <w:pPr>
              <w:jc w:val="center"/>
              <w:rPr>
                <w:rFonts w:ascii="Arial" w:hAnsi="Arial" w:cs="Arial"/>
                <w:sz w:val="20"/>
                <w:szCs w:val="20"/>
              </w:rPr>
            </w:pPr>
            <w:r>
              <w:rPr>
                <w:rFonts w:ascii="Arial" w:hAnsi="Arial" w:cs="Arial"/>
                <w:sz w:val="20"/>
                <w:szCs w:val="20"/>
              </w:rPr>
              <w:t>29.8±13.1</w:t>
            </w:r>
          </w:p>
          <w:p w14:paraId="6C7E236A" w14:textId="77777777" w:rsidR="00BD03F3" w:rsidRDefault="00BD03F3" w:rsidP="00BD03F3">
            <w:pPr>
              <w:jc w:val="center"/>
              <w:rPr>
                <w:rFonts w:ascii="Arial" w:hAnsi="Arial" w:cs="Arial"/>
                <w:sz w:val="20"/>
                <w:szCs w:val="20"/>
              </w:rPr>
            </w:pPr>
            <w:r>
              <w:rPr>
                <w:rFonts w:ascii="Arial" w:hAnsi="Arial" w:cs="Arial"/>
                <w:sz w:val="20"/>
                <w:szCs w:val="20"/>
              </w:rPr>
              <w:t>44.7±11.7</w:t>
            </w:r>
          </w:p>
          <w:p w14:paraId="3E217E49" w14:textId="77777777" w:rsidR="00BD03F3" w:rsidRDefault="00BD03F3" w:rsidP="00BD03F3">
            <w:pPr>
              <w:jc w:val="center"/>
              <w:rPr>
                <w:rFonts w:ascii="Arial" w:hAnsi="Arial" w:cs="Arial"/>
                <w:sz w:val="20"/>
                <w:szCs w:val="20"/>
              </w:rPr>
            </w:pPr>
            <w:r>
              <w:rPr>
                <w:rFonts w:ascii="Arial" w:hAnsi="Arial" w:cs="Arial"/>
                <w:sz w:val="20"/>
                <w:szCs w:val="20"/>
              </w:rPr>
              <w:t>48.5±14.3</w:t>
            </w:r>
          </w:p>
          <w:p w14:paraId="25F69C33"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39.7±15.5</w:t>
            </w:r>
          </w:p>
        </w:tc>
        <w:tc>
          <w:tcPr>
            <w:tcW w:w="1260" w:type="dxa"/>
          </w:tcPr>
          <w:p w14:paraId="4000419C" w14:textId="77777777" w:rsidR="00BD03F3" w:rsidRDefault="00BD03F3" w:rsidP="00BD03F3">
            <w:pPr>
              <w:jc w:val="center"/>
              <w:rPr>
                <w:rFonts w:ascii="Arial" w:hAnsi="Arial" w:cs="Arial"/>
                <w:sz w:val="20"/>
                <w:szCs w:val="20"/>
              </w:rPr>
            </w:pPr>
            <w:r>
              <w:rPr>
                <w:rFonts w:ascii="Arial" w:hAnsi="Arial" w:cs="Arial"/>
                <w:sz w:val="20"/>
                <w:szCs w:val="20"/>
              </w:rPr>
              <w:t>0.82±0.08</w:t>
            </w:r>
          </w:p>
          <w:p w14:paraId="64E1C2E7" w14:textId="77777777" w:rsidR="00BD03F3" w:rsidRDefault="00BD03F3" w:rsidP="00BD03F3">
            <w:pPr>
              <w:jc w:val="center"/>
              <w:rPr>
                <w:rFonts w:ascii="Arial" w:hAnsi="Arial" w:cs="Arial"/>
                <w:sz w:val="20"/>
                <w:szCs w:val="20"/>
              </w:rPr>
            </w:pPr>
            <w:r>
              <w:rPr>
                <w:rFonts w:ascii="Arial" w:hAnsi="Arial" w:cs="Arial"/>
                <w:sz w:val="20"/>
                <w:szCs w:val="20"/>
              </w:rPr>
              <w:t>0.82±0.04</w:t>
            </w:r>
          </w:p>
          <w:p w14:paraId="43FF11D4" w14:textId="77777777" w:rsidR="00BD03F3" w:rsidRDefault="00BD03F3" w:rsidP="00BD03F3">
            <w:pPr>
              <w:jc w:val="center"/>
              <w:rPr>
                <w:rFonts w:ascii="Arial" w:hAnsi="Arial" w:cs="Arial"/>
                <w:sz w:val="20"/>
                <w:szCs w:val="20"/>
              </w:rPr>
            </w:pPr>
            <w:r>
              <w:rPr>
                <w:rFonts w:ascii="Arial" w:hAnsi="Arial" w:cs="Arial"/>
                <w:sz w:val="20"/>
                <w:szCs w:val="20"/>
              </w:rPr>
              <w:t>0.85±0.05</w:t>
            </w:r>
          </w:p>
          <w:p w14:paraId="2B5BB9CC" w14:textId="77777777" w:rsidR="00BD03F3" w:rsidRPr="00857C35" w:rsidRDefault="00BD03F3" w:rsidP="00BD03F3">
            <w:pPr>
              <w:jc w:val="center"/>
              <w:rPr>
                <w:rFonts w:ascii="Arial" w:hAnsi="Arial" w:cs="Arial"/>
                <w:b/>
                <w:bCs/>
                <w:sz w:val="20"/>
                <w:szCs w:val="20"/>
              </w:rPr>
            </w:pPr>
            <w:r w:rsidRPr="00857C35">
              <w:rPr>
                <w:rFonts w:ascii="Arial" w:hAnsi="Arial" w:cs="Arial"/>
                <w:b/>
                <w:bCs/>
                <w:sz w:val="20"/>
                <w:szCs w:val="20"/>
              </w:rPr>
              <w:t>0.83±0.06</w:t>
            </w:r>
          </w:p>
        </w:tc>
      </w:tr>
      <w:tr w:rsidR="00BD03F3" w:rsidRPr="0045191A" w14:paraId="41EF9110" w14:textId="77777777" w:rsidTr="00BD03F3">
        <w:tc>
          <w:tcPr>
            <w:tcW w:w="985" w:type="dxa"/>
          </w:tcPr>
          <w:p w14:paraId="35839B2D" w14:textId="77777777" w:rsidR="00BD03F3" w:rsidRDefault="00BD03F3" w:rsidP="00BD03F3">
            <w:pPr>
              <w:jc w:val="center"/>
              <w:rPr>
                <w:rFonts w:ascii="Arial" w:hAnsi="Arial" w:cs="Arial"/>
                <w:b/>
                <w:bCs/>
                <w:sz w:val="20"/>
                <w:szCs w:val="20"/>
              </w:rPr>
            </w:pPr>
            <w:r w:rsidRPr="0045191A">
              <w:rPr>
                <w:rFonts w:ascii="Arial" w:hAnsi="Arial" w:cs="Arial"/>
                <w:b/>
                <w:bCs/>
                <w:sz w:val="20"/>
                <w:szCs w:val="20"/>
              </w:rPr>
              <w:t>Yenisey</w:t>
            </w:r>
          </w:p>
          <w:p w14:paraId="14E4CE04" w14:textId="77777777" w:rsidR="00BD03F3" w:rsidRPr="0045191A" w:rsidRDefault="00BD03F3" w:rsidP="00BD03F3">
            <w:pPr>
              <w:jc w:val="center"/>
              <w:rPr>
                <w:rFonts w:ascii="Arial" w:hAnsi="Arial" w:cs="Arial"/>
                <w:b/>
                <w:bCs/>
                <w:sz w:val="20"/>
                <w:szCs w:val="20"/>
              </w:rPr>
            </w:pPr>
            <w:r>
              <w:rPr>
                <w:rFonts w:ascii="Arial" w:hAnsi="Arial" w:cs="Arial"/>
                <w:b/>
                <w:bCs/>
                <w:sz w:val="20"/>
                <w:szCs w:val="20"/>
              </w:rPr>
              <w:t>n=24, 16, 19, 59</w:t>
            </w:r>
          </w:p>
        </w:tc>
        <w:tc>
          <w:tcPr>
            <w:tcW w:w="1329" w:type="dxa"/>
          </w:tcPr>
          <w:p w14:paraId="28C01991" w14:textId="77777777" w:rsidR="00BD03F3" w:rsidRDefault="00BD03F3" w:rsidP="00BD03F3">
            <w:pPr>
              <w:jc w:val="center"/>
              <w:rPr>
                <w:rFonts w:ascii="Arial" w:hAnsi="Arial" w:cs="Arial"/>
                <w:sz w:val="20"/>
                <w:szCs w:val="20"/>
              </w:rPr>
            </w:pPr>
            <w:r>
              <w:rPr>
                <w:rFonts w:ascii="Arial" w:hAnsi="Arial" w:cs="Arial"/>
                <w:sz w:val="20"/>
                <w:szCs w:val="20"/>
              </w:rPr>
              <w:t>3.6±1.0</w:t>
            </w:r>
          </w:p>
          <w:p w14:paraId="6CA1864C" w14:textId="77777777" w:rsidR="00BD03F3" w:rsidRDefault="00BD03F3" w:rsidP="00BD03F3">
            <w:pPr>
              <w:jc w:val="center"/>
              <w:rPr>
                <w:rFonts w:ascii="Arial" w:hAnsi="Arial" w:cs="Arial"/>
                <w:sz w:val="20"/>
                <w:szCs w:val="20"/>
              </w:rPr>
            </w:pPr>
            <w:r>
              <w:rPr>
                <w:rFonts w:ascii="Arial" w:hAnsi="Arial" w:cs="Arial"/>
                <w:sz w:val="20"/>
                <w:szCs w:val="20"/>
              </w:rPr>
              <w:t>8.6±3.0</w:t>
            </w:r>
          </w:p>
          <w:p w14:paraId="0BA9FB69" w14:textId="77777777" w:rsidR="00BD03F3" w:rsidRDefault="00BD03F3" w:rsidP="00BD03F3">
            <w:pPr>
              <w:jc w:val="center"/>
              <w:rPr>
                <w:rFonts w:ascii="Arial" w:hAnsi="Arial" w:cs="Arial"/>
                <w:sz w:val="20"/>
                <w:szCs w:val="20"/>
              </w:rPr>
            </w:pPr>
            <w:r>
              <w:rPr>
                <w:rFonts w:ascii="Arial" w:hAnsi="Arial" w:cs="Arial"/>
                <w:sz w:val="20"/>
                <w:szCs w:val="20"/>
              </w:rPr>
              <w:t>5.9±1.8</w:t>
            </w:r>
          </w:p>
          <w:p w14:paraId="131EB0E8"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5.7±2.8</w:t>
            </w:r>
          </w:p>
        </w:tc>
        <w:tc>
          <w:tcPr>
            <w:tcW w:w="1551" w:type="dxa"/>
          </w:tcPr>
          <w:p w14:paraId="540EAE11" w14:textId="77777777" w:rsidR="00BD03F3" w:rsidRDefault="00BD03F3" w:rsidP="00BD03F3">
            <w:pPr>
              <w:jc w:val="center"/>
              <w:rPr>
                <w:rFonts w:ascii="Arial" w:hAnsi="Arial" w:cs="Arial"/>
                <w:sz w:val="20"/>
                <w:szCs w:val="20"/>
              </w:rPr>
            </w:pPr>
            <w:r>
              <w:rPr>
                <w:rFonts w:ascii="Arial" w:hAnsi="Arial" w:cs="Arial"/>
                <w:sz w:val="20"/>
                <w:szCs w:val="20"/>
              </w:rPr>
              <w:t>0.21, 0.80</w:t>
            </w:r>
          </w:p>
          <w:p w14:paraId="5238926C" w14:textId="77777777" w:rsidR="00BD03F3" w:rsidRDefault="00BD03F3" w:rsidP="00BD03F3">
            <w:pPr>
              <w:jc w:val="center"/>
              <w:rPr>
                <w:rFonts w:ascii="Arial" w:hAnsi="Arial" w:cs="Arial"/>
                <w:sz w:val="20"/>
                <w:szCs w:val="20"/>
              </w:rPr>
            </w:pPr>
            <w:r>
              <w:rPr>
                <w:rFonts w:ascii="Arial" w:hAnsi="Arial" w:cs="Arial"/>
                <w:sz w:val="20"/>
                <w:szCs w:val="20"/>
              </w:rPr>
              <w:t>0.16, 0.91</w:t>
            </w:r>
          </w:p>
          <w:p w14:paraId="5F5627AD" w14:textId="77777777" w:rsidR="00BD03F3" w:rsidRDefault="00BD03F3" w:rsidP="00BD03F3">
            <w:pPr>
              <w:jc w:val="center"/>
              <w:rPr>
                <w:rFonts w:ascii="Arial" w:hAnsi="Arial" w:cs="Arial"/>
                <w:sz w:val="20"/>
                <w:szCs w:val="20"/>
              </w:rPr>
            </w:pPr>
            <w:r>
              <w:rPr>
                <w:rFonts w:ascii="Arial" w:hAnsi="Arial" w:cs="Arial"/>
                <w:sz w:val="20"/>
                <w:szCs w:val="20"/>
              </w:rPr>
              <w:t>0.18, 0.73</w:t>
            </w:r>
          </w:p>
          <w:p w14:paraId="1D9890E8" w14:textId="073D0E03" w:rsidR="00BD03F3" w:rsidRDefault="00BD03F3" w:rsidP="00BD03F3">
            <w:pPr>
              <w:jc w:val="center"/>
              <w:rPr>
                <w:rFonts w:ascii="Arial" w:hAnsi="Arial" w:cs="Arial"/>
                <w:sz w:val="20"/>
                <w:szCs w:val="20"/>
              </w:rPr>
            </w:pPr>
            <w:r w:rsidRPr="003D4900">
              <w:rPr>
                <w:rFonts w:ascii="Arial" w:hAnsi="Arial" w:cs="Arial"/>
                <w:b/>
                <w:bCs/>
                <w:sz w:val="20"/>
                <w:szCs w:val="20"/>
              </w:rPr>
              <w:t>0.16, 0.93</w:t>
            </w:r>
          </w:p>
        </w:tc>
        <w:tc>
          <w:tcPr>
            <w:tcW w:w="1551" w:type="dxa"/>
          </w:tcPr>
          <w:p w14:paraId="1B756BE1" w14:textId="36DE8CA6" w:rsidR="00BD03F3" w:rsidRDefault="00BD03F3" w:rsidP="00BD03F3">
            <w:pPr>
              <w:jc w:val="center"/>
              <w:rPr>
                <w:rFonts w:ascii="Arial" w:hAnsi="Arial" w:cs="Arial"/>
                <w:sz w:val="20"/>
                <w:szCs w:val="20"/>
              </w:rPr>
            </w:pPr>
            <w:r>
              <w:rPr>
                <w:rFonts w:ascii="Arial" w:hAnsi="Arial" w:cs="Arial"/>
                <w:sz w:val="20"/>
                <w:szCs w:val="20"/>
              </w:rPr>
              <w:t>1.3 (0.8, 1.9)</w:t>
            </w:r>
          </w:p>
          <w:p w14:paraId="02B8680A" w14:textId="77777777" w:rsidR="00BD03F3" w:rsidRDefault="00BD03F3" w:rsidP="00BD03F3">
            <w:pPr>
              <w:jc w:val="center"/>
              <w:rPr>
                <w:rFonts w:ascii="Arial" w:hAnsi="Arial" w:cs="Arial"/>
                <w:sz w:val="20"/>
                <w:szCs w:val="20"/>
              </w:rPr>
            </w:pPr>
            <w:r>
              <w:rPr>
                <w:rFonts w:ascii="Arial" w:hAnsi="Arial" w:cs="Arial"/>
                <w:sz w:val="20"/>
                <w:szCs w:val="20"/>
              </w:rPr>
              <w:t>2.0 (0.8, 3.3)</w:t>
            </w:r>
          </w:p>
          <w:p w14:paraId="777BFE2D" w14:textId="77777777" w:rsidR="00BD03F3" w:rsidRDefault="00BD03F3" w:rsidP="00BD03F3">
            <w:pPr>
              <w:jc w:val="center"/>
              <w:rPr>
                <w:rFonts w:ascii="Arial" w:hAnsi="Arial" w:cs="Arial"/>
                <w:sz w:val="20"/>
                <w:szCs w:val="20"/>
              </w:rPr>
            </w:pPr>
            <w:r>
              <w:rPr>
                <w:rFonts w:ascii="Arial" w:hAnsi="Arial" w:cs="Arial"/>
                <w:sz w:val="20"/>
                <w:szCs w:val="20"/>
              </w:rPr>
              <w:t>1.7 (0.3, 3.0)</w:t>
            </w:r>
          </w:p>
          <w:p w14:paraId="6AD30D8B" w14:textId="77777777" w:rsidR="00BD03F3" w:rsidRPr="00D34A9E" w:rsidRDefault="00BD03F3" w:rsidP="00BD03F3">
            <w:pPr>
              <w:jc w:val="center"/>
              <w:rPr>
                <w:rFonts w:ascii="Arial" w:hAnsi="Arial" w:cs="Arial"/>
                <w:b/>
                <w:bCs/>
                <w:sz w:val="20"/>
                <w:szCs w:val="20"/>
              </w:rPr>
            </w:pPr>
            <w:r w:rsidRPr="00D34A9E">
              <w:rPr>
                <w:rFonts w:ascii="Arial" w:hAnsi="Arial" w:cs="Arial"/>
                <w:b/>
                <w:bCs/>
                <w:sz w:val="20"/>
                <w:szCs w:val="20"/>
              </w:rPr>
              <w:t>1.9 (1.6, 2.3)</w:t>
            </w:r>
          </w:p>
        </w:tc>
        <w:tc>
          <w:tcPr>
            <w:tcW w:w="1710" w:type="dxa"/>
          </w:tcPr>
          <w:p w14:paraId="3DBB6E61" w14:textId="19829368" w:rsidR="00BD03F3" w:rsidRDefault="00BD03F3" w:rsidP="00BD03F3">
            <w:pPr>
              <w:jc w:val="center"/>
              <w:rPr>
                <w:rFonts w:ascii="Arial" w:hAnsi="Arial" w:cs="Arial"/>
                <w:sz w:val="20"/>
                <w:szCs w:val="20"/>
              </w:rPr>
            </w:pPr>
            <w:r>
              <w:rPr>
                <w:rFonts w:ascii="Arial" w:hAnsi="Arial" w:cs="Arial"/>
                <w:sz w:val="20"/>
                <w:szCs w:val="20"/>
              </w:rPr>
              <w:t>1.6 (1.3</w:t>
            </w:r>
            <w:r w:rsidR="00ED6C3B">
              <w:rPr>
                <w:rFonts w:ascii="Arial" w:hAnsi="Arial" w:cs="Arial"/>
                <w:sz w:val="20"/>
                <w:szCs w:val="20"/>
              </w:rPr>
              <w:t xml:space="preserve">, </w:t>
            </w:r>
            <w:r>
              <w:rPr>
                <w:rFonts w:ascii="Arial" w:hAnsi="Arial" w:cs="Arial"/>
                <w:sz w:val="20"/>
                <w:szCs w:val="20"/>
              </w:rPr>
              <w:t>2.0)</w:t>
            </w:r>
          </w:p>
          <w:p w14:paraId="5A8653D5" w14:textId="5B67DA7B" w:rsidR="00BD03F3" w:rsidRDefault="00BD03F3" w:rsidP="00BD03F3">
            <w:pPr>
              <w:jc w:val="center"/>
              <w:rPr>
                <w:rFonts w:ascii="Arial" w:hAnsi="Arial" w:cs="Arial"/>
                <w:sz w:val="20"/>
                <w:szCs w:val="20"/>
              </w:rPr>
            </w:pPr>
            <w:r>
              <w:rPr>
                <w:rFonts w:ascii="Arial" w:hAnsi="Arial" w:cs="Arial"/>
                <w:sz w:val="20"/>
                <w:szCs w:val="20"/>
              </w:rPr>
              <w:t>6.6 (6.3</w:t>
            </w:r>
            <w:r w:rsidR="00ED6C3B">
              <w:rPr>
                <w:rFonts w:ascii="Arial" w:hAnsi="Arial" w:cs="Arial"/>
                <w:sz w:val="20"/>
                <w:szCs w:val="20"/>
              </w:rPr>
              <w:t>,</w:t>
            </w:r>
            <w:r>
              <w:rPr>
                <w:rFonts w:ascii="Arial" w:hAnsi="Arial" w:cs="Arial"/>
                <w:sz w:val="20"/>
                <w:szCs w:val="20"/>
              </w:rPr>
              <w:t xml:space="preserve"> 7.0)</w:t>
            </w:r>
          </w:p>
          <w:p w14:paraId="6E4AEEFD" w14:textId="3A357BDF" w:rsidR="00BD03F3" w:rsidRDefault="00BD03F3" w:rsidP="00BD03F3">
            <w:pPr>
              <w:jc w:val="center"/>
              <w:rPr>
                <w:rFonts w:ascii="Arial" w:hAnsi="Arial" w:cs="Arial"/>
                <w:sz w:val="20"/>
                <w:szCs w:val="20"/>
              </w:rPr>
            </w:pPr>
            <w:r>
              <w:rPr>
                <w:rFonts w:ascii="Arial" w:hAnsi="Arial" w:cs="Arial"/>
                <w:sz w:val="20"/>
                <w:szCs w:val="20"/>
              </w:rPr>
              <w:t>4.0 (3.6</w:t>
            </w:r>
            <w:r w:rsidR="00ED6C3B">
              <w:rPr>
                <w:rFonts w:ascii="Arial" w:hAnsi="Arial" w:cs="Arial"/>
                <w:sz w:val="20"/>
                <w:szCs w:val="20"/>
              </w:rPr>
              <w:t>,</w:t>
            </w:r>
            <w:r>
              <w:rPr>
                <w:rFonts w:ascii="Arial" w:hAnsi="Arial" w:cs="Arial"/>
                <w:sz w:val="20"/>
                <w:szCs w:val="20"/>
              </w:rPr>
              <w:t xml:space="preserve"> 5.3)</w:t>
            </w:r>
          </w:p>
          <w:p w14:paraId="4BBF4D3B" w14:textId="30DDF606" w:rsidR="00BD03F3" w:rsidRPr="0043293F" w:rsidRDefault="00BD03F3" w:rsidP="00BD03F3">
            <w:pPr>
              <w:jc w:val="center"/>
              <w:rPr>
                <w:rFonts w:ascii="Arial" w:hAnsi="Arial" w:cs="Arial"/>
                <w:sz w:val="20"/>
                <w:szCs w:val="20"/>
              </w:rPr>
            </w:pPr>
            <w:r>
              <w:rPr>
                <w:rFonts w:ascii="Arial" w:hAnsi="Arial" w:cs="Arial"/>
                <w:b/>
                <w:bCs/>
                <w:sz w:val="20"/>
                <w:szCs w:val="20"/>
              </w:rPr>
              <w:t>3.7 (3.4</w:t>
            </w:r>
            <w:r w:rsidR="00ED6C3B">
              <w:rPr>
                <w:rFonts w:ascii="Arial" w:hAnsi="Arial" w:cs="Arial"/>
                <w:b/>
                <w:bCs/>
                <w:sz w:val="20"/>
                <w:szCs w:val="20"/>
              </w:rPr>
              <w:t>,</w:t>
            </w:r>
            <w:r>
              <w:rPr>
                <w:rFonts w:ascii="Arial" w:hAnsi="Arial" w:cs="Arial"/>
                <w:b/>
                <w:bCs/>
                <w:sz w:val="20"/>
                <w:szCs w:val="20"/>
              </w:rPr>
              <w:t xml:space="preserve"> 4.1)</w:t>
            </w:r>
          </w:p>
        </w:tc>
        <w:tc>
          <w:tcPr>
            <w:tcW w:w="1170" w:type="dxa"/>
          </w:tcPr>
          <w:p w14:paraId="0502AAE0" w14:textId="77777777" w:rsidR="00BD03F3" w:rsidRDefault="00BD03F3" w:rsidP="00BD03F3">
            <w:pPr>
              <w:jc w:val="center"/>
              <w:rPr>
                <w:rFonts w:ascii="Arial" w:hAnsi="Arial" w:cs="Arial"/>
                <w:sz w:val="20"/>
                <w:szCs w:val="20"/>
              </w:rPr>
            </w:pPr>
            <w:r>
              <w:rPr>
                <w:rFonts w:ascii="Arial" w:hAnsi="Arial" w:cs="Arial"/>
                <w:sz w:val="20"/>
                <w:szCs w:val="20"/>
              </w:rPr>
              <w:t>10.6±4.1</w:t>
            </w:r>
          </w:p>
          <w:p w14:paraId="52621011" w14:textId="77777777" w:rsidR="00BD03F3" w:rsidRDefault="00BD03F3" w:rsidP="00BD03F3">
            <w:pPr>
              <w:jc w:val="center"/>
              <w:rPr>
                <w:rFonts w:ascii="Arial" w:hAnsi="Arial" w:cs="Arial"/>
                <w:sz w:val="20"/>
                <w:szCs w:val="20"/>
              </w:rPr>
            </w:pPr>
            <w:r>
              <w:rPr>
                <w:rFonts w:ascii="Arial" w:hAnsi="Arial" w:cs="Arial"/>
                <w:sz w:val="20"/>
                <w:szCs w:val="20"/>
              </w:rPr>
              <w:t>41.5±18.2</w:t>
            </w:r>
          </w:p>
          <w:p w14:paraId="170F3AF7" w14:textId="77777777" w:rsidR="00BD03F3" w:rsidRDefault="00BD03F3" w:rsidP="00BD03F3">
            <w:pPr>
              <w:jc w:val="center"/>
              <w:rPr>
                <w:rFonts w:ascii="Arial" w:hAnsi="Arial" w:cs="Arial"/>
                <w:sz w:val="20"/>
                <w:szCs w:val="20"/>
              </w:rPr>
            </w:pPr>
            <w:r>
              <w:rPr>
                <w:rFonts w:ascii="Arial" w:hAnsi="Arial" w:cs="Arial"/>
                <w:sz w:val="20"/>
                <w:szCs w:val="20"/>
              </w:rPr>
              <w:t>22.9±8.6</w:t>
            </w:r>
          </w:p>
          <w:p w14:paraId="3E55C097"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30.0±16.5</w:t>
            </w:r>
          </w:p>
        </w:tc>
        <w:tc>
          <w:tcPr>
            <w:tcW w:w="1260" w:type="dxa"/>
          </w:tcPr>
          <w:p w14:paraId="202CEC9D" w14:textId="77777777" w:rsidR="00BD03F3" w:rsidRDefault="00BD03F3" w:rsidP="00BD03F3">
            <w:pPr>
              <w:jc w:val="center"/>
              <w:rPr>
                <w:rFonts w:ascii="Arial" w:hAnsi="Arial" w:cs="Arial"/>
                <w:sz w:val="20"/>
                <w:szCs w:val="20"/>
              </w:rPr>
            </w:pPr>
            <w:r>
              <w:rPr>
                <w:rFonts w:ascii="Arial" w:hAnsi="Arial" w:cs="Arial"/>
                <w:sz w:val="20"/>
                <w:szCs w:val="20"/>
              </w:rPr>
              <w:t>0.84±0.10</w:t>
            </w:r>
          </w:p>
          <w:p w14:paraId="767E0D10" w14:textId="77777777" w:rsidR="00BD03F3" w:rsidRDefault="00BD03F3" w:rsidP="00BD03F3">
            <w:pPr>
              <w:jc w:val="center"/>
              <w:rPr>
                <w:rFonts w:ascii="Arial" w:hAnsi="Arial" w:cs="Arial"/>
                <w:sz w:val="20"/>
                <w:szCs w:val="20"/>
              </w:rPr>
            </w:pPr>
            <w:r>
              <w:rPr>
                <w:rFonts w:ascii="Arial" w:hAnsi="Arial" w:cs="Arial"/>
                <w:sz w:val="20"/>
                <w:szCs w:val="20"/>
              </w:rPr>
              <w:t>0.83±0.05</w:t>
            </w:r>
          </w:p>
          <w:p w14:paraId="5CC80A55" w14:textId="77777777" w:rsidR="00BD03F3" w:rsidRDefault="00BD03F3" w:rsidP="00BD03F3">
            <w:pPr>
              <w:jc w:val="center"/>
              <w:rPr>
                <w:rFonts w:ascii="Arial" w:hAnsi="Arial" w:cs="Arial"/>
                <w:sz w:val="20"/>
                <w:szCs w:val="20"/>
              </w:rPr>
            </w:pPr>
            <w:r>
              <w:rPr>
                <w:rFonts w:ascii="Arial" w:hAnsi="Arial" w:cs="Arial"/>
                <w:sz w:val="20"/>
                <w:szCs w:val="20"/>
              </w:rPr>
              <w:t>0.90±0.05</w:t>
            </w:r>
          </w:p>
          <w:p w14:paraId="014151E6" w14:textId="77777777" w:rsidR="00BD03F3" w:rsidRPr="00857C35" w:rsidRDefault="00BD03F3" w:rsidP="00BD03F3">
            <w:pPr>
              <w:jc w:val="center"/>
              <w:rPr>
                <w:rFonts w:ascii="Arial" w:hAnsi="Arial" w:cs="Arial"/>
                <w:b/>
                <w:bCs/>
                <w:sz w:val="20"/>
                <w:szCs w:val="20"/>
              </w:rPr>
            </w:pPr>
            <w:r w:rsidRPr="00857C35">
              <w:rPr>
                <w:rFonts w:ascii="Arial" w:hAnsi="Arial" w:cs="Arial"/>
                <w:b/>
                <w:bCs/>
                <w:sz w:val="20"/>
                <w:szCs w:val="20"/>
              </w:rPr>
              <w:t>0.85±0.07</w:t>
            </w:r>
          </w:p>
        </w:tc>
      </w:tr>
      <w:tr w:rsidR="00BD03F3" w:rsidRPr="0045191A" w14:paraId="3711674E" w14:textId="77777777" w:rsidTr="00BD03F3">
        <w:tc>
          <w:tcPr>
            <w:tcW w:w="985" w:type="dxa"/>
          </w:tcPr>
          <w:p w14:paraId="1E9CE89C" w14:textId="77777777" w:rsidR="00BD03F3" w:rsidRDefault="00BD03F3" w:rsidP="00BD03F3">
            <w:pPr>
              <w:jc w:val="center"/>
              <w:rPr>
                <w:rFonts w:ascii="Arial" w:hAnsi="Arial" w:cs="Arial"/>
                <w:b/>
                <w:bCs/>
                <w:sz w:val="20"/>
                <w:szCs w:val="20"/>
              </w:rPr>
            </w:pPr>
            <w:r w:rsidRPr="0045191A">
              <w:rPr>
                <w:rFonts w:ascii="Arial" w:hAnsi="Arial" w:cs="Arial"/>
                <w:b/>
                <w:bCs/>
                <w:sz w:val="20"/>
                <w:szCs w:val="20"/>
              </w:rPr>
              <w:t>Yukon</w:t>
            </w:r>
          </w:p>
          <w:p w14:paraId="049466CB" w14:textId="77777777" w:rsidR="00BD03F3" w:rsidRPr="0045191A" w:rsidRDefault="00BD03F3" w:rsidP="00BD03F3">
            <w:pPr>
              <w:jc w:val="center"/>
              <w:rPr>
                <w:rFonts w:ascii="Arial" w:hAnsi="Arial" w:cs="Arial"/>
                <w:b/>
                <w:bCs/>
                <w:sz w:val="20"/>
                <w:szCs w:val="20"/>
              </w:rPr>
            </w:pPr>
            <w:r>
              <w:rPr>
                <w:rFonts w:ascii="Arial" w:hAnsi="Arial" w:cs="Arial"/>
                <w:b/>
                <w:bCs/>
                <w:sz w:val="20"/>
                <w:szCs w:val="20"/>
              </w:rPr>
              <w:t>n=12, 16, 22, 50</w:t>
            </w:r>
          </w:p>
        </w:tc>
        <w:tc>
          <w:tcPr>
            <w:tcW w:w="1329" w:type="dxa"/>
          </w:tcPr>
          <w:p w14:paraId="4C381D1D" w14:textId="77777777" w:rsidR="00BD03F3" w:rsidRDefault="00BD03F3" w:rsidP="00BD03F3">
            <w:pPr>
              <w:jc w:val="center"/>
              <w:rPr>
                <w:rFonts w:ascii="Arial" w:hAnsi="Arial" w:cs="Arial"/>
                <w:sz w:val="20"/>
                <w:szCs w:val="20"/>
              </w:rPr>
            </w:pPr>
            <w:r>
              <w:rPr>
                <w:rFonts w:ascii="Arial" w:hAnsi="Arial" w:cs="Arial"/>
                <w:sz w:val="20"/>
                <w:szCs w:val="20"/>
              </w:rPr>
              <w:t>3.5±1.5</w:t>
            </w:r>
          </w:p>
          <w:p w14:paraId="1FC1B130" w14:textId="77777777" w:rsidR="00BD03F3" w:rsidRDefault="00BD03F3" w:rsidP="00BD03F3">
            <w:pPr>
              <w:jc w:val="center"/>
              <w:rPr>
                <w:rFonts w:ascii="Arial" w:hAnsi="Arial" w:cs="Arial"/>
                <w:sz w:val="20"/>
                <w:szCs w:val="20"/>
              </w:rPr>
            </w:pPr>
            <w:r>
              <w:rPr>
                <w:rFonts w:ascii="Arial" w:hAnsi="Arial" w:cs="Arial"/>
                <w:sz w:val="20"/>
                <w:szCs w:val="20"/>
              </w:rPr>
              <w:t>8.8±3.8</w:t>
            </w:r>
          </w:p>
          <w:p w14:paraId="64B73522" w14:textId="77777777" w:rsidR="00BD03F3" w:rsidRDefault="00BD03F3" w:rsidP="00BD03F3">
            <w:pPr>
              <w:jc w:val="center"/>
              <w:rPr>
                <w:rFonts w:ascii="Arial" w:hAnsi="Arial" w:cs="Arial"/>
                <w:sz w:val="20"/>
                <w:szCs w:val="20"/>
              </w:rPr>
            </w:pPr>
            <w:r>
              <w:rPr>
                <w:rFonts w:ascii="Arial" w:hAnsi="Arial" w:cs="Arial"/>
                <w:sz w:val="20"/>
                <w:szCs w:val="20"/>
              </w:rPr>
              <w:t>5.4±1.6</w:t>
            </w:r>
          </w:p>
          <w:p w14:paraId="637E4A1E"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6.1±3.2</w:t>
            </w:r>
          </w:p>
        </w:tc>
        <w:tc>
          <w:tcPr>
            <w:tcW w:w="1551" w:type="dxa"/>
          </w:tcPr>
          <w:p w14:paraId="4C4F4DB9" w14:textId="77777777" w:rsidR="00BD03F3" w:rsidRDefault="00BD03F3" w:rsidP="00BD03F3">
            <w:pPr>
              <w:jc w:val="center"/>
              <w:rPr>
                <w:rFonts w:ascii="Arial" w:hAnsi="Arial" w:cs="Arial"/>
                <w:sz w:val="20"/>
                <w:szCs w:val="20"/>
              </w:rPr>
            </w:pPr>
            <w:r>
              <w:rPr>
                <w:rFonts w:ascii="Arial" w:hAnsi="Arial" w:cs="Arial"/>
                <w:sz w:val="20"/>
                <w:szCs w:val="20"/>
              </w:rPr>
              <w:t>0.19, 0.96</w:t>
            </w:r>
          </w:p>
          <w:p w14:paraId="19659ABC" w14:textId="77777777" w:rsidR="00BD03F3" w:rsidRDefault="00BD03F3" w:rsidP="00BD03F3">
            <w:pPr>
              <w:jc w:val="center"/>
              <w:rPr>
                <w:rFonts w:ascii="Arial" w:hAnsi="Arial" w:cs="Arial"/>
                <w:sz w:val="20"/>
                <w:szCs w:val="20"/>
              </w:rPr>
            </w:pPr>
            <w:r>
              <w:rPr>
                <w:rFonts w:ascii="Arial" w:hAnsi="Arial" w:cs="Arial"/>
                <w:sz w:val="20"/>
                <w:szCs w:val="20"/>
              </w:rPr>
              <w:t>0.19, 0.89</w:t>
            </w:r>
          </w:p>
          <w:p w14:paraId="69EDE0AE" w14:textId="77777777" w:rsidR="00BD03F3" w:rsidRDefault="00BD03F3" w:rsidP="00BD03F3">
            <w:pPr>
              <w:jc w:val="center"/>
              <w:rPr>
                <w:rFonts w:ascii="Arial" w:hAnsi="Arial" w:cs="Arial"/>
                <w:sz w:val="20"/>
                <w:szCs w:val="20"/>
              </w:rPr>
            </w:pPr>
            <w:r>
              <w:rPr>
                <w:rFonts w:ascii="Arial" w:hAnsi="Arial" w:cs="Arial"/>
                <w:sz w:val="20"/>
                <w:szCs w:val="20"/>
              </w:rPr>
              <w:t>0.21, 0.80</w:t>
            </w:r>
          </w:p>
          <w:p w14:paraId="587874A3" w14:textId="65D170DD" w:rsidR="00BD03F3" w:rsidRDefault="00BD03F3" w:rsidP="00BD03F3">
            <w:pPr>
              <w:jc w:val="center"/>
              <w:rPr>
                <w:rFonts w:ascii="Arial" w:hAnsi="Arial" w:cs="Arial"/>
                <w:sz w:val="20"/>
                <w:szCs w:val="20"/>
              </w:rPr>
            </w:pPr>
            <w:r w:rsidRPr="003D4900">
              <w:rPr>
                <w:rFonts w:ascii="Arial" w:hAnsi="Arial" w:cs="Arial"/>
                <w:b/>
                <w:bCs/>
                <w:sz w:val="20"/>
                <w:szCs w:val="20"/>
              </w:rPr>
              <w:t>0.20, 0.93</w:t>
            </w:r>
          </w:p>
        </w:tc>
        <w:tc>
          <w:tcPr>
            <w:tcW w:w="1551" w:type="dxa"/>
          </w:tcPr>
          <w:p w14:paraId="7EEE48E5" w14:textId="647E3D83" w:rsidR="00BD03F3" w:rsidRDefault="00BD03F3" w:rsidP="00BD03F3">
            <w:pPr>
              <w:jc w:val="center"/>
              <w:rPr>
                <w:rFonts w:ascii="Arial" w:hAnsi="Arial" w:cs="Arial"/>
                <w:sz w:val="20"/>
                <w:szCs w:val="20"/>
              </w:rPr>
            </w:pPr>
            <w:r>
              <w:rPr>
                <w:rFonts w:ascii="Arial" w:hAnsi="Arial" w:cs="Arial"/>
                <w:sz w:val="20"/>
                <w:szCs w:val="20"/>
              </w:rPr>
              <w:t>1.6 (1.3, 2.0)</w:t>
            </w:r>
          </w:p>
          <w:p w14:paraId="166F7DE4" w14:textId="77777777" w:rsidR="00BD03F3" w:rsidRDefault="00BD03F3" w:rsidP="00BD03F3">
            <w:pPr>
              <w:jc w:val="center"/>
              <w:rPr>
                <w:rFonts w:ascii="Arial" w:hAnsi="Arial" w:cs="Arial"/>
                <w:sz w:val="20"/>
                <w:szCs w:val="20"/>
              </w:rPr>
            </w:pPr>
            <w:r>
              <w:rPr>
                <w:rFonts w:ascii="Arial" w:hAnsi="Arial" w:cs="Arial"/>
                <w:sz w:val="20"/>
                <w:szCs w:val="20"/>
              </w:rPr>
              <w:t>2.0 (0.6, 3.5)</w:t>
            </w:r>
          </w:p>
          <w:p w14:paraId="4E3D61AE" w14:textId="77777777" w:rsidR="00BD03F3" w:rsidRDefault="00BD03F3" w:rsidP="00BD03F3">
            <w:pPr>
              <w:jc w:val="center"/>
              <w:rPr>
                <w:rFonts w:ascii="Arial" w:hAnsi="Arial" w:cs="Arial"/>
                <w:sz w:val="20"/>
                <w:szCs w:val="20"/>
              </w:rPr>
            </w:pPr>
            <w:r>
              <w:rPr>
                <w:rFonts w:ascii="Arial" w:hAnsi="Arial" w:cs="Arial"/>
                <w:sz w:val="20"/>
                <w:szCs w:val="20"/>
              </w:rPr>
              <w:t>1.5 (0.5, 2.4)</w:t>
            </w:r>
          </w:p>
          <w:p w14:paraId="23D91F7D" w14:textId="77777777" w:rsidR="00BD03F3" w:rsidRPr="00E86659" w:rsidRDefault="00BD03F3" w:rsidP="00BD03F3">
            <w:pPr>
              <w:jc w:val="center"/>
              <w:rPr>
                <w:rFonts w:ascii="Arial" w:hAnsi="Arial" w:cs="Arial"/>
                <w:b/>
                <w:bCs/>
                <w:sz w:val="20"/>
                <w:szCs w:val="20"/>
              </w:rPr>
            </w:pPr>
            <w:r w:rsidRPr="00E86659">
              <w:rPr>
                <w:rFonts w:ascii="Arial" w:hAnsi="Arial" w:cs="Arial"/>
                <w:b/>
                <w:bCs/>
                <w:sz w:val="20"/>
                <w:szCs w:val="20"/>
              </w:rPr>
              <w:t>1.7 (1.3, 2.1)</w:t>
            </w:r>
          </w:p>
        </w:tc>
        <w:tc>
          <w:tcPr>
            <w:tcW w:w="1710" w:type="dxa"/>
          </w:tcPr>
          <w:p w14:paraId="5B99B8A1" w14:textId="4E34201E" w:rsidR="00BD03F3" w:rsidRDefault="00BD03F3" w:rsidP="00BD03F3">
            <w:pPr>
              <w:jc w:val="center"/>
              <w:rPr>
                <w:rFonts w:ascii="Arial" w:hAnsi="Arial" w:cs="Arial"/>
                <w:sz w:val="20"/>
                <w:szCs w:val="20"/>
              </w:rPr>
            </w:pPr>
            <w:r>
              <w:rPr>
                <w:rFonts w:ascii="Arial" w:hAnsi="Arial" w:cs="Arial"/>
                <w:sz w:val="20"/>
                <w:szCs w:val="20"/>
              </w:rPr>
              <w:t>1.8 (1.3</w:t>
            </w:r>
            <w:r w:rsidR="00ED6C3B">
              <w:rPr>
                <w:rFonts w:ascii="Arial" w:hAnsi="Arial" w:cs="Arial"/>
                <w:sz w:val="20"/>
                <w:szCs w:val="20"/>
              </w:rPr>
              <w:t>,</w:t>
            </w:r>
            <w:r>
              <w:rPr>
                <w:rFonts w:ascii="Arial" w:hAnsi="Arial" w:cs="Arial"/>
                <w:sz w:val="20"/>
                <w:szCs w:val="20"/>
              </w:rPr>
              <w:t xml:space="preserve"> 2.2)</w:t>
            </w:r>
          </w:p>
          <w:p w14:paraId="334CD780" w14:textId="40C0F3DE" w:rsidR="00BD03F3" w:rsidRDefault="00BD03F3" w:rsidP="00BD03F3">
            <w:pPr>
              <w:jc w:val="center"/>
              <w:rPr>
                <w:rFonts w:ascii="Arial" w:hAnsi="Arial" w:cs="Arial"/>
                <w:sz w:val="20"/>
                <w:szCs w:val="20"/>
              </w:rPr>
            </w:pPr>
            <w:r>
              <w:rPr>
                <w:rFonts w:ascii="Arial" w:hAnsi="Arial" w:cs="Arial"/>
                <w:sz w:val="20"/>
                <w:szCs w:val="20"/>
              </w:rPr>
              <w:t>7.1 (6.7</w:t>
            </w:r>
            <w:r w:rsidR="00ED6C3B">
              <w:rPr>
                <w:rFonts w:ascii="Arial" w:hAnsi="Arial" w:cs="Arial"/>
                <w:sz w:val="20"/>
                <w:szCs w:val="20"/>
              </w:rPr>
              <w:t>,</w:t>
            </w:r>
            <w:r>
              <w:rPr>
                <w:rFonts w:ascii="Arial" w:hAnsi="Arial" w:cs="Arial"/>
                <w:sz w:val="20"/>
                <w:szCs w:val="20"/>
              </w:rPr>
              <w:t xml:space="preserve"> 7.5)</w:t>
            </w:r>
          </w:p>
          <w:p w14:paraId="25F40944" w14:textId="455864BD" w:rsidR="00BD03F3" w:rsidRDefault="00BD03F3" w:rsidP="00BD03F3">
            <w:pPr>
              <w:jc w:val="center"/>
              <w:rPr>
                <w:rFonts w:ascii="Arial" w:hAnsi="Arial" w:cs="Arial"/>
                <w:sz w:val="20"/>
                <w:szCs w:val="20"/>
              </w:rPr>
            </w:pPr>
            <w:r>
              <w:rPr>
                <w:rFonts w:ascii="Arial" w:hAnsi="Arial" w:cs="Arial"/>
                <w:sz w:val="20"/>
                <w:szCs w:val="20"/>
              </w:rPr>
              <w:t>3.7 (3.3</w:t>
            </w:r>
            <w:r w:rsidR="00ED6C3B">
              <w:rPr>
                <w:rFonts w:ascii="Arial" w:hAnsi="Arial" w:cs="Arial"/>
                <w:sz w:val="20"/>
                <w:szCs w:val="20"/>
              </w:rPr>
              <w:t>,</w:t>
            </w:r>
            <w:r>
              <w:rPr>
                <w:rFonts w:ascii="Arial" w:hAnsi="Arial" w:cs="Arial"/>
                <w:sz w:val="20"/>
                <w:szCs w:val="20"/>
              </w:rPr>
              <w:t xml:space="preserve"> 4.2)</w:t>
            </w:r>
          </w:p>
          <w:p w14:paraId="1E143F49" w14:textId="6B1D7F5F" w:rsidR="00BD03F3" w:rsidRPr="0043293F" w:rsidRDefault="00BD03F3" w:rsidP="00BD03F3">
            <w:pPr>
              <w:jc w:val="center"/>
              <w:rPr>
                <w:rFonts w:ascii="Arial" w:hAnsi="Arial" w:cs="Arial"/>
                <w:b/>
                <w:bCs/>
                <w:sz w:val="20"/>
                <w:szCs w:val="20"/>
              </w:rPr>
            </w:pPr>
            <w:r>
              <w:rPr>
                <w:rFonts w:ascii="Arial" w:hAnsi="Arial" w:cs="Arial"/>
                <w:b/>
                <w:bCs/>
                <w:sz w:val="20"/>
                <w:szCs w:val="20"/>
              </w:rPr>
              <w:t>4.4 (3.9</w:t>
            </w:r>
            <w:r w:rsidR="00ED6C3B">
              <w:rPr>
                <w:rFonts w:ascii="Arial" w:hAnsi="Arial" w:cs="Arial"/>
                <w:b/>
                <w:bCs/>
                <w:sz w:val="20"/>
                <w:szCs w:val="20"/>
              </w:rPr>
              <w:t>,</w:t>
            </w:r>
            <w:r>
              <w:rPr>
                <w:rFonts w:ascii="Arial" w:hAnsi="Arial" w:cs="Arial"/>
                <w:b/>
                <w:bCs/>
                <w:sz w:val="20"/>
                <w:szCs w:val="20"/>
              </w:rPr>
              <w:t xml:space="preserve"> 4.8)</w:t>
            </w:r>
          </w:p>
        </w:tc>
        <w:tc>
          <w:tcPr>
            <w:tcW w:w="1170" w:type="dxa"/>
          </w:tcPr>
          <w:p w14:paraId="09CC953C" w14:textId="77777777" w:rsidR="00BD03F3" w:rsidRDefault="00BD03F3" w:rsidP="00BD03F3">
            <w:pPr>
              <w:jc w:val="center"/>
              <w:rPr>
                <w:rFonts w:ascii="Arial" w:hAnsi="Arial" w:cs="Arial"/>
                <w:sz w:val="20"/>
                <w:szCs w:val="20"/>
              </w:rPr>
            </w:pPr>
            <w:r>
              <w:rPr>
                <w:rFonts w:ascii="Arial" w:hAnsi="Arial" w:cs="Arial"/>
                <w:sz w:val="20"/>
                <w:szCs w:val="20"/>
              </w:rPr>
              <w:t>9.5±7.8</w:t>
            </w:r>
          </w:p>
          <w:p w14:paraId="0885DDBE" w14:textId="77777777" w:rsidR="00BD03F3" w:rsidRDefault="00BD03F3" w:rsidP="00BD03F3">
            <w:pPr>
              <w:jc w:val="center"/>
              <w:rPr>
                <w:rFonts w:ascii="Arial" w:hAnsi="Arial" w:cs="Arial"/>
                <w:sz w:val="20"/>
                <w:szCs w:val="20"/>
              </w:rPr>
            </w:pPr>
            <w:r>
              <w:rPr>
                <w:rFonts w:ascii="Arial" w:hAnsi="Arial" w:cs="Arial"/>
                <w:sz w:val="20"/>
                <w:szCs w:val="20"/>
              </w:rPr>
              <w:t>35.6±18.7</w:t>
            </w:r>
          </w:p>
          <w:p w14:paraId="12986551" w14:textId="77777777" w:rsidR="00BD03F3" w:rsidRDefault="00BD03F3" w:rsidP="00BD03F3">
            <w:pPr>
              <w:jc w:val="center"/>
              <w:rPr>
                <w:rFonts w:ascii="Arial" w:hAnsi="Arial" w:cs="Arial"/>
                <w:sz w:val="20"/>
                <w:szCs w:val="20"/>
              </w:rPr>
            </w:pPr>
            <w:r>
              <w:rPr>
                <w:rFonts w:ascii="Arial" w:hAnsi="Arial" w:cs="Arial"/>
                <w:sz w:val="20"/>
                <w:szCs w:val="20"/>
              </w:rPr>
              <w:t>18.7±6.9</w:t>
            </w:r>
          </w:p>
          <w:p w14:paraId="7B739D1A" w14:textId="77777777" w:rsidR="00BD03F3" w:rsidRPr="00944508" w:rsidRDefault="00BD03F3" w:rsidP="00BD03F3">
            <w:pPr>
              <w:jc w:val="center"/>
              <w:rPr>
                <w:rFonts w:ascii="Arial" w:hAnsi="Arial" w:cs="Arial"/>
                <w:b/>
                <w:bCs/>
                <w:sz w:val="20"/>
                <w:szCs w:val="20"/>
              </w:rPr>
            </w:pPr>
            <w:r w:rsidRPr="00944508">
              <w:rPr>
                <w:rFonts w:ascii="Arial" w:hAnsi="Arial" w:cs="Arial"/>
                <w:b/>
                <w:bCs/>
                <w:sz w:val="20"/>
                <w:szCs w:val="20"/>
              </w:rPr>
              <w:t>21.9±15.6</w:t>
            </w:r>
          </w:p>
        </w:tc>
        <w:tc>
          <w:tcPr>
            <w:tcW w:w="1260" w:type="dxa"/>
          </w:tcPr>
          <w:p w14:paraId="1178B0AA" w14:textId="77777777" w:rsidR="00BD03F3" w:rsidRDefault="00BD03F3" w:rsidP="00BD03F3">
            <w:pPr>
              <w:jc w:val="center"/>
              <w:rPr>
                <w:rFonts w:ascii="Arial" w:hAnsi="Arial" w:cs="Arial"/>
                <w:sz w:val="20"/>
                <w:szCs w:val="20"/>
              </w:rPr>
            </w:pPr>
            <w:r>
              <w:rPr>
                <w:rFonts w:ascii="Arial" w:hAnsi="Arial" w:cs="Arial"/>
                <w:sz w:val="20"/>
                <w:szCs w:val="20"/>
              </w:rPr>
              <w:t>0.78±0.16</w:t>
            </w:r>
          </w:p>
          <w:p w14:paraId="5E1E20C1" w14:textId="77777777" w:rsidR="00BD03F3" w:rsidRDefault="00BD03F3" w:rsidP="00BD03F3">
            <w:pPr>
              <w:jc w:val="center"/>
              <w:rPr>
                <w:rFonts w:ascii="Arial" w:hAnsi="Arial" w:cs="Arial"/>
                <w:sz w:val="20"/>
                <w:szCs w:val="20"/>
              </w:rPr>
            </w:pPr>
            <w:r>
              <w:rPr>
                <w:rFonts w:ascii="Arial" w:hAnsi="Arial" w:cs="Arial"/>
                <w:sz w:val="20"/>
                <w:szCs w:val="20"/>
              </w:rPr>
              <w:t>0.82±0.04</w:t>
            </w:r>
          </w:p>
          <w:p w14:paraId="44DB7264" w14:textId="77777777" w:rsidR="00BD03F3" w:rsidRDefault="00BD03F3" w:rsidP="00BD03F3">
            <w:pPr>
              <w:jc w:val="center"/>
              <w:rPr>
                <w:rFonts w:ascii="Arial" w:hAnsi="Arial" w:cs="Arial"/>
                <w:sz w:val="20"/>
                <w:szCs w:val="20"/>
              </w:rPr>
            </w:pPr>
            <w:r>
              <w:rPr>
                <w:rFonts w:ascii="Arial" w:hAnsi="Arial" w:cs="Arial"/>
                <w:sz w:val="20"/>
                <w:szCs w:val="20"/>
              </w:rPr>
              <w:t>0.83±0.07</w:t>
            </w:r>
          </w:p>
          <w:p w14:paraId="31C03DD8" w14:textId="77777777" w:rsidR="00BD03F3" w:rsidRPr="00857C35" w:rsidRDefault="00BD03F3" w:rsidP="00BD03F3">
            <w:pPr>
              <w:jc w:val="center"/>
              <w:rPr>
                <w:rFonts w:ascii="Arial" w:hAnsi="Arial" w:cs="Arial"/>
                <w:b/>
                <w:bCs/>
                <w:sz w:val="20"/>
                <w:szCs w:val="20"/>
              </w:rPr>
            </w:pPr>
            <w:r w:rsidRPr="00857C35">
              <w:rPr>
                <w:rFonts w:ascii="Arial" w:hAnsi="Arial" w:cs="Arial"/>
                <w:b/>
                <w:bCs/>
                <w:sz w:val="20"/>
                <w:szCs w:val="20"/>
              </w:rPr>
              <w:t>0.81±0.09</w:t>
            </w:r>
          </w:p>
        </w:tc>
      </w:tr>
    </w:tbl>
    <w:p w14:paraId="31B4DB07" w14:textId="77777777" w:rsidR="00373B64" w:rsidRDefault="00373B64" w:rsidP="00373B64">
      <w:pPr>
        <w:rPr>
          <w:rFonts w:ascii="Arial" w:hAnsi="Arial" w:cs="Arial"/>
          <w:sz w:val="20"/>
          <w:szCs w:val="20"/>
        </w:rPr>
      </w:pPr>
      <w:r>
        <w:rPr>
          <w:rFonts w:ascii="Arial" w:hAnsi="Arial" w:cs="Arial"/>
          <w:sz w:val="20"/>
          <w:szCs w:val="20"/>
        </w:rPr>
        <w:br/>
      </w:r>
    </w:p>
    <w:p w14:paraId="02435E29" w14:textId="77777777" w:rsidR="00373B64" w:rsidRDefault="00373B64" w:rsidP="00373B64"/>
    <w:p w14:paraId="6D7FEA5D" w14:textId="77777777" w:rsidR="00373B64" w:rsidRDefault="00373B64" w:rsidP="00373B64"/>
    <w:p w14:paraId="7AC73E16" w14:textId="5F18143E" w:rsidR="001378AA" w:rsidRDefault="001378AA"/>
    <w:p w14:paraId="39CD6FC8" w14:textId="19461CA8" w:rsidR="00F46C2A" w:rsidRDefault="00F46C2A"/>
    <w:p w14:paraId="78573727" w14:textId="44EBBED7" w:rsidR="00F46C2A" w:rsidRDefault="00F46C2A"/>
    <w:p w14:paraId="7DD026C9" w14:textId="356CE55B" w:rsidR="00F46C2A" w:rsidRDefault="00F46C2A"/>
    <w:p w14:paraId="2DA7A31C" w14:textId="1C439324" w:rsidR="00F46C2A" w:rsidRDefault="00F64E57">
      <w:r>
        <w:rPr>
          <w:b/>
          <w:bCs/>
          <w:noProof/>
        </w:rPr>
        <w:lastRenderedPageBreak/>
        <w:drawing>
          <wp:anchor distT="0" distB="0" distL="114300" distR="114300" simplePos="0" relativeHeight="251667456" behindDoc="0" locked="0" layoutInCell="1" allowOverlap="1" wp14:anchorId="146B9A34" wp14:editId="658F9271">
            <wp:simplePos x="0" y="0"/>
            <wp:positionH relativeFrom="column">
              <wp:posOffset>0</wp:posOffset>
            </wp:positionH>
            <wp:positionV relativeFrom="paragraph">
              <wp:posOffset>154387</wp:posOffset>
            </wp:positionV>
            <wp:extent cx="4381500" cy="3162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381500" cy="3162300"/>
                    </a:xfrm>
                    <a:prstGeom prst="rect">
                      <a:avLst/>
                    </a:prstGeom>
                  </pic:spPr>
                </pic:pic>
              </a:graphicData>
            </a:graphic>
            <wp14:sizeRelH relativeFrom="page">
              <wp14:pctWidth>0</wp14:pctWidth>
            </wp14:sizeRelH>
            <wp14:sizeRelV relativeFrom="page">
              <wp14:pctHeight>0</wp14:pctHeight>
            </wp14:sizeRelV>
          </wp:anchor>
        </w:drawing>
      </w:r>
    </w:p>
    <w:p w14:paraId="2EDD5435" w14:textId="7A00DF24" w:rsidR="00F46C2A" w:rsidRDefault="00F46C2A"/>
    <w:p w14:paraId="6277AC56" w14:textId="73A1F67C" w:rsidR="00F46C2A" w:rsidRDefault="00F46C2A"/>
    <w:p w14:paraId="4352AD56" w14:textId="55D0903C" w:rsidR="00F46C2A" w:rsidRDefault="00F46C2A"/>
    <w:p w14:paraId="1B2E1A4A" w14:textId="176BCD48" w:rsidR="00DE6F92" w:rsidRDefault="00DE6F92" w:rsidP="00F11A64">
      <w:pPr>
        <w:rPr>
          <w:b/>
          <w:bCs/>
        </w:rPr>
      </w:pPr>
    </w:p>
    <w:p w14:paraId="43ABE9BD" w14:textId="77777777" w:rsidR="00DE6F92" w:rsidRDefault="00DE6F92" w:rsidP="00F11A64">
      <w:pPr>
        <w:rPr>
          <w:b/>
          <w:bCs/>
        </w:rPr>
      </w:pPr>
    </w:p>
    <w:p w14:paraId="7754676C" w14:textId="77777777" w:rsidR="00DE6F92" w:rsidRDefault="00DE6F92" w:rsidP="00F11A64">
      <w:pPr>
        <w:rPr>
          <w:b/>
          <w:bCs/>
        </w:rPr>
      </w:pPr>
    </w:p>
    <w:p w14:paraId="22D3BA17" w14:textId="35881B88" w:rsidR="00DE6F92" w:rsidRDefault="00DE6F92" w:rsidP="00F11A64">
      <w:pPr>
        <w:rPr>
          <w:b/>
          <w:bCs/>
        </w:rPr>
      </w:pPr>
    </w:p>
    <w:p w14:paraId="47BA8E26" w14:textId="77777777" w:rsidR="00DE6F92" w:rsidRDefault="00DE6F92" w:rsidP="00F11A64">
      <w:pPr>
        <w:rPr>
          <w:b/>
          <w:bCs/>
        </w:rPr>
      </w:pPr>
    </w:p>
    <w:p w14:paraId="30E1BC75" w14:textId="3DD82E0C" w:rsidR="00DE6F92" w:rsidRDefault="00DE6F92" w:rsidP="00F11A64">
      <w:pPr>
        <w:rPr>
          <w:b/>
          <w:bCs/>
        </w:rPr>
      </w:pPr>
    </w:p>
    <w:p w14:paraId="44173EE2" w14:textId="2498FD8B" w:rsidR="00DE6F92" w:rsidRDefault="00DE6F92" w:rsidP="00F11A64">
      <w:pPr>
        <w:rPr>
          <w:b/>
          <w:bCs/>
        </w:rPr>
      </w:pPr>
    </w:p>
    <w:p w14:paraId="4B5ED7F7" w14:textId="77777777" w:rsidR="00DE6F92" w:rsidRDefault="00DE6F92" w:rsidP="00F11A64">
      <w:pPr>
        <w:rPr>
          <w:b/>
          <w:bCs/>
        </w:rPr>
      </w:pPr>
    </w:p>
    <w:p w14:paraId="7CF259B6" w14:textId="77777777" w:rsidR="00DE6F92" w:rsidRDefault="00DE6F92" w:rsidP="00F11A64">
      <w:pPr>
        <w:rPr>
          <w:b/>
          <w:bCs/>
        </w:rPr>
      </w:pPr>
    </w:p>
    <w:p w14:paraId="5CF0CF01" w14:textId="77777777" w:rsidR="00DE6F92" w:rsidRDefault="00DE6F92" w:rsidP="00F11A64">
      <w:pPr>
        <w:rPr>
          <w:b/>
          <w:bCs/>
        </w:rPr>
      </w:pPr>
    </w:p>
    <w:p w14:paraId="125F44C9" w14:textId="77777777" w:rsidR="00DE6F92" w:rsidRDefault="00DE6F92" w:rsidP="00F11A64">
      <w:pPr>
        <w:rPr>
          <w:b/>
          <w:bCs/>
        </w:rPr>
      </w:pPr>
    </w:p>
    <w:p w14:paraId="55476BE0" w14:textId="77777777" w:rsidR="00DE6F92" w:rsidRDefault="00DE6F92" w:rsidP="00F11A64">
      <w:pPr>
        <w:rPr>
          <w:b/>
          <w:bCs/>
        </w:rPr>
      </w:pPr>
    </w:p>
    <w:p w14:paraId="61AF7F9E" w14:textId="77777777" w:rsidR="00DE6F92" w:rsidRDefault="00DE6F92" w:rsidP="00F11A64">
      <w:pPr>
        <w:rPr>
          <w:b/>
          <w:bCs/>
        </w:rPr>
      </w:pPr>
    </w:p>
    <w:p w14:paraId="6B56D0C6" w14:textId="77777777" w:rsidR="00DE6F92" w:rsidRDefault="00DE6F92" w:rsidP="00F11A64">
      <w:pPr>
        <w:rPr>
          <w:b/>
          <w:bCs/>
        </w:rPr>
      </w:pPr>
    </w:p>
    <w:p w14:paraId="2D3392FC" w14:textId="77777777" w:rsidR="00DE6F92" w:rsidRDefault="00DE6F92" w:rsidP="00F11A64">
      <w:pPr>
        <w:rPr>
          <w:b/>
          <w:bCs/>
        </w:rPr>
      </w:pPr>
    </w:p>
    <w:p w14:paraId="7D1D1DC1" w14:textId="77777777" w:rsidR="00DE6F92" w:rsidRDefault="00DE6F92" w:rsidP="00F11A64">
      <w:pPr>
        <w:rPr>
          <w:b/>
          <w:bCs/>
        </w:rPr>
      </w:pPr>
    </w:p>
    <w:p w14:paraId="2D34A366" w14:textId="11ED090A" w:rsidR="00F11A64" w:rsidRPr="00F11A64" w:rsidRDefault="00F11A64" w:rsidP="00F11A64">
      <w:r>
        <w:rPr>
          <w:b/>
          <w:bCs/>
        </w:rPr>
        <w:t>Figure S1</w:t>
      </w:r>
      <w:r>
        <w:t xml:space="preserve"> Workflow used to derive CDOC specific absorption spectra (a*CDOC(</w:t>
      </w:r>
      <w:r>
        <w:rPr>
          <w:lang w:val="el-GR"/>
        </w:rPr>
        <w:t>λ</w:t>
      </w:r>
      <w:r>
        <w:t>)) for each river by utilizing the information produced from ordinary least squares (OLS) linear regressions of dissolved organic carbon (DOC) as a function of CDOM absorption at 300 nm (a300).</w:t>
      </w:r>
      <w:r w:rsidRPr="00F11A64">
        <w:t xml:space="preserve"> </w:t>
      </w:r>
      <w:r>
        <w:t>The final product</w:t>
      </w:r>
      <w:r w:rsidR="00F64E57">
        <w:t>s</w:t>
      </w:r>
      <w:r>
        <w:t xml:space="preserve"> (purple box) </w:t>
      </w:r>
      <w:r w:rsidR="00F64E57">
        <w:t>are</w:t>
      </w:r>
      <w:r>
        <w:t xml:space="preserve"> a statistically robust estimate (with confidence intervals) of colored and non-colored DOC concentration for each set of </w:t>
      </w:r>
      <w:proofErr w:type="gramStart"/>
      <w:r>
        <w:t>DOC</w:t>
      </w:r>
      <w:proofErr w:type="gramEnd"/>
      <w:r>
        <w:t xml:space="preserve"> and CDOM measurements to be used in the USGS Load Estimator predictions.</w:t>
      </w:r>
    </w:p>
    <w:p w14:paraId="3D3A3F63" w14:textId="576D4BE2" w:rsidR="00F46C2A" w:rsidRDefault="00F46C2A"/>
    <w:p w14:paraId="268F2232" w14:textId="5C1FAA36" w:rsidR="00F46C2A" w:rsidRDefault="00F46C2A"/>
    <w:p w14:paraId="45D1AF7C" w14:textId="18460808" w:rsidR="00F46C2A" w:rsidRDefault="00F46C2A"/>
    <w:p w14:paraId="51AEE888" w14:textId="3B417B8F" w:rsidR="00F46C2A" w:rsidRDefault="00F46C2A"/>
    <w:p w14:paraId="5A2DE46E" w14:textId="1477F236" w:rsidR="00F46C2A" w:rsidRDefault="00F46C2A"/>
    <w:p w14:paraId="5893BDEF" w14:textId="36EA5C22" w:rsidR="00F46C2A" w:rsidRDefault="00F46C2A"/>
    <w:p w14:paraId="57DD43D1" w14:textId="77777777" w:rsidR="00F46C2A" w:rsidRDefault="00F46C2A"/>
    <w:p w14:paraId="418F4DA9" w14:textId="26CDD5D6" w:rsidR="00F46C2A" w:rsidRDefault="00F46C2A"/>
    <w:p w14:paraId="5B99D67C" w14:textId="01FBA63B" w:rsidR="00F46C2A" w:rsidRDefault="00F46C2A"/>
    <w:p w14:paraId="49C8C5B9" w14:textId="226C7C86" w:rsidR="00F46C2A" w:rsidRDefault="00F46C2A"/>
    <w:p w14:paraId="1FD48780" w14:textId="350170A4" w:rsidR="00F46C2A" w:rsidRDefault="00F46C2A"/>
    <w:p w14:paraId="546D4E2D" w14:textId="3DB47112" w:rsidR="00F46C2A" w:rsidRDefault="00F46C2A"/>
    <w:p w14:paraId="076CC1A6" w14:textId="554C3F50" w:rsidR="00F46C2A" w:rsidRDefault="00F46C2A"/>
    <w:p w14:paraId="5CC3ECD5" w14:textId="77777777" w:rsidR="00F46C2A" w:rsidRDefault="00F46C2A"/>
    <w:p w14:paraId="0E65FE45" w14:textId="77777777" w:rsidR="00F46C2A" w:rsidRDefault="00F46C2A"/>
    <w:p w14:paraId="79BC3FFE" w14:textId="77777777" w:rsidR="00F46C2A" w:rsidRDefault="00F46C2A"/>
    <w:p w14:paraId="224256B9" w14:textId="77777777" w:rsidR="00F46C2A" w:rsidRDefault="00F46C2A"/>
    <w:p w14:paraId="05C1C719" w14:textId="77777777" w:rsidR="00F46C2A" w:rsidRDefault="00F46C2A"/>
    <w:p w14:paraId="70CFB4D5" w14:textId="77777777" w:rsidR="00F46C2A" w:rsidRDefault="00F46C2A"/>
    <w:p w14:paraId="59BF765C" w14:textId="77777777" w:rsidR="00F46C2A" w:rsidRDefault="00F46C2A"/>
    <w:p w14:paraId="3B5E1220" w14:textId="04D0C215" w:rsidR="00D03B74" w:rsidRDefault="00D03B74"/>
    <w:p w14:paraId="0A62D9FB" w14:textId="0D2D5EA6" w:rsidR="00D03B74" w:rsidRDefault="00E10AE1">
      <w:r w:rsidRPr="00B357CC">
        <w:rPr>
          <w:noProof/>
        </w:rPr>
        <w:drawing>
          <wp:anchor distT="0" distB="0" distL="114300" distR="114300" simplePos="0" relativeHeight="251665408" behindDoc="0" locked="0" layoutInCell="1" allowOverlap="1" wp14:anchorId="2B53CF25" wp14:editId="2FF95D69">
            <wp:simplePos x="0" y="0"/>
            <wp:positionH relativeFrom="column">
              <wp:posOffset>-245110</wp:posOffset>
            </wp:positionH>
            <wp:positionV relativeFrom="paragraph">
              <wp:posOffset>93980</wp:posOffset>
            </wp:positionV>
            <wp:extent cx="5943600" cy="3281060"/>
            <wp:effectExtent l="0" t="0" r="0" b="0"/>
            <wp:wrapSquare wrapText="bothSides"/>
            <wp:docPr id="6" name="Picture 5">
              <a:extLst xmlns:a="http://schemas.openxmlformats.org/drawingml/2006/main">
                <a:ext uri="{FF2B5EF4-FFF2-40B4-BE49-F238E27FC236}">
                  <a16:creationId xmlns:a16="http://schemas.microsoft.com/office/drawing/2014/main" id="{D0F7689D-A701-8740-B4F0-2E3085417B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0F7689D-A701-8740-B4F0-2E3085417B4D}"/>
                        </a:ext>
                      </a:extLst>
                    </pic:cNvPr>
                    <pic:cNvPicPr>
                      <a:picLocks noChangeAspect="1"/>
                    </pic:cNvPicPr>
                  </pic:nvPicPr>
                  <pic:blipFill rotWithShape="1">
                    <a:blip r:embed="rId6">
                      <a:extLst>
                        <a:ext uri="{28A0092B-C50C-407E-A947-70E740481C1C}">
                          <a14:useLocalDpi xmlns:a14="http://schemas.microsoft.com/office/drawing/2010/main" val="0"/>
                        </a:ext>
                      </a:extLst>
                    </a:blip>
                    <a:srcRect l="7257" t="6401" r="8861" b="3893"/>
                    <a:stretch/>
                  </pic:blipFill>
                  <pic:spPr>
                    <a:xfrm>
                      <a:off x="0" y="0"/>
                      <a:ext cx="5943600" cy="3281060"/>
                    </a:xfrm>
                    <a:prstGeom prst="rect">
                      <a:avLst/>
                    </a:prstGeom>
                  </pic:spPr>
                </pic:pic>
              </a:graphicData>
            </a:graphic>
            <wp14:sizeRelH relativeFrom="page">
              <wp14:pctWidth>0</wp14:pctWidth>
            </wp14:sizeRelH>
            <wp14:sizeRelV relativeFrom="page">
              <wp14:pctHeight>0</wp14:pctHeight>
            </wp14:sizeRelV>
          </wp:anchor>
        </w:drawing>
      </w:r>
    </w:p>
    <w:p w14:paraId="21504828" w14:textId="4957125C" w:rsidR="00E10AE1" w:rsidRDefault="00E10AE1" w:rsidP="00E10AE1"/>
    <w:p w14:paraId="1FECD9DC" w14:textId="626CB1E1" w:rsidR="00E10AE1" w:rsidRDefault="00E10AE1" w:rsidP="00E10AE1">
      <w:r>
        <w:rPr>
          <w:b/>
          <w:bCs/>
        </w:rPr>
        <w:t>Fig</w:t>
      </w:r>
      <w:r w:rsidR="00323181">
        <w:rPr>
          <w:b/>
          <w:bCs/>
        </w:rPr>
        <w:t>ure</w:t>
      </w:r>
      <w:r>
        <w:rPr>
          <w:b/>
          <w:bCs/>
        </w:rPr>
        <w:t xml:space="preserve"> S</w:t>
      </w:r>
      <w:r w:rsidR="00DA486E">
        <w:rPr>
          <w:b/>
          <w:bCs/>
        </w:rPr>
        <w:t>2</w:t>
      </w:r>
      <w:r>
        <w:rPr>
          <w:b/>
          <w:bCs/>
        </w:rPr>
        <w:t xml:space="preserve"> </w:t>
      </w:r>
      <w:r w:rsidR="002F2006">
        <w:t>Dissolved organic carbon seasonal</w:t>
      </w:r>
      <w:r>
        <w:t xml:space="preserve"> concentration distribution for the six rivers for 2009-2019 measured under the </w:t>
      </w:r>
      <w:proofErr w:type="spellStart"/>
      <w:r>
        <w:t>ArcticGRO</w:t>
      </w:r>
      <w:proofErr w:type="spellEnd"/>
      <w:r>
        <w:t xml:space="preserve"> project.</w:t>
      </w:r>
      <w:r w:rsidRPr="00E52F80">
        <w:t xml:space="preserve"> </w:t>
      </w:r>
      <w:r w:rsidR="002F2006">
        <w:t>The edges of each box represent the 25</w:t>
      </w:r>
      <w:r w:rsidR="002F2006" w:rsidRPr="002F2006">
        <w:rPr>
          <w:vertAlign w:val="superscript"/>
        </w:rPr>
        <w:t>th</w:t>
      </w:r>
      <w:r w:rsidR="002F2006">
        <w:t xml:space="preserve"> and 75</w:t>
      </w:r>
      <w:r w:rsidR="002F2006" w:rsidRPr="002F2006">
        <w:rPr>
          <w:vertAlign w:val="superscript"/>
        </w:rPr>
        <w:t>th</w:t>
      </w:r>
      <w:r w:rsidR="002F2006">
        <w:t xml:space="preserve"> percentiles, the whiskers represent the range of the data that are not outliers, and the marks beyond the whiskers are outliers. Produced using the MATLAB file exchange function </w:t>
      </w:r>
      <w:r w:rsidR="002F2006">
        <w:rPr>
          <w:i/>
          <w:iCs/>
        </w:rPr>
        <w:t>boxplot2.m</w:t>
      </w:r>
      <w:r w:rsidR="002F2006">
        <w:t xml:space="preserve"> (Kearney 2012).</w:t>
      </w:r>
    </w:p>
    <w:p w14:paraId="148B1AD4" w14:textId="262DDD4D" w:rsidR="002320DB" w:rsidRPr="002F2006" w:rsidRDefault="002320DB" w:rsidP="00E10AE1">
      <w:r>
        <w:br w:type="column"/>
      </w:r>
    </w:p>
    <w:p w14:paraId="3FE07144" w14:textId="0513BE41" w:rsidR="00AE55F5" w:rsidRDefault="00AE55F5" w:rsidP="00AE55F5"/>
    <w:p w14:paraId="622DFACD" w14:textId="18FB7EFD" w:rsidR="00AE55F5" w:rsidRDefault="00AE55F5" w:rsidP="00AE55F5">
      <w:pPr>
        <w:rPr>
          <w:b/>
          <w:bCs/>
        </w:rPr>
      </w:pPr>
      <w:r>
        <w:rPr>
          <w:noProof/>
          <w:vertAlign w:val="subscript"/>
        </w:rPr>
        <w:drawing>
          <wp:anchor distT="0" distB="0" distL="114300" distR="114300" simplePos="0" relativeHeight="251669504" behindDoc="0" locked="0" layoutInCell="1" allowOverlap="1" wp14:anchorId="034374B3" wp14:editId="4DE0A0C3">
            <wp:simplePos x="0" y="0"/>
            <wp:positionH relativeFrom="column">
              <wp:posOffset>0</wp:posOffset>
            </wp:positionH>
            <wp:positionV relativeFrom="paragraph">
              <wp:posOffset>175260</wp:posOffset>
            </wp:positionV>
            <wp:extent cx="5359400" cy="3390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359400" cy="3390900"/>
                    </a:xfrm>
                    <a:prstGeom prst="rect">
                      <a:avLst/>
                    </a:prstGeom>
                  </pic:spPr>
                </pic:pic>
              </a:graphicData>
            </a:graphic>
            <wp14:sizeRelH relativeFrom="page">
              <wp14:pctWidth>0</wp14:pctWidth>
            </wp14:sizeRelH>
            <wp14:sizeRelV relativeFrom="page">
              <wp14:pctHeight>0</wp14:pctHeight>
            </wp14:sizeRelV>
          </wp:anchor>
        </w:drawing>
      </w:r>
    </w:p>
    <w:p w14:paraId="48D4BED8" w14:textId="77777777" w:rsidR="00AE55F5" w:rsidRDefault="00AE55F5" w:rsidP="00AE55F5">
      <w:pPr>
        <w:rPr>
          <w:b/>
          <w:bCs/>
        </w:rPr>
      </w:pPr>
    </w:p>
    <w:p w14:paraId="30286543" w14:textId="77777777" w:rsidR="00AE55F5" w:rsidRDefault="00AE55F5" w:rsidP="00AE55F5">
      <w:pPr>
        <w:rPr>
          <w:b/>
          <w:bCs/>
        </w:rPr>
      </w:pPr>
    </w:p>
    <w:p w14:paraId="5587B741" w14:textId="77777777" w:rsidR="00AE55F5" w:rsidRDefault="00AE55F5" w:rsidP="00AE55F5">
      <w:pPr>
        <w:rPr>
          <w:b/>
          <w:bCs/>
        </w:rPr>
      </w:pPr>
    </w:p>
    <w:p w14:paraId="2EB765B4" w14:textId="77777777" w:rsidR="00AE55F5" w:rsidRDefault="00AE55F5" w:rsidP="00AE55F5">
      <w:pPr>
        <w:rPr>
          <w:b/>
          <w:bCs/>
        </w:rPr>
      </w:pPr>
    </w:p>
    <w:p w14:paraId="4DCB1B7F" w14:textId="77777777" w:rsidR="00AE55F5" w:rsidRDefault="00AE55F5" w:rsidP="00AE55F5">
      <w:pPr>
        <w:rPr>
          <w:b/>
          <w:bCs/>
        </w:rPr>
      </w:pPr>
    </w:p>
    <w:p w14:paraId="5EEA491A" w14:textId="77777777" w:rsidR="00AE55F5" w:rsidRDefault="00AE55F5" w:rsidP="00AE55F5">
      <w:pPr>
        <w:rPr>
          <w:b/>
          <w:bCs/>
        </w:rPr>
      </w:pPr>
    </w:p>
    <w:p w14:paraId="628D489C" w14:textId="77777777" w:rsidR="00AE55F5" w:rsidRDefault="00AE55F5" w:rsidP="00AE55F5">
      <w:pPr>
        <w:rPr>
          <w:b/>
          <w:bCs/>
        </w:rPr>
      </w:pPr>
    </w:p>
    <w:p w14:paraId="430E7E51" w14:textId="77777777" w:rsidR="00AE55F5" w:rsidRDefault="00AE55F5" w:rsidP="00AE55F5">
      <w:pPr>
        <w:rPr>
          <w:b/>
          <w:bCs/>
        </w:rPr>
      </w:pPr>
    </w:p>
    <w:p w14:paraId="041739C4" w14:textId="77777777" w:rsidR="00AE55F5" w:rsidRDefault="00AE55F5" w:rsidP="00AE55F5">
      <w:pPr>
        <w:rPr>
          <w:b/>
          <w:bCs/>
        </w:rPr>
      </w:pPr>
    </w:p>
    <w:p w14:paraId="1C353B53" w14:textId="77777777" w:rsidR="00AE55F5" w:rsidRDefault="00AE55F5" w:rsidP="00AE55F5">
      <w:pPr>
        <w:rPr>
          <w:b/>
          <w:bCs/>
        </w:rPr>
      </w:pPr>
    </w:p>
    <w:p w14:paraId="254BE23E" w14:textId="77777777" w:rsidR="00AE55F5" w:rsidRDefault="00AE55F5" w:rsidP="00AE55F5">
      <w:pPr>
        <w:rPr>
          <w:b/>
          <w:bCs/>
        </w:rPr>
      </w:pPr>
    </w:p>
    <w:p w14:paraId="22632737" w14:textId="77777777" w:rsidR="00AE55F5" w:rsidRDefault="00AE55F5" w:rsidP="00AE55F5">
      <w:pPr>
        <w:rPr>
          <w:b/>
          <w:bCs/>
        </w:rPr>
      </w:pPr>
    </w:p>
    <w:p w14:paraId="5F998752" w14:textId="77777777" w:rsidR="00AE55F5" w:rsidRDefault="00AE55F5" w:rsidP="00AE55F5">
      <w:pPr>
        <w:rPr>
          <w:b/>
          <w:bCs/>
        </w:rPr>
      </w:pPr>
    </w:p>
    <w:p w14:paraId="542C746E" w14:textId="77777777" w:rsidR="00AE55F5" w:rsidRDefault="00AE55F5" w:rsidP="00AE55F5">
      <w:pPr>
        <w:rPr>
          <w:b/>
          <w:bCs/>
        </w:rPr>
      </w:pPr>
    </w:p>
    <w:p w14:paraId="44193DDA" w14:textId="77777777" w:rsidR="00AE55F5" w:rsidRDefault="00AE55F5" w:rsidP="00AE55F5">
      <w:pPr>
        <w:rPr>
          <w:b/>
          <w:bCs/>
        </w:rPr>
      </w:pPr>
    </w:p>
    <w:p w14:paraId="58B0E6A1" w14:textId="77777777" w:rsidR="00AE55F5" w:rsidRDefault="00AE55F5" w:rsidP="00AE55F5">
      <w:pPr>
        <w:rPr>
          <w:b/>
          <w:bCs/>
        </w:rPr>
      </w:pPr>
    </w:p>
    <w:p w14:paraId="4F72E0DB" w14:textId="77777777" w:rsidR="00AE55F5" w:rsidRDefault="00AE55F5" w:rsidP="00AE55F5">
      <w:pPr>
        <w:rPr>
          <w:b/>
          <w:bCs/>
        </w:rPr>
      </w:pPr>
    </w:p>
    <w:p w14:paraId="10C42F75" w14:textId="77777777" w:rsidR="00AE55F5" w:rsidRDefault="00AE55F5" w:rsidP="00AE55F5">
      <w:pPr>
        <w:rPr>
          <w:b/>
          <w:bCs/>
        </w:rPr>
      </w:pPr>
    </w:p>
    <w:p w14:paraId="03DF8288" w14:textId="77777777" w:rsidR="00AE55F5" w:rsidRDefault="00AE55F5" w:rsidP="00AE55F5">
      <w:pPr>
        <w:rPr>
          <w:b/>
          <w:bCs/>
        </w:rPr>
      </w:pPr>
    </w:p>
    <w:p w14:paraId="6AF28226" w14:textId="77777777" w:rsidR="00AE55F5" w:rsidRDefault="00AE55F5" w:rsidP="00AE55F5">
      <w:pPr>
        <w:rPr>
          <w:b/>
          <w:bCs/>
        </w:rPr>
      </w:pPr>
    </w:p>
    <w:p w14:paraId="20662662" w14:textId="452516C6" w:rsidR="00AE55F5" w:rsidRPr="00AE55F5" w:rsidRDefault="00AE55F5" w:rsidP="00AE55F5">
      <w:pPr>
        <w:rPr>
          <w:b/>
          <w:bCs/>
        </w:rPr>
      </w:pPr>
      <w:r w:rsidRPr="007732BB">
        <w:rPr>
          <w:b/>
          <w:bCs/>
        </w:rPr>
        <w:t xml:space="preserve">Figure </w:t>
      </w:r>
      <w:r w:rsidR="00281F16">
        <w:rPr>
          <w:b/>
          <w:bCs/>
        </w:rPr>
        <w:t>S</w:t>
      </w:r>
      <w:r w:rsidR="00E043CD">
        <w:rPr>
          <w:b/>
          <w:bCs/>
        </w:rPr>
        <w:t>3</w:t>
      </w:r>
      <w:r w:rsidR="00F95678">
        <w:rPr>
          <w:b/>
          <w:bCs/>
        </w:rPr>
        <w:t xml:space="preserve"> </w:t>
      </w:r>
      <w:r w:rsidRPr="007732BB">
        <w:t xml:space="preserve">Monthly </w:t>
      </w:r>
      <w:r>
        <w:t>trends in total river flow for the 6 Arctic rivers and the total Big 6. Trends were calculated using the timeseries of the 1982-2019 monthly total discharge for each river and Theil-Sen’s slope regression (Hollander and Wolfe, 1973). Months with missing data were excluded and black squares are months that lacked a significant trend (p&lt;0.1).</w:t>
      </w:r>
    </w:p>
    <w:p w14:paraId="764BC8B4" w14:textId="10149ADA" w:rsidR="009F4A0E" w:rsidRDefault="009F4A0E"/>
    <w:p w14:paraId="71F77623" w14:textId="60FAC2BE" w:rsidR="000A6343" w:rsidRPr="00653306" w:rsidRDefault="000A6343" w:rsidP="000A6343">
      <w:pPr>
        <w:rPr>
          <w:b/>
          <w:bCs/>
        </w:rPr>
      </w:pPr>
      <w:r>
        <w:rPr>
          <w:b/>
          <w:bCs/>
        </w:rPr>
        <w:br w:type="column"/>
      </w:r>
      <w:r>
        <w:rPr>
          <w:noProof/>
        </w:rPr>
        <w:lastRenderedPageBreak/>
        <w:drawing>
          <wp:anchor distT="0" distB="0" distL="114300" distR="114300" simplePos="0" relativeHeight="251671552" behindDoc="0" locked="0" layoutInCell="1" allowOverlap="1" wp14:anchorId="45BB34B9" wp14:editId="1EE2F9AA">
            <wp:simplePos x="0" y="0"/>
            <wp:positionH relativeFrom="column">
              <wp:posOffset>194945</wp:posOffset>
            </wp:positionH>
            <wp:positionV relativeFrom="paragraph">
              <wp:posOffset>63443</wp:posOffset>
            </wp:positionV>
            <wp:extent cx="5202555" cy="4484370"/>
            <wp:effectExtent l="0" t="0" r="444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8">
                      <a:extLst>
                        <a:ext uri="{28A0092B-C50C-407E-A947-70E740481C1C}">
                          <a14:useLocalDpi xmlns:a14="http://schemas.microsoft.com/office/drawing/2010/main" val="0"/>
                        </a:ext>
                      </a:extLst>
                    </a:blip>
                    <a:srcRect l="6779" t="2790" r="5678" b="1412"/>
                    <a:stretch/>
                  </pic:blipFill>
                  <pic:spPr bwMode="auto">
                    <a:xfrm>
                      <a:off x="0" y="0"/>
                      <a:ext cx="5202555" cy="448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Figure S4 </w:t>
      </w:r>
      <w:r w:rsidRPr="000A21CB">
        <w:t>(a)</w:t>
      </w:r>
      <w:r>
        <w:rPr>
          <w:b/>
          <w:bCs/>
        </w:rPr>
        <w:t xml:space="preserve"> </w:t>
      </w:r>
      <w:r>
        <w:t xml:space="preserve">Dissolved organic carbon (DOC) and (b) CDOM absorption at 300 nm observed vs. predicted and the residuals for each (below) exhibiting the predictive skill of the USGS Load Estimator model for each constituent. </w:t>
      </w:r>
    </w:p>
    <w:p w14:paraId="599ECEDF" w14:textId="329D8B6E" w:rsidR="00762320" w:rsidRPr="0045351F" w:rsidRDefault="00762320"/>
    <w:sectPr w:rsidR="00762320" w:rsidRPr="0045351F" w:rsidSect="007E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64"/>
    <w:rsid w:val="000226CF"/>
    <w:rsid w:val="00032508"/>
    <w:rsid w:val="00060E1B"/>
    <w:rsid w:val="00066E76"/>
    <w:rsid w:val="0008337D"/>
    <w:rsid w:val="00085CD2"/>
    <w:rsid w:val="00096FC7"/>
    <w:rsid w:val="000A21CB"/>
    <w:rsid w:val="000A52EC"/>
    <w:rsid w:val="000A6343"/>
    <w:rsid w:val="000A7E59"/>
    <w:rsid w:val="000B76E3"/>
    <w:rsid w:val="00113FBD"/>
    <w:rsid w:val="00121ADC"/>
    <w:rsid w:val="001378AA"/>
    <w:rsid w:val="00153A4F"/>
    <w:rsid w:val="00184B22"/>
    <w:rsid w:val="00186A2B"/>
    <w:rsid w:val="001A1F7F"/>
    <w:rsid w:val="001A28E2"/>
    <w:rsid w:val="001A4A6B"/>
    <w:rsid w:val="001F4AE1"/>
    <w:rsid w:val="0020128F"/>
    <w:rsid w:val="002041A0"/>
    <w:rsid w:val="00212CA4"/>
    <w:rsid w:val="00216CA5"/>
    <w:rsid w:val="0022237C"/>
    <w:rsid w:val="002320DB"/>
    <w:rsid w:val="00237AE9"/>
    <w:rsid w:val="00244071"/>
    <w:rsid w:val="00265F1C"/>
    <w:rsid w:val="00267E61"/>
    <w:rsid w:val="00271486"/>
    <w:rsid w:val="00281F16"/>
    <w:rsid w:val="002B3805"/>
    <w:rsid w:val="002C0E0D"/>
    <w:rsid w:val="002C11E2"/>
    <w:rsid w:val="002F0BF2"/>
    <w:rsid w:val="002F2006"/>
    <w:rsid w:val="00320E6E"/>
    <w:rsid w:val="00323181"/>
    <w:rsid w:val="00344AF7"/>
    <w:rsid w:val="00356B02"/>
    <w:rsid w:val="00373B64"/>
    <w:rsid w:val="003A3897"/>
    <w:rsid w:val="003A745C"/>
    <w:rsid w:val="003B3116"/>
    <w:rsid w:val="003D6191"/>
    <w:rsid w:val="003F76EA"/>
    <w:rsid w:val="00404265"/>
    <w:rsid w:val="004316F2"/>
    <w:rsid w:val="0045351F"/>
    <w:rsid w:val="00474607"/>
    <w:rsid w:val="004B1186"/>
    <w:rsid w:val="004B7B27"/>
    <w:rsid w:val="004F3444"/>
    <w:rsid w:val="004F3DC8"/>
    <w:rsid w:val="00520CBB"/>
    <w:rsid w:val="00563AEA"/>
    <w:rsid w:val="00563BEB"/>
    <w:rsid w:val="0059350C"/>
    <w:rsid w:val="005A6323"/>
    <w:rsid w:val="005E24AD"/>
    <w:rsid w:val="00600262"/>
    <w:rsid w:val="00601291"/>
    <w:rsid w:val="00615AA3"/>
    <w:rsid w:val="00624DF4"/>
    <w:rsid w:val="0065405F"/>
    <w:rsid w:val="00685A58"/>
    <w:rsid w:val="006B2289"/>
    <w:rsid w:val="006D7118"/>
    <w:rsid w:val="006E5459"/>
    <w:rsid w:val="006F22C4"/>
    <w:rsid w:val="006F61E9"/>
    <w:rsid w:val="006F658E"/>
    <w:rsid w:val="00754E46"/>
    <w:rsid w:val="00762320"/>
    <w:rsid w:val="007C359F"/>
    <w:rsid w:val="007E2B5E"/>
    <w:rsid w:val="007E4849"/>
    <w:rsid w:val="007F1D0E"/>
    <w:rsid w:val="007F50A5"/>
    <w:rsid w:val="00810863"/>
    <w:rsid w:val="0083400C"/>
    <w:rsid w:val="008378F8"/>
    <w:rsid w:val="00852EE2"/>
    <w:rsid w:val="008626D0"/>
    <w:rsid w:val="008B1661"/>
    <w:rsid w:val="008D2869"/>
    <w:rsid w:val="008E2332"/>
    <w:rsid w:val="008F0CFB"/>
    <w:rsid w:val="00930E2B"/>
    <w:rsid w:val="009325CE"/>
    <w:rsid w:val="009628CC"/>
    <w:rsid w:val="00987682"/>
    <w:rsid w:val="00992A14"/>
    <w:rsid w:val="009A07AE"/>
    <w:rsid w:val="009A2AB8"/>
    <w:rsid w:val="009F4A0E"/>
    <w:rsid w:val="00A36486"/>
    <w:rsid w:val="00A41F9C"/>
    <w:rsid w:val="00A85093"/>
    <w:rsid w:val="00AE55F5"/>
    <w:rsid w:val="00B001AC"/>
    <w:rsid w:val="00B05272"/>
    <w:rsid w:val="00B161DE"/>
    <w:rsid w:val="00B96D64"/>
    <w:rsid w:val="00BB1C6E"/>
    <w:rsid w:val="00BD03F3"/>
    <w:rsid w:val="00BE07E1"/>
    <w:rsid w:val="00C24495"/>
    <w:rsid w:val="00C40256"/>
    <w:rsid w:val="00C667A8"/>
    <w:rsid w:val="00C7202A"/>
    <w:rsid w:val="00CA686F"/>
    <w:rsid w:val="00CA72E9"/>
    <w:rsid w:val="00CB3CED"/>
    <w:rsid w:val="00CC5717"/>
    <w:rsid w:val="00CD3C6E"/>
    <w:rsid w:val="00CF03A0"/>
    <w:rsid w:val="00D03B74"/>
    <w:rsid w:val="00D35283"/>
    <w:rsid w:val="00D431B4"/>
    <w:rsid w:val="00D4587B"/>
    <w:rsid w:val="00D60D5F"/>
    <w:rsid w:val="00D90770"/>
    <w:rsid w:val="00DA06CB"/>
    <w:rsid w:val="00DA486E"/>
    <w:rsid w:val="00DD28A8"/>
    <w:rsid w:val="00DE6F92"/>
    <w:rsid w:val="00E043CD"/>
    <w:rsid w:val="00E10AE1"/>
    <w:rsid w:val="00E55665"/>
    <w:rsid w:val="00E80EC0"/>
    <w:rsid w:val="00E82382"/>
    <w:rsid w:val="00E85844"/>
    <w:rsid w:val="00EC29CD"/>
    <w:rsid w:val="00ED6C3B"/>
    <w:rsid w:val="00F11A64"/>
    <w:rsid w:val="00F46C2A"/>
    <w:rsid w:val="00F50EF6"/>
    <w:rsid w:val="00F64E57"/>
    <w:rsid w:val="00F67E89"/>
    <w:rsid w:val="00F7140A"/>
    <w:rsid w:val="00F95678"/>
    <w:rsid w:val="00FB7EAA"/>
    <w:rsid w:val="00FC308B"/>
    <w:rsid w:val="00FD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EA26"/>
  <w15:chartTrackingRefBased/>
  <w15:docId w15:val="{7B4C2A00-B6C6-4A45-BB8C-2E21A000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8AA"/>
    <w:rPr>
      <w:color w:val="0563C1" w:themeColor="hyperlink"/>
      <w:u w:val="single"/>
    </w:rPr>
  </w:style>
  <w:style w:type="character" w:styleId="UnresolvedMention">
    <w:name w:val="Unresolved Mention"/>
    <w:basedOn w:val="DefaultParagraphFont"/>
    <w:uiPriority w:val="99"/>
    <w:semiHidden/>
    <w:unhideWhenUsed/>
    <w:rsid w:val="001378AA"/>
    <w:rPr>
      <w:color w:val="605E5C"/>
      <w:shd w:val="clear" w:color="auto" w:fill="E1DFDD"/>
    </w:rPr>
  </w:style>
  <w:style w:type="character" w:styleId="CommentReference">
    <w:name w:val="annotation reference"/>
    <w:basedOn w:val="DefaultParagraphFont"/>
    <w:uiPriority w:val="99"/>
    <w:semiHidden/>
    <w:unhideWhenUsed/>
    <w:rsid w:val="0020128F"/>
    <w:rPr>
      <w:sz w:val="16"/>
      <w:szCs w:val="16"/>
    </w:rPr>
  </w:style>
  <w:style w:type="paragraph" w:styleId="CommentText">
    <w:name w:val="annotation text"/>
    <w:basedOn w:val="Normal"/>
    <w:link w:val="CommentTextChar"/>
    <w:uiPriority w:val="99"/>
    <w:unhideWhenUsed/>
    <w:rsid w:val="0020128F"/>
    <w:rPr>
      <w:sz w:val="20"/>
      <w:szCs w:val="20"/>
    </w:rPr>
  </w:style>
  <w:style w:type="character" w:customStyle="1" w:styleId="CommentTextChar">
    <w:name w:val="Comment Text Char"/>
    <w:basedOn w:val="DefaultParagraphFont"/>
    <w:link w:val="CommentText"/>
    <w:uiPriority w:val="99"/>
    <w:rsid w:val="0020128F"/>
    <w:rPr>
      <w:sz w:val="20"/>
      <w:szCs w:val="20"/>
    </w:rPr>
  </w:style>
  <w:style w:type="paragraph" w:styleId="CommentSubject">
    <w:name w:val="annotation subject"/>
    <w:basedOn w:val="CommentText"/>
    <w:next w:val="CommentText"/>
    <w:link w:val="CommentSubjectChar"/>
    <w:uiPriority w:val="99"/>
    <w:semiHidden/>
    <w:unhideWhenUsed/>
    <w:rsid w:val="000A7E59"/>
    <w:rPr>
      <w:b/>
      <w:bCs/>
    </w:rPr>
  </w:style>
  <w:style w:type="character" w:customStyle="1" w:styleId="CommentSubjectChar">
    <w:name w:val="Comment Subject Char"/>
    <w:basedOn w:val="CommentTextChar"/>
    <w:link w:val="CommentSubject"/>
    <w:uiPriority w:val="99"/>
    <w:semiHidden/>
    <w:rsid w:val="000A7E59"/>
    <w:rPr>
      <w:b/>
      <w:bCs/>
      <w:sz w:val="20"/>
      <w:szCs w:val="20"/>
    </w:rPr>
  </w:style>
  <w:style w:type="paragraph" w:styleId="Revision">
    <w:name w:val="Revision"/>
    <w:hidden/>
    <w:uiPriority w:val="99"/>
    <w:semiHidden/>
    <w:rsid w:val="00C2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Blake (GSFC-616.0)[UNIVERSITIES SPACE RESEARCH ASSOCIATION]</dc:creator>
  <cp:keywords/>
  <dc:description/>
  <cp:lastModifiedBy>Calhoun, JoAnne {she, her} (GSFC-7630)</cp:lastModifiedBy>
  <cp:revision>2</cp:revision>
  <cp:lastPrinted>2022-05-20T19:43:00Z</cp:lastPrinted>
  <dcterms:created xsi:type="dcterms:W3CDTF">2023-09-22T18:23:00Z</dcterms:created>
  <dcterms:modified xsi:type="dcterms:W3CDTF">2023-09-22T18:23:00Z</dcterms:modified>
</cp:coreProperties>
</file>