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Description w:val="Brochure Layout - Outside"/>
      </w:tblPr>
      <w:tblGrid>
        <w:gridCol w:w="4032"/>
        <w:gridCol w:w="576"/>
        <w:gridCol w:w="576"/>
        <w:gridCol w:w="4176"/>
        <w:gridCol w:w="576"/>
        <w:gridCol w:w="576"/>
        <w:gridCol w:w="4176"/>
      </w:tblGrid>
      <w:tr w:rsidR="007A051A" w14:paraId="5DD71BC4" w14:textId="77777777">
        <w:trPr>
          <w:trHeight w:hRule="exact" w:val="10800"/>
        </w:trPr>
        <w:tc>
          <w:tcPr>
            <w:tcW w:w="4032" w:type="dxa"/>
            <w:vAlign w:val="bottom"/>
          </w:tcPr>
          <w:tbl>
            <w:tblPr>
              <w:tblStyle w:val="TableLayout"/>
              <w:tblW w:w="0" w:type="auto"/>
              <w:tblLayout w:type="fixed"/>
              <w:tblLook w:val="04A0" w:firstRow="1" w:lastRow="0" w:firstColumn="1" w:lastColumn="0" w:noHBand="0" w:noVBand="1"/>
            </w:tblPr>
            <w:tblGrid>
              <w:gridCol w:w="4032"/>
            </w:tblGrid>
            <w:tr w:rsidR="007A051A" w14:paraId="694356BF" w14:textId="77777777" w:rsidTr="00F271FE">
              <w:trPr>
                <w:trHeight w:hRule="exact" w:val="3600"/>
              </w:trPr>
              <w:tc>
                <w:tcPr>
                  <w:tcW w:w="4032" w:type="dxa"/>
                  <w:vAlign w:val="bottom"/>
                </w:tcPr>
                <w:p w14:paraId="4750290B" w14:textId="62390B66" w:rsidR="00B4085A" w:rsidRPr="00B4085A" w:rsidRDefault="00B4085A" w:rsidP="00B4085A">
                  <w:pPr>
                    <w:pStyle w:val="Heading1"/>
                    <w:outlineLvl w:val="0"/>
                  </w:pPr>
                </w:p>
              </w:tc>
            </w:tr>
            <w:tr w:rsidR="007A051A" w14:paraId="658D9209" w14:textId="77777777" w:rsidTr="00F271FE">
              <w:trPr>
                <w:trHeight w:hRule="exact" w:val="7200"/>
              </w:trPr>
              <w:tc>
                <w:tcPr>
                  <w:tcW w:w="4032" w:type="dxa"/>
                  <w:shd w:val="clear" w:color="auto" w:fill="DF1010" w:themeFill="accent1" w:themeFillShade="BF"/>
                </w:tcPr>
                <w:p w14:paraId="769952ED" w14:textId="69CA3F85" w:rsidR="007A051A" w:rsidRDefault="00B4085A">
                  <w:pPr>
                    <w:pStyle w:val="BlockText"/>
                  </w:pPr>
                  <w:r>
                    <w:t>PLUTO Flight Controllers work in Mission Control-Houston at the Johnson Space Center in Houston, Texas. PLUTO staffs a front room and MPSR/back-room position (PLUTO Support.) The PLUTO console is nominally staffed during the Orbit 1 (23:</w:t>
                  </w:r>
                  <w:r w:rsidR="00F0116E">
                    <w:t>30</w:t>
                  </w:r>
                  <w:r>
                    <w:t>CST – 07:30CST) and Orbit 2 shifts (07:30CST-</w:t>
                  </w:r>
                  <w:r w:rsidR="00F0116E">
                    <w:t>15</w:t>
                  </w:r>
                  <w:r>
                    <w:t>:30CST) Monday – Friday.</w:t>
                  </w:r>
                </w:p>
                <w:p w14:paraId="439C7DA9" w14:textId="73E5FD9E" w:rsidR="00EE4D29" w:rsidRDefault="00F0116E">
                  <w:pPr>
                    <w:pStyle w:val="BlockText"/>
                  </w:pPr>
                  <w:r>
                    <w:t>On off-duty days, PLUTO</w:t>
                  </w:r>
                  <w:r w:rsidR="00EE4D29">
                    <w:t xml:space="preserve"> maintains a 24/7 on-call roster. (Check FCT roster for #) </w:t>
                  </w:r>
                </w:p>
              </w:tc>
            </w:tr>
          </w:tbl>
          <w:p w14:paraId="032854B7" w14:textId="77777777" w:rsidR="007A051A" w:rsidRDefault="007A051A">
            <w:pPr>
              <w:spacing w:after="160" w:line="259" w:lineRule="auto"/>
            </w:pPr>
          </w:p>
        </w:tc>
        <w:tc>
          <w:tcPr>
            <w:tcW w:w="576" w:type="dxa"/>
            <w:vAlign w:val="bottom"/>
          </w:tcPr>
          <w:p w14:paraId="3D46A41B" w14:textId="77777777" w:rsidR="007A051A" w:rsidRDefault="007A051A">
            <w:pPr>
              <w:spacing w:after="160" w:line="259" w:lineRule="auto"/>
            </w:pPr>
          </w:p>
        </w:tc>
        <w:tc>
          <w:tcPr>
            <w:tcW w:w="576" w:type="dxa"/>
          </w:tcPr>
          <w:p w14:paraId="5A127F6B" w14:textId="77777777" w:rsidR="007A051A" w:rsidRDefault="007A051A">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7A051A" w14:paraId="619FF016" w14:textId="77777777">
              <w:trPr>
                <w:trHeight w:hRule="exact" w:val="1440"/>
              </w:trPr>
              <w:tc>
                <w:tcPr>
                  <w:tcW w:w="5000" w:type="pct"/>
                </w:tcPr>
                <w:p w14:paraId="12AF1406" w14:textId="77777777" w:rsidR="007A051A" w:rsidRDefault="007A051A"/>
              </w:tc>
            </w:tr>
            <w:tr w:rsidR="007A051A" w14:paraId="23005EE3" w14:textId="77777777">
              <w:trPr>
                <w:cantSplit/>
                <w:trHeight w:hRule="exact" w:val="5760"/>
              </w:trPr>
              <w:tc>
                <w:tcPr>
                  <w:tcW w:w="5000" w:type="pct"/>
                  <w:textDirection w:val="btLr"/>
                </w:tcPr>
                <w:p w14:paraId="4FCA67E3" w14:textId="57E9BF03" w:rsidR="007A051A" w:rsidRDefault="007A051A">
                  <w:pPr>
                    <w:pStyle w:val="Recipient"/>
                  </w:pPr>
                </w:p>
              </w:tc>
            </w:tr>
            <w:tr w:rsidR="007A051A" w14:paraId="0797D486" w14:textId="77777777">
              <w:trPr>
                <w:cantSplit/>
                <w:trHeight w:hRule="exact" w:val="3600"/>
              </w:trPr>
              <w:tc>
                <w:tcPr>
                  <w:tcW w:w="5000" w:type="pct"/>
                  <w:textDirection w:val="btLr"/>
                </w:tcPr>
                <w:p w14:paraId="6044E1C3" w14:textId="386141F5" w:rsidR="007A051A" w:rsidRDefault="00000000">
                  <w:pPr>
                    <w:pStyle w:val="Organization"/>
                    <w:spacing w:line="264" w:lineRule="auto"/>
                  </w:pPr>
                  <w:sdt>
                    <w:sdtPr>
                      <w:alias w:val="Company"/>
                      <w:tag w:val=""/>
                      <w:id w:val="878906079"/>
                      <w:placeholder>
                        <w:docPart w:val="11131441315F4265A38EA11DEDA220AD"/>
                      </w:placeholder>
                      <w:dataBinding w:prefixMappings="xmlns:ns0='http://schemas.openxmlformats.org/officeDocument/2006/extended-properties' " w:xpath="/ns0:Properties[1]/ns0:Company[1]" w:storeItemID="{6668398D-A668-4E3E-A5EB-62B293D839F1}"/>
                      <w:text/>
                    </w:sdtPr>
                    <w:sdtContent>
                      <w:r w:rsidR="00CD7DAA">
                        <w:t>PLUTO POIWG Representatives</w:t>
                      </w:r>
                    </w:sdtContent>
                  </w:sdt>
                </w:p>
                <w:p w14:paraId="7CC85E26" w14:textId="21BEA084" w:rsidR="00B4085A" w:rsidRDefault="00B4085A">
                  <w:pPr>
                    <w:pStyle w:val="NoSpacing"/>
                  </w:pPr>
                  <w:r>
                    <w:t>Joshua Dow, Cameron Allard, Jake Hinkel</w:t>
                  </w:r>
                </w:p>
                <w:p w14:paraId="23C8B5CD" w14:textId="77777777" w:rsidR="007A051A" w:rsidRDefault="00B4085A">
                  <w:pPr>
                    <w:pStyle w:val="NoSpacing"/>
                  </w:pPr>
                  <w:r>
                    <w:t xml:space="preserve">Johnson Space Center, Houston, TX </w:t>
                  </w:r>
                </w:p>
                <w:p w14:paraId="408B4FDC" w14:textId="77777777" w:rsidR="001C7407" w:rsidRDefault="001C7407">
                  <w:pPr>
                    <w:pStyle w:val="NoSpacing"/>
                  </w:pPr>
                </w:p>
                <w:p w14:paraId="3DBD1334" w14:textId="77777777" w:rsidR="001C7407" w:rsidRDefault="001C7407">
                  <w:pPr>
                    <w:pStyle w:val="NoSpacing"/>
                  </w:pPr>
                </w:p>
                <w:p w14:paraId="407E0AF7" w14:textId="77777777" w:rsidR="001C7407" w:rsidRDefault="001C7407">
                  <w:pPr>
                    <w:pStyle w:val="NoSpacing"/>
                  </w:pPr>
                </w:p>
                <w:p w14:paraId="0B3D4081" w14:textId="77777777" w:rsidR="001C7407" w:rsidRDefault="001C7407">
                  <w:pPr>
                    <w:pStyle w:val="NoSpacing"/>
                  </w:pPr>
                </w:p>
                <w:p w14:paraId="04662AB6" w14:textId="77777777" w:rsidR="001C7407" w:rsidRPr="001C7407" w:rsidRDefault="001C7407">
                  <w:pPr>
                    <w:pStyle w:val="NoSpacing"/>
                    <w:rPr>
                      <w:sz w:val="16"/>
                      <w:szCs w:val="16"/>
                    </w:rPr>
                  </w:pPr>
                </w:p>
                <w:p w14:paraId="4D95D1A0" w14:textId="6B5FCC30" w:rsidR="001C7407" w:rsidRDefault="001C7407">
                  <w:pPr>
                    <w:pStyle w:val="NoSpacing"/>
                  </w:pPr>
                  <w:r w:rsidRPr="001C7407">
                    <w:rPr>
                      <w:rStyle w:val="ui-provider"/>
                      <w:sz w:val="16"/>
                      <w:szCs w:val="16"/>
                    </w:rPr>
                    <w:t>This document has been reviewed for Proprietary, CUI, and Export Control (ITAR/EAR) and has been determined to be non-sensitive.  It has been released to the public via the NASA Scientific and Technical Information (STI) Process DAA</w:t>
                  </w:r>
                  <w:r w:rsidRPr="001C7407">
                    <w:rPr>
                      <w:rStyle w:val="ui-provider"/>
                      <w:sz w:val="16"/>
                      <w:szCs w:val="16"/>
                    </w:rPr>
                    <w:t xml:space="preserve"> 20230014539</w:t>
                  </w:r>
                </w:p>
              </w:tc>
            </w:tr>
          </w:tbl>
          <w:p w14:paraId="66C0D3A5" w14:textId="77777777" w:rsidR="007A051A" w:rsidRDefault="007A051A">
            <w:pPr>
              <w:spacing w:after="160" w:line="259" w:lineRule="auto"/>
            </w:pPr>
          </w:p>
        </w:tc>
        <w:tc>
          <w:tcPr>
            <w:tcW w:w="576" w:type="dxa"/>
          </w:tcPr>
          <w:p w14:paraId="0E845F46" w14:textId="77777777" w:rsidR="007A051A" w:rsidRDefault="007A051A">
            <w:pPr>
              <w:spacing w:after="160" w:line="259" w:lineRule="auto"/>
            </w:pPr>
          </w:p>
        </w:tc>
        <w:tc>
          <w:tcPr>
            <w:tcW w:w="576" w:type="dxa"/>
          </w:tcPr>
          <w:p w14:paraId="0747BD5A" w14:textId="77777777" w:rsidR="007A051A" w:rsidRDefault="007A051A">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7A051A" w14:paraId="05B33442" w14:textId="77777777">
              <w:trPr>
                <w:trHeight w:hRule="exact" w:val="3600"/>
              </w:trPr>
              <w:tc>
                <w:tcPr>
                  <w:tcW w:w="5000" w:type="pct"/>
                  <w:tcBorders>
                    <w:bottom w:val="single" w:sz="12" w:space="0" w:color="F24F4F" w:themeColor="accent1"/>
                  </w:tcBorders>
                  <w:vAlign w:val="bottom"/>
                </w:tcPr>
                <w:p w14:paraId="6637CCA8" w14:textId="787D00E5" w:rsidR="007A051A" w:rsidRPr="00B4085A" w:rsidRDefault="00B4085A">
                  <w:pPr>
                    <w:pStyle w:val="Title"/>
                    <w:rPr>
                      <w:rFonts w:ascii="Arial Black" w:hAnsi="Arial Black"/>
                    </w:rPr>
                  </w:pPr>
                  <w:r w:rsidRPr="00B4085A">
                    <w:rPr>
                      <w:rFonts w:ascii="Arial Black" w:hAnsi="Arial Black"/>
                    </w:rPr>
                    <w:t>PLUTO</w:t>
                  </w:r>
                </w:p>
              </w:tc>
            </w:tr>
            <w:tr w:rsidR="007A051A" w14:paraId="5F6A8799" w14:textId="77777777">
              <w:trPr>
                <w:trHeight w:hRule="exact" w:val="3600"/>
              </w:trPr>
              <w:tc>
                <w:tcPr>
                  <w:tcW w:w="5000" w:type="pct"/>
                  <w:tcBorders>
                    <w:top w:val="single" w:sz="12" w:space="0" w:color="F24F4F" w:themeColor="accent1"/>
                  </w:tcBorders>
                </w:tcPr>
                <w:p w14:paraId="2C624D44" w14:textId="33D1F49C" w:rsidR="007A051A" w:rsidRDefault="00B4085A">
                  <w:pPr>
                    <w:pStyle w:val="Subtitle"/>
                  </w:pPr>
                  <w:proofErr w:type="spellStart"/>
                  <w:r>
                    <w:t>P</w:t>
                  </w:r>
                  <w:r w:rsidR="00D449CF">
                    <w:t>L</w:t>
                  </w:r>
                  <w:r>
                    <w:t>ug-</w:t>
                  </w:r>
                  <w:r w:rsidR="00D449CF">
                    <w:t>i</w:t>
                  </w:r>
                  <w:r>
                    <w:t>n</w:t>
                  </w:r>
                  <w:proofErr w:type="spellEnd"/>
                  <w:r>
                    <w:t xml:space="preserve"> port </w:t>
                  </w:r>
                  <w:proofErr w:type="spellStart"/>
                  <w:r>
                    <w:t>U</w:t>
                  </w:r>
                  <w:r w:rsidR="00D449CF">
                    <w:t>T</w:t>
                  </w:r>
                  <w:r>
                    <w:t>ilization</w:t>
                  </w:r>
                  <w:proofErr w:type="spellEnd"/>
                  <w:r>
                    <w:t xml:space="preserve"> Officers</w:t>
                  </w:r>
                </w:p>
                <w:p w14:paraId="525568B2" w14:textId="77777777" w:rsidR="00B4085A" w:rsidRPr="00B4085A" w:rsidRDefault="00B4085A" w:rsidP="00B4085A"/>
                <w:p w14:paraId="3BBEEBC8" w14:textId="2AF79F6C" w:rsidR="00B4085A" w:rsidRDefault="00B4085A" w:rsidP="00B4085A">
                  <w:r>
                    <w:t>Flight Operations Directorate</w:t>
                  </w:r>
                  <w:r w:rsidR="00EE4D29">
                    <w:t xml:space="preserve"> | CO25</w:t>
                  </w:r>
                </w:p>
                <w:p w14:paraId="148E5B36" w14:textId="52D8624D" w:rsidR="00B4085A" w:rsidRDefault="00B4085A" w:rsidP="00B4085A">
                  <w:r>
                    <w:t>Johnson Space Center, Houston, TX</w:t>
                  </w:r>
                </w:p>
                <w:p w14:paraId="46E878AE" w14:textId="4E15930C" w:rsidR="00B4085A" w:rsidRPr="00B4085A" w:rsidRDefault="00B4085A" w:rsidP="00B4085A">
                  <w:proofErr w:type="spellStart"/>
                  <w:r>
                    <w:t>Bldg</w:t>
                  </w:r>
                  <w:proofErr w:type="spellEnd"/>
                  <w:r>
                    <w:t xml:space="preserve"> 4N\3</w:t>
                  </w:r>
                  <w:r w:rsidRPr="00B4085A">
                    <w:rPr>
                      <w:vertAlign w:val="superscript"/>
                    </w:rPr>
                    <w:t>rd</w:t>
                  </w:r>
                  <w:r>
                    <w:t xml:space="preserve"> Floor </w:t>
                  </w:r>
                </w:p>
              </w:tc>
            </w:tr>
            <w:tr w:rsidR="007A051A" w14:paraId="0FBEAD5E" w14:textId="77777777">
              <w:trPr>
                <w:trHeight w:hRule="exact" w:val="3456"/>
              </w:trPr>
              <w:tc>
                <w:tcPr>
                  <w:tcW w:w="5000" w:type="pct"/>
                  <w:vAlign w:val="bottom"/>
                </w:tcPr>
                <w:p w14:paraId="14E0D100" w14:textId="3AACA278" w:rsidR="007A051A" w:rsidRDefault="00B4085A">
                  <w:pPr>
                    <w:spacing w:after="160" w:line="264" w:lineRule="auto"/>
                  </w:pPr>
                  <w:r>
                    <w:rPr>
                      <w:noProof/>
                    </w:rPr>
                    <w:drawing>
                      <wp:inline distT="0" distB="0" distL="0" distR="0" wp14:anchorId="500684C7" wp14:editId="5CD954A9">
                        <wp:extent cx="2531981" cy="12477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2761" cy="1248159"/>
                                </a:xfrm>
                                <a:prstGeom prst="rect">
                                  <a:avLst/>
                                </a:prstGeom>
                                <a:noFill/>
                                <a:ln>
                                  <a:noFill/>
                                </a:ln>
                              </pic:spPr>
                            </pic:pic>
                          </a:graphicData>
                        </a:graphic>
                      </wp:inline>
                    </w:drawing>
                  </w:r>
                </w:p>
              </w:tc>
            </w:tr>
            <w:tr w:rsidR="007A051A" w14:paraId="234FC3DC" w14:textId="77777777">
              <w:trPr>
                <w:trHeight w:hRule="exact" w:val="144"/>
              </w:trPr>
              <w:tc>
                <w:tcPr>
                  <w:tcW w:w="5000" w:type="pct"/>
                  <w:shd w:val="clear" w:color="auto" w:fill="F24F4F" w:themeFill="accent1"/>
                </w:tcPr>
                <w:p w14:paraId="210DA3C0" w14:textId="77777777" w:rsidR="007A051A" w:rsidRDefault="007A051A">
                  <w:pPr>
                    <w:spacing w:after="200" w:line="264" w:lineRule="auto"/>
                  </w:pPr>
                </w:p>
              </w:tc>
            </w:tr>
          </w:tbl>
          <w:p w14:paraId="461990DC" w14:textId="77777777" w:rsidR="007A051A" w:rsidRDefault="007A051A">
            <w:pPr>
              <w:spacing w:after="160" w:line="259" w:lineRule="auto"/>
            </w:pPr>
          </w:p>
        </w:tc>
      </w:tr>
    </w:tbl>
    <w:p w14:paraId="205111DC" w14:textId="77777777" w:rsidR="007A051A" w:rsidRDefault="007A051A">
      <w:pPr>
        <w:pStyle w:val="NoSpacing"/>
      </w:pPr>
    </w:p>
    <w:tbl>
      <w:tblPr>
        <w:tblW w:w="0" w:type="auto"/>
        <w:tblLayout w:type="fixed"/>
        <w:tblCellMar>
          <w:left w:w="0" w:type="dxa"/>
          <w:right w:w="0" w:type="dxa"/>
        </w:tblCellMar>
        <w:tblLook w:val="04A0" w:firstRow="1" w:lastRow="0" w:firstColumn="1" w:lastColumn="0" w:noHBand="0" w:noVBand="1"/>
        <w:tblDescription w:val="Brochure Layout - Inside"/>
      </w:tblPr>
      <w:tblGrid>
        <w:gridCol w:w="4176"/>
        <w:gridCol w:w="576"/>
        <w:gridCol w:w="576"/>
        <w:gridCol w:w="4176"/>
        <w:gridCol w:w="576"/>
        <w:gridCol w:w="576"/>
        <w:gridCol w:w="4032"/>
      </w:tblGrid>
      <w:tr w:rsidR="007A051A" w14:paraId="7C94F922" w14:textId="77777777" w:rsidTr="00B4085A">
        <w:trPr>
          <w:trHeight w:hRule="exact" w:val="10800"/>
        </w:trPr>
        <w:tc>
          <w:tcPr>
            <w:tcW w:w="4176" w:type="dxa"/>
          </w:tcPr>
          <w:tbl>
            <w:tblPr>
              <w:tblStyle w:val="TableLayout"/>
              <w:tblW w:w="0" w:type="auto"/>
              <w:tblLayout w:type="fixed"/>
              <w:tblLook w:val="04A0" w:firstRow="1" w:lastRow="0" w:firstColumn="1" w:lastColumn="0" w:noHBand="0" w:noVBand="1"/>
            </w:tblPr>
            <w:tblGrid>
              <w:gridCol w:w="4176"/>
            </w:tblGrid>
            <w:tr w:rsidR="007A051A" w14:paraId="2DA12C30" w14:textId="77777777">
              <w:trPr>
                <w:trHeight w:hRule="exact" w:val="3312"/>
              </w:trPr>
              <w:tc>
                <w:tcPr>
                  <w:tcW w:w="4176" w:type="dxa"/>
                </w:tcPr>
                <w:p w14:paraId="6126EEB9" w14:textId="394F4067" w:rsidR="007A051A" w:rsidRDefault="00B4085A">
                  <w:pPr>
                    <w:spacing w:after="200" w:line="264" w:lineRule="auto"/>
                  </w:pPr>
                  <w:r>
                    <w:rPr>
                      <w:noProof/>
                    </w:rPr>
                    <w:lastRenderedPageBreak/>
                    <w:drawing>
                      <wp:inline distT="0" distB="0" distL="0" distR="0" wp14:anchorId="3D25E78C" wp14:editId="30667687">
                        <wp:extent cx="2276475" cy="2105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2105025"/>
                                </a:xfrm>
                                <a:prstGeom prst="rect">
                                  <a:avLst/>
                                </a:prstGeom>
                                <a:noFill/>
                                <a:ln>
                                  <a:noFill/>
                                </a:ln>
                              </pic:spPr>
                            </pic:pic>
                          </a:graphicData>
                        </a:graphic>
                      </wp:inline>
                    </w:drawing>
                  </w:r>
                </w:p>
              </w:tc>
            </w:tr>
            <w:tr w:rsidR="007A051A" w14:paraId="3FA86C53" w14:textId="77777777">
              <w:trPr>
                <w:trHeight w:hRule="exact" w:val="7488"/>
              </w:trPr>
              <w:tc>
                <w:tcPr>
                  <w:tcW w:w="4176" w:type="dxa"/>
                </w:tcPr>
                <w:p w14:paraId="1B290661" w14:textId="7CFFBE96" w:rsidR="007A051A" w:rsidRDefault="00B4085A">
                  <w:pPr>
                    <w:pStyle w:val="Heading2"/>
                    <w:outlineLvl w:val="1"/>
                  </w:pPr>
                  <w:r>
                    <w:t>What does PLUTO</w:t>
                  </w:r>
                  <w:r w:rsidR="00D449CF">
                    <w:t xml:space="preserve"> </w:t>
                  </w:r>
                  <w:r>
                    <w:t>do?</w:t>
                  </w:r>
                </w:p>
                <w:p w14:paraId="0FE68205" w14:textId="5332DD37" w:rsidR="007A051A" w:rsidRDefault="004C72B7">
                  <w:pPr>
                    <w:spacing w:after="200" w:line="264" w:lineRule="auto"/>
                  </w:pPr>
                  <w:r>
                    <w:t>PLUTO flight controllers manage on onboard networks (JSL) and IT systems (SSCs, servers, etc.) aboard the International Space Station. In addition, PLUTO manages the live coordination and changes to the Plug-in-Plan. While the Increment plug-in team (</w:t>
                  </w:r>
                  <w:proofErr w:type="spellStart"/>
                  <w:r>
                    <w:t>iPiP</w:t>
                  </w:r>
                  <w:proofErr w:type="spellEnd"/>
                  <w:r>
                    <w:t xml:space="preserve">) manages power allocation at an Increment planning level, real-time and close-in changes are typically coordinated with the PLUTO team. </w:t>
                  </w:r>
                </w:p>
                <w:p w14:paraId="39270B60" w14:textId="34C91227" w:rsidR="004C72B7" w:rsidRDefault="004C72B7" w:rsidP="004C72B7">
                  <w:pPr>
                    <w:spacing w:after="200" w:line="264" w:lineRule="auto"/>
                  </w:pPr>
                  <w:r>
                    <w:t xml:space="preserve">PLUTO also manages several ancillary systems, such as the Arcturus System, Wireless Instrumentation System (WIS), iPads, and Surface Pros. </w:t>
                  </w:r>
                </w:p>
                <w:p w14:paraId="20CA3C9C" w14:textId="5DDB4278" w:rsidR="004C72B7" w:rsidRDefault="004C72B7" w:rsidP="004C72B7">
                  <w:pPr>
                    <w:spacing w:after="200" w:line="264" w:lineRule="auto"/>
                  </w:pPr>
                  <w:r>
                    <w:t>In short, PLUTOs are the “system</w:t>
                  </w:r>
                  <w:r w:rsidR="00CD7DAA">
                    <w:t>s</w:t>
                  </w:r>
                  <w:r>
                    <w:t xml:space="preserve"> administrators” of the International Space Station. </w:t>
                  </w:r>
                </w:p>
                <w:p w14:paraId="3826B2DC" w14:textId="4FE05249" w:rsidR="007A051A" w:rsidRDefault="007A051A">
                  <w:pPr>
                    <w:spacing w:after="200" w:line="264" w:lineRule="auto"/>
                  </w:pPr>
                </w:p>
              </w:tc>
            </w:tr>
          </w:tbl>
          <w:p w14:paraId="3B509427" w14:textId="77777777" w:rsidR="007A051A" w:rsidRDefault="007A051A">
            <w:pPr>
              <w:spacing w:after="160" w:line="259" w:lineRule="auto"/>
            </w:pPr>
          </w:p>
        </w:tc>
        <w:tc>
          <w:tcPr>
            <w:tcW w:w="576" w:type="dxa"/>
          </w:tcPr>
          <w:p w14:paraId="1D507A81" w14:textId="77777777" w:rsidR="007A051A" w:rsidRDefault="007A051A">
            <w:pPr>
              <w:spacing w:after="160" w:line="259" w:lineRule="auto"/>
            </w:pPr>
          </w:p>
        </w:tc>
        <w:tc>
          <w:tcPr>
            <w:tcW w:w="576" w:type="dxa"/>
          </w:tcPr>
          <w:p w14:paraId="337874A4" w14:textId="77777777" w:rsidR="007A051A" w:rsidRDefault="007A051A">
            <w:pPr>
              <w:spacing w:after="160" w:line="259" w:lineRule="auto"/>
            </w:pPr>
          </w:p>
        </w:tc>
        <w:tc>
          <w:tcPr>
            <w:tcW w:w="4176" w:type="dxa"/>
          </w:tcPr>
          <w:tbl>
            <w:tblPr>
              <w:tblStyle w:val="TableLayout"/>
              <w:tblW w:w="5000" w:type="pct"/>
              <w:tblLayout w:type="fixed"/>
              <w:tblLook w:val="04A0" w:firstRow="1" w:lastRow="0" w:firstColumn="1" w:lastColumn="0" w:noHBand="0" w:noVBand="1"/>
            </w:tblPr>
            <w:tblGrid>
              <w:gridCol w:w="4176"/>
            </w:tblGrid>
            <w:tr w:rsidR="007A051A" w14:paraId="183B5B56" w14:textId="77777777">
              <w:trPr>
                <w:trHeight w:hRule="exact" w:val="7344"/>
              </w:trPr>
              <w:tc>
                <w:tcPr>
                  <w:tcW w:w="5000" w:type="pct"/>
                </w:tcPr>
                <w:p w14:paraId="2F1F7FE3" w14:textId="21686531" w:rsidR="007A051A" w:rsidRDefault="004C72B7">
                  <w:pPr>
                    <w:pStyle w:val="Heading2"/>
                    <w:spacing w:before="180"/>
                    <w:outlineLvl w:val="1"/>
                  </w:pPr>
                  <w:r>
                    <w:t>How can we help you?</w:t>
                  </w:r>
                </w:p>
                <w:p w14:paraId="6679E5CE" w14:textId="3F799DCC" w:rsidR="007A051A" w:rsidRDefault="004C72B7">
                  <w:pPr>
                    <w:spacing w:after="200" w:line="264" w:lineRule="auto"/>
                  </w:pPr>
                  <w:r>
                    <w:t>If your payload connects through/to the JSL, SSC, iPads, or the Arcturus system, PLUTO likely manages or has a piece of the coordination. We ensure IT system stability and runtime for most of the JSL</w:t>
                  </w:r>
                  <w:r w:rsidR="00EE4D29">
                    <w:t xml:space="preserve"> and SSC system.</w:t>
                  </w:r>
                </w:p>
                <w:p w14:paraId="5F5EC335" w14:textId="5FEAA799" w:rsidR="00EE4D29" w:rsidRDefault="00EE4D29">
                  <w:pPr>
                    <w:spacing w:after="200" w:line="264" w:lineRule="auto"/>
                  </w:pPr>
                  <w:r>
                    <w:t xml:space="preserve">PLUTO has remote capabilities to all onboard SSC </w:t>
                  </w:r>
                  <w:r w:rsidR="00CD7DAA">
                    <w:t>cl</w:t>
                  </w:r>
                  <w:r>
                    <w:t xml:space="preserve">ients, </w:t>
                  </w:r>
                  <w:proofErr w:type="spellStart"/>
                  <w:r>
                    <w:t>Adlink</w:t>
                  </w:r>
                  <w:proofErr w:type="spellEnd"/>
                  <w:r>
                    <w:t xml:space="preserve"> </w:t>
                  </w:r>
                  <w:r w:rsidR="00F0116E">
                    <w:t>M</w:t>
                  </w:r>
                  <w:r>
                    <w:t xml:space="preserve">ini PCs (Arcturus), the WIS System, </w:t>
                  </w:r>
                  <w:r w:rsidR="00CD7DAA">
                    <w:t xml:space="preserve">and </w:t>
                  </w:r>
                  <w:r>
                    <w:t>SSC System hypervisors/servers and virtual machines</w:t>
                  </w:r>
                  <w:r w:rsidR="00CD7DAA">
                    <w:t xml:space="preserve">. PLUTO also controls iPad iOS/app updates and </w:t>
                  </w:r>
                  <w:proofErr w:type="spellStart"/>
                  <w:r w:rsidR="00CD7DAA">
                    <w:t>CrewNet</w:t>
                  </w:r>
                  <w:proofErr w:type="spellEnd"/>
                  <w:r w:rsidR="00CD7DAA">
                    <w:t xml:space="preserve"> onboard connectivity. </w:t>
                  </w:r>
                </w:p>
                <w:p w14:paraId="77A601B2" w14:textId="10967EC5" w:rsidR="00F0116E" w:rsidRDefault="00F0116E">
                  <w:pPr>
                    <w:spacing w:after="200" w:line="264" w:lineRule="auto"/>
                  </w:pPr>
                  <w:r>
                    <w:t xml:space="preserve">Questions regarding onboard accounts (for limited ground users, or LGUs) including password resets, account questions, </w:t>
                  </w:r>
                  <w:proofErr w:type="spellStart"/>
                  <w:r>
                    <w:t>etc</w:t>
                  </w:r>
                  <w:proofErr w:type="spellEnd"/>
                  <w:r>
                    <w:t xml:space="preserve"> can be directed to the PLUTO console.</w:t>
                  </w:r>
                </w:p>
                <w:p w14:paraId="6D71EE78" w14:textId="5AE42BAF" w:rsidR="007A051A" w:rsidRDefault="004C72B7">
                  <w:pPr>
                    <w:pStyle w:val="Heading3"/>
                    <w:outlineLvl w:val="2"/>
                  </w:pPr>
                  <w:r>
                    <w:t>How do I contact PLUTO?</w:t>
                  </w:r>
                </w:p>
                <w:p w14:paraId="08332F89" w14:textId="2EB35B0F" w:rsidR="00CD7DAA" w:rsidRDefault="004C72B7">
                  <w:pPr>
                    <w:spacing w:after="200" w:line="264" w:lineRule="auto"/>
                  </w:pPr>
                  <w:r>
                    <w:t>On console, PLUTO can be reached via the PLUTO 1</w:t>
                  </w:r>
                  <w:r w:rsidR="00CD7DAA">
                    <w:t xml:space="preserve">, </w:t>
                  </w:r>
                  <w:r>
                    <w:t>PLUTO SUPPORT 1</w:t>
                  </w:r>
                  <w:r w:rsidR="00CD7DAA">
                    <w:t xml:space="preserve">, PLUTO COORD 1, or PLUTO IP COORD 1 </w:t>
                  </w:r>
                  <w:r>
                    <w:t>voice loops.</w:t>
                  </w:r>
                </w:p>
                <w:p w14:paraId="7F4FB909" w14:textId="392C1A21" w:rsidR="004C72B7" w:rsidRDefault="00CD7DAA">
                  <w:pPr>
                    <w:spacing w:after="200" w:line="264" w:lineRule="auto"/>
                  </w:pPr>
                  <w:r>
                    <w:t>For non-real-time operations,</w:t>
                  </w:r>
                  <w:r w:rsidR="004C72B7">
                    <w:t xml:space="preserve"> PLUTO increment lead email distribution can be used for payload, Chit, and managerial questions</w:t>
                  </w:r>
                  <w:r w:rsidR="00D449CF">
                    <w:t>:</w:t>
                  </w:r>
                </w:p>
                <w:p w14:paraId="00A6C0B4" w14:textId="0E0B0FF6" w:rsidR="00EE4D29" w:rsidRDefault="004C72B7">
                  <w:pPr>
                    <w:spacing w:after="200" w:line="264" w:lineRule="auto"/>
                  </w:pPr>
                  <w:r w:rsidRPr="004C72B7">
                    <w:t>jsc-dl-fod-pluto-increment-lead@mail.nasa.go</w:t>
                  </w:r>
                  <w:r w:rsidR="00EE4D29">
                    <w:t>v</w:t>
                  </w:r>
                </w:p>
              </w:tc>
            </w:tr>
            <w:tr w:rsidR="007A051A" w14:paraId="7F222E43" w14:textId="77777777">
              <w:trPr>
                <w:trHeight w:hRule="exact" w:val="288"/>
              </w:trPr>
              <w:tc>
                <w:tcPr>
                  <w:tcW w:w="5000" w:type="pct"/>
                </w:tcPr>
                <w:p w14:paraId="1ED91E27" w14:textId="62A91DDD" w:rsidR="007A051A" w:rsidRDefault="003F476B">
                  <w:r w:rsidRPr="003F476B">
                    <w:t>jsc-dl-fod-pluto-increment-lead@mail.nasa.gov</w:t>
                  </w:r>
                </w:p>
                <w:p w14:paraId="0CEB8BC4" w14:textId="77777777" w:rsidR="003F476B" w:rsidRDefault="003F476B"/>
                <w:p w14:paraId="75CF93F2" w14:textId="376B8F65" w:rsidR="003F476B" w:rsidRDefault="003F476B"/>
                <w:p w14:paraId="3468DF7F" w14:textId="3652E1C1" w:rsidR="003F476B" w:rsidRDefault="003F476B"/>
                <w:p w14:paraId="24AB820E" w14:textId="77777777" w:rsidR="003F476B" w:rsidRDefault="003F476B"/>
                <w:p w14:paraId="1A33554F" w14:textId="77777777" w:rsidR="003F476B" w:rsidRDefault="003F476B"/>
                <w:p w14:paraId="382BB096" w14:textId="66562523" w:rsidR="003F476B" w:rsidRDefault="003F476B">
                  <w:r>
                    <w:t>F</w:t>
                  </w:r>
                </w:p>
              </w:tc>
            </w:tr>
            <w:tr w:rsidR="007A051A" w14:paraId="3C9A93E6" w14:textId="77777777">
              <w:trPr>
                <w:trHeight w:hRule="exact" w:val="3168"/>
              </w:trPr>
              <w:tc>
                <w:tcPr>
                  <w:tcW w:w="5000" w:type="pct"/>
                </w:tcPr>
                <w:p w14:paraId="60CC6F28" w14:textId="05FA18BA" w:rsidR="007A051A" w:rsidRDefault="003F476B">
                  <w:pPr>
                    <w:spacing w:after="200" w:line="264" w:lineRule="auto"/>
                  </w:pPr>
                  <w:r>
                    <w:t>For questions to</w:t>
                  </w:r>
                  <w:r w:rsidR="00D449CF">
                    <w:t xml:space="preserve"> the</w:t>
                  </w:r>
                  <w:r>
                    <w:t xml:space="preserve"> generic PLUTO distribution, contact:</w:t>
                  </w:r>
                </w:p>
                <w:p w14:paraId="5D55B8AC" w14:textId="1FBBB6B5" w:rsidR="003F476B" w:rsidRDefault="003F476B">
                  <w:pPr>
                    <w:spacing w:after="200" w:line="264" w:lineRule="auto"/>
                  </w:pPr>
                  <w:r w:rsidRPr="003F476B">
                    <w:t>JSC-DL-FOD-CO2-PLUTO-OCA@mail.nasa.gov</w:t>
                  </w:r>
                </w:p>
              </w:tc>
            </w:tr>
          </w:tbl>
          <w:p w14:paraId="1128AA3C" w14:textId="77777777" w:rsidR="007A051A" w:rsidRDefault="007A051A">
            <w:pPr>
              <w:spacing w:after="160" w:line="259" w:lineRule="auto"/>
            </w:pPr>
          </w:p>
        </w:tc>
        <w:tc>
          <w:tcPr>
            <w:tcW w:w="576" w:type="dxa"/>
          </w:tcPr>
          <w:p w14:paraId="601784CE" w14:textId="77777777" w:rsidR="007A051A" w:rsidRDefault="007A051A">
            <w:pPr>
              <w:spacing w:after="160" w:line="259" w:lineRule="auto"/>
            </w:pPr>
          </w:p>
        </w:tc>
        <w:tc>
          <w:tcPr>
            <w:tcW w:w="576" w:type="dxa"/>
          </w:tcPr>
          <w:p w14:paraId="014EB7D8" w14:textId="77777777" w:rsidR="007A051A" w:rsidRDefault="007A051A">
            <w:pPr>
              <w:spacing w:after="160" w:line="259" w:lineRule="auto"/>
            </w:pPr>
          </w:p>
        </w:tc>
        <w:tc>
          <w:tcPr>
            <w:tcW w:w="4032" w:type="dxa"/>
          </w:tcPr>
          <w:tbl>
            <w:tblPr>
              <w:tblStyle w:val="TableLayout"/>
              <w:tblW w:w="5000" w:type="pct"/>
              <w:tblLayout w:type="fixed"/>
              <w:tblLook w:val="04A0" w:firstRow="1" w:lastRow="0" w:firstColumn="1" w:lastColumn="0" w:noHBand="0" w:noVBand="1"/>
            </w:tblPr>
            <w:tblGrid>
              <w:gridCol w:w="4032"/>
            </w:tblGrid>
            <w:tr w:rsidR="007A051A" w14:paraId="689337B0" w14:textId="77777777">
              <w:trPr>
                <w:trHeight w:hRule="exact" w:val="7344"/>
              </w:trPr>
              <w:tc>
                <w:tcPr>
                  <w:tcW w:w="5000" w:type="pct"/>
                </w:tcPr>
                <w:p w14:paraId="43EF8740" w14:textId="501D578A" w:rsidR="007A051A" w:rsidRDefault="004C72B7">
                  <w:pPr>
                    <w:spacing w:before="200" w:after="200" w:line="264" w:lineRule="auto"/>
                  </w:pPr>
                  <w:r>
                    <w:t>What kind of questions can we help with?</w:t>
                  </w:r>
                </w:p>
                <w:p w14:paraId="57247B6A" w14:textId="6E3533A1" w:rsidR="007A051A" w:rsidRPr="004C72B7" w:rsidRDefault="004C72B7">
                  <w:pPr>
                    <w:pStyle w:val="ListBullet"/>
                    <w:spacing w:line="264" w:lineRule="auto"/>
                    <w:rPr>
                      <w:rFonts w:ascii="Arial" w:hAnsi="Arial" w:cs="Arial"/>
                    </w:rPr>
                  </w:pPr>
                  <w:r w:rsidRPr="004C72B7">
                    <w:rPr>
                      <w:rFonts w:ascii="Arial" w:hAnsi="Arial" w:cs="Arial"/>
                      <w:i/>
                      <w:iCs/>
                    </w:rPr>
                    <w:t>I have a change to where my payload needs to be plugged in, and the ops execution is in 2 days</w:t>
                  </w:r>
                  <w:r w:rsidRPr="004C72B7">
                    <w:rPr>
                      <w:rFonts w:ascii="Arial" w:hAnsi="Arial" w:cs="Arial"/>
                    </w:rPr>
                    <w:t>!</w:t>
                  </w:r>
                </w:p>
                <w:p w14:paraId="2B218FC6" w14:textId="7610EB68" w:rsidR="00EE4D29" w:rsidRDefault="00EE4D29" w:rsidP="00EE4D29">
                  <w:pPr>
                    <w:pStyle w:val="ListBullet"/>
                    <w:spacing w:line="264" w:lineRule="auto"/>
                    <w:rPr>
                      <w:rFonts w:ascii="Arial" w:hAnsi="Arial" w:cs="Arial"/>
                      <w:i/>
                      <w:iCs/>
                    </w:rPr>
                  </w:pPr>
                  <w:r w:rsidRPr="00EE4D29">
                    <w:rPr>
                      <w:rFonts w:ascii="Arial" w:hAnsi="Arial" w:cs="Arial"/>
                      <w:i/>
                      <w:iCs/>
                    </w:rPr>
                    <w:t>We need to change which computer/SSC our payload software runs on, and the ops are in 2 days!</w:t>
                  </w:r>
                </w:p>
                <w:p w14:paraId="0223E195" w14:textId="63D78A1C" w:rsidR="00EE4D29" w:rsidRDefault="00EE4D29" w:rsidP="00EE4D29">
                  <w:pPr>
                    <w:pStyle w:val="ListBullet"/>
                    <w:spacing w:line="264" w:lineRule="auto"/>
                    <w:rPr>
                      <w:rFonts w:ascii="Arial" w:hAnsi="Arial" w:cs="Arial"/>
                      <w:i/>
                      <w:iCs/>
                    </w:rPr>
                  </w:pPr>
                  <w:r>
                    <w:rPr>
                      <w:rFonts w:ascii="Arial" w:hAnsi="Arial" w:cs="Arial"/>
                      <w:i/>
                      <w:iCs/>
                    </w:rPr>
                    <w:t>Is there a different or additional JSL Ethernet port we can use for our Payload?</w:t>
                  </w:r>
                </w:p>
                <w:p w14:paraId="0C3EC50A" w14:textId="77777777" w:rsidR="00EE4D29" w:rsidRDefault="00EE4D29" w:rsidP="00EE4D29">
                  <w:pPr>
                    <w:pStyle w:val="ListBullet"/>
                    <w:numPr>
                      <w:ilvl w:val="0"/>
                      <w:numId w:val="0"/>
                    </w:numPr>
                    <w:spacing w:line="264" w:lineRule="auto"/>
                    <w:ind w:left="360"/>
                  </w:pPr>
                </w:p>
                <w:p w14:paraId="665F3B2D" w14:textId="1A928CDE" w:rsidR="007A051A" w:rsidRPr="00EE4D29" w:rsidRDefault="00EE4D29" w:rsidP="00EE4D29">
                  <w:pPr>
                    <w:pStyle w:val="ListBullet"/>
                    <w:numPr>
                      <w:ilvl w:val="0"/>
                      <w:numId w:val="0"/>
                    </w:numPr>
                    <w:spacing w:line="264" w:lineRule="auto"/>
                    <w:rPr>
                      <w:rFonts w:ascii="Arial" w:hAnsi="Arial" w:cs="Arial"/>
                      <w:i/>
                      <w:iCs/>
                    </w:rPr>
                  </w:pPr>
                  <w:r>
                    <w:t>As MCC-H flight controllers, PLUTO should be aware of and looped into any real-time changes to the above systems.</w:t>
                  </w:r>
                </w:p>
                <w:p w14:paraId="6E6E1798" w14:textId="64F9E853" w:rsidR="007A051A" w:rsidRPr="00EE4D29" w:rsidRDefault="00EE4D29">
                  <w:pPr>
                    <w:pStyle w:val="Heading3"/>
                    <w:outlineLvl w:val="2"/>
                  </w:pPr>
                  <w:r>
                    <w:t xml:space="preserve">What does PLUTO </w:t>
                  </w:r>
                  <w:r>
                    <w:rPr>
                      <w:i/>
                      <w:iCs/>
                    </w:rPr>
                    <w:t xml:space="preserve">not </w:t>
                  </w:r>
                  <w:r>
                    <w:t>manage?</w:t>
                  </w:r>
                </w:p>
                <w:p w14:paraId="71CB1EE6" w14:textId="5E0E9882" w:rsidR="007A051A" w:rsidRDefault="00EE4D29" w:rsidP="00EE4D29">
                  <w:pPr>
                    <w:pStyle w:val="ListParagraph"/>
                    <w:numPr>
                      <w:ilvl w:val="0"/>
                      <w:numId w:val="2"/>
                    </w:numPr>
                  </w:pPr>
                  <w:r>
                    <w:t>EXPRESS Rack Laptops</w:t>
                  </w:r>
                </w:p>
                <w:p w14:paraId="4ACEAEB3" w14:textId="0216EF5D" w:rsidR="00EE4D29" w:rsidRDefault="00EE4D29" w:rsidP="00EE4D29">
                  <w:pPr>
                    <w:pStyle w:val="ListParagraph"/>
                    <w:numPr>
                      <w:ilvl w:val="0"/>
                      <w:numId w:val="2"/>
                    </w:numPr>
                  </w:pPr>
                  <w:r>
                    <w:t>Arcturus Tech Demo end-hardware</w:t>
                  </w:r>
                </w:p>
                <w:p w14:paraId="38091713" w14:textId="497808E1" w:rsidR="00EE4D29" w:rsidRDefault="00EE4D29" w:rsidP="00EE4D29">
                  <w:pPr>
                    <w:pStyle w:val="ListParagraph"/>
                    <w:numPr>
                      <w:ilvl w:val="0"/>
                      <w:numId w:val="2"/>
                    </w:numPr>
                  </w:pPr>
                  <w:r>
                    <w:t xml:space="preserve">PCS </w:t>
                  </w:r>
                  <w:proofErr w:type="spellStart"/>
                  <w:r>
                    <w:t>Zbooks</w:t>
                  </w:r>
                  <w:proofErr w:type="spellEnd"/>
                </w:p>
                <w:p w14:paraId="36F08084" w14:textId="77777777" w:rsidR="00EE4D29" w:rsidRDefault="00EE4D29" w:rsidP="00EE4D29">
                  <w:pPr>
                    <w:pStyle w:val="ListParagraph"/>
                    <w:numPr>
                      <w:ilvl w:val="0"/>
                      <w:numId w:val="2"/>
                    </w:numPr>
                  </w:pPr>
                  <w:r>
                    <w:t>TDRSS/Ku Data Coverage</w:t>
                  </w:r>
                </w:p>
                <w:p w14:paraId="2B944086" w14:textId="3F91EDA1" w:rsidR="00EE4D29" w:rsidRDefault="00EE4D29" w:rsidP="00EE4D29">
                  <w:pPr>
                    <w:pStyle w:val="ListParagraph"/>
                    <w:numPr>
                      <w:ilvl w:val="0"/>
                      <w:numId w:val="2"/>
                    </w:numPr>
                  </w:pPr>
                  <w:r>
                    <w:t>Ground Systems</w:t>
                  </w:r>
                </w:p>
                <w:p w14:paraId="5C5612E0" w14:textId="3D4F6652" w:rsidR="00CD7DAA" w:rsidRDefault="00CD7DAA" w:rsidP="00EE4D29">
                  <w:pPr>
                    <w:pStyle w:val="ListParagraph"/>
                    <w:numPr>
                      <w:ilvl w:val="0"/>
                      <w:numId w:val="2"/>
                    </w:numPr>
                  </w:pPr>
                  <w:r>
                    <w:t>Power/data connections utilizing an</w:t>
                  </w:r>
                  <w:r w:rsidR="00F0116E">
                    <w:t>y</w:t>
                  </w:r>
                  <w:r>
                    <w:t xml:space="preserve"> </w:t>
                  </w:r>
                  <w:r w:rsidR="00F0116E">
                    <w:t>Payloads</w:t>
                  </w:r>
                  <w:r>
                    <w:t xml:space="preserve"> Rack or Russian Segment location. </w:t>
                  </w:r>
                </w:p>
                <w:p w14:paraId="108C11CA" w14:textId="4747E11F" w:rsidR="00EE4D29" w:rsidRDefault="00EE4D29" w:rsidP="00EE4D29">
                  <w:pPr>
                    <w:pStyle w:val="ListParagraph"/>
                  </w:pPr>
                </w:p>
              </w:tc>
            </w:tr>
            <w:tr w:rsidR="007A051A" w14:paraId="24EB2497" w14:textId="77777777" w:rsidTr="00F271FE">
              <w:trPr>
                <w:trHeight w:hRule="exact" w:val="288"/>
              </w:trPr>
              <w:tc>
                <w:tcPr>
                  <w:tcW w:w="5000" w:type="pct"/>
                </w:tcPr>
                <w:p w14:paraId="72CC5BD0" w14:textId="77777777" w:rsidR="007A051A" w:rsidRDefault="007A051A"/>
              </w:tc>
            </w:tr>
            <w:tr w:rsidR="007A051A" w14:paraId="2C719B4E" w14:textId="77777777" w:rsidTr="00F271FE">
              <w:trPr>
                <w:trHeight w:hRule="exact" w:val="3168"/>
              </w:trPr>
              <w:tc>
                <w:tcPr>
                  <w:tcW w:w="5000" w:type="pct"/>
                  <w:shd w:val="clear" w:color="auto" w:fill="DF1010" w:themeFill="accent1" w:themeFillShade="BF"/>
                </w:tcPr>
                <w:p w14:paraId="6BE7693A" w14:textId="77777777" w:rsidR="007A051A" w:rsidRDefault="00D91B28">
                  <w:pPr>
                    <w:pStyle w:val="BlockHeading"/>
                  </w:pPr>
                  <w:r>
                    <w:t>Contact Us</w:t>
                  </w:r>
                </w:p>
                <w:p w14:paraId="27BCD500" w14:textId="7C85F68C" w:rsidR="007A051A" w:rsidRDefault="00000000">
                  <w:pPr>
                    <w:pStyle w:val="BlockText2"/>
                  </w:pPr>
                  <w:sdt>
                    <w:sdtPr>
                      <w:alias w:val="Company"/>
                      <w:tag w:val=""/>
                      <w:id w:val="-1173869346"/>
                      <w:placeholder>
                        <w:docPart w:val="11131441315F4265A38EA11DEDA220AD"/>
                      </w:placeholder>
                      <w:dataBinding w:prefixMappings="xmlns:ns0='http://schemas.openxmlformats.org/officeDocument/2006/extended-properties' " w:xpath="/ns0:Properties[1]/ns0:Company[1]" w:storeItemID="{6668398D-A668-4E3E-A5EB-62B293D839F1}"/>
                      <w:text/>
                    </w:sdtPr>
                    <w:sdtContent>
                      <w:r w:rsidR="00B4085A">
                        <w:t xml:space="preserve">PLUTO </w:t>
                      </w:r>
                      <w:r w:rsidR="00CD7DAA">
                        <w:t>POIWG</w:t>
                      </w:r>
                      <w:r w:rsidR="00B4085A">
                        <w:t xml:space="preserve"> Representatives</w:t>
                      </w:r>
                    </w:sdtContent>
                  </w:sdt>
                  <w:r w:rsidR="00D91B28">
                    <w:br/>
                  </w:r>
                  <w:r w:rsidR="00B4085A">
                    <w:t>Johnson Space Center, Houston, TX</w:t>
                  </w:r>
                  <w:r w:rsidR="00D91B28">
                    <w:br/>
                  </w:r>
                </w:p>
                <w:p w14:paraId="5CDD2F6F" w14:textId="413756D6" w:rsidR="007A051A" w:rsidRDefault="00B4085A" w:rsidP="00EE4D29">
                  <w:pPr>
                    <w:pStyle w:val="BlockText2"/>
                  </w:pPr>
                  <w:r>
                    <w:t>joshua.e.dow@nasa.gov</w:t>
                  </w:r>
                  <w:r w:rsidR="00D91B28">
                    <w:br/>
                  </w:r>
                  <w:r w:rsidR="004C72B7">
                    <w:t xml:space="preserve">cameron.m.allard@nasa.gov </w:t>
                  </w:r>
                  <w:r w:rsidR="004C72B7" w:rsidRPr="004C72B7">
                    <w:t>jacob.l.hinkel@nasa.gov</w:t>
                  </w:r>
                  <w:r w:rsidR="00D91B28">
                    <w:br/>
                  </w:r>
                </w:p>
              </w:tc>
            </w:tr>
          </w:tbl>
          <w:p w14:paraId="1D5FBAFB" w14:textId="77777777" w:rsidR="007A051A" w:rsidRDefault="007A051A">
            <w:pPr>
              <w:spacing w:after="160" w:line="259" w:lineRule="auto"/>
            </w:pPr>
          </w:p>
        </w:tc>
      </w:tr>
    </w:tbl>
    <w:p w14:paraId="7A269844" w14:textId="77777777" w:rsidR="007A051A" w:rsidRDefault="007A051A">
      <w:pPr>
        <w:pStyle w:val="NoSpacing"/>
      </w:pPr>
    </w:p>
    <w:sectPr w:rsidR="007A051A">
      <w:pgSz w:w="15840" w:h="12240" w:orient="landscape"/>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7B0B6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98531F6"/>
    <w:multiLevelType w:val="hybridMultilevel"/>
    <w:tmpl w:val="D9D6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466015">
    <w:abstractNumId w:val="0"/>
  </w:num>
  <w:num w:numId="2" w16cid:durableId="165433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5A"/>
    <w:rsid w:val="001C7407"/>
    <w:rsid w:val="003F476B"/>
    <w:rsid w:val="004C72B7"/>
    <w:rsid w:val="007A051A"/>
    <w:rsid w:val="00B4085A"/>
    <w:rsid w:val="00CD7DAA"/>
    <w:rsid w:val="00D449CF"/>
    <w:rsid w:val="00D91B28"/>
    <w:rsid w:val="00EE4D29"/>
    <w:rsid w:val="00F0116E"/>
    <w:rsid w:val="00F2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2E3355"/>
  <w15:chartTrackingRefBased/>
  <w15:docId w15:val="{73D76629-D010-4881-BF17-030E7589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C483D" w:themeColor="text2"/>
        <w:kern w:val="2"/>
        <w:lang w:val="en-US" w:eastAsia="ja-JP" w:bidi="ar-SA"/>
        <w14:ligatures w14:val="standard"/>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1FE"/>
  </w:style>
  <w:style w:type="paragraph" w:styleId="Heading1">
    <w:name w:val="heading 1"/>
    <w:basedOn w:val="Normal"/>
    <w:next w:val="Normal"/>
    <w:link w:val="Heading1Char"/>
    <w:uiPriority w:val="2"/>
    <w:qFormat/>
    <w:pPr>
      <w:keepNext/>
      <w:keepLines/>
      <w:spacing w:before="240" w:after="180" w:line="216" w:lineRule="auto"/>
      <w:outlineLvl w:val="0"/>
    </w:pPr>
    <w:rPr>
      <w:rFonts w:asciiTheme="majorHAnsi" w:eastAsiaTheme="majorEastAsia" w:hAnsiTheme="majorHAnsi" w:cstheme="majorBidi"/>
      <w:color w:val="F24F4F" w:themeColor="accent1"/>
      <w:sz w:val="56"/>
    </w:rPr>
  </w:style>
  <w:style w:type="paragraph" w:styleId="Heading2">
    <w:name w:val="heading 2"/>
    <w:basedOn w:val="Normal"/>
    <w:next w:val="Normal"/>
    <w:link w:val="Heading2Char"/>
    <w:uiPriority w:val="2"/>
    <w:unhideWhenUsed/>
    <w:qFormat/>
    <w:pPr>
      <w:keepNext/>
      <w:keepLines/>
      <w:pBdr>
        <w:bottom w:val="single" w:sz="4" w:space="4" w:color="F24F4F" w:themeColor="accent1"/>
      </w:pBdr>
      <w:spacing w:before="480" w:after="160" w:line="216" w:lineRule="auto"/>
      <w:outlineLvl w:val="1"/>
    </w:pPr>
    <w:rPr>
      <w:rFonts w:asciiTheme="majorHAnsi" w:eastAsiaTheme="majorEastAsia" w:hAnsiTheme="majorHAnsi" w:cstheme="majorBidi"/>
      <w:color w:val="F24F4F" w:themeColor="accent1"/>
      <w:sz w:val="36"/>
    </w:rPr>
  </w:style>
  <w:style w:type="paragraph" w:styleId="Heading3">
    <w:name w:val="heading 3"/>
    <w:basedOn w:val="Normal"/>
    <w:next w:val="Normal"/>
    <w:link w:val="Heading3Char"/>
    <w:uiPriority w:val="2"/>
    <w:unhideWhenUsed/>
    <w:qFormat/>
    <w:pPr>
      <w:keepNext/>
      <w:keepLines/>
      <w:spacing w:before="360" w:after="180" w:line="240" w:lineRule="auto"/>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pPr>
      <w:spacing w:after="0" w:line="240" w:lineRule="auto"/>
    </w:pPr>
    <w:tblPr>
      <w:tblCellMar>
        <w:left w:w="0" w:type="dxa"/>
        <w:right w:w="0" w:type="dxa"/>
      </w:tblCellMar>
    </w:tblPr>
  </w:style>
  <w:style w:type="paragraph" w:styleId="NoSpacing">
    <w:name w:val="No Spacing"/>
    <w:uiPriority w:val="5"/>
    <w:qFormat/>
    <w:pPr>
      <w:spacing w:after="0" w:line="240" w:lineRule="auto"/>
    </w:pPr>
  </w:style>
  <w:style w:type="paragraph" w:styleId="Title">
    <w:name w:val="Title"/>
    <w:basedOn w:val="Normal"/>
    <w:next w:val="Normal"/>
    <w:link w:val="TitleChar"/>
    <w:uiPriority w:val="3"/>
    <w:qFormat/>
    <w:pPr>
      <w:spacing w:after="120" w:line="211" w:lineRule="auto"/>
      <w:contextualSpacing/>
    </w:pPr>
    <w:rPr>
      <w:rFonts w:asciiTheme="majorHAnsi" w:eastAsiaTheme="majorEastAsia" w:hAnsiTheme="majorHAnsi" w:cstheme="majorBidi"/>
      <w:color w:val="F24F4F" w:themeColor="accent1"/>
      <w:kern w:val="28"/>
      <w:sz w:val="72"/>
    </w:rPr>
  </w:style>
  <w:style w:type="character" w:customStyle="1" w:styleId="TitleChar">
    <w:name w:val="Title Char"/>
    <w:basedOn w:val="DefaultParagraphFont"/>
    <w:link w:val="Title"/>
    <w:uiPriority w:val="3"/>
    <w:rPr>
      <w:rFonts w:asciiTheme="majorHAnsi" w:eastAsiaTheme="majorEastAsia" w:hAnsiTheme="majorHAnsi" w:cstheme="majorBidi"/>
      <w:color w:val="F24F4F" w:themeColor="accent1"/>
      <w:kern w:val="28"/>
      <w:sz w:val="72"/>
    </w:rPr>
  </w:style>
  <w:style w:type="paragraph" w:styleId="Subtitle">
    <w:name w:val="Subtitle"/>
    <w:basedOn w:val="Normal"/>
    <w:next w:val="Normal"/>
    <w:link w:val="SubtitleChar"/>
    <w:uiPriority w:val="4"/>
    <w:qFormat/>
    <w:pPr>
      <w:numPr>
        <w:ilvl w:val="1"/>
      </w:numPr>
      <w:spacing w:before="180" w:after="0" w:line="288" w:lineRule="auto"/>
    </w:pPr>
    <w:rPr>
      <w:sz w:val="28"/>
    </w:rPr>
  </w:style>
  <w:style w:type="character" w:customStyle="1" w:styleId="SubtitleChar">
    <w:name w:val="Subtitle Char"/>
    <w:basedOn w:val="DefaultParagraphFont"/>
    <w:link w:val="Subtitle"/>
    <w:uiPriority w:val="4"/>
    <w:rPr>
      <w:sz w:val="28"/>
    </w:rPr>
  </w:style>
  <w:style w:type="paragraph" w:customStyle="1" w:styleId="Organization">
    <w:name w:val="Organization"/>
    <w:basedOn w:val="Normal"/>
    <w:next w:val="Normal"/>
    <w:uiPriority w:val="5"/>
    <w:qFormat/>
    <w:rsid w:val="00F271FE"/>
    <w:pPr>
      <w:pBdr>
        <w:bottom w:val="single" w:sz="4" w:space="3" w:color="F24F4F" w:themeColor="accent1"/>
      </w:pBdr>
      <w:spacing w:after="60"/>
    </w:pPr>
    <w:rPr>
      <w:rFonts w:asciiTheme="majorHAnsi" w:eastAsiaTheme="majorEastAsia" w:hAnsiTheme="majorHAnsi" w:cstheme="majorBidi"/>
      <w:color w:val="DF1010" w:themeColor="accent1" w:themeShade="BF"/>
      <w:sz w:val="24"/>
    </w:rPr>
  </w:style>
  <w:style w:type="character" w:styleId="PlaceholderText">
    <w:name w:val="Placeholder Text"/>
    <w:basedOn w:val="DefaultParagraphFont"/>
    <w:uiPriority w:val="99"/>
    <w:semiHidden/>
    <w:rPr>
      <w:color w:val="808080"/>
    </w:rPr>
  </w:style>
  <w:style w:type="paragraph" w:customStyle="1" w:styleId="Recipient">
    <w:name w:val="Recipient"/>
    <w:basedOn w:val="Normal"/>
    <w:uiPriority w:val="2"/>
    <w:qFormat/>
    <w:pPr>
      <w:spacing w:before="1100" w:after="0" w:line="240" w:lineRule="auto"/>
      <w:ind w:left="1800"/>
      <w:contextualSpacing/>
    </w:pPr>
  </w:style>
  <w:style w:type="character" w:customStyle="1" w:styleId="Heading1Char">
    <w:name w:val="Heading 1 Char"/>
    <w:basedOn w:val="DefaultParagraphFont"/>
    <w:link w:val="Heading1"/>
    <w:uiPriority w:val="2"/>
    <w:rPr>
      <w:rFonts w:asciiTheme="majorHAnsi" w:eastAsiaTheme="majorEastAsia" w:hAnsiTheme="majorHAnsi" w:cstheme="majorBidi"/>
      <w:color w:val="F24F4F" w:themeColor="accent1"/>
      <w:sz w:val="56"/>
    </w:rPr>
  </w:style>
  <w:style w:type="paragraph" w:styleId="BlockText">
    <w:name w:val="Block Text"/>
    <w:basedOn w:val="Normal"/>
    <w:uiPriority w:val="2"/>
    <w:unhideWhenUsed/>
    <w:qFormat/>
    <w:pPr>
      <w:spacing w:before="260" w:after="260" w:line="288" w:lineRule="auto"/>
      <w:ind w:left="288" w:right="288"/>
    </w:pPr>
    <w:rPr>
      <w:color w:val="FFFFFF" w:themeColor="background1"/>
      <w:sz w:val="28"/>
    </w:rPr>
  </w:style>
  <w:style w:type="character" w:customStyle="1" w:styleId="Heading2Char">
    <w:name w:val="Heading 2 Char"/>
    <w:basedOn w:val="DefaultParagraphFont"/>
    <w:link w:val="Heading2"/>
    <w:uiPriority w:val="2"/>
    <w:rPr>
      <w:rFonts w:asciiTheme="majorHAnsi" w:eastAsiaTheme="majorEastAsia" w:hAnsiTheme="majorHAnsi" w:cstheme="majorBidi"/>
      <w:color w:val="F24F4F" w:themeColor="accent1"/>
      <w:sz w:val="36"/>
    </w:rPr>
  </w:style>
  <w:style w:type="character" w:customStyle="1" w:styleId="Heading3Char">
    <w:name w:val="Heading 3 Char"/>
    <w:basedOn w:val="DefaultParagraphFont"/>
    <w:link w:val="Heading3"/>
    <w:uiPriority w:val="2"/>
    <w:rPr>
      <w:b/>
      <w:bCs/>
      <w:sz w:val="26"/>
    </w:rPr>
  </w:style>
  <w:style w:type="paragraph" w:styleId="Quote">
    <w:name w:val="Quote"/>
    <w:basedOn w:val="Normal"/>
    <w:next w:val="Normal"/>
    <w:link w:val="QuoteChar"/>
    <w:uiPriority w:val="2"/>
    <w:unhideWhenUsed/>
    <w:qFormat/>
    <w:rsid w:val="00F271FE"/>
    <w:pPr>
      <w:spacing w:before="200" w:after="160" w:line="288" w:lineRule="auto"/>
    </w:pPr>
    <w:rPr>
      <w:rFonts w:asciiTheme="majorHAnsi" w:eastAsiaTheme="majorEastAsia" w:hAnsiTheme="majorHAnsi" w:cstheme="majorBidi"/>
      <w:i/>
      <w:iCs/>
      <w:color w:val="DF1010" w:themeColor="accent1" w:themeShade="BF"/>
    </w:rPr>
  </w:style>
  <w:style w:type="character" w:customStyle="1" w:styleId="QuoteChar">
    <w:name w:val="Quote Char"/>
    <w:basedOn w:val="DefaultParagraphFont"/>
    <w:link w:val="Quote"/>
    <w:uiPriority w:val="2"/>
    <w:rsid w:val="00F271FE"/>
    <w:rPr>
      <w:rFonts w:asciiTheme="majorHAnsi" w:eastAsiaTheme="majorEastAsia" w:hAnsiTheme="majorHAnsi" w:cstheme="majorBidi"/>
      <w:i/>
      <w:iCs/>
      <w:color w:val="DF1010" w:themeColor="accent1" w:themeShade="BF"/>
    </w:rPr>
  </w:style>
  <w:style w:type="paragraph" w:customStyle="1" w:styleId="BlockHeading">
    <w:name w:val="Block Heading"/>
    <w:basedOn w:val="Normal"/>
    <w:uiPriority w:val="2"/>
    <w:qFormat/>
    <w:pPr>
      <w:spacing w:before="160" w:after="180" w:line="240" w:lineRule="auto"/>
      <w:ind w:left="288" w:right="288"/>
    </w:pPr>
    <w:rPr>
      <w:rFonts w:asciiTheme="majorHAnsi" w:eastAsiaTheme="majorEastAsia" w:hAnsiTheme="majorHAnsi" w:cstheme="majorBidi"/>
      <w:color w:val="FFFFFF" w:themeColor="background1"/>
      <w:sz w:val="36"/>
    </w:rPr>
  </w:style>
  <w:style w:type="paragraph" w:customStyle="1" w:styleId="BlockText2">
    <w:name w:val="Block Text 2"/>
    <w:basedOn w:val="Normal"/>
    <w:uiPriority w:val="2"/>
    <w:qFormat/>
    <w:pPr>
      <w:spacing w:after="160" w:line="240" w:lineRule="auto"/>
      <w:ind w:left="288" w:right="288"/>
    </w:pPr>
    <w:rPr>
      <w:color w:val="FFFFFF" w:themeColor="background1"/>
      <w:sz w:val="22"/>
    </w:rPr>
  </w:style>
  <w:style w:type="paragraph" w:styleId="ListBullet">
    <w:name w:val="List Bullet"/>
    <w:basedOn w:val="Normal"/>
    <w:uiPriority w:val="2"/>
    <w:unhideWhenUsed/>
    <w:qFormat/>
    <w:pPr>
      <w:numPr>
        <w:numId w:val="1"/>
      </w:numPr>
      <w:spacing w:after="120"/>
    </w:pPr>
  </w:style>
  <w:style w:type="character" w:styleId="Hyperlink">
    <w:name w:val="Hyperlink"/>
    <w:basedOn w:val="DefaultParagraphFont"/>
    <w:uiPriority w:val="99"/>
    <w:unhideWhenUsed/>
    <w:rsid w:val="004C72B7"/>
    <w:rPr>
      <w:color w:val="4C483D" w:themeColor="hyperlink"/>
      <w:u w:val="single"/>
    </w:rPr>
  </w:style>
  <w:style w:type="character" w:styleId="UnresolvedMention">
    <w:name w:val="Unresolved Mention"/>
    <w:basedOn w:val="DefaultParagraphFont"/>
    <w:uiPriority w:val="99"/>
    <w:semiHidden/>
    <w:unhideWhenUsed/>
    <w:rsid w:val="004C72B7"/>
    <w:rPr>
      <w:color w:val="605E5C"/>
      <w:shd w:val="clear" w:color="auto" w:fill="E1DFDD"/>
    </w:rPr>
  </w:style>
  <w:style w:type="paragraph" w:styleId="ListParagraph">
    <w:name w:val="List Paragraph"/>
    <w:basedOn w:val="Normal"/>
    <w:uiPriority w:val="34"/>
    <w:unhideWhenUsed/>
    <w:qFormat/>
    <w:rsid w:val="004C72B7"/>
    <w:pPr>
      <w:ind w:left="720"/>
      <w:contextualSpacing/>
    </w:pPr>
  </w:style>
  <w:style w:type="character" w:customStyle="1" w:styleId="ui-provider">
    <w:name w:val="ui-provider"/>
    <w:basedOn w:val="DefaultParagraphFont"/>
    <w:rsid w:val="001C7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ow\AppData\Roaming\Microsoft\Templates\Company%20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31441315F4265A38EA11DEDA220AD"/>
        <w:category>
          <w:name w:val="General"/>
          <w:gallery w:val="placeholder"/>
        </w:category>
        <w:types>
          <w:type w:val="bbPlcHdr"/>
        </w:types>
        <w:behaviors>
          <w:behavior w:val="content"/>
        </w:behaviors>
        <w:guid w:val="{5F863720-AB3B-468B-AE0B-158173AF69C3}"/>
      </w:docPartPr>
      <w:docPartBody>
        <w:p w:rsidR="006733CE" w:rsidRDefault="00000000">
          <w:pPr>
            <w:pStyle w:val="11131441315F4265A38EA11DEDA220AD"/>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A5"/>
    <w:rsid w:val="00641802"/>
    <w:rsid w:val="006733CE"/>
    <w:rsid w:val="00770E82"/>
    <w:rsid w:val="00C014A5"/>
    <w:rsid w:val="00D5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131441315F4265A38EA11DEDA220AD">
    <w:name w:val="11131441315F4265A38EA11DEDA22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846397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2012-06-29T21:48:00+00:00</AssetStart>
    <FriendlyTitle xmlns="4873beb7-5857-4685-be1f-d57550cc96cc" xsi:nil="true"/>
    <MarketSpecific xmlns="4873beb7-5857-4685-be1f-d57550cc96cc">false</MarketSpecific>
    <TPNamespace xmlns="4873beb7-5857-4685-be1f-d57550cc96cc" xsi:nil="true"/>
    <PublishStatusLookup xmlns="4873beb7-5857-4685-be1f-d57550cc96cc">
      <Value>1591641</Value>
    </PublishStatusLookup>
    <APAuthor xmlns="4873beb7-5857-4685-be1f-d57550cc96cc">
      <UserInfo>
        <DisplayName>MIDDLEEAST\v-keerth</DisplayName>
        <AccountId>2799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TP102933471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B41C54-6DA1-4EF0-8D7D-A28A703F6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579E6-1417-4B77-9575-936510E87B6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6837CD04-C285-4EC8-803D-259CDCD27E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Company Brochure</Template>
  <TotalTime>67</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PLUTO POIWG Representatives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 Joshua E. (JSC-CO511)</dc:creator>
  <cp:lastModifiedBy>Dow, Joshua E. (JSC-CO251)[KBR Wyle Services, LLC]</cp:lastModifiedBy>
  <cp:revision>2</cp:revision>
  <dcterms:created xsi:type="dcterms:W3CDTF">2023-10-05T20:01:00Z</dcterms:created>
  <dcterms:modified xsi:type="dcterms:W3CDTF">2023-10-05T20:01:00Z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