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25BF8" w14:textId="7309F575" w:rsidR="00DD26DE" w:rsidRPr="00DD26DE" w:rsidRDefault="00DD26DE" w:rsidP="00DD26DE">
      <w:pPr>
        <w:spacing w:after="480"/>
        <w:jc w:val="center"/>
        <w:rPr>
          <w:b/>
          <w:bCs/>
          <w:sz w:val="48"/>
          <w:szCs w:val="48"/>
        </w:rPr>
      </w:pPr>
      <w:r w:rsidRPr="00DD26DE">
        <w:rPr>
          <w:b/>
          <w:bCs/>
          <w:sz w:val="48"/>
          <w:szCs w:val="48"/>
        </w:rPr>
        <w:t>Ensuring Safety of Government Personnel During Suborbital Spacefligh</w:t>
      </w:r>
      <w:r w:rsidR="00354F48">
        <w:rPr>
          <w:b/>
          <w:bCs/>
          <w:sz w:val="48"/>
          <w:szCs w:val="48"/>
        </w:rPr>
        <w:t>t</w:t>
      </w:r>
    </w:p>
    <w:p w14:paraId="634687AC" w14:textId="013A11DC" w:rsidR="00F565BA" w:rsidRPr="006B42CE" w:rsidRDefault="00660596" w:rsidP="00F565BA">
      <w:pPr>
        <w:jc w:val="center"/>
        <w:rPr>
          <w:sz w:val="32"/>
          <w:szCs w:val="32"/>
        </w:rPr>
      </w:pPr>
      <w:r>
        <w:rPr>
          <w:sz w:val="32"/>
          <w:szCs w:val="32"/>
        </w:rPr>
        <w:t>Elizabeth C. Blom</w:t>
      </w:r>
      <w:r w:rsidR="00022AE6">
        <w:rPr>
          <w:sz w:val="32"/>
          <w:szCs w:val="32"/>
        </w:rPr>
        <w:t>e</w:t>
      </w:r>
      <w:r w:rsidR="00F565BA" w:rsidRPr="006B42CE">
        <w:rPr>
          <w:sz w:val="32"/>
          <w:szCs w:val="32"/>
          <w:vertAlign w:val="superscript"/>
        </w:rPr>
        <w:footnoteReference w:id="1"/>
      </w:r>
    </w:p>
    <w:p w14:paraId="58953ED9" w14:textId="2A3C9232" w:rsidR="006B0D35" w:rsidRDefault="006B0D35" w:rsidP="006B0D35">
      <w:pPr>
        <w:spacing w:after="240"/>
        <w:jc w:val="center"/>
        <w:rPr>
          <w:i/>
          <w:iCs/>
          <w:sz w:val="24"/>
          <w:szCs w:val="24"/>
        </w:rPr>
      </w:pPr>
      <w:r w:rsidRPr="006B0D35">
        <w:rPr>
          <w:i/>
          <w:iCs/>
          <w:sz w:val="24"/>
          <w:szCs w:val="24"/>
        </w:rPr>
        <w:t xml:space="preserve">NASA Johnson Space Center, 2101 E. NASA Pkwy, Houston, TX, 77058, USA </w:t>
      </w:r>
    </w:p>
    <w:p w14:paraId="74B2355E" w14:textId="37E49E2F" w:rsidR="00F565BA" w:rsidRPr="006B0D35" w:rsidRDefault="00660596" w:rsidP="00C95C74">
      <w:pPr>
        <w:jc w:val="center"/>
        <w:rPr>
          <w:i/>
          <w:iCs/>
          <w:sz w:val="24"/>
          <w:szCs w:val="24"/>
        </w:rPr>
      </w:pPr>
      <w:r>
        <w:rPr>
          <w:sz w:val="32"/>
          <w:szCs w:val="32"/>
        </w:rPr>
        <w:t>Darren H. Gibson</w:t>
      </w:r>
      <w:r w:rsidR="00F565BA" w:rsidRPr="006B42CE">
        <w:rPr>
          <w:sz w:val="32"/>
          <w:szCs w:val="32"/>
          <w:vertAlign w:val="superscript"/>
        </w:rPr>
        <w:footnoteReference w:id="2"/>
      </w:r>
    </w:p>
    <w:p w14:paraId="43790C90" w14:textId="309A8DE6" w:rsidR="00C95C74" w:rsidRDefault="00C95C74" w:rsidP="00C95C74">
      <w:pPr>
        <w:spacing w:after="240"/>
        <w:jc w:val="center"/>
        <w:rPr>
          <w:i/>
          <w:iCs/>
          <w:sz w:val="24"/>
          <w:szCs w:val="24"/>
        </w:rPr>
      </w:pPr>
      <w:r w:rsidRPr="00C95C74">
        <w:rPr>
          <w:i/>
          <w:iCs/>
          <w:sz w:val="24"/>
          <w:szCs w:val="24"/>
        </w:rPr>
        <w:t xml:space="preserve">NASA John F. Kennedy Space Center, FL, 32889, USA </w:t>
      </w:r>
    </w:p>
    <w:p w14:paraId="4B0070DD" w14:textId="77777777" w:rsidR="00DE577C" w:rsidRDefault="00DE577C" w:rsidP="00DE577C">
      <w:pPr>
        <w:jc w:val="center"/>
        <w:rPr>
          <w:sz w:val="32"/>
          <w:szCs w:val="32"/>
        </w:rPr>
      </w:pPr>
      <w:r>
        <w:rPr>
          <w:sz w:val="32"/>
          <w:szCs w:val="32"/>
        </w:rPr>
        <w:t>Anh N. Nguyen</w:t>
      </w:r>
      <w:r>
        <w:rPr>
          <w:sz w:val="32"/>
          <w:szCs w:val="32"/>
          <w:vertAlign w:val="superscript"/>
        </w:rPr>
        <w:footnoteReference w:id="3"/>
      </w:r>
    </w:p>
    <w:p w14:paraId="3442768A" w14:textId="73BF0449" w:rsidR="00DE577C" w:rsidRDefault="00DE577C" w:rsidP="001A7AEC">
      <w:pPr>
        <w:jc w:val="center"/>
        <w:rPr>
          <w:i/>
          <w:sz w:val="24"/>
          <w:szCs w:val="24"/>
        </w:rPr>
      </w:pPr>
      <w:r>
        <w:rPr>
          <w:i/>
          <w:sz w:val="24"/>
          <w:szCs w:val="24"/>
          <w:shd w:val="clear" w:color="auto" w:fill="FFFFFF"/>
        </w:rPr>
        <w:t>NASA Headquarters, 300 E Street SW, Washington, DC </w:t>
      </w:r>
      <w:r>
        <w:rPr>
          <w:i/>
          <w:sz w:val="24"/>
          <w:szCs w:val="24"/>
        </w:rPr>
        <w:t>20546-0001, USA</w:t>
      </w:r>
    </w:p>
    <w:p w14:paraId="453B2650" w14:textId="49CD5D19" w:rsidR="001A7AEC" w:rsidRDefault="001A7AEC" w:rsidP="001A7AEC">
      <w:pPr>
        <w:spacing w:after="240"/>
        <w:jc w:val="center"/>
        <w:rPr>
          <w:i/>
          <w:iCs/>
          <w:sz w:val="24"/>
          <w:szCs w:val="24"/>
          <w:shd w:val="clear" w:color="auto" w:fill="FFFFFF"/>
        </w:rPr>
      </w:pPr>
      <w:r w:rsidRPr="001A7AEC">
        <w:rPr>
          <w:sz w:val="24"/>
          <w:szCs w:val="24"/>
          <w:shd w:val="clear" w:color="auto" w:fill="FFFFFF"/>
        </w:rPr>
        <w:t xml:space="preserve">and </w:t>
      </w:r>
      <w:proofErr w:type="spellStart"/>
      <w:r w:rsidRPr="001A7AEC">
        <w:rPr>
          <w:i/>
          <w:iCs/>
          <w:sz w:val="24"/>
          <w:szCs w:val="24"/>
          <w:shd w:val="clear" w:color="auto" w:fill="FFFFFF"/>
        </w:rPr>
        <w:t>BryceTech</w:t>
      </w:r>
      <w:proofErr w:type="spellEnd"/>
      <w:r w:rsidRPr="001A7AEC">
        <w:rPr>
          <w:i/>
          <w:iCs/>
          <w:sz w:val="24"/>
          <w:szCs w:val="24"/>
          <w:shd w:val="clear" w:color="auto" w:fill="FFFFFF"/>
        </w:rPr>
        <w:t>, 1737 King St Suite 601, Alexandria, VA 22314</w:t>
      </w:r>
      <w:r>
        <w:rPr>
          <w:i/>
          <w:iCs/>
          <w:sz w:val="24"/>
          <w:szCs w:val="24"/>
          <w:shd w:val="clear" w:color="auto" w:fill="FFFFFF"/>
        </w:rPr>
        <w:t>, USA</w:t>
      </w:r>
    </w:p>
    <w:p w14:paraId="7AC3E0CC" w14:textId="047F5DF9" w:rsidR="002C2EC8" w:rsidRDefault="002C2EC8" w:rsidP="002C2EC8">
      <w:pPr>
        <w:jc w:val="center"/>
        <w:rPr>
          <w:sz w:val="32"/>
          <w:szCs w:val="32"/>
        </w:rPr>
      </w:pPr>
      <w:r>
        <w:rPr>
          <w:sz w:val="32"/>
          <w:szCs w:val="32"/>
        </w:rPr>
        <w:t>Raymond R. Jenkins</w:t>
      </w:r>
      <w:r>
        <w:rPr>
          <w:sz w:val="32"/>
          <w:szCs w:val="32"/>
          <w:vertAlign w:val="superscript"/>
        </w:rPr>
        <w:footnoteReference w:id="4"/>
      </w:r>
    </w:p>
    <w:p w14:paraId="667970FB" w14:textId="675D2AE5" w:rsidR="002C2EC8" w:rsidRPr="002C2EC8" w:rsidRDefault="002C2EC8" w:rsidP="002C2EC8">
      <w:pPr>
        <w:spacing w:after="240"/>
        <w:jc w:val="center"/>
        <w:rPr>
          <w:i/>
          <w:iCs/>
          <w:sz w:val="24"/>
          <w:szCs w:val="24"/>
        </w:rPr>
      </w:pPr>
      <w:r w:rsidRPr="002C2EC8">
        <w:rPr>
          <w:i/>
          <w:iCs/>
          <w:sz w:val="24"/>
          <w:szCs w:val="24"/>
        </w:rPr>
        <w:t xml:space="preserve">Federal Aviation Administration, Office of Commercial Space Transportation (AST), 13291 </w:t>
      </w:r>
      <w:r w:rsidR="005F0B62" w:rsidRPr="002C2EC8">
        <w:rPr>
          <w:i/>
          <w:iCs/>
          <w:sz w:val="24"/>
          <w:szCs w:val="24"/>
        </w:rPr>
        <w:t xml:space="preserve">Satellite </w:t>
      </w:r>
      <w:r w:rsidR="005F0B62">
        <w:rPr>
          <w:i/>
          <w:iCs/>
          <w:sz w:val="24"/>
          <w:szCs w:val="24"/>
        </w:rPr>
        <w:t>Road</w:t>
      </w:r>
      <w:r w:rsidR="005F0B62" w:rsidRPr="002C2EC8">
        <w:rPr>
          <w:i/>
          <w:iCs/>
          <w:sz w:val="24"/>
          <w:szCs w:val="24"/>
        </w:rPr>
        <w:t xml:space="preserve">, Building 55899 Suite 203, Cape Canaveral </w:t>
      </w:r>
      <w:r w:rsidR="005F0B62">
        <w:rPr>
          <w:i/>
          <w:iCs/>
          <w:sz w:val="24"/>
          <w:szCs w:val="24"/>
        </w:rPr>
        <w:t>S</w:t>
      </w:r>
      <w:r w:rsidR="005F0B62" w:rsidRPr="002C2EC8">
        <w:rPr>
          <w:i/>
          <w:iCs/>
          <w:sz w:val="24"/>
          <w:szCs w:val="24"/>
        </w:rPr>
        <w:t>FS, FL 32950, USA</w:t>
      </w:r>
    </w:p>
    <w:p w14:paraId="509FBF28" w14:textId="17FEB2C2" w:rsidR="00354867" w:rsidRPr="006B42CE" w:rsidRDefault="00354867" w:rsidP="00354867">
      <w:pPr>
        <w:jc w:val="center"/>
        <w:rPr>
          <w:sz w:val="32"/>
          <w:szCs w:val="32"/>
        </w:rPr>
      </w:pPr>
      <w:r>
        <w:rPr>
          <w:sz w:val="32"/>
          <w:szCs w:val="32"/>
        </w:rPr>
        <w:t>Robert W. Seibold</w:t>
      </w:r>
      <w:r w:rsidRPr="006B42CE">
        <w:rPr>
          <w:sz w:val="32"/>
          <w:szCs w:val="32"/>
          <w:vertAlign w:val="superscript"/>
        </w:rPr>
        <w:footnoteReference w:id="5"/>
      </w:r>
    </w:p>
    <w:p w14:paraId="4B0DC579" w14:textId="77777777" w:rsidR="00DE577C" w:rsidRPr="00C95C74" w:rsidRDefault="00DE577C" w:rsidP="00DE577C">
      <w:pPr>
        <w:jc w:val="center"/>
        <w:rPr>
          <w:i/>
          <w:iCs/>
          <w:sz w:val="24"/>
          <w:szCs w:val="24"/>
        </w:rPr>
      </w:pPr>
      <w:r w:rsidRPr="00C95C74">
        <w:rPr>
          <w:i/>
          <w:iCs/>
          <w:sz w:val="24"/>
          <w:szCs w:val="24"/>
        </w:rPr>
        <w:t xml:space="preserve">NASA Armstrong Flight Research Center, P.O. Box 273, Edwards, CA 93523-0273, USA </w:t>
      </w:r>
    </w:p>
    <w:p w14:paraId="2798B6E5" w14:textId="3444B62E" w:rsidR="00B41268" w:rsidRDefault="00B41268" w:rsidP="003D21F4">
      <w:pPr>
        <w:pStyle w:val="Affiliation"/>
        <w:spacing w:after="240"/>
        <w:rPr>
          <w:color w:val="auto"/>
          <w:sz w:val="24"/>
          <w:szCs w:val="24"/>
        </w:rPr>
      </w:pPr>
      <w:r w:rsidRPr="00B41268">
        <w:rPr>
          <w:i w:val="0"/>
          <w:color w:val="auto"/>
          <w:sz w:val="24"/>
          <w:szCs w:val="24"/>
        </w:rPr>
        <w:t>and</w:t>
      </w:r>
      <w:r w:rsidRPr="00B41268">
        <w:rPr>
          <w:iCs/>
          <w:color w:val="auto"/>
          <w:sz w:val="24"/>
          <w:szCs w:val="24"/>
        </w:rPr>
        <w:t xml:space="preserve"> The Aerospace Corporation, </w:t>
      </w:r>
      <w:r w:rsidRPr="00B41268">
        <w:rPr>
          <w:color w:val="auto"/>
          <w:sz w:val="24"/>
          <w:szCs w:val="24"/>
        </w:rPr>
        <w:t>P.O. Box 92957, M1/132, Los Angeles, CA 90009-2957, US</w:t>
      </w:r>
      <w:r w:rsidR="00946B2A">
        <w:rPr>
          <w:color w:val="auto"/>
          <w:sz w:val="24"/>
          <w:szCs w:val="24"/>
        </w:rPr>
        <w:t>A</w:t>
      </w:r>
    </w:p>
    <w:p w14:paraId="0F0C6DD1" w14:textId="10765B49" w:rsidR="00DE577C" w:rsidRPr="003D21F4" w:rsidRDefault="00DE577C" w:rsidP="003D21F4">
      <w:pPr>
        <w:pStyle w:val="Affiliation"/>
        <w:spacing w:after="240"/>
        <w:rPr>
          <w:color w:val="auto"/>
          <w:sz w:val="24"/>
          <w:szCs w:val="24"/>
        </w:rPr>
        <w:sectPr w:rsidR="00DE577C" w:rsidRPr="003D21F4" w:rsidSect="00B41268">
          <w:footerReference w:type="default" r:id="rId8"/>
          <w:type w:val="continuous"/>
          <w:pgSz w:w="12240" w:h="15840"/>
          <w:pgMar w:top="1440" w:right="1440" w:bottom="1440" w:left="1440" w:header="720" w:footer="720" w:gutter="0"/>
          <w:cols w:space="720"/>
          <w:titlePg/>
          <w:docGrid w:linePitch="360"/>
        </w:sectPr>
      </w:pPr>
    </w:p>
    <w:p w14:paraId="6AE5B587" w14:textId="4D8A456D" w:rsidR="003D21F4" w:rsidRPr="00772B94" w:rsidRDefault="003D21F4" w:rsidP="003D21F4">
      <w:pPr>
        <w:spacing w:before="480" w:after="480"/>
        <w:ind w:left="720" w:right="720" w:firstLine="180"/>
        <w:rPr>
          <w:b/>
          <w:bCs/>
        </w:rPr>
      </w:pPr>
      <w:r w:rsidRPr="00772B94">
        <w:rPr>
          <w:b/>
          <w:bCs/>
        </w:rPr>
        <w:t>The NASA Suborbital Crew (</w:t>
      </w:r>
      <w:proofErr w:type="spellStart"/>
      <w:r w:rsidRPr="00772B94">
        <w:rPr>
          <w:b/>
          <w:bCs/>
        </w:rPr>
        <w:t>SubC</w:t>
      </w:r>
      <w:proofErr w:type="spellEnd"/>
      <w:r w:rsidRPr="00772B94">
        <w:rPr>
          <w:b/>
          <w:bCs/>
        </w:rPr>
        <w:t xml:space="preserve">) </w:t>
      </w:r>
      <w:r w:rsidR="002D4518">
        <w:rPr>
          <w:b/>
          <w:bCs/>
        </w:rPr>
        <w:t>office</w:t>
      </w:r>
      <w:r w:rsidRPr="00772B94">
        <w:rPr>
          <w:b/>
          <w:bCs/>
        </w:rPr>
        <w:t xml:space="preserve"> is focused on enabling flights by NASA civil servants, such as scientists and engineers conducting research, on suborbital vehicles.</w:t>
      </w:r>
      <w:r w:rsidR="00723A84">
        <w:rPr>
          <w:b/>
          <w:bCs/>
        </w:rPr>
        <w:t xml:space="preserve"> </w:t>
      </w:r>
      <w:r w:rsidRPr="00772B94">
        <w:rPr>
          <w:b/>
          <w:bCs/>
        </w:rPr>
        <w:t xml:space="preserve">A broader goal is ensuring that commercial human spaceflight is both viable and safe.  Within the Commercial Crew Program (CCP), the </w:t>
      </w:r>
      <w:proofErr w:type="spellStart"/>
      <w:r w:rsidRPr="00772B94">
        <w:rPr>
          <w:b/>
          <w:bCs/>
        </w:rPr>
        <w:t>SubC</w:t>
      </w:r>
      <w:proofErr w:type="spellEnd"/>
      <w:r w:rsidRPr="00772B94">
        <w:rPr>
          <w:b/>
          <w:bCs/>
        </w:rPr>
        <w:t xml:space="preserve"> </w:t>
      </w:r>
      <w:r w:rsidR="002D4518">
        <w:rPr>
          <w:b/>
          <w:bCs/>
        </w:rPr>
        <w:t>office</w:t>
      </w:r>
      <w:r w:rsidRPr="00772B94">
        <w:rPr>
          <w:b/>
          <w:bCs/>
          <w:shd w:val="clear" w:color="auto" w:fill="FFFFFF"/>
        </w:rPr>
        <w:t xml:space="preserve"> is exploring game-changing methods to perform safety assessments to enable NASA personnel to fly on suborbital missions.</w:t>
      </w:r>
      <w:r w:rsidR="00723A84">
        <w:rPr>
          <w:b/>
          <w:bCs/>
          <w:shd w:val="clear" w:color="auto" w:fill="FFFFFF"/>
        </w:rPr>
        <w:t xml:space="preserve"> </w:t>
      </w:r>
      <w:r w:rsidRPr="00772B94">
        <w:rPr>
          <w:b/>
          <w:bCs/>
        </w:rPr>
        <w:t>Commercial suborbital space flight capabilities are anticipated to be more accessible, affordable, and available than missions to the International Space Station and could provide additional opportunities for testing and qualification of space flight hardware, human-tended microgravity research, and further cutting-edge research enabled by the space environment</w:t>
      </w:r>
      <w:r w:rsidR="002D6C45">
        <w:rPr>
          <w:b/>
          <w:bCs/>
        </w:rPr>
        <w:t>.</w:t>
      </w:r>
      <w:r w:rsidR="00723A84">
        <w:rPr>
          <w:b/>
          <w:bCs/>
        </w:rPr>
        <w:t xml:space="preserve"> </w:t>
      </w:r>
      <w:r w:rsidRPr="00772B94">
        <w:rPr>
          <w:b/>
          <w:bCs/>
          <w:shd w:val="clear" w:color="auto" w:fill="FFFFFF"/>
        </w:rPr>
        <w:t xml:space="preserve">Although NASA currently </w:t>
      </w:r>
      <w:r w:rsidR="00485AAE">
        <w:rPr>
          <w:b/>
          <w:bCs/>
          <w:shd w:val="clear" w:color="auto" w:fill="FFFFFF"/>
        </w:rPr>
        <w:t>support</w:t>
      </w:r>
      <w:r w:rsidRPr="00772B94">
        <w:rPr>
          <w:b/>
          <w:bCs/>
          <w:shd w:val="clear" w:color="auto" w:fill="FFFFFF"/>
        </w:rPr>
        <w:t xml:space="preserve">s human tended suborbital payloads for non-civil servants under auspices of NASA’s Flight Opportunities Program, the </w:t>
      </w:r>
      <w:proofErr w:type="spellStart"/>
      <w:r w:rsidRPr="00772B94">
        <w:rPr>
          <w:b/>
          <w:bCs/>
          <w:shd w:val="clear" w:color="auto" w:fill="FFFFFF"/>
        </w:rPr>
        <w:t>SubC</w:t>
      </w:r>
      <w:proofErr w:type="spellEnd"/>
      <w:r w:rsidRPr="00772B94">
        <w:rPr>
          <w:b/>
          <w:bCs/>
          <w:shd w:val="clear" w:color="auto" w:fill="FFFFFF"/>
        </w:rPr>
        <w:t xml:space="preserve"> effort will enable civil servant scientists, researchers, and engineers to accompany their experiments and tests into the space microgravity environment.   </w:t>
      </w:r>
    </w:p>
    <w:p w14:paraId="093C2159" w14:textId="497C3CF1" w:rsidR="00F565BA" w:rsidRPr="00F565BA" w:rsidRDefault="00F565BA" w:rsidP="00F565BA">
      <w:pPr>
        <w:keepNext/>
        <w:numPr>
          <w:ilvl w:val="0"/>
          <w:numId w:val="2"/>
        </w:numPr>
        <w:tabs>
          <w:tab w:val="clear" w:pos="360"/>
          <w:tab w:val="num" w:pos="180"/>
        </w:tabs>
        <w:spacing w:before="240" w:after="60"/>
        <w:ind w:left="180" w:hanging="180"/>
        <w:jc w:val="center"/>
        <w:outlineLvl w:val="0"/>
        <w:rPr>
          <w:b/>
          <w:kern w:val="32"/>
          <w:sz w:val="22"/>
        </w:rPr>
      </w:pPr>
      <w:r w:rsidRPr="00F565BA">
        <w:rPr>
          <w:b/>
          <w:kern w:val="32"/>
          <w:sz w:val="22"/>
        </w:rPr>
        <w:t>Nomenclature</w:t>
      </w:r>
    </w:p>
    <w:p w14:paraId="2364327F" w14:textId="042274B8" w:rsidR="00A572B1" w:rsidRPr="00A572B1" w:rsidRDefault="00A572B1" w:rsidP="00F565BA">
      <w:pPr>
        <w:widowControl w:val="0"/>
        <w:tabs>
          <w:tab w:val="left" w:pos="864"/>
          <w:tab w:val="left" w:pos="1152"/>
        </w:tabs>
      </w:pPr>
      <w:r>
        <w:rPr>
          <w:i/>
          <w:iCs/>
        </w:rPr>
        <w:t>AIAA</w:t>
      </w:r>
      <w:r>
        <w:rPr>
          <w:i/>
          <w:iCs/>
        </w:rPr>
        <w:tab/>
      </w:r>
      <w:r>
        <w:rPr>
          <w:i/>
          <w:iCs/>
        </w:rPr>
        <w:tab/>
      </w:r>
      <w:r>
        <w:t>=</w:t>
      </w:r>
      <w:r>
        <w:tab/>
        <w:t>American Institute of Aeronautics and Astronautics</w:t>
      </w:r>
    </w:p>
    <w:p w14:paraId="28B215DA" w14:textId="43FB8683" w:rsidR="00AA2F30" w:rsidRPr="00AA2F30" w:rsidRDefault="00AA2F30" w:rsidP="00F565BA">
      <w:pPr>
        <w:widowControl w:val="0"/>
        <w:tabs>
          <w:tab w:val="left" w:pos="864"/>
          <w:tab w:val="left" w:pos="1152"/>
        </w:tabs>
      </w:pPr>
      <w:r w:rsidRPr="00D801FA">
        <w:rPr>
          <w:i/>
          <w:iCs/>
        </w:rPr>
        <w:lastRenderedPageBreak/>
        <w:t>AFRC</w:t>
      </w:r>
      <w:r>
        <w:tab/>
      </w:r>
      <w:r w:rsidR="008B5EAD">
        <w:tab/>
      </w:r>
      <w:r>
        <w:t xml:space="preserve">= </w:t>
      </w:r>
      <w:r>
        <w:tab/>
        <w:t>Armstrong Flight Research Center</w:t>
      </w:r>
      <w:r w:rsidR="008B5EAD">
        <w:t>, NASA</w:t>
      </w:r>
    </w:p>
    <w:p w14:paraId="4F1C3FC5" w14:textId="301A0416" w:rsidR="005B01B4" w:rsidRDefault="005B01B4" w:rsidP="00F565BA">
      <w:pPr>
        <w:widowControl w:val="0"/>
        <w:tabs>
          <w:tab w:val="left" w:pos="864"/>
          <w:tab w:val="left" w:pos="1152"/>
        </w:tabs>
        <w:rPr>
          <w:iCs/>
        </w:rPr>
      </w:pPr>
      <w:r w:rsidRPr="005B01B4">
        <w:rPr>
          <w:i/>
        </w:rPr>
        <w:t>CCP</w:t>
      </w:r>
      <w:r>
        <w:rPr>
          <w:iCs/>
        </w:rPr>
        <w:tab/>
      </w:r>
      <w:r w:rsidR="008B5EAD">
        <w:rPr>
          <w:iCs/>
        </w:rPr>
        <w:tab/>
      </w:r>
      <w:r>
        <w:rPr>
          <w:iCs/>
        </w:rPr>
        <w:t xml:space="preserve">= </w:t>
      </w:r>
      <w:r>
        <w:rPr>
          <w:iCs/>
        </w:rPr>
        <w:tab/>
        <w:t>Commercial Crew Program</w:t>
      </w:r>
    </w:p>
    <w:p w14:paraId="53F61169" w14:textId="3107DE4A" w:rsidR="001A5FA7" w:rsidRDefault="001A5FA7" w:rsidP="00F565BA">
      <w:pPr>
        <w:widowControl w:val="0"/>
        <w:tabs>
          <w:tab w:val="left" w:pos="864"/>
          <w:tab w:val="left" w:pos="1152"/>
        </w:tabs>
        <w:rPr>
          <w:iCs/>
        </w:rPr>
      </w:pPr>
      <w:r w:rsidRPr="001A5FA7">
        <w:rPr>
          <w:i/>
        </w:rPr>
        <w:t>CDR</w:t>
      </w:r>
      <w:r>
        <w:rPr>
          <w:iCs/>
        </w:rPr>
        <w:tab/>
      </w:r>
      <w:r w:rsidR="008B5EAD">
        <w:rPr>
          <w:iCs/>
        </w:rPr>
        <w:tab/>
      </w:r>
      <w:r>
        <w:rPr>
          <w:iCs/>
        </w:rPr>
        <w:t>=</w:t>
      </w:r>
      <w:r>
        <w:rPr>
          <w:iCs/>
        </w:rPr>
        <w:tab/>
        <w:t>Critical Design Review</w:t>
      </w:r>
    </w:p>
    <w:p w14:paraId="15E77A41" w14:textId="057C23B8" w:rsidR="002F7D16" w:rsidRDefault="002F7D16" w:rsidP="00F565BA">
      <w:pPr>
        <w:widowControl w:val="0"/>
        <w:tabs>
          <w:tab w:val="left" w:pos="864"/>
          <w:tab w:val="left" w:pos="1152"/>
        </w:tabs>
        <w:rPr>
          <w:iCs/>
        </w:rPr>
      </w:pPr>
      <w:r w:rsidRPr="002F7D16">
        <w:rPr>
          <w:i/>
        </w:rPr>
        <w:t>CCP</w:t>
      </w:r>
      <w:r>
        <w:rPr>
          <w:iCs/>
        </w:rPr>
        <w:tab/>
      </w:r>
      <w:r>
        <w:rPr>
          <w:iCs/>
        </w:rPr>
        <w:tab/>
        <w:t xml:space="preserve">= </w:t>
      </w:r>
      <w:r>
        <w:rPr>
          <w:iCs/>
        </w:rPr>
        <w:tab/>
        <w:t>Commercial Crew Program</w:t>
      </w:r>
    </w:p>
    <w:p w14:paraId="3DB681EF" w14:textId="2D09632D" w:rsidR="008B5EAD" w:rsidRDefault="008B5EAD" w:rsidP="00F565BA">
      <w:pPr>
        <w:widowControl w:val="0"/>
        <w:tabs>
          <w:tab w:val="left" w:pos="864"/>
          <w:tab w:val="left" w:pos="1152"/>
        </w:tabs>
      </w:pPr>
      <w:r w:rsidRPr="008B5EAD">
        <w:rPr>
          <w:i/>
        </w:rPr>
        <w:t>COMSTAC</w:t>
      </w:r>
      <w:r>
        <w:rPr>
          <w:i/>
        </w:rPr>
        <w:t xml:space="preserve"> </w:t>
      </w:r>
      <w:r>
        <w:rPr>
          <w:iCs/>
        </w:rPr>
        <w:tab/>
        <w:t>=</w:t>
      </w:r>
      <w:r>
        <w:rPr>
          <w:iCs/>
        </w:rPr>
        <w:tab/>
      </w:r>
      <w:r w:rsidRPr="00D13214">
        <w:t>Commercial Space Transportation Advisory Committee</w:t>
      </w:r>
    </w:p>
    <w:p w14:paraId="5C2E7AA8" w14:textId="18841577" w:rsidR="001325CC" w:rsidRDefault="001325CC" w:rsidP="00F565BA">
      <w:pPr>
        <w:widowControl w:val="0"/>
        <w:tabs>
          <w:tab w:val="left" w:pos="864"/>
          <w:tab w:val="left" w:pos="1152"/>
        </w:tabs>
      </w:pPr>
      <w:r>
        <w:rPr>
          <w:i/>
          <w:iCs/>
        </w:rPr>
        <w:t>CSF</w:t>
      </w:r>
      <w:r>
        <w:rPr>
          <w:i/>
          <w:iCs/>
        </w:rPr>
        <w:tab/>
      </w:r>
      <w:r>
        <w:tab/>
        <w:t>=</w:t>
      </w:r>
      <w:r>
        <w:tab/>
        <w:t>Commercial Spaceflight Federation</w:t>
      </w:r>
    </w:p>
    <w:p w14:paraId="1E384356" w14:textId="2DC45CFA" w:rsidR="008844F8" w:rsidRPr="008844F8" w:rsidRDefault="008844F8" w:rsidP="00F565BA">
      <w:pPr>
        <w:widowControl w:val="0"/>
        <w:tabs>
          <w:tab w:val="left" w:pos="864"/>
          <w:tab w:val="left" w:pos="1152"/>
        </w:tabs>
      </w:pPr>
      <w:r>
        <w:rPr>
          <w:i/>
          <w:iCs/>
        </w:rPr>
        <w:t>FAA</w:t>
      </w:r>
      <w:r>
        <w:rPr>
          <w:i/>
          <w:iCs/>
        </w:rPr>
        <w:tab/>
      </w:r>
      <w:r>
        <w:rPr>
          <w:i/>
          <w:iCs/>
        </w:rPr>
        <w:tab/>
      </w:r>
      <w:r>
        <w:t>=</w:t>
      </w:r>
      <w:r>
        <w:tab/>
        <w:t>Federal Aviation Administration</w:t>
      </w:r>
    </w:p>
    <w:p w14:paraId="12035059" w14:textId="252FCC31" w:rsidR="00F565BA" w:rsidRDefault="001A5FA7" w:rsidP="00F565BA">
      <w:pPr>
        <w:widowControl w:val="0"/>
        <w:tabs>
          <w:tab w:val="left" w:pos="864"/>
          <w:tab w:val="left" w:pos="1152"/>
        </w:tabs>
      </w:pPr>
      <w:r w:rsidRPr="001A5FA7">
        <w:rPr>
          <w:i/>
        </w:rPr>
        <w:t>F</w:t>
      </w:r>
      <w:r w:rsidR="00414C33" w:rsidRPr="001A5FA7">
        <w:rPr>
          <w:i/>
        </w:rPr>
        <w:t>AA</w:t>
      </w:r>
      <w:r w:rsidR="00414C33">
        <w:rPr>
          <w:i/>
        </w:rPr>
        <w:t>-AST</w:t>
      </w:r>
      <w:r w:rsidR="00F565BA" w:rsidRPr="00F565BA">
        <w:rPr>
          <w:i/>
        </w:rPr>
        <w:tab/>
      </w:r>
      <w:r w:rsidR="008B5EAD">
        <w:rPr>
          <w:i/>
        </w:rPr>
        <w:tab/>
      </w:r>
      <w:r w:rsidR="00F565BA" w:rsidRPr="00F565BA">
        <w:t>=</w:t>
      </w:r>
      <w:r w:rsidR="00F565BA" w:rsidRPr="00F565BA">
        <w:tab/>
      </w:r>
      <w:r w:rsidR="00414C33">
        <w:t>FAA Office of Commercial Space Transportation</w:t>
      </w:r>
    </w:p>
    <w:p w14:paraId="35B92BC6" w14:textId="78187A98" w:rsidR="002F7D16" w:rsidRDefault="002F7D16" w:rsidP="00F565BA">
      <w:pPr>
        <w:widowControl w:val="0"/>
        <w:tabs>
          <w:tab w:val="left" w:pos="864"/>
          <w:tab w:val="left" w:pos="1152"/>
        </w:tabs>
      </w:pPr>
      <w:r w:rsidRPr="002F7D16">
        <w:rPr>
          <w:i/>
          <w:iCs/>
        </w:rPr>
        <w:t>ISO</w:t>
      </w:r>
      <w:r>
        <w:tab/>
      </w:r>
      <w:r>
        <w:tab/>
        <w:t>=</w:t>
      </w:r>
      <w:r>
        <w:tab/>
      </w:r>
      <w:r w:rsidRPr="00503F7D">
        <w:rPr>
          <w:shd w:val="clear" w:color="auto" w:fill="FFFFFF"/>
        </w:rPr>
        <w:t>International Organization for Standardization</w:t>
      </w:r>
    </w:p>
    <w:p w14:paraId="47F09D9C" w14:textId="74DB2AFC" w:rsidR="00AA2F30" w:rsidRDefault="00AA2F30" w:rsidP="00AA2F30">
      <w:pPr>
        <w:widowControl w:val="0"/>
        <w:tabs>
          <w:tab w:val="left" w:pos="864"/>
          <w:tab w:val="left" w:pos="1152"/>
        </w:tabs>
      </w:pPr>
      <w:r>
        <w:rPr>
          <w:i/>
        </w:rPr>
        <w:t>NAS</w:t>
      </w:r>
      <w:r w:rsidRPr="00F565BA">
        <w:tab/>
      </w:r>
      <w:r w:rsidR="008B5EAD">
        <w:tab/>
      </w:r>
      <w:r w:rsidRPr="00F565BA">
        <w:t>=</w:t>
      </w:r>
      <w:r w:rsidRPr="00F565BA">
        <w:tab/>
      </w:r>
      <w:r>
        <w:t>National Air Space</w:t>
      </w:r>
    </w:p>
    <w:p w14:paraId="170CEE13" w14:textId="1D8E901E" w:rsidR="002F7D16" w:rsidRDefault="002F7D16" w:rsidP="00AA2F30">
      <w:pPr>
        <w:widowControl w:val="0"/>
        <w:tabs>
          <w:tab w:val="left" w:pos="864"/>
          <w:tab w:val="left" w:pos="1152"/>
        </w:tabs>
      </w:pPr>
      <w:r w:rsidRPr="002F7D16">
        <w:rPr>
          <w:i/>
          <w:iCs/>
        </w:rPr>
        <w:t>NSRC</w:t>
      </w:r>
      <w:r>
        <w:tab/>
      </w:r>
      <w:r>
        <w:tab/>
        <w:t>=</w:t>
      </w:r>
      <w:r>
        <w:tab/>
      </w:r>
      <w:r w:rsidRPr="001F2C46">
        <w:rPr>
          <w:rFonts w:eastAsia="Calibri"/>
        </w:rPr>
        <w:t>Next-</w:t>
      </w:r>
      <w:r w:rsidR="001F24CF">
        <w:rPr>
          <w:rFonts w:eastAsia="Calibri"/>
        </w:rPr>
        <w:t>G</w:t>
      </w:r>
      <w:r w:rsidRPr="001F2C46">
        <w:rPr>
          <w:rFonts w:eastAsia="Calibri"/>
        </w:rPr>
        <w:t>eneration Suborbital Researchers Conference</w:t>
      </w:r>
    </w:p>
    <w:p w14:paraId="26162244" w14:textId="2593DE2F" w:rsidR="002F7D16" w:rsidRPr="00F565BA" w:rsidRDefault="002F7D16" w:rsidP="00AA2F30">
      <w:pPr>
        <w:widowControl w:val="0"/>
        <w:tabs>
          <w:tab w:val="left" w:pos="864"/>
          <w:tab w:val="left" w:pos="1152"/>
        </w:tabs>
      </w:pPr>
      <w:r w:rsidRPr="002F7D16">
        <w:rPr>
          <w:i/>
          <w:iCs/>
        </w:rPr>
        <w:t>OGA</w:t>
      </w:r>
      <w:r>
        <w:tab/>
      </w:r>
      <w:r>
        <w:tab/>
        <w:t xml:space="preserve">= </w:t>
      </w:r>
      <w:r>
        <w:tab/>
        <w:t>Other Government Organization</w:t>
      </w:r>
    </w:p>
    <w:p w14:paraId="5E410814" w14:textId="7D9638F3" w:rsidR="00AA2F30" w:rsidRDefault="00AA2F30" w:rsidP="00F565BA">
      <w:pPr>
        <w:widowControl w:val="0"/>
        <w:tabs>
          <w:tab w:val="left" w:pos="864"/>
          <w:tab w:val="left" w:pos="1152"/>
        </w:tabs>
      </w:pPr>
      <w:r>
        <w:rPr>
          <w:i/>
        </w:rPr>
        <w:t>SFP</w:t>
      </w:r>
      <w:r w:rsidRPr="00F565BA">
        <w:tab/>
      </w:r>
      <w:r w:rsidR="008B5EAD">
        <w:tab/>
      </w:r>
      <w:r w:rsidRPr="00F565BA">
        <w:t>=</w:t>
      </w:r>
      <w:r w:rsidRPr="00F565BA">
        <w:tab/>
      </w:r>
      <w:r>
        <w:t>Space Flight Participant</w:t>
      </w:r>
    </w:p>
    <w:p w14:paraId="0713B8AB" w14:textId="26FCA1D1" w:rsidR="00895E75" w:rsidRPr="00895E75" w:rsidRDefault="00895E75" w:rsidP="00F565BA">
      <w:pPr>
        <w:widowControl w:val="0"/>
        <w:tabs>
          <w:tab w:val="left" w:pos="864"/>
          <w:tab w:val="left" w:pos="1152"/>
        </w:tabs>
      </w:pPr>
      <w:r>
        <w:rPr>
          <w:i/>
          <w:iCs/>
        </w:rPr>
        <w:t>SME</w:t>
      </w:r>
      <w:r>
        <w:tab/>
      </w:r>
      <w:r>
        <w:tab/>
        <w:t>=</w:t>
      </w:r>
      <w:r>
        <w:tab/>
        <w:t>Subject Matter Expert</w:t>
      </w:r>
    </w:p>
    <w:p w14:paraId="425065E4" w14:textId="79DB0017" w:rsidR="00D33123" w:rsidRPr="00D33123" w:rsidRDefault="00D33123" w:rsidP="00F565BA">
      <w:pPr>
        <w:widowControl w:val="0"/>
        <w:tabs>
          <w:tab w:val="left" w:pos="864"/>
          <w:tab w:val="left" w:pos="1152"/>
        </w:tabs>
      </w:pPr>
      <w:proofErr w:type="spellStart"/>
      <w:r w:rsidRPr="00D33123">
        <w:rPr>
          <w:i/>
          <w:iCs/>
        </w:rPr>
        <w:t>SpARC</w:t>
      </w:r>
      <w:proofErr w:type="spellEnd"/>
      <w:r>
        <w:rPr>
          <w:i/>
          <w:iCs/>
        </w:rPr>
        <w:tab/>
      </w:r>
      <w:r w:rsidR="008B5EAD">
        <w:rPr>
          <w:i/>
          <w:iCs/>
        </w:rPr>
        <w:tab/>
      </w:r>
      <w:r>
        <w:t>=</w:t>
      </w:r>
      <w:r>
        <w:tab/>
        <w:t>Space Flight Aerospace R</w:t>
      </w:r>
      <w:r w:rsidR="00255AAE">
        <w:t>ulemaking Committee</w:t>
      </w:r>
    </w:p>
    <w:p w14:paraId="0CB2A218" w14:textId="619F7900" w:rsidR="005B01B4" w:rsidRDefault="005B01B4" w:rsidP="00F565BA">
      <w:pPr>
        <w:widowControl w:val="0"/>
        <w:tabs>
          <w:tab w:val="left" w:pos="864"/>
          <w:tab w:val="left" w:pos="1152"/>
        </w:tabs>
      </w:pPr>
      <w:r>
        <w:rPr>
          <w:i/>
        </w:rPr>
        <w:t>STMD</w:t>
      </w:r>
      <w:r w:rsidRPr="00F565BA">
        <w:tab/>
      </w:r>
      <w:r w:rsidR="008B5EAD">
        <w:tab/>
      </w:r>
      <w:r w:rsidRPr="00F565BA">
        <w:t>=</w:t>
      </w:r>
      <w:r w:rsidRPr="00F565BA">
        <w:tab/>
      </w:r>
      <w:r>
        <w:t>Space Technology Mission Directorate</w:t>
      </w:r>
      <w:r w:rsidR="00400C2B">
        <w:t>, NASA</w:t>
      </w:r>
    </w:p>
    <w:p w14:paraId="38D43E5E" w14:textId="34BF7C14" w:rsidR="00AA2F30" w:rsidRPr="00AA2F30" w:rsidRDefault="00AA2F30" w:rsidP="00F565BA">
      <w:pPr>
        <w:widowControl w:val="0"/>
        <w:tabs>
          <w:tab w:val="left" w:pos="864"/>
          <w:tab w:val="left" w:pos="1152"/>
        </w:tabs>
        <w:rPr>
          <w:iCs/>
        </w:rPr>
      </w:pPr>
      <w:proofErr w:type="spellStart"/>
      <w:r>
        <w:rPr>
          <w:i/>
        </w:rPr>
        <w:t>SubC</w:t>
      </w:r>
      <w:proofErr w:type="spellEnd"/>
      <w:r>
        <w:rPr>
          <w:i/>
        </w:rPr>
        <w:tab/>
      </w:r>
      <w:r w:rsidR="002F7D16">
        <w:rPr>
          <w:i/>
        </w:rPr>
        <w:tab/>
      </w:r>
      <w:r>
        <w:rPr>
          <w:iCs/>
        </w:rPr>
        <w:t>=</w:t>
      </w:r>
      <w:r>
        <w:rPr>
          <w:iCs/>
        </w:rPr>
        <w:tab/>
        <w:t>Suborbital Crew</w:t>
      </w:r>
    </w:p>
    <w:p w14:paraId="2155B156" w14:textId="37607B93" w:rsidR="00F565BA" w:rsidRPr="00F565BA" w:rsidRDefault="00F565BA" w:rsidP="00806E55">
      <w:pPr>
        <w:keepNext/>
        <w:numPr>
          <w:ilvl w:val="0"/>
          <w:numId w:val="2"/>
        </w:numPr>
        <w:tabs>
          <w:tab w:val="clear" w:pos="360"/>
          <w:tab w:val="num" w:pos="180"/>
        </w:tabs>
        <w:spacing w:before="240" w:after="60"/>
        <w:ind w:left="187" w:hanging="187"/>
        <w:jc w:val="center"/>
        <w:outlineLvl w:val="0"/>
        <w:rPr>
          <w:b/>
          <w:kern w:val="32"/>
          <w:sz w:val="22"/>
        </w:rPr>
      </w:pPr>
      <w:r w:rsidRPr="00F565BA">
        <w:rPr>
          <w:b/>
          <w:kern w:val="32"/>
          <w:sz w:val="22"/>
        </w:rPr>
        <w:t>Introduction</w:t>
      </w:r>
      <w:r w:rsidR="000E7CB6">
        <w:rPr>
          <w:b/>
          <w:kern w:val="32"/>
          <w:sz w:val="22"/>
        </w:rPr>
        <w:t xml:space="preserve"> and Background</w:t>
      </w:r>
    </w:p>
    <w:p w14:paraId="6B276652" w14:textId="2720679E" w:rsidR="00856A2C" w:rsidRPr="004705D3" w:rsidRDefault="00856A2C" w:rsidP="0006517B">
      <w:pPr>
        <w:ind w:firstLine="288"/>
        <w:rPr>
          <w:shd w:val="clear" w:color="auto" w:fill="FFFFFF"/>
        </w:rPr>
      </w:pPr>
      <w:r w:rsidRPr="004705D3">
        <w:t xml:space="preserve">On March 20, 2020, then NASA Administrator Jim </w:t>
      </w:r>
      <w:proofErr w:type="spellStart"/>
      <w:r w:rsidRPr="004705D3">
        <w:t>Bridenstine</w:t>
      </w:r>
      <w:proofErr w:type="spellEnd"/>
      <w:r w:rsidRPr="004705D3">
        <w:t xml:space="preserve"> announced, “NASA is developing the process to fly astronauts on commercial suborbital spacecraft.</w:t>
      </w:r>
      <w:r w:rsidR="00723A84">
        <w:t xml:space="preserve"> </w:t>
      </w:r>
      <w:r w:rsidRPr="004705D3">
        <w:t xml:space="preserve">Whether it’s suborbital, orbital, or deep space, NASA will utilize our nation’s innovative commercial capabilities.” NASA initiated a new effort to enable NASA personnel to fly on future commercial suborbital </w:t>
      </w:r>
      <w:r>
        <w:t>space flight</w:t>
      </w:r>
      <w:r w:rsidRPr="004705D3">
        <w:t xml:space="preserve">s. </w:t>
      </w:r>
      <w:r w:rsidR="0028703D">
        <w:t>Situated within</w:t>
      </w:r>
      <w:r w:rsidRPr="004705D3">
        <w:t xml:space="preserve"> the Commercial Crew </w:t>
      </w:r>
      <w:r>
        <w:t>P</w:t>
      </w:r>
      <w:r w:rsidRPr="004705D3">
        <w:t xml:space="preserve">rogram (CCP), the Suborbital Crew </w:t>
      </w:r>
      <w:r w:rsidR="0028703D">
        <w:t>(</w:t>
      </w:r>
      <w:proofErr w:type="spellStart"/>
      <w:r w:rsidR="0028703D">
        <w:t>SubC</w:t>
      </w:r>
      <w:proofErr w:type="spellEnd"/>
      <w:r w:rsidR="0028703D">
        <w:t xml:space="preserve">) </w:t>
      </w:r>
      <w:r w:rsidR="002D4518">
        <w:t>office</w:t>
      </w:r>
      <w:r w:rsidRPr="004705D3">
        <w:rPr>
          <w:shd w:val="clear" w:color="auto" w:fill="FFFFFF"/>
        </w:rPr>
        <w:t xml:space="preserve"> is </w:t>
      </w:r>
      <w:r w:rsidR="009363EA">
        <w:rPr>
          <w:shd w:val="clear" w:color="auto" w:fill="FFFFFF"/>
        </w:rPr>
        <w:t>tasked</w:t>
      </w:r>
      <w:r w:rsidRPr="004705D3">
        <w:rPr>
          <w:shd w:val="clear" w:color="auto" w:fill="FFFFFF"/>
        </w:rPr>
        <w:t xml:space="preserve"> to “perform a safety assessment to enable NASA astronauts, principal investigators, and other NASA personnel to fly on suborbital missions</w:t>
      </w:r>
      <w:r w:rsidR="00EA38F7">
        <w:rPr>
          <w:shd w:val="clear" w:color="auto" w:fill="FFFFFF"/>
        </w:rPr>
        <w:t>.”</w:t>
      </w:r>
    </w:p>
    <w:p w14:paraId="70D1B69A" w14:textId="734DBD44" w:rsidR="00884A3B" w:rsidRDefault="00856A2C" w:rsidP="00673A12">
      <w:pPr>
        <w:spacing w:after="120"/>
        <w:ind w:firstLine="288"/>
      </w:pPr>
      <w:r w:rsidRPr="004705D3">
        <w:t xml:space="preserve">Commercial suborbital </w:t>
      </w:r>
      <w:r>
        <w:t>space flight</w:t>
      </w:r>
      <w:r w:rsidRPr="004705D3">
        <w:t xml:space="preserve"> capabilities are anticipated to be more accessible, affordable, and available than missions to the International Space Station and could provide additional opportunities for testing and qualification of </w:t>
      </w:r>
      <w:r>
        <w:t>space flight</w:t>
      </w:r>
      <w:r w:rsidRPr="004705D3">
        <w:t xml:space="preserve"> hardware, human-tended microgravity research, and further cutting-edge research enabled by the space </w:t>
      </w:r>
      <w:r w:rsidR="00D038AB" w:rsidRPr="004705D3">
        <w:t xml:space="preserve">environment. </w:t>
      </w:r>
      <w:r w:rsidR="00D038AB" w:rsidRPr="004705D3">
        <w:rPr>
          <w:shd w:val="clear" w:color="auto" w:fill="FFFFFF"/>
        </w:rPr>
        <w:t xml:space="preserve">Although NASA currently flies payloads </w:t>
      </w:r>
      <w:r w:rsidR="00D038AB">
        <w:rPr>
          <w:shd w:val="clear" w:color="auto" w:fill="FFFFFF"/>
        </w:rPr>
        <w:t xml:space="preserve">through commercial suborbital flight providers </w:t>
      </w:r>
      <w:r w:rsidR="00D038AB" w:rsidRPr="004705D3">
        <w:rPr>
          <w:shd w:val="clear" w:color="auto" w:fill="FFFFFF"/>
        </w:rPr>
        <w:t xml:space="preserve">under </w:t>
      </w:r>
      <w:r w:rsidR="00D038AB">
        <w:rPr>
          <w:shd w:val="clear" w:color="auto" w:fill="FFFFFF"/>
        </w:rPr>
        <w:t xml:space="preserve">the </w:t>
      </w:r>
      <w:r w:rsidR="00D038AB" w:rsidRPr="004705D3">
        <w:rPr>
          <w:shd w:val="clear" w:color="auto" w:fill="FFFFFF"/>
        </w:rPr>
        <w:t xml:space="preserve">auspices of NASA’s Flight Opportunities Program, the </w:t>
      </w:r>
      <w:proofErr w:type="spellStart"/>
      <w:r w:rsidR="00D038AB" w:rsidRPr="004705D3">
        <w:rPr>
          <w:shd w:val="clear" w:color="auto" w:fill="FFFFFF"/>
        </w:rPr>
        <w:t>SubC</w:t>
      </w:r>
      <w:proofErr w:type="spellEnd"/>
      <w:r w:rsidR="00D038AB" w:rsidRPr="004705D3">
        <w:rPr>
          <w:shd w:val="clear" w:color="auto" w:fill="FFFFFF"/>
        </w:rPr>
        <w:t xml:space="preserve"> effort will enable NASA scientists, researchers, and engineers to accompany their experiments and tests into the space microgravity environment.</w:t>
      </w:r>
      <w:r w:rsidR="00D038AB">
        <w:rPr>
          <w:shd w:val="clear" w:color="auto" w:fill="FFFFFF"/>
        </w:rPr>
        <w:t xml:space="preserve"> </w:t>
      </w:r>
      <w:r w:rsidR="00D038AB" w:rsidRPr="004705D3">
        <w:t xml:space="preserve">Fig. 1 illustrates how the </w:t>
      </w:r>
      <w:proofErr w:type="spellStart"/>
      <w:r w:rsidR="00D038AB" w:rsidRPr="004705D3">
        <w:t>SubC</w:t>
      </w:r>
      <w:proofErr w:type="spellEnd"/>
      <w:r w:rsidR="00D038AB" w:rsidRPr="004705D3">
        <w:t xml:space="preserve"> program complements other microgravity experimental platforms.</w:t>
      </w:r>
      <w:r w:rsidR="00D038AB">
        <w:t xml:space="preserve"> </w:t>
      </w:r>
    </w:p>
    <w:p w14:paraId="0862D3D7" w14:textId="5674338E" w:rsidR="00884A3B" w:rsidRDefault="00884A3B" w:rsidP="00884A3B">
      <w:pPr>
        <w:spacing w:after="120"/>
        <w:ind w:firstLine="288"/>
        <w:jc w:val="center"/>
      </w:pPr>
      <w:r w:rsidRPr="0031695E">
        <w:rPr>
          <w:noProof/>
          <w:szCs w:val="24"/>
        </w:rPr>
        <w:drawing>
          <wp:inline distT="0" distB="0" distL="0" distR="0" wp14:anchorId="1D6908A0" wp14:editId="17CE8C81">
            <wp:extent cx="2512031" cy="3076754"/>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52719" cy="3249070"/>
                    </a:xfrm>
                    <a:prstGeom prst="rect">
                      <a:avLst/>
                    </a:prstGeom>
                  </pic:spPr>
                </pic:pic>
              </a:graphicData>
            </a:graphic>
          </wp:inline>
        </w:drawing>
      </w:r>
    </w:p>
    <w:p w14:paraId="42EAAB0C" w14:textId="5CD12B6A" w:rsidR="00884A3B" w:rsidRPr="00884A3B" w:rsidRDefault="00884A3B" w:rsidP="00884A3B">
      <w:pPr>
        <w:spacing w:before="120" w:after="120"/>
        <w:jc w:val="center"/>
        <w:rPr>
          <w:b/>
        </w:rPr>
      </w:pPr>
      <w:r w:rsidRPr="00F565BA">
        <w:rPr>
          <w:b/>
        </w:rPr>
        <w:t xml:space="preserve">Fig. </w:t>
      </w:r>
      <w:r w:rsidRPr="00F565BA">
        <w:rPr>
          <w:b/>
        </w:rPr>
        <w:fldChar w:fldCharType="begin"/>
      </w:r>
      <w:r w:rsidRPr="00F565BA">
        <w:rPr>
          <w:b/>
        </w:rPr>
        <w:instrText xml:space="preserve"> SEQ Fig. \* ARABIC </w:instrText>
      </w:r>
      <w:r w:rsidRPr="00F565BA">
        <w:rPr>
          <w:b/>
        </w:rPr>
        <w:fldChar w:fldCharType="separate"/>
      </w:r>
      <w:r>
        <w:rPr>
          <w:b/>
          <w:noProof/>
        </w:rPr>
        <w:t>1</w:t>
      </w:r>
      <w:r w:rsidRPr="00F565BA">
        <w:rPr>
          <w:b/>
          <w:noProof/>
        </w:rPr>
        <w:fldChar w:fldCharType="end"/>
      </w:r>
      <w:r w:rsidRPr="00F565BA">
        <w:rPr>
          <w:b/>
        </w:rPr>
        <w:tab/>
      </w:r>
      <w:r>
        <w:rPr>
          <w:b/>
        </w:rPr>
        <w:t xml:space="preserve">Why </w:t>
      </w:r>
      <w:proofErr w:type="spellStart"/>
      <w:r>
        <w:rPr>
          <w:b/>
        </w:rPr>
        <w:t>SubC</w:t>
      </w:r>
      <w:proofErr w:type="spellEnd"/>
      <w:r>
        <w:rPr>
          <w:b/>
        </w:rPr>
        <w:t>?</w:t>
      </w:r>
    </w:p>
    <w:p w14:paraId="756B9583" w14:textId="6B13C74D" w:rsidR="00673A12" w:rsidRDefault="00D038AB" w:rsidP="00673A12">
      <w:pPr>
        <w:spacing w:after="120"/>
        <w:ind w:firstLine="288"/>
        <w:rPr>
          <w:bCs/>
          <w:szCs w:val="24"/>
        </w:rPr>
      </w:pPr>
      <w:r w:rsidRPr="00CB0466">
        <w:rPr>
          <w:bCs/>
          <w:szCs w:val="24"/>
        </w:rPr>
        <w:lastRenderedPageBreak/>
        <w:t xml:space="preserve">The targeted scope for </w:t>
      </w:r>
      <w:proofErr w:type="spellStart"/>
      <w:r w:rsidRPr="00CB0466">
        <w:rPr>
          <w:bCs/>
          <w:szCs w:val="24"/>
        </w:rPr>
        <w:t>SubC</w:t>
      </w:r>
      <w:proofErr w:type="spellEnd"/>
      <w:r w:rsidRPr="00CB0466">
        <w:rPr>
          <w:bCs/>
          <w:szCs w:val="24"/>
        </w:rPr>
        <w:t xml:space="preserve"> includes end-to-end suborbital capabilities reaching ~80km </w:t>
      </w:r>
      <w:r>
        <w:rPr>
          <w:bCs/>
          <w:szCs w:val="24"/>
        </w:rPr>
        <w:t xml:space="preserve">altitude </w:t>
      </w:r>
      <w:r w:rsidRPr="00CB0466">
        <w:rPr>
          <w:bCs/>
          <w:szCs w:val="24"/>
        </w:rPr>
        <w:t xml:space="preserve">with </w:t>
      </w:r>
      <w:r>
        <w:rPr>
          <w:bCs/>
          <w:szCs w:val="24"/>
        </w:rPr>
        <w:t xml:space="preserve">several minutes of </w:t>
      </w:r>
      <w:r w:rsidRPr="00CB0466">
        <w:rPr>
          <w:bCs/>
          <w:szCs w:val="24"/>
        </w:rPr>
        <w:t>sustained microgravity</w:t>
      </w:r>
      <w:r>
        <w:rPr>
          <w:bCs/>
          <w:szCs w:val="24"/>
        </w:rPr>
        <w:t>. This will greatly facilitate the following research and testing:</w:t>
      </w:r>
    </w:p>
    <w:p w14:paraId="78D27373" w14:textId="77777777" w:rsidR="00673A12" w:rsidRPr="00F54A29" w:rsidRDefault="00673A12" w:rsidP="00673A12">
      <w:pPr>
        <w:pStyle w:val="ListParagraph"/>
        <w:numPr>
          <w:ilvl w:val="0"/>
          <w:numId w:val="28"/>
        </w:numPr>
        <w:ind w:left="648"/>
        <w:rPr>
          <w:rFonts w:ascii="Times New Roman" w:hAnsi="Times New Roman"/>
          <w:sz w:val="20"/>
          <w:szCs w:val="20"/>
        </w:rPr>
      </w:pPr>
      <w:r w:rsidRPr="00F54A29">
        <w:rPr>
          <w:rFonts w:ascii="Times New Roman" w:hAnsi="Times New Roman"/>
          <w:sz w:val="20"/>
          <w:szCs w:val="20"/>
        </w:rPr>
        <w:t>Human-Tended Microgravity Research</w:t>
      </w:r>
    </w:p>
    <w:p w14:paraId="3CA3EE73" w14:textId="77777777" w:rsidR="00673A12" w:rsidRPr="00F54A29" w:rsidRDefault="00673A12" w:rsidP="00673A12">
      <w:pPr>
        <w:pStyle w:val="ListParagraph"/>
        <w:numPr>
          <w:ilvl w:val="1"/>
          <w:numId w:val="28"/>
        </w:numPr>
        <w:ind w:left="1368"/>
        <w:rPr>
          <w:rFonts w:ascii="Times New Roman" w:hAnsi="Times New Roman"/>
          <w:sz w:val="20"/>
          <w:szCs w:val="20"/>
        </w:rPr>
      </w:pPr>
      <w:r w:rsidRPr="00F54A29">
        <w:rPr>
          <w:rFonts w:ascii="Times New Roman" w:hAnsi="Times New Roman"/>
          <w:sz w:val="20"/>
          <w:szCs w:val="20"/>
        </w:rPr>
        <w:t>Materials processing</w:t>
      </w:r>
    </w:p>
    <w:p w14:paraId="77FF8C5D" w14:textId="77777777" w:rsidR="00673A12" w:rsidRPr="00F54A29" w:rsidRDefault="00673A12" w:rsidP="00673A12">
      <w:pPr>
        <w:pStyle w:val="ListParagraph"/>
        <w:numPr>
          <w:ilvl w:val="1"/>
          <w:numId w:val="28"/>
        </w:numPr>
        <w:ind w:left="1368"/>
        <w:rPr>
          <w:rFonts w:ascii="Times New Roman" w:hAnsi="Times New Roman"/>
          <w:sz w:val="20"/>
          <w:szCs w:val="20"/>
        </w:rPr>
      </w:pPr>
      <w:r w:rsidRPr="00F54A29">
        <w:rPr>
          <w:rFonts w:ascii="Times New Roman" w:hAnsi="Times New Roman"/>
          <w:sz w:val="20"/>
          <w:szCs w:val="20"/>
        </w:rPr>
        <w:t>Life sciences experiments</w:t>
      </w:r>
    </w:p>
    <w:p w14:paraId="21B8BCC7" w14:textId="77777777" w:rsidR="00673A12" w:rsidRPr="00F54A29" w:rsidRDefault="00673A12" w:rsidP="00673A12">
      <w:pPr>
        <w:pStyle w:val="ListParagraph"/>
        <w:numPr>
          <w:ilvl w:val="1"/>
          <w:numId w:val="28"/>
        </w:numPr>
        <w:ind w:left="1368"/>
        <w:rPr>
          <w:rFonts w:ascii="Times New Roman" w:hAnsi="Times New Roman"/>
          <w:sz w:val="20"/>
          <w:szCs w:val="20"/>
        </w:rPr>
      </w:pPr>
      <w:r w:rsidRPr="00F54A29">
        <w:rPr>
          <w:rFonts w:ascii="Times New Roman" w:hAnsi="Times New Roman"/>
          <w:sz w:val="20"/>
          <w:szCs w:val="20"/>
        </w:rPr>
        <w:t>Research payloads</w:t>
      </w:r>
    </w:p>
    <w:p w14:paraId="472EF4D6" w14:textId="77777777" w:rsidR="00673A12" w:rsidRPr="00F54A29" w:rsidRDefault="00673A12" w:rsidP="00673A12">
      <w:pPr>
        <w:pStyle w:val="ListParagraph"/>
        <w:numPr>
          <w:ilvl w:val="1"/>
          <w:numId w:val="28"/>
        </w:numPr>
        <w:ind w:left="1368"/>
        <w:rPr>
          <w:rFonts w:ascii="Times New Roman" w:hAnsi="Times New Roman"/>
          <w:sz w:val="20"/>
          <w:szCs w:val="20"/>
        </w:rPr>
      </w:pPr>
      <w:r w:rsidRPr="00F54A29">
        <w:rPr>
          <w:rFonts w:ascii="Times New Roman" w:hAnsi="Times New Roman"/>
          <w:sz w:val="20"/>
          <w:szCs w:val="20"/>
        </w:rPr>
        <w:t>Experiments for planetary sciences</w:t>
      </w:r>
    </w:p>
    <w:p w14:paraId="6F7387B6" w14:textId="77777777" w:rsidR="00673A12" w:rsidRPr="00F54A29" w:rsidRDefault="00673A12" w:rsidP="00673A12">
      <w:pPr>
        <w:pStyle w:val="ListParagraph"/>
        <w:numPr>
          <w:ilvl w:val="0"/>
          <w:numId w:val="28"/>
        </w:numPr>
        <w:ind w:left="648"/>
        <w:rPr>
          <w:rFonts w:ascii="Times New Roman" w:hAnsi="Times New Roman"/>
          <w:sz w:val="20"/>
          <w:szCs w:val="20"/>
        </w:rPr>
      </w:pPr>
      <w:r w:rsidRPr="00F54A29">
        <w:rPr>
          <w:rFonts w:ascii="Times New Roman" w:hAnsi="Times New Roman"/>
          <w:sz w:val="20"/>
          <w:szCs w:val="20"/>
        </w:rPr>
        <w:t>Testing and Qualification of Spaceflight Hardware</w:t>
      </w:r>
    </w:p>
    <w:p w14:paraId="3E2A4661" w14:textId="46C415AD" w:rsidR="00673A12" w:rsidRPr="00F54A29" w:rsidRDefault="00673A12" w:rsidP="00673A12">
      <w:pPr>
        <w:pStyle w:val="ListParagraph"/>
        <w:numPr>
          <w:ilvl w:val="1"/>
          <w:numId w:val="28"/>
        </w:numPr>
        <w:ind w:left="1368"/>
        <w:rPr>
          <w:rFonts w:ascii="Times New Roman" w:hAnsi="Times New Roman"/>
          <w:sz w:val="20"/>
          <w:szCs w:val="20"/>
        </w:rPr>
      </w:pPr>
      <w:r w:rsidRPr="00F54A29">
        <w:rPr>
          <w:rFonts w:ascii="Times New Roman" w:hAnsi="Times New Roman"/>
          <w:sz w:val="20"/>
          <w:szCs w:val="20"/>
        </w:rPr>
        <w:t>In-flight testing of hardware (</w:t>
      </w:r>
      <w:r w:rsidR="00D038AB">
        <w:rPr>
          <w:rFonts w:ascii="Times New Roman" w:hAnsi="Times New Roman"/>
          <w:sz w:val="20"/>
          <w:szCs w:val="20"/>
        </w:rPr>
        <w:t xml:space="preserve">e.g., </w:t>
      </w:r>
      <w:r w:rsidRPr="00F54A29">
        <w:rPr>
          <w:rFonts w:ascii="Times New Roman" w:hAnsi="Times New Roman"/>
          <w:sz w:val="20"/>
          <w:szCs w:val="20"/>
        </w:rPr>
        <w:t>equipment, tools)</w:t>
      </w:r>
    </w:p>
    <w:p w14:paraId="76DADB6A" w14:textId="77777777" w:rsidR="00673A12" w:rsidRPr="00F54A29" w:rsidRDefault="00673A12" w:rsidP="00673A12">
      <w:pPr>
        <w:pStyle w:val="ListParagraph"/>
        <w:numPr>
          <w:ilvl w:val="1"/>
          <w:numId w:val="28"/>
        </w:numPr>
        <w:ind w:left="1368"/>
        <w:rPr>
          <w:rFonts w:ascii="Times New Roman" w:hAnsi="Times New Roman"/>
          <w:sz w:val="20"/>
          <w:szCs w:val="20"/>
        </w:rPr>
      </w:pPr>
      <w:r w:rsidRPr="00F54A29">
        <w:rPr>
          <w:rFonts w:ascii="Times New Roman" w:hAnsi="Times New Roman"/>
          <w:sz w:val="20"/>
          <w:szCs w:val="20"/>
        </w:rPr>
        <w:t xml:space="preserve">Provide confidence in new systems &amp; </w:t>
      </w:r>
      <w:proofErr w:type="gramStart"/>
      <w:r w:rsidRPr="00F54A29">
        <w:rPr>
          <w:rFonts w:ascii="Times New Roman" w:hAnsi="Times New Roman"/>
          <w:sz w:val="20"/>
          <w:szCs w:val="20"/>
        </w:rPr>
        <w:t>components</w:t>
      </w:r>
      <w:proofErr w:type="gramEnd"/>
      <w:r w:rsidRPr="00F54A29">
        <w:rPr>
          <w:rFonts w:ascii="Times New Roman" w:hAnsi="Times New Roman"/>
          <w:sz w:val="20"/>
          <w:szCs w:val="20"/>
        </w:rPr>
        <w:t xml:space="preserve"> </w:t>
      </w:r>
    </w:p>
    <w:p w14:paraId="13AD423A" w14:textId="60CE15B9" w:rsidR="00673A12" w:rsidRDefault="00673A12" w:rsidP="000A7E1F">
      <w:pPr>
        <w:ind w:left="1368"/>
        <w:jc w:val="left"/>
      </w:pPr>
      <w:r w:rsidRPr="00F54A29">
        <w:t>to support qualification</w:t>
      </w:r>
    </w:p>
    <w:p w14:paraId="2A83FC42" w14:textId="5C71F6FE" w:rsidR="00F565BA" w:rsidRPr="00F565BA" w:rsidRDefault="00806E55" w:rsidP="00806E55">
      <w:pPr>
        <w:keepNext/>
        <w:numPr>
          <w:ilvl w:val="0"/>
          <w:numId w:val="2"/>
        </w:numPr>
        <w:tabs>
          <w:tab w:val="clear" w:pos="360"/>
          <w:tab w:val="num" w:pos="180"/>
        </w:tabs>
        <w:spacing w:before="240" w:after="60"/>
        <w:ind w:left="187" w:hanging="187"/>
        <w:jc w:val="center"/>
        <w:outlineLvl w:val="0"/>
        <w:rPr>
          <w:b/>
          <w:kern w:val="32"/>
          <w:sz w:val="22"/>
        </w:rPr>
      </w:pPr>
      <w:r>
        <w:rPr>
          <w:b/>
          <w:kern w:val="32"/>
          <w:sz w:val="22"/>
        </w:rPr>
        <w:t>Safety Case Approach</w:t>
      </w:r>
    </w:p>
    <w:p w14:paraId="519C75D7" w14:textId="2FB24A92" w:rsidR="004302A9" w:rsidRPr="00CB0466" w:rsidRDefault="00806E55" w:rsidP="00884A3B">
      <w:pPr>
        <w:spacing w:after="120"/>
        <w:ind w:firstLine="288"/>
        <w:rPr>
          <w:szCs w:val="24"/>
        </w:rPr>
      </w:pPr>
      <w:r w:rsidRPr="00CB0466">
        <w:rPr>
          <w:szCs w:val="24"/>
        </w:rPr>
        <w:t xml:space="preserve">NASA is responsible for understanding the risks to its employees should they fly on a commercially available suborbital </w:t>
      </w:r>
      <w:r w:rsidR="00AF3639">
        <w:rPr>
          <w:szCs w:val="24"/>
        </w:rPr>
        <w:t>vehicle</w:t>
      </w:r>
      <w:r w:rsidRPr="00CB0466">
        <w:rPr>
          <w:szCs w:val="24"/>
        </w:rPr>
        <w:t>.</w:t>
      </w:r>
      <w:r w:rsidR="00723A84">
        <w:rPr>
          <w:szCs w:val="24"/>
        </w:rPr>
        <w:t xml:space="preserve"> </w:t>
      </w:r>
      <w:r w:rsidRPr="00CB0466">
        <w:rPr>
          <w:szCs w:val="24"/>
        </w:rPr>
        <w:t xml:space="preserve">The </w:t>
      </w:r>
      <w:proofErr w:type="spellStart"/>
      <w:r w:rsidRPr="00CB0466">
        <w:rPr>
          <w:szCs w:val="24"/>
        </w:rPr>
        <w:t>SubC</w:t>
      </w:r>
      <w:proofErr w:type="spellEnd"/>
      <w:r w:rsidRPr="00CB0466">
        <w:rPr>
          <w:szCs w:val="24"/>
        </w:rPr>
        <w:t xml:space="preserve"> </w:t>
      </w:r>
      <w:r w:rsidR="002D4518">
        <w:rPr>
          <w:szCs w:val="24"/>
        </w:rPr>
        <w:t>office</w:t>
      </w:r>
      <w:r>
        <w:rPr>
          <w:szCs w:val="24"/>
        </w:rPr>
        <w:t xml:space="preserve"> is employing a S</w:t>
      </w:r>
      <w:r w:rsidRPr="00CB0466">
        <w:rPr>
          <w:szCs w:val="24"/>
        </w:rPr>
        <w:t xml:space="preserve">afety </w:t>
      </w:r>
      <w:r>
        <w:rPr>
          <w:szCs w:val="24"/>
        </w:rPr>
        <w:t>C</w:t>
      </w:r>
      <w:r w:rsidRPr="00CB0466">
        <w:rPr>
          <w:szCs w:val="24"/>
        </w:rPr>
        <w:t>ase approach</w:t>
      </w:r>
      <w:r>
        <w:rPr>
          <w:szCs w:val="24"/>
        </w:rPr>
        <w:t>,</w:t>
      </w:r>
      <w:r w:rsidRPr="00CB0466">
        <w:rPr>
          <w:szCs w:val="24"/>
        </w:rPr>
        <w:t xml:space="preserve"> </w:t>
      </w:r>
      <w:r>
        <w:rPr>
          <w:szCs w:val="24"/>
        </w:rPr>
        <w:t>applied to</w:t>
      </w:r>
      <w:r w:rsidRPr="00CB0466">
        <w:rPr>
          <w:szCs w:val="24"/>
        </w:rPr>
        <w:t xml:space="preserve"> commercial suborbital providers</w:t>
      </w:r>
      <w:r>
        <w:rPr>
          <w:szCs w:val="24"/>
        </w:rPr>
        <w:t>, which</w:t>
      </w:r>
      <w:r w:rsidRPr="00CB0466">
        <w:rPr>
          <w:szCs w:val="24"/>
        </w:rPr>
        <w:t xml:space="preserve"> is not a traditional certification process as was used for the SpaceX </w:t>
      </w:r>
      <w:r w:rsidRPr="00723A84">
        <w:rPr>
          <w:i/>
          <w:iCs/>
          <w:szCs w:val="24"/>
        </w:rPr>
        <w:t>Dragon</w:t>
      </w:r>
      <w:r w:rsidRPr="00CB0466">
        <w:rPr>
          <w:szCs w:val="24"/>
        </w:rPr>
        <w:t xml:space="preserve"> and Boeing </w:t>
      </w:r>
      <w:proofErr w:type="spellStart"/>
      <w:r w:rsidRPr="00723A84">
        <w:rPr>
          <w:i/>
          <w:iCs/>
          <w:szCs w:val="24"/>
        </w:rPr>
        <w:t>Starliner</w:t>
      </w:r>
      <w:proofErr w:type="spellEnd"/>
      <w:r w:rsidRPr="00CB0466">
        <w:rPr>
          <w:szCs w:val="24"/>
        </w:rPr>
        <w:t xml:space="preserve"> vehicle</w:t>
      </w:r>
      <w:r>
        <w:rPr>
          <w:szCs w:val="24"/>
        </w:rPr>
        <w:t>s</w:t>
      </w:r>
      <w:r w:rsidRPr="00CB0466">
        <w:rPr>
          <w:szCs w:val="24"/>
        </w:rPr>
        <w:t>.</w:t>
      </w:r>
      <w:r w:rsidR="00077FAC">
        <w:rPr>
          <w:szCs w:val="24"/>
        </w:rPr>
        <w:t xml:space="preserve"> </w:t>
      </w:r>
      <w:r w:rsidRPr="00CB0466">
        <w:rPr>
          <w:szCs w:val="24"/>
        </w:rPr>
        <w:t xml:space="preserve">Rather, it is an assessment using elements of NASA’s Risk-Informed Safety Case and the </w:t>
      </w:r>
      <w:r w:rsidR="00DF6444" w:rsidRPr="00CB0466">
        <w:rPr>
          <w:szCs w:val="24"/>
        </w:rPr>
        <w:t xml:space="preserve">Airworthiness Assessment process </w:t>
      </w:r>
      <w:r w:rsidR="00DF6444">
        <w:rPr>
          <w:szCs w:val="24"/>
        </w:rPr>
        <w:t xml:space="preserve">at NASA’s </w:t>
      </w:r>
      <w:r w:rsidRPr="00CB0466">
        <w:rPr>
          <w:szCs w:val="24"/>
        </w:rPr>
        <w:t>Armstrong Flight Research Center</w:t>
      </w:r>
      <w:r w:rsidR="00DF6444">
        <w:rPr>
          <w:szCs w:val="24"/>
        </w:rPr>
        <w:t xml:space="preserve"> (AFRC)</w:t>
      </w:r>
      <w:r w:rsidRPr="00CB0466">
        <w:rPr>
          <w:szCs w:val="24"/>
        </w:rPr>
        <w:t>.</w:t>
      </w:r>
      <w:r w:rsidR="00E815E4">
        <w:rPr>
          <w:szCs w:val="24"/>
        </w:rPr>
        <w:t xml:space="preserve"> </w:t>
      </w:r>
      <w:r w:rsidRPr="00CB0466">
        <w:rPr>
          <w:szCs w:val="24"/>
        </w:rPr>
        <w:t xml:space="preserve">The </w:t>
      </w:r>
      <w:r>
        <w:rPr>
          <w:szCs w:val="24"/>
        </w:rPr>
        <w:t>S</w:t>
      </w:r>
      <w:r w:rsidRPr="00CB0466">
        <w:rPr>
          <w:szCs w:val="24"/>
        </w:rPr>
        <w:t xml:space="preserve">afety </w:t>
      </w:r>
      <w:r>
        <w:rPr>
          <w:szCs w:val="24"/>
        </w:rPr>
        <w:t>C</w:t>
      </w:r>
      <w:r w:rsidRPr="00CB0466">
        <w:rPr>
          <w:szCs w:val="24"/>
        </w:rPr>
        <w:t>ase is predicated on each suborbital provider having their own certification plan and demonstrating compliance to that plan.</w:t>
      </w:r>
      <w:r w:rsidR="00723A84">
        <w:rPr>
          <w:szCs w:val="24"/>
        </w:rPr>
        <w:t xml:space="preserve"> </w:t>
      </w:r>
      <w:r w:rsidRPr="00CB0466">
        <w:rPr>
          <w:szCs w:val="24"/>
        </w:rPr>
        <w:t xml:space="preserve">For each suborbital provider, </w:t>
      </w:r>
      <w:proofErr w:type="spellStart"/>
      <w:r w:rsidRPr="00CB0466">
        <w:rPr>
          <w:szCs w:val="24"/>
        </w:rPr>
        <w:t>SubC</w:t>
      </w:r>
      <w:proofErr w:type="spellEnd"/>
      <w:r w:rsidRPr="00CB0466">
        <w:rPr>
          <w:szCs w:val="24"/>
        </w:rPr>
        <w:t xml:space="preserve"> has created a multi-prong</w:t>
      </w:r>
      <w:r>
        <w:rPr>
          <w:szCs w:val="24"/>
        </w:rPr>
        <w:t>ed</w:t>
      </w:r>
      <w:r w:rsidRPr="00CB0466">
        <w:rPr>
          <w:szCs w:val="24"/>
        </w:rPr>
        <w:t xml:space="preserve"> plan that includes:</w:t>
      </w:r>
    </w:p>
    <w:p w14:paraId="5DD9E161" w14:textId="4E3BB329" w:rsidR="00806E55" w:rsidRPr="00077FAC" w:rsidRDefault="00806E55" w:rsidP="00806E55">
      <w:pPr>
        <w:pStyle w:val="ListParagraph"/>
        <w:numPr>
          <w:ilvl w:val="0"/>
          <w:numId w:val="29"/>
        </w:numPr>
        <w:spacing w:after="120"/>
        <w:contextualSpacing/>
        <w:rPr>
          <w:rFonts w:ascii="Times New Roman" w:eastAsia="Times New Roman" w:hAnsi="Times New Roman"/>
          <w:sz w:val="20"/>
          <w:szCs w:val="20"/>
        </w:rPr>
      </w:pPr>
      <w:r w:rsidRPr="00077FAC">
        <w:rPr>
          <w:rFonts w:ascii="Times New Roman" w:eastAsia="Times New Roman" w:hAnsi="Times New Roman"/>
          <w:sz w:val="20"/>
          <w:szCs w:val="20"/>
        </w:rPr>
        <w:t>A comparison of vehicle standards against applicable NASA/industry standards</w:t>
      </w:r>
    </w:p>
    <w:p w14:paraId="0AA82BFF" w14:textId="77777777" w:rsidR="00806E55" w:rsidRPr="00077FAC" w:rsidRDefault="00806E55" w:rsidP="00806E55">
      <w:pPr>
        <w:pStyle w:val="ListParagraph"/>
        <w:numPr>
          <w:ilvl w:val="0"/>
          <w:numId w:val="29"/>
        </w:numPr>
        <w:spacing w:after="120"/>
        <w:contextualSpacing/>
        <w:rPr>
          <w:rFonts w:ascii="Times New Roman" w:eastAsia="Times New Roman" w:hAnsi="Times New Roman"/>
          <w:sz w:val="20"/>
          <w:szCs w:val="20"/>
        </w:rPr>
      </w:pPr>
      <w:r w:rsidRPr="00077FAC">
        <w:rPr>
          <w:rFonts w:ascii="Times New Roman" w:eastAsia="Times New Roman" w:hAnsi="Times New Roman"/>
          <w:sz w:val="20"/>
          <w:szCs w:val="20"/>
        </w:rPr>
        <w:t>Deep Dives into the systems and subsystems of top risk</w:t>
      </w:r>
    </w:p>
    <w:p w14:paraId="5A573AB3" w14:textId="236097C5" w:rsidR="000A7E1F" w:rsidRPr="00884A3B" w:rsidRDefault="00806E55" w:rsidP="00884A3B">
      <w:pPr>
        <w:pStyle w:val="ListParagraph"/>
        <w:numPr>
          <w:ilvl w:val="0"/>
          <w:numId w:val="29"/>
        </w:numPr>
        <w:spacing w:after="120"/>
        <w:contextualSpacing/>
        <w:rPr>
          <w:rFonts w:ascii="Times New Roman" w:eastAsia="Times New Roman" w:hAnsi="Times New Roman"/>
          <w:sz w:val="20"/>
          <w:szCs w:val="20"/>
        </w:rPr>
      </w:pPr>
      <w:r w:rsidRPr="00077FAC">
        <w:rPr>
          <w:rFonts w:ascii="Times New Roman" w:eastAsia="Times New Roman" w:hAnsi="Times New Roman"/>
          <w:sz w:val="20"/>
          <w:szCs w:val="20"/>
        </w:rPr>
        <w:t>A quality and safety assessment</w:t>
      </w:r>
    </w:p>
    <w:p w14:paraId="12904413" w14:textId="3D77FFD8" w:rsidR="00077FAC" w:rsidRPr="00FD49B1" w:rsidRDefault="00077FAC" w:rsidP="0006517B">
      <w:pPr>
        <w:pStyle w:val="Default"/>
        <w:ind w:firstLine="288"/>
        <w:rPr>
          <w:rFonts w:ascii="Times New Roman" w:hAnsi="Times New Roman" w:cs="Times New Roman"/>
          <w:color w:val="auto"/>
          <w:sz w:val="20"/>
          <w:szCs w:val="20"/>
        </w:rPr>
      </w:pPr>
      <w:r w:rsidRPr="00077FAC">
        <w:rPr>
          <w:rFonts w:ascii="Times New Roman" w:hAnsi="Times New Roman" w:cs="Times New Roman"/>
          <w:color w:val="auto"/>
          <w:sz w:val="20"/>
          <w:szCs w:val="20"/>
        </w:rPr>
        <w:t xml:space="preserve">Government regulations are typically described as either being prescriptive or </w:t>
      </w:r>
      <w:proofErr w:type="gramStart"/>
      <w:r w:rsidRPr="00077FAC">
        <w:rPr>
          <w:rFonts w:ascii="Times New Roman" w:hAnsi="Times New Roman" w:cs="Times New Roman"/>
          <w:color w:val="auto"/>
          <w:sz w:val="20"/>
          <w:szCs w:val="20"/>
        </w:rPr>
        <w:t>performance-based</w:t>
      </w:r>
      <w:proofErr w:type="gramEnd"/>
      <w:r w:rsidRPr="00077FAC">
        <w:rPr>
          <w:rFonts w:ascii="Times New Roman" w:hAnsi="Times New Roman" w:cs="Times New Roman"/>
          <w:color w:val="auto"/>
          <w:sz w:val="20"/>
          <w:szCs w:val="20"/>
        </w:rPr>
        <w:t xml:space="preserve">. When the original safety requirements for the Eastern and Western Ranges were crafted by the Air Force during the early days of the space age, most were very prescriptive, specifying precisely how the flight safety systems were to be designed, tested, inspected, and operated. There are </w:t>
      </w:r>
      <w:proofErr w:type="gramStart"/>
      <w:r w:rsidRPr="00077FAC">
        <w:rPr>
          <w:rFonts w:ascii="Times New Roman" w:hAnsi="Times New Roman" w:cs="Times New Roman"/>
          <w:color w:val="auto"/>
          <w:sz w:val="20"/>
          <w:szCs w:val="20"/>
        </w:rPr>
        <w:t>a number of</w:t>
      </w:r>
      <w:proofErr w:type="gramEnd"/>
      <w:r w:rsidRPr="00077FAC">
        <w:rPr>
          <w:rFonts w:ascii="Times New Roman" w:hAnsi="Times New Roman" w:cs="Times New Roman"/>
          <w:color w:val="auto"/>
          <w:sz w:val="20"/>
          <w:szCs w:val="20"/>
        </w:rPr>
        <w:t xml:space="preserve"> advantages to such an approach. For example, the contractor knows exactly what the government expects the company to do, and it is relatively easy to conduct inspections that will determine </w:t>
      </w:r>
      <w:proofErr w:type="gramStart"/>
      <w:r w:rsidRPr="00077FAC">
        <w:rPr>
          <w:rFonts w:ascii="Times New Roman" w:hAnsi="Times New Roman" w:cs="Times New Roman"/>
          <w:color w:val="auto"/>
          <w:sz w:val="20"/>
          <w:szCs w:val="20"/>
        </w:rPr>
        <w:t>whether or not</w:t>
      </w:r>
      <w:proofErr w:type="gramEnd"/>
      <w:r w:rsidRPr="00077FAC">
        <w:rPr>
          <w:rFonts w:ascii="Times New Roman" w:hAnsi="Times New Roman" w:cs="Times New Roman"/>
          <w:color w:val="auto"/>
          <w:sz w:val="20"/>
          <w:szCs w:val="20"/>
        </w:rPr>
        <w:t xml:space="preserve"> the government requirements have been met. The disadvantage of a prescriptive approach is that it becomes very difficult, if not impossible, to incorporate new technologies or innovative approaches, since they are usually not mentioned in the regulations. In recent years, performance-based regulations have become much more popular. With this approach, the government specifies what the end objective is, rather than how to achieve that objective. In general, performance-based requirements are more accommodating of new approaches and new technologies. The downside of this approach is that the contractor may not understand </w:t>
      </w:r>
      <w:r w:rsidRPr="00FD49B1">
        <w:rPr>
          <w:rFonts w:ascii="Times New Roman" w:hAnsi="Times New Roman" w:cs="Times New Roman"/>
          <w:color w:val="auto"/>
          <w:sz w:val="20"/>
          <w:szCs w:val="20"/>
        </w:rPr>
        <w:t>exactly what the government is looking for, and how to demonstrate that its system satisfies the stated</w:t>
      </w:r>
      <w:r w:rsidR="003456A9" w:rsidRPr="00FD49B1">
        <w:rPr>
          <w:rFonts w:ascii="Times New Roman" w:hAnsi="Times New Roman" w:cs="Times New Roman"/>
          <w:color w:val="auto"/>
          <w:sz w:val="20"/>
          <w:szCs w:val="20"/>
        </w:rPr>
        <w:t xml:space="preserve"> goals and objectives</w:t>
      </w:r>
      <w:r w:rsidRPr="00FD49B1">
        <w:rPr>
          <w:rFonts w:ascii="Times New Roman" w:hAnsi="Times New Roman" w:cs="Times New Roman"/>
          <w:color w:val="auto"/>
          <w:sz w:val="20"/>
          <w:szCs w:val="20"/>
        </w:rPr>
        <w:t>. The government, in turn, may have a more difficult time determining whether its requirements have been met.</w:t>
      </w:r>
      <w:r w:rsidR="00D038AB" w:rsidRPr="00FD49B1">
        <w:rPr>
          <w:rFonts w:ascii="Times New Roman" w:hAnsi="Times New Roman" w:cs="Times New Roman"/>
          <w:color w:val="auto"/>
          <w:sz w:val="20"/>
          <w:szCs w:val="20"/>
        </w:rPr>
        <w:t xml:space="preserve"> </w:t>
      </w:r>
      <w:r w:rsidR="00D038AB" w:rsidRPr="00FD49B1">
        <w:rPr>
          <w:rStyle w:val="cf01"/>
          <w:rFonts w:ascii="Times New Roman" w:hAnsi="Times New Roman" w:cs="Times New Roman"/>
          <w:color w:val="auto"/>
          <w:sz w:val="20"/>
          <w:szCs w:val="20"/>
        </w:rPr>
        <w:t>More recently, the commercial sector has developed unique suborbital vehicles for which standardized regulations have not yet been established. The development of the</w:t>
      </w:r>
      <w:r w:rsidR="004302A9">
        <w:rPr>
          <w:rStyle w:val="cf01"/>
          <w:rFonts w:ascii="Times New Roman" w:hAnsi="Times New Roman" w:cs="Times New Roman"/>
          <w:color w:val="auto"/>
          <w:sz w:val="20"/>
          <w:szCs w:val="20"/>
        </w:rPr>
        <w:t>se</w:t>
      </w:r>
      <w:r w:rsidR="00D038AB" w:rsidRPr="00FD49B1">
        <w:rPr>
          <w:rStyle w:val="cf01"/>
          <w:rFonts w:ascii="Times New Roman" w:hAnsi="Times New Roman" w:cs="Times New Roman"/>
          <w:color w:val="auto"/>
          <w:sz w:val="20"/>
          <w:szCs w:val="20"/>
        </w:rPr>
        <w:t xml:space="preserve"> vehicles outpaces the government’s ability to regulate them, and the vehicles are being built without requests from the government but rather for commercial use.</w:t>
      </w:r>
    </w:p>
    <w:p w14:paraId="127DDE55" w14:textId="42F40EB9" w:rsidR="00077FAC" w:rsidRDefault="00077FAC" w:rsidP="0006517B">
      <w:pPr>
        <w:autoSpaceDE w:val="0"/>
        <w:autoSpaceDN w:val="0"/>
        <w:adjustRightInd w:val="0"/>
        <w:ind w:firstLine="288"/>
      </w:pPr>
      <w:r w:rsidRPr="00FD49B1">
        <w:rPr>
          <w:i/>
          <w:iCs/>
        </w:rPr>
        <w:t xml:space="preserve">Safety </w:t>
      </w:r>
      <w:r w:rsidR="00733B81" w:rsidRPr="00FD49B1">
        <w:rPr>
          <w:i/>
          <w:iCs/>
        </w:rPr>
        <w:t>C</w:t>
      </w:r>
      <w:r w:rsidRPr="00FD49B1">
        <w:rPr>
          <w:i/>
          <w:iCs/>
        </w:rPr>
        <w:t>ase methodology</w:t>
      </w:r>
      <w:r w:rsidRPr="00FD49B1">
        <w:t xml:space="preserve"> is a promising approach to implementing performance-based regulations. The </w:t>
      </w:r>
      <w:r w:rsidR="00733B81" w:rsidRPr="00FD49B1">
        <w:t>S</w:t>
      </w:r>
      <w:r w:rsidRPr="00FD49B1">
        <w:t xml:space="preserve">afety </w:t>
      </w:r>
      <w:r w:rsidR="00733B81" w:rsidRPr="00FD49B1">
        <w:t>C</w:t>
      </w:r>
      <w:r w:rsidRPr="00FD49B1">
        <w:t>ase methodology is already being used by the United Kingdom’s Ministry of Defen</w:t>
      </w:r>
      <w:r w:rsidR="00D038AB" w:rsidRPr="00FD49B1">
        <w:t>s</w:t>
      </w:r>
      <w:r w:rsidRPr="00FD49B1">
        <w:t xml:space="preserve">e, which defines a </w:t>
      </w:r>
      <w:r w:rsidR="00733B81" w:rsidRPr="00FD49B1">
        <w:t>S</w:t>
      </w:r>
      <w:r w:rsidRPr="00FD49B1">
        <w:t xml:space="preserve">afety </w:t>
      </w:r>
      <w:r w:rsidR="00733B81" w:rsidRPr="00FD49B1">
        <w:t>C</w:t>
      </w:r>
      <w:r w:rsidRPr="00FD49B1">
        <w:t xml:space="preserve">ase </w:t>
      </w:r>
      <w:r w:rsidRPr="00077FAC">
        <w:t xml:space="preserve">as “a structured argument, supported by a body of evidence that provides a compelling, comprehensible, and valid case that a system is safe for a given application in a given </w:t>
      </w:r>
      <w:proofErr w:type="gramStart"/>
      <w:r w:rsidRPr="00077FAC">
        <w:t>environment</w:t>
      </w:r>
      <w:r w:rsidR="00393880">
        <w:t>”[</w:t>
      </w:r>
      <w:proofErr w:type="gramEnd"/>
      <w:r w:rsidR="00393880">
        <w:t>1].</w:t>
      </w:r>
      <w:r>
        <w:t xml:space="preserve"> </w:t>
      </w:r>
      <w:r w:rsidRPr="00077FAC">
        <w:t xml:space="preserve">To implement a </w:t>
      </w:r>
      <w:r w:rsidR="00733B81">
        <w:t>S</w:t>
      </w:r>
      <w:r w:rsidRPr="00077FAC">
        <w:t xml:space="preserve">afety </w:t>
      </w:r>
      <w:r w:rsidR="00733B81">
        <w:t>C</w:t>
      </w:r>
      <w:r w:rsidRPr="00077FAC">
        <w:t>ase approach, NASA allow</w:t>
      </w:r>
      <w:r w:rsidR="00572EC8">
        <w:t>s</w:t>
      </w:r>
      <w:r w:rsidRPr="00077FAC">
        <w:t xml:space="preserve"> </w:t>
      </w:r>
      <w:r w:rsidR="00AF3639">
        <w:t>flight providers</w:t>
      </w:r>
      <w:r w:rsidRPr="00077FAC">
        <w:t xml:space="preserve"> to</w:t>
      </w:r>
      <w:r w:rsidR="00572EC8">
        <w:t xml:space="preserve"> </w:t>
      </w:r>
      <w:r w:rsidRPr="00077FAC">
        <w:t xml:space="preserve">follow </w:t>
      </w:r>
      <w:r w:rsidR="009F0A33">
        <w:t>this</w:t>
      </w:r>
      <w:r w:rsidRPr="00077FAC">
        <w:t xml:space="preserve"> alternat</w:t>
      </w:r>
      <w:r w:rsidR="004302A9">
        <w:t>ive</w:t>
      </w:r>
      <w:r w:rsidRPr="00077FAC">
        <w:t xml:space="preserve"> process, which would fully implement a performance-based regulatory philosophy, along with the requirement for the launch operator to accept the responsibility for operating safely and the necessity to advocate for safety. The process</w:t>
      </w:r>
      <w:r w:rsidR="00880730">
        <w:t xml:space="preserve"> </w:t>
      </w:r>
      <w:r w:rsidRPr="00077FAC">
        <w:t>consist</w:t>
      </w:r>
      <w:r w:rsidR="00880730">
        <w:t>s</w:t>
      </w:r>
      <w:r w:rsidRPr="00077FAC">
        <w:t xml:space="preserve"> of a voluntary </w:t>
      </w:r>
      <w:r w:rsidR="00572EC8">
        <w:t>review</w:t>
      </w:r>
      <w:r w:rsidRPr="00077FAC">
        <w:t xml:space="preserve"> of the applicant’s safety and risk management program, followed by the development of a </w:t>
      </w:r>
      <w:r w:rsidR="00733B81">
        <w:t>S</w:t>
      </w:r>
      <w:r w:rsidRPr="00077FAC">
        <w:t xml:space="preserve">afety </w:t>
      </w:r>
      <w:r w:rsidR="00733B81">
        <w:t>C</w:t>
      </w:r>
      <w:r w:rsidRPr="00077FAC">
        <w:t xml:space="preserve">ase in which the applicant would present evidence, in the form of engineering analysis and test data, showing how </w:t>
      </w:r>
      <w:r w:rsidR="00880730">
        <w:t>their system was internally certified</w:t>
      </w:r>
      <w:r w:rsidR="00393880">
        <w:t xml:space="preserve"> </w:t>
      </w:r>
      <w:r w:rsidRPr="00077FAC">
        <w:t>[</w:t>
      </w:r>
      <w:r>
        <w:t>2</w:t>
      </w:r>
      <w:r w:rsidRPr="00077FAC">
        <w:t>]</w:t>
      </w:r>
      <w:r w:rsidR="00393880">
        <w:t>.</w:t>
      </w:r>
    </w:p>
    <w:p w14:paraId="4D5C358B" w14:textId="7FB3D8FB" w:rsidR="00F565BA" w:rsidRPr="00F565BA" w:rsidRDefault="00806E55" w:rsidP="007B28D2">
      <w:pPr>
        <w:keepNext/>
        <w:numPr>
          <w:ilvl w:val="0"/>
          <w:numId w:val="2"/>
        </w:numPr>
        <w:tabs>
          <w:tab w:val="clear" w:pos="360"/>
          <w:tab w:val="num" w:pos="180"/>
        </w:tabs>
        <w:spacing w:before="240" w:after="60"/>
        <w:ind w:left="187" w:hanging="187"/>
        <w:jc w:val="center"/>
        <w:outlineLvl w:val="0"/>
        <w:rPr>
          <w:b/>
          <w:kern w:val="32"/>
          <w:sz w:val="22"/>
        </w:rPr>
      </w:pPr>
      <w:r>
        <w:rPr>
          <w:b/>
          <w:kern w:val="32"/>
          <w:sz w:val="22"/>
        </w:rPr>
        <w:t>Deep Dives</w:t>
      </w:r>
    </w:p>
    <w:p w14:paraId="0EE9AE2D" w14:textId="572D6CF3" w:rsidR="00AF4389" w:rsidRDefault="00806E55" w:rsidP="0006517B">
      <w:pPr>
        <w:ind w:firstLine="288"/>
        <w:rPr>
          <w:szCs w:val="24"/>
        </w:rPr>
      </w:pPr>
      <w:r w:rsidRPr="00CB0466">
        <w:rPr>
          <w:szCs w:val="24"/>
        </w:rPr>
        <w:t xml:space="preserve">The </w:t>
      </w:r>
      <w:proofErr w:type="spellStart"/>
      <w:r w:rsidR="005B01B4">
        <w:rPr>
          <w:szCs w:val="24"/>
        </w:rPr>
        <w:t>SubC</w:t>
      </w:r>
      <w:proofErr w:type="spellEnd"/>
      <w:r w:rsidR="005B01B4">
        <w:rPr>
          <w:szCs w:val="24"/>
        </w:rPr>
        <w:t xml:space="preserve"> </w:t>
      </w:r>
      <w:r>
        <w:rPr>
          <w:szCs w:val="24"/>
        </w:rPr>
        <w:t>D</w:t>
      </w:r>
      <w:r w:rsidRPr="00CB0466">
        <w:rPr>
          <w:szCs w:val="24"/>
        </w:rPr>
        <w:t xml:space="preserve">eep </w:t>
      </w:r>
      <w:r>
        <w:rPr>
          <w:szCs w:val="24"/>
        </w:rPr>
        <w:t>D</w:t>
      </w:r>
      <w:r w:rsidRPr="00CB0466">
        <w:rPr>
          <w:szCs w:val="24"/>
        </w:rPr>
        <w:t>ives and quality and safety assessment are conducted by a NASA team of disciplinary specialists to assess the functional area’s readiness for flight, categorization of hazards, likelihood of mission success, and flight/ground/range safety procedures.</w:t>
      </w:r>
      <w:r w:rsidR="008C4041">
        <w:rPr>
          <w:szCs w:val="24"/>
        </w:rPr>
        <w:t xml:space="preserve"> </w:t>
      </w:r>
      <w:r w:rsidR="008C4041">
        <w:t xml:space="preserve">The </w:t>
      </w:r>
      <w:proofErr w:type="spellStart"/>
      <w:r w:rsidR="008C4041">
        <w:t>SubC</w:t>
      </w:r>
      <w:proofErr w:type="spellEnd"/>
      <w:r w:rsidR="008C4041">
        <w:t xml:space="preserve"> team has been collaborating with existing suborbital launch </w:t>
      </w:r>
      <w:r w:rsidR="008C4041">
        <w:lastRenderedPageBreak/>
        <w:t xml:space="preserve">providers for the past </w:t>
      </w:r>
      <w:r w:rsidR="004A09D5">
        <w:t>two</w:t>
      </w:r>
      <w:r w:rsidR="008C4041">
        <w:t xml:space="preserve"> years. </w:t>
      </w:r>
      <w:r>
        <w:rPr>
          <w:szCs w:val="24"/>
        </w:rPr>
        <w:t>Deep Dives</w:t>
      </w:r>
      <w:r w:rsidRPr="005E1755">
        <w:rPr>
          <w:szCs w:val="24"/>
        </w:rPr>
        <w:t xml:space="preserve"> utilize a multi-faceted engagement format to interact in-person with the private launch providers, performed in months rather than years using a small team of appropriate NASA subject matter experts</w:t>
      </w:r>
      <w:r w:rsidR="004302A9">
        <w:rPr>
          <w:szCs w:val="24"/>
        </w:rPr>
        <w:t xml:space="preserve"> (SMEs).</w:t>
      </w:r>
    </w:p>
    <w:p w14:paraId="1DBA5838" w14:textId="46063E12" w:rsidR="005D2E78" w:rsidRDefault="00806E55" w:rsidP="0006517B">
      <w:pPr>
        <w:ind w:firstLine="288"/>
        <w:rPr>
          <w:szCs w:val="24"/>
        </w:rPr>
      </w:pPr>
      <w:r w:rsidRPr="005E1755">
        <w:rPr>
          <w:szCs w:val="24"/>
        </w:rPr>
        <w:t xml:space="preserve">The </w:t>
      </w:r>
      <w:proofErr w:type="spellStart"/>
      <w:r w:rsidRPr="005E1755">
        <w:rPr>
          <w:szCs w:val="24"/>
        </w:rPr>
        <w:t>SubC</w:t>
      </w:r>
      <w:proofErr w:type="spellEnd"/>
      <w:r w:rsidRPr="005E1755">
        <w:rPr>
          <w:szCs w:val="24"/>
        </w:rPr>
        <w:t xml:space="preserve"> </w:t>
      </w:r>
      <w:r w:rsidR="002D4518">
        <w:rPr>
          <w:szCs w:val="24"/>
        </w:rPr>
        <w:t>office</w:t>
      </w:r>
      <w:r w:rsidRPr="005E1755">
        <w:rPr>
          <w:szCs w:val="24"/>
        </w:rPr>
        <w:t xml:space="preserve"> is employing the </w:t>
      </w:r>
      <w:r w:rsidR="00733B81">
        <w:rPr>
          <w:szCs w:val="24"/>
        </w:rPr>
        <w:t>S</w:t>
      </w:r>
      <w:r w:rsidRPr="005E1755">
        <w:rPr>
          <w:szCs w:val="24"/>
        </w:rPr>
        <w:t xml:space="preserve">afety </w:t>
      </w:r>
      <w:r w:rsidR="00733B81">
        <w:rPr>
          <w:szCs w:val="24"/>
        </w:rPr>
        <w:t>C</w:t>
      </w:r>
      <w:r w:rsidRPr="005E1755">
        <w:rPr>
          <w:szCs w:val="24"/>
        </w:rPr>
        <w:t>ase methodology because each provider has already designed, built, tested, and is flying their own vehicl</w:t>
      </w:r>
      <w:r>
        <w:rPr>
          <w:szCs w:val="24"/>
        </w:rPr>
        <w:t xml:space="preserve">e – </w:t>
      </w:r>
      <w:r w:rsidRPr="005E1755">
        <w:rPr>
          <w:szCs w:val="24"/>
        </w:rPr>
        <w:t>all of which was done independently of NASA.</w:t>
      </w:r>
      <w:r w:rsidR="00083911">
        <w:rPr>
          <w:szCs w:val="24"/>
        </w:rPr>
        <w:t xml:space="preserve"> </w:t>
      </w:r>
      <w:r w:rsidR="00BB10D8">
        <w:rPr>
          <w:szCs w:val="24"/>
        </w:rPr>
        <w:t>Us</w:t>
      </w:r>
      <w:r w:rsidR="009F0A33">
        <w:rPr>
          <w:szCs w:val="24"/>
        </w:rPr>
        <w:t>e of</w:t>
      </w:r>
      <w:r w:rsidR="00612562">
        <w:rPr>
          <w:szCs w:val="24"/>
        </w:rPr>
        <w:t xml:space="preserve"> the </w:t>
      </w:r>
      <w:r w:rsidR="00733B81">
        <w:rPr>
          <w:szCs w:val="24"/>
        </w:rPr>
        <w:t>S</w:t>
      </w:r>
      <w:r w:rsidRPr="005E1755">
        <w:rPr>
          <w:szCs w:val="24"/>
        </w:rPr>
        <w:t xml:space="preserve">afety </w:t>
      </w:r>
      <w:r w:rsidR="00733B81">
        <w:rPr>
          <w:szCs w:val="24"/>
        </w:rPr>
        <w:t>C</w:t>
      </w:r>
      <w:r w:rsidRPr="005E1755">
        <w:rPr>
          <w:szCs w:val="24"/>
        </w:rPr>
        <w:t xml:space="preserve">ase approach </w:t>
      </w:r>
      <w:r w:rsidR="00612562">
        <w:rPr>
          <w:szCs w:val="24"/>
        </w:rPr>
        <w:t>for human spaceflight is</w:t>
      </w:r>
      <w:r w:rsidRPr="005E1755">
        <w:rPr>
          <w:szCs w:val="24"/>
        </w:rPr>
        <w:t xml:space="preserve"> currently being communicated through NASA technical, program, and agency level forums. </w:t>
      </w:r>
    </w:p>
    <w:p w14:paraId="31247385" w14:textId="3F277F0A" w:rsidR="005A37FB" w:rsidRDefault="005D2E78" w:rsidP="00083911">
      <w:pPr>
        <w:ind w:firstLine="288"/>
        <w:rPr>
          <w:szCs w:val="24"/>
        </w:rPr>
      </w:pPr>
      <w:r>
        <w:rPr>
          <w:szCs w:val="24"/>
        </w:rPr>
        <w:t xml:space="preserve">The Safety </w:t>
      </w:r>
      <w:r w:rsidR="00733B81">
        <w:rPr>
          <w:szCs w:val="24"/>
        </w:rPr>
        <w:t>C</w:t>
      </w:r>
      <w:r>
        <w:rPr>
          <w:szCs w:val="24"/>
        </w:rPr>
        <w:t xml:space="preserve">ase process is based on the launch provider demonstrating the safety of their systems and assumes that each provider has their own Human Certification Plan. The focus of </w:t>
      </w:r>
      <w:proofErr w:type="spellStart"/>
      <w:r>
        <w:rPr>
          <w:szCs w:val="24"/>
        </w:rPr>
        <w:t>SubC</w:t>
      </w:r>
      <w:proofErr w:type="spellEnd"/>
      <w:r>
        <w:rPr>
          <w:szCs w:val="24"/>
        </w:rPr>
        <w:t xml:space="preserve"> is to understand how each provider complie</w:t>
      </w:r>
      <w:r w:rsidR="009F0A33">
        <w:rPr>
          <w:szCs w:val="24"/>
        </w:rPr>
        <w:t>s</w:t>
      </w:r>
      <w:r>
        <w:rPr>
          <w:szCs w:val="24"/>
        </w:rPr>
        <w:t xml:space="preserve"> with their plans through the engineering deep dives and a review of safety and quality </w:t>
      </w:r>
      <w:r w:rsidR="006E1DBA">
        <w:rPr>
          <w:szCs w:val="24"/>
        </w:rPr>
        <w:t>processes.</w:t>
      </w:r>
      <w:r w:rsidR="002F7D16">
        <w:rPr>
          <w:szCs w:val="24"/>
        </w:rPr>
        <w:t xml:space="preserve"> </w:t>
      </w:r>
      <w:r w:rsidR="00733B81">
        <w:rPr>
          <w:szCs w:val="24"/>
        </w:rPr>
        <w:t>T</w:t>
      </w:r>
      <w:r w:rsidR="006E1DBA">
        <w:rPr>
          <w:szCs w:val="24"/>
        </w:rPr>
        <w:t xml:space="preserve">he </w:t>
      </w:r>
      <w:r w:rsidR="00733B81">
        <w:rPr>
          <w:szCs w:val="24"/>
        </w:rPr>
        <w:t>S</w:t>
      </w:r>
      <w:r w:rsidR="006E1DBA">
        <w:rPr>
          <w:szCs w:val="24"/>
        </w:rPr>
        <w:t xml:space="preserve">afety </w:t>
      </w:r>
      <w:r w:rsidR="00733B81">
        <w:rPr>
          <w:szCs w:val="24"/>
        </w:rPr>
        <w:t>C</w:t>
      </w:r>
      <w:r w:rsidR="006E1DBA">
        <w:rPr>
          <w:szCs w:val="24"/>
        </w:rPr>
        <w:t>ase goals and objectives are</w:t>
      </w:r>
      <w:r w:rsidR="00733B81">
        <w:rPr>
          <w:szCs w:val="24"/>
        </w:rPr>
        <w:t xml:space="preserve"> summarized in Table 1.</w:t>
      </w:r>
    </w:p>
    <w:p w14:paraId="3CE07726" w14:textId="009AA5F8" w:rsidR="004C5F48" w:rsidRPr="00733B81" w:rsidRDefault="00733B81" w:rsidP="00733B81">
      <w:pPr>
        <w:spacing w:before="120" w:after="120"/>
        <w:jc w:val="center"/>
        <w:rPr>
          <w:b/>
        </w:rPr>
      </w:pPr>
      <w:r>
        <w:rPr>
          <w:b/>
        </w:rPr>
        <w:t>Table</w:t>
      </w:r>
      <w:r w:rsidRPr="00F565BA">
        <w:rPr>
          <w:b/>
        </w:rPr>
        <w:t xml:space="preserve"> </w:t>
      </w:r>
      <w:r w:rsidRPr="00F565BA">
        <w:rPr>
          <w:b/>
        </w:rPr>
        <w:fldChar w:fldCharType="begin"/>
      </w:r>
      <w:r w:rsidRPr="00F565BA">
        <w:rPr>
          <w:b/>
        </w:rPr>
        <w:instrText xml:space="preserve"> SEQ Fig. \* ARABIC </w:instrText>
      </w:r>
      <w:r w:rsidRPr="00F565BA">
        <w:rPr>
          <w:b/>
        </w:rPr>
        <w:fldChar w:fldCharType="separate"/>
      </w:r>
      <w:r>
        <w:rPr>
          <w:b/>
          <w:noProof/>
        </w:rPr>
        <w:t>1</w:t>
      </w:r>
      <w:r w:rsidRPr="00F565BA">
        <w:rPr>
          <w:b/>
          <w:noProof/>
        </w:rPr>
        <w:fldChar w:fldCharType="end"/>
      </w:r>
      <w:r w:rsidR="00400C2B">
        <w:rPr>
          <w:b/>
        </w:rPr>
        <w:t xml:space="preserve">   </w:t>
      </w:r>
      <w:r>
        <w:rPr>
          <w:b/>
        </w:rPr>
        <w:t>Safety Case Goals and Objectives</w:t>
      </w:r>
    </w:p>
    <w:tbl>
      <w:tblPr>
        <w:tblStyle w:val="TableGrid"/>
        <w:tblW w:w="0" w:type="auto"/>
        <w:tblLook w:val="04A0" w:firstRow="1" w:lastRow="0" w:firstColumn="1" w:lastColumn="0" w:noHBand="0" w:noVBand="1"/>
      </w:tblPr>
      <w:tblGrid>
        <w:gridCol w:w="4675"/>
        <w:gridCol w:w="4675"/>
      </w:tblGrid>
      <w:tr w:rsidR="006E1DBA" w14:paraId="0BCA55FD" w14:textId="77777777" w:rsidTr="006E1DBA">
        <w:tc>
          <w:tcPr>
            <w:tcW w:w="4675" w:type="dxa"/>
          </w:tcPr>
          <w:p w14:paraId="003E763E" w14:textId="4EFB18EF" w:rsidR="006E1DBA" w:rsidRPr="00E815E4" w:rsidRDefault="006E1DBA" w:rsidP="004C5F48">
            <w:pPr>
              <w:spacing w:after="120"/>
              <w:jc w:val="center"/>
              <w:rPr>
                <w:b/>
                <w:bCs/>
                <w:szCs w:val="24"/>
              </w:rPr>
            </w:pPr>
            <w:r w:rsidRPr="00E815E4">
              <w:rPr>
                <w:b/>
                <w:bCs/>
                <w:szCs w:val="24"/>
              </w:rPr>
              <w:t>Goal</w:t>
            </w:r>
          </w:p>
        </w:tc>
        <w:tc>
          <w:tcPr>
            <w:tcW w:w="4675" w:type="dxa"/>
          </w:tcPr>
          <w:p w14:paraId="774ACDE9" w14:textId="1B8B15BD" w:rsidR="006E1DBA" w:rsidRPr="00E815E4" w:rsidRDefault="006E1DBA" w:rsidP="004C5F48">
            <w:pPr>
              <w:spacing w:after="120"/>
              <w:jc w:val="center"/>
              <w:rPr>
                <w:b/>
                <w:bCs/>
                <w:szCs w:val="24"/>
              </w:rPr>
            </w:pPr>
            <w:r w:rsidRPr="00E815E4">
              <w:rPr>
                <w:b/>
                <w:bCs/>
                <w:szCs w:val="24"/>
              </w:rPr>
              <w:t>Objective</w:t>
            </w:r>
          </w:p>
        </w:tc>
      </w:tr>
      <w:tr w:rsidR="006E1DBA" w14:paraId="79A72C55" w14:textId="77777777" w:rsidTr="006E1DBA">
        <w:tc>
          <w:tcPr>
            <w:tcW w:w="4675" w:type="dxa"/>
          </w:tcPr>
          <w:p w14:paraId="6C5193D0" w14:textId="2703C9D9" w:rsidR="006E1DBA" w:rsidRDefault="006E1DBA" w:rsidP="000F6186">
            <w:pPr>
              <w:spacing w:after="120"/>
              <w:jc w:val="left"/>
              <w:rPr>
                <w:szCs w:val="24"/>
              </w:rPr>
            </w:pPr>
            <w:r>
              <w:rPr>
                <w:szCs w:val="24"/>
              </w:rPr>
              <w:t>Design is Capable of Handling Mission Extremes and Contingencies</w:t>
            </w:r>
          </w:p>
        </w:tc>
        <w:tc>
          <w:tcPr>
            <w:tcW w:w="4675" w:type="dxa"/>
          </w:tcPr>
          <w:p w14:paraId="735B9ADC" w14:textId="77777777" w:rsidR="000F6186" w:rsidRPr="000F6186" w:rsidRDefault="006E1DBA" w:rsidP="000F6186">
            <w:pPr>
              <w:pStyle w:val="ListParagraph"/>
              <w:numPr>
                <w:ilvl w:val="0"/>
                <w:numId w:val="36"/>
              </w:numPr>
              <w:spacing w:after="120"/>
              <w:ind w:left="253" w:hanging="253"/>
              <w:rPr>
                <w:rFonts w:ascii="Times New Roman" w:hAnsi="Times New Roman"/>
                <w:sz w:val="20"/>
                <w:szCs w:val="20"/>
              </w:rPr>
            </w:pPr>
            <w:r w:rsidRPr="000F6186">
              <w:rPr>
                <w:rFonts w:ascii="Times New Roman" w:hAnsi="Times New Roman"/>
                <w:sz w:val="20"/>
                <w:szCs w:val="20"/>
              </w:rPr>
              <w:t>Understand Mission, Environment, and Vehicle Operations and the role of the Crew</w:t>
            </w:r>
            <w:r w:rsidR="00E815E4" w:rsidRPr="000F6186">
              <w:rPr>
                <w:rFonts w:ascii="Times New Roman" w:hAnsi="Times New Roman"/>
                <w:sz w:val="20"/>
                <w:szCs w:val="20"/>
              </w:rPr>
              <w:t xml:space="preserve"> and </w:t>
            </w:r>
            <w:r w:rsidRPr="000F6186">
              <w:rPr>
                <w:rFonts w:ascii="Times New Roman" w:hAnsi="Times New Roman"/>
                <w:sz w:val="20"/>
                <w:szCs w:val="20"/>
              </w:rPr>
              <w:t>Ground</w:t>
            </w:r>
            <w:r w:rsidR="00E815E4" w:rsidRPr="000F6186">
              <w:rPr>
                <w:rFonts w:ascii="Times New Roman" w:hAnsi="Times New Roman"/>
                <w:sz w:val="20"/>
                <w:szCs w:val="20"/>
              </w:rPr>
              <w:t xml:space="preserve"> Personnel</w:t>
            </w:r>
          </w:p>
          <w:p w14:paraId="1597484F" w14:textId="77777777" w:rsidR="000F6186" w:rsidRPr="000F6186" w:rsidRDefault="006E1DBA" w:rsidP="000F6186">
            <w:pPr>
              <w:pStyle w:val="ListParagraph"/>
              <w:numPr>
                <w:ilvl w:val="0"/>
                <w:numId w:val="36"/>
              </w:numPr>
              <w:spacing w:after="120"/>
              <w:ind w:left="253" w:hanging="253"/>
              <w:rPr>
                <w:rFonts w:ascii="Times New Roman" w:hAnsi="Times New Roman"/>
                <w:sz w:val="20"/>
                <w:szCs w:val="20"/>
              </w:rPr>
            </w:pPr>
            <w:r w:rsidRPr="000F6186">
              <w:rPr>
                <w:rFonts w:ascii="Times New Roman" w:hAnsi="Times New Roman"/>
                <w:sz w:val="20"/>
                <w:szCs w:val="20"/>
              </w:rPr>
              <w:t xml:space="preserve">Understand Interfaces </w:t>
            </w:r>
            <w:r w:rsidR="00E815E4" w:rsidRPr="000F6186">
              <w:rPr>
                <w:rFonts w:ascii="Times New Roman" w:hAnsi="Times New Roman"/>
                <w:sz w:val="20"/>
                <w:szCs w:val="20"/>
              </w:rPr>
              <w:t>with</w:t>
            </w:r>
            <w:r w:rsidRPr="000F6186">
              <w:rPr>
                <w:rFonts w:ascii="Times New Roman" w:hAnsi="Times New Roman"/>
                <w:sz w:val="20"/>
                <w:szCs w:val="20"/>
              </w:rPr>
              <w:t xml:space="preserve"> External Systems</w:t>
            </w:r>
          </w:p>
          <w:p w14:paraId="755B85CD" w14:textId="77777777" w:rsidR="000F6186" w:rsidRPr="000F6186" w:rsidRDefault="006E1DBA" w:rsidP="000F6186">
            <w:pPr>
              <w:pStyle w:val="ListParagraph"/>
              <w:numPr>
                <w:ilvl w:val="0"/>
                <w:numId w:val="36"/>
              </w:numPr>
              <w:spacing w:after="120"/>
              <w:ind w:left="253" w:hanging="253"/>
              <w:rPr>
                <w:rFonts w:ascii="Times New Roman" w:hAnsi="Times New Roman"/>
                <w:sz w:val="20"/>
                <w:szCs w:val="20"/>
              </w:rPr>
            </w:pPr>
            <w:r w:rsidRPr="000F6186">
              <w:rPr>
                <w:rFonts w:ascii="Times New Roman" w:hAnsi="Times New Roman"/>
                <w:sz w:val="20"/>
                <w:szCs w:val="20"/>
              </w:rPr>
              <w:t>Demonstrate Understanding of Design Standards</w:t>
            </w:r>
          </w:p>
          <w:p w14:paraId="027CD52E" w14:textId="5CC1798E" w:rsidR="000F6186" w:rsidRPr="000F6186" w:rsidRDefault="000F6186" w:rsidP="000F6186">
            <w:pPr>
              <w:pStyle w:val="ListParagraph"/>
              <w:numPr>
                <w:ilvl w:val="0"/>
                <w:numId w:val="36"/>
              </w:numPr>
              <w:spacing w:after="120"/>
              <w:ind w:left="253" w:hanging="253"/>
              <w:rPr>
                <w:rFonts w:ascii="Times New Roman" w:hAnsi="Times New Roman"/>
                <w:sz w:val="20"/>
                <w:szCs w:val="20"/>
              </w:rPr>
            </w:pPr>
            <w:r w:rsidRPr="000F6186">
              <w:rPr>
                <w:rFonts w:ascii="Times New Roman" w:hAnsi="Times New Roman"/>
                <w:sz w:val="20"/>
                <w:szCs w:val="20"/>
              </w:rPr>
              <w:t xml:space="preserve">Demonstrate Understanding </w:t>
            </w:r>
            <w:r>
              <w:rPr>
                <w:rFonts w:ascii="Times New Roman" w:hAnsi="Times New Roman"/>
                <w:sz w:val="20"/>
                <w:szCs w:val="20"/>
              </w:rPr>
              <w:t xml:space="preserve">of </w:t>
            </w:r>
            <w:r w:rsidR="006E1DBA" w:rsidRPr="000F6186">
              <w:rPr>
                <w:rFonts w:ascii="Times New Roman" w:hAnsi="Times New Roman"/>
                <w:sz w:val="20"/>
                <w:szCs w:val="20"/>
              </w:rPr>
              <w:t xml:space="preserve">How Systems are </w:t>
            </w:r>
            <w:proofErr w:type="gramStart"/>
            <w:r w:rsidR="006E1DBA" w:rsidRPr="000F6186">
              <w:rPr>
                <w:rFonts w:ascii="Times New Roman" w:hAnsi="Times New Roman"/>
                <w:sz w:val="20"/>
                <w:szCs w:val="20"/>
              </w:rPr>
              <w:t>Qualified</w:t>
            </w:r>
            <w:proofErr w:type="gramEnd"/>
          </w:p>
          <w:p w14:paraId="10A088A7" w14:textId="0A6941F2" w:rsidR="006E1DBA" w:rsidRPr="000F6186" w:rsidRDefault="000F6186" w:rsidP="000F6186">
            <w:pPr>
              <w:pStyle w:val="ListParagraph"/>
              <w:numPr>
                <w:ilvl w:val="0"/>
                <w:numId w:val="36"/>
              </w:numPr>
              <w:spacing w:after="120"/>
              <w:ind w:left="253" w:hanging="253"/>
              <w:rPr>
                <w:rFonts w:ascii="Times New Roman" w:hAnsi="Times New Roman"/>
                <w:sz w:val="20"/>
                <w:szCs w:val="20"/>
              </w:rPr>
            </w:pPr>
            <w:r w:rsidRPr="000F6186">
              <w:rPr>
                <w:rFonts w:ascii="Times New Roman" w:hAnsi="Times New Roman"/>
                <w:sz w:val="20"/>
                <w:szCs w:val="20"/>
              </w:rPr>
              <w:t xml:space="preserve">Demonstrate Understanding </w:t>
            </w:r>
            <w:r>
              <w:rPr>
                <w:rFonts w:ascii="Times New Roman" w:hAnsi="Times New Roman"/>
                <w:sz w:val="20"/>
                <w:szCs w:val="20"/>
              </w:rPr>
              <w:t xml:space="preserve">of </w:t>
            </w:r>
            <w:r w:rsidR="006E1DBA" w:rsidRPr="000F6186">
              <w:rPr>
                <w:rFonts w:ascii="Times New Roman" w:hAnsi="Times New Roman"/>
                <w:sz w:val="20"/>
                <w:szCs w:val="20"/>
              </w:rPr>
              <w:t>How Hazards are Controlled</w:t>
            </w:r>
          </w:p>
        </w:tc>
      </w:tr>
      <w:tr w:rsidR="006E1DBA" w14:paraId="6A2D29A3" w14:textId="77777777" w:rsidTr="006E1DBA">
        <w:tc>
          <w:tcPr>
            <w:tcW w:w="4675" w:type="dxa"/>
          </w:tcPr>
          <w:p w14:paraId="1D5CA587" w14:textId="0AD16C2F" w:rsidR="006E1DBA" w:rsidRDefault="00272B49" w:rsidP="000F6186">
            <w:pPr>
              <w:spacing w:after="120"/>
              <w:jc w:val="left"/>
              <w:rPr>
                <w:szCs w:val="24"/>
              </w:rPr>
            </w:pPr>
            <w:r>
              <w:rPr>
                <w:szCs w:val="24"/>
              </w:rPr>
              <w:t>Manufacturing, Integration, Test and Checkout are Sufficient to Ensure Build Reliability</w:t>
            </w:r>
          </w:p>
        </w:tc>
        <w:tc>
          <w:tcPr>
            <w:tcW w:w="4675" w:type="dxa"/>
          </w:tcPr>
          <w:p w14:paraId="00B88EF3" w14:textId="77777777" w:rsidR="000F6186" w:rsidRPr="004C5F48" w:rsidRDefault="00272B49" w:rsidP="004C5F48">
            <w:pPr>
              <w:pStyle w:val="ListParagraph"/>
              <w:numPr>
                <w:ilvl w:val="0"/>
                <w:numId w:val="37"/>
              </w:numPr>
              <w:spacing w:after="120"/>
              <w:ind w:left="253" w:hanging="270"/>
              <w:rPr>
                <w:rFonts w:ascii="Times New Roman" w:hAnsi="Times New Roman"/>
                <w:sz w:val="20"/>
                <w:szCs w:val="20"/>
              </w:rPr>
            </w:pPr>
            <w:r w:rsidRPr="004C5F48">
              <w:rPr>
                <w:rFonts w:ascii="Times New Roman" w:hAnsi="Times New Roman"/>
                <w:sz w:val="20"/>
                <w:szCs w:val="20"/>
              </w:rPr>
              <w:t>Demonstrate Understanding and Execution of Company Standards</w:t>
            </w:r>
          </w:p>
          <w:p w14:paraId="666D02C8" w14:textId="77777777" w:rsidR="000F6186" w:rsidRPr="004C5F48" w:rsidRDefault="00043E9C" w:rsidP="004C5F48">
            <w:pPr>
              <w:pStyle w:val="ListParagraph"/>
              <w:numPr>
                <w:ilvl w:val="0"/>
                <w:numId w:val="37"/>
              </w:numPr>
              <w:spacing w:after="120"/>
              <w:ind w:left="253" w:hanging="270"/>
              <w:rPr>
                <w:rFonts w:ascii="Times New Roman" w:hAnsi="Times New Roman"/>
                <w:sz w:val="20"/>
                <w:szCs w:val="20"/>
              </w:rPr>
            </w:pPr>
            <w:r w:rsidRPr="004C5F48">
              <w:rPr>
                <w:rFonts w:ascii="Times New Roman" w:hAnsi="Times New Roman"/>
                <w:sz w:val="20"/>
                <w:szCs w:val="20"/>
              </w:rPr>
              <w:t>Evaluate Vehicle Mission Readiness Process</w:t>
            </w:r>
          </w:p>
          <w:p w14:paraId="0646EE35" w14:textId="676E3BA7" w:rsidR="00043E9C" w:rsidRPr="004C5F48" w:rsidRDefault="00043E9C" w:rsidP="004C5F48">
            <w:pPr>
              <w:pStyle w:val="ListParagraph"/>
              <w:numPr>
                <w:ilvl w:val="0"/>
                <w:numId w:val="37"/>
              </w:numPr>
              <w:spacing w:after="120"/>
              <w:ind w:left="253" w:hanging="270"/>
              <w:rPr>
                <w:rFonts w:ascii="Times New Roman" w:hAnsi="Times New Roman"/>
                <w:sz w:val="20"/>
                <w:szCs w:val="20"/>
              </w:rPr>
            </w:pPr>
            <w:r w:rsidRPr="004C5F48">
              <w:rPr>
                <w:rFonts w:ascii="Times New Roman" w:hAnsi="Times New Roman"/>
                <w:sz w:val="20"/>
                <w:szCs w:val="20"/>
              </w:rPr>
              <w:t xml:space="preserve">Demonstrate Corporate Processes for Managing the Build, Maintenance, Refurbishment, </w:t>
            </w:r>
            <w:r w:rsidR="000F6186" w:rsidRPr="004C5F48">
              <w:rPr>
                <w:rFonts w:ascii="Times New Roman" w:hAnsi="Times New Roman"/>
                <w:sz w:val="20"/>
                <w:szCs w:val="20"/>
              </w:rPr>
              <w:t xml:space="preserve">and </w:t>
            </w:r>
            <w:r w:rsidRPr="004C5F48">
              <w:rPr>
                <w:rFonts w:ascii="Times New Roman" w:hAnsi="Times New Roman"/>
                <w:sz w:val="20"/>
                <w:szCs w:val="20"/>
              </w:rPr>
              <w:t>Ground and Flight Crew Safety</w:t>
            </w:r>
          </w:p>
        </w:tc>
      </w:tr>
      <w:tr w:rsidR="006E1DBA" w14:paraId="0264319B" w14:textId="77777777" w:rsidTr="006E1DBA">
        <w:tc>
          <w:tcPr>
            <w:tcW w:w="4675" w:type="dxa"/>
          </w:tcPr>
          <w:p w14:paraId="61A34FDE" w14:textId="7EECF4BD" w:rsidR="006E1DBA" w:rsidRDefault="00272B49" w:rsidP="000F6186">
            <w:pPr>
              <w:spacing w:after="120"/>
              <w:jc w:val="left"/>
              <w:rPr>
                <w:szCs w:val="24"/>
              </w:rPr>
            </w:pPr>
            <w:r>
              <w:rPr>
                <w:szCs w:val="24"/>
              </w:rPr>
              <w:t>Operational Plans, Support, Training, and Post-Flight Review Ensure Mission is Maintained Within the Vehicle Design Limits, and Anomalies are Identified and Resolved</w:t>
            </w:r>
          </w:p>
        </w:tc>
        <w:tc>
          <w:tcPr>
            <w:tcW w:w="4675" w:type="dxa"/>
          </w:tcPr>
          <w:p w14:paraId="1EA49B93" w14:textId="77777777" w:rsidR="004C5F48" w:rsidRPr="004C5F48" w:rsidRDefault="00043E9C" w:rsidP="004C5F48">
            <w:pPr>
              <w:pStyle w:val="ListParagraph"/>
              <w:numPr>
                <w:ilvl w:val="0"/>
                <w:numId w:val="38"/>
              </w:numPr>
              <w:spacing w:after="120"/>
              <w:ind w:left="253" w:hanging="253"/>
              <w:rPr>
                <w:rFonts w:ascii="Times New Roman" w:hAnsi="Times New Roman"/>
                <w:sz w:val="20"/>
                <w:szCs w:val="20"/>
              </w:rPr>
            </w:pPr>
            <w:r w:rsidRPr="004C5F48">
              <w:rPr>
                <w:rFonts w:ascii="Times New Roman" w:hAnsi="Times New Roman"/>
                <w:sz w:val="20"/>
                <w:szCs w:val="20"/>
              </w:rPr>
              <w:t>Understand Role of Ground Support During All Phases</w:t>
            </w:r>
          </w:p>
          <w:p w14:paraId="2600492E" w14:textId="77777777" w:rsidR="004C5F48" w:rsidRPr="004C5F48" w:rsidRDefault="00043E9C" w:rsidP="004C5F48">
            <w:pPr>
              <w:pStyle w:val="ListParagraph"/>
              <w:numPr>
                <w:ilvl w:val="0"/>
                <w:numId w:val="38"/>
              </w:numPr>
              <w:spacing w:after="120"/>
              <w:ind w:left="253" w:hanging="253"/>
              <w:rPr>
                <w:rFonts w:ascii="Times New Roman" w:hAnsi="Times New Roman"/>
                <w:sz w:val="20"/>
                <w:szCs w:val="20"/>
              </w:rPr>
            </w:pPr>
            <w:r w:rsidRPr="004C5F48">
              <w:rPr>
                <w:rFonts w:ascii="Times New Roman" w:hAnsi="Times New Roman"/>
                <w:sz w:val="20"/>
                <w:szCs w:val="20"/>
              </w:rPr>
              <w:t>Evaluate Nominal and Contingency Operations Plan</w:t>
            </w:r>
            <w:r w:rsidR="004C5F48" w:rsidRPr="004C5F48">
              <w:rPr>
                <w:rFonts w:ascii="Times New Roman" w:hAnsi="Times New Roman"/>
                <w:sz w:val="20"/>
                <w:szCs w:val="20"/>
              </w:rPr>
              <w:t>s</w:t>
            </w:r>
          </w:p>
          <w:p w14:paraId="513BE8F0" w14:textId="02A5998C" w:rsidR="00043E9C" w:rsidRPr="004C5F48" w:rsidRDefault="00043E9C" w:rsidP="004C5F48">
            <w:pPr>
              <w:pStyle w:val="ListParagraph"/>
              <w:numPr>
                <w:ilvl w:val="0"/>
                <w:numId w:val="38"/>
              </w:numPr>
              <w:spacing w:after="120"/>
              <w:ind w:left="253" w:hanging="253"/>
              <w:rPr>
                <w:rFonts w:ascii="Times New Roman" w:hAnsi="Times New Roman"/>
                <w:sz w:val="20"/>
                <w:szCs w:val="20"/>
              </w:rPr>
            </w:pPr>
            <w:r w:rsidRPr="004C5F48">
              <w:rPr>
                <w:rFonts w:ascii="Times New Roman" w:hAnsi="Times New Roman"/>
                <w:sz w:val="20"/>
                <w:szCs w:val="20"/>
              </w:rPr>
              <w:t>Evaluate Post-Flight Assessment Process</w:t>
            </w:r>
          </w:p>
        </w:tc>
      </w:tr>
      <w:tr w:rsidR="00272B49" w14:paraId="103F053E" w14:textId="77777777" w:rsidTr="006E1DBA">
        <w:tc>
          <w:tcPr>
            <w:tcW w:w="4675" w:type="dxa"/>
          </w:tcPr>
          <w:p w14:paraId="6900AFFE" w14:textId="55A59F01" w:rsidR="00272B49" w:rsidRDefault="00272B49" w:rsidP="000F6186">
            <w:pPr>
              <w:spacing w:after="120"/>
              <w:jc w:val="left"/>
              <w:rPr>
                <w:szCs w:val="24"/>
              </w:rPr>
            </w:pPr>
            <w:r>
              <w:rPr>
                <w:szCs w:val="24"/>
              </w:rPr>
              <w:t>Organization’s Safety Culture Supports Decision Making Throughout All Elements of the Life Cycle</w:t>
            </w:r>
          </w:p>
        </w:tc>
        <w:tc>
          <w:tcPr>
            <w:tcW w:w="4675" w:type="dxa"/>
          </w:tcPr>
          <w:p w14:paraId="06FB1CF8" w14:textId="77777777" w:rsidR="004C5F48" w:rsidRPr="004C5F48" w:rsidRDefault="004C5F48" w:rsidP="004C5F48">
            <w:pPr>
              <w:pStyle w:val="ListParagraph"/>
              <w:numPr>
                <w:ilvl w:val="0"/>
                <w:numId w:val="39"/>
              </w:numPr>
              <w:spacing w:after="120"/>
              <w:ind w:left="253" w:hanging="253"/>
              <w:rPr>
                <w:rFonts w:ascii="Times New Roman" w:hAnsi="Times New Roman"/>
                <w:sz w:val="20"/>
                <w:szCs w:val="20"/>
              </w:rPr>
            </w:pPr>
            <w:r w:rsidRPr="004C5F48">
              <w:rPr>
                <w:rFonts w:ascii="Times New Roman" w:hAnsi="Times New Roman"/>
                <w:sz w:val="20"/>
                <w:szCs w:val="20"/>
              </w:rPr>
              <w:t>U</w:t>
            </w:r>
            <w:r w:rsidR="00043E9C" w:rsidRPr="004C5F48">
              <w:rPr>
                <w:rFonts w:ascii="Times New Roman" w:hAnsi="Times New Roman"/>
                <w:sz w:val="20"/>
                <w:szCs w:val="20"/>
              </w:rPr>
              <w:t>nderstand Organization’s Safety and Decision-making Roles and Communication Channels</w:t>
            </w:r>
          </w:p>
          <w:p w14:paraId="73C4BB23" w14:textId="77777777" w:rsidR="004C5F48" w:rsidRPr="004C5F48" w:rsidRDefault="00043E9C" w:rsidP="004C5F48">
            <w:pPr>
              <w:pStyle w:val="ListParagraph"/>
              <w:numPr>
                <w:ilvl w:val="0"/>
                <w:numId w:val="39"/>
              </w:numPr>
              <w:spacing w:after="120"/>
              <w:ind w:left="253" w:hanging="253"/>
              <w:rPr>
                <w:rFonts w:ascii="Times New Roman" w:hAnsi="Times New Roman"/>
                <w:sz w:val="20"/>
                <w:szCs w:val="20"/>
              </w:rPr>
            </w:pPr>
            <w:r w:rsidRPr="004C5F48">
              <w:rPr>
                <w:rFonts w:ascii="Times New Roman" w:hAnsi="Times New Roman"/>
                <w:sz w:val="20"/>
                <w:szCs w:val="20"/>
              </w:rPr>
              <w:t>Understand how Systems Engineering and Integration is Accomplished in Practice</w:t>
            </w:r>
          </w:p>
          <w:p w14:paraId="5C55C19E" w14:textId="77777777" w:rsidR="004C5F48" w:rsidRPr="004C5F48" w:rsidRDefault="00043E9C" w:rsidP="004C5F48">
            <w:pPr>
              <w:pStyle w:val="ListParagraph"/>
              <w:numPr>
                <w:ilvl w:val="0"/>
                <w:numId w:val="39"/>
              </w:numPr>
              <w:spacing w:after="120"/>
              <w:ind w:left="253" w:hanging="253"/>
              <w:rPr>
                <w:rFonts w:ascii="Times New Roman" w:hAnsi="Times New Roman"/>
                <w:sz w:val="20"/>
                <w:szCs w:val="20"/>
              </w:rPr>
            </w:pPr>
            <w:r w:rsidRPr="004C5F48">
              <w:rPr>
                <w:rFonts w:ascii="Times New Roman" w:hAnsi="Times New Roman"/>
                <w:sz w:val="20"/>
                <w:szCs w:val="20"/>
              </w:rPr>
              <w:t>Understand How Lessons Learned (Internal, Industry, Production, Flight, Etc.) are Collected and Applied</w:t>
            </w:r>
          </w:p>
          <w:p w14:paraId="5A6C8534" w14:textId="5DB74EC5" w:rsidR="00043E9C" w:rsidRPr="004C5F48" w:rsidRDefault="00043E9C" w:rsidP="004C5F48">
            <w:pPr>
              <w:pStyle w:val="ListParagraph"/>
              <w:numPr>
                <w:ilvl w:val="0"/>
                <w:numId w:val="39"/>
              </w:numPr>
              <w:spacing w:after="120"/>
              <w:ind w:left="253" w:hanging="253"/>
              <w:rPr>
                <w:rFonts w:ascii="Times New Roman" w:hAnsi="Times New Roman"/>
                <w:sz w:val="20"/>
                <w:szCs w:val="20"/>
              </w:rPr>
            </w:pPr>
            <w:r w:rsidRPr="004C5F48">
              <w:rPr>
                <w:rFonts w:ascii="Times New Roman" w:hAnsi="Times New Roman"/>
                <w:sz w:val="20"/>
                <w:szCs w:val="20"/>
              </w:rPr>
              <w:t>Evaluate How Risks are Managed</w:t>
            </w:r>
          </w:p>
        </w:tc>
      </w:tr>
    </w:tbl>
    <w:p w14:paraId="7377FC05" w14:textId="7BD3DB7E" w:rsidR="001F2C46" w:rsidRDefault="001F2C46" w:rsidP="001F2C46">
      <w:pPr>
        <w:rPr>
          <w:szCs w:val="24"/>
        </w:rPr>
      </w:pPr>
    </w:p>
    <w:p w14:paraId="099862BE" w14:textId="17933895" w:rsidR="002111B0" w:rsidRDefault="002111B0" w:rsidP="002111B0">
      <w:pPr>
        <w:ind w:firstLine="288"/>
        <w:rPr>
          <w:szCs w:val="24"/>
        </w:rPr>
      </w:pPr>
      <w:r>
        <w:rPr>
          <w:szCs w:val="24"/>
        </w:rPr>
        <w:t xml:space="preserve">To accomplish the Safety Case assessment in a consistent manner, a generic board structure has been developed (Fig. 2). </w:t>
      </w:r>
      <w:proofErr w:type="spellStart"/>
      <w:r w:rsidR="008C4041">
        <w:t>SubC</w:t>
      </w:r>
      <w:proofErr w:type="spellEnd"/>
      <w:r w:rsidR="008C4041">
        <w:t xml:space="preserve"> is leveraging expertise across many NASA centers based on the technology and systems being assessed. Additionally, </w:t>
      </w:r>
      <w:proofErr w:type="spellStart"/>
      <w:r w:rsidR="008C4041">
        <w:t>SubC</w:t>
      </w:r>
      <w:proofErr w:type="spellEnd"/>
      <w:r w:rsidR="008C4041">
        <w:t xml:space="preserve"> is applying flexibilities with products and processes to best fit the Safety Case insight </w:t>
      </w:r>
      <w:r w:rsidR="008C4041">
        <w:lastRenderedPageBreak/>
        <w:t xml:space="preserve">framework by opting to use existing processes where practical or experimenting within the agency-level NASA risk-informed processes by utilizing an </w:t>
      </w:r>
      <w:proofErr w:type="gramStart"/>
      <w:r w:rsidR="008C4041">
        <w:t>internally-developed</w:t>
      </w:r>
      <w:proofErr w:type="gramEnd"/>
      <w:r w:rsidR="008C4041">
        <w:t xml:space="preserve"> Readiness Level based product.”</w:t>
      </w:r>
    </w:p>
    <w:p w14:paraId="14D65939" w14:textId="58090562" w:rsidR="00400C2B" w:rsidRPr="00400C2B" w:rsidRDefault="0073068C" w:rsidP="0077515A">
      <w:pPr>
        <w:ind w:left="360"/>
        <w:jc w:val="center"/>
        <w:rPr>
          <w:szCs w:val="24"/>
        </w:rPr>
      </w:pPr>
      <w:r>
        <w:rPr>
          <w:noProof/>
        </w:rPr>
        <w:drawing>
          <wp:inline distT="0" distB="0" distL="0" distR="0" wp14:anchorId="473C5BA6" wp14:editId="2343B220">
            <wp:extent cx="5943600" cy="1375410"/>
            <wp:effectExtent l="0" t="0" r="0" b="0"/>
            <wp:docPr id="1379700118" name="Picture 1"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9700118" name="Picture 1" descr="Graphical user interface, text, application, chat or text messag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1375410"/>
                    </a:xfrm>
                    <a:prstGeom prst="rect">
                      <a:avLst/>
                    </a:prstGeom>
                  </pic:spPr>
                </pic:pic>
              </a:graphicData>
            </a:graphic>
          </wp:inline>
        </w:drawing>
      </w:r>
    </w:p>
    <w:p w14:paraId="3ADB9455" w14:textId="42707180" w:rsidR="00400C2B" w:rsidRPr="00400C2B" w:rsidRDefault="00400C2B" w:rsidP="00400C2B">
      <w:pPr>
        <w:spacing w:after="120"/>
        <w:ind w:left="360"/>
        <w:jc w:val="center"/>
        <w:rPr>
          <w:b/>
        </w:rPr>
      </w:pPr>
      <w:r w:rsidRPr="00400C2B">
        <w:rPr>
          <w:b/>
        </w:rPr>
        <w:t>Fig. 2</w:t>
      </w:r>
      <w:r>
        <w:rPr>
          <w:b/>
        </w:rPr>
        <w:t xml:space="preserve">   </w:t>
      </w:r>
      <w:r w:rsidRPr="00400C2B">
        <w:rPr>
          <w:b/>
        </w:rPr>
        <w:t>Generic Board Structure for Safety Assessment</w:t>
      </w:r>
    </w:p>
    <w:p w14:paraId="4E2BD109" w14:textId="77777777" w:rsidR="002F7D16" w:rsidRPr="00F04658" w:rsidRDefault="002F7D16" w:rsidP="002F7D16">
      <w:pPr>
        <w:ind w:firstLine="288"/>
        <w:jc w:val="left"/>
        <w:rPr>
          <w:bCs/>
        </w:rPr>
      </w:pPr>
      <w:r w:rsidRPr="00F04658">
        <w:rPr>
          <w:bCs/>
        </w:rPr>
        <w:t xml:space="preserve">The framework for the </w:t>
      </w:r>
      <w:r>
        <w:rPr>
          <w:bCs/>
        </w:rPr>
        <w:t>D</w:t>
      </w:r>
      <w:r w:rsidRPr="00F04658">
        <w:rPr>
          <w:bCs/>
        </w:rPr>
        <w:t xml:space="preserve">eep </w:t>
      </w:r>
      <w:r>
        <w:rPr>
          <w:bCs/>
        </w:rPr>
        <w:t>D</w:t>
      </w:r>
      <w:r w:rsidRPr="00F04658">
        <w:rPr>
          <w:bCs/>
        </w:rPr>
        <w:t>ives includes the following:</w:t>
      </w:r>
    </w:p>
    <w:p w14:paraId="01FF2FFF" w14:textId="77777777" w:rsidR="002F7D16" w:rsidRPr="00793616" w:rsidRDefault="002F7D16" w:rsidP="002F7D16">
      <w:pPr>
        <w:pStyle w:val="ListParagraph"/>
        <w:numPr>
          <w:ilvl w:val="0"/>
          <w:numId w:val="42"/>
        </w:numPr>
        <w:rPr>
          <w:rFonts w:ascii="Times New Roman" w:hAnsi="Times New Roman"/>
          <w:bCs/>
          <w:sz w:val="20"/>
          <w:szCs w:val="20"/>
        </w:rPr>
      </w:pPr>
      <w:r w:rsidRPr="003F7255">
        <w:rPr>
          <w:rFonts w:ascii="Times New Roman" w:hAnsi="Times New Roman"/>
          <w:bCs/>
          <w:sz w:val="20"/>
          <w:szCs w:val="20"/>
        </w:rPr>
        <w:t xml:space="preserve">An initial virtual technical interchange </w:t>
      </w:r>
      <w:r>
        <w:rPr>
          <w:rFonts w:ascii="Times New Roman" w:hAnsi="Times New Roman"/>
          <w:bCs/>
          <w:sz w:val="20"/>
          <w:szCs w:val="20"/>
        </w:rPr>
        <w:t>to allow</w:t>
      </w:r>
      <w:r w:rsidRPr="003F7255">
        <w:rPr>
          <w:rFonts w:ascii="Times New Roman" w:hAnsi="Times New Roman"/>
          <w:bCs/>
          <w:sz w:val="20"/>
          <w:szCs w:val="20"/>
        </w:rPr>
        <w:t xml:space="preserve"> the launch provider to </w:t>
      </w:r>
      <w:r>
        <w:rPr>
          <w:rFonts w:ascii="Times New Roman" w:hAnsi="Times New Roman"/>
          <w:bCs/>
          <w:sz w:val="20"/>
          <w:szCs w:val="20"/>
        </w:rPr>
        <w:t>provide</w:t>
      </w:r>
      <w:r w:rsidRPr="003F7255">
        <w:rPr>
          <w:rFonts w:ascii="Times New Roman" w:hAnsi="Times New Roman"/>
          <w:bCs/>
          <w:sz w:val="20"/>
          <w:szCs w:val="20"/>
        </w:rPr>
        <w:t xml:space="preserve"> an overview of the </w:t>
      </w:r>
      <w:r>
        <w:rPr>
          <w:rFonts w:ascii="Times New Roman" w:hAnsi="Times New Roman"/>
          <w:bCs/>
          <w:sz w:val="20"/>
          <w:szCs w:val="20"/>
        </w:rPr>
        <w:t xml:space="preserve">systems </w:t>
      </w:r>
      <w:r w:rsidRPr="00793616">
        <w:rPr>
          <w:rFonts w:ascii="Times New Roman" w:hAnsi="Times New Roman"/>
          <w:bCs/>
          <w:sz w:val="20"/>
          <w:szCs w:val="20"/>
        </w:rPr>
        <w:t>being addressed in the Deep Dive – including operations, design, qualification, acceptance, and accepted risks. The intention is to understand the launch provider’s criteria for human flight.</w:t>
      </w:r>
    </w:p>
    <w:p w14:paraId="35E1086D" w14:textId="0260B936" w:rsidR="002F7D16" w:rsidRPr="003F7255" w:rsidRDefault="002F7D16" w:rsidP="002F7D16">
      <w:pPr>
        <w:pStyle w:val="ListParagraph"/>
        <w:numPr>
          <w:ilvl w:val="0"/>
          <w:numId w:val="42"/>
        </w:numPr>
        <w:rPr>
          <w:rFonts w:ascii="Times New Roman" w:hAnsi="Times New Roman"/>
          <w:bCs/>
          <w:sz w:val="20"/>
          <w:szCs w:val="20"/>
        </w:rPr>
      </w:pPr>
      <w:r w:rsidRPr="003F7255">
        <w:rPr>
          <w:rFonts w:ascii="Times New Roman" w:hAnsi="Times New Roman"/>
          <w:bCs/>
          <w:sz w:val="20"/>
          <w:szCs w:val="20"/>
        </w:rPr>
        <w:t>A multi-day in-person technical interchange to review the provider’s command media</w:t>
      </w:r>
      <w:r>
        <w:rPr>
          <w:rFonts w:ascii="Times New Roman" w:hAnsi="Times New Roman"/>
          <w:bCs/>
          <w:sz w:val="20"/>
          <w:szCs w:val="20"/>
        </w:rPr>
        <w:t xml:space="preserve"> including</w:t>
      </w:r>
      <w:r w:rsidRPr="003F7255">
        <w:rPr>
          <w:rFonts w:ascii="Times New Roman" w:hAnsi="Times New Roman"/>
          <w:bCs/>
          <w:sz w:val="20"/>
          <w:szCs w:val="20"/>
        </w:rPr>
        <w:t xml:space="preserve"> documentation used for </w:t>
      </w:r>
      <w:r>
        <w:rPr>
          <w:rFonts w:ascii="Times New Roman" w:hAnsi="Times New Roman"/>
          <w:bCs/>
          <w:sz w:val="20"/>
          <w:szCs w:val="20"/>
        </w:rPr>
        <w:t>the provider’s</w:t>
      </w:r>
      <w:r w:rsidRPr="003F7255">
        <w:rPr>
          <w:rFonts w:ascii="Times New Roman" w:hAnsi="Times New Roman"/>
          <w:bCs/>
          <w:sz w:val="20"/>
          <w:szCs w:val="20"/>
        </w:rPr>
        <w:t xml:space="preserve"> internal certification process and face</w:t>
      </w:r>
      <w:r>
        <w:rPr>
          <w:rFonts w:ascii="Times New Roman" w:hAnsi="Times New Roman"/>
          <w:bCs/>
          <w:sz w:val="20"/>
          <w:szCs w:val="20"/>
        </w:rPr>
        <w:t>-</w:t>
      </w:r>
      <w:r w:rsidRPr="003F7255">
        <w:rPr>
          <w:rFonts w:ascii="Times New Roman" w:hAnsi="Times New Roman"/>
          <w:bCs/>
          <w:sz w:val="20"/>
          <w:szCs w:val="20"/>
        </w:rPr>
        <w:t>to</w:t>
      </w:r>
      <w:r>
        <w:rPr>
          <w:rFonts w:ascii="Times New Roman" w:hAnsi="Times New Roman"/>
          <w:bCs/>
          <w:sz w:val="20"/>
          <w:szCs w:val="20"/>
        </w:rPr>
        <w:t>-</w:t>
      </w:r>
      <w:r w:rsidRPr="003F7255">
        <w:rPr>
          <w:rFonts w:ascii="Times New Roman" w:hAnsi="Times New Roman"/>
          <w:bCs/>
          <w:sz w:val="20"/>
          <w:szCs w:val="20"/>
        </w:rPr>
        <w:t xml:space="preserve">face meetings with the provider’s </w:t>
      </w:r>
      <w:r w:rsidR="00554C62">
        <w:rPr>
          <w:rFonts w:ascii="Times New Roman" w:hAnsi="Times New Roman"/>
          <w:bCs/>
          <w:sz w:val="20"/>
          <w:szCs w:val="20"/>
        </w:rPr>
        <w:t>SMEs</w:t>
      </w:r>
      <w:r w:rsidRPr="003F7255">
        <w:rPr>
          <w:rFonts w:ascii="Times New Roman" w:hAnsi="Times New Roman"/>
          <w:bCs/>
          <w:sz w:val="20"/>
          <w:szCs w:val="20"/>
        </w:rPr>
        <w:t xml:space="preserve">. </w:t>
      </w:r>
      <w:r>
        <w:rPr>
          <w:rFonts w:ascii="Times New Roman" w:hAnsi="Times New Roman"/>
          <w:bCs/>
          <w:sz w:val="20"/>
          <w:szCs w:val="20"/>
        </w:rPr>
        <w:t>The d</w:t>
      </w:r>
      <w:r w:rsidRPr="003F7255">
        <w:rPr>
          <w:rFonts w:ascii="Times New Roman" w:hAnsi="Times New Roman"/>
          <w:bCs/>
          <w:sz w:val="20"/>
          <w:szCs w:val="20"/>
        </w:rPr>
        <w:t>ocumentation includes, but is not limited to, Critical Design Review (CDR) packages, work orders, qualification test results, supplier specifications, countdown procedures, and data management systems.</w:t>
      </w:r>
    </w:p>
    <w:p w14:paraId="652FB4F5" w14:textId="664E8C26" w:rsidR="002F7D16" w:rsidRPr="002F7D16" w:rsidRDefault="002F7D16" w:rsidP="002F7D16">
      <w:pPr>
        <w:pStyle w:val="ListParagraph"/>
        <w:numPr>
          <w:ilvl w:val="0"/>
          <w:numId w:val="42"/>
        </w:numPr>
        <w:rPr>
          <w:rFonts w:ascii="Times New Roman" w:hAnsi="Times New Roman"/>
          <w:bCs/>
          <w:sz w:val="20"/>
          <w:szCs w:val="20"/>
        </w:rPr>
      </w:pPr>
      <w:r w:rsidRPr="003F7255">
        <w:rPr>
          <w:rFonts w:ascii="Times New Roman" w:hAnsi="Times New Roman"/>
          <w:bCs/>
          <w:sz w:val="20"/>
          <w:szCs w:val="20"/>
        </w:rPr>
        <w:t>A follow</w:t>
      </w:r>
      <w:r>
        <w:rPr>
          <w:rFonts w:ascii="Times New Roman" w:hAnsi="Times New Roman"/>
          <w:bCs/>
          <w:sz w:val="20"/>
          <w:szCs w:val="20"/>
        </w:rPr>
        <w:t>-</w:t>
      </w:r>
      <w:r w:rsidRPr="003F7255">
        <w:rPr>
          <w:rFonts w:ascii="Times New Roman" w:hAnsi="Times New Roman"/>
          <w:bCs/>
          <w:sz w:val="20"/>
          <w:szCs w:val="20"/>
        </w:rPr>
        <w:t xml:space="preserve">up </w:t>
      </w:r>
      <w:r w:rsidRPr="00D16381">
        <w:rPr>
          <w:rFonts w:ascii="Times New Roman" w:hAnsi="Times New Roman"/>
          <w:bCs/>
          <w:sz w:val="20"/>
          <w:szCs w:val="20"/>
        </w:rPr>
        <w:t>virtual</w:t>
      </w:r>
      <w:r w:rsidRPr="003F7255">
        <w:rPr>
          <w:rFonts w:ascii="Times New Roman" w:hAnsi="Times New Roman"/>
          <w:bCs/>
          <w:sz w:val="20"/>
          <w:szCs w:val="20"/>
        </w:rPr>
        <w:t xml:space="preserve"> technical interchange to close out </w:t>
      </w:r>
      <w:r>
        <w:rPr>
          <w:rFonts w:ascii="Times New Roman" w:hAnsi="Times New Roman"/>
          <w:bCs/>
          <w:sz w:val="20"/>
          <w:szCs w:val="20"/>
        </w:rPr>
        <w:t xml:space="preserve">any </w:t>
      </w:r>
      <w:r w:rsidRPr="003F7255">
        <w:rPr>
          <w:rFonts w:ascii="Times New Roman" w:hAnsi="Times New Roman"/>
          <w:bCs/>
          <w:sz w:val="20"/>
          <w:szCs w:val="20"/>
        </w:rPr>
        <w:t>remaining questions from the in-person meeting.</w:t>
      </w:r>
    </w:p>
    <w:p w14:paraId="06D11063" w14:textId="67DD184D" w:rsidR="00561F4F" w:rsidRPr="00F04658" w:rsidRDefault="00561F4F" w:rsidP="0006517B">
      <w:pPr>
        <w:spacing w:before="120"/>
        <w:ind w:firstLine="288"/>
        <w:rPr>
          <w:bCs/>
        </w:rPr>
      </w:pPr>
      <w:r w:rsidRPr="00F04658">
        <w:rPr>
          <w:bCs/>
        </w:rPr>
        <w:t xml:space="preserve">After each </w:t>
      </w:r>
      <w:r w:rsidR="007C21E8">
        <w:rPr>
          <w:bCs/>
        </w:rPr>
        <w:t>D</w:t>
      </w:r>
      <w:r w:rsidRPr="00F04658">
        <w:rPr>
          <w:bCs/>
        </w:rPr>
        <w:t xml:space="preserve">eep </w:t>
      </w:r>
      <w:r w:rsidR="007C21E8">
        <w:rPr>
          <w:bCs/>
        </w:rPr>
        <w:t>Di</w:t>
      </w:r>
      <w:r w:rsidRPr="00F04658">
        <w:rPr>
          <w:bCs/>
        </w:rPr>
        <w:t xml:space="preserve">ve, a draft summary of the NASA team members’ assessment results </w:t>
      </w:r>
      <w:r w:rsidR="00801BA3">
        <w:rPr>
          <w:bCs/>
        </w:rPr>
        <w:t>compar</w:t>
      </w:r>
      <w:r w:rsidR="005A5616">
        <w:rPr>
          <w:bCs/>
        </w:rPr>
        <w:t>ed with</w:t>
      </w:r>
      <w:r w:rsidR="00801BA3">
        <w:rPr>
          <w:bCs/>
        </w:rPr>
        <w:t xml:space="preserve"> </w:t>
      </w:r>
      <w:proofErr w:type="spellStart"/>
      <w:r w:rsidR="00801BA3">
        <w:rPr>
          <w:bCs/>
        </w:rPr>
        <w:t>SubC</w:t>
      </w:r>
      <w:proofErr w:type="spellEnd"/>
      <w:r w:rsidR="00801BA3">
        <w:rPr>
          <w:bCs/>
        </w:rPr>
        <w:t xml:space="preserve"> goals </w:t>
      </w:r>
      <w:r w:rsidRPr="00F04658">
        <w:rPr>
          <w:bCs/>
        </w:rPr>
        <w:t>is released to the provider. The assessment include</w:t>
      </w:r>
      <w:r w:rsidR="00793616">
        <w:rPr>
          <w:bCs/>
        </w:rPr>
        <w:t>s</w:t>
      </w:r>
      <w:r w:rsidRPr="00F04658">
        <w:rPr>
          <w:bCs/>
        </w:rPr>
        <w:t xml:space="preserve"> residual concerns and recommendations for the launch provider to consider.</w:t>
      </w:r>
      <w:r w:rsidR="007C21E8">
        <w:rPr>
          <w:bCs/>
        </w:rPr>
        <w:t xml:space="preserve"> </w:t>
      </w:r>
      <w:r w:rsidRPr="00F04658">
        <w:rPr>
          <w:bCs/>
        </w:rPr>
        <w:t xml:space="preserve">The launch providers are encouraged to provide corrections and comments, as well as participate in </w:t>
      </w:r>
      <w:r w:rsidR="00793616">
        <w:rPr>
          <w:bCs/>
        </w:rPr>
        <w:t>an ensuing</w:t>
      </w:r>
      <w:r w:rsidRPr="00F04658">
        <w:rPr>
          <w:bCs/>
        </w:rPr>
        <w:t xml:space="preserve"> program control board briefing.</w:t>
      </w:r>
    </w:p>
    <w:p w14:paraId="1D6E64E8" w14:textId="52BB7034" w:rsidR="00561F4F" w:rsidRPr="00F04658" w:rsidRDefault="00561F4F" w:rsidP="003D547E">
      <w:pPr>
        <w:ind w:firstLine="288"/>
        <w:rPr>
          <w:bCs/>
        </w:rPr>
      </w:pPr>
      <w:r w:rsidRPr="00F04658">
        <w:rPr>
          <w:bCs/>
        </w:rPr>
        <w:t>For</w:t>
      </w:r>
      <w:r w:rsidR="007C21E8">
        <w:rPr>
          <w:bCs/>
        </w:rPr>
        <w:t xml:space="preserve"> D</w:t>
      </w:r>
      <w:r w:rsidRPr="00F04658">
        <w:rPr>
          <w:bCs/>
        </w:rPr>
        <w:t xml:space="preserve">eep </w:t>
      </w:r>
      <w:r w:rsidR="007C21E8">
        <w:rPr>
          <w:bCs/>
        </w:rPr>
        <w:t>D</w:t>
      </w:r>
      <w:r w:rsidRPr="00F04658">
        <w:rPr>
          <w:bCs/>
        </w:rPr>
        <w:t xml:space="preserve">ives to be successful, both NASA and the launch provider </w:t>
      </w:r>
      <w:r w:rsidR="00437B47">
        <w:rPr>
          <w:bCs/>
        </w:rPr>
        <w:t xml:space="preserve">must </w:t>
      </w:r>
      <w:r w:rsidRPr="00F04658">
        <w:rPr>
          <w:bCs/>
        </w:rPr>
        <w:t>agree on certain foundations:</w:t>
      </w:r>
    </w:p>
    <w:p w14:paraId="2F21E1F0" w14:textId="14EE0B6A" w:rsidR="00561F4F" w:rsidRPr="003F7255" w:rsidRDefault="00561F4F" w:rsidP="003D547E">
      <w:pPr>
        <w:pStyle w:val="ListParagraph"/>
        <w:numPr>
          <w:ilvl w:val="0"/>
          <w:numId w:val="43"/>
        </w:numPr>
        <w:rPr>
          <w:rFonts w:ascii="Times New Roman" w:hAnsi="Times New Roman"/>
          <w:bCs/>
          <w:sz w:val="20"/>
          <w:szCs w:val="20"/>
        </w:rPr>
      </w:pPr>
      <w:r w:rsidRPr="003F7255">
        <w:rPr>
          <w:rFonts w:ascii="Times New Roman" w:hAnsi="Times New Roman"/>
          <w:bCs/>
          <w:sz w:val="20"/>
          <w:szCs w:val="20"/>
        </w:rPr>
        <w:t xml:space="preserve">The launch provider is ultimately responsible for explaining their certification process and how they internally determined </w:t>
      </w:r>
      <w:r w:rsidR="00437B47">
        <w:rPr>
          <w:rFonts w:ascii="Times New Roman" w:hAnsi="Times New Roman"/>
          <w:bCs/>
          <w:sz w:val="20"/>
          <w:szCs w:val="20"/>
        </w:rPr>
        <w:t xml:space="preserve">that </w:t>
      </w:r>
      <w:r w:rsidRPr="003F7255">
        <w:rPr>
          <w:rFonts w:ascii="Times New Roman" w:hAnsi="Times New Roman"/>
          <w:bCs/>
          <w:sz w:val="20"/>
          <w:szCs w:val="20"/>
        </w:rPr>
        <w:t xml:space="preserve">their vehicle </w:t>
      </w:r>
      <w:r w:rsidR="00793616">
        <w:rPr>
          <w:rFonts w:ascii="Times New Roman" w:hAnsi="Times New Roman"/>
          <w:bCs/>
          <w:sz w:val="20"/>
          <w:szCs w:val="20"/>
        </w:rPr>
        <w:t>i</w:t>
      </w:r>
      <w:r w:rsidRPr="003F7255">
        <w:rPr>
          <w:rFonts w:ascii="Times New Roman" w:hAnsi="Times New Roman"/>
          <w:bCs/>
          <w:sz w:val="20"/>
          <w:szCs w:val="20"/>
        </w:rPr>
        <w:t xml:space="preserve">s </w:t>
      </w:r>
      <w:r w:rsidR="003456A9">
        <w:rPr>
          <w:rFonts w:ascii="Times New Roman" w:hAnsi="Times New Roman"/>
          <w:bCs/>
          <w:sz w:val="20"/>
          <w:szCs w:val="20"/>
        </w:rPr>
        <w:t xml:space="preserve">acceptable </w:t>
      </w:r>
      <w:r w:rsidRPr="003F7255">
        <w:rPr>
          <w:rFonts w:ascii="Times New Roman" w:hAnsi="Times New Roman"/>
          <w:bCs/>
          <w:sz w:val="20"/>
          <w:szCs w:val="20"/>
        </w:rPr>
        <w:t>for human flight.</w:t>
      </w:r>
    </w:p>
    <w:p w14:paraId="41E57CDE" w14:textId="4F2930C1" w:rsidR="00561F4F" w:rsidRPr="003F7255" w:rsidRDefault="00561F4F" w:rsidP="003D547E">
      <w:pPr>
        <w:pStyle w:val="ListParagraph"/>
        <w:numPr>
          <w:ilvl w:val="0"/>
          <w:numId w:val="43"/>
        </w:numPr>
        <w:rPr>
          <w:rFonts w:ascii="Times New Roman" w:hAnsi="Times New Roman"/>
          <w:bCs/>
          <w:sz w:val="20"/>
          <w:szCs w:val="20"/>
        </w:rPr>
      </w:pPr>
      <w:r w:rsidRPr="003F7255">
        <w:rPr>
          <w:rFonts w:ascii="Times New Roman" w:hAnsi="Times New Roman"/>
          <w:bCs/>
          <w:sz w:val="20"/>
          <w:szCs w:val="20"/>
        </w:rPr>
        <w:t xml:space="preserve">NASA and the launch provider should agree on specifics on how provider data will be stored and handled </w:t>
      </w:r>
      <w:r w:rsidR="00793616">
        <w:rPr>
          <w:rFonts w:ascii="Times New Roman" w:hAnsi="Times New Roman"/>
          <w:bCs/>
          <w:sz w:val="20"/>
          <w:szCs w:val="20"/>
        </w:rPr>
        <w:t>for</w:t>
      </w:r>
      <w:r w:rsidRPr="003F7255">
        <w:rPr>
          <w:rFonts w:ascii="Times New Roman" w:hAnsi="Times New Roman"/>
          <w:bCs/>
          <w:sz w:val="20"/>
          <w:szCs w:val="20"/>
        </w:rPr>
        <w:t xml:space="preserve"> virtual and on-site technical interchanges.</w:t>
      </w:r>
    </w:p>
    <w:p w14:paraId="1BF431D5" w14:textId="77777777" w:rsidR="00561F4F" w:rsidRPr="003F7255" w:rsidRDefault="00561F4F" w:rsidP="003D547E">
      <w:pPr>
        <w:pStyle w:val="ListParagraph"/>
        <w:numPr>
          <w:ilvl w:val="0"/>
          <w:numId w:val="43"/>
        </w:numPr>
        <w:rPr>
          <w:rFonts w:ascii="Times New Roman" w:hAnsi="Times New Roman"/>
          <w:bCs/>
          <w:sz w:val="20"/>
          <w:szCs w:val="20"/>
        </w:rPr>
      </w:pPr>
      <w:r w:rsidRPr="003F7255">
        <w:rPr>
          <w:rFonts w:ascii="Times New Roman" w:hAnsi="Times New Roman"/>
          <w:bCs/>
          <w:sz w:val="20"/>
          <w:szCs w:val="20"/>
        </w:rPr>
        <w:t xml:space="preserve">Expectations for interactions between NASA and the launch provider should be clearly defined.  </w:t>
      </w:r>
    </w:p>
    <w:p w14:paraId="0FADF966" w14:textId="5F056671" w:rsidR="00561F4F" w:rsidRDefault="00437B47" w:rsidP="0006517B">
      <w:pPr>
        <w:spacing w:before="120"/>
        <w:ind w:firstLine="288"/>
        <w:rPr>
          <w:bCs/>
        </w:rPr>
      </w:pPr>
      <w:r>
        <w:rPr>
          <w:bCs/>
        </w:rPr>
        <w:t>T</w:t>
      </w:r>
      <w:r w:rsidR="00561F4F" w:rsidRPr="00F04658">
        <w:rPr>
          <w:bCs/>
        </w:rPr>
        <w:t>aking the partners’</w:t>
      </w:r>
      <w:r w:rsidR="00D108D3">
        <w:rPr>
          <w:bCs/>
        </w:rPr>
        <w:t xml:space="preserve"> </w:t>
      </w:r>
      <w:r w:rsidR="00561F4F" w:rsidRPr="00F04658">
        <w:rPr>
          <w:bCs/>
        </w:rPr>
        <w:t>certification processes into account, and completing targeted reviews</w:t>
      </w:r>
      <w:r>
        <w:rPr>
          <w:bCs/>
        </w:rPr>
        <w:t xml:space="preserve"> </w:t>
      </w:r>
      <w:r w:rsidRPr="00F04658">
        <w:rPr>
          <w:bCs/>
        </w:rPr>
        <w:t xml:space="preserve">via the </w:t>
      </w:r>
      <w:r w:rsidR="00793616">
        <w:rPr>
          <w:bCs/>
        </w:rPr>
        <w:t>D</w:t>
      </w:r>
      <w:r w:rsidRPr="00F04658">
        <w:rPr>
          <w:bCs/>
        </w:rPr>
        <w:t xml:space="preserve">eep </w:t>
      </w:r>
      <w:r w:rsidR="00793616">
        <w:rPr>
          <w:bCs/>
        </w:rPr>
        <w:t>D</w:t>
      </w:r>
      <w:r w:rsidRPr="00F04658">
        <w:rPr>
          <w:bCs/>
        </w:rPr>
        <w:t>ive process</w:t>
      </w:r>
      <w:r>
        <w:rPr>
          <w:bCs/>
        </w:rPr>
        <w:t>,</w:t>
      </w:r>
      <w:r w:rsidR="00561F4F" w:rsidRPr="00F04658">
        <w:rPr>
          <w:bCs/>
        </w:rPr>
        <w:t xml:space="preserve"> </w:t>
      </w:r>
      <w:r>
        <w:rPr>
          <w:bCs/>
        </w:rPr>
        <w:t xml:space="preserve">enables </w:t>
      </w:r>
      <w:r w:rsidR="00561F4F" w:rsidRPr="00F04658">
        <w:rPr>
          <w:bCs/>
        </w:rPr>
        <w:t>NASA</w:t>
      </w:r>
      <w:r>
        <w:rPr>
          <w:bCs/>
        </w:rPr>
        <w:t xml:space="preserve"> </w:t>
      </w:r>
      <w:r w:rsidR="00561F4F" w:rsidRPr="00F04658">
        <w:rPr>
          <w:bCs/>
        </w:rPr>
        <w:t>to</w:t>
      </w:r>
      <w:r>
        <w:rPr>
          <w:bCs/>
        </w:rPr>
        <w:t xml:space="preserve"> </w:t>
      </w:r>
      <w:r w:rsidR="00561F4F" w:rsidRPr="00F04658">
        <w:rPr>
          <w:bCs/>
        </w:rPr>
        <w:t xml:space="preserve">efficiently assess commercially available systems designed </w:t>
      </w:r>
      <w:r>
        <w:rPr>
          <w:bCs/>
        </w:rPr>
        <w:t xml:space="preserve">and built </w:t>
      </w:r>
      <w:r w:rsidR="00561F4F" w:rsidRPr="00F04658">
        <w:rPr>
          <w:bCs/>
        </w:rPr>
        <w:t xml:space="preserve">by </w:t>
      </w:r>
      <w:r>
        <w:rPr>
          <w:bCs/>
        </w:rPr>
        <w:t xml:space="preserve">launch provider </w:t>
      </w:r>
      <w:r w:rsidR="00561F4F" w:rsidRPr="00F04658">
        <w:rPr>
          <w:bCs/>
        </w:rPr>
        <w:t xml:space="preserve">companies.  </w:t>
      </w:r>
    </w:p>
    <w:p w14:paraId="68C6D80E" w14:textId="6238592C" w:rsidR="0038530B" w:rsidRPr="00F565BA" w:rsidRDefault="0038530B" w:rsidP="007B28D2">
      <w:pPr>
        <w:keepNext/>
        <w:numPr>
          <w:ilvl w:val="0"/>
          <w:numId w:val="2"/>
        </w:numPr>
        <w:tabs>
          <w:tab w:val="clear" w:pos="360"/>
          <w:tab w:val="num" w:pos="180"/>
        </w:tabs>
        <w:spacing w:before="240" w:after="60"/>
        <w:ind w:left="187" w:hanging="187"/>
        <w:jc w:val="center"/>
        <w:outlineLvl w:val="0"/>
        <w:rPr>
          <w:b/>
          <w:kern w:val="32"/>
          <w:sz w:val="22"/>
        </w:rPr>
      </w:pPr>
      <w:r>
        <w:rPr>
          <w:b/>
          <w:kern w:val="32"/>
          <w:sz w:val="22"/>
        </w:rPr>
        <w:t>Flight Opportunities Program</w:t>
      </w:r>
    </w:p>
    <w:p w14:paraId="710F89EF" w14:textId="5E0069AE" w:rsidR="001A5FA7" w:rsidRPr="001F2C46" w:rsidRDefault="00241D00" w:rsidP="0006517B">
      <w:pPr>
        <w:tabs>
          <w:tab w:val="left" w:pos="288"/>
        </w:tabs>
        <w:ind w:firstLine="288"/>
        <w:rPr>
          <w:bCs/>
        </w:rPr>
      </w:pPr>
      <w:r w:rsidRPr="00241D00">
        <w:rPr>
          <w:bCs/>
        </w:rPr>
        <w:t xml:space="preserve">The Flight Opportunities program, </w:t>
      </w:r>
      <w:r w:rsidRPr="00241D00">
        <w:rPr>
          <w:bCs/>
          <w:lang w:val="en"/>
        </w:rPr>
        <w:t>within NASA’s Space Technology Mission Directorate (STMD),</w:t>
      </w:r>
      <w:r w:rsidRPr="00241D00">
        <w:rPr>
          <w:bCs/>
        </w:rPr>
        <w:t xml:space="preserve"> facilitates rapid demonstration of promising technologies for space exploration and the expansion of space commerce through suborbital testing with industry flight providers. The program matures capabilities needed for NASA missions and commercial applications while strategically investing in the growth of the U.S. commercial spaceflight industry. These flight demonstrations take technologies from ground-based laboratories into relevant environments to increase </w:t>
      </w:r>
      <w:r w:rsidRPr="001F2C46">
        <w:rPr>
          <w:bCs/>
        </w:rPr>
        <w:t xml:space="preserve">technology readiness and validate feasibility while reducing the costs and technical risks of future missions. </w:t>
      </w:r>
      <w:r w:rsidR="00187578" w:rsidRPr="001F2C46">
        <w:rPr>
          <w:bCs/>
        </w:rPr>
        <w:t xml:space="preserve">Awards and agreements </w:t>
      </w:r>
      <w:r w:rsidRPr="001F2C46">
        <w:rPr>
          <w:bCs/>
        </w:rPr>
        <w:t>for flight demonstrations are open to researchers from industry, academia, non-profit research institutes, and government organizations. These investments help advance technologies of interest to NASA while supporting commercial flight providers and expanding space-based applications and commerce [</w:t>
      </w:r>
      <w:r w:rsidR="009B4DA6" w:rsidRPr="001F2C46">
        <w:rPr>
          <w:bCs/>
        </w:rPr>
        <w:t>3</w:t>
      </w:r>
      <w:r w:rsidRPr="001F2C46">
        <w:rPr>
          <w:bCs/>
        </w:rPr>
        <w:t>].</w:t>
      </w:r>
    </w:p>
    <w:p w14:paraId="5EC3486D" w14:textId="1899DE1C" w:rsidR="001F2C46" w:rsidRPr="001F2C46" w:rsidRDefault="00305490" w:rsidP="001F2C46">
      <w:pPr>
        <w:autoSpaceDE w:val="0"/>
        <w:autoSpaceDN w:val="0"/>
        <w:adjustRightInd w:val="0"/>
        <w:ind w:firstLine="288"/>
        <w:rPr>
          <w:rFonts w:eastAsia="Calibri"/>
          <w:iCs/>
        </w:rPr>
      </w:pPr>
      <w:r w:rsidRPr="001F2C46">
        <w:rPr>
          <w:rFonts w:eastAsia="Calibri"/>
        </w:rPr>
        <w:t>At the 2013 Next-generation Suborbital Researchers Conference</w:t>
      </w:r>
      <w:r w:rsidR="001F2C46" w:rsidRPr="001F2C46">
        <w:rPr>
          <w:rFonts w:eastAsia="Calibri"/>
        </w:rPr>
        <w:t xml:space="preserve"> (NSRC-2013)</w:t>
      </w:r>
      <w:r w:rsidRPr="001F2C46">
        <w:rPr>
          <w:rFonts w:eastAsia="Calibri"/>
        </w:rPr>
        <w:t>,</w:t>
      </w:r>
      <w:r w:rsidR="00187578" w:rsidRPr="001F2C46">
        <w:rPr>
          <w:rFonts w:eastAsia="Calibri"/>
        </w:rPr>
        <w:t xml:space="preserve"> </w:t>
      </w:r>
      <w:r w:rsidRPr="001F2C46">
        <w:rPr>
          <w:rFonts w:eastAsia="Calibri"/>
        </w:rPr>
        <w:t>Lori Garver, former NASA Deputy Administrator, announced that NASA was open to flying people on suborbital vehicles</w:t>
      </w:r>
      <w:r w:rsidR="006E4F2F" w:rsidRPr="001F2C46">
        <w:t>.</w:t>
      </w:r>
      <w:r w:rsidR="00723A84" w:rsidRPr="001F2C46">
        <w:t xml:space="preserve"> </w:t>
      </w:r>
      <w:r w:rsidRPr="001F2C46">
        <w:rPr>
          <w:rFonts w:eastAsia="Calibri"/>
          <w:iCs/>
        </w:rPr>
        <w:t xml:space="preserve">This change in policy </w:t>
      </w:r>
      <w:r w:rsidR="006E4F2F" w:rsidRPr="001F2C46">
        <w:rPr>
          <w:iCs/>
        </w:rPr>
        <w:t xml:space="preserve">clarified </w:t>
      </w:r>
      <w:r w:rsidRPr="001F2C46">
        <w:rPr>
          <w:rFonts w:eastAsia="Calibri"/>
          <w:iCs/>
        </w:rPr>
        <w:t>the original intent of the F</w:t>
      </w:r>
      <w:r w:rsidR="006E4F2F" w:rsidRPr="001F2C46">
        <w:rPr>
          <w:iCs/>
        </w:rPr>
        <w:t>light Opportunities</w:t>
      </w:r>
      <w:r w:rsidRPr="001F2C46">
        <w:rPr>
          <w:rFonts w:eastAsia="Calibri"/>
          <w:iCs/>
        </w:rPr>
        <w:t xml:space="preserve"> program to support both researchers and suborbital vehicle developers</w:t>
      </w:r>
      <w:r w:rsidR="006E4F2F" w:rsidRPr="001F2C46">
        <w:rPr>
          <w:rFonts w:eastAsia="Calibri"/>
          <w:iCs/>
        </w:rPr>
        <w:t xml:space="preserve">. </w:t>
      </w:r>
      <w:r w:rsidR="001F2C46" w:rsidRPr="001F2C46">
        <w:rPr>
          <w:rFonts w:eastAsia="Calibri"/>
          <w:iCs/>
        </w:rPr>
        <w:t>At NSRC-2017, the NASA-STMD Associate Administrator announced that STMD needed to determine if and how the Agency would fly human tended payloads on suborbital platforms.</w:t>
      </w:r>
    </w:p>
    <w:p w14:paraId="5078DA69" w14:textId="31292150" w:rsidR="00414C33" w:rsidRDefault="006E4F2F" w:rsidP="00703DC5">
      <w:pPr>
        <w:autoSpaceDE w:val="0"/>
        <w:autoSpaceDN w:val="0"/>
        <w:adjustRightInd w:val="0"/>
        <w:ind w:firstLine="288"/>
        <w:rPr>
          <w:rFonts w:ascii="TimesNewRomanPSMT" w:hAnsi="TimesNewRomanPSMT" w:cs="TimesNewRomanPSMT"/>
        </w:rPr>
      </w:pPr>
      <w:r w:rsidRPr="001F2C46">
        <w:rPr>
          <w:rFonts w:eastAsia="Calibri"/>
          <w:iCs/>
        </w:rPr>
        <w:t>Following th</w:t>
      </w:r>
      <w:r w:rsidR="001F2C46">
        <w:rPr>
          <w:rFonts w:eastAsia="Calibri"/>
          <w:iCs/>
        </w:rPr>
        <w:t>e latter</w:t>
      </w:r>
      <w:r w:rsidRPr="001F2C46">
        <w:rPr>
          <w:rFonts w:eastAsia="Calibri"/>
          <w:iCs/>
        </w:rPr>
        <w:t xml:space="preserve"> announcement, extensive </w:t>
      </w:r>
      <w:r w:rsidR="00125B83" w:rsidRPr="001F2C46">
        <w:rPr>
          <w:bCs/>
        </w:rPr>
        <w:t>research was conducted</w:t>
      </w:r>
      <w:r w:rsidRPr="001F2C46">
        <w:rPr>
          <w:bCs/>
        </w:rPr>
        <w:t xml:space="preserve"> </w:t>
      </w:r>
      <w:r w:rsidR="00187578" w:rsidRPr="001F2C46">
        <w:rPr>
          <w:bCs/>
        </w:rPr>
        <w:t xml:space="preserve">by the Flight Opportunities program </w:t>
      </w:r>
      <w:r w:rsidR="00125B83" w:rsidRPr="001F2C46">
        <w:rPr>
          <w:bCs/>
        </w:rPr>
        <w:t xml:space="preserve">to facilitate development of </w:t>
      </w:r>
      <w:r w:rsidR="00AB62CB" w:rsidRPr="001F2C46">
        <w:t xml:space="preserve">safety review procedures </w:t>
      </w:r>
      <w:r w:rsidR="00AB62CB" w:rsidRPr="001F2C46">
        <w:rPr>
          <w:bCs/>
        </w:rPr>
        <w:t xml:space="preserve">appropriate and necessary </w:t>
      </w:r>
      <w:r w:rsidR="00125B83" w:rsidRPr="001F2C46">
        <w:rPr>
          <w:bCs/>
        </w:rPr>
        <w:t xml:space="preserve">for sponsoring </w:t>
      </w:r>
      <w:r w:rsidR="00125B83" w:rsidRPr="001F2C46">
        <w:t xml:space="preserve">human-tended research </w:t>
      </w:r>
      <w:r w:rsidR="00125B83" w:rsidRPr="001F2C46">
        <w:lastRenderedPageBreak/>
        <w:t xml:space="preserve">by NASA civil servants and </w:t>
      </w:r>
      <w:r w:rsidR="00AB62CB" w:rsidRPr="001F2C46">
        <w:t>government-sponsored space</w:t>
      </w:r>
      <w:r w:rsidR="003416FE" w:rsidRPr="001F2C46">
        <w:t xml:space="preserve"> </w:t>
      </w:r>
      <w:r w:rsidR="00AB62CB" w:rsidRPr="001F2C46">
        <w:t>flight participants (SFPs)</w:t>
      </w:r>
      <w:r w:rsidR="00125B83" w:rsidRPr="001F2C46">
        <w:t xml:space="preserve"> on commercial suborbital flights</w:t>
      </w:r>
      <w:r w:rsidR="00AB62CB" w:rsidRPr="001F2C46">
        <w:t>.</w:t>
      </w:r>
      <w:r w:rsidR="00187578" w:rsidRPr="001F2C46">
        <w:t xml:space="preserve"> </w:t>
      </w:r>
      <w:r w:rsidR="00125B83" w:rsidRPr="001F2C46">
        <w:t xml:space="preserve">Safety practices </w:t>
      </w:r>
      <w:r w:rsidR="00305490" w:rsidRPr="001F2C46">
        <w:t xml:space="preserve">for </w:t>
      </w:r>
      <w:r w:rsidR="00125B83" w:rsidRPr="001F2C46">
        <w:t>NASA personnel aboard aircraft, orbital rockets and platforms, and a non-NASA vehicle, the</w:t>
      </w:r>
      <w:r w:rsidR="00AB62CB" w:rsidRPr="001F2C46">
        <w:t xml:space="preserve"> Russian</w:t>
      </w:r>
      <w:r w:rsidR="00125B83" w:rsidRPr="001F2C46">
        <w:t xml:space="preserve"> </w:t>
      </w:r>
      <w:r w:rsidR="00125B83" w:rsidRPr="001F2C46">
        <w:rPr>
          <w:i/>
          <w:iCs/>
        </w:rPr>
        <w:t>Soyuz</w:t>
      </w:r>
      <w:r w:rsidR="00125B83" w:rsidRPr="001F2C46">
        <w:t xml:space="preserve">, </w:t>
      </w:r>
      <w:r w:rsidR="00AB62CB" w:rsidRPr="001F2C46">
        <w:t>we</w:t>
      </w:r>
      <w:r w:rsidR="00125B83" w:rsidRPr="001F2C46">
        <w:t xml:space="preserve">re </w:t>
      </w:r>
      <w:r w:rsidR="00305490" w:rsidRPr="001F2C46">
        <w:t>reviewed in detail</w:t>
      </w:r>
      <w:r w:rsidR="00125B83" w:rsidRPr="001F2C46">
        <w:t>.</w:t>
      </w:r>
      <w:r w:rsidR="00723A84" w:rsidRPr="001F2C46">
        <w:t xml:space="preserve"> </w:t>
      </w:r>
      <w:r w:rsidR="00125B83" w:rsidRPr="001F2C46">
        <w:t>The valuable “Recommended Practices for Human Space Flight Occupant Safety,” published by the FAA-AST in 2014</w:t>
      </w:r>
      <w:r w:rsidR="004C0EEE" w:rsidRPr="001F2C46">
        <w:t xml:space="preserve"> and discussed in the next section</w:t>
      </w:r>
      <w:r w:rsidR="00125B83" w:rsidRPr="001F2C46">
        <w:t xml:space="preserve">, </w:t>
      </w:r>
      <w:r w:rsidR="00AB62CB" w:rsidRPr="001F2C46">
        <w:t>was evaluated</w:t>
      </w:r>
      <w:r w:rsidR="00125B83" w:rsidRPr="000D7C66">
        <w:t>.</w:t>
      </w:r>
      <w:r w:rsidR="00723A84">
        <w:t xml:space="preserve"> </w:t>
      </w:r>
      <w:r w:rsidR="00125B83" w:rsidRPr="000D7C66">
        <w:t xml:space="preserve">Medical recommendations for operationally critical flight crewmembers, published by the Aerospace Medical Association Commercial Spaceflight Working Group, </w:t>
      </w:r>
      <w:r w:rsidR="00AB62CB">
        <w:t>we</w:t>
      </w:r>
      <w:r w:rsidR="00125B83" w:rsidRPr="000D7C66">
        <w:t>re reviewed.</w:t>
      </w:r>
      <w:r w:rsidR="00723A84">
        <w:t xml:space="preserve"> </w:t>
      </w:r>
      <w:r w:rsidR="00125B83" w:rsidRPr="000D7C66">
        <w:t xml:space="preserve">FAA-AST-approved SFP training available at three U.S. commercial companies </w:t>
      </w:r>
      <w:r w:rsidR="00AB62CB">
        <w:t>w</w:t>
      </w:r>
      <w:r w:rsidR="00187578">
        <w:t>as</w:t>
      </w:r>
      <w:r w:rsidR="00125B83" w:rsidRPr="000D7C66">
        <w:t xml:space="preserve"> summarized. Activities of ASTM International Committee F47 on Commercial Spaceflight, formed in 2016, </w:t>
      </w:r>
      <w:r w:rsidR="00AB62CB">
        <w:t>were</w:t>
      </w:r>
      <w:r w:rsidR="00125B83" w:rsidRPr="000D7C66">
        <w:t xml:space="preserve"> reviewed. Finally, safety comparisons </w:t>
      </w:r>
      <w:r w:rsidR="00AB62CB">
        <w:t>were</w:t>
      </w:r>
      <w:r w:rsidR="00125B83" w:rsidRPr="000D7C66">
        <w:t xml:space="preserve"> made with another challenging environment, deep sea submersibles</w:t>
      </w:r>
      <w:r>
        <w:t>. The findings of this extensive research were published as a public paper in 2019</w:t>
      </w:r>
      <w:r w:rsidR="00AB62CB">
        <w:t xml:space="preserve"> </w:t>
      </w:r>
      <w:r w:rsidR="005567A7">
        <w:t xml:space="preserve">[4]. The findings were reviewed by NASA-STMD, </w:t>
      </w:r>
      <w:r w:rsidR="005567A7" w:rsidRPr="0003053E">
        <w:t>and recommendations were presented to NASA leadership</w:t>
      </w:r>
      <w:r w:rsidR="005567A7">
        <w:t xml:space="preserve">. This ultimately resulted in </w:t>
      </w:r>
      <w:r w:rsidR="005567A7" w:rsidRPr="00BA15E6">
        <w:t xml:space="preserve">in a policy for allowing non-NASA researchers to use NASA grant funding for researcher tended suborbital flights and led to the creation of </w:t>
      </w:r>
      <w:proofErr w:type="spellStart"/>
      <w:r w:rsidR="005567A7" w:rsidRPr="00BA15E6">
        <w:t>SubC</w:t>
      </w:r>
      <w:proofErr w:type="spellEnd"/>
      <w:r w:rsidR="005567A7" w:rsidRPr="00BA15E6">
        <w:t xml:space="preserve">. </w:t>
      </w:r>
      <w:r w:rsidR="005567A7" w:rsidRPr="00C951A6">
        <w:t xml:space="preserve">Subsequent coordination between Flight Opportunities and </w:t>
      </w:r>
      <w:proofErr w:type="spellStart"/>
      <w:r w:rsidR="005567A7" w:rsidRPr="00C951A6">
        <w:t>SubC</w:t>
      </w:r>
      <w:proofErr w:type="spellEnd"/>
      <w:r w:rsidR="005567A7" w:rsidRPr="00C951A6">
        <w:t xml:space="preserve"> resulted in </w:t>
      </w:r>
      <w:r w:rsidR="005567A7">
        <w:t>the following text in NASA Request for Proposal, Solicitation No. 80AFRC23R0001, Suborbital/Hosted Orbital Flight and Payload Integration Services 4 (FO IDIQ 4): “…</w:t>
      </w:r>
      <w:r w:rsidR="005567A7" w:rsidRPr="00536B5C">
        <w:rPr>
          <w:rFonts w:ascii="TimesNewRomanPSMT" w:hAnsi="TimesNewRomanPSMT" w:cs="TimesNewRomanPSMT"/>
        </w:rPr>
        <w:t xml:space="preserve"> </w:t>
      </w:r>
      <w:r w:rsidR="005567A7">
        <w:rPr>
          <w:rFonts w:ascii="TimesNewRomanPSMT" w:hAnsi="TimesNewRomanPSMT" w:cs="TimesNewRomanPSMT"/>
        </w:rPr>
        <w:t>the Government intends to acquire space for Government Suborbital Research Specialists to fly as passengers aboard those Qualified Vehicles capable of supporting human flight. The flights and other services provided are for NASA and other Government Agencies (OGAs) use” [5].</w:t>
      </w:r>
    </w:p>
    <w:p w14:paraId="534F58CE" w14:textId="7694315C" w:rsidR="00414C33" w:rsidRDefault="00414C33" w:rsidP="007B28D2">
      <w:pPr>
        <w:pStyle w:val="Heading1"/>
        <w:spacing w:after="60"/>
        <w:rPr>
          <w:rFonts w:ascii="TimesNewRomanPSMT" w:hAnsi="TimesNewRomanPSMT" w:cs="TimesNewRomanPSMT"/>
        </w:rPr>
      </w:pPr>
      <w:r>
        <w:t xml:space="preserve"> FAA Office of Commercial Space Transportation</w:t>
      </w:r>
    </w:p>
    <w:p w14:paraId="4A7F008B" w14:textId="240F9E47" w:rsidR="005A2328" w:rsidRDefault="005A2328" w:rsidP="005A2328">
      <w:pPr>
        <w:autoSpaceDE w:val="0"/>
        <w:autoSpaceDN w:val="0"/>
        <w:adjustRightInd w:val="0"/>
        <w:ind w:firstLine="288"/>
      </w:pPr>
      <w:bookmarkStart w:id="0" w:name="_Hlk148347250"/>
      <w:r w:rsidRPr="00CB0466">
        <w:rPr>
          <w:szCs w:val="24"/>
        </w:rPr>
        <w:t xml:space="preserve">The NASA </w:t>
      </w:r>
      <w:proofErr w:type="spellStart"/>
      <w:r w:rsidRPr="00CB0466">
        <w:rPr>
          <w:szCs w:val="24"/>
        </w:rPr>
        <w:t>SubC</w:t>
      </w:r>
      <w:proofErr w:type="spellEnd"/>
      <w:r>
        <w:rPr>
          <w:szCs w:val="24"/>
        </w:rPr>
        <w:t xml:space="preserve"> </w:t>
      </w:r>
      <w:r w:rsidRPr="00CB0466">
        <w:rPr>
          <w:szCs w:val="24"/>
        </w:rPr>
        <w:t xml:space="preserve">office is working with the Federal Aviation Administration’s </w:t>
      </w:r>
      <w:r>
        <w:rPr>
          <w:szCs w:val="24"/>
        </w:rPr>
        <w:t>O</w:t>
      </w:r>
      <w:r w:rsidRPr="00CB0466">
        <w:rPr>
          <w:szCs w:val="24"/>
        </w:rPr>
        <w:t>ffice of Commercial Space Transportation (FAA-AST) and the commercial suborbital space transportation industry to develop an efficient and holistic approach to a safety review and eventual government participation in suborbital flight.</w:t>
      </w:r>
      <w:r>
        <w:rPr>
          <w:szCs w:val="24"/>
        </w:rPr>
        <w:t xml:space="preserve"> </w:t>
      </w:r>
      <w:r w:rsidRPr="00D13214">
        <w:t xml:space="preserve">FAA is currently </w:t>
      </w:r>
      <w:r w:rsidRPr="007B28D2">
        <w:t>under a moratorium from Congress that prohibits the issuing of regulations intended to protect the health and safety of crew and spaceflight participants</w:t>
      </w:r>
      <w:r w:rsidR="001B53AB">
        <w:t>. A</w:t>
      </w:r>
      <w:r w:rsidR="00F702B5">
        <w:t xml:space="preserve">s of </w:t>
      </w:r>
      <w:proofErr w:type="gramStart"/>
      <w:r w:rsidR="00F702B5">
        <w:t>October 2023</w:t>
      </w:r>
      <w:proofErr w:type="gramEnd"/>
      <w:r w:rsidR="00F702B5">
        <w:t xml:space="preserve"> that</w:t>
      </w:r>
      <w:r w:rsidRPr="007B28D2">
        <w:t xml:space="preserve"> </w:t>
      </w:r>
      <w:r w:rsidR="00083911">
        <w:t>moratorium</w:t>
      </w:r>
      <w:r w:rsidRPr="007B28D2">
        <w:t xml:space="preserve"> </w:t>
      </w:r>
      <w:r w:rsidR="00F702B5">
        <w:t>wa</w:t>
      </w:r>
      <w:r w:rsidRPr="007B28D2">
        <w:t xml:space="preserve">s scheduled to expire in </w:t>
      </w:r>
      <w:r>
        <w:t>December 2023</w:t>
      </w:r>
      <w:r w:rsidR="001B53AB">
        <w:t xml:space="preserve"> but is likely to be extended</w:t>
      </w:r>
      <w:r w:rsidRPr="007B28D2">
        <w:t>.</w:t>
      </w:r>
      <w:r>
        <w:t xml:space="preserve"> </w:t>
      </w:r>
      <w:r w:rsidRPr="00D13214">
        <w:t xml:space="preserve">The moratorium </w:t>
      </w:r>
      <w:r>
        <w:t xml:space="preserve">(learning period) </w:t>
      </w:r>
      <w:r w:rsidRPr="00D13214">
        <w:t>was originally put in place in 2004 and was to last for eight years.</w:t>
      </w:r>
      <w:r>
        <w:t xml:space="preserve"> </w:t>
      </w:r>
      <w:r w:rsidRPr="00D13214">
        <w:t xml:space="preserve">The rationale was to </w:t>
      </w:r>
      <w:r>
        <w:t>assure</w:t>
      </w:r>
      <w:r w:rsidRPr="00D13214">
        <w:t xml:space="preserve"> that government regulations would not stifle the industry before adequate experience had been gained to inform the development of an appropriate set of regulations. </w:t>
      </w:r>
      <w:proofErr w:type="gramStart"/>
      <w:r w:rsidRPr="00D13214">
        <w:t>In light of</w:t>
      </w:r>
      <w:proofErr w:type="gramEnd"/>
      <w:r w:rsidRPr="00D13214">
        <w:t xml:space="preserve"> this moratorium, FAA-AST developed, and in 2014, published recommended practices for human space flight occupant safety and </w:t>
      </w:r>
      <w:r w:rsidR="005F0B62" w:rsidRPr="00D13214">
        <w:t>training, to serve as guidelines for developers.</w:t>
      </w:r>
      <w:r w:rsidR="005F0B62">
        <w:t xml:space="preserve"> </w:t>
      </w:r>
      <w:r w:rsidR="005F0B62" w:rsidRPr="00D13214">
        <w:t>This document, “Recommended Practices for Human Space Flight Occupant Safety” [</w:t>
      </w:r>
      <w:r w:rsidR="005F0B62">
        <w:t>6,7</w:t>
      </w:r>
      <w:r w:rsidR="005F0B62" w:rsidRPr="00D13214">
        <w:t xml:space="preserve">], was </w:t>
      </w:r>
      <w:r w:rsidR="005F0B62" w:rsidRPr="001F0044">
        <w:t>intended to be a starting point for a regulatory safety regime after the learning period expires.</w:t>
      </w:r>
      <w:r w:rsidR="005F0B62" w:rsidRPr="00D13214">
        <w:t xml:space="preserve"> </w:t>
      </w:r>
      <w:r w:rsidR="005F0B62">
        <w:t xml:space="preserve">In September 2023 </w:t>
      </w:r>
      <w:r w:rsidR="005F0B62" w:rsidRPr="00D13214">
        <w:t>FAA-AST updat</w:t>
      </w:r>
      <w:r w:rsidR="005F0B62">
        <w:t>ed</w:t>
      </w:r>
      <w:r w:rsidR="005F0B62" w:rsidRPr="00D13214">
        <w:t xml:space="preserve"> these recommended practices</w:t>
      </w:r>
      <w:r w:rsidR="005F0B62">
        <w:t xml:space="preserve"> </w:t>
      </w:r>
      <w:r w:rsidR="005F0B62" w:rsidRPr="00B44B1D">
        <w:rPr>
          <w:color w:val="000000"/>
        </w:rPr>
        <w:t>[</w:t>
      </w:r>
      <w:r w:rsidR="005F0B62">
        <w:rPr>
          <w:color w:val="000000"/>
        </w:rPr>
        <w:t>8</w:t>
      </w:r>
      <w:r w:rsidR="005F0B62" w:rsidRPr="00B44B1D">
        <w:rPr>
          <w:color w:val="000000"/>
        </w:rPr>
        <w:t>]</w:t>
      </w:r>
      <w:r w:rsidR="005F0B62" w:rsidRPr="00D13214">
        <w:t>.</w:t>
      </w:r>
      <w:r w:rsidR="005F0B62">
        <w:t xml:space="preserve"> </w:t>
      </w:r>
      <w:r w:rsidR="005F0B62" w:rsidRPr="00B44B1D">
        <w:t xml:space="preserve">The revised practices incorporate lessons learned from the </w:t>
      </w:r>
      <w:r w:rsidR="005F0B62">
        <w:t>CCP</w:t>
      </w:r>
      <w:r w:rsidR="005F0B62" w:rsidRPr="00B44B1D">
        <w:t xml:space="preserve"> and initial commercial human space flight operations. </w:t>
      </w:r>
    </w:p>
    <w:p w14:paraId="0544A5CC" w14:textId="26FBDFB6" w:rsidR="005A2328" w:rsidRPr="00D13214" w:rsidRDefault="005A2328" w:rsidP="005A2328">
      <w:pPr>
        <w:autoSpaceDE w:val="0"/>
        <w:autoSpaceDN w:val="0"/>
        <w:adjustRightInd w:val="0"/>
        <w:ind w:firstLine="288"/>
      </w:pPr>
      <w:r w:rsidRPr="00D13214">
        <w:t>To develop th</w:t>
      </w:r>
      <w:r>
        <w:t>ese</w:t>
      </w:r>
      <w:r w:rsidRPr="00D13214">
        <w:t xml:space="preserve"> document</w:t>
      </w:r>
      <w:r>
        <w:t>s</w:t>
      </w:r>
      <w:r w:rsidRPr="00D13214">
        <w:t xml:space="preserve">, FAA-AST worked closely with NASA, industry, and other key stakeholders. The </w:t>
      </w:r>
      <w:r>
        <w:t xml:space="preserve">original </w:t>
      </w:r>
      <w:r w:rsidRPr="00D13214">
        <w:t xml:space="preserve">document was the culmination of a 3-year effort, which involved researching existing human space flight standards, conducting a series of public teleconferences to gather recommendations, and soliciting feedback from the Commercial Space Transportation Advisory Committee (COMSTAC). FAA chose to primarily use NASA’s requirements and guidance for the </w:t>
      </w:r>
      <w:r>
        <w:t>CCP</w:t>
      </w:r>
      <w:r w:rsidRPr="00D13214">
        <w:t xml:space="preserve"> (1100 Series</w:t>
      </w:r>
      <w:r>
        <w:t>, Crew Transportation System Design Reference Missions</w:t>
      </w:r>
      <w:r w:rsidRPr="00D13214">
        <w:t>) as a guide</w:t>
      </w:r>
      <w:r w:rsidR="007D5B9B">
        <w:t xml:space="preserve"> [9]</w:t>
      </w:r>
      <w:r w:rsidRPr="00D13214">
        <w:t xml:space="preserve">. The purpose was not to copy NASA’s requirements but to use them to capture relevant safety concepts.  </w:t>
      </w:r>
    </w:p>
    <w:p w14:paraId="359939A8" w14:textId="463CC75C" w:rsidR="005A2328" w:rsidRDefault="005A2328" w:rsidP="005A2328">
      <w:pPr>
        <w:ind w:firstLine="288"/>
      </w:pPr>
      <w:r w:rsidRPr="00D13214">
        <w:t>The FAA document</w:t>
      </w:r>
      <w:r>
        <w:t>s</w:t>
      </w:r>
      <w:r w:rsidRPr="00D13214">
        <w:t xml:space="preserve"> address occupant safety only. Public safety and mission assurance are not directly addressed. Both orbital and suborbital flights are covered. Orbital vehicles are defined as those that stay on orbit for 2 weeks maximum and can return to earth in under 24 hours if necessary. Orbital rendezvous and docking, long duration flights, and flights beyond earth orbit are not explicitly covered. The period of coverage is from when occupants are first exposed to vehicle hazards prior to flight through when they are no longer exposed to </w:t>
      </w:r>
      <w:proofErr w:type="gramStart"/>
      <w:r w:rsidRPr="00D13214">
        <w:t xml:space="preserve">vehicle </w:t>
      </w:r>
      <w:r>
        <w:t xml:space="preserve"> </w:t>
      </w:r>
      <w:r w:rsidRPr="00D13214">
        <w:t>hazards</w:t>
      </w:r>
      <w:proofErr w:type="gramEnd"/>
      <w:r w:rsidRPr="00D13214">
        <w:t xml:space="preserve"> after landing.</w:t>
      </w:r>
      <w:r>
        <w:t xml:space="preserve"> </w:t>
      </w:r>
      <w:r w:rsidRPr="00D13214">
        <w:t xml:space="preserve">The </w:t>
      </w:r>
      <w:r>
        <w:t xml:space="preserve">102-page revised </w:t>
      </w:r>
      <w:r w:rsidRPr="00D13214">
        <w:t xml:space="preserve">document covers recommended practices in </w:t>
      </w:r>
      <w:r>
        <w:t>four</w:t>
      </w:r>
      <w:r w:rsidRPr="00D13214">
        <w:t xml:space="preserve"> categories, </w:t>
      </w:r>
      <w:r>
        <w:t xml:space="preserve">(1) General (cybersecurity, consensus standards, and configuration management), </w:t>
      </w:r>
      <w:r w:rsidRPr="00D13214">
        <w:t>(</w:t>
      </w:r>
      <w:r>
        <w:t>2</w:t>
      </w:r>
      <w:r w:rsidRPr="00D13214">
        <w:t xml:space="preserve">) Design (human needs and accommodations, human protection, flightworthiness, human/vehicle integration, </w:t>
      </w:r>
      <w:r>
        <w:t xml:space="preserve">extra vehicular activity, and </w:t>
      </w:r>
      <w:r w:rsidRPr="00D13214">
        <w:t>system safety), (</w:t>
      </w:r>
      <w:r>
        <w:t>3</w:t>
      </w:r>
      <w:r w:rsidRPr="00D13214">
        <w:t>) Manufacturing</w:t>
      </w:r>
      <w:r>
        <w:t xml:space="preserve"> and Maintenance (quality manufacturing, lifecycle risk sustainment, system maintainability, and manufacturing facilities)</w:t>
      </w:r>
      <w:r w:rsidRPr="00D13214">
        <w:t>, and (</w:t>
      </w:r>
      <w:r>
        <w:t>4</w:t>
      </w:r>
      <w:r w:rsidRPr="00D13214">
        <w:t>) Operations (management, system safety, planning, procedures &amp; rules, medical considerations, and training).</w:t>
      </w:r>
      <w:r>
        <w:t xml:space="preserve"> </w:t>
      </w:r>
      <w:r>
        <w:rPr>
          <w:color w:val="000000"/>
        </w:rPr>
        <w:t xml:space="preserve">Among </w:t>
      </w:r>
      <w:r w:rsidRPr="00B44B1D">
        <w:rPr>
          <w:color w:val="000000"/>
        </w:rPr>
        <w:t xml:space="preserve">the recommendations is a call for system operators to enhance cybersecurity measures </w:t>
      </w:r>
      <w:proofErr w:type="gramStart"/>
      <w:r w:rsidRPr="00B44B1D">
        <w:rPr>
          <w:color w:val="000000"/>
        </w:rPr>
        <w:t>in order to</w:t>
      </w:r>
      <w:proofErr w:type="gramEnd"/>
      <w:r w:rsidRPr="00B44B1D">
        <w:rPr>
          <w:color w:val="000000"/>
        </w:rPr>
        <w:t xml:space="preserve"> </w:t>
      </w:r>
      <w:r>
        <w:t>ensure protection against unauthorized access to critical vehicle functions.</w:t>
      </w:r>
      <w:r w:rsidRPr="00B44B1D">
        <w:rPr>
          <w:color w:val="000000"/>
        </w:rPr>
        <w:t xml:space="preserve"> Operators </w:t>
      </w:r>
      <w:proofErr w:type="gramStart"/>
      <w:r w:rsidRPr="00B44B1D">
        <w:rPr>
          <w:color w:val="000000"/>
        </w:rPr>
        <w:t>should  also</w:t>
      </w:r>
      <w:proofErr w:type="gramEnd"/>
      <w:r w:rsidRPr="00B44B1D">
        <w:rPr>
          <w:color w:val="000000"/>
        </w:rPr>
        <w:t xml:space="preserve"> develop and use voluntary consensus standards in support of human space flight occupant safety. </w:t>
      </w:r>
    </w:p>
    <w:p w14:paraId="5245C4DC" w14:textId="2789BC88" w:rsidR="005A2328" w:rsidRPr="00D13214" w:rsidRDefault="005A2328" w:rsidP="005A2328">
      <w:pPr>
        <w:ind w:firstLine="288"/>
      </w:pPr>
      <w:r w:rsidRPr="00D13214">
        <w:t xml:space="preserve">No specific level of safety (risk) is defined due to </w:t>
      </w:r>
      <w:r w:rsidR="005A5616">
        <w:t xml:space="preserve">the </w:t>
      </w:r>
      <w:r w:rsidRPr="00D13214">
        <w:t xml:space="preserve">wide variety of systems and flight profiles. Two levels of care are articulated: (1) occupants should not experience an environment during flight that would cause death or severe injury, and (2) the level of care for the flight crew when performing safety critical operations is increased to a level necessary to perform those operations. In an emergency the same level of care is not expected to be maintained – only </w:t>
      </w:r>
      <w:r w:rsidRPr="00D13214">
        <w:lastRenderedPageBreak/>
        <w:t>a reasonable chance of survival is mandated. Key assumptions were: (1) Each flight crew member is safety-critical, (2) SFPs may be called upon to perform limited safety-critical tasks, and (3) clean sheet philosophy – no other regulations act to protect occupants from harm. There are several notable omissions: First, although medical consultation is recommended, SFPs are free to assess their individual risk. Second, long-term health issues from ionizing radiation are not addressed. Third, integration of occupant and public safety was stated to be an area for future FAA-AST work.</w:t>
      </w:r>
    </w:p>
    <w:p w14:paraId="599E1C2A" w14:textId="6A10CC1E" w:rsidR="005A2328" w:rsidRDefault="005A2328" w:rsidP="005A2328">
      <w:pPr>
        <w:ind w:firstLine="288"/>
      </w:pPr>
      <w:r>
        <w:t>The FAA has launched a Human Space Flight Occupant Safety Aerospace Rulemaking Committee (</w:t>
      </w:r>
      <w:proofErr w:type="spellStart"/>
      <w:r>
        <w:t>SpARC</w:t>
      </w:r>
      <w:proofErr w:type="spellEnd"/>
      <w:r>
        <w:t xml:space="preserve">) to examine human spaceflight occupant safety. The committee </w:t>
      </w:r>
      <w:r w:rsidR="00F702B5">
        <w:t>is working</w:t>
      </w:r>
      <w:r>
        <w:t xml:space="preserve"> with members of the commercial space industry and “other stakeholders” to provide recommendations to inform a “thoughtful regulatory regime for commercial human spaceflight safety,” according to the committee’s charter [</w:t>
      </w:r>
      <w:r w:rsidR="00393153">
        <w:t>10</w:t>
      </w:r>
      <w:r>
        <w:t>]</w:t>
      </w:r>
      <w:r w:rsidR="00393880">
        <w:t>.</w:t>
      </w:r>
    </w:p>
    <w:p w14:paraId="0E636650" w14:textId="774BE717" w:rsidR="000058AC" w:rsidRDefault="000058AC" w:rsidP="0006517B">
      <w:pPr>
        <w:pStyle w:val="Heading1"/>
        <w:spacing w:after="60"/>
        <w:rPr>
          <w:rFonts w:ascii="TimesNewRomanPSMT" w:hAnsi="TimesNewRomanPSMT" w:cs="TimesNewRomanPSMT"/>
        </w:rPr>
      </w:pPr>
      <w:r>
        <w:t xml:space="preserve">  Voluntary Consensus Standards</w:t>
      </w:r>
    </w:p>
    <w:bookmarkEnd w:id="0"/>
    <w:p w14:paraId="45E47DEC" w14:textId="695D19C6" w:rsidR="000058AC" w:rsidRPr="00503F7D" w:rsidRDefault="000058AC" w:rsidP="003D547E">
      <w:pPr>
        <w:ind w:firstLine="288"/>
      </w:pPr>
      <w:r w:rsidRPr="00503F7D">
        <w:rPr>
          <w:shd w:val="clear" w:color="auto" w:fill="FFFFFF"/>
        </w:rPr>
        <w:t>Voluntary Consensus Standards are another element being addressed</w:t>
      </w:r>
      <w:r w:rsidR="003416FE">
        <w:rPr>
          <w:shd w:val="clear" w:color="auto" w:fill="FFFFFF"/>
        </w:rPr>
        <w:t xml:space="preserve"> by the </w:t>
      </w:r>
      <w:proofErr w:type="spellStart"/>
      <w:r w:rsidR="003416FE">
        <w:rPr>
          <w:shd w:val="clear" w:color="auto" w:fill="FFFFFF"/>
        </w:rPr>
        <w:t>SubC</w:t>
      </w:r>
      <w:proofErr w:type="spellEnd"/>
      <w:r w:rsidR="003416FE">
        <w:rPr>
          <w:shd w:val="clear" w:color="auto" w:fill="FFFFFF"/>
        </w:rPr>
        <w:t xml:space="preserve"> team</w:t>
      </w:r>
      <w:r w:rsidRPr="00503F7D">
        <w:rPr>
          <w:shd w:val="clear" w:color="auto" w:fill="FFFFFF"/>
        </w:rPr>
        <w:t xml:space="preserve">. </w:t>
      </w:r>
      <w:r w:rsidR="00404BDC">
        <w:rPr>
          <w:shd w:val="clear" w:color="auto" w:fill="FFFFFF"/>
        </w:rPr>
        <w:t xml:space="preserve">As mentioned in the previous section, </w:t>
      </w:r>
      <w:r w:rsidR="00BC62CE">
        <w:rPr>
          <w:shd w:val="clear" w:color="auto" w:fill="FFFFFF"/>
        </w:rPr>
        <w:t xml:space="preserve">the </w:t>
      </w:r>
      <w:r w:rsidR="00404BDC">
        <w:rPr>
          <w:shd w:val="clear" w:color="auto" w:fill="FFFFFF"/>
        </w:rPr>
        <w:t>FAA’s updated recommended practices state that o</w:t>
      </w:r>
      <w:r w:rsidR="00404BDC" w:rsidRPr="00B44B1D">
        <w:rPr>
          <w:color w:val="000000"/>
        </w:rPr>
        <w:t>perators should develop and use voluntary consensus standards in support of human space flight occupant safety. </w:t>
      </w:r>
      <w:r w:rsidRPr="00503F7D">
        <w:rPr>
          <w:shd w:val="clear" w:color="auto" w:fill="FFFFFF"/>
        </w:rPr>
        <w:t xml:space="preserve">Two key international committees developing consensus standards addressing human spaceflight safety are (1) the International Organization for Standardization (ISO) </w:t>
      </w:r>
      <w:r w:rsidRPr="00503F7D">
        <w:t xml:space="preserve">Technical Committee 20 on Aircraft and Space Vehicles, and (2) </w:t>
      </w:r>
      <w:r w:rsidRPr="00503F7D">
        <w:rPr>
          <w:shd w:val="clear" w:color="auto" w:fill="FFFFFF"/>
        </w:rPr>
        <w:t>ASTM International Committee F47 on Commercial Spaceflight</w:t>
      </w:r>
      <w:r w:rsidR="002B6D4E">
        <w:rPr>
          <w:shd w:val="clear" w:color="auto" w:fill="FFFFFF"/>
        </w:rPr>
        <w:t xml:space="preserve"> </w:t>
      </w:r>
      <w:r w:rsidR="00D73937">
        <w:rPr>
          <w:shd w:val="clear" w:color="auto" w:fill="FFFFFF"/>
        </w:rPr>
        <w:t>[1</w:t>
      </w:r>
      <w:r w:rsidR="00393153">
        <w:rPr>
          <w:shd w:val="clear" w:color="auto" w:fill="FFFFFF"/>
        </w:rPr>
        <w:t>1</w:t>
      </w:r>
      <w:r w:rsidR="002B6D4E">
        <w:rPr>
          <w:shd w:val="clear" w:color="auto" w:fill="FFFFFF"/>
        </w:rPr>
        <w:t>]</w:t>
      </w:r>
      <w:r w:rsidR="00393880">
        <w:rPr>
          <w:shd w:val="clear" w:color="auto" w:fill="FFFFFF"/>
        </w:rPr>
        <w:t>.</w:t>
      </w:r>
    </w:p>
    <w:p w14:paraId="69BF9B2D" w14:textId="77777777" w:rsidR="000058AC" w:rsidRPr="00503F7D" w:rsidRDefault="000058AC" w:rsidP="003D547E">
      <w:pPr>
        <w:ind w:firstLine="288"/>
      </w:pPr>
      <w:r w:rsidRPr="00503F7D">
        <w:t>Example standards that have been issued by ISO TC20 include:</w:t>
      </w:r>
    </w:p>
    <w:p w14:paraId="76B10262" w14:textId="77777777" w:rsidR="000058AC" w:rsidRPr="00503F7D" w:rsidRDefault="000058AC" w:rsidP="000058AC">
      <w:pPr>
        <w:pStyle w:val="ListParagraph"/>
        <w:numPr>
          <w:ilvl w:val="0"/>
          <w:numId w:val="33"/>
        </w:numPr>
        <w:contextualSpacing/>
        <w:rPr>
          <w:rFonts w:ascii="Times New Roman" w:hAnsi="Times New Roman"/>
          <w:sz w:val="20"/>
          <w:szCs w:val="20"/>
        </w:rPr>
      </w:pPr>
      <w:r w:rsidRPr="00503F7D">
        <w:rPr>
          <w:rFonts w:ascii="Times New Roman" w:hAnsi="Times New Roman"/>
          <w:sz w:val="20"/>
          <w:szCs w:val="20"/>
        </w:rPr>
        <w:t>ISO 14620-3:2021 – Space systems – Safety requirements – Part 3: Flight safety systems, 08/04/2021</w:t>
      </w:r>
    </w:p>
    <w:p w14:paraId="7FB55F29" w14:textId="77777777" w:rsidR="000058AC" w:rsidRPr="00503F7D" w:rsidRDefault="000058AC" w:rsidP="000058AC">
      <w:pPr>
        <w:pStyle w:val="ListParagraph"/>
        <w:numPr>
          <w:ilvl w:val="0"/>
          <w:numId w:val="33"/>
        </w:numPr>
        <w:contextualSpacing/>
        <w:rPr>
          <w:rFonts w:ascii="Times New Roman" w:hAnsi="Times New Roman"/>
          <w:sz w:val="20"/>
          <w:szCs w:val="20"/>
        </w:rPr>
      </w:pPr>
      <w:r w:rsidRPr="00503F7D">
        <w:rPr>
          <w:rFonts w:ascii="Times New Roman" w:hAnsi="Times New Roman"/>
          <w:sz w:val="20"/>
          <w:szCs w:val="20"/>
        </w:rPr>
        <w:t>ISO 17763:2018 – Space systems – Human-life activity support systems and equipment integration in space flight – main document, 08/28/2018</w:t>
      </w:r>
    </w:p>
    <w:p w14:paraId="6C10A7F2" w14:textId="77777777" w:rsidR="000058AC" w:rsidRPr="00503F7D" w:rsidRDefault="000058AC" w:rsidP="000058AC">
      <w:pPr>
        <w:pStyle w:val="ListParagraph"/>
        <w:numPr>
          <w:ilvl w:val="0"/>
          <w:numId w:val="33"/>
        </w:numPr>
        <w:contextualSpacing/>
        <w:rPr>
          <w:rFonts w:ascii="Times New Roman" w:hAnsi="Times New Roman"/>
          <w:sz w:val="20"/>
          <w:szCs w:val="20"/>
        </w:rPr>
      </w:pPr>
      <w:r w:rsidRPr="00503F7D">
        <w:rPr>
          <w:rFonts w:ascii="Times New Roman" w:hAnsi="Times New Roman"/>
          <w:sz w:val="20"/>
          <w:szCs w:val="20"/>
        </w:rPr>
        <w:t>ISO 16157:2018 – Space systems – Human-life activity support systems and equipment integration in space flight – Techno-medical requirements for space vehicle human habitation environments, 06/25/2018</w:t>
      </w:r>
    </w:p>
    <w:p w14:paraId="5607D916" w14:textId="77777777" w:rsidR="000058AC" w:rsidRPr="00503F7D" w:rsidRDefault="000058AC" w:rsidP="000058AC">
      <w:pPr>
        <w:pStyle w:val="ListParagraph"/>
        <w:numPr>
          <w:ilvl w:val="0"/>
          <w:numId w:val="33"/>
        </w:numPr>
        <w:contextualSpacing/>
        <w:rPr>
          <w:rFonts w:ascii="Times New Roman" w:hAnsi="Times New Roman"/>
          <w:sz w:val="20"/>
          <w:szCs w:val="20"/>
        </w:rPr>
      </w:pPr>
      <w:r w:rsidRPr="00503F7D">
        <w:rPr>
          <w:rFonts w:ascii="Times New Roman" w:hAnsi="Times New Roman"/>
          <w:sz w:val="20"/>
          <w:szCs w:val="20"/>
        </w:rPr>
        <w:t xml:space="preserve">ISO 16126:2018 – Space systems – Human-life activity support systems and equipment integration in space flight – Techno-medical requirements for space vehicle human habitation environments – Requirements for the air quality affected by harmful chemical contaminants, </w:t>
      </w:r>
      <w:proofErr w:type="gramStart"/>
      <w:r w:rsidRPr="00503F7D">
        <w:rPr>
          <w:rFonts w:ascii="Times New Roman" w:hAnsi="Times New Roman"/>
          <w:sz w:val="20"/>
          <w:szCs w:val="20"/>
        </w:rPr>
        <w:t>04/26/2018</w:t>
      </w:r>
      <w:proofErr w:type="gramEnd"/>
    </w:p>
    <w:p w14:paraId="062009AC" w14:textId="1F588788" w:rsidR="000058AC" w:rsidRPr="00503F7D" w:rsidRDefault="000058AC" w:rsidP="003D547E">
      <w:pPr>
        <w:spacing w:before="120"/>
        <w:ind w:firstLine="288"/>
      </w:pPr>
      <w:r w:rsidRPr="00503F7D">
        <w:rPr>
          <w:shd w:val="clear" w:color="auto" w:fill="FFFFFF"/>
        </w:rPr>
        <w:t xml:space="preserve">ASTM International’s Committee F47 on Commercial Spaceflight, formed in 2016, is developing and maintaining </w:t>
      </w:r>
      <w:r w:rsidRPr="00503F7D">
        <w:t xml:space="preserve">voluntary consensus standards and recommended practices for the commercial spaceflight industry. The voluntary consensus standards are being developed by groups of </w:t>
      </w:r>
      <w:r w:rsidR="00554C62">
        <w:t>SME</w:t>
      </w:r>
      <w:r w:rsidRPr="00503F7D">
        <w:t xml:space="preserve">s through a formal drafting and review process. </w:t>
      </w:r>
      <w:r w:rsidRPr="00503F7D">
        <w:rPr>
          <w:shd w:val="clear" w:color="auto" w:fill="FFFFFF"/>
        </w:rPr>
        <w:t xml:space="preserve">Technical subcommittees develop and maintain these standards and recommended practices. Specific areas addressed </w:t>
      </w:r>
      <w:r w:rsidRPr="00503F7D">
        <w:t xml:space="preserve">include design, manufacturing, and operational use of vehicles used for spaceflight as well as human spaceflight safety. </w:t>
      </w:r>
      <w:r>
        <w:t>S</w:t>
      </w:r>
      <w:r w:rsidRPr="00503F7D">
        <w:t xml:space="preserve">takeholders represented include vehicle operators and parts manufacturers, the Commercial Spaceflight Federation (CSF), regulators including </w:t>
      </w:r>
      <w:r w:rsidR="005A5616">
        <w:t>FAA-AST</w:t>
      </w:r>
      <w:r w:rsidRPr="00503F7D">
        <w:t>, US Government users including NASA Centers and Headquarters, National Air Space (NAS) users, spaceport operators, medical professionals, the AIAA, academia, and other interested stakeholders.</w:t>
      </w:r>
    </w:p>
    <w:p w14:paraId="161FB572" w14:textId="3C17943B" w:rsidR="000058AC" w:rsidRPr="00503F7D" w:rsidRDefault="000058AC" w:rsidP="003D547E">
      <w:pPr>
        <w:ind w:firstLine="288"/>
      </w:pPr>
      <w:r w:rsidRPr="00503F7D">
        <w:t xml:space="preserve">Example standards that have been issued by ASTM </w:t>
      </w:r>
      <w:r w:rsidR="000A7E1F">
        <w:t xml:space="preserve">International </w:t>
      </w:r>
      <w:r w:rsidRPr="00503F7D">
        <w:t>Committee F47 include:</w:t>
      </w:r>
    </w:p>
    <w:p w14:paraId="5980A576" w14:textId="77777777" w:rsidR="000058AC" w:rsidRPr="0006517B" w:rsidRDefault="00000000" w:rsidP="000058AC">
      <w:pPr>
        <w:pStyle w:val="ml-2"/>
        <w:numPr>
          <w:ilvl w:val="0"/>
          <w:numId w:val="34"/>
        </w:numPr>
        <w:shd w:val="clear" w:color="auto" w:fill="FFFFFF"/>
        <w:spacing w:before="0" w:beforeAutospacing="0" w:after="0" w:afterAutospacing="0"/>
        <w:rPr>
          <w:rFonts w:eastAsia="Times New Roman"/>
          <w:sz w:val="20"/>
          <w:szCs w:val="20"/>
        </w:rPr>
      </w:pPr>
      <w:hyperlink r:id="rId11" w:history="1">
        <w:r w:rsidR="000058AC" w:rsidRPr="0006517B">
          <w:rPr>
            <w:rStyle w:val="Hyperlink"/>
            <w:rFonts w:eastAsia="Times New Roman"/>
            <w:szCs w:val="20"/>
            <w:u w:val="none"/>
          </w:rPr>
          <w:t>F3479-20 Standard Specification for Failure Tolerance for Occupant Safety of Suborbital Vehicles</w:t>
        </w:r>
      </w:hyperlink>
    </w:p>
    <w:p w14:paraId="375891E9" w14:textId="77777777" w:rsidR="000058AC" w:rsidRPr="0006517B" w:rsidRDefault="00000000" w:rsidP="000058AC">
      <w:pPr>
        <w:pStyle w:val="ml-2"/>
        <w:numPr>
          <w:ilvl w:val="0"/>
          <w:numId w:val="34"/>
        </w:numPr>
        <w:shd w:val="clear" w:color="auto" w:fill="FFFFFF"/>
        <w:spacing w:before="0" w:beforeAutospacing="0" w:after="0" w:afterAutospacing="0"/>
        <w:rPr>
          <w:rFonts w:eastAsia="Times New Roman"/>
          <w:sz w:val="20"/>
          <w:szCs w:val="20"/>
        </w:rPr>
      </w:pPr>
      <w:hyperlink r:id="rId12" w:history="1">
        <w:r w:rsidR="000058AC" w:rsidRPr="0006517B">
          <w:rPr>
            <w:rStyle w:val="Hyperlink"/>
            <w:rFonts w:eastAsia="Times New Roman"/>
            <w:szCs w:val="20"/>
            <w:u w:val="none"/>
          </w:rPr>
          <w:t>F3520-21 Standard Guide for Training and Qualification of Safety-Critical Space Operations Personnel</w:t>
        </w:r>
      </w:hyperlink>
    </w:p>
    <w:p w14:paraId="5BE25CA7" w14:textId="77777777" w:rsidR="000058AC" w:rsidRPr="0006517B" w:rsidRDefault="00000000" w:rsidP="000058AC">
      <w:pPr>
        <w:pStyle w:val="ml-2"/>
        <w:numPr>
          <w:ilvl w:val="0"/>
          <w:numId w:val="34"/>
        </w:numPr>
        <w:shd w:val="clear" w:color="auto" w:fill="FFFFFF"/>
        <w:spacing w:before="0" w:beforeAutospacing="0" w:after="0" w:afterAutospacing="0"/>
        <w:rPr>
          <w:rFonts w:eastAsia="Times New Roman"/>
          <w:sz w:val="20"/>
          <w:szCs w:val="20"/>
        </w:rPr>
      </w:pPr>
      <w:hyperlink r:id="rId13" w:history="1">
        <w:r w:rsidR="000058AC" w:rsidRPr="0006517B">
          <w:rPr>
            <w:rStyle w:val="Hyperlink"/>
            <w:rFonts w:eastAsia="Times New Roman"/>
            <w:szCs w:val="20"/>
            <w:u w:val="none"/>
          </w:rPr>
          <w:t>F3610-23 Standard Classification for Descriptions of Spaceport Capabilities</w:t>
        </w:r>
      </w:hyperlink>
    </w:p>
    <w:p w14:paraId="556D2565" w14:textId="7AD05B33" w:rsidR="00125B83" w:rsidRPr="0006517B" w:rsidRDefault="00000000" w:rsidP="00C15E75">
      <w:pPr>
        <w:pStyle w:val="ml-2"/>
        <w:numPr>
          <w:ilvl w:val="0"/>
          <w:numId w:val="34"/>
        </w:numPr>
        <w:shd w:val="clear" w:color="auto" w:fill="FFFFFF"/>
        <w:spacing w:before="0" w:beforeAutospacing="0" w:after="0" w:afterAutospacing="0"/>
        <w:rPr>
          <w:rFonts w:eastAsia="Times New Roman"/>
          <w:sz w:val="20"/>
          <w:szCs w:val="20"/>
        </w:rPr>
      </w:pPr>
      <w:hyperlink r:id="rId14" w:history="1">
        <w:r w:rsidR="000058AC" w:rsidRPr="0006517B">
          <w:rPr>
            <w:rStyle w:val="Hyperlink"/>
            <w:rFonts w:eastAsia="Times New Roman"/>
            <w:szCs w:val="20"/>
            <w:u w:val="none"/>
          </w:rPr>
          <w:t>F3550-22 Standard Guide for Classifying Safety-Related Events</w:t>
        </w:r>
      </w:hyperlink>
    </w:p>
    <w:p w14:paraId="787CB6FB" w14:textId="015884FD" w:rsidR="00C15E75" w:rsidRDefault="00C15E75" w:rsidP="00C15E75">
      <w:pPr>
        <w:pStyle w:val="Heading1"/>
        <w:spacing w:after="60"/>
        <w:rPr>
          <w:rFonts w:ascii="TimesNewRomanPSMT" w:hAnsi="TimesNewRomanPSMT" w:cs="TimesNewRomanPSMT"/>
        </w:rPr>
      </w:pPr>
      <w:r>
        <w:t xml:space="preserve">  Conclusion</w:t>
      </w:r>
      <w:r w:rsidR="00617166">
        <w:t>s</w:t>
      </w:r>
    </w:p>
    <w:p w14:paraId="4099DE6F" w14:textId="225437DC" w:rsidR="00552A93" w:rsidRPr="000058AC" w:rsidRDefault="00552A93" w:rsidP="00552A93">
      <w:pPr>
        <w:ind w:firstLine="288"/>
      </w:pPr>
      <w:r w:rsidRPr="00C15E75">
        <w:t xml:space="preserve">NASA’s Safety Case Assessment approach is </w:t>
      </w:r>
      <w:r>
        <w:t>a methodology that is currently used in multiple industries but has not previously been applied to human spaceflight</w:t>
      </w:r>
      <w:r w:rsidRPr="00C15E75">
        <w:t xml:space="preserve">. </w:t>
      </w:r>
      <w:r>
        <w:t xml:space="preserve">In the current era of spaceflight, where companies are designing capabilities independent of NASA contracts, completing a </w:t>
      </w:r>
      <w:r w:rsidR="007F1894">
        <w:t>S</w:t>
      </w:r>
      <w:r>
        <w:t xml:space="preserve">afety </w:t>
      </w:r>
      <w:r w:rsidR="007F1894">
        <w:t>C</w:t>
      </w:r>
      <w:r>
        <w:t xml:space="preserve">ase assessment facilitates NASA insight into the operator’s designs and processes by a small and focused team. In the future, </w:t>
      </w:r>
      <w:r w:rsidRPr="00C15E75">
        <w:t xml:space="preserve">NASA will continue to work with industry providers and international initiatives to find the most effective methods </w:t>
      </w:r>
      <w:r>
        <w:t xml:space="preserve">for </w:t>
      </w:r>
      <w:r w:rsidRPr="00C15E75">
        <w:t>ensuring success. NASA’s approach seeks to provide value, not just as a risk-assessment activity, but to expand possibilities for how government and industry can work together for a common goal.</w:t>
      </w:r>
    </w:p>
    <w:p w14:paraId="755DDD5A" w14:textId="48C83170" w:rsidR="00A1533D" w:rsidRPr="00310530" w:rsidRDefault="00F565BA" w:rsidP="00310530">
      <w:pPr>
        <w:keepNext/>
        <w:spacing w:before="240" w:after="60"/>
        <w:ind w:left="180"/>
        <w:jc w:val="center"/>
        <w:outlineLvl w:val="0"/>
        <w:rPr>
          <w:b/>
          <w:kern w:val="32"/>
          <w:sz w:val="22"/>
        </w:rPr>
      </w:pPr>
      <w:r w:rsidRPr="00F565BA">
        <w:rPr>
          <w:b/>
          <w:kern w:val="32"/>
          <w:sz w:val="22"/>
        </w:rPr>
        <w:t>References</w:t>
      </w:r>
    </w:p>
    <w:p w14:paraId="00D85EE1" w14:textId="2BC493D1" w:rsidR="009B4DA6" w:rsidRPr="00D73937" w:rsidRDefault="009B4DA6" w:rsidP="00D73937">
      <w:pPr>
        <w:pStyle w:val="Default"/>
        <w:ind w:left="360" w:hanging="360"/>
        <w:rPr>
          <w:rFonts w:ascii="Times New Roman" w:hAnsi="Times New Roman" w:cs="Times New Roman"/>
          <w:sz w:val="18"/>
          <w:szCs w:val="18"/>
        </w:rPr>
      </w:pPr>
      <w:r w:rsidRPr="00D73937">
        <w:rPr>
          <w:rFonts w:ascii="Times New Roman" w:hAnsi="Times New Roman" w:cs="Times New Roman"/>
          <w:sz w:val="18"/>
          <w:szCs w:val="18"/>
        </w:rPr>
        <w:t>[1</w:t>
      </w:r>
      <w:proofErr w:type="gramStart"/>
      <w:r w:rsidRPr="00D73937">
        <w:rPr>
          <w:rFonts w:ascii="Times New Roman" w:hAnsi="Times New Roman" w:cs="Times New Roman"/>
          <w:sz w:val="18"/>
          <w:szCs w:val="18"/>
        </w:rPr>
        <w:t xml:space="preserve">] </w:t>
      </w:r>
      <w:r w:rsidR="007E346D">
        <w:rPr>
          <w:rFonts w:ascii="Times New Roman" w:hAnsi="Times New Roman" w:cs="Times New Roman"/>
          <w:sz w:val="18"/>
          <w:szCs w:val="18"/>
        </w:rPr>
        <w:t xml:space="preserve"> </w:t>
      </w:r>
      <w:r w:rsidRPr="00D73937">
        <w:rPr>
          <w:rFonts w:ascii="Times New Roman" w:hAnsi="Times New Roman" w:cs="Times New Roman"/>
          <w:sz w:val="18"/>
          <w:szCs w:val="18"/>
        </w:rPr>
        <w:t>“</w:t>
      </w:r>
      <w:proofErr w:type="gramEnd"/>
      <w:r w:rsidRPr="00D73937">
        <w:rPr>
          <w:rFonts w:ascii="Times New Roman" w:hAnsi="Times New Roman" w:cs="Times New Roman"/>
          <w:sz w:val="18"/>
          <w:szCs w:val="18"/>
        </w:rPr>
        <w:t xml:space="preserve">Acquisition Safety and Environmental Management System,” United Kingdom Ministry of </w:t>
      </w:r>
      <w:proofErr w:type="spellStart"/>
      <w:r w:rsidRPr="00D73937">
        <w:rPr>
          <w:rFonts w:ascii="Times New Roman" w:hAnsi="Times New Roman" w:cs="Times New Roman"/>
          <w:sz w:val="18"/>
          <w:szCs w:val="18"/>
        </w:rPr>
        <w:t>Defence</w:t>
      </w:r>
      <w:proofErr w:type="spellEnd"/>
      <w:r w:rsidRPr="00D73937">
        <w:rPr>
          <w:rFonts w:ascii="Times New Roman" w:hAnsi="Times New Roman" w:cs="Times New Roman"/>
          <w:sz w:val="18"/>
          <w:szCs w:val="18"/>
        </w:rPr>
        <w:t xml:space="preserve">, January 31, 2020. </w:t>
      </w:r>
    </w:p>
    <w:p w14:paraId="07BC88AD" w14:textId="728BB44E" w:rsidR="009B4DA6" w:rsidRPr="00D73937" w:rsidRDefault="009B4DA6" w:rsidP="00D73937">
      <w:pPr>
        <w:ind w:left="360" w:hanging="360"/>
        <w:rPr>
          <w:sz w:val="18"/>
          <w:szCs w:val="18"/>
        </w:rPr>
      </w:pPr>
      <w:r w:rsidRPr="00D73937">
        <w:rPr>
          <w:sz w:val="18"/>
          <w:szCs w:val="18"/>
        </w:rPr>
        <w:lastRenderedPageBreak/>
        <w:t xml:space="preserve">[2] </w:t>
      </w:r>
      <w:r w:rsidR="00D73937">
        <w:rPr>
          <w:sz w:val="18"/>
          <w:szCs w:val="18"/>
        </w:rPr>
        <w:t xml:space="preserve"> </w:t>
      </w:r>
      <w:r w:rsidRPr="00D73937">
        <w:rPr>
          <w:sz w:val="18"/>
          <w:szCs w:val="18"/>
        </w:rPr>
        <w:t xml:space="preserve">Koller, J. S, and </w:t>
      </w:r>
      <w:proofErr w:type="spellStart"/>
      <w:r w:rsidRPr="00D73937">
        <w:rPr>
          <w:sz w:val="18"/>
          <w:szCs w:val="18"/>
        </w:rPr>
        <w:t>Nield</w:t>
      </w:r>
      <w:proofErr w:type="spellEnd"/>
      <w:r w:rsidRPr="00D73937">
        <w:rPr>
          <w:sz w:val="18"/>
          <w:szCs w:val="18"/>
        </w:rPr>
        <w:t>, G. C., “Human Spaceflight Safety: Regulatory Issues and Mitigating Concepts,” Center for Space Policy &amp; Strategy, The Aerospace Corporation, November 2020</w:t>
      </w:r>
      <w:r w:rsidR="00393153">
        <w:rPr>
          <w:sz w:val="18"/>
          <w:szCs w:val="18"/>
        </w:rPr>
        <w:t>,</w:t>
      </w:r>
      <w:r w:rsidRPr="00D73937">
        <w:rPr>
          <w:sz w:val="18"/>
          <w:szCs w:val="18"/>
        </w:rPr>
        <w:t xml:space="preserve"> URL: </w:t>
      </w:r>
      <w:hyperlink r:id="rId15" w:history="1">
        <w:r w:rsidRPr="00D73937">
          <w:rPr>
            <w:rStyle w:val="Hyperlink"/>
            <w:sz w:val="18"/>
            <w:szCs w:val="18"/>
          </w:rPr>
          <w:t>https://csps.aerospace.org/sites/default/files/2021-08/Koller-Nield_HumanSpaceflight_20201112.pdf</w:t>
        </w:r>
      </w:hyperlink>
      <w:r w:rsidRPr="00D73937">
        <w:rPr>
          <w:sz w:val="18"/>
          <w:szCs w:val="18"/>
        </w:rPr>
        <w:t xml:space="preserve"> [retrieved 12 September 2023].</w:t>
      </w:r>
    </w:p>
    <w:p w14:paraId="5665173D" w14:textId="571F9297" w:rsidR="00092749" w:rsidRDefault="009B4DA6" w:rsidP="00092749">
      <w:pPr>
        <w:ind w:left="360" w:hanging="360"/>
        <w:rPr>
          <w:sz w:val="18"/>
          <w:szCs w:val="18"/>
        </w:rPr>
      </w:pPr>
      <w:r w:rsidRPr="00D73937">
        <w:rPr>
          <w:sz w:val="18"/>
          <w:szCs w:val="18"/>
        </w:rPr>
        <w:t xml:space="preserve">[3] </w:t>
      </w:r>
      <w:r w:rsidR="00D73937">
        <w:rPr>
          <w:sz w:val="18"/>
          <w:szCs w:val="18"/>
        </w:rPr>
        <w:t xml:space="preserve"> </w:t>
      </w:r>
      <w:r w:rsidR="002660D0">
        <w:rPr>
          <w:sz w:val="18"/>
          <w:szCs w:val="18"/>
        </w:rPr>
        <w:t xml:space="preserve"> </w:t>
      </w:r>
      <w:r w:rsidR="00DA4A13" w:rsidRPr="00D73937">
        <w:rPr>
          <w:sz w:val="18"/>
          <w:szCs w:val="18"/>
        </w:rPr>
        <w:t xml:space="preserve">Kelly, J. W., Hamlin, E. M., McCulloch, D. D., </w:t>
      </w:r>
      <w:proofErr w:type="spellStart"/>
      <w:r w:rsidR="00DA4A13" w:rsidRPr="00D73937">
        <w:rPr>
          <w:sz w:val="18"/>
          <w:szCs w:val="18"/>
        </w:rPr>
        <w:t>Moxey</w:t>
      </w:r>
      <w:proofErr w:type="spellEnd"/>
      <w:r w:rsidR="00DA4A13" w:rsidRPr="00D73937">
        <w:rPr>
          <w:sz w:val="18"/>
          <w:szCs w:val="18"/>
        </w:rPr>
        <w:t xml:space="preserve">, L. E., Seibold, R. W., Crispi, G. G. Ord, S. F. and van Dijk, A., “A Decade of Technology Maturation Through NASA’s Flight Opportunities Program,” </w:t>
      </w:r>
      <w:r w:rsidR="00DA4A13" w:rsidRPr="00D73937">
        <w:rPr>
          <w:i/>
          <w:iCs/>
          <w:sz w:val="18"/>
          <w:szCs w:val="18"/>
        </w:rPr>
        <w:t>AIAA ASCEND Forum</w:t>
      </w:r>
      <w:r w:rsidR="00DA4A13" w:rsidRPr="00D73937">
        <w:rPr>
          <w:sz w:val="18"/>
          <w:szCs w:val="18"/>
        </w:rPr>
        <w:t>, Virtual Event, AIAA Paper 10.2514/6.2020-4135, November 16-18, 2020.</w:t>
      </w:r>
    </w:p>
    <w:p w14:paraId="08F9932D" w14:textId="7A3E615D" w:rsidR="00C50D12" w:rsidRPr="00D73937" w:rsidRDefault="00092749" w:rsidP="00092749">
      <w:pPr>
        <w:ind w:left="360" w:hanging="360"/>
        <w:rPr>
          <w:sz w:val="18"/>
          <w:szCs w:val="18"/>
        </w:rPr>
      </w:pPr>
      <w:r>
        <w:rPr>
          <w:sz w:val="18"/>
          <w:szCs w:val="18"/>
        </w:rPr>
        <w:t xml:space="preserve">[4}  </w:t>
      </w:r>
      <w:r w:rsidR="00C50D12" w:rsidRPr="00D73937">
        <w:rPr>
          <w:sz w:val="18"/>
          <w:szCs w:val="18"/>
        </w:rPr>
        <w:t xml:space="preserve">Seibold, R. W., Young, R., and </w:t>
      </w:r>
      <w:proofErr w:type="spellStart"/>
      <w:r w:rsidR="00C50D12" w:rsidRPr="00D73937">
        <w:rPr>
          <w:sz w:val="18"/>
          <w:szCs w:val="18"/>
        </w:rPr>
        <w:t>Demidovich</w:t>
      </w:r>
      <w:proofErr w:type="spellEnd"/>
      <w:r w:rsidR="00C50D12" w:rsidRPr="00D73937">
        <w:rPr>
          <w:sz w:val="18"/>
          <w:szCs w:val="18"/>
        </w:rPr>
        <w:t>, N. M. “Safety of Spaceflight Participants Aboard Suborbital Reusable Launch</w:t>
      </w:r>
      <w:r w:rsidR="007E346D">
        <w:rPr>
          <w:sz w:val="18"/>
          <w:szCs w:val="18"/>
        </w:rPr>
        <w:t xml:space="preserve"> </w:t>
      </w:r>
      <w:r>
        <w:rPr>
          <w:sz w:val="18"/>
          <w:szCs w:val="18"/>
        </w:rPr>
        <w:t xml:space="preserve"> </w:t>
      </w:r>
      <w:r w:rsidR="00C50D12" w:rsidRPr="00D73937">
        <w:rPr>
          <w:sz w:val="18"/>
          <w:szCs w:val="18"/>
        </w:rPr>
        <w:t xml:space="preserve">Vehicles – Background Research,” </w:t>
      </w:r>
      <w:r w:rsidR="00C50D12" w:rsidRPr="00D73937">
        <w:rPr>
          <w:i/>
          <w:sz w:val="18"/>
          <w:szCs w:val="18"/>
        </w:rPr>
        <w:t>10</w:t>
      </w:r>
      <w:r w:rsidR="00C50D12" w:rsidRPr="00D73937">
        <w:rPr>
          <w:i/>
          <w:sz w:val="18"/>
          <w:szCs w:val="18"/>
          <w:vertAlign w:val="superscript"/>
        </w:rPr>
        <w:t>th</w:t>
      </w:r>
      <w:r w:rsidR="00C50D12" w:rsidRPr="00D73937">
        <w:rPr>
          <w:i/>
          <w:sz w:val="18"/>
          <w:szCs w:val="18"/>
        </w:rPr>
        <w:t xml:space="preserve"> Conference, International Association for the Advancement of Space Safety (IAASS),</w:t>
      </w:r>
      <w:r w:rsidR="00C50D12" w:rsidRPr="00D73937">
        <w:rPr>
          <w:sz w:val="18"/>
          <w:szCs w:val="18"/>
        </w:rPr>
        <w:t xml:space="preserve"> El Segundo, CA, May 15-17, 2019</w:t>
      </w:r>
      <w:r w:rsidR="00393153">
        <w:rPr>
          <w:sz w:val="18"/>
          <w:szCs w:val="18"/>
        </w:rPr>
        <w:t>,</w:t>
      </w:r>
      <w:r w:rsidR="00C50D12" w:rsidRPr="00D73937">
        <w:rPr>
          <w:sz w:val="18"/>
          <w:szCs w:val="18"/>
        </w:rPr>
        <w:t xml:space="preserve">  </w:t>
      </w:r>
      <w:r w:rsidR="008B543B" w:rsidRPr="00CF4F1E">
        <w:rPr>
          <w:sz w:val="18"/>
          <w:szCs w:val="18"/>
        </w:rPr>
        <w:t xml:space="preserve">URL: </w:t>
      </w:r>
      <w:hyperlink r:id="rId16" w:history="1">
        <w:r w:rsidR="008B543B" w:rsidRPr="00CF4F1E">
          <w:rPr>
            <w:rStyle w:val="Hyperlink"/>
            <w:sz w:val="18"/>
            <w:szCs w:val="18"/>
          </w:rPr>
          <w:t>https://core.ac.uk/download/pdf/211016206.pdf</w:t>
        </w:r>
      </w:hyperlink>
      <w:r w:rsidR="008B543B" w:rsidRPr="00CF4F1E">
        <w:rPr>
          <w:sz w:val="18"/>
          <w:szCs w:val="18"/>
        </w:rPr>
        <w:t xml:space="preserve"> . </w:t>
      </w:r>
      <w:proofErr w:type="gramStart"/>
      <w:r w:rsidR="008B543B" w:rsidRPr="00CF4F1E">
        <w:rPr>
          <w:sz w:val="18"/>
          <w:szCs w:val="18"/>
        </w:rPr>
        <w:t>Also</w:t>
      </w:r>
      <w:proofErr w:type="gramEnd"/>
      <w:r w:rsidR="008B543B" w:rsidRPr="00CF4F1E">
        <w:rPr>
          <w:sz w:val="18"/>
          <w:szCs w:val="18"/>
        </w:rPr>
        <w:t xml:space="preserve"> at</w:t>
      </w:r>
      <w:r w:rsidR="008B543B">
        <w:rPr>
          <w:sz w:val="18"/>
          <w:szCs w:val="18"/>
        </w:rPr>
        <w:t xml:space="preserve"> </w:t>
      </w:r>
      <w:hyperlink r:id="rId17" w:history="1">
        <w:r w:rsidR="008B543B" w:rsidRPr="00A95379">
          <w:rPr>
            <w:rStyle w:val="Hyperlink"/>
            <w:sz w:val="18"/>
            <w:szCs w:val="18"/>
          </w:rPr>
          <w:t>https://ntrs.nasa.gov/api/citations/20190025274/downloads/20190025274.pdf</w:t>
        </w:r>
      </w:hyperlink>
      <w:r w:rsidR="008B543B">
        <w:rPr>
          <w:sz w:val="18"/>
          <w:szCs w:val="18"/>
        </w:rPr>
        <w:t xml:space="preserve"> [both </w:t>
      </w:r>
      <w:r>
        <w:rPr>
          <w:sz w:val="18"/>
          <w:szCs w:val="18"/>
        </w:rPr>
        <w:t>retrieved 11 October 2023</w:t>
      </w:r>
      <w:r w:rsidR="002660D0">
        <w:rPr>
          <w:sz w:val="18"/>
          <w:szCs w:val="18"/>
        </w:rPr>
        <w:t>].</w:t>
      </w:r>
    </w:p>
    <w:p w14:paraId="3274E1BA" w14:textId="695E4F3E" w:rsidR="001E44A4" w:rsidRPr="00D73937" w:rsidRDefault="001E44A4" w:rsidP="00913A33">
      <w:pPr>
        <w:tabs>
          <w:tab w:val="left" w:pos="360"/>
        </w:tabs>
        <w:ind w:left="360" w:hanging="360"/>
        <w:rPr>
          <w:sz w:val="18"/>
          <w:szCs w:val="18"/>
        </w:rPr>
      </w:pPr>
      <w:r w:rsidRPr="00D73937">
        <w:rPr>
          <w:sz w:val="18"/>
          <w:szCs w:val="18"/>
        </w:rPr>
        <w:t>[</w:t>
      </w:r>
      <w:r w:rsidR="009B4DA6" w:rsidRPr="00D73937">
        <w:rPr>
          <w:sz w:val="18"/>
          <w:szCs w:val="18"/>
        </w:rPr>
        <w:t>5</w:t>
      </w:r>
      <w:proofErr w:type="gramStart"/>
      <w:r w:rsidRPr="00D73937">
        <w:rPr>
          <w:sz w:val="18"/>
          <w:szCs w:val="18"/>
        </w:rPr>
        <w:t xml:space="preserve">] </w:t>
      </w:r>
      <w:r w:rsidR="00913A33">
        <w:rPr>
          <w:sz w:val="18"/>
          <w:szCs w:val="18"/>
        </w:rPr>
        <w:t xml:space="preserve"> </w:t>
      </w:r>
      <w:r w:rsidR="00187578" w:rsidRPr="00D73937">
        <w:rPr>
          <w:sz w:val="18"/>
          <w:szCs w:val="18"/>
        </w:rPr>
        <w:t>NASA</w:t>
      </w:r>
      <w:proofErr w:type="gramEnd"/>
      <w:r w:rsidR="00187578" w:rsidRPr="00D73937">
        <w:rPr>
          <w:sz w:val="18"/>
          <w:szCs w:val="18"/>
        </w:rPr>
        <w:t xml:space="preserve"> Request for Proposal, Solicitation No. 80AFRC23R0001, Suborbital/Hosted Orbital Flight and Payload Integration Services 4 (FO IDIQ 4)</w:t>
      </w:r>
      <w:r w:rsidRPr="00D73937">
        <w:rPr>
          <w:sz w:val="18"/>
          <w:szCs w:val="18"/>
        </w:rPr>
        <w:t xml:space="preserve">, July 19, 2023, </w:t>
      </w:r>
    </w:p>
    <w:p w14:paraId="38500855" w14:textId="48768CD7" w:rsidR="00913A33" w:rsidRDefault="00462E52" w:rsidP="00913A33">
      <w:pPr>
        <w:ind w:left="360" w:hanging="360"/>
        <w:rPr>
          <w:sz w:val="18"/>
          <w:szCs w:val="18"/>
        </w:rPr>
      </w:pPr>
      <w:r w:rsidRPr="00D73937">
        <w:rPr>
          <w:sz w:val="18"/>
          <w:szCs w:val="18"/>
        </w:rPr>
        <w:t xml:space="preserve">      </w:t>
      </w:r>
      <w:bookmarkStart w:id="1" w:name="_Hlk145407833"/>
      <w:r w:rsidR="00D73937">
        <w:rPr>
          <w:sz w:val="18"/>
          <w:szCs w:val="18"/>
        </w:rPr>
        <w:t xml:space="preserve"> </w:t>
      </w:r>
      <w:r w:rsidR="007E346D">
        <w:rPr>
          <w:sz w:val="18"/>
          <w:szCs w:val="18"/>
        </w:rPr>
        <w:t xml:space="preserve"> </w:t>
      </w:r>
      <w:r w:rsidR="001E44A4" w:rsidRPr="00D73937">
        <w:rPr>
          <w:sz w:val="18"/>
          <w:szCs w:val="18"/>
        </w:rPr>
        <w:t xml:space="preserve">URL: </w:t>
      </w:r>
      <w:hyperlink r:id="rId18" w:history="1">
        <w:r w:rsidR="001E44A4" w:rsidRPr="00D73937">
          <w:rPr>
            <w:rStyle w:val="Hyperlink"/>
            <w:sz w:val="18"/>
            <w:szCs w:val="18"/>
          </w:rPr>
          <w:t>https://sam.gov/opp/f7e713ee1d5e407cb8fe3094e2be7160/view</w:t>
        </w:r>
      </w:hyperlink>
      <w:r w:rsidR="001E44A4" w:rsidRPr="00D73937">
        <w:rPr>
          <w:sz w:val="18"/>
          <w:szCs w:val="18"/>
        </w:rPr>
        <w:t xml:space="preserve"> [retrieved 12 September 2023</w:t>
      </w:r>
      <w:r w:rsidR="005F3F3D" w:rsidRPr="00D73937">
        <w:rPr>
          <w:sz w:val="18"/>
          <w:szCs w:val="18"/>
        </w:rPr>
        <w:t>]</w:t>
      </w:r>
      <w:r w:rsidR="001E44A4" w:rsidRPr="00D73937">
        <w:rPr>
          <w:sz w:val="18"/>
          <w:szCs w:val="18"/>
        </w:rPr>
        <w:t>.</w:t>
      </w:r>
      <w:bookmarkStart w:id="2" w:name="_Hlk104366725"/>
      <w:bookmarkEnd w:id="1"/>
    </w:p>
    <w:p w14:paraId="529E0968" w14:textId="591E4DE6" w:rsidR="00913A33" w:rsidRPr="002660D0" w:rsidRDefault="00913A33" w:rsidP="005A5616">
      <w:pPr>
        <w:ind w:left="360" w:hanging="360"/>
        <w:jc w:val="left"/>
        <w:rPr>
          <w:color w:val="0563C1"/>
          <w:sz w:val="18"/>
          <w:szCs w:val="18"/>
          <w:u w:val="single"/>
        </w:rPr>
      </w:pPr>
      <w:r w:rsidRPr="002660D0">
        <w:rPr>
          <w:sz w:val="18"/>
          <w:szCs w:val="18"/>
        </w:rPr>
        <w:t xml:space="preserve">[6] </w:t>
      </w:r>
      <w:bookmarkStart w:id="3" w:name="_Hlk147930826"/>
      <w:r w:rsidR="002660D0">
        <w:rPr>
          <w:sz w:val="18"/>
          <w:szCs w:val="18"/>
        </w:rPr>
        <w:t xml:space="preserve">  </w:t>
      </w:r>
      <w:r w:rsidRPr="002660D0">
        <w:rPr>
          <w:sz w:val="18"/>
          <w:szCs w:val="18"/>
        </w:rPr>
        <w:t>“Recommended Practices for Human Space Flight Occupant Safety, Version 1.0,” FAA Office of Commercial Space   Transportation, August 27, 2014</w:t>
      </w:r>
      <w:r w:rsidR="00393153">
        <w:rPr>
          <w:sz w:val="18"/>
          <w:szCs w:val="18"/>
        </w:rPr>
        <w:t>,</w:t>
      </w:r>
      <w:r w:rsidRPr="002660D0">
        <w:rPr>
          <w:sz w:val="18"/>
          <w:szCs w:val="18"/>
        </w:rPr>
        <w:t xml:space="preserve"> URL: </w:t>
      </w:r>
      <w:hyperlink r:id="rId19" w:history="1">
        <w:r w:rsidR="002660D0" w:rsidRPr="002660D0">
          <w:rPr>
            <w:rStyle w:val="Hyperlink"/>
            <w:sz w:val="18"/>
            <w:szCs w:val="18"/>
          </w:rPr>
          <w:t>https://www.faa.gov/about/office_org/headquarters_offices/ast/media/Recommended_Practices_for_HSF_Occupant_Safety-Version_1-TC14-0037.pdf</w:t>
        </w:r>
      </w:hyperlink>
      <w:r w:rsidRPr="002660D0">
        <w:rPr>
          <w:sz w:val="18"/>
          <w:szCs w:val="18"/>
        </w:rPr>
        <w:t xml:space="preserve"> [retrieved 1</w:t>
      </w:r>
      <w:r w:rsidR="002660D0">
        <w:rPr>
          <w:sz w:val="18"/>
          <w:szCs w:val="18"/>
        </w:rPr>
        <w:t>1 October</w:t>
      </w:r>
      <w:r w:rsidRPr="002660D0">
        <w:rPr>
          <w:sz w:val="18"/>
          <w:szCs w:val="18"/>
        </w:rPr>
        <w:t xml:space="preserve"> 2023].</w:t>
      </w:r>
      <w:bookmarkEnd w:id="3"/>
    </w:p>
    <w:p w14:paraId="10863711" w14:textId="4FAD4B8E" w:rsidR="00903B53" w:rsidRPr="00C5043A" w:rsidRDefault="00913A33" w:rsidP="00903B53">
      <w:pPr>
        <w:tabs>
          <w:tab w:val="left" w:pos="1170"/>
        </w:tabs>
        <w:ind w:left="360" w:hanging="360"/>
        <w:jc w:val="left"/>
        <w:rPr>
          <w:sz w:val="18"/>
          <w:szCs w:val="18"/>
        </w:rPr>
      </w:pPr>
      <w:r>
        <w:rPr>
          <w:sz w:val="18"/>
          <w:szCs w:val="18"/>
        </w:rPr>
        <w:t>[7</w:t>
      </w:r>
      <w:r w:rsidRPr="00C5043A">
        <w:rPr>
          <w:sz w:val="18"/>
          <w:szCs w:val="18"/>
        </w:rPr>
        <w:t xml:space="preserve">]   </w:t>
      </w:r>
      <w:proofErr w:type="spellStart"/>
      <w:r w:rsidR="006D30CF" w:rsidRPr="00C5043A">
        <w:rPr>
          <w:sz w:val="18"/>
          <w:szCs w:val="18"/>
        </w:rPr>
        <w:t>Nield</w:t>
      </w:r>
      <w:proofErr w:type="spellEnd"/>
      <w:r w:rsidR="006D30CF" w:rsidRPr="00C5043A">
        <w:rPr>
          <w:sz w:val="18"/>
          <w:szCs w:val="18"/>
        </w:rPr>
        <w:t>, G. C., Sloan, J., and Gerlach, D. “Recommended Practices for Commercial Human Space Flight,” 65</w:t>
      </w:r>
      <w:r w:rsidR="006D30CF" w:rsidRPr="00C5043A">
        <w:rPr>
          <w:sz w:val="18"/>
          <w:szCs w:val="18"/>
          <w:vertAlign w:val="superscript"/>
        </w:rPr>
        <w:t>th</w:t>
      </w:r>
      <w:r w:rsidR="00D73937" w:rsidRPr="00C5043A">
        <w:rPr>
          <w:sz w:val="18"/>
          <w:szCs w:val="18"/>
        </w:rPr>
        <w:t xml:space="preserve"> </w:t>
      </w:r>
      <w:r w:rsidR="006D30CF" w:rsidRPr="00C5043A">
        <w:rPr>
          <w:sz w:val="18"/>
          <w:szCs w:val="18"/>
        </w:rPr>
        <w:t xml:space="preserve">International </w:t>
      </w:r>
      <w:r w:rsidR="00903B53" w:rsidRPr="00C5043A">
        <w:rPr>
          <w:sz w:val="18"/>
          <w:szCs w:val="18"/>
        </w:rPr>
        <w:t xml:space="preserve">  </w:t>
      </w:r>
      <w:r w:rsidR="006D30CF" w:rsidRPr="00C5043A">
        <w:rPr>
          <w:sz w:val="18"/>
          <w:szCs w:val="18"/>
        </w:rPr>
        <w:t>Astronautical Congress, Toronto, Canada, October 2014</w:t>
      </w:r>
      <w:r w:rsidR="00393153">
        <w:rPr>
          <w:sz w:val="18"/>
          <w:szCs w:val="18"/>
        </w:rPr>
        <w:t>,</w:t>
      </w:r>
      <w:r w:rsidR="006D30CF" w:rsidRPr="00C5043A">
        <w:rPr>
          <w:sz w:val="18"/>
          <w:szCs w:val="18"/>
        </w:rPr>
        <w:t xml:space="preserve"> </w:t>
      </w:r>
      <w:r w:rsidR="007E4FA5" w:rsidRPr="00C5043A">
        <w:rPr>
          <w:sz w:val="18"/>
          <w:szCs w:val="18"/>
        </w:rPr>
        <w:t xml:space="preserve">URL: </w:t>
      </w:r>
      <w:hyperlink r:id="rId20" w:history="1">
        <w:r w:rsidR="00903B53" w:rsidRPr="00C5043A">
          <w:rPr>
            <w:rStyle w:val="Hyperlink"/>
            <w:sz w:val="18"/>
            <w:szCs w:val="18"/>
          </w:rPr>
          <w:t>https://www.faa.gov/sites/faa.gov/files/space/additional_information/international_affairs/recommended_practices_human_space_flight_iac_toronto_nield_october_2014_508.pdf</w:t>
        </w:r>
      </w:hyperlink>
      <w:r w:rsidR="00903B53" w:rsidRPr="00C5043A">
        <w:rPr>
          <w:rStyle w:val="Hyperlink"/>
          <w:sz w:val="18"/>
          <w:szCs w:val="18"/>
          <w:u w:val="none"/>
        </w:rPr>
        <w:t xml:space="preserve"> </w:t>
      </w:r>
      <w:r w:rsidR="00903B53" w:rsidRPr="00C5043A">
        <w:rPr>
          <w:sz w:val="18"/>
          <w:szCs w:val="18"/>
        </w:rPr>
        <w:t>[retrieved 12 October 2023].</w:t>
      </w:r>
    </w:p>
    <w:bookmarkEnd w:id="2"/>
    <w:p w14:paraId="46EDE832" w14:textId="6B13F2C9" w:rsidR="00D73937" w:rsidRDefault="00D73937" w:rsidP="00D73937">
      <w:pPr>
        <w:ind w:left="360" w:hanging="360"/>
        <w:rPr>
          <w:sz w:val="18"/>
          <w:szCs w:val="18"/>
        </w:rPr>
      </w:pPr>
      <w:r w:rsidRPr="00C5043A">
        <w:rPr>
          <w:sz w:val="18"/>
          <w:szCs w:val="18"/>
        </w:rPr>
        <w:t>[</w:t>
      </w:r>
      <w:r w:rsidR="008B543B" w:rsidRPr="00C5043A">
        <w:rPr>
          <w:sz w:val="18"/>
          <w:szCs w:val="18"/>
        </w:rPr>
        <w:t>8</w:t>
      </w:r>
      <w:r w:rsidRPr="00C5043A">
        <w:rPr>
          <w:sz w:val="18"/>
          <w:szCs w:val="18"/>
        </w:rPr>
        <w:t>] “Recommended Practices for Human Space Flight Occupant Safety, Version 2.0,” FAA Office of Commercial Space   Transportation, September 2023</w:t>
      </w:r>
      <w:r w:rsidR="00393153">
        <w:rPr>
          <w:sz w:val="18"/>
          <w:szCs w:val="18"/>
        </w:rPr>
        <w:t>,</w:t>
      </w:r>
      <w:r w:rsidRPr="00C5043A">
        <w:rPr>
          <w:sz w:val="18"/>
          <w:szCs w:val="18"/>
        </w:rPr>
        <w:t xml:space="preserve"> URL: </w:t>
      </w:r>
      <w:hyperlink r:id="rId21" w:history="1">
        <w:r w:rsidRPr="00C5043A">
          <w:rPr>
            <w:rStyle w:val="Hyperlink"/>
            <w:sz w:val="18"/>
            <w:szCs w:val="18"/>
          </w:rPr>
          <w:t>https://www.faa.gov/media/71481</w:t>
        </w:r>
      </w:hyperlink>
      <w:r w:rsidRPr="00C5043A">
        <w:rPr>
          <w:sz w:val="18"/>
          <w:szCs w:val="18"/>
        </w:rPr>
        <w:t xml:space="preserve"> [retrieved 11 October 2023].</w:t>
      </w:r>
    </w:p>
    <w:p w14:paraId="7755FF7A" w14:textId="2EB74648" w:rsidR="00C719B1" w:rsidRPr="00C5043A" w:rsidRDefault="00C719B1" w:rsidP="00C719B1">
      <w:pPr>
        <w:ind w:left="360" w:hanging="360"/>
        <w:rPr>
          <w:sz w:val="18"/>
          <w:szCs w:val="18"/>
        </w:rPr>
      </w:pPr>
      <w:r w:rsidRPr="004856AC">
        <w:rPr>
          <w:sz w:val="18"/>
          <w:szCs w:val="18"/>
        </w:rPr>
        <w:t xml:space="preserve">[9] </w:t>
      </w:r>
      <w:r>
        <w:rPr>
          <w:sz w:val="18"/>
          <w:szCs w:val="18"/>
        </w:rPr>
        <w:t xml:space="preserve">  </w:t>
      </w:r>
      <w:r w:rsidRPr="004856AC">
        <w:rPr>
          <w:sz w:val="18"/>
          <w:szCs w:val="18"/>
        </w:rPr>
        <w:t xml:space="preserve">Commercial Crew Program, Crew Transportation System Design Reference Missions, CCT-DRM-1110, Revision: Basic-3, </w:t>
      </w:r>
      <w:r>
        <w:rPr>
          <w:sz w:val="18"/>
          <w:szCs w:val="18"/>
        </w:rPr>
        <w:t xml:space="preserve"> </w:t>
      </w:r>
      <w:r w:rsidRPr="004856AC">
        <w:rPr>
          <w:sz w:val="18"/>
          <w:szCs w:val="18"/>
        </w:rPr>
        <w:t>December 8, 2011, UR</w:t>
      </w:r>
      <w:r>
        <w:rPr>
          <w:sz w:val="18"/>
          <w:szCs w:val="18"/>
        </w:rPr>
        <w:t xml:space="preserve">L </w:t>
      </w:r>
      <w:hyperlink r:id="rId22" w:history="1">
        <w:r w:rsidRPr="008A1C17">
          <w:rPr>
            <w:rStyle w:val="Hyperlink"/>
            <w:sz w:val="18"/>
            <w:szCs w:val="18"/>
          </w:rPr>
          <w:t>https://ntrs.nasa.gov/api/citations/20150018900/downloads/20150018900.pdf</w:t>
        </w:r>
      </w:hyperlink>
      <w:r w:rsidRPr="004856AC">
        <w:rPr>
          <w:sz w:val="18"/>
          <w:szCs w:val="18"/>
        </w:rPr>
        <w:t xml:space="preserve"> [retrieved 7 November 2023].</w:t>
      </w:r>
    </w:p>
    <w:p w14:paraId="4D72DFF3" w14:textId="47C32A42" w:rsidR="008B543B" w:rsidRPr="00D73937" w:rsidRDefault="008B543B" w:rsidP="008B543B">
      <w:pPr>
        <w:ind w:left="360" w:hanging="360"/>
        <w:rPr>
          <w:sz w:val="18"/>
          <w:szCs w:val="18"/>
        </w:rPr>
      </w:pPr>
      <w:r w:rsidRPr="00D73937">
        <w:rPr>
          <w:sz w:val="18"/>
          <w:szCs w:val="18"/>
        </w:rPr>
        <w:t>[</w:t>
      </w:r>
      <w:r w:rsidR="00C719B1">
        <w:rPr>
          <w:sz w:val="18"/>
          <w:szCs w:val="18"/>
        </w:rPr>
        <w:t>10</w:t>
      </w:r>
      <w:r w:rsidRPr="00D73937">
        <w:rPr>
          <w:sz w:val="18"/>
          <w:szCs w:val="18"/>
        </w:rPr>
        <w:t>] “Human Space Flight Occupant Safety Aerospace Rulemaking Committee Charter,” FAA Office of Commercial Space      Transportation, 21 April 2023</w:t>
      </w:r>
      <w:r w:rsidR="00393153">
        <w:rPr>
          <w:sz w:val="18"/>
          <w:szCs w:val="18"/>
        </w:rPr>
        <w:t>,</w:t>
      </w:r>
      <w:r w:rsidRPr="00D73937">
        <w:rPr>
          <w:sz w:val="18"/>
          <w:szCs w:val="18"/>
        </w:rPr>
        <w:t xml:space="preserve"> URL: </w:t>
      </w:r>
      <w:hyperlink r:id="rId23" w:history="1">
        <w:r w:rsidRPr="00D73937">
          <w:rPr>
            <w:rStyle w:val="Hyperlink"/>
            <w:sz w:val="18"/>
            <w:szCs w:val="18"/>
          </w:rPr>
          <w:t>https://subscriber.politicopro.com/f/?id=00000189-97ed-dee7-a7ab-fffde4680000</w:t>
        </w:r>
      </w:hyperlink>
      <w:r w:rsidRPr="00D73937">
        <w:rPr>
          <w:sz w:val="18"/>
          <w:szCs w:val="18"/>
        </w:rPr>
        <w:t xml:space="preserve"> [retrieved 13 September 2023].</w:t>
      </w:r>
    </w:p>
    <w:p w14:paraId="41234B5E" w14:textId="154DB706" w:rsidR="002B6D4E" w:rsidRPr="00D73937" w:rsidRDefault="002B6D4E" w:rsidP="00D73937">
      <w:pPr>
        <w:autoSpaceDE w:val="0"/>
        <w:autoSpaceDN w:val="0"/>
        <w:adjustRightInd w:val="0"/>
        <w:ind w:left="360" w:hanging="360"/>
        <w:rPr>
          <w:sz w:val="18"/>
          <w:szCs w:val="18"/>
        </w:rPr>
      </w:pPr>
      <w:r w:rsidRPr="00D73937">
        <w:rPr>
          <w:sz w:val="18"/>
          <w:szCs w:val="18"/>
        </w:rPr>
        <w:t>[</w:t>
      </w:r>
      <w:r w:rsidR="00D73937">
        <w:rPr>
          <w:sz w:val="18"/>
          <w:szCs w:val="18"/>
        </w:rPr>
        <w:t>1</w:t>
      </w:r>
      <w:r w:rsidR="00C719B1">
        <w:rPr>
          <w:sz w:val="18"/>
          <w:szCs w:val="18"/>
        </w:rPr>
        <w:t>1</w:t>
      </w:r>
      <w:r w:rsidRPr="00D73937">
        <w:rPr>
          <w:sz w:val="18"/>
          <w:szCs w:val="18"/>
        </w:rPr>
        <w:t>]</w:t>
      </w:r>
      <w:r w:rsidR="00D73937">
        <w:rPr>
          <w:sz w:val="18"/>
          <w:szCs w:val="18"/>
        </w:rPr>
        <w:t xml:space="preserve"> </w:t>
      </w:r>
      <w:r w:rsidRPr="00D73937">
        <w:rPr>
          <w:sz w:val="18"/>
          <w:szCs w:val="18"/>
        </w:rPr>
        <w:t>“Interim Report on Voluntary Industry Consensus Standards Development, Report to Congress,” FAA Office of Commercial Space Transportation, January 2022</w:t>
      </w:r>
      <w:r w:rsidR="00393153">
        <w:rPr>
          <w:sz w:val="18"/>
          <w:szCs w:val="18"/>
        </w:rPr>
        <w:t>,</w:t>
      </w:r>
      <w:r w:rsidRPr="00D73937">
        <w:rPr>
          <w:sz w:val="18"/>
          <w:szCs w:val="18"/>
        </w:rPr>
        <w:t xml:space="preserve"> URL:</w:t>
      </w:r>
      <w:hyperlink r:id="rId24" w:history="1">
        <w:r w:rsidR="00D73937" w:rsidRPr="00A95379">
          <w:rPr>
            <w:rStyle w:val="Hyperlink"/>
            <w:sz w:val="18"/>
            <w:szCs w:val="18"/>
          </w:rPr>
          <w:t>https://www.faa.gov/sites/faa.gov/files/2022-01/PL_114-90_Sec_111_5_Voluntary_Industry_Consensus_Standards.pdf</w:t>
        </w:r>
      </w:hyperlink>
      <w:r w:rsidR="00D73937">
        <w:rPr>
          <w:sz w:val="18"/>
          <w:szCs w:val="18"/>
        </w:rPr>
        <w:t xml:space="preserve"> </w:t>
      </w:r>
      <w:r w:rsidRPr="00D73937">
        <w:rPr>
          <w:sz w:val="18"/>
          <w:szCs w:val="18"/>
        </w:rPr>
        <w:t xml:space="preserve"> [retrieved 12 September 2023].</w:t>
      </w:r>
    </w:p>
    <w:p w14:paraId="20C5037B" w14:textId="77777777" w:rsidR="002B6D4E" w:rsidRPr="002E2B18" w:rsidRDefault="002B6D4E" w:rsidP="002B6D4E">
      <w:pPr>
        <w:autoSpaceDE w:val="0"/>
        <w:autoSpaceDN w:val="0"/>
        <w:adjustRightInd w:val="0"/>
        <w:ind w:left="270" w:hanging="270"/>
        <w:rPr>
          <w:sz w:val="18"/>
          <w:szCs w:val="18"/>
        </w:rPr>
      </w:pPr>
    </w:p>
    <w:p w14:paraId="4F74DC8B" w14:textId="77777777" w:rsidR="002B6D4E" w:rsidRPr="00DA4A13" w:rsidRDefault="002B6D4E" w:rsidP="00310530">
      <w:pPr>
        <w:ind w:left="270" w:hanging="270"/>
        <w:rPr>
          <w:sz w:val="18"/>
          <w:szCs w:val="18"/>
        </w:rPr>
      </w:pPr>
    </w:p>
    <w:sectPr w:rsidR="002B6D4E" w:rsidRPr="00DA4A13" w:rsidSect="00594FA6">
      <w:footerReference w:type="even" r:id="rId25"/>
      <w:footerReference w:type="default" r:id="rId26"/>
      <w:type w:val="continuous"/>
      <w:pgSz w:w="12240" w:h="15840"/>
      <w:pgMar w:top="1440" w:right="1440" w:bottom="1440" w:left="1440"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EE110" w14:textId="77777777" w:rsidR="00647AB2" w:rsidRDefault="00647AB2">
      <w:r>
        <w:separator/>
      </w:r>
    </w:p>
  </w:endnote>
  <w:endnote w:type="continuationSeparator" w:id="0">
    <w:p w14:paraId="5518461C" w14:textId="77777777" w:rsidR="00647AB2" w:rsidRDefault="00647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20B0604020202020204"/>
    <w:charset w:val="00"/>
    <w:family w:val="roman"/>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6529412"/>
      <w:docPartObj>
        <w:docPartGallery w:val="Page Numbers (Bottom of Page)"/>
        <w:docPartUnique/>
      </w:docPartObj>
    </w:sdtPr>
    <w:sdtEndPr>
      <w:rPr>
        <w:noProof/>
      </w:rPr>
    </w:sdtEndPr>
    <w:sdtContent>
      <w:p w14:paraId="2B213CB6" w14:textId="77777777" w:rsidR="00B41268" w:rsidRDefault="00B4126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522CF69" w14:textId="77777777" w:rsidR="00B41268" w:rsidRDefault="00B412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26AB7" w14:textId="77777777" w:rsidR="00B636E4" w:rsidRDefault="00B636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24D8F5" w14:textId="77777777" w:rsidR="00B636E4" w:rsidRDefault="00B636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2580995"/>
      <w:docPartObj>
        <w:docPartGallery w:val="Page Numbers (Bottom of Page)"/>
        <w:docPartUnique/>
      </w:docPartObj>
    </w:sdtPr>
    <w:sdtEndPr>
      <w:rPr>
        <w:noProof/>
      </w:rPr>
    </w:sdtEndPr>
    <w:sdtContent>
      <w:p w14:paraId="22D832FC" w14:textId="77777777" w:rsidR="000C353C" w:rsidRDefault="000C353C">
        <w:pPr>
          <w:pStyle w:val="Footer"/>
          <w:jc w:val="center"/>
        </w:pPr>
        <w:r>
          <w:fldChar w:fldCharType="begin"/>
        </w:r>
        <w:r>
          <w:instrText xml:space="preserve"> PAGE   \* MERGEFORMAT </w:instrText>
        </w:r>
        <w:r>
          <w:fldChar w:fldCharType="separate"/>
        </w:r>
        <w:r w:rsidR="00A25100">
          <w:rPr>
            <w:noProof/>
          </w:rPr>
          <w:t>1</w:t>
        </w:r>
        <w:r>
          <w:rPr>
            <w:noProof/>
          </w:rPr>
          <w:fldChar w:fldCharType="end"/>
        </w:r>
      </w:p>
    </w:sdtContent>
  </w:sdt>
  <w:p w14:paraId="5B28C237" w14:textId="77777777" w:rsidR="000C353C" w:rsidRDefault="000C35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B3DC1" w14:textId="77777777" w:rsidR="00647AB2" w:rsidRDefault="00647AB2">
      <w:r>
        <w:separator/>
      </w:r>
    </w:p>
  </w:footnote>
  <w:footnote w:type="continuationSeparator" w:id="0">
    <w:p w14:paraId="0E16F01D" w14:textId="77777777" w:rsidR="00647AB2" w:rsidRDefault="00647AB2">
      <w:r>
        <w:continuationSeparator/>
      </w:r>
    </w:p>
  </w:footnote>
  <w:footnote w:id="1">
    <w:p w14:paraId="10C5DA8C" w14:textId="30C691D7" w:rsidR="00B636E4" w:rsidRPr="00EA38F7" w:rsidRDefault="00B636E4" w:rsidP="00F565BA">
      <w:r w:rsidRPr="00E815E4">
        <w:rPr>
          <w:rStyle w:val="FootnoteReference"/>
        </w:rPr>
        <w:footnoteRef/>
      </w:r>
      <w:r w:rsidRPr="00E815E4">
        <w:t xml:space="preserve"> </w:t>
      </w:r>
      <w:r w:rsidR="002D6C45" w:rsidRPr="00EA38F7">
        <w:t>Technical Integrator, Commercial Crew Program, NASA</w:t>
      </w:r>
    </w:p>
  </w:footnote>
  <w:footnote w:id="2">
    <w:p w14:paraId="594616FB" w14:textId="2D38F973" w:rsidR="00B636E4" w:rsidRPr="00BB3E3D" w:rsidRDefault="00B636E4" w:rsidP="0028703D">
      <w:pPr>
        <w:pStyle w:val="FootnoteText"/>
        <w:ind w:left="90" w:hanging="90"/>
        <w:rPr>
          <w:color w:val="FF0000"/>
        </w:rPr>
      </w:pPr>
      <w:r w:rsidRPr="003456A9">
        <w:rPr>
          <w:rStyle w:val="FootnoteReference"/>
        </w:rPr>
        <w:footnoteRef/>
      </w:r>
      <w:r w:rsidRPr="00D6688A">
        <w:rPr>
          <w:color w:val="FF0000"/>
        </w:rPr>
        <w:t xml:space="preserve"> </w:t>
      </w:r>
      <w:r w:rsidR="003456A9" w:rsidRPr="009F5E61">
        <w:rPr>
          <w:szCs w:val="18"/>
        </w:rPr>
        <w:t xml:space="preserve">Propulsion Engineer, Mail-code: NE-C4, Commercial Systems Propulsion and Energetics Branch, NASA Kennedy </w:t>
      </w:r>
      <w:r w:rsidR="0028703D">
        <w:rPr>
          <w:szCs w:val="18"/>
        </w:rPr>
        <w:t xml:space="preserve">  </w:t>
      </w:r>
      <w:r w:rsidR="003456A9" w:rsidRPr="00BB3E3D">
        <w:rPr>
          <w:szCs w:val="18"/>
        </w:rPr>
        <w:t>Space Center Engineering Directorate.</w:t>
      </w:r>
    </w:p>
  </w:footnote>
  <w:footnote w:id="3">
    <w:p w14:paraId="166B44F8" w14:textId="4780E9C5" w:rsidR="00DE577C" w:rsidRPr="00BB3E3D" w:rsidRDefault="00DE577C" w:rsidP="008844F8">
      <w:pPr>
        <w:ind w:left="90" w:hanging="90"/>
      </w:pPr>
      <w:r w:rsidRPr="00BB3E3D">
        <w:rPr>
          <w:rStyle w:val="FootnoteReference"/>
        </w:rPr>
        <w:footnoteRef/>
      </w:r>
      <w:r w:rsidRPr="00BB3E3D">
        <w:t xml:space="preserve"> Program Portfolio Integrator, Space Technology Mission Directorate</w:t>
      </w:r>
      <w:r w:rsidR="008844F8">
        <w:t>, Flight Opportunities and Small Spacecraft Technologies Programs</w:t>
      </w:r>
    </w:p>
  </w:footnote>
  <w:footnote w:id="4">
    <w:p w14:paraId="28598D64" w14:textId="249DCDBA" w:rsidR="002C2EC8" w:rsidRPr="00BB3E3D" w:rsidRDefault="002C2EC8" w:rsidP="002C2EC8">
      <w:r w:rsidRPr="00BB3E3D">
        <w:rPr>
          <w:rStyle w:val="FootnoteReference"/>
        </w:rPr>
        <w:footnoteRef/>
      </w:r>
      <w:r w:rsidRPr="00BB3E3D">
        <w:t xml:space="preserve"> </w:t>
      </w:r>
      <w:r w:rsidR="00AF0F19">
        <w:t>License Lead, ASA-120 Horizontal Operations Branch</w:t>
      </w:r>
    </w:p>
  </w:footnote>
  <w:footnote w:id="5">
    <w:p w14:paraId="7CEC0C3D" w14:textId="6836C72E" w:rsidR="00354867" w:rsidRDefault="00354867" w:rsidP="00354867">
      <w:r w:rsidRPr="00BB3E3D">
        <w:rPr>
          <w:rStyle w:val="FootnoteReference"/>
        </w:rPr>
        <w:footnoteRef/>
      </w:r>
      <w:r w:rsidRPr="00BB3E3D">
        <w:t xml:space="preserve"> </w:t>
      </w:r>
      <w:r w:rsidR="00D35B14" w:rsidRPr="00BB3E3D">
        <w:t>Senior Project Leader, Flight Opportunities</w:t>
      </w:r>
      <w:r w:rsidR="008844F8">
        <w:t xml:space="preserve"> Program</w:t>
      </w:r>
      <w:r w:rsidR="00D35B14" w:rsidRPr="00BB3E3D">
        <w:t>, The Aerospace Corporation, AIAA Associate Fellow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54227"/>
    <w:multiLevelType w:val="hybridMultilevel"/>
    <w:tmpl w:val="4E9C4646"/>
    <w:lvl w:ilvl="0" w:tplc="C35C325E">
      <w:start w:val="1"/>
      <w:numFmt w:val="decimal"/>
      <w:pStyle w:val="Heading3"/>
      <w:lvlText w:val="%1."/>
      <w:lvlJc w:val="left"/>
      <w:pPr>
        <w:tabs>
          <w:tab w:val="num" w:pos="648"/>
        </w:tabs>
        <w:ind w:left="576"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263C75"/>
    <w:multiLevelType w:val="hybridMultilevel"/>
    <w:tmpl w:val="4A842EDA"/>
    <w:lvl w:ilvl="0" w:tplc="43E22C5C">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152"/>
        </w:tabs>
        <w:ind w:left="1152" w:hanging="360"/>
      </w:pPr>
      <w:rPr>
        <w:rFonts w:ascii="Courier New" w:hAnsi="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2" w15:restartNumberingAfterBreak="0">
    <w:nsid w:val="0C6E02AB"/>
    <w:multiLevelType w:val="hybridMultilevel"/>
    <w:tmpl w:val="06DA1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F0EAE"/>
    <w:multiLevelType w:val="hybridMultilevel"/>
    <w:tmpl w:val="C540AE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B7001D"/>
    <w:multiLevelType w:val="hybridMultilevel"/>
    <w:tmpl w:val="0DCEF744"/>
    <w:lvl w:ilvl="0" w:tplc="A8EAB7C6">
      <w:start w:val="1"/>
      <w:numFmt w:val="bullet"/>
      <w:lvlText w:val="–"/>
      <w:lvlJc w:val="left"/>
      <w:pPr>
        <w:tabs>
          <w:tab w:val="num" w:pos="720"/>
        </w:tabs>
        <w:ind w:left="720" w:hanging="360"/>
      </w:pPr>
      <w:rPr>
        <w:rFonts w:ascii="Calibri" w:hAnsi="Calibri" w:hint="default"/>
      </w:rPr>
    </w:lvl>
    <w:lvl w:ilvl="1" w:tplc="C94E4CB4" w:tentative="1">
      <w:start w:val="1"/>
      <w:numFmt w:val="bullet"/>
      <w:lvlText w:val="–"/>
      <w:lvlJc w:val="left"/>
      <w:pPr>
        <w:tabs>
          <w:tab w:val="num" w:pos="1440"/>
        </w:tabs>
        <w:ind w:left="1440" w:hanging="360"/>
      </w:pPr>
      <w:rPr>
        <w:rFonts w:ascii="Calibri" w:hAnsi="Calibri" w:hint="default"/>
      </w:rPr>
    </w:lvl>
    <w:lvl w:ilvl="2" w:tplc="038C7E70">
      <w:start w:val="1"/>
      <w:numFmt w:val="bullet"/>
      <w:lvlText w:val="–"/>
      <w:lvlJc w:val="left"/>
      <w:pPr>
        <w:tabs>
          <w:tab w:val="num" w:pos="2160"/>
        </w:tabs>
        <w:ind w:left="2160" w:hanging="360"/>
      </w:pPr>
      <w:rPr>
        <w:rFonts w:ascii="Calibri" w:hAnsi="Calibri" w:hint="default"/>
      </w:rPr>
    </w:lvl>
    <w:lvl w:ilvl="3" w:tplc="1132F6A4" w:tentative="1">
      <w:start w:val="1"/>
      <w:numFmt w:val="bullet"/>
      <w:lvlText w:val="–"/>
      <w:lvlJc w:val="left"/>
      <w:pPr>
        <w:tabs>
          <w:tab w:val="num" w:pos="2880"/>
        </w:tabs>
        <w:ind w:left="2880" w:hanging="360"/>
      </w:pPr>
      <w:rPr>
        <w:rFonts w:ascii="Calibri" w:hAnsi="Calibri" w:hint="default"/>
      </w:rPr>
    </w:lvl>
    <w:lvl w:ilvl="4" w:tplc="9036EF46" w:tentative="1">
      <w:start w:val="1"/>
      <w:numFmt w:val="bullet"/>
      <w:lvlText w:val="–"/>
      <w:lvlJc w:val="left"/>
      <w:pPr>
        <w:tabs>
          <w:tab w:val="num" w:pos="3600"/>
        </w:tabs>
        <w:ind w:left="3600" w:hanging="360"/>
      </w:pPr>
      <w:rPr>
        <w:rFonts w:ascii="Calibri" w:hAnsi="Calibri" w:hint="default"/>
      </w:rPr>
    </w:lvl>
    <w:lvl w:ilvl="5" w:tplc="E370F11E" w:tentative="1">
      <w:start w:val="1"/>
      <w:numFmt w:val="bullet"/>
      <w:lvlText w:val="–"/>
      <w:lvlJc w:val="left"/>
      <w:pPr>
        <w:tabs>
          <w:tab w:val="num" w:pos="4320"/>
        </w:tabs>
        <w:ind w:left="4320" w:hanging="360"/>
      </w:pPr>
      <w:rPr>
        <w:rFonts w:ascii="Calibri" w:hAnsi="Calibri" w:hint="default"/>
      </w:rPr>
    </w:lvl>
    <w:lvl w:ilvl="6" w:tplc="C2A85C3C" w:tentative="1">
      <w:start w:val="1"/>
      <w:numFmt w:val="bullet"/>
      <w:lvlText w:val="–"/>
      <w:lvlJc w:val="left"/>
      <w:pPr>
        <w:tabs>
          <w:tab w:val="num" w:pos="5040"/>
        </w:tabs>
        <w:ind w:left="5040" w:hanging="360"/>
      </w:pPr>
      <w:rPr>
        <w:rFonts w:ascii="Calibri" w:hAnsi="Calibri" w:hint="default"/>
      </w:rPr>
    </w:lvl>
    <w:lvl w:ilvl="7" w:tplc="F17229E0" w:tentative="1">
      <w:start w:val="1"/>
      <w:numFmt w:val="bullet"/>
      <w:lvlText w:val="–"/>
      <w:lvlJc w:val="left"/>
      <w:pPr>
        <w:tabs>
          <w:tab w:val="num" w:pos="5760"/>
        </w:tabs>
        <w:ind w:left="5760" w:hanging="360"/>
      </w:pPr>
      <w:rPr>
        <w:rFonts w:ascii="Calibri" w:hAnsi="Calibri" w:hint="default"/>
      </w:rPr>
    </w:lvl>
    <w:lvl w:ilvl="8" w:tplc="F6C473EE" w:tentative="1">
      <w:start w:val="1"/>
      <w:numFmt w:val="bullet"/>
      <w:lvlText w:val="–"/>
      <w:lvlJc w:val="left"/>
      <w:pPr>
        <w:tabs>
          <w:tab w:val="num" w:pos="6480"/>
        </w:tabs>
        <w:ind w:left="6480" w:hanging="360"/>
      </w:pPr>
      <w:rPr>
        <w:rFonts w:ascii="Calibri" w:hAnsi="Calibri" w:hint="default"/>
      </w:rPr>
    </w:lvl>
  </w:abstractNum>
  <w:abstractNum w:abstractNumId="5" w15:restartNumberingAfterBreak="0">
    <w:nsid w:val="13CD4ACF"/>
    <w:multiLevelType w:val="hybridMultilevel"/>
    <w:tmpl w:val="C76AA214"/>
    <w:lvl w:ilvl="0" w:tplc="606803D6">
      <w:start w:val="1"/>
      <w:numFmt w:val="upperLetter"/>
      <w:pStyle w:val="Heading2"/>
      <w:lvlText w:val="%1."/>
      <w:lvlJc w:val="left"/>
      <w:pPr>
        <w:tabs>
          <w:tab w:val="num" w:pos="360"/>
        </w:tabs>
        <w:ind w:left="0" w:firstLine="0"/>
      </w:pPr>
      <w:rPr>
        <w:rFonts w:ascii="Times New Roman" w:hAnsi="Times New Roman" w:hint="default"/>
      </w:rPr>
    </w:lvl>
    <w:lvl w:ilvl="1" w:tplc="04090001">
      <w:start w:val="1"/>
      <w:numFmt w:val="bullet"/>
      <w:lvlText w:val=""/>
      <w:lvlJc w:val="left"/>
      <w:pPr>
        <w:tabs>
          <w:tab w:val="num" w:pos="1440"/>
        </w:tabs>
        <w:ind w:left="1440" w:hanging="360"/>
      </w:pPr>
      <w:rPr>
        <w:rFonts w:ascii="Symbol" w:hAnsi="Symbol" w:hint="default"/>
      </w:rPr>
    </w:lvl>
    <w:lvl w:ilvl="2" w:tplc="BF78B448">
      <w:start w:val="1"/>
      <w:numFmt w:val="decimal"/>
      <w:lvlText w:val="%3."/>
      <w:lvlJc w:val="left"/>
      <w:pPr>
        <w:tabs>
          <w:tab w:val="num" w:pos="648"/>
        </w:tabs>
        <w:ind w:left="288" w:firstLine="0"/>
      </w:pPr>
      <w:rPr>
        <w:rFonts w:hint="default"/>
      </w:rPr>
    </w:lvl>
    <w:lvl w:ilvl="3" w:tplc="F750E7B0">
      <w:start w:val="1"/>
      <w:numFmt w:val="lowerLetter"/>
      <w:lvlText w:val="%4)"/>
      <w:lvlJc w:val="left"/>
      <w:pPr>
        <w:tabs>
          <w:tab w:val="num" w:pos="648"/>
        </w:tabs>
        <w:ind w:left="288" w:firstLine="0"/>
      </w:pPr>
      <w:rPr>
        <w:rFonts w:hint="default"/>
      </w:rPr>
    </w:lvl>
    <w:lvl w:ilvl="4" w:tplc="2EB26C74">
      <w:start w:val="1"/>
      <w:numFmt w:val="lowerLetter"/>
      <w:lvlText w:val="%5."/>
      <w:lvlJc w:val="left"/>
      <w:pPr>
        <w:tabs>
          <w:tab w:val="num" w:pos="648"/>
        </w:tabs>
        <w:ind w:left="288" w:firstLine="0"/>
      </w:pPr>
      <w:rPr>
        <w:rFonts w:hint="default"/>
      </w:rPr>
    </w:lvl>
    <w:lvl w:ilvl="5" w:tplc="79E24208">
      <w:start w:val="1"/>
      <w:numFmt w:val="decimal"/>
      <w:lvlText w:val="%6)"/>
      <w:lvlJc w:val="left"/>
      <w:pPr>
        <w:tabs>
          <w:tab w:val="num" w:pos="720"/>
        </w:tabs>
        <w:ind w:left="720" w:hanging="432"/>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4F54E7"/>
    <w:multiLevelType w:val="hybridMultilevel"/>
    <w:tmpl w:val="C3E487AA"/>
    <w:lvl w:ilvl="0" w:tplc="3C78074C">
      <w:start w:val="1"/>
      <w:numFmt w:val="decimal"/>
      <w:lvlText w:val="%1)"/>
      <w:lvlJc w:val="left"/>
      <w:pPr>
        <w:tabs>
          <w:tab w:val="num" w:pos="720"/>
        </w:tabs>
        <w:ind w:left="720" w:hanging="432"/>
      </w:pPr>
      <w:rPr>
        <w:rFonts w:hint="default"/>
      </w:rPr>
    </w:lvl>
    <w:lvl w:ilvl="1" w:tplc="04090019" w:tentative="1">
      <w:start w:val="1"/>
      <w:numFmt w:val="lowerLetter"/>
      <w:lvlText w:val="%2."/>
      <w:lvlJc w:val="left"/>
      <w:pPr>
        <w:tabs>
          <w:tab w:val="num" w:pos="5580"/>
        </w:tabs>
        <w:ind w:left="5580" w:hanging="360"/>
      </w:pPr>
    </w:lvl>
    <w:lvl w:ilvl="2" w:tplc="0409001B" w:tentative="1">
      <w:start w:val="1"/>
      <w:numFmt w:val="lowerRoman"/>
      <w:lvlText w:val="%3."/>
      <w:lvlJc w:val="right"/>
      <w:pPr>
        <w:tabs>
          <w:tab w:val="num" w:pos="6300"/>
        </w:tabs>
        <w:ind w:left="6300" w:hanging="180"/>
      </w:pPr>
    </w:lvl>
    <w:lvl w:ilvl="3" w:tplc="0409000F" w:tentative="1">
      <w:start w:val="1"/>
      <w:numFmt w:val="decimal"/>
      <w:lvlText w:val="%4."/>
      <w:lvlJc w:val="left"/>
      <w:pPr>
        <w:tabs>
          <w:tab w:val="num" w:pos="7020"/>
        </w:tabs>
        <w:ind w:left="7020" w:hanging="360"/>
      </w:pPr>
    </w:lvl>
    <w:lvl w:ilvl="4" w:tplc="04090019" w:tentative="1">
      <w:start w:val="1"/>
      <w:numFmt w:val="lowerLetter"/>
      <w:lvlText w:val="%5."/>
      <w:lvlJc w:val="left"/>
      <w:pPr>
        <w:tabs>
          <w:tab w:val="num" w:pos="7740"/>
        </w:tabs>
        <w:ind w:left="7740" w:hanging="360"/>
      </w:pPr>
    </w:lvl>
    <w:lvl w:ilvl="5" w:tplc="0409001B" w:tentative="1">
      <w:start w:val="1"/>
      <w:numFmt w:val="lowerRoman"/>
      <w:lvlText w:val="%6."/>
      <w:lvlJc w:val="right"/>
      <w:pPr>
        <w:tabs>
          <w:tab w:val="num" w:pos="8460"/>
        </w:tabs>
        <w:ind w:left="8460" w:hanging="180"/>
      </w:pPr>
    </w:lvl>
    <w:lvl w:ilvl="6" w:tplc="0409000F" w:tentative="1">
      <w:start w:val="1"/>
      <w:numFmt w:val="decimal"/>
      <w:lvlText w:val="%7."/>
      <w:lvlJc w:val="left"/>
      <w:pPr>
        <w:tabs>
          <w:tab w:val="num" w:pos="9180"/>
        </w:tabs>
        <w:ind w:left="9180" w:hanging="360"/>
      </w:pPr>
    </w:lvl>
    <w:lvl w:ilvl="7" w:tplc="04090019" w:tentative="1">
      <w:start w:val="1"/>
      <w:numFmt w:val="lowerLetter"/>
      <w:lvlText w:val="%8."/>
      <w:lvlJc w:val="left"/>
      <w:pPr>
        <w:tabs>
          <w:tab w:val="num" w:pos="9900"/>
        </w:tabs>
        <w:ind w:left="9900" w:hanging="360"/>
      </w:pPr>
    </w:lvl>
    <w:lvl w:ilvl="8" w:tplc="0409001B" w:tentative="1">
      <w:start w:val="1"/>
      <w:numFmt w:val="lowerRoman"/>
      <w:lvlText w:val="%9."/>
      <w:lvlJc w:val="right"/>
      <w:pPr>
        <w:tabs>
          <w:tab w:val="num" w:pos="10620"/>
        </w:tabs>
        <w:ind w:left="10620" w:hanging="180"/>
      </w:pPr>
    </w:lvl>
  </w:abstractNum>
  <w:abstractNum w:abstractNumId="7" w15:restartNumberingAfterBreak="0">
    <w:nsid w:val="1C24356B"/>
    <w:multiLevelType w:val="hybridMultilevel"/>
    <w:tmpl w:val="5762A6B6"/>
    <w:lvl w:ilvl="0" w:tplc="C0FCD902">
      <w:start w:val="1"/>
      <w:numFmt w:val="bullet"/>
      <w:lvlText w:val=""/>
      <w:lvlJc w:val="left"/>
      <w:pPr>
        <w:tabs>
          <w:tab w:val="num" w:pos="648"/>
        </w:tabs>
        <w:ind w:left="576" w:hanging="288"/>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8" w15:restartNumberingAfterBreak="0">
    <w:nsid w:val="1CF05DF9"/>
    <w:multiLevelType w:val="hybridMultilevel"/>
    <w:tmpl w:val="5762A6B6"/>
    <w:lvl w:ilvl="0" w:tplc="88A8CE80">
      <w:start w:val="1"/>
      <w:numFmt w:val="bullet"/>
      <w:lvlText w:val=""/>
      <w:lvlJc w:val="left"/>
      <w:pPr>
        <w:tabs>
          <w:tab w:val="num" w:pos="648"/>
        </w:tabs>
        <w:ind w:left="288" w:firstLine="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9" w15:restartNumberingAfterBreak="0">
    <w:nsid w:val="1DE2192E"/>
    <w:multiLevelType w:val="hybridMultilevel"/>
    <w:tmpl w:val="4CFE0E4C"/>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0" w15:restartNumberingAfterBreak="0">
    <w:nsid w:val="21F319F3"/>
    <w:multiLevelType w:val="hybridMultilevel"/>
    <w:tmpl w:val="13EA69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65E2607"/>
    <w:multiLevelType w:val="hybridMultilevel"/>
    <w:tmpl w:val="1CBA832E"/>
    <w:lvl w:ilvl="0" w:tplc="04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B5F0E0F"/>
    <w:multiLevelType w:val="hybridMultilevel"/>
    <w:tmpl w:val="593CC7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C631C8B"/>
    <w:multiLevelType w:val="hybridMultilevel"/>
    <w:tmpl w:val="CFE66962"/>
    <w:lvl w:ilvl="0" w:tplc="AD4C076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FD704F2"/>
    <w:multiLevelType w:val="hybridMultilevel"/>
    <w:tmpl w:val="15BE78DC"/>
    <w:lvl w:ilvl="0" w:tplc="0768AAFC">
      <w:start w:val="1"/>
      <w:numFmt w:val="upperRoman"/>
      <w:pStyle w:val="Heading1"/>
      <w:lvlText w:val="%1."/>
      <w:lvlJc w:val="right"/>
      <w:pPr>
        <w:tabs>
          <w:tab w:val="num" w:pos="360"/>
        </w:tabs>
        <w:ind w:left="0" w:firstLine="0"/>
      </w:pPr>
      <w:rPr>
        <w:rFonts w:ascii="Times New Roman" w:hAnsi="Times New Roman" w:hint="default"/>
      </w:rPr>
    </w:lvl>
    <w:lvl w:ilvl="1" w:tplc="4976073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23A16A1"/>
    <w:multiLevelType w:val="hybridMultilevel"/>
    <w:tmpl w:val="858821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2229DF"/>
    <w:multiLevelType w:val="hybridMultilevel"/>
    <w:tmpl w:val="11AC7754"/>
    <w:lvl w:ilvl="0" w:tplc="0E36B0E0">
      <w:start w:val="1"/>
      <w:numFmt w:val="decimal"/>
      <w:lvlText w:val="%1."/>
      <w:lvlJc w:val="left"/>
      <w:pPr>
        <w:tabs>
          <w:tab w:val="num" w:pos="360"/>
        </w:tabs>
        <w:ind w:left="360" w:hanging="360"/>
      </w:pPr>
      <w:rPr>
        <w:rFonts w:hint="default"/>
        <w:b w:val="0"/>
        <w:i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rFonts w:hint="default"/>
        <w:b w:val="0"/>
        <w:i w:val="0"/>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91D428E"/>
    <w:multiLevelType w:val="hybridMultilevel"/>
    <w:tmpl w:val="47A27C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CF07618"/>
    <w:multiLevelType w:val="hybridMultilevel"/>
    <w:tmpl w:val="997C9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865185"/>
    <w:multiLevelType w:val="hybridMultilevel"/>
    <w:tmpl w:val="66F893C2"/>
    <w:lvl w:ilvl="0" w:tplc="AB140114">
      <w:start w:val="1"/>
      <w:numFmt w:val="upperLetter"/>
      <w:lvlText w:val="%1."/>
      <w:lvlJc w:val="left"/>
      <w:pPr>
        <w:tabs>
          <w:tab w:val="num" w:pos="360"/>
        </w:tabs>
        <w:ind w:left="0" w:firstLine="0"/>
      </w:pPr>
      <w:rPr>
        <w:rFonts w:ascii="Times New Roman" w:hAnsi="Times New Roman" w:hint="default"/>
      </w:rPr>
    </w:lvl>
    <w:lvl w:ilvl="1" w:tplc="4EB2A9DE">
      <w:start w:val="1"/>
      <w:numFmt w:val="bullet"/>
      <w:lvlText w:val=""/>
      <w:lvlJc w:val="left"/>
      <w:pPr>
        <w:tabs>
          <w:tab w:val="num" w:pos="648"/>
        </w:tabs>
        <w:ind w:left="360" w:hanging="72"/>
      </w:pPr>
      <w:rPr>
        <w:rFonts w:ascii="Symbol" w:hAnsi="Symbol" w:hint="default"/>
      </w:rPr>
    </w:lvl>
    <w:lvl w:ilvl="2" w:tplc="7F1A24CE">
      <w:start w:val="1"/>
      <w:numFmt w:val="decimal"/>
      <w:lvlText w:val="%3."/>
      <w:lvlJc w:val="left"/>
      <w:pPr>
        <w:tabs>
          <w:tab w:val="num" w:pos="648"/>
        </w:tabs>
        <w:ind w:left="360" w:hanging="72"/>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8AC3CC6"/>
    <w:multiLevelType w:val="hybridMultilevel"/>
    <w:tmpl w:val="5762A6B6"/>
    <w:lvl w:ilvl="0" w:tplc="43E22C5C">
      <w:start w:val="1"/>
      <w:numFmt w:val="bullet"/>
      <w:lvlText w:val=""/>
      <w:lvlJc w:val="left"/>
      <w:pPr>
        <w:tabs>
          <w:tab w:val="num" w:pos="936"/>
        </w:tabs>
        <w:ind w:left="576" w:firstLine="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1" w15:restartNumberingAfterBreak="0">
    <w:nsid w:val="49120672"/>
    <w:multiLevelType w:val="hybridMultilevel"/>
    <w:tmpl w:val="254E6CBE"/>
    <w:lvl w:ilvl="0" w:tplc="04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65D013B"/>
    <w:multiLevelType w:val="hybridMultilevel"/>
    <w:tmpl w:val="66F893C2"/>
    <w:lvl w:ilvl="0" w:tplc="AB140114">
      <w:start w:val="1"/>
      <w:numFmt w:val="upperLetter"/>
      <w:lvlText w:val="%1."/>
      <w:lvlJc w:val="left"/>
      <w:pPr>
        <w:tabs>
          <w:tab w:val="num" w:pos="360"/>
        </w:tabs>
        <w:ind w:left="0" w:firstLine="0"/>
      </w:pPr>
      <w:rPr>
        <w:rFonts w:ascii="Times New Roman" w:hAnsi="Times New Roman" w:hint="default"/>
      </w:rPr>
    </w:lvl>
    <w:lvl w:ilvl="1" w:tplc="43E22C5C">
      <w:start w:val="1"/>
      <w:numFmt w:val="bullet"/>
      <w:lvlText w:val=""/>
      <w:lvlJc w:val="left"/>
      <w:pPr>
        <w:tabs>
          <w:tab w:val="num" w:pos="648"/>
        </w:tabs>
        <w:ind w:left="288" w:firstLine="0"/>
      </w:pPr>
      <w:rPr>
        <w:rFonts w:ascii="Symbol" w:hAnsi="Symbol" w:hint="default"/>
      </w:rPr>
    </w:lvl>
    <w:lvl w:ilvl="2" w:tplc="7F1A24CE">
      <w:start w:val="1"/>
      <w:numFmt w:val="decimal"/>
      <w:lvlText w:val="%3."/>
      <w:lvlJc w:val="left"/>
      <w:pPr>
        <w:tabs>
          <w:tab w:val="num" w:pos="648"/>
        </w:tabs>
        <w:ind w:left="360" w:hanging="72"/>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67C1D7B"/>
    <w:multiLevelType w:val="hybridMultilevel"/>
    <w:tmpl w:val="5E288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44319A"/>
    <w:multiLevelType w:val="hybridMultilevel"/>
    <w:tmpl w:val="39888E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160677B"/>
    <w:multiLevelType w:val="hybridMultilevel"/>
    <w:tmpl w:val="E9227B7C"/>
    <w:lvl w:ilvl="0" w:tplc="25221698">
      <w:start w:val="1"/>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26" w15:restartNumberingAfterBreak="0">
    <w:nsid w:val="6201068F"/>
    <w:multiLevelType w:val="hybridMultilevel"/>
    <w:tmpl w:val="AB183A2A"/>
    <w:lvl w:ilvl="0" w:tplc="1E9C550C">
      <w:start w:val="1"/>
      <w:numFmt w:val="decimal"/>
      <w:lvlText w:val="%1)"/>
      <w:lvlJc w:val="left"/>
      <w:pPr>
        <w:tabs>
          <w:tab w:val="num" w:pos="72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2774AFA"/>
    <w:multiLevelType w:val="hybridMultilevel"/>
    <w:tmpl w:val="5CE8C98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8" w15:restartNumberingAfterBreak="0">
    <w:nsid w:val="63EF1209"/>
    <w:multiLevelType w:val="multilevel"/>
    <w:tmpl w:val="00290409"/>
    <w:lvl w:ilvl="0">
      <w:start w:val="1"/>
      <w:numFmt w:val="decimal"/>
      <w:suff w:val="space"/>
      <w:lvlText w:val="Chapter %1"/>
      <w:lvlJc w:val="left"/>
      <w:pPr>
        <w:ind w:left="0" w:firstLine="0"/>
      </w:pPr>
    </w:lvl>
    <w:lvl w:ilvl="1">
      <w:start w:val="1"/>
      <w:numFmt w:val="decimal"/>
      <w:lvlText w:val="%2)"/>
      <w:lvlJc w:val="left"/>
      <w:pPr>
        <w:tabs>
          <w:tab w:val="num" w:pos="648"/>
        </w:tabs>
        <w:ind w:left="576" w:hanging="288"/>
      </w:pPr>
      <w:rPr>
        <w:rFonts w:hint="default"/>
      </w:rPr>
    </w:lvl>
    <w:lvl w:ilvl="2">
      <w:start w:val="1"/>
      <w:numFmt w:val="none"/>
      <w:suff w:val="nothing"/>
      <w:lvlText w:val="%3."/>
      <w:lvlJc w:val="left"/>
      <w:pPr>
        <w:ind w:left="0" w:firstLine="0"/>
      </w:pPr>
    </w:lvl>
    <w:lvl w:ilvl="3">
      <w:start w:val="1"/>
      <w:numFmt w:val="none"/>
      <w:suff w:val="nothing"/>
      <w:lvlText w:val="%4)"/>
      <w:lvlJc w:val="left"/>
      <w:pPr>
        <w:ind w:left="0" w:firstLine="0"/>
      </w:pPr>
    </w:lvl>
    <w:lvl w:ilvl="4">
      <w:start w:val="1"/>
      <w:numFmt w:val="none"/>
      <w:suff w:val="nothing"/>
      <w:lvlText w:val="(%5)"/>
      <w:lvlJc w:val="left"/>
      <w:pPr>
        <w:ind w:left="0" w:firstLine="0"/>
      </w:pPr>
    </w:lvl>
    <w:lvl w:ilvl="5">
      <w:start w:val="1"/>
      <w:numFmt w:val="none"/>
      <w:suff w:val="nothing"/>
      <w:lvlText w:val="(%6)"/>
      <w:lvlJc w:val="left"/>
      <w:pPr>
        <w:ind w:left="0" w:firstLine="0"/>
      </w:pPr>
    </w:lvl>
    <w:lvl w:ilvl="6">
      <w:start w:val="1"/>
      <w:numFmt w:val="none"/>
      <w:suff w:val="nothing"/>
      <w:lvlText w:val="(%7)"/>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29" w15:restartNumberingAfterBreak="0">
    <w:nsid w:val="688E49F8"/>
    <w:multiLevelType w:val="hybridMultilevel"/>
    <w:tmpl w:val="FBB29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9B562C"/>
    <w:multiLevelType w:val="hybridMultilevel"/>
    <w:tmpl w:val="47D086BC"/>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8C05D1E"/>
    <w:multiLevelType w:val="hybridMultilevel"/>
    <w:tmpl w:val="491AB7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DC3293B"/>
    <w:multiLevelType w:val="singleLevel"/>
    <w:tmpl w:val="3A8EC28E"/>
    <w:lvl w:ilvl="0">
      <w:start w:val="1"/>
      <w:numFmt w:val="decimal"/>
      <w:lvlText w:val="[%1]"/>
      <w:lvlJc w:val="left"/>
      <w:pPr>
        <w:tabs>
          <w:tab w:val="num" w:pos="360"/>
        </w:tabs>
        <w:ind w:left="360" w:hanging="360"/>
      </w:pPr>
    </w:lvl>
  </w:abstractNum>
  <w:abstractNum w:abstractNumId="33" w15:restartNumberingAfterBreak="0">
    <w:nsid w:val="740F41AC"/>
    <w:multiLevelType w:val="hybridMultilevel"/>
    <w:tmpl w:val="2B54A3C0"/>
    <w:lvl w:ilvl="0" w:tplc="43E22C5C">
      <w:start w:val="1"/>
      <w:numFmt w:val="bullet"/>
      <w:lvlText w:val=""/>
      <w:lvlJc w:val="left"/>
      <w:pPr>
        <w:tabs>
          <w:tab w:val="num" w:pos="936"/>
        </w:tabs>
        <w:ind w:left="576" w:firstLine="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34" w15:restartNumberingAfterBreak="0">
    <w:nsid w:val="76363A17"/>
    <w:multiLevelType w:val="hybridMultilevel"/>
    <w:tmpl w:val="8D081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F46323"/>
    <w:multiLevelType w:val="multilevel"/>
    <w:tmpl w:val="ABCAF4A4"/>
    <w:lvl w:ilvl="0">
      <w:start w:val="1"/>
      <w:numFmt w:val="decimal"/>
      <w:lvlText w:val="%1)"/>
      <w:lvlJc w:val="left"/>
      <w:pPr>
        <w:tabs>
          <w:tab w:val="num" w:pos="720"/>
        </w:tabs>
        <w:ind w:left="720" w:hanging="432"/>
      </w:pPr>
      <w:rPr>
        <w:rFonts w:hint="default"/>
      </w:rPr>
    </w:lvl>
    <w:lvl w:ilvl="1">
      <w:start w:val="1"/>
      <w:numFmt w:val="lowerLetter"/>
      <w:lvlText w:val="%2)"/>
      <w:lvlJc w:val="left"/>
      <w:pPr>
        <w:tabs>
          <w:tab w:val="num" w:pos="1296"/>
        </w:tabs>
        <w:ind w:left="1296" w:hanging="360"/>
      </w:pPr>
      <w:rPr>
        <w:rFonts w:hint="default"/>
      </w:rPr>
    </w:lvl>
    <w:lvl w:ilvl="2">
      <w:start w:val="1"/>
      <w:numFmt w:val="lowerRoman"/>
      <w:lvlText w:val="%3)"/>
      <w:lvlJc w:val="left"/>
      <w:pPr>
        <w:tabs>
          <w:tab w:val="num" w:pos="2016"/>
        </w:tabs>
        <w:ind w:left="1656" w:hanging="360"/>
      </w:pPr>
      <w:rPr>
        <w:rFonts w:hint="default"/>
      </w:rPr>
    </w:lvl>
    <w:lvl w:ilvl="3">
      <w:start w:val="1"/>
      <w:numFmt w:val="decimal"/>
      <w:lvlText w:val="(%4)"/>
      <w:lvlJc w:val="left"/>
      <w:pPr>
        <w:tabs>
          <w:tab w:val="num" w:pos="2016"/>
        </w:tabs>
        <w:ind w:left="2016" w:hanging="360"/>
      </w:pPr>
      <w:rPr>
        <w:rFonts w:hint="default"/>
      </w:rPr>
    </w:lvl>
    <w:lvl w:ilvl="4">
      <w:start w:val="1"/>
      <w:numFmt w:val="lowerLetter"/>
      <w:lvlText w:val="(%5)"/>
      <w:lvlJc w:val="left"/>
      <w:pPr>
        <w:tabs>
          <w:tab w:val="num" w:pos="2376"/>
        </w:tabs>
        <w:ind w:left="2376" w:hanging="360"/>
      </w:pPr>
      <w:rPr>
        <w:rFonts w:hint="default"/>
      </w:rPr>
    </w:lvl>
    <w:lvl w:ilvl="5">
      <w:start w:val="1"/>
      <w:numFmt w:val="lowerRoman"/>
      <w:lvlText w:val="(%6)"/>
      <w:lvlJc w:val="left"/>
      <w:pPr>
        <w:tabs>
          <w:tab w:val="num" w:pos="2736"/>
        </w:tabs>
        <w:ind w:left="2736" w:hanging="360"/>
      </w:pPr>
      <w:rPr>
        <w:rFonts w:hint="default"/>
      </w:rPr>
    </w:lvl>
    <w:lvl w:ilvl="6">
      <w:start w:val="1"/>
      <w:numFmt w:val="decimal"/>
      <w:lvlText w:val="%7."/>
      <w:lvlJc w:val="left"/>
      <w:pPr>
        <w:tabs>
          <w:tab w:val="num" w:pos="3096"/>
        </w:tabs>
        <w:ind w:left="3096" w:hanging="360"/>
      </w:pPr>
      <w:rPr>
        <w:rFonts w:hint="default"/>
      </w:rPr>
    </w:lvl>
    <w:lvl w:ilvl="7">
      <w:start w:val="1"/>
      <w:numFmt w:val="lowerLetter"/>
      <w:lvlText w:val="%8."/>
      <w:lvlJc w:val="left"/>
      <w:pPr>
        <w:tabs>
          <w:tab w:val="num" w:pos="3456"/>
        </w:tabs>
        <w:ind w:left="3456" w:hanging="360"/>
      </w:pPr>
      <w:rPr>
        <w:rFonts w:hint="default"/>
      </w:rPr>
    </w:lvl>
    <w:lvl w:ilvl="8">
      <w:start w:val="1"/>
      <w:numFmt w:val="lowerRoman"/>
      <w:lvlText w:val="%9."/>
      <w:lvlJc w:val="left"/>
      <w:pPr>
        <w:tabs>
          <w:tab w:val="num" w:pos="3816"/>
        </w:tabs>
        <w:ind w:left="3816" w:hanging="360"/>
      </w:pPr>
      <w:rPr>
        <w:rFonts w:hint="default"/>
      </w:rPr>
    </w:lvl>
  </w:abstractNum>
  <w:abstractNum w:abstractNumId="36" w15:restartNumberingAfterBreak="0">
    <w:nsid w:val="7ADC0C8B"/>
    <w:multiLevelType w:val="hybridMultilevel"/>
    <w:tmpl w:val="A45CF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DF316BC"/>
    <w:multiLevelType w:val="hybridMultilevel"/>
    <w:tmpl w:val="5762A6B6"/>
    <w:lvl w:ilvl="0" w:tplc="237E1962">
      <w:start w:val="1"/>
      <w:numFmt w:val="bullet"/>
      <w:lvlText w:val=""/>
      <w:lvlJc w:val="left"/>
      <w:pPr>
        <w:tabs>
          <w:tab w:val="num" w:pos="720"/>
        </w:tabs>
        <w:ind w:left="720" w:hanging="432"/>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38" w15:restartNumberingAfterBreak="0">
    <w:nsid w:val="7F6646F6"/>
    <w:multiLevelType w:val="hybridMultilevel"/>
    <w:tmpl w:val="5762A6B6"/>
    <w:lvl w:ilvl="0" w:tplc="EDBC50CA">
      <w:start w:val="1"/>
      <w:numFmt w:val="bullet"/>
      <w:lvlText w:val=""/>
      <w:lvlJc w:val="left"/>
      <w:pPr>
        <w:tabs>
          <w:tab w:val="num" w:pos="648"/>
        </w:tabs>
        <w:ind w:left="576" w:hanging="288"/>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num w:numId="1" w16cid:durableId="1600747699">
    <w:abstractNumId w:val="13"/>
  </w:num>
  <w:num w:numId="2" w16cid:durableId="175000720">
    <w:abstractNumId w:val="14"/>
  </w:num>
  <w:num w:numId="3" w16cid:durableId="1763918308">
    <w:abstractNumId w:val="5"/>
  </w:num>
  <w:num w:numId="4" w16cid:durableId="1285959796">
    <w:abstractNumId w:val="30"/>
  </w:num>
  <w:num w:numId="5" w16cid:durableId="907224094">
    <w:abstractNumId w:val="5"/>
    <w:lvlOverride w:ilvl="0">
      <w:startOverride w:val="1"/>
    </w:lvlOverride>
  </w:num>
  <w:num w:numId="6" w16cid:durableId="2074156630">
    <w:abstractNumId w:val="19"/>
  </w:num>
  <w:num w:numId="7" w16cid:durableId="573246826">
    <w:abstractNumId w:val="22"/>
  </w:num>
  <w:num w:numId="8" w16cid:durableId="1638561147">
    <w:abstractNumId w:val="28"/>
  </w:num>
  <w:num w:numId="9" w16cid:durableId="2111467120">
    <w:abstractNumId w:val="33"/>
  </w:num>
  <w:num w:numId="10" w16cid:durableId="1883666517">
    <w:abstractNumId w:val="20"/>
  </w:num>
  <w:num w:numId="11" w16cid:durableId="1909685135">
    <w:abstractNumId w:val="35"/>
  </w:num>
  <w:num w:numId="12" w16cid:durableId="693459552">
    <w:abstractNumId w:val="1"/>
  </w:num>
  <w:num w:numId="13" w16cid:durableId="1333292412">
    <w:abstractNumId w:val="7"/>
  </w:num>
  <w:num w:numId="14" w16cid:durableId="12417875">
    <w:abstractNumId w:val="37"/>
  </w:num>
  <w:num w:numId="15" w16cid:durableId="1593078083">
    <w:abstractNumId w:val="8"/>
  </w:num>
  <w:num w:numId="16" w16cid:durableId="744298689">
    <w:abstractNumId w:val="38"/>
  </w:num>
  <w:num w:numId="17" w16cid:durableId="1447385198">
    <w:abstractNumId w:val="0"/>
  </w:num>
  <w:num w:numId="18" w16cid:durableId="1605575957">
    <w:abstractNumId w:val="5"/>
    <w:lvlOverride w:ilvl="0">
      <w:startOverride w:val="1"/>
    </w:lvlOverride>
  </w:num>
  <w:num w:numId="19" w16cid:durableId="2073036406">
    <w:abstractNumId w:val="5"/>
    <w:lvlOverride w:ilvl="0">
      <w:startOverride w:val="1"/>
    </w:lvlOverride>
  </w:num>
  <w:num w:numId="20" w16cid:durableId="777141077">
    <w:abstractNumId w:val="5"/>
  </w:num>
  <w:num w:numId="21" w16cid:durableId="941568397">
    <w:abstractNumId w:val="5"/>
    <w:lvlOverride w:ilvl="0">
      <w:startOverride w:val="1"/>
    </w:lvlOverride>
  </w:num>
  <w:num w:numId="22" w16cid:durableId="643660790">
    <w:abstractNumId w:val="32"/>
  </w:num>
  <w:num w:numId="23" w16cid:durableId="1809206748">
    <w:abstractNumId w:val="6"/>
  </w:num>
  <w:num w:numId="24" w16cid:durableId="1998341806">
    <w:abstractNumId w:val="26"/>
  </w:num>
  <w:num w:numId="25" w16cid:durableId="1376656684">
    <w:abstractNumId w:val="25"/>
  </w:num>
  <w:num w:numId="26" w16cid:durableId="1286040478">
    <w:abstractNumId w:val="15"/>
  </w:num>
  <w:num w:numId="27" w16cid:durableId="1400244877">
    <w:abstractNumId w:val="36"/>
  </w:num>
  <w:num w:numId="28" w16cid:durableId="1083602502">
    <w:abstractNumId w:val="9"/>
  </w:num>
  <w:num w:numId="29" w16cid:durableId="765273563">
    <w:abstractNumId w:val="34"/>
  </w:num>
  <w:num w:numId="30" w16cid:durableId="1522620844">
    <w:abstractNumId w:val="16"/>
  </w:num>
  <w:num w:numId="31" w16cid:durableId="1635451507">
    <w:abstractNumId w:val="12"/>
  </w:num>
  <w:num w:numId="32" w16cid:durableId="1450126418">
    <w:abstractNumId w:val="3"/>
  </w:num>
  <w:num w:numId="33" w16cid:durableId="738788568">
    <w:abstractNumId w:val="29"/>
  </w:num>
  <w:num w:numId="34" w16cid:durableId="1948387759">
    <w:abstractNumId w:val="2"/>
  </w:num>
  <w:num w:numId="35" w16cid:durableId="1715306193">
    <w:abstractNumId w:val="27"/>
  </w:num>
  <w:num w:numId="36" w16cid:durableId="569465545">
    <w:abstractNumId w:val="10"/>
  </w:num>
  <w:num w:numId="37" w16cid:durableId="2040009979">
    <w:abstractNumId w:val="17"/>
  </w:num>
  <w:num w:numId="38" w16cid:durableId="133985395">
    <w:abstractNumId w:val="31"/>
  </w:num>
  <w:num w:numId="39" w16cid:durableId="766776104">
    <w:abstractNumId w:val="24"/>
  </w:num>
  <w:num w:numId="40" w16cid:durableId="950940377">
    <w:abstractNumId w:val="18"/>
  </w:num>
  <w:num w:numId="41" w16cid:durableId="1971589043">
    <w:abstractNumId w:val="23"/>
  </w:num>
  <w:num w:numId="42" w16cid:durableId="1845896514">
    <w:abstractNumId w:val="21"/>
  </w:num>
  <w:num w:numId="43" w16cid:durableId="277564978">
    <w:abstractNumId w:val="11"/>
  </w:num>
  <w:num w:numId="44" w16cid:durableId="8664528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A03"/>
    <w:rsid w:val="000058AC"/>
    <w:rsid w:val="00007726"/>
    <w:rsid w:val="00013D38"/>
    <w:rsid w:val="0001622E"/>
    <w:rsid w:val="00022AE6"/>
    <w:rsid w:val="00023250"/>
    <w:rsid w:val="000246E6"/>
    <w:rsid w:val="00024843"/>
    <w:rsid w:val="0003458B"/>
    <w:rsid w:val="00043E9C"/>
    <w:rsid w:val="00044818"/>
    <w:rsid w:val="0006517B"/>
    <w:rsid w:val="00077FAC"/>
    <w:rsid w:val="00082135"/>
    <w:rsid w:val="000837F5"/>
    <w:rsid w:val="00083911"/>
    <w:rsid w:val="00086AAF"/>
    <w:rsid w:val="0009217F"/>
    <w:rsid w:val="00092749"/>
    <w:rsid w:val="00094B0F"/>
    <w:rsid w:val="000A2BBF"/>
    <w:rsid w:val="000A32CD"/>
    <w:rsid w:val="000A7E1F"/>
    <w:rsid w:val="000C353C"/>
    <w:rsid w:val="000C4724"/>
    <w:rsid w:val="000D1603"/>
    <w:rsid w:val="000E730F"/>
    <w:rsid w:val="000E7B82"/>
    <w:rsid w:val="000E7CB6"/>
    <w:rsid w:val="000F2801"/>
    <w:rsid w:val="000F3AC0"/>
    <w:rsid w:val="000F6186"/>
    <w:rsid w:val="00112159"/>
    <w:rsid w:val="001230FB"/>
    <w:rsid w:val="00125B83"/>
    <w:rsid w:val="001325CC"/>
    <w:rsid w:val="00135568"/>
    <w:rsid w:val="001373CA"/>
    <w:rsid w:val="001401DA"/>
    <w:rsid w:val="00143CD2"/>
    <w:rsid w:val="0015420E"/>
    <w:rsid w:val="001754F1"/>
    <w:rsid w:val="00187578"/>
    <w:rsid w:val="001A5FA7"/>
    <w:rsid w:val="001A7AEC"/>
    <w:rsid w:val="001B53AB"/>
    <w:rsid w:val="001C72F9"/>
    <w:rsid w:val="001D364F"/>
    <w:rsid w:val="001D6B68"/>
    <w:rsid w:val="001D6DFF"/>
    <w:rsid w:val="001E44A4"/>
    <w:rsid w:val="001F24CF"/>
    <w:rsid w:val="001F2C46"/>
    <w:rsid w:val="001F56D5"/>
    <w:rsid w:val="00201F8E"/>
    <w:rsid w:val="0020311A"/>
    <w:rsid w:val="002111B0"/>
    <w:rsid w:val="002121E3"/>
    <w:rsid w:val="0021563F"/>
    <w:rsid w:val="00223D1F"/>
    <w:rsid w:val="00224C00"/>
    <w:rsid w:val="00241D00"/>
    <w:rsid w:val="002550ED"/>
    <w:rsid w:val="00255AAE"/>
    <w:rsid w:val="00261CB4"/>
    <w:rsid w:val="002660D0"/>
    <w:rsid w:val="00272B49"/>
    <w:rsid w:val="00273061"/>
    <w:rsid w:val="0028703D"/>
    <w:rsid w:val="0029228A"/>
    <w:rsid w:val="002955D3"/>
    <w:rsid w:val="002A3408"/>
    <w:rsid w:val="002B6D4E"/>
    <w:rsid w:val="002C2EC8"/>
    <w:rsid w:val="002C5247"/>
    <w:rsid w:val="002D33F7"/>
    <w:rsid w:val="002D4518"/>
    <w:rsid w:val="002D6C45"/>
    <w:rsid w:val="002F54F8"/>
    <w:rsid w:val="002F7D16"/>
    <w:rsid w:val="00305490"/>
    <w:rsid w:val="00310530"/>
    <w:rsid w:val="003204C9"/>
    <w:rsid w:val="00333ED6"/>
    <w:rsid w:val="003416FE"/>
    <w:rsid w:val="00343E05"/>
    <w:rsid w:val="003456A9"/>
    <w:rsid w:val="00354867"/>
    <w:rsid w:val="00354F48"/>
    <w:rsid w:val="003757F0"/>
    <w:rsid w:val="0038530B"/>
    <w:rsid w:val="00393153"/>
    <w:rsid w:val="00393880"/>
    <w:rsid w:val="003A3AAD"/>
    <w:rsid w:val="003B6C3E"/>
    <w:rsid w:val="003C01D6"/>
    <w:rsid w:val="003D21F4"/>
    <w:rsid w:val="003D547E"/>
    <w:rsid w:val="003F167B"/>
    <w:rsid w:val="003F54C3"/>
    <w:rsid w:val="00400C2B"/>
    <w:rsid w:val="00403A5D"/>
    <w:rsid w:val="00404BDC"/>
    <w:rsid w:val="00404C34"/>
    <w:rsid w:val="00414C33"/>
    <w:rsid w:val="00427E16"/>
    <w:rsid w:val="004302A9"/>
    <w:rsid w:val="00437B47"/>
    <w:rsid w:val="0044604D"/>
    <w:rsid w:val="00462E52"/>
    <w:rsid w:val="00475ED5"/>
    <w:rsid w:val="00485AAE"/>
    <w:rsid w:val="0048661A"/>
    <w:rsid w:val="00490BF1"/>
    <w:rsid w:val="00493A6F"/>
    <w:rsid w:val="004A09D5"/>
    <w:rsid w:val="004C0EEE"/>
    <w:rsid w:val="004C1C92"/>
    <w:rsid w:val="004C23C9"/>
    <w:rsid w:val="004C5F48"/>
    <w:rsid w:val="004D25CC"/>
    <w:rsid w:val="004E0666"/>
    <w:rsid w:val="004E06E9"/>
    <w:rsid w:val="004E15B0"/>
    <w:rsid w:val="005119F8"/>
    <w:rsid w:val="00514774"/>
    <w:rsid w:val="00516FDA"/>
    <w:rsid w:val="00535292"/>
    <w:rsid w:val="0055113E"/>
    <w:rsid w:val="00552A93"/>
    <w:rsid w:val="00554C62"/>
    <w:rsid w:val="00555861"/>
    <w:rsid w:val="0055657E"/>
    <w:rsid w:val="005567A7"/>
    <w:rsid w:val="00561F4F"/>
    <w:rsid w:val="00572EC8"/>
    <w:rsid w:val="00585688"/>
    <w:rsid w:val="00590D54"/>
    <w:rsid w:val="00594FA6"/>
    <w:rsid w:val="005A2328"/>
    <w:rsid w:val="005A37FB"/>
    <w:rsid w:val="005A5616"/>
    <w:rsid w:val="005A571C"/>
    <w:rsid w:val="005B01B4"/>
    <w:rsid w:val="005B3761"/>
    <w:rsid w:val="005B5BE2"/>
    <w:rsid w:val="005C34B2"/>
    <w:rsid w:val="005D2E78"/>
    <w:rsid w:val="005D702A"/>
    <w:rsid w:val="005E64BE"/>
    <w:rsid w:val="005E7C66"/>
    <w:rsid w:val="005E7DD2"/>
    <w:rsid w:val="005F0B62"/>
    <w:rsid w:val="005F3F3D"/>
    <w:rsid w:val="00612562"/>
    <w:rsid w:val="00617166"/>
    <w:rsid w:val="00623F3E"/>
    <w:rsid w:val="00635C7A"/>
    <w:rsid w:val="00642899"/>
    <w:rsid w:val="00643F9E"/>
    <w:rsid w:val="00646CCC"/>
    <w:rsid w:val="00647819"/>
    <w:rsid w:val="00647AB2"/>
    <w:rsid w:val="00660596"/>
    <w:rsid w:val="00670293"/>
    <w:rsid w:val="00673A12"/>
    <w:rsid w:val="00695C90"/>
    <w:rsid w:val="006A63A4"/>
    <w:rsid w:val="006B0D35"/>
    <w:rsid w:val="006B42CE"/>
    <w:rsid w:val="006D30CF"/>
    <w:rsid w:val="006E1DBA"/>
    <w:rsid w:val="006E47D9"/>
    <w:rsid w:val="006E4F2F"/>
    <w:rsid w:val="00702BAE"/>
    <w:rsid w:val="00703DC5"/>
    <w:rsid w:val="00706818"/>
    <w:rsid w:val="00712CB5"/>
    <w:rsid w:val="00723A84"/>
    <w:rsid w:val="00727F41"/>
    <w:rsid w:val="0073068C"/>
    <w:rsid w:val="00733B81"/>
    <w:rsid w:val="007378C6"/>
    <w:rsid w:val="00741422"/>
    <w:rsid w:val="0074265B"/>
    <w:rsid w:val="00743D48"/>
    <w:rsid w:val="00750ED5"/>
    <w:rsid w:val="007626CF"/>
    <w:rsid w:val="00772382"/>
    <w:rsid w:val="0077515A"/>
    <w:rsid w:val="00780BC0"/>
    <w:rsid w:val="0078360C"/>
    <w:rsid w:val="0078368E"/>
    <w:rsid w:val="00793616"/>
    <w:rsid w:val="00795FE9"/>
    <w:rsid w:val="007A169B"/>
    <w:rsid w:val="007B28D2"/>
    <w:rsid w:val="007B6661"/>
    <w:rsid w:val="007C21E8"/>
    <w:rsid w:val="007C5B35"/>
    <w:rsid w:val="007D5B9B"/>
    <w:rsid w:val="007E346D"/>
    <w:rsid w:val="007E4FA5"/>
    <w:rsid w:val="007F1894"/>
    <w:rsid w:val="007F7477"/>
    <w:rsid w:val="00801BA3"/>
    <w:rsid w:val="00806E55"/>
    <w:rsid w:val="008231FD"/>
    <w:rsid w:val="00826986"/>
    <w:rsid w:val="00835AF5"/>
    <w:rsid w:val="00843798"/>
    <w:rsid w:val="00856A2C"/>
    <w:rsid w:val="0086727D"/>
    <w:rsid w:val="00880730"/>
    <w:rsid w:val="008844F8"/>
    <w:rsid w:val="00884A3B"/>
    <w:rsid w:val="00895E75"/>
    <w:rsid w:val="008B4F87"/>
    <w:rsid w:val="008B543B"/>
    <w:rsid w:val="008B5EAD"/>
    <w:rsid w:val="008B6CC7"/>
    <w:rsid w:val="008C4041"/>
    <w:rsid w:val="008C5B8F"/>
    <w:rsid w:val="008C7D7F"/>
    <w:rsid w:val="008E3A1A"/>
    <w:rsid w:val="00903B53"/>
    <w:rsid w:val="00913A33"/>
    <w:rsid w:val="0092421F"/>
    <w:rsid w:val="009363EA"/>
    <w:rsid w:val="0094306D"/>
    <w:rsid w:val="00946B2A"/>
    <w:rsid w:val="0095602A"/>
    <w:rsid w:val="00966F73"/>
    <w:rsid w:val="00972380"/>
    <w:rsid w:val="00981523"/>
    <w:rsid w:val="009849A1"/>
    <w:rsid w:val="009B4DA6"/>
    <w:rsid w:val="009C638A"/>
    <w:rsid w:val="009D7E4B"/>
    <w:rsid w:val="009E0D9B"/>
    <w:rsid w:val="009E62E1"/>
    <w:rsid w:val="009F0A33"/>
    <w:rsid w:val="009F2BE8"/>
    <w:rsid w:val="009F5456"/>
    <w:rsid w:val="00A1533D"/>
    <w:rsid w:val="00A25100"/>
    <w:rsid w:val="00A31406"/>
    <w:rsid w:val="00A370B9"/>
    <w:rsid w:val="00A44C29"/>
    <w:rsid w:val="00A477FE"/>
    <w:rsid w:val="00A533E5"/>
    <w:rsid w:val="00A53FF9"/>
    <w:rsid w:val="00A572B1"/>
    <w:rsid w:val="00A60EBA"/>
    <w:rsid w:val="00A61C93"/>
    <w:rsid w:val="00A71665"/>
    <w:rsid w:val="00A8288E"/>
    <w:rsid w:val="00A8365D"/>
    <w:rsid w:val="00A91A9A"/>
    <w:rsid w:val="00A96681"/>
    <w:rsid w:val="00A96EB1"/>
    <w:rsid w:val="00AA1C43"/>
    <w:rsid w:val="00AA1E95"/>
    <w:rsid w:val="00AA2F30"/>
    <w:rsid w:val="00AA77E8"/>
    <w:rsid w:val="00AB62CB"/>
    <w:rsid w:val="00AE1536"/>
    <w:rsid w:val="00AE6E5D"/>
    <w:rsid w:val="00AF0F19"/>
    <w:rsid w:val="00AF1AE6"/>
    <w:rsid w:val="00AF1B6C"/>
    <w:rsid w:val="00AF3639"/>
    <w:rsid w:val="00AF4389"/>
    <w:rsid w:val="00AF6D15"/>
    <w:rsid w:val="00B01B84"/>
    <w:rsid w:val="00B223ED"/>
    <w:rsid w:val="00B41268"/>
    <w:rsid w:val="00B636E4"/>
    <w:rsid w:val="00B6396F"/>
    <w:rsid w:val="00B906D9"/>
    <w:rsid w:val="00B973B8"/>
    <w:rsid w:val="00BA536E"/>
    <w:rsid w:val="00BA605E"/>
    <w:rsid w:val="00BB10D8"/>
    <w:rsid w:val="00BB3E3D"/>
    <w:rsid w:val="00BC62CE"/>
    <w:rsid w:val="00BD11C9"/>
    <w:rsid w:val="00BF25DE"/>
    <w:rsid w:val="00BF7719"/>
    <w:rsid w:val="00C05933"/>
    <w:rsid w:val="00C06A96"/>
    <w:rsid w:val="00C15E75"/>
    <w:rsid w:val="00C168CC"/>
    <w:rsid w:val="00C23793"/>
    <w:rsid w:val="00C267CE"/>
    <w:rsid w:val="00C275D2"/>
    <w:rsid w:val="00C37985"/>
    <w:rsid w:val="00C42827"/>
    <w:rsid w:val="00C5043A"/>
    <w:rsid w:val="00C50D12"/>
    <w:rsid w:val="00C53A03"/>
    <w:rsid w:val="00C643D6"/>
    <w:rsid w:val="00C719B1"/>
    <w:rsid w:val="00C71CE7"/>
    <w:rsid w:val="00C723B9"/>
    <w:rsid w:val="00C81A5C"/>
    <w:rsid w:val="00C8562D"/>
    <w:rsid w:val="00C86782"/>
    <w:rsid w:val="00C90F96"/>
    <w:rsid w:val="00C95C74"/>
    <w:rsid w:val="00CB0F6D"/>
    <w:rsid w:val="00CC2800"/>
    <w:rsid w:val="00CD6E54"/>
    <w:rsid w:val="00CE0BE9"/>
    <w:rsid w:val="00CF3260"/>
    <w:rsid w:val="00CF46C1"/>
    <w:rsid w:val="00D038AB"/>
    <w:rsid w:val="00D108D3"/>
    <w:rsid w:val="00D1150D"/>
    <w:rsid w:val="00D12A98"/>
    <w:rsid w:val="00D16AC7"/>
    <w:rsid w:val="00D33123"/>
    <w:rsid w:val="00D35B14"/>
    <w:rsid w:val="00D6688A"/>
    <w:rsid w:val="00D67E72"/>
    <w:rsid w:val="00D73937"/>
    <w:rsid w:val="00D801FA"/>
    <w:rsid w:val="00DA1887"/>
    <w:rsid w:val="00DA4A13"/>
    <w:rsid w:val="00DA551E"/>
    <w:rsid w:val="00DC0047"/>
    <w:rsid w:val="00DD0B90"/>
    <w:rsid w:val="00DD26DE"/>
    <w:rsid w:val="00DD7A42"/>
    <w:rsid w:val="00DE2C1C"/>
    <w:rsid w:val="00DE577C"/>
    <w:rsid w:val="00DF6444"/>
    <w:rsid w:val="00E01E43"/>
    <w:rsid w:val="00E02068"/>
    <w:rsid w:val="00E51300"/>
    <w:rsid w:val="00E60677"/>
    <w:rsid w:val="00E815E4"/>
    <w:rsid w:val="00E85190"/>
    <w:rsid w:val="00E953B3"/>
    <w:rsid w:val="00EA38F7"/>
    <w:rsid w:val="00EB1693"/>
    <w:rsid w:val="00EC547E"/>
    <w:rsid w:val="00ED0E7D"/>
    <w:rsid w:val="00ED621C"/>
    <w:rsid w:val="00EF708E"/>
    <w:rsid w:val="00F02E4F"/>
    <w:rsid w:val="00F35C40"/>
    <w:rsid w:val="00F403F9"/>
    <w:rsid w:val="00F54A29"/>
    <w:rsid w:val="00F565BA"/>
    <w:rsid w:val="00F702B5"/>
    <w:rsid w:val="00F722D2"/>
    <w:rsid w:val="00F76542"/>
    <w:rsid w:val="00FA629E"/>
    <w:rsid w:val="00FB5646"/>
    <w:rsid w:val="00FC5B09"/>
    <w:rsid w:val="00FD49B1"/>
    <w:rsid w:val="00FD71C3"/>
    <w:rsid w:val="00FE7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oNotEmbedSmartTags/>
  <w:decimalSymbol w:val="."/>
  <w:listSeparator w:val=","/>
  <w14:docId w14:val="2C139E1F"/>
  <w15:chartTrackingRefBased/>
  <w15:docId w15:val="{06712158-9E2F-4C08-BBF7-9ED205854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style>
  <w:style w:type="paragraph" w:styleId="Heading1">
    <w:name w:val="heading 1"/>
    <w:basedOn w:val="Normal"/>
    <w:next w:val="Text"/>
    <w:qFormat/>
    <w:rsid w:val="00AE1536"/>
    <w:pPr>
      <w:keepNext/>
      <w:numPr>
        <w:numId w:val="2"/>
      </w:numPr>
      <w:tabs>
        <w:tab w:val="clear" w:pos="360"/>
        <w:tab w:val="num" w:pos="288"/>
      </w:tabs>
      <w:spacing w:before="240" w:after="240"/>
      <w:jc w:val="center"/>
      <w:outlineLvl w:val="0"/>
    </w:pPr>
    <w:rPr>
      <w:b/>
      <w:kern w:val="32"/>
      <w:sz w:val="22"/>
    </w:rPr>
  </w:style>
  <w:style w:type="paragraph" w:styleId="Heading2">
    <w:name w:val="heading 2"/>
    <w:basedOn w:val="Normal"/>
    <w:next w:val="Text"/>
    <w:qFormat/>
    <w:pPr>
      <w:numPr>
        <w:numId w:val="20"/>
      </w:numPr>
      <w:tabs>
        <w:tab w:val="left" w:pos="288"/>
      </w:tabs>
      <w:spacing w:before="240"/>
      <w:outlineLvl w:val="1"/>
    </w:pPr>
    <w:rPr>
      <w:b/>
    </w:rPr>
  </w:style>
  <w:style w:type="paragraph" w:styleId="Heading3">
    <w:name w:val="heading 3"/>
    <w:basedOn w:val="Normal"/>
    <w:next w:val="Text"/>
    <w:qFormat/>
    <w:pPr>
      <w:keepNext/>
      <w:numPr>
        <w:numId w:val="17"/>
      </w:numPr>
      <w:tabs>
        <w:tab w:val="clear" w:pos="648"/>
        <w:tab w:val="left" w:pos="288"/>
      </w:tabs>
      <w:ind w:left="0" w:firstLine="0"/>
      <w:outlineLvl w:val="2"/>
    </w:pPr>
    <w:rPr>
      <w:i/>
    </w:rPr>
  </w:style>
  <w:style w:type="paragraph" w:styleId="Heading4">
    <w:name w:val="heading 4"/>
    <w:basedOn w:val="Normal"/>
    <w:next w:val="Normal"/>
    <w:qFormat/>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autoSpaceDE w:val="0"/>
      <w:autoSpaceDN w:val="0"/>
    </w:pPr>
  </w:style>
  <w:style w:type="paragraph" w:styleId="Title">
    <w:name w:val="Title"/>
    <w:basedOn w:val="Normal"/>
    <w:next w:val="AuthorNames"/>
    <w:qFormat/>
    <w:pPr>
      <w:spacing w:after="480"/>
      <w:jc w:val="center"/>
      <w:outlineLvl w:val="0"/>
    </w:pPr>
    <w:rPr>
      <w:b/>
      <w:kern w:val="28"/>
      <w:sz w:val="36"/>
    </w:rPr>
  </w:style>
  <w:style w:type="paragraph" w:customStyle="1" w:styleId="AuthorNames">
    <w:name w:val="Author Names"/>
    <w:basedOn w:val="Normal"/>
    <w:next w:val="AuthorAffiliations"/>
    <w:pPr>
      <w:jc w:val="center"/>
    </w:pPr>
  </w:style>
  <w:style w:type="paragraph" w:customStyle="1" w:styleId="Abstract">
    <w:name w:val="Abstract"/>
    <w:basedOn w:val="Normal"/>
    <w:next w:val="Heading1"/>
    <w:pPr>
      <w:spacing w:before="480" w:after="480"/>
      <w:ind w:left="720" w:right="720" w:firstLine="288"/>
    </w:pPr>
    <w:rPr>
      <w:b/>
    </w:rPr>
  </w:style>
  <w:style w:type="character" w:styleId="FootnoteReference">
    <w:name w:val="footnote reference"/>
    <w:rPr>
      <w:sz w:val="20"/>
      <w:vertAlign w:val="superscript"/>
    </w:rPr>
  </w:style>
  <w:style w:type="paragraph" w:customStyle="1" w:styleId="Nomenclature">
    <w:name w:val="Nomenclature"/>
    <w:basedOn w:val="Normal"/>
    <w:pPr>
      <w:widowControl w:val="0"/>
      <w:tabs>
        <w:tab w:val="left" w:pos="864"/>
        <w:tab w:val="left" w:pos="1152"/>
      </w:tabs>
    </w:pPr>
  </w:style>
  <w:style w:type="paragraph" w:customStyle="1" w:styleId="AuthorAffiliations">
    <w:name w:val="Author Affiliations"/>
    <w:basedOn w:val="Normal"/>
    <w:next w:val="AuthorNames"/>
    <w:pPr>
      <w:spacing w:after="240"/>
      <w:jc w:val="center"/>
    </w:pPr>
    <w:rPr>
      <w:i/>
    </w:rPr>
  </w:style>
  <w:style w:type="character" w:styleId="Hyperlink">
    <w:name w:val="Hyperlink"/>
    <w:uiPriority w:val="99"/>
    <w:rPr>
      <w:rFonts w:ascii="Times New Roman" w:hAnsi="Times New Roman"/>
      <w:color w:val="auto"/>
      <w:sz w:val="20"/>
      <w:u w:val="single"/>
    </w:rPr>
  </w:style>
  <w:style w:type="paragraph" w:customStyle="1" w:styleId="Text">
    <w:name w:val="Text"/>
    <w:basedOn w:val="Normal"/>
    <w:rsid w:val="0067476A"/>
    <w:pPr>
      <w:tabs>
        <w:tab w:val="left" w:pos="288"/>
      </w:tabs>
      <w:spacing w:line="480" w:lineRule="auto"/>
      <w:ind w:firstLine="288"/>
    </w:pPr>
  </w:style>
  <w:style w:type="paragraph" w:customStyle="1" w:styleId="Equation">
    <w:name w:val="Equation"/>
    <w:basedOn w:val="Normal"/>
    <w:next w:val="Text"/>
    <w:autoRedefine/>
    <w:pPr>
      <w:tabs>
        <w:tab w:val="center" w:pos="4680"/>
        <w:tab w:val="right" w:pos="9360"/>
      </w:tabs>
      <w:spacing w:before="240" w:after="240"/>
    </w:pPr>
  </w:style>
  <w:style w:type="paragraph" w:customStyle="1" w:styleId="BibliographicalReferenceNumbers">
    <w:name w:val="Bibliographical Reference Numbers"/>
    <w:basedOn w:val="Normal"/>
    <w:next w:val="Text"/>
    <w:rPr>
      <w:vertAlign w:val="superscript"/>
    </w:rPr>
  </w:style>
  <w:style w:type="paragraph" w:customStyle="1" w:styleId="Figure">
    <w:name w:val="Figure"/>
    <w:basedOn w:val="Normal"/>
    <w:next w:val="Text"/>
    <w:pPr>
      <w:framePr w:hSpace="187" w:vSpace="187" w:wrap="around" w:vAnchor="text" w:hAnchor="text" w:y="1"/>
      <w:jc w:val="center"/>
    </w:pPr>
    <w:rPr>
      <w:b/>
    </w:rPr>
  </w:style>
  <w:style w:type="paragraph" w:customStyle="1" w:styleId="References">
    <w:name w:val="References"/>
    <w:basedOn w:val="Normal"/>
    <w:pPr>
      <w:ind w:firstLine="288"/>
    </w:pPr>
    <w:rPr>
      <w:sz w:val="18"/>
    </w:rPr>
  </w:style>
  <w:style w:type="paragraph" w:styleId="FootnoteText">
    <w:name w:val="footnote text"/>
    <w:basedOn w:val="Normal"/>
  </w:style>
  <w:style w:type="paragraph" w:customStyle="1" w:styleId="Footnote">
    <w:name w:val="Footnote"/>
    <w:basedOn w:val="Normal"/>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character" w:styleId="FollowedHyperlink">
    <w:name w:val="FollowedHyperlink"/>
    <w:rPr>
      <w:color w:val="800080"/>
      <w:u w:val="single"/>
    </w:rPr>
  </w:style>
  <w:style w:type="paragraph" w:styleId="Caption">
    <w:name w:val="caption"/>
    <w:basedOn w:val="Normal"/>
    <w:next w:val="Normal"/>
    <w:qFormat/>
    <w:pPr>
      <w:spacing w:before="120" w:after="120"/>
    </w:pPr>
    <w:rPr>
      <w:b/>
    </w:rPr>
  </w:style>
  <w:style w:type="paragraph" w:customStyle="1" w:styleId="StyleAbstractLinespacingDouble">
    <w:name w:val="Style Abstract + Line spacing:  Double"/>
    <w:basedOn w:val="Abstract"/>
    <w:rsid w:val="00224C00"/>
    <w:pPr>
      <w:spacing w:before="240" w:after="240" w:line="480" w:lineRule="auto"/>
    </w:pPr>
    <w:rPr>
      <w:bCs/>
    </w:rPr>
  </w:style>
  <w:style w:type="paragraph" w:customStyle="1" w:styleId="StyleAbstractLinespacingDouble1">
    <w:name w:val="Style Abstract + Line spacing:  Double1"/>
    <w:basedOn w:val="Abstract"/>
    <w:rsid w:val="00224C00"/>
    <w:pPr>
      <w:spacing w:line="480" w:lineRule="auto"/>
    </w:pPr>
    <w:rPr>
      <w:bCs/>
    </w:rPr>
  </w:style>
  <w:style w:type="paragraph" w:styleId="BalloonText">
    <w:name w:val="Balloon Text"/>
    <w:basedOn w:val="Normal"/>
    <w:link w:val="BalloonTextChar"/>
    <w:uiPriority w:val="99"/>
    <w:semiHidden/>
    <w:unhideWhenUsed/>
    <w:rsid w:val="002121E3"/>
    <w:rPr>
      <w:rFonts w:ascii="Segoe UI" w:hAnsi="Segoe UI" w:cs="Segoe UI"/>
      <w:sz w:val="18"/>
      <w:szCs w:val="18"/>
    </w:rPr>
  </w:style>
  <w:style w:type="character" w:customStyle="1" w:styleId="BalloonTextChar">
    <w:name w:val="Balloon Text Char"/>
    <w:link w:val="BalloonText"/>
    <w:uiPriority w:val="99"/>
    <w:semiHidden/>
    <w:rsid w:val="002121E3"/>
    <w:rPr>
      <w:rFonts w:ascii="Segoe UI" w:hAnsi="Segoe UI" w:cs="Segoe UI"/>
      <w:sz w:val="18"/>
      <w:szCs w:val="18"/>
    </w:rPr>
  </w:style>
  <w:style w:type="character" w:styleId="CommentReference">
    <w:name w:val="annotation reference"/>
    <w:basedOn w:val="DefaultParagraphFont"/>
    <w:uiPriority w:val="99"/>
    <w:semiHidden/>
    <w:unhideWhenUsed/>
    <w:rsid w:val="00AF1B6C"/>
    <w:rPr>
      <w:sz w:val="16"/>
      <w:szCs w:val="16"/>
    </w:rPr>
  </w:style>
  <w:style w:type="paragraph" w:styleId="CommentText">
    <w:name w:val="annotation text"/>
    <w:basedOn w:val="Normal"/>
    <w:link w:val="CommentTextChar"/>
    <w:uiPriority w:val="99"/>
    <w:semiHidden/>
    <w:unhideWhenUsed/>
    <w:rsid w:val="00AF1B6C"/>
  </w:style>
  <w:style w:type="character" w:customStyle="1" w:styleId="CommentTextChar">
    <w:name w:val="Comment Text Char"/>
    <w:basedOn w:val="DefaultParagraphFont"/>
    <w:link w:val="CommentText"/>
    <w:uiPriority w:val="99"/>
    <w:semiHidden/>
    <w:rsid w:val="00AF1B6C"/>
  </w:style>
  <w:style w:type="paragraph" w:styleId="CommentSubject">
    <w:name w:val="annotation subject"/>
    <w:basedOn w:val="CommentText"/>
    <w:next w:val="CommentText"/>
    <w:link w:val="CommentSubjectChar"/>
    <w:uiPriority w:val="99"/>
    <w:semiHidden/>
    <w:unhideWhenUsed/>
    <w:rsid w:val="00AF1B6C"/>
    <w:rPr>
      <w:b/>
      <w:bCs/>
    </w:rPr>
  </w:style>
  <w:style w:type="character" w:customStyle="1" w:styleId="CommentSubjectChar">
    <w:name w:val="Comment Subject Char"/>
    <w:basedOn w:val="CommentTextChar"/>
    <w:link w:val="CommentSubject"/>
    <w:uiPriority w:val="99"/>
    <w:semiHidden/>
    <w:rsid w:val="00AF1B6C"/>
    <w:rPr>
      <w:b/>
      <w:bCs/>
    </w:rPr>
  </w:style>
  <w:style w:type="paragraph" w:styleId="ListParagraph">
    <w:name w:val="List Paragraph"/>
    <w:basedOn w:val="Normal"/>
    <w:uiPriority w:val="34"/>
    <w:qFormat/>
    <w:rsid w:val="00C71CE7"/>
    <w:pPr>
      <w:ind w:left="720"/>
      <w:jc w:val="left"/>
    </w:pPr>
    <w:rPr>
      <w:rFonts w:ascii="Calibri" w:eastAsiaTheme="minorHAnsi" w:hAnsi="Calibri"/>
      <w:sz w:val="22"/>
      <w:szCs w:val="22"/>
    </w:rPr>
  </w:style>
  <w:style w:type="character" w:customStyle="1" w:styleId="FooterChar">
    <w:name w:val="Footer Char"/>
    <w:basedOn w:val="DefaultParagraphFont"/>
    <w:link w:val="Footer"/>
    <w:uiPriority w:val="99"/>
    <w:rsid w:val="000C353C"/>
  </w:style>
  <w:style w:type="character" w:customStyle="1" w:styleId="UnresolvedMention1">
    <w:name w:val="Unresolved Mention1"/>
    <w:basedOn w:val="DefaultParagraphFont"/>
    <w:uiPriority w:val="99"/>
    <w:semiHidden/>
    <w:unhideWhenUsed/>
    <w:rsid w:val="00A1533D"/>
    <w:rPr>
      <w:color w:val="808080"/>
      <w:shd w:val="clear" w:color="auto" w:fill="E6E6E6"/>
    </w:rPr>
  </w:style>
  <w:style w:type="character" w:styleId="UnresolvedMention">
    <w:name w:val="Unresolved Mention"/>
    <w:basedOn w:val="DefaultParagraphFont"/>
    <w:uiPriority w:val="99"/>
    <w:semiHidden/>
    <w:unhideWhenUsed/>
    <w:rsid w:val="001F56D5"/>
    <w:rPr>
      <w:color w:val="605E5C"/>
      <w:shd w:val="clear" w:color="auto" w:fill="E1DFDD"/>
    </w:rPr>
  </w:style>
  <w:style w:type="character" w:customStyle="1" w:styleId="HeaderChar">
    <w:name w:val="Header Char"/>
    <w:basedOn w:val="DefaultParagraphFont"/>
    <w:link w:val="Header"/>
    <w:uiPriority w:val="99"/>
    <w:rsid w:val="00B41268"/>
  </w:style>
  <w:style w:type="paragraph" w:customStyle="1" w:styleId="Affiliation">
    <w:name w:val="Affiliation"/>
    <w:basedOn w:val="Normal"/>
    <w:rsid w:val="00B41268"/>
    <w:pPr>
      <w:jc w:val="center"/>
    </w:pPr>
    <w:rPr>
      <w:i/>
      <w:color w:val="000000"/>
      <w:lang w:val="en-GB"/>
    </w:rPr>
  </w:style>
  <w:style w:type="paragraph" w:styleId="PlainText">
    <w:name w:val="Plain Text"/>
    <w:basedOn w:val="Normal"/>
    <w:link w:val="PlainTextChar"/>
    <w:uiPriority w:val="99"/>
    <w:semiHidden/>
    <w:unhideWhenUsed/>
    <w:rsid w:val="006D30CF"/>
    <w:pPr>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6D30CF"/>
    <w:rPr>
      <w:rFonts w:ascii="Calibri" w:eastAsiaTheme="minorHAnsi" w:hAnsi="Calibri" w:cstheme="minorBidi"/>
      <w:sz w:val="22"/>
      <w:szCs w:val="21"/>
    </w:rPr>
  </w:style>
  <w:style w:type="paragraph" w:customStyle="1" w:styleId="Default">
    <w:name w:val="Default"/>
    <w:rsid w:val="00077FAC"/>
    <w:pPr>
      <w:autoSpaceDE w:val="0"/>
      <w:autoSpaceDN w:val="0"/>
      <w:adjustRightInd w:val="0"/>
    </w:pPr>
    <w:rPr>
      <w:rFonts w:ascii="Arial" w:eastAsiaTheme="minorHAnsi" w:hAnsi="Arial" w:cs="Arial"/>
      <w:color w:val="000000"/>
      <w:sz w:val="24"/>
      <w:szCs w:val="24"/>
      <w14:ligatures w14:val="standardContextual"/>
    </w:rPr>
  </w:style>
  <w:style w:type="paragraph" w:customStyle="1" w:styleId="ml-2">
    <w:name w:val="ml-2"/>
    <w:basedOn w:val="Normal"/>
    <w:rsid w:val="000058AC"/>
    <w:pPr>
      <w:spacing w:before="100" w:beforeAutospacing="1" w:after="100" w:afterAutospacing="1"/>
      <w:jc w:val="left"/>
    </w:pPr>
    <w:rPr>
      <w:rFonts w:eastAsiaTheme="minorHAnsi"/>
      <w:sz w:val="24"/>
      <w:szCs w:val="24"/>
    </w:rPr>
  </w:style>
  <w:style w:type="paragraph" w:styleId="Revision">
    <w:name w:val="Revision"/>
    <w:hidden/>
    <w:uiPriority w:val="99"/>
    <w:semiHidden/>
    <w:rsid w:val="002D6C45"/>
  </w:style>
  <w:style w:type="table" w:styleId="TableGrid">
    <w:name w:val="Table Grid"/>
    <w:basedOn w:val="TableNormal"/>
    <w:uiPriority w:val="39"/>
    <w:rsid w:val="006E1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D038A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400431">
      <w:bodyDiv w:val="1"/>
      <w:marLeft w:val="0"/>
      <w:marRight w:val="0"/>
      <w:marTop w:val="0"/>
      <w:marBottom w:val="0"/>
      <w:divBdr>
        <w:top w:val="none" w:sz="0" w:space="0" w:color="auto"/>
        <w:left w:val="none" w:sz="0" w:space="0" w:color="auto"/>
        <w:bottom w:val="none" w:sz="0" w:space="0" w:color="auto"/>
        <w:right w:val="none" w:sz="0" w:space="0" w:color="auto"/>
      </w:divBdr>
    </w:div>
    <w:div w:id="489559188">
      <w:bodyDiv w:val="1"/>
      <w:marLeft w:val="0"/>
      <w:marRight w:val="0"/>
      <w:marTop w:val="0"/>
      <w:marBottom w:val="0"/>
      <w:divBdr>
        <w:top w:val="none" w:sz="0" w:space="0" w:color="auto"/>
        <w:left w:val="none" w:sz="0" w:space="0" w:color="auto"/>
        <w:bottom w:val="none" w:sz="0" w:space="0" w:color="auto"/>
        <w:right w:val="none" w:sz="0" w:space="0" w:color="auto"/>
      </w:divBdr>
    </w:div>
    <w:div w:id="927076852">
      <w:bodyDiv w:val="1"/>
      <w:marLeft w:val="0"/>
      <w:marRight w:val="0"/>
      <w:marTop w:val="0"/>
      <w:marBottom w:val="0"/>
      <w:divBdr>
        <w:top w:val="none" w:sz="0" w:space="0" w:color="auto"/>
        <w:left w:val="none" w:sz="0" w:space="0" w:color="auto"/>
        <w:bottom w:val="none" w:sz="0" w:space="0" w:color="auto"/>
        <w:right w:val="none" w:sz="0" w:space="0" w:color="auto"/>
      </w:divBdr>
    </w:div>
    <w:div w:id="1037773787">
      <w:bodyDiv w:val="1"/>
      <w:marLeft w:val="0"/>
      <w:marRight w:val="0"/>
      <w:marTop w:val="0"/>
      <w:marBottom w:val="0"/>
      <w:divBdr>
        <w:top w:val="none" w:sz="0" w:space="0" w:color="auto"/>
        <w:left w:val="none" w:sz="0" w:space="0" w:color="auto"/>
        <w:bottom w:val="none" w:sz="0" w:space="0" w:color="auto"/>
        <w:right w:val="none" w:sz="0" w:space="0" w:color="auto"/>
      </w:divBdr>
      <w:divsChild>
        <w:div w:id="694700149">
          <w:marLeft w:val="1440"/>
          <w:marRight w:val="0"/>
          <w:marTop w:val="0"/>
          <w:marBottom w:val="0"/>
          <w:divBdr>
            <w:top w:val="none" w:sz="0" w:space="0" w:color="auto"/>
            <w:left w:val="none" w:sz="0" w:space="0" w:color="auto"/>
            <w:bottom w:val="none" w:sz="0" w:space="0" w:color="auto"/>
            <w:right w:val="none" w:sz="0" w:space="0" w:color="auto"/>
          </w:divBdr>
        </w:div>
      </w:divsChild>
    </w:div>
    <w:div w:id="1482690717">
      <w:bodyDiv w:val="1"/>
      <w:marLeft w:val="0"/>
      <w:marRight w:val="0"/>
      <w:marTop w:val="0"/>
      <w:marBottom w:val="0"/>
      <w:divBdr>
        <w:top w:val="none" w:sz="0" w:space="0" w:color="auto"/>
        <w:left w:val="none" w:sz="0" w:space="0" w:color="auto"/>
        <w:bottom w:val="none" w:sz="0" w:space="0" w:color="auto"/>
        <w:right w:val="none" w:sz="0" w:space="0" w:color="auto"/>
      </w:divBdr>
    </w:div>
    <w:div w:id="1692686727">
      <w:bodyDiv w:val="1"/>
      <w:marLeft w:val="0"/>
      <w:marRight w:val="0"/>
      <w:marTop w:val="0"/>
      <w:marBottom w:val="0"/>
      <w:divBdr>
        <w:top w:val="none" w:sz="0" w:space="0" w:color="auto"/>
        <w:left w:val="none" w:sz="0" w:space="0" w:color="auto"/>
        <w:bottom w:val="none" w:sz="0" w:space="0" w:color="auto"/>
        <w:right w:val="none" w:sz="0" w:space="0" w:color="auto"/>
      </w:divBdr>
    </w:div>
    <w:div w:id="172320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gcc02.safelinks.protection.outlook.com/?url=https%3A%2F%2Fdoi.org%2F10.1520%2FF3610-23&amp;data=05%7C01%7Crobert.w.seibold%40nasa.gov%7C9ffd1b3880384e7b91b908db52784747%7C7005d45845be48ae8140d43da96dd17b%7C0%7C0%7C638194448764540108%7CUnknown%7CTWFpbGZsb3d8eyJWIjoiMC4wLjAwMDAiLCJQIjoiV2luMzIiLCJBTiI6Ik1haWwiLCJXVCI6Mn0%3D%7C3000%7C%7C%7C&amp;sdata=Qxp64RddeQoD3oTycU8H0UKXnMQ0kZlIuwDPajJZr9w%3D&amp;reserved=0" TargetMode="External"/><Relationship Id="rId18" Type="http://schemas.openxmlformats.org/officeDocument/2006/relationships/hyperlink" Target="https://sam.gov/opp/f7e713ee1d5e407cb8fe3094e2be7160/view"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faa.gov/media/71481" TargetMode="External"/><Relationship Id="rId7" Type="http://schemas.openxmlformats.org/officeDocument/2006/relationships/endnotes" Target="endnotes.xml"/><Relationship Id="rId12" Type="http://schemas.openxmlformats.org/officeDocument/2006/relationships/hyperlink" Target="https://gcc02.safelinks.protection.outlook.com/?url=https%3A%2F%2Fdoi.org%2F10.1520%2FF3520-21&amp;data=05%7C01%7Crobert.w.seibold%40nasa.gov%7C9ffd1b3880384e7b91b908db52784747%7C7005d45845be48ae8140d43da96dd17b%7C0%7C0%7C638194448764540108%7CUnknown%7CTWFpbGZsb3d8eyJWIjoiMC4wLjAwMDAiLCJQIjoiV2luMzIiLCJBTiI6Ik1haWwiLCJXVCI6Mn0%3D%7C3000%7C%7C%7C&amp;sdata=QT0OBpdotkju%2Blt7tPVd2hc1cI7hE4xoo6ykWj0yAMY%3D&amp;reserved=0" TargetMode="External"/><Relationship Id="rId17" Type="http://schemas.openxmlformats.org/officeDocument/2006/relationships/hyperlink" Target="https://ntrs.nasa.gov/api/citations/20190025274/downloads/20190025274.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core.ac.uk/download/pdf/211016206.pdf" TargetMode="External"/><Relationship Id="rId20" Type="http://schemas.openxmlformats.org/officeDocument/2006/relationships/hyperlink" Target="https://www.faa.gov/sites/faa.gov/files/space/additional_information/international_affairs/recommended_practices_human_space_flight_iac_toronto_nield_october_2014_50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cc02.safelinks.protection.outlook.com/?url=https%3A%2F%2Fdoi.org%2F10.1520%2FF3479-20&amp;data=05%7C01%7Crobert.w.seibold%40nasa.gov%7C9ffd1b3880384e7b91b908db52784747%7C7005d45845be48ae8140d43da96dd17b%7C0%7C0%7C638194448764540108%7CUnknown%7CTWFpbGZsb3d8eyJWIjoiMC4wLjAwMDAiLCJQIjoiV2luMzIiLCJBTiI6Ik1haWwiLCJXVCI6Mn0%3D%7C3000%7C%7C%7C&amp;sdata=UAdPDBeNZ83zbnOF4VOb%2F2Jbcyw5A699t%2B9Mt18szjs%3D&amp;reserved=0" TargetMode="External"/><Relationship Id="rId24" Type="http://schemas.openxmlformats.org/officeDocument/2006/relationships/hyperlink" Target="https://www.faa.gov/sites/faa.gov/files/2022-01/PL_114-90_Sec_111_5_Voluntary_Industry_Consensus_Standards.pdf" TargetMode="External"/><Relationship Id="rId5" Type="http://schemas.openxmlformats.org/officeDocument/2006/relationships/webSettings" Target="webSettings.xml"/><Relationship Id="rId15" Type="http://schemas.openxmlformats.org/officeDocument/2006/relationships/hyperlink" Target="https://csps.aerospace.org/sites/default/files/2021-08/Koller-Nield_HumanSpaceflight_20201112.pdf" TargetMode="External"/><Relationship Id="rId23" Type="http://schemas.openxmlformats.org/officeDocument/2006/relationships/hyperlink" Target="https://subscriber.politicopro.com/f/?id=00000189-97ed-dee7-a7ab-fffde4680000"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www.faa.gov/about/office_org/headquarters_offices/ast/media/Recommended_Practices_for_HSF_Occupant_Safety-Version_1-TC14-0037.pd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gcc02.safelinks.protection.outlook.com/?url=https%3A%2F%2Fdoi.org%2F10.1520%2FF3550-22&amp;data=05%7C01%7Crobert.w.seibold%40nasa.gov%7C9ffd1b3880384e7b91b908db52784747%7C7005d45845be48ae8140d43da96dd17b%7C0%7C0%7C638194448764540108%7CUnknown%7CTWFpbGZsb3d8eyJWIjoiMC4wLjAwMDAiLCJQIjoiV2luMzIiLCJBTiI6Ik1haWwiLCJXVCI6Mn0%3D%7C3000%7C%7C%7C&amp;sdata=9HokGsC%2B4sq4RVYfuS9bq0499DmhxaXneUn1qpRxE0E%3D&amp;reserved=0" TargetMode="External"/><Relationship Id="rId22" Type="http://schemas.openxmlformats.org/officeDocument/2006/relationships/hyperlink" Target="https://ntrs.nasa.gov/api/citations/20150018900/downloads/20150018900.pdf"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ws25472\Downloads\AIAAMeetingPapersTemplate_2022%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71878-39AC-C542-9241-788A7B17AC4B}">
  <ds:schemaRefs>
    <ds:schemaRef ds:uri="http://schemas.openxmlformats.org/officeDocument/2006/bibliography"/>
  </ds:schemaRefs>
</ds:datastoreItem>
</file>

<file path=docMetadata/LabelInfo.xml><?xml version="1.0" encoding="utf-8"?>
<clbl:labelList xmlns:clbl="http://schemas.microsoft.com/office/2020/mipLabelMetadata">
  <clbl:label id="{7005d458-45be-48ae-8140-d43da96dd17b}" enabled="0" method="" siteId="{7005d458-45be-48ae-8140-d43da96dd17b}" removed="1"/>
</clbl:labelList>
</file>

<file path=docProps/app.xml><?xml version="1.0" encoding="utf-8"?>
<Properties xmlns="http://schemas.openxmlformats.org/officeDocument/2006/extended-properties" xmlns:vt="http://schemas.openxmlformats.org/officeDocument/2006/docPropsVTypes">
  <Template>C:\Users\rws25472\Downloads\AIAAMeetingPapersTemplate_2022 (1).dotx</Template>
  <TotalTime>0</TotalTime>
  <Pages>8</Pages>
  <Words>4732</Words>
  <Characters>26974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Preparation of Papers for AIAA Journals</vt:lpstr>
    </vt:vector>
  </TitlesOfParts>
  <Manager/>
  <Company>AIAA</Company>
  <LinksUpToDate>false</LinksUpToDate>
  <CharactersWithSpaces>31643</CharactersWithSpaces>
  <SharedDoc>false</SharedDoc>
  <HyperlinkBase/>
  <HLinks>
    <vt:vector size="60" baseType="variant">
      <vt:variant>
        <vt:i4>4718671</vt:i4>
      </vt:variant>
      <vt:variant>
        <vt:i4>33</vt:i4>
      </vt:variant>
      <vt:variant>
        <vt:i4>0</vt:i4>
      </vt:variant>
      <vt:variant>
        <vt:i4>5</vt:i4>
      </vt:variant>
      <vt:variant>
        <vt:lpwstr>http://www.geog.le.ac.uk/bgrg/lab.htm</vt:lpwstr>
      </vt:variant>
      <vt:variant>
        <vt:lpwstr/>
      </vt:variant>
      <vt:variant>
        <vt:i4>393284</vt:i4>
      </vt:variant>
      <vt:variant>
        <vt:i4>30</vt:i4>
      </vt:variant>
      <vt:variant>
        <vt:i4>0</vt:i4>
      </vt:variant>
      <vt:variant>
        <vt:i4>5</vt:i4>
      </vt:variant>
      <vt:variant>
        <vt:lpwstr>http://www.cp/umist.ac.uk/JCSE/vol1/vol1.html</vt:lpwstr>
      </vt:variant>
      <vt:variant>
        <vt:lpwstr/>
      </vt:variant>
      <vt:variant>
        <vt:i4>4325453</vt:i4>
      </vt:variant>
      <vt:variant>
        <vt:i4>27</vt:i4>
      </vt:variant>
      <vt:variant>
        <vt:i4>0</vt:i4>
      </vt:variant>
      <vt:variant>
        <vt:i4>5</vt:i4>
      </vt:variant>
      <vt:variant>
        <vt:lpwstr>http://www.crossref.org/</vt:lpwstr>
      </vt:variant>
      <vt:variant>
        <vt:lpwstr/>
      </vt:variant>
      <vt:variant>
        <vt:i4>3014755</vt:i4>
      </vt:variant>
      <vt:variant>
        <vt:i4>24</vt:i4>
      </vt:variant>
      <vt:variant>
        <vt:i4>0</vt:i4>
      </vt:variant>
      <vt:variant>
        <vt:i4>5</vt:i4>
      </vt:variant>
      <vt:variant>
        <vt:lpwstr>http://www.doi.org/</vt:lpwstr>
      </vt:variant>
      <vt:variant>
        <vt:lpwstr/>
      </vt:variant>
      <vt:variant>
        <vt:i4>5767243</vt:i4>
      </vt:variant>
      <vt:variant>
        <vt:i4>18</vt:i4>
      </vt:variant>
      <vt:variant>
        <vt:i4>0</vt:i4>
      </vt:variant>
      <vt:variant>
        <vt:i4>5</vt:i4>
      </vt:variant>
      <vt:variant>
        <vt:lpwstr>http://www.mathtype.com/</vt:lpwstr>
      </vt:variant>
      <vt:variant>
        <vt:lpwstr/>
      </vt:variant>
      <vt:variant>
        <vt:i4>5111819</vt:i4>
      </vt:variant>
      <vt:variant>
        <vt:i4>12</vt:i4>
      </vt:variant>
      <vt:variant>
        <vt:i4>0</vt:i4>
      </vt:variant>
      <vt:variant>
        <vt:i4>5</vt:i4>
      </vt:variant>
      <vt:variant>
        <vt:lpwstr>https://mchelp.manuscriptcentral.com/gethelpnow/</vt:lpwstr>
      </vt:variant>
      <vt:variant>
        <vt:lpwstr/>
      </vt:variant>
      <vt:variant>
        <vt:i4>589896</vt:i4>
      </vt:variant>
      <vt:variant>
        <vt:i4>9</vt:i4>
      </vt:variant>
      <vt:variant>
        <vt:i4>0</vt:i4>
      </vt:variant>
      <vt:variant>
        <vt:i4>5</vt:i4>
      </vt:variant>
      <vt:variant>
        <vt:lpwstr>mailto:ScholarOne</vt:lpwstr>
      </vt:variant>
      <vt:variant>
        <vt:lpwstr/>
      </vt:variant>
      <vt:variant>
        <vt:i4>2424882</vt:i4>
      </vt:variant>
      <vt:variant>
        <vt:i4>6</vt:i4>
      </vt:variant>
      <vt:variant>
        <vt:i4>0</vt:i4>
      </vt:variant>
      <vt:variant>
        <vt:i4>5</vt:i4>
      </vt:variant>
      <vt:variant>
        <vt:lpwstr>http://www.writetrack.net/</vt:lpwstr>
      </vt:variant>
      <vt:variant>
        <vt:lpwstr/>
      </vt:variant>
      <vt:variant>
        <vt:i4>2424882</vt:i4>
      </vt:variant>
      <vt:variant>
        <vt:i4>3</vt:i4>
      </vt:variant>
      <vt:variant>
        <vt:i4>0</vt:i4>
      </vt:variant>
      <vt:variant>
        <vt:i4>5</vt:i4>
      </vt:variant>
      <vt:variant>
        <vt:lpwstr>http://www.writetrack.net/</vt:lpwstr>
      </vt:variant>
      <vt:variant>
        <vt:lpwstr/>
      </vt:variant>
      <vt:variant>
        <vt:i4>3932215</vt:i4>
      </vt:variant>
      <vt:variant>
        <vt:i4>0</vt:i4>
      </vt:variant>
      <vt:variant>
        <vt:i4>0</vt:i4>
      </vt:variant>
      <vt:variant>
        <vt:i4>5</vt:i4>
      </vt:variant>
      <vt:variant>
        <vt:lpwstr>http://www.aiaa.org/content.cfm?pageid=167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of Papers for AIAA Journals</dc:title>
  <dc:subject/>
  <dc:creator>Robert W Seibold</dc:creator>
  <cp:keywords>TP Template 2017</cp:keywords>
  <dc:description/>
  <cp:lastModifiedBy>Blome, Elizabeth C. (JSC-VA611)</cp:lastModifiedBy>
  <cp:revision>2</cp:revision>
  <cp:lastPrinted>2023-09-25T19:26:00Z</cp:lastPrinted>
  <dcterms:created xsi:type="dcterms:W3CDTF">2023-11-09T16:08:00Z</dcterms:created>
  <dcterms:modified xsi:type="dcterms:W3CDTF">2023-11-09T16:08:00Z</dcterms:modified>
  <cp:category/>
</cp:coreProperties>
</file>