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8A7B8" w14:textId="77777777" w:rsidR="00F02FE0" w:rsidRPr="007E7F58" w:rsidRDefault="00F02FE0" w:rsidP="00F02FE0">
      <w:pPr>
        <w:rPr>
          <w:b/>
          <w:bCs/>
          <w:color w:val="000000" w:themeColor="text1"/>
        </w:rPr>
      </w:pPr>
      <w:r w:rsidRPr="007E7F58">
        <w:rPr>
          <w:b/>
          <w:bCs/>
          <w:color w:val="000000" w:themeColor="text1"/>
        </w:rPr>
        <w:t>A Technical Overview of the Mission Engagement Onboarding Process Managed by the Mission Engagement Working Group (MEWG)</w:t>
      </w:r>
    </w:p>
    <w:p w14:paraId="3F20EF0A" w14:textId="77777777" w:rsidR="00F02FE0" w:rsidRPr="007E7F58" w:rsidRDefault="00F02FE0" w:rsidP="00F02FE0">
      <w:pPr>
        <w:rPr>
          <w:color w:val="000000" w:themeColor="text1"/>
        </w:rPr>
      </w:pPr>
      <w:r w:rsidRPr="007E7F58">
        <w:rPr>
          <w:color w:val="000000" w:themeColor="text1"/>
        </w:rPr>
        <w:t>NASA's intricate network, encompassing the Near Space Network (NSN) and Deep Space Network (DSN), plays a pivotal role in supporting an array of space missions. These range from those in Low Earth Orbit (LEO) and Geosynchronous Orbit (GEO), to the more distant Cislunar and Deep Space endeavors. To manage the vast communications needs, we utilize multiple ground stations globally, coupled with the Tracking and Data Relay Satellite System (TDRSS).</w:t>
      </w:r>
    </w:p>
    <w:p w14:paraId="44891C3B" w14:textId="5A52E9FE" w:rsidR="00F02FE0" w:rsidRPr="007E7F58" w:rsidRDefault="00F02FE0" w:rsidP="00F02FE0">
      <w:pPr>
        <w:rPr>
          <w:color w:val="000000" w:themeColor="text1"/>
        </w:rPr>
      </w:pPr>
      <w:r w:rsidRPr="007E7F58">
        <w:rPr>
          <w:color w:val="000000" w:themeColor="text1"/>
        </w:rPr>
        <w:t>The Mission Engagement Working Group (MEWG), within the Commercialization, Innovation, and Synergies (CIS) division, stands as the primary gateway for all Space Communications and Network (SCaN) communication and navigation requests. This includes not only NASA's internal missions but also extends to other governmental agencies and commercial sector endeavors.</w:t>
      </w:r>
    </w:p>
    <w:p w14:paraId="16D9A062" w14:textId="77777777" w:rsidR="00F02FE0" w:rsidRPr="007E7F58" w:rsidRDefault="00F02FE0" w:rsidP="00F02FE0">
      <w:pPr>
        <w:rPr>
          <w:b/>
          <w:bCs/>
          <w:color w:val="000000" w:themeColor="text1"/>
        </w:rPr>
      </w:pPr>
      <w:r w:rsidRPr="007E7F58">
        <w:rPr>
          <w:b/>
          <w:bCs/>
          <w:color w:val="000000" w:themeColor="text1"/>
        </w:rPr>
        <w:t>How does the MEWG Process Work?</w:t>
      </w:r>
    </w:p>
    <w:p w14:paraId="7FEA30FD" w14:textId="77777777" w:rsidR="00F02FE0" w:rsidRPr="007E7F58" w:rsidRDefault="00F02FE0" w:rsidP="0062014E">
      <w:pPr>
        <w:pStyle w:val="ListParagraph"/>
        <w:numPr>
          <w:ilvl w:val="0"/>
          <w:numId w:val="1"/>
        </w:numPr>
        <w:rPr>
          <w:color w:val="000000" w:themeColor="text1"/>
        </w:rPr>
      </w:pPr>
      <w:r w:rsidRPr="007E7F58">
        <w:rPr>
          <w:b/>
          <w:bCs/>
          <w:color w:val="000000" w:themeColor="text1"/>
        </w:rPr>
        <w:t>Initial Contact:</w:t>
      </w:r>
      <w:r w:rsidRPr="007E7F58">
        <w:rPr>
          <w:color w:val="000000" w:themeColor="text1"/>
        </w:rPr>
        <w:t xml:space="preserve"> Clients initiate their interaction with the NSN by submitting their service requirements through a dedicated online portal.</w:t>
      </w:r>
    </w:p>
    <w:p w14:paraId="2CC77CE0" w14:textId="77777777" w:rsidR="00F02FE0" w:rsidRPr="007E7F58" w:rsidRDefault="00F02FE0" w:rsidP="0062014E">
      <w:pPr>
        <w:pStyle w:val="ListParagraph"/>
        <w:numPr>
          <w:ilvl w:val="0"/>
          <w:numId w:val="1"/>
        </w:numPr>
        <w:rPr>
          <w:color w:val="000000" w:themeColor="text1"/>
        </w:rPr>
      </w:pPr>
      <w:r w:rsidRPr="007E7F58">
        <w:rPr>
          <w:b/>
          <w:bCs/>
          <w:color w:val="000000" w:themeColor="text1"/>
        </w:rPr>
        <w:t>Preliminary Assessment by MEWG:</w:t>
      </w:r>
      <w:r w:rsidRPr="007E7F58">
        <w:rPr>
          <w:color w:val="000000" w:themeColor="text1"/>
        </w:rPr>
        <w:t xml:space="preserve"> Upon submission, MEWG embarks on a primary screening of the request. This involves evaluating the client's identity and the foundational concept of their mission.</w:t>
      </w:r>
    </w:p>
    <w:p w14:paraId="4DA21CF6" w14:textId="77777777" w:rsidR="00F02FE0" w:rsidRPr="007E7F58" w:rsidRDefault="00F02FE0" w:rsidP="0062014E">
      <w:pPr>
        <w:pStyle w:val="ListParagraph"/>
        <w:numPr>
          <w:ilvl w:val="0"/>
          <w:numId w:val="1"/>
        </w:numPr>
        <w:rPr>
          <w:color w:val="000000" w:themeColor="text1"/>
        </w:rPr>
      </w:pPr>
      <w:r w:rsidRPr="007E7F58">
        <w:rPr>
          <w:b/>
          <w:bCs/>
          <w:color w:val="000000" w:themeColor="text1"/>
        </w:rPr>
        <w:t>Detailed Analysis by the NSN Team:</w:t>
      </w:r>
      <w:r w:rsidRPr="007E7F58">
        <w:rPr>
          <w:color w:val="000000" w:themeColor="text1"/>
        </w:rPr>
        <w:t xml:space="preserve"> Parallelly, the NSN team conducts a comprehensive review of the service request. This often necessitates additional clarification from the requester, ensuring that the final assessment is both thorough and accurate.</w:t>
      </w:r>
    </w:p>
    <w:p w14:paraId="62FA88AB" w14:textId="77777777" w:rsidR="00F02FE0" w:rsidRPr="007E7F58" w:rsidRDefault="00F02FE0" w:rsidP="0062014E">
      <w:pPr>
        <w:pStyle w:val="ListParagraph"/>
        <w:numPr>
          <w:ilvl w:val="0"/>
          <w:numId w:val="1"/>
        </w:numPr>
        <w:rPr>
          <w:color w:val="000000" w:themeColor="text1"/>
        </w:rPr>
      </w:pPr>
      <w:r w:rsidRPr="007E7F58">
        <w:rPr>
          <w:b/>
          <w:bCs/>
          <w:color w:val="000000" w:themeColor="text1"/>
        </w:rPr>
        <w:t>Coordination &amp; Streamlining:</w:t>
      </w:r>
      <w:r w:rsidRPr="007E7F58">
        <w:rPr>
          <w:color w:val="000000" w:themeColor="text1"/>
        </w:rPr>
        <w:t xml:space="preserve"> MEWG's overarching objective is to effectively log, classify, orchestrate, and guarantee that pertinent actions are delegated based on initial client interactions. Acting as the central hub for these primary contacts, MEWG ensures that each request is sufficiently detailed for an in-depth evaluation.</w:t>
      </w:r>
    </w:p>
    <w:p w14:paraId="54975C85" w14:textId="77777777" w:rsidR="00F02FE0" w:rsidRPr="007E7F58" w:rsidRDefault="00F02FE0" w:rsidP="0062014E">
      <w:pPr>
        <w:pStyle w:val="ListParagraph"/>
        <w:numPr>
          <w:ilvl w:val="0"/>
          <w:numId w:val="1"/>
        </w:numPr>
        <w:rPr>
          <w:color w:val="000000" w:themeColor="text1"/>
        </w:rPr>
      </w:pPr>
      <w:r w:rsidRPr="007E7F58">
        <w:rPr>
          <w:b/>
          <w:bCs/>
          <w:color w:val="000000" w:themeColor="text1"/>
        </w:rPr>
        <w:t>Feedback &amp; Remediation:</w:t>
      </w:r>
      <w:r w:rsidRPr="007E7F58">
        <w:rPr>
          <w:color w:val="000000" w:themeColor="text1"/>
        </w:rPr>
        <w:t xml:space="preserve"> If a request is deemed unsuitable or lacking, MEWG doesn't merely reject it. Instead, the team discerns the reasons for the inadequacy and suggests potential rectification strategies. This approach ensures that feedback delivered to clients is precise, prompt, constructive, and actionable.</w:t>
      </w:r>
    </w:p>
    <w:p w14:paraId="21FE6DBD" w14:textId="77777777" w:rsidR="00F02FE0" w:rsidRPr="007E7F58" w:rsidRDefault="00F02FE0" w:rsidP="00F02FE0">
      <w:pPr>
        <w:rPr>
          <w:b/>
          <w:bCs/>
          <w:color w:val="000000" w:themeColor="text1"/>
        </w:rPr>
      </w:pPr>
      <w:r w:rsidRPr="007E7F58">
        <w:rPr>
          <w:b/>
          <w:bCs/>
          <w:color w:val="000000" w:themeColor="text1"/>
        </w:rPr>
        <w:t>Conclusion:</w:t>
      </w:r>
    </w:p>
    <w:p w14:paraId="781B3615" w14:textId="6C3D9AD5" w:rsidR="00782060" w:rsidRPr="007E7F58" w:rsidRDefault="00501114" w:rsidP="00F02FE0">
      <w:pPr>
        <w:rPr>
          <w:color w:val="000000" w:themeColor="text1"/>
        </w:rPr>
      </w:pPr>
      <w:r w:rsidRPr="007E7F58">
        <w:rPr>
          <w:color w:val="000000" w:themeColor="text1"/>
        </w:rPr>
        <w:t xml:space="preserve">This plenary presentation will detail </w:t>
      </w:r>
      <w:r w:rsidR="00B719F1" w:rsidRPr="007E7F58">
        <w:rPr>
          <w:color w:val="000000" w:themeColor="text1"/>
        </w:rPr>
        <w:t xml:space="preserve">the efforts </w:t>
      </w:r>
      <w:r w:rsidR="00F02FE0" w:rsidRPr="007E7F58">
        <w:rPr>
          <w:color w:val="000000" w:themeColor="text1"/>
        </w:rPr>
        <w:t xml:space="preserve">of the MEWG </w:t>
      </w:r>
      <w:r w:rsidR="00B719F1" w:rsidRPr="007E7F58">
        <w:rPr>
          <w:color w:val="000000" w:themeColor="text1"/>
        </w:rPr>
        <w:t xml:space="preserve">resulting in a </w:t>
      </w:r>
      <w:r w:rsidR="00F02FE0" w:rsidRPr="007E7F58">
        <w:rPr>
          <w:color w:val="000000" w:themeColor="text1"/>
        </w:rPr>
        <w:t xml:space="preserve">greatly streamlined and refined onboarding process for space communication </w:t>
      </w:r>
      <w:r w:rsidR="00CB7E26" w:rsidRPr="007E7F58">
        <w:rPr>
          <w:color w:val="000000" w:themeColor="text1"/>
        </w:rPr>
        <w:t xml:space="preserve">Direct-To-Earth (DTE) and </w:t>
      </w:r>
      <w:r w:rsidR="0078336F" w:rsidRPr="007E7F58">
        <w:rPr>
          <w:color w:val="000000" w:themeColor="text1"/>
        </w:rPr>
        <w:t xml:space="preserve">Space Relay (SR) support </w:t>
      </w:r>
      <w:r w:rsidR="00F02FE0" w:rsidRPr="007E7F58">
        <w:rPr>
          <w:color w:val="000000" w:themeColor="text1"/>
        </w:rPr>
        <w:t>requests. By centralizing the preliminary interactions and assessments, we've reduced the complexity for clients, ensuring they engage with a singular, efficient, and responsive point of contact. This initiative, we believe, fortifies NASA's commitment to fostering effective and synergistic collaborations with its partners.</w:t>
      </w:r>
    </w:p>
    <w:p w14:paraId="3700B91D" w14:textId="55F797A3" w:rsidR="00940439" w:rsidRDefault="00940439"/>
    <w:p w14:paraId="168122F5" w14:textId="77777777" w:rsidR="008B7874" w:rsidRDefault="008B7874"/>
    <w:sectPr w:rsidR="008B78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7C0B0C"/>
    <w:multiLevelType w:val="hybridMultilevel"/>
    <w:tmpl w:val="70841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8003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439"/>
    <w:rsid w:val="000A0845"/>
    <w:rsid w:val="0016233B"/>
    <w:rsid w:val="001E4882"/>
    <w:rsid w:val="00394951"/>
    <w:rsid w:val="003A3186"/>
    <w:rsid w:val="003F7CAD"/>
    <w:rsid w:val="004F0755"/>
    <w:rsid w:val="00501114"/>
    <w:rsid w:val="005500FD"/>
    <w:rsid w:val="0062014E"/>
    <w:rsid w:val="00733334"/>
    <w:rsid w:val="00765C3E"/>
    <w:rsid w:val="00782060"/>
    <w:rsid w:val="0078336F"/>
    <w:rsid w:val="007E7F58"/>
    <w:rsid w:val="00891CB1"/>
    <w:rsid w:val="008B7874"/>
    <w:rsid w:val="00940439"/>
    <w:rsid w:val="009528FA"/>
    <w:rsid w:val="009861E8"/>
    <w:rsid w:val="009D019F"/>
    <w:rsid w:val="00A7267B"/>
    <w:rsid w:val="00AC1F43"/>
    <w:rsid w:val="00AF707B"/>
    <w:rsid w:val="00B719F1"/>
    <w:rsid w:val="00CB7E26"/>
    <w:rsid w:val="00D04BE2"/>
    <w:rsid w:val="00D320B8"/>
    <w:rsid w:val="00E1221A"/>
    <w:rsid w:val="00E374FA"/>
    <w:rsid w:val="00E939A6"/>
    <w:rsid w:val="00F02FE0"/>
    <w:rsid w:val="00F330E7"/>
    <w:rsid w:val="00F57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A2740"/>
  <w15:chartTrackingRefBased/>
  <w15:docId w15:val="{2822E8F6-4E47-4D4A-B514-059855C23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43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1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06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409</Words>
  <Characters>2333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NASA OCIO</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Kaushik J. (GSFC-444.0)[THE AEROSPACE CORPORATION]</dc:creator>
  <cp:keywords/>
  <dc:description/>
  <cp:lastModifiedBy>Shah, Kaushik J. (GSFC-444.0)[THE AEROSPACE CORPORATION]</cp:lastModifiedBy>
  <cp:revision>2</cp:revision>
  <dcterms:created xsi:type="dcterms:W3CDTF">2023-10-19T20:00:00Z</dcterms:created>
  <dcterms:modified xsi:type="dcterms:W3CDTF">2023-10-19T20:00:00Z</dcterms:modified>
</cp:coreProperties>
</file>