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A902" w14:textId="77777777" w:rsidR="007A33C2" w:rsidRDefault="007A33C2" w:rsidP="007A33C2">
      <w:pPr>
        <w:jc w:val="center"/>
        <w:rPr>
          <w:sz w:val="36"/>
          <w:szCs w:val="36"/>
        </w:rPr>
      </w:pPr>
      <w:r>
        <w:rPr>
          <w:noProof/>
          <w:sz w:val="36"/>
          <w:szCs w:val="36"/>
        </w:rPr>
        <w:drawing>
          <wp:inline distT="0" distB="0" distL="0" distR="0" wp14:anchorId="25E17385" wp14:editId="55196DD0">
            <wp:extent cx="3200400" cy="609600"/>
            <wp:effectExtent l="0" t="0" r="0" b="0"/>
            <wp:docPr id="2" name="Picture 2"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1B1C6488" w14:textId="77777777" w:rsidR="007A33C2" w:rsidRPr="00BF1BF9" w:rsidRDefault="007A33C2" w:rsidP="007A33C2">
      <w:pPr>
        <w:spacing w:before="100" w:beforeAutospacing="1" w:after="100" w:afterAutospacing="1"/>
        <w:jc w:val="center"/>
        <w:rPr>
          <w:rFonts w:ascii="Myriad Pro" w:hAnsi="Myriad Pro"/>
          <w:i/>
        </w:rPr>
      </w:pPr>
      <w:r>
        <w:rPr>
          <w:rFonts w:ascii="Myriad Pro" w:hAnsi="Myriad Pro"/>
          <w:i/>
        </w:rPr>
        <w:t>Journal of Geophysical Research - Planets</w:t>
      </w:r>
    </w:p>
    <w:p w14:paraId="2B496EBA" w14:textId="77777777" w:rsidR="007A33C2" w:rsidRPr="00CE6EAA" w:rsidRDefault="007A33C2" w:rsidP="007A33C2">
      <w:pPr>
        <w:spacing w:before="100" w:beforeAutospacing="1" w:after="100" w:afterAutospacing="1"/>
        <w:jc w:val="center"/>
        <w:rPr>
          <w:rFonts w:ascii="Myriad Pro" w:hAnsi="Myriad Pro"/>
        </w:rPr>
      </w:pPr>
      <w:r w:rsidRPr="00CE6EAA">
        <w:rPr>
          <w:rFonts w:ascii="Myriad Pro" w:hAnsi="Myriad Pro"/>
        </w:rPr>
        <w:t>Supporting Information for</w:t>
      </w:r>
    </w:p>
    <w:p w14:paraId="3B29ADB0" w14:textId="77777777" w:rsidR="007A33C2" w:rsidRPr="00B77E40" w:rsidRDefault="007A33C2" w:rsidP="007A33C2">
      <w:pPr>
        <w:spacing w:before="100" w:beforeAutospacing="1" w:after="100" w:afterAutospacing="1"/>
        <w:jc w:val="center"/>
        <w:rPr>
          <w:rFonts w:ascii="Myriad Pro" w:hAnsi="Myriad Pro"/>
          <w:b/>
        </w:rPr>
      </w:pPr>
      <w:r w:rsidRPr="007A33C2">
        <w:rPr>
          <w:rFonts w:ascii="Myriad Pro" w:hAnsi="Myriad Pro"/>
          <w:b/>
        </w:rPr>
        <w:t xml:space="preserve">Overview and Results from the Mars 2020 Perseverance Rover’s First Science Campaign on the </w:t>
      </w:r>
      <w:proofErr w:type="spellStart"/>
      <w:r w:rsidRPr="007A33C2">
        <w:rPr>
          <w:rFonts w:ascii="Myriad Pro" w:hAnsi="Myriad Pro"/>
          <w:b/>
        </w:rPr>
        <w:t>Jezero</w:t>
      </w:r>
      <w:proofErr w:type="spellEnd"/>
      <w:r w:rsidRPr="007A33C2">
        <w:rPr>
          <w:rFonts w:ascii="Myriad Pro" w:hAnsi="Myriad Pro"/>
          <w:b/>
        </w:rPr>
        <w:t xml:space="preserve"> Crater Floor</w:t>
      </w:r>
    </w:p>
    <w:p w14:paraId="48F903CA" w14:textId="3DB7B6B8" w:rsidR="006239D6" w:rsidRDefault="006239D6" w:rsidP="006239D6">
      <w:pPr>
        <w:spacing w:before="240"/>
        <w:rPr>
          <w:rFonts w:ascii="Times New Roman" w:eastAsia="Times New Roman" w:hAnsi="Times New Roman" w:cs="Times New Roman"/>
          <w:vertAlign w:val="superscript"/>
        </w:rPr>
      </w:pPr>
      <w:bookmarkStart w:id="0" w:name="_Hlk115981664"/>
      <w:r>
        <w:rPr>
          <w:rFonts w:ascii="Times New Roman" w:eastAsia="Times New Roman" w:hAnsi="Times New Roman" w:cs="Times New Roman"/>
        </w:rPr>
        <w:t>Vivian Z. Sun</w:t>
      </w:r>
      <w:r>
        <w:rPr>
          <w:rFonts w:ascii="Times New Roman" w:eastAsia="Times New Roman" w:hAnsi="Times New Roman" w:cs="Times New Roman"/>
          <w:vertAlign w:val="superscript"/>
        </w:rPr>
        <w:t>1*</w:t>
      </w:r>
      <w:r>
        <w:rPr>
          <w:rFonts w:ascii="Times New Roman" w:eastAsia="Times New Roman" w:hAnsi="Times New Roman" w:cs="Times New Roman"/>
        </w:rPr>
        <w:t>, Kevin P. Hand</w:t>
      </w:r>
      <w:r>
        <w:rPr>
          <w:rFonts w:ascii="Times New Roman" w:eastAsia="Times New Roman" w:hAnsi="Times New Roman" w:cs="Times New Roman"/>
          <w:vertAlign w:val="superscript"/>
        </w:rPr>
        <w:t>1</w:t>
      </w:r>
      <w:r>
        <w:rPr>
          <w:rFonts w:ascii="Times New Roman" w:eastAsia="Times New Roman" w:hAnsi="Times New Roman" w:cs="Times New Roman"/>
        </w:rPr>
        <w:t>, Kathryn M. Stack</w:t>
      </w:r>
      <w:r>
        <w:rPr>
          <w:rFonts w:ascii="Times New Roman" w:eastAsia="Times New Roman" w:hAnsi="Times New Roman" w:cs="Times New Roman"/>
          <w:vertAlign w:val="superscript"/>
        </w:rPr>
        <w:t>1</w:t>
      </w:r>
      <w:r>
        <w:rPr>
          <w:rFonts w:ascii="Times New Roman" w:eastAsia="Times New Roman" w:hAnsi="Times New Roman" w:cs="Times New Roman"/>
        </w:rPr>
        <w:t>, Ken A. Farley</w:t>
      </w:r>
      <w:r>
        <w:rPr>
          <w:rFonts w:ascii="Times New Roman" w:eastAsia="Times New Roman" w:hAnsi="Times New Roman" w:cs="Times New Roman"/>
          <w:vertAlign w:val="superscript"/>
        </w:rPr>
        <w:t>2</w:t>
      </w:r>
      <w:r>
        <w:rPr>
          <w:rFonts w:ascii="Times New Roman" w:eastAsia="Times New Roman" w:hAnsi="Times New Roman" w:cs="Times New Roman"/>
        </w:rPr>
        <w:t>, Justin I. Simon</w:t>
      </w:r>
      <w:r>
        <w:rPr>
          <w:rFonts w:ascii="Times New Roman" w:eastAsia="Times New Roman" w:hAnsi="Times New Roman" w:cs="Times New Roman"/>
          <w:vertAlign w:val="superscript"/>
        </w:rPr>
        <w:t>3</w:t>
      </w:r>
      <w:r>
        <w:rPr>
          <w:rFonts w:ascii="Times New Roman" w:eastAsia="Times New Roman" w:hAnsi="Times New Roman" w:cs="Times New Roman"/>
        </w:rPr>
        <w:t>, Claire Newman</w:t>
      </w:r>
      <w:r>
        <w:rPr>
          <w:rFonts w:ascii="Times New Roman" w:eastAsia="Times New Roman" w:hAnsi="Times New Roman" w:cs="Times New Roman"/>
          <w:vertAlign w:val="superscript"/>
        </w:rPr>
        <w:t>4</w:t>
      </w:r>
      <w:r>
        <w:rPr>
          <w:rFonts w:ascii="Times New Roman" w:eastAsia="Times New Roman" w:hAnsi="Times New Roman" w:cs="Times New Roman"/>
        </w:rPr>
        <w:t>, Sunanda Sharma</w:t>
      </w:r>
      <w:r>
        <w:rPr>
          <w:rFonts w:ascii="Times New Roman" w:eastAsia="Times New Roman" w:hAnsi="Times New Roman" w:cs="Times New Roman"/>
          <w:vertAlign w:val="superscript"/>
        </w:rPr>
        <w:t>1</w:t>
      </w:r>
      <w:r>
        <w:rPr>
          <w:rFonts w:ascii="Times New Roman" w:eastAsia="Times New Roman" w:hAnsi="Times New Roman" w:cs="Times New Roman"/>
        </w:rPr>
        <w:t>, Yang Liu</w:t>
      </w:r>
      <w:r>
        <w:rPr>
          <w:rFonts w:ascii="Times New Roman" w:eastAsia="Times New Roman" w:hAnsi="Times New Roman" w:cs="Times New Roman"/>
          <w:vertAlign w:val="superscript"/>
        </w:rPr>
        <w:t>1</w:t>
      </w:r>
      <w:r>
        <w:rPr>
          <w:rFonts w:ascii="Times New Roman" w:eastAsia="Times New Roman" w:hAnsi="Times New Roman" w:cs="Times New Roman"/>
        </w:rPr>
        <w:t>, Roger C. Wiens</w:t>
      </w:r>
      <w:r>
        <w:rPr>
          <w:rFonts w:ascii="Times New Roman" w:eastAsia="Times New Roman" w:hAnsi="Times New Roman" w:cs="Times New Roman"/>
          <w:vertAlign w:val="superscript"/>
        </w:rPr>
        <w:t>5</w:t>
      </w:r>
      <w:r>
        <w:rPr>
          <w:rFonts w:ascii="Times New Roman" w:eastAsia="Times New Roman" w:hAnsi="Times New Roman" w:cs="Times New Roman"/>
        </w:rPr>
        <w:t>, Amy J. Williams</w:t>
      </w:r>
      <w:r>
        <w:rPr>
          <w:rFonts w:ascii="Times New Roman" w:eastAsia="Times New Roman" w:hAnsi="Times New Roman" w:cs="Times New Roman"/>
          <w:vertAlign w:val="superscript"/>
        </w:rPr>
        <w:t>6</w:t>
      </w:r>
      <w:r>
        <w:rPr>
          <w:rFonts w:ascii="Times New Roman" w:eastAsia="Times New Roman" w:hAnsi="Times New Roman" w:cs="Times New Roman"/>
        </w:rPr>
        <w:t>, Nicholas Tosca</w:t>
      </w:r>
      <w:r>
        <w:rPr>
          <w:rFonts w:ascii="Times New Roman" w:eastAsia="Times New Roman" w:hAnsi="Times New Roman" w:cs="Times New Roman"/>
          <w:vertAlign w:val="superscript"/>
        </w:rPr>
        <w:t>7</w:t>
      </w:r>
      <w:r>
        <w:rPr>
          <w:rFonts w:ascii="Times New Roman" w:eastAsia="Times New Roman" w:hAnsi="Times New Roman" w:cs="Times New Roman"/>
        </w:rPr>
        <w:t>, Sanna Alwmark</w:t>
      </w:r>
      <w:r>
        <w:rPr>
          <w:rFonts w:ascii="Times New Roman" w:eastAsia="Times New Roman" w:hAnsi="Times New Roman" w:cs="Times New Roman"/>
          <w:vertAlign w:val="superscript"/>
        </w:rPr>
        <w:t>8,9</w:t>
      </w:r>
      <w:r>
        <w:rPr>
          <w:rFonts w:ascii="Times New Roman" w:eastAsia="Times New Roman" w:hAnsi="Times New Roman" w:cs="Times New Roman"/>
        </w:rPr>
        <w:t>, Olivier Beyssac</w:t>
      </w:r>
      <w:r>
        <w:rPr>
          <w:rFonts w:ascii="Times New Roman" w:eastAsia="Times New Roman" w:hAnsi="Times New Roman" w:cs="Times New Roman"/>
          <w:vertAlign w:val="superscript"/>
        </w:rPr>
        <w:t>10</w:t>
      </w:r>
      <w:r>
        <w:rPr>
          <w:rFonts w:ascii="Times New Roman" w:eastAsia="Times New Roman" w:hAnsi="Times New Roman" w:cs="Times New Roman"/>
        </w:rPr>
        <w:t>, Adrian Brown</w:t>
      </w:r>
      <w:r>
        <w:rPr>
          <w:rFonts w:ascii="Times New Roman" w:eastAsia="Times New Roman" w:hAnsi="Times New Roman" w:cs="Times New Roman"/>
          <w:vertAlign w:val="superscript"/>
        </w:rPr>
        <w:t>11</w:t>
      </w:r>
      <w:r>
        <w:rPr>
          <w:rFonts w:ascii="Times New Roman" w:eastAsia="Times New Roman" w:hAnsi="Times New Roman" w:cs="Times New Roman"/>
        </w:rPr>
        <w:t>, Fred Calef</w:t>
      </w:r>
      <w:r>
        <w:rPr>
          <w:rFonts w:ascii="Times New Roman" w:eastAsia="Times New Roman" w:hAnsi="Times New Roman" w:cs="Times New Roman"/>
          <w:vertAlign w:val="superscript"/>
        </w:rPr>
        <w:t>1</w:t>
      </w:r>
      <w:r>
        <w:rPr>
          <w:rFonts w:ascii="Times New Roman" w:eastAsia="Times New Roman" w:hAnsi="Times New Roman" w:cs="Times New Roman"/>
        </w:rPr>
        <w:t>, Emily L. Cardarelli</w:t>
      </w:r>
      <w:r>
        <w:rPr>
          <w:rFonts w:ascii="Times New Roman" w:eastAsia="Times New Roman" w:hAnsi="Times New Roman" w:cs="Times New Roman"/>
          <w:vertAlign w:val="superscript"/>
        </w:rPr>
        <w:t>1</w:t>
      </w:r>
      <w:r>
        <w:rPr>
          <w:rFonts w:ascii="Times New Roman" w:eastAsia="Times New Roman" w:hAnsi="Times New Roman" w:cs="Times New Roman"/>
        </w:rPr>
        <w:t>, Elise Clavé</w:t>
      </w:r>
      <w:r>
        <w:rPr>
          <w:rFonts w:ascii="Times New Roman" w:eastAsia="Times New Roman" w:hAnsi="Times New Roman" w:cs="Times New Roman"/>
          <w:vertAlign w:val="superscript"/>
        </w:rPr>
        <w:t>12</w:t>
      </w:r>
      <w:r>
        <w:rPr>
          <w:rFonts w:ascii="Times New Roman" w:eastAsia="Times New Roman" w:hAnsi="Times New Roman" w:cs="Times New Roman"/>
        </w:rPr>
        <w:t>, Barbara Cohen</w:t>
      </w:r>
      <w:r>
        <w:rPr>
          <w:rFonts w:ascii="Times New Roman" w:eastAsia="Times New Roman" w:hAnsi="Times New Roman" w:cs="Times New Roman"/>
          <w:vertAlign w:val="superscript"/>
        </w:rPr>
        <w:t>13</w:t>
      </w:r>
      <w:r>
        <w:rPr>
          <w:rFonts w:ascii="Times New Roman" w:eastAsia="Times New Roman" w:hAnsi="Times New Roman" w:cs="Times New Roman"/>
        </w:rPr>
        <w:t>, Andrea Corpolongo</w:t>
      </w:r>
      <w:r>
        <w:rPr>
          <w:rFonts w:ascii="Times New Roman" w:eastAsia="Times New Roman" w:hAnsi="Times New Roman" w:cs="Times New Roman"/>
          <w:vertAlign w:val="superscript"/>
        </w:rPr>
        <w:t>14</w:t>
      </w:r>
      <w:r>
        <w:rPr>
          <w:rFonts w:ascii="Times New Roman" w:eastAsia="Times New Roman" w:hAnsi="Times New Roman" w:cs="Times New Roman"/>
        </w:rPr>
        <w:t>, Andrew D. Czaja</w:t>
      </w:r>
      <w:r>
        <w:rPr>
          <w:rFonts w:ascii="Times New Roman" w:eastAsia="Times New Roman" w:hAnsi="Times New Roman" w:cs="Times New Roman"/>
          <w:vertAlign w:val="superscript"/>
        </w:rPr>
        <w:t>14</w:t>
      </w:r>
      <w:r>
        <w:rPr>
          <w:rFonts w:ascii="Times New Roman" w:eastAsia="Times New Roman" w:hAnsi="Times New Roman" w:cs="Times New Roman"/>
        </w:rPr>
        <w:t>, Tyler Del Sesto</w:t>
      </w:r>
      <w:r>
        <w:rPr>
          <w:rFonts w:ascii="Times New Roman" w:eastAsia="Times New Roman" w:hAnsi="Times New Roman" w:cs="Times New Roman"/>
          <w:vertAlign w:val="superscript"/>
        </w:rPr>
        <w:t>1</w:t>
      </w:r>
      <w:r>
        <w:rPr>
          <w:rFonts w:ascii="Times New Roman" w:eastAsia="Times New Roman" w:hAnsi="Times New Roman" w:cs="Times New Roman"/>
        </w:rPr>
        <w:t>, Alberto Fairen</w:t>
      </w:r>
      <w:r>
        <w:rPr>
          <w:rFonts w:ascii="Times New Roman" w:eastAsia="Times New Roman" w:hAnsi="Times New Roman" w:cs="Times New Roman"/>
          <w:vertAlign w:val="superscript"/>
        </w:rPr>
        <w:t>15,16</w:t>
      </w:r>
      <w:r>
        <w:rPr>
          <w:rFonts w:ascii="Times New Roman" w:eastAsia="Times New Roman" w:hAnsi="Times New Roman" w:cs="Times New Roman"/>
        </w:rPr>
        <w:t>, Teresa Fornaro</w:t>
      </w:r>
      <w:r>
        <w:rPr>
          <w:rFonts w:ascii="Times New Roman" w:eastAsia="Times New Roman" w:hAnsi="Times New Roman" w:cs="Times New Roman"/>
          <w:vertAlign w:val="superscript"/>
        </w:rPr>
        <w:t>17</w:t>
      </w:r>
      <w:r>
        <w:rPr>
          <w:rFonts w:ascii="Times New Roman" w:eastAsia="Times New Roman" w:hAnsi="Times New Roman" w:cs="Times New Roman"/>
        </w:rPr>
        <w:t>, Thierry Fouchet</w:t>
      </w:r>
      <w:r>
        <w:rPr>
          <w:rFonts w:ascii="Times New Roman" w:eastAsia="Times New Roman" w:hAnsi="Times New Roman" w:cs="Times New Roman"/>
          <w:vertAlign w:val="superscript"/>
        </w:rPr>
        <w:t>18</w:t>
      </w:r>
      <w:r>
        <w:rPr>
          <w:rFonts w:ascii="Times New Roman" w:eastAsia="Times New Roman" w:hAnsi="Times New Roman" w:cs="Times New Roman"/>
        </w:rPr>
        <w:t>, Brad Garczynski</w:t>
      </w:r>
      <w:r>
        <w:rPr>
          <w:rFonts w:ascii="Times New Roman" w:eastAsia="Times New Roman" w:hAnsi="Times New Roman" w:cs="Times New Roman"/>
          <w:vertAlign w:val="superscript"/>
        </w:rPr>
        <w:t>5</w:t>
      </w:r>
      <w:r>
        <w:rPr>
          <w:rFonts w:ascii="Times New Roman" w:eastAsia="Times New Roman" w:hAnsi="Times New Roman" w:cs="Times New Roman"/>
        </w:rPr>
        <w:t>, Sanjeev Gupta</w:t>
      </w:r>
      <w:r>
        <w:rPr>
          <w:rFonts w:ascii="Times New Roman" w:eastAsia="Times New Roman" w:hAnsi="Times New Roman" w:cs="Times New Roman"/>
          <w:vertAlign w:val="superscript"/>
        </w:rPr>
        <w:t>19</w:t>
      </w:r>
      <w:r>
        <w:rPr>
          <w:rFonts w:ascii="Times New Roman" w:eastAsia="Times New Roman" w:hAnsi="Times New Roman" w:cs="Times New Roman"/>
        </w:rPr>
        <w:t>, Chris D. K. Herd</w:t>
      </w:r>
      <w:r>
        <w:rPr>
          <w:rFonts w:ascii="Times New Roman" w:eastAsia="Times New Roman" w:hAnsi="Times New Roman" w:cs="Times New Roman"/>
          <w:vertAlign w:val="superscript"/>
        </w:rPr>
        <w:t>20</w:t>
      </w:r>
      <w:r>
        <w:rPr>
          <w:rFonts w:ascii="Times New Roman" w:eastAsia="Times New Roman" w:hAnsi="Times New Roman" w:cs="Times New Roman"/>
        </w:rPr>
        <w:t>, Keyron Hickman-Lewis</w:t>
      </w:r>
      <w:r>
        <w:rPr>
          <w:rFonts w:ascii="Times New Roman" w:eastAsia="Times New Roman" w:hAnsi="Times New Roman" w:cs="Times New Roman"/>
          <w:vertAlign w:val="superscript"/>
        </w:rPr>
        <w:t>21,22</w:t>
      </w:r>
      <w:r>
        <w:rPr>
          <w:rFonts w:ascii="Times New Roman" w:eastAsia="Times New Roman" w:hAnsi="Times New Roman" w:cs="Times New Roman"/>
        </w:rPr>
        <w:t>, Briony Horgan</w:t>
      </w:r>
      <w:r w:rsidRPr="0062405E">
        <w:rPr>
          <w:rFonts w:ascii="Times New Roman" w:eastAsia="Times New Roman" w:hAnsi="Times New Roman" w:cs="Times New Roman"/>
          <w:vertAlign w:val="superscript"/>
        </w:rPr>
        <w:t>5</w:t>
      </w:r>
      <w:r>
        <w:rPr>
          <w:rFonts w:ascii="Times New Roman" w:eastAsia="Times New Roman" w:hAnsi="Times New Roman" w:cs="Times New Roman"/>
        </w:rPr>
        <w:t>, Jeffrey Johnson</w:t>
      </w:r>
      <w:r>
        <w:rPr>
          <w:rFonts w:ascii="Times New Roman" w:eastAsia="Times New Roman" w:hAnsi="Times New Roman" w:cs="Times New Roman"/>
          <w:vertAlign w:val="superscript"/>
        </w:rPr>
        <w:t>23</w:t>
      </w:r>
      <w:r>
        <w:rPr>
          <w:rFonts w:ascii="Times New Roman" w:eastAsia="Times New Roman" w:hAnsi="Times New Roman" w:cs="Times New Roman"/>
        </w:rPr>
        <w:t>, Kjartan Kinch</w:t>
      </w:r>
      <w:r w:rsidR="004A3AF8">
        <w:rPr>
          <w:rFonts w:ascii="Times New Roman" w:eastAsia="Times New Roman" w:hAnsi="Times New Roman" w:cs="Times New Roman"/>
          <w:vertAlign w:val="superscript"/>
        </w:rPr>
        <w:t>8</w:t>
      </w:r>
      <w:r>
        <w:rPr>
          <w:rFonts w:ascii="Times New Roman" w:eastAsia="Times New Roman" w:hAnsi="Times New Roman" w:cs="Times New Roman"/>
        </w:rPr>
        <w:t>, Tanya Kizovski</w:t>
      </w:r>
      <w:r>
        <w:rPr>
          <w:rFonts w:ascii="Times New Roman" w:eastAsia="Times New Roman" w:hAnsi="Times New Roman" w:cs="Times New Roman"/>
          <w:vertAlign w:val="superscript"/>
        </w:rPr>
        <w:t>24</w:t>
      </w:r>
      <w:r>
        <w:rPr>
          <w:rFonts w:ascii="Times New Roman" w:eastAsia="Times New Roman" w:hAnsi="Times New Roman" w:cs="Times New Roman"/>
        </w:rPr>
        <w:t>, Rachel Kronyak</w:t>
      </w:r>
      <w:r>
        <w:rPr>
          <w:rFonts w:ascii="Times New Roman" w:eastAsia="Times New Roman" w:hAnsi="Times New Roman" w:cs="Times New Roman"/>
          <w:vertAlign w:val="superscript"/>
        </w:rPr>
        <w:t>1</w:t>
      </w:r>
      <w:r>
        <w:rPr>
          <w:rFonts w:ascii="Times New Roman" w:eastAsia="Times New Roman" w:hAnsi="Times New Roman" w:cs="Times New Roman"/>
        </w:rPr>
        <w:t>, Robert Lange</w:t>
      </w:r>
      <w:r>
        <w:rPr>
          <w:rFonts w:ascii="Times New Roman" w:eastAsia="Times New Roman" w:hAnsi="Times New Roman" w:cs="Times New Roman"/>
          <w:vertAlign w:val="superscript"/>
        </w:rPr>
        <w:t>1</w:t>
      </w:r>
      <w:r>
        <w:rPr>
          <w:rFonts w:ascii="Times New Roman" w:eastAsia="Times New Roman" w:hAnsi="Times New Roman" w:cs="Times New Roman"/>
        </w:rPr>
        <w:t>, Lucia Mandon</w:t>
      </w:r>
      <w:r>
        <w:rPr>
          <w:rFonts w:ascii="Times New Roman" w:eastAsia="Times New Roman" w:hAnsi="Times New Roman" w:cs="Times New Roman"/>
          <w:vertAlign w:val="superscript"/>
        </w:rPr>
        <w:t>18</w:t>
      </w:r>
      <w:r>
        <w:rPr>
          <w:rFonts w:ascii="Times New Roman" w:eastAsia="Times New Roman" w:hAnsi="Times New Roman" w:cs="Times New Roman"/>
        </w:rPr>
        <w:t>, Sarah Milkovich</w:t>
      </w:r>
      <w:r>
        <w:rPr>
          <w:rFonts w:ascii="Times New Roman" w:eastAsia="Times New Roman" w:hAnsi="Times New Roman" w:cs="Times New Roman"/>
          <w:vertAlign w:val="superscript"/>
        </w:rPr>
        <w:t>1</w:t>
      </w:r>
      <w:r>
        <w:rPr>
          <w:rFonts w:ascii="Times New Roman" w:eastAsia="Times New Roman" w:hAnsi="Times New Roman" w:cs="Times New Roman"/>
        </w:rPr>
        <w:t>, Robert Moeller</w:t>
      </w:r>
      <w:r>
        <w:rPr>
          <w:rFonts w:ascii="Times New Roman" w:eastAsia="Times New Roman" w:hAnsi="Times New Roman" w:cs="Times New Roman"/>
          <w:vertAlign w:val="superscript"/>
        </w:rPr>
        <w:t>1</w:t>
      </w:r>
      <w:r>
        <w:rPr>
          <w:rFonts w:ascii="Times New Roman" w:eastAsia="Times New Roman" w:hAnsi="Times New Roman" w:cs="Times New Roman"/>
        </w:rPr>
        <w:t>, Jorge Núñez</w:t>
      </w:r>
      <w:r>
        <w:rPr>
          <w:rFonts w:ascii="Times New Roman" w:eastAsia="Times New Roman" w:hAnsi="Times New Roman" w:cs="Times New Roman"/>
          <w:vertAlign w:val="superscript"/>
        </w:rPr>
        <w:t>23</w:t>
      </w:r>
      <w:r>
        <w:rPr>
          <w:rFonts w:ascii="Times New Roman" w:eastAsia="Times New Roman" w:hAnsi="Times New Roman" w:cs="Times New Roman"/>
        </w:rPr>
        <w:t>, Gerhard Paar</w:t>
      </w:r>
      <w:r>
        <w:rPr>
          <w:rFonts w:ascii="Times New Roman" w:eastAsia="Times New Roman" w:hAnsi="Times New Roman" w:cs="Times New Roman"/>
          <w:vertAlign w:val="superscript"/>
        </w:rPr>
        <w:t>25</w:t>
      </w:r>
      <w:r>
        <w:rPr>
          <w:rFonts w:ascii="Times New Roman" w:eastAsia="Times New Roman" w:hAnsi="Times New Roman" w:cs="Times New Roman"/>
        </w:rPr>
        <w:t>, Guy Pyrzak</w:t>
      </w:r>
      <w:r>
        <w:rPr>
          <w:rFonts w:ascii="Times New Roman" w:eastAsia="Times New Roman" w:hAnsi="Times New Roman" w:cs="Times New Roman"/>
          <w:vertAlign w:val="superscript"/>
        </w:rPr>
        <w:t>1</w:t>
      </w:r>
      <w:r>
        <w:rPr>
          <w:rFonts w:ascii="Times New Roman" w:eastAsia="Times New Roman" w:hAnsi="Times New Roman" w:cs="Times New Roman"/>
        </w:rPr>
        <w:t>, Cathy Quantin-Nataf</w:t>
      </w:r>
      <w:r>
        <w:rPr>
          <w:rFonts w:ascii="Times New Roman" w:eastAsia="Times New Roman" w:hAnsi="Times New Roman" w:cs="Times New Roman"/>
          <w:vertAlign w:val="superscript"/>
        </w:rPr>
        <w:t>26</w:t>
      </w:r>
      <w:r>
        <w:rPr>
          <w:rFonts w:ascii="Times New Roman" w:eastAsia="Times New Roman" w:hAnsi="Times New Roman" w:cs="Times New Roman"/>
        </w:rPr>
        <w:t>, David L. Shuster</w:t>
      </w:r>
      <w:r>
        <w:rPr>
          <w:rFonts w:ascii="Times New Roman" w:eastAsia="Times New Roman" w:hAnsi="Times New Roman" w:cs="Times New Roman"/>
          <w:vertAlign w:val="superscript"/>
        </w:rPr>
        <w:t>27</w:t>
      </w:r>
      <w:r>
        <w:rPr>
          <w:rFonts w:ascii="Times New Roman" w:eastAsia="Times New Roman" w:hAnsi="Times New Roman" w:cs="Times New Roman"/>
        </w:rPr>
        <w:t>, Sandra Siljestrom</w:t>
      </w:r>
      <w:r>
        <w:rPr>
          <w:rFonts w:ascii="Times New Roman" w:eastAsia="Times New Roman" w:hAnsi="Times New Roman" w:cs="Times New Roman"/>
          <w:vertAlign w:val="superscript"/>
        </w:rPr>
        <w:t>28</w:t>
      </w:r>
      <w:r>
        <w:rPr>
          <w:rFonts w:ascii="Times New Roman" w:eastAsia="Times New Roman" w:hAnsi="Times New Roman" w:cs="Times New Roman"/>
        </w:rPr>
        <w:t>, Andrew Steele</w:t>
      </w:r>
      <w:r>
        <w:rPr>
          <w:rFonts w:ascii="Times New Roman" w:eastAsia="Times New Roman" w:hAnsi="Times New Roman" w:cs="Times New Roman"/>
          <w:vertAlign w:val="superscript"/>
        </w:rPr>
        <w:t>13,29</w:t>
      </w:r>
      <w:r>
        <w:rPr>
          <w:rFonts w:ascii="Times New Roman" w:eastAsia="Times New Roman" w:hAnsi="Times New Roman" w:cs="Times New Roman"/>
        </w:rPr>
        <w:t>, Michael Tice</w:t>
      </w:r>
      <w:r>
        <w:rPr>
          <w:rFonts w:ascii="Times New Roman" w:eastAsia="Times New Roman" w:hAnsi="Times New Roman" w:cs="Times New Roman"/>
          <w:vertAlign w:val="superscript"/>
        </w:rPr>
        <w:t>30</w:t>
      </w:r>
      <w:r>
        <w:rPr>
          <w:rFonts w:ascii="Times New Roman" w:eastAsia="Times New Roman" w:hAnsi="Times New Roman" w:cs="Times New Roman"/>
        </w:rPr>
        <w:t>, Olivier Toupet</w:t>
      </w:r>
      <w:r>
        <w:rPr>
          <w:rFonts w:ascii="Times New Roman" w:eastAsia="Times New Roman" w:hAnsi="Times New Roman" w:cs="Times New Roman"/>
          <w:vertAlign w:val="superscript"/>
        </w:rPr>
        <w:t>1</w:t>
      </w:r>
      <w:r>
        <w:rPr>
          <w:rFonts w:ascii="Times New Roman" w:eastAsia="Times New Roman" w:hAnsi="Times New Roman" w:cs="Times New Roman"/>
        </w:rPr>
        <w:t>, Arya Udry</w:t>
      </w:r>
      <w:r>
        <w:rPr>
          <w:rFonts w:ascii="Times New Roman" w:eastAsia="Times New Roman" w:hAnsi="Times New Roman" w:cs="Times New Roman"/>
          <w:vertAlign w:val="superscript"/>
        </w:rPr>
        <w:t>31</w:t>
      </w:r>
      <w:r>
        <w:rPr>
          <w:rFonts w:ascii="Times New Roman" w:eastAsia="Times New Roman" w:hAnsi="Times New Roman" w:cs="Times New Roman"/>
        </w:rPr>
        <w:t>, Alicia Vaughan</w:t>
      </w:r>
      <w:r>
        <w:rPr>
          <w:rFonts w:ascii="Times New Roman" w:eastAsia="Times New Roman" w:hAnsi="Times New Roman" w:cs="Times New Roman"/>
          <w:vertAlign w:val="superscript"/>
        </w:rPr>
        <w:t>32</w:t>
      </w:r>
      <w:r>
        <w:rPr>
          <w:rFonts w:ascii="Times New Roman" w:eastAsia="Times New Roman" w:hAnsi="Times New Roman" w:cs="Times New Roman"/>
        </w:rPr>
        <w:t>, Brittan Wogsland</w:t>
      </w:r>
      <w:r>
        <w:rPr>
          <w:rFonts w:ascii="Times New Roman" w:eastAsia="Times New Roman" w:hAnsi="Times New Roman" w:cs="Times New Roman"/>
          <w:vertAlign w:val="superscript"/>
        </w:rPr>
        <w:t>33</w:t>
      </w:r>
    </w:p>
    <w:bookmarkEnd w:id="0"/>
    <w:p w14:paraId="141347D5" w14:textId="77777777" w:rsidR="006239D6" w:rsidRDefault="006239D6" w:rsidP="006239D6">
      <w:pPr>
        <w:spacing w:line="240" w:lineRule="auto"/>
        <w:rPr>
          <w:rFonts w:ascii="Times New Roman" w:eastAsia="Times New Roman" w:hAnsi="Times New Roman" w:cs="Times New Roman"/>
          <w:b/>
        </w:rPr>
      </w:pPr>
    </w:p>
    <w:p w14:paraId="42B77BFD" w14:textId="77777777" w:rsidR="006239D6" w:rsidRDefault="006239D6" w:rsidP="006239D6">
      <w:pPr>
        <w:spacing w:line="240" w:lineRule="auto"/>
        <w:rPr>
          <w:rFonts w:ascii="Times New Roman" w:eastAsia="Times New Roman" w:hAnsi="Times New Roman" w:cs="Times New Roman"/>
        </w:rPr>
      </w:pPr>
      <w:bookmarkStart w:id="1" w:name="_Hlk115983747"/>
      <w:r>
        <w:rPr>
          <w:rFonts w:ascii="Times New Roman" w:eastAsia="Times New Roman" w:hAnsi="Times New Roman" w:cs="Times New Roman"/>
          <w:vertAlign w:val="superscript"/>
        </w:rPr>
        <w:t>1</w:t>
      </w:r>
      <w:r>
        <w:rPr>
          <w:rFonts w:ascii="Times New Roman" w:eastAsia="Times New Roman" w:hAnsi="Times New Roman" w:cs="Times New Roman"/>
        </w:rPr>
        <w:t>Jet Propulsion Laboratory, California Institute of Technology, Pasadena, CA.</w:t>
      </w:r>
    </w:p>
    <w:p w14:paraId="141C68F0"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California Institute of Technology, Pasadena, CA</w:t>
      </w:r>
    </w:p>
    <w:p w14:paraId="20F2725E"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NASA Johnson Space Center, Houston, TX</w:t>
      </w:r>
    </w:p>
    <w:p w14:paraId="101A35F3"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4</w:t>
      </w:r>
      <w:r>
        <w:rPr>
          <w:rFonts w:ascii="Times New Roman" w:eastAsia="Times New Roman" w:hAnsi="Times New Roman" w:cs="Times New Roman"/>
        </w:rPr>
        <w:t>Aeolis Research, Chandler, AZ</w:t>
      </w:r>
    </w:p>
    <w:p w14:paraId="58946EC9"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5</w:t>
      </w:r>
      <w:r w:rsidRPr="0062405E">
        <w:rPr>
          <w:rFonts w:ascii="Times New Roman" w:eastAsia="Times New Roman" w:hAnsi="Times New Roman" w:cs="Times New Roman"/>
        </w:rPr>
        <w:t xml:space="preserve"> </w:t>
      </w:r>
      <w:r>
        <w:rPr>
          <w:rFonts w:ascii="Times New Roman" w:eastAsia="Times New Roman" w:hAnsi="Times New Roman" w:cs="Times New Roman"/>
        </w:rPr>
        <w:t>Purdue University, West Lafayette, Indiana</w:t>
      </w:r>
    </w:p>
    <w:p w14:paraId="516B081C"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6 </w:t>
      </w:r>
      <w:r>
        <w:rPr>
          <w:rFonts w:ascii="Times New Roman" w:eastAsia="Times New Roman" w:hAnsi="Times New Roman" w:cs="Times New Roman"/>
        </w:rPr>
        <w:t>Dept of Geological Sciences, University of Florida</w:t>
      </w:r>
    </w:p>
    <w:p w14:paraId="1222F404"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7</w:t>
      </w:r>
      <w:r>
        <w:rPr>
          <w:rFonts w:ascii="Times New Roman" w:eastAsia="Times New Roman" w:hAnsi="Times New Roman" w:cs="Times New Roman"/>
        </w:rPr>
        <w:t>University of Cambridge, Cambridge, UK</w:t>
      </w:r>
    </w:p>
    <w:p w14:paraId="61F7E8C3"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8</w:t>
      </w:r>
      <w:r>
        <w:rPr>
          <w:rFonts w:ascii="Times New Roman" w:eastAsia="Times New Roman" w:hAnsi="Times New Roman" w:cs="Times New Roman"/>
        </w:rPr>
        <w:t xml:space="preserve">Niels Bohr Institute, University of Copenhagen, </w:t>
      </w:r>
      <w:proofErr w:type="spellStart"/>
      <w:r>
        <w:rPr>
          <w:rFonts w:ascii="Times New Roman" w:eastAsia="Times New Roman" w:hAnsi="Times New Roman" w:cs="Times New Roman"/>
        </w:rPr>
        <w:t>Blegdamsvej</w:t>
      </w:r>
      <w:proofErr w:type="spellEnd"/>
      <w:r>
        <w:rPr>
          <w:rFonts w:ascii="Times New Roman" w:eastAsia="Times New Roman" w:hAnsi="Times New Roman" w:cs="Times New Roman"/>
        </w:rPr>
        <w:t xml:space="preserve"> 17, 2100 Copenhagen, Denmark</w:t>
      </w:r>
    </w:p>
    <w:p w14:paraId="7EA95A3A"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9</w:t>
      </w:r>
      <w:r>
        <w:rPr>
          <w:rFonts w:ascii="Times New Roman" w:eastAsia="Times New Roman" w:hAnsi="Times New Roman" w:cs="Times New Roman"/>
        </w:rPr>
        <w:t xml:space="preserve">Department of Geology, Lund University, </w:t>
      </w:r>
      <w:proofErr w:type="spellStart"/>
      <w:r>
        <w:rPr>
          <w:rFonts w:ascii="Times New Roman" w:eastAsia="Times New Roman" w:hAnsi="Times New Roman" w:cs="Times New Roman"/>
        </w:rPr>
        <w:t>Sölvegatan</w:t>
      </w:r>
      <w:proofErr w:type="spellEnd"/>
      <w:r>
        <w:rPr>
          <w:rFonts w:ascii="Times New Roman" w:eastAsia="Times New Roman" w:hAnsi="Times New Roman" w:cs="Times New Roman"/>
        </w:rPr>
        <w:t xml:space="preserve"> 12, 22362 Lund, Sweden</w:t>
      </w:r>
    </w:p>
    <w:p w14:paraId="41F757A9"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10</w:t>
      </w:r>
      <w:r>
        <w:rPr>
          <w:rFonts w:ascii="Times New Roman" w:eastAsia="Times New Roman" w:hAnsi="Times New Roman" w:cs="Times New Roman"/>
        </w:rPr>
        <w:t xml:space="preserve">Institut de </w:t>
      </w:r>
      <w:proofErr w:type="spellStart"/>
      <w:r>
        <w:rPr>
          <w:rFonts w:ascii="Times New Roman" w:eastAsia="Times New Roman" w:hAnsi="Times New Roman" w:cs="Times New Roman"/>
        </w:rPr>
        <w:t>Minéralogie</w:t>
      </w:r>
      <w:proofErr w:type="spellEnd"/>
      <w:r>
        <w:rPr>
          <w:rFonts w:ascii="Times New Roman" w:eastAsia="Times New Roman" w:hAnsi="Times New Roman" w:cs="Times New Roman"/>
        </w:rPr>
        <w:t xml:space="preserve">, de Physique des </w:t>
      </w:r>
      <w:proofErr w:type="spellStart"/>
      <w:r>
        <w:rPr>
          <w:rFonts w:ascii="Times New Roman" w:eastAsia="Times New Roman" w:hAnsi="Times New Roman" w:cs="Times New Roman"/>
        </w:rPr>
        <w:t>Matériaux</w:t>
      </w:r>
      <w:proofErr w:type="spellEnd"/>
      <w:r>
        <w:rPr>
          <w:rFonts w:ascii="Times New Roman" w:eastAsia="Times New Roman" w:hAnsi="Times New Roman" w:cs="Times New Roman"/>
        </w:rPr>
        <w:t xml:space="preserve"> et de </w:t>
      </w:r>
      <w:proofErr w:type="spellStart"/>
      <w:r>
        <w:rPr>
          <w:rFonts w:ascii="Times New Roman" w:eastAsia="Times New Roman" w:hAnsi="Times New Roman" w:cs="Times New Roman"/>
        </w:rPr>
        <w:t>Cosmochimie</w:t>
      </w:r>
      <w:proofErr w:type="spellEnd"/>
      <w:r>
        <w:rPr>
          <w:rFonts w:ascii="Times New Roman" w:eastAsia="Times New Roman" w:hAnsi="Times New Roman" w:cs="Times New Roman"/>
        </w:rPr>
        <w:t xml:space="preserve">, CNRS, Sorbonne Université, </w:t>
      </w:r>
      <w:proofErr w:type="spellStart"/>
      <w:r>
        <w:rPr>
          <w:rFonts w:ascii="Times New Roman" w:eastAsia="Times New Roman" w:hAnsi="Times New Roman" w:cs="Times New Roman"/>
        </w:rPr>
        <w:t>Muséum</w:t>
      </w:r>
      <w:proofErr w:type="spellEnd"/>
      <w:r>
        <w:rPr>
          <w:rFonts w:ascii="Times New Roman" w:eastAsia="Times New Roman" w:hAnsi="Times New Roman" w:cs="Times New Roman"/>
        </w:rPr>
        <w:t xml:space="preserve"> National </w:t>
      </w:r>
      <w:proofErr w:type="spellStart"/>
      <w:r>
        <w:rPr>
          <w:rFonts w:ascii="Times New Roman" w:eastAsia="Times New Roman" w:hAnsi="Times New Roman" w:cs="Times New Roman"/>
        </w:rPr>
        <w:t>d'Histoire</w:t>
      </w:r>
      <w:proofErr w:type="spellEnd"/>
      <w:r>
        <w:rPr>
          <w:rFonts w:ascii="Times New Roman" w:eastAsia="Times New Roman" w:hAnsi="Times New Roman" w:cs="Times New Roman"/>
        </w:rPr>
        <w:t xml:space="preserve"> Naturelle, 75005 Paris, France.</w:t>
      </w:r>
    </w:p>
    <w:p w14:paraId="48EABA26" w14:textId="76F807C8"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11</w:t>
      </w:r>
      <w:r w:rsidR="00896116" w:rsidRPr="00896116">
        <w:rPr>
          <w:rFonts w:ascii="Times New Roman" w:eastAsia="Times New Roman" w:hAnsi="Times New Roman" w:cs="Times New Roman"/>
        </w:rPr>
        <w:t>Plancius Research, Severna Park, MD</w:t>
      </w:r>
    </w:p>
    <w:p w14:paraId="6FF40FC8"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12</w:t>
      </w:r>
      <w:r>
        <w:rPr>
          <w:rFonts w:ascii="Times New Roman" w:eastAsia="Times New Roman" w:hAnsi="Times New Roman" w:cs="Times New Roman"/>
        </w:rPr>
        <w:t xml:space="preserve">Centre Lasers </w:t>
      </w:r>
      <w:proofErr w:type="spellStart"/>
      <w:r>
        <w:rPr>
          <w:rFonts w:ascii="Times New Roman" w:eastAsia="Times New Roman" w:hAnsi="Times New Roman" w:cs="Times New Roman"/>
        </w:rPr>
        <w:t>Intenses</w:t>
      </w:r>
      <w:proofErr w:type="spellEnd"/>
      <w:r>
        <w:rPr>
          <w:rFonts w:ascii="Times New Roman" w:eastAsia="Times New Roman" w:hAnsi="Times New Roman" w:cs="Times New Roman"/>
        </w:rPr>
        <w:t xml:space="preserve"> et Applications, CNRS, CEA, Université de Bordeaux, 33000 Bordeaux, France</w:t>
      </w:r>
    </w:p>
    <w:p w14:paraId="010E4C8B"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13</w:t>
      </w:r>
      <w:r>
        <w:rPr>
          <w:rFonts w:ascii="Times New Roman" w:eastAsia="Times New Roman" w:hAnsi="Times New Roman" w:cs="Times New Roman"/>
        </w:rPr>
        <w:t>NASA Goddard Spaceflight Center, Greenbelt, MD</w:t>
      </w:r>
    </w:p>
    <w:p w14:paraId="1C9B1EBB"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14</w:t>
      </w:r>
      <w:r>
        <w:rPr>
          <w:rFonts w:ascii="Times New Roman" w:eastAsia="Times New Roman" w:hAnsi="Times New Roman" w:cs="Times New Roman"/>
        </w:rPr>
        <w:t>Department of Geology, University of Cincinnati, Cincinnati OH, USA</w:t>
      </w:r>
    </w:p>
    <w:p w14:paraId="05F6A230"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15</w:t>
      </w:r>
      <w:r>
        <w:rPr>
          <w:rFonts w:ascii="Times New Roman" w:eastAsia="Times New Roman" w:hAnsi="Times New Roman" w:cs="Times New Roman"/>
        </w:rPr>
        <w:t xml:space="preserve">Centro de </w:t>
      </w:r>
      <w:proofErr w:type="spellStart"/>
      <w:r>
        <w:rPr>
          <w:rFonts w:ascii="Times New Roman" w:eastAsia="Times New Roman" w:hAnsi="Times New Roman" w:cs="Times New Roman"/>
        </w:rPr>
        <w:t>Astrobiologia</w:t>
      </w:r>
      <w:proofErr w:type="spellEnd"/>
      <w:r>
        <w:rPr>
          <w:rFonts w:ascii="Times New Roman" w:eastAsia="Times New Roman" w:hAnsi="Times New Roman" w:cs="Times New Roman"/>
        </w:rPr>
        <w:t xml:space="preserve"> (CSIC-INTA), Madrid, Spain.</w:t>
      </w:r>
    </w:p>
    <w:p w14:paraId="61B8B788"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16</w:t>
      </w:r>
      <w:r>
        <w:rPr>
          <w:rFonts w:ascii="Times New Roman" w:eastAsia="Times New Roman" w:hAnsi="Times New Roman" w:cs="Times New Roman"/>
        </w:rPr>
        <w:t>Dept. Astronomy, Cornell University, Ithaca, NY, USA.</w:t>
      </w:r>
    </w:p>
    <w:p w14:paraId="0665C56C"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17</w:t>
      </w:r>
      <w:r>
        <w:rPr>
          <w:rFonts w:ascii="Times New Roman" w:eastAsia="Times New Roman" w:hAnsi="Times New Roman" w:cs="Times New Roman"/>
        </w:rPr>
        <w:t xml:space="preserve">INAF-Astrophysical Observatory of </w:t>
      </w:r>
      <w:proofErr w:type="spellStart"/>
      <w:r>
        <w:rPr>
          <w:rFonts w:ascii="Times New Roman" w:eastAsia="Times New Roman" w:hAnsi="Times New Roman" w:cs="Times New Roman"/>
        </w:rPr>
        <w:t>Arcetri</w:t>
      </w:r>
      <w:proofErr w:type="spellEnd"/>
      <w:r>
        <w:rPr>
          <w:rFonts w:ascii="Times New Roman" w:eastAsia="Times New Roman" w:hAnsi="Times New Roman" w:cs="Times New Roman"/>
        </w:rPr>
        <w:t>, Florence, Italy.</w:t>
      </w:r>
    </w:p>
    <w:p w14:paraId="09537656"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18</w:t>
      </w:r>
      <w:r>
        <w:rPr>
          <w:rFonts w:ascii="Times New Roman" w:eastAsia="Times New Roman" w:hAnsi="Times New Roman" w:cs="Times New Roman"/>
        </w:rPr>
        <w:t xml:space="preserve">LESIA, </w:t>
      </w:r>
      <w:proofErr w:type="spellStart"/>
      <w:r>
        <w:rPr>
          <w:rFonts w:ascii="Times New Roman" w:eastAsia="Times New Roman" w:hAnsi="Times New Roman" w:cs="Times New Roman"/>
        </w:rPr>
        <w:t>Observatoire</w:t>
      </w:r>
      <w:proofErr w:type="spellEnd"/>
      <w:r>
        <w:rPr>
          <w:rFonts w:ascii="Times New Roman" w:eastAsia="Times New Roman" w:hAnsi="Times New Roman" w:cs="Times New Roman"/>
        </w:rPr>
        <w:t xml:space="preserve"> de Paris, Université PSL, Sorbonne Université, Université Paris </w:t>
      </w:r>
      <w:proofErr w:type="spellStart"/>
      <w:r>
        <w:rPr>
          <w:rFonts w:ascii="Times New Roman" w:eastAsia="Times New Roman" w:hAnsi="Times New Roman" w:cs="Times New Roman"/>
        </w:rPr>
        <w:t>Cité</w:t>
      </w:r>
      <w:proofErr w:type="spellEnd"/>
      <w:r>
        <w:rPr>
          <w:rFonts w:ascii="Times New Roman" w:eastAsia="Times New Roman" w:hAnsi="Times New Roman" w:cs="Times New Roman"/>
        </w:rPr>
        <w:t xml:space="preserve">, CNRS, 5 place Jules Janssen, 92195 </w:t>
      </w:r>
      <w:proofErr w:type="spellStart"/>
      <w:r>
        <w:rPr>
          <w:rFonts w:ascii="Times New Roman" w:eastAsia="Times New Roman" w:hAnsi="Times New Roman" w:cs="Times New Roman"/>
        </w:rPr>
        <w:t>Meudon</w:t>
      </w:r>
      <w:proofErr w:type="spellEnd"/>
      <w:r>
        <w:rPr>
          <w:rFonts w:ascii="Times New Roman" w:eastAsia="Times New Roman" w:hAnsi="Times New Roman" w:cs="Times New Roman"/>
        </w:rPr>
        <w:t>, France</w:t>
      </w:r>
    </w:p>
    <w:p w14:paraId="61EF7A43"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19</w:t>
      </w:r>
      <w:r>
        <w:rPr>
          <w:rFonts w:ascii="Times New Roman" w:eastAsia="Times New Roman" w:hAnsi="Times New Roman" w:cs="Times New Roman"/>
        </w:rPr>
        <w:t>Imperial College London, London, UK</w:t>
      </w:r>
    </w:p>
    <w:p w14:paraId="3B323EF2"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20</w:t>
      </w:r>
      <w:r>
        <w:rPr>
          <w:rFonts w:ascii="Times New Roman" w:eastAsia="Times New Roman" w:hAnsi="Times New Roman" w:cs="Times New Roman"/>
        </w:rPr>
        <w:t>University of Alberta, Edmonton, AB, Canada</w:t>
      </w:r>
    </w:p>
    <w:p w14:paraId="11A5A541"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21</w:t>
      </w:r>
      <w:r>
        <w:rPr>
          <w:rFonts w:ascii="Times New Roman" w:eastAsia="Times New Roman" w:hAnsi="Times New Roman" w:cs="Times New Roman"/>
        </w:rPr>
        <w:t>Natural History Museum, London, UK</w:t>
      </w:r>
    </w:p>
    <w:p w14:paraId="1AC17234"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22</w:t>
      </w:r>
      <w:r>
        <w:rPr>
          <w:rFonts w:ascii="Times New Roman" w:eastAsia="Times New Roman" w:hAnsi="Times New Roman" w:cs="Times New Roman"/>
        </w:rPr>
        <w:t xml:space="preserve">Dipartimento di </w:t>
      </w:r>
      <w:proofErr w:type="spellStart"/>
      <w:r>
        <w:rPr>
          <w:rFonts w:ascii="Times New Roman" w:eastAsia="Times New Roman" w:hAnsi="Times New Roman" w:cs="Times New Roman"/>
        </w:rPr>
        <w:t>Scienze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Biologiche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Geologiche</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Ambientali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Università</w:t>
      </w:r>
      <w:proofErr w:type="spellEnd"/>
      <w:r>
        <w:rPr>
          <w:rFonts w:ascii="Times New Roman" w:eastAsia="Times New Roman" w:hAnsi="Times New Roman" w:cs="Times New Roman"/>
        </w:rPr>
        <w:t xml:space="preserve"> di Bologna, Bologna, Italy</w:t>
      </w:r>
    </w:p>
    <w:p w14:paraId="0A46E23A"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23</w:t>
      </w:r>
      <w:r>
        <w:rPr>
          <w:rFonts w:ascii="Times New Roman" w:eastAsia="Times New Roman" w:hAnsi="Times New Roman" w:cs="Times New Roman"/>
        </w:rPr>
        <w:t>Johns Hopkins University Applied Physics Laboratory, Laurel, MD</w:t>
      </w:r>
    </w:p>
    <w:p w14:paraId="5C617A6C"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24</w:t>
      </w:r>
      <w:r>
        <w:rPr>
          <w:rFonts w:ascii="Times New Roman" w:eastAsia="Times New Roman" w:hAnsi="Times New Roman" w:cs="Times New Roman"/>
        </w:rPr>
        <w:t xml:space="preserve">Brock University, St. </w:t>
      </w:r>
      <w:proofErr w:type="spellStart"/>
      <w:r>
        <w:rPr>
          <w:rFonts w:ascii="Times New Roman" w:eastAsia="Times New Roman" w:hAnsi="Times New Roman" w:cs="Times New Roman"/>
        </w:rPr>
        <w:t>Catharines</w:t>
      </w:r>
      <w:proofErr w:type="spellEnd"/>
      <w:r>
        <w:rPr>
          <w:rFonts w:ascii="Times New Roman" w:eastAsia="Times New Roman" w:hAnsi="Times New Roman" w:cs="Times New Roman"/>
        </w:rPr>
        <w:t>, Ontario</w:t>
      </w:r>
    </w:p>
    <w:p w14:paraId="22A279A5"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lastRenderedPageBreak/>
        <w:t>25</w:t>
      </w:r>
      <w:r>
        <w:rPr>
          <w:rFonts w:ascii="Times New Roman" w:eastAsia="Times New Roman" w:hAnsi="Times New Roman" w:cs="Times New Roman"/>
        </w:rPr>
        <w:t>Joanneum Research, Graz, Austria</w:t>
      </w:r>
    </w:p>
    <w:p w14:paraId="4E2184CF"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26</w:t>
      </w:r>
      <w:r>
        <w:rPr>
          <w:rFonts w:ascii="Times New Roman" w:eastAsia="Times New Roman" w:hAnsi="Times New Roman" w:cs="Times New Roman"/>
        </w:rPr>
        <w:t xml:space="preserve">Laboratoire de </w:t>
      </w:r>
      <w:proofErr w:type="spellStart"/>
      <w:r>
        <w:rPr>
          <w:rFonts w:ascii="Times New Roman" w:eastAsia="Times New Roman" w:hAnsi="Times New Roman" w:cs="Times New Roman"/>
        </w:rPr>
        <w:t>Géologie</w:t>
      </w:r>
      <w:proofErr w:type="spellEnd"/>
      <w:r>
        <w:rPr>
          <w:rFonts w:ascii="Times New Roman" w:eastAsia="Times New Roman" w:hAnsi="Times New Roman" w:cs="Times New Roman"/>
        </w:rPr>
        <w:t xml:space="preserve"> de Lyon, Université Lyon, </w:t>
      </w:r>
      <w:proofErr w:type="spellStart"/>
      <w:r>
        <w:rPr>
          <w:rFonts w:ascii="Times New Roman" w:eastAsia="Times New Roman" w:hAnsi="Times New Roman" w:cs="Times New Roman"/>
        </w:rPr>
        <w:t>Bâtiment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Géode</w:t>
      </w:r>
      <w:proofErr w:type="spellEnd"/>
      <w:r>
        <w:rPr>
          <w:rFonts w:ascii="Times New Roman" w:eastAsia="Times New Roman" w:hAnsi="Times New Roman" w:cs="Times New Roman"/>
        </w:rPr>
        <w:t>, Villeurbanne, France</w:t>
      </w:r>
    </w:p>
    <w:p w14:paraId="76F0D92E"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27</w:t>
      </w:r>
      <w:r>
        <w:rPr>
          <w:rFonts w:ascii="Times New Roman" w:eastAsia="Times New Roman" w:hAnsi="Times New Roman" w:cs="Times New Roman"/>
        </w:rPr>
        <w:t xml:space="preserve">University of California, Berkeley, Berkeley, CA </w:t>
      </w:r>
    </w:p>
    <w:p w14:paraId="10C8ADB4"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28</w:t>
      </w:r>
      <w:r>
        <w:rPr>
          <w:rFonts w:ascii="Times New Roman" w:eastAsia="Times New Roman" w:hAnsi="Times New Roman" w:cs="Times New Roman"/>
        </w:rPr>
        <w:t>RISE Research Institutes of Sweden, Gothenburg, Sweden</w:t>
      </w:r>
    </w:p>
    <w:p w14:paraId="7DBC8CC2"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29</w:t>
      </w:r>
      <w:r>
        <w:rPr>
          <w:rFonts w:ascii="Times New Roman" w:eastAsia="Times New Roman" w:hAnsi="Times New Roman" w:cs="Times New Roman"/>
        </w:rPr>
        <w:t>Carnegie Institute Washington, Washington, DC, USA</w:t>
      </w:r>
    </w:p>
    <w:p w14:paraId="4570DB6C"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30</w:t>
      </w:r>
      <w:r>
        <w:rPr>
          <w:rFonts w:ascii="Times New Roman" w:eastAsia="Times New Roman" w:hAnsi="Times New Roman" w:cs="Times New Roman"/>
        </w:rPr>
        <w:t>Dept. of Geology and Geophysics, Texas A&amp;M University, TX, USA</w:t>
      </w:r>
    </w:p>
    <w:p w14:paraId="159E9C46"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31</w:t>
      </w:r>
      <w:r>
        <w:rPr>
          <w:rFonts w:ascii="Times New Roman" w:eastAsia="Times New Roman" w:hAnsi="Times New Roman" w:cs="Times New Roman"/>
        </w:rPr>
        <w:t>University of Nevada, Las Vegas</w:t>
      </w:r>
    </w:p>
    <w:p w14:paraId="00DDDB56"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32</w:t>
      </w:r>
      <w:r>
        <w:rPr>
          <w:rFonts w:ascii="Times New Roman" w:eastAsia="Times New Roman" w:hAnsi="Times New Roman" w:cs="Times New Roman"/>
        </w:rPr>
        <w:t>United States Geological Survey, Flagstaff, AZ</w:t>
      </w:r>
    </w:p>
    <w:p w14:paraId="5A3424AB" w14:textId="77777777" w:rsidR="006239D6" w:rsidRDefault="006239D6" w:rsidP="006239D6">
      <w:pPr>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33</w:t>
      </w:r>
      <w:r>
        <w:rPr>
          <w:rFonts w:ascii="Times New Roman" w:eastAsia="Times New Roman" w:hAnsi="Times New Roman" w:cs="Times New Roman"/>
        </w:rPr>
        <w:t>University of Tennessee – Knoxville, TN</w:t>
      </w:r>
    </w:p>
    <w:bookmarkEnd w:id="1"/>
    <w:p w14:paraId="1D6F9754" w14:textId="77777777" w:rsidR="007A33C2" w:rsidRPr="00CE6EAA" w:rsidRDefault="007A33C2" w:rsidP="007A33C2">
      <w:pPr>
        <w:spacing w:before="100" w:beforeAutospacing="1" w:after="100" w:afterAutospacing="1"/>
        <w:jc w:val="center"/>
        <w:rPr>
          <w:rFonts w:ascii="Myriad Pro" w:hAnsi="Myriad Pro"/>
        </w:rPr>
      </w:pPr>
      <w:r w:rsidRPr="00CE6EAA" w:rsidDel="00A50033">
        <w:rPr>
          <w:rFonts w:ascii="Myriad Pro" w:hAnsi="Myriad Pro"/>
        </w:rPr>
        <w:t xml:space="preserve"> </w:t>
      </w:r>
    </w:p>
    <w:p w14:paraId="5D0D4356" w14:textId="77777777" w:rsidR="007A33C2" w:rsidRDefault="007A33C2" w:rsidP="007A33C2">
      <w:pPr>
        <w:rPr>
          <w:rFonts w:ascii="Myriad Pro" w:hAnsi="Myriad Pro"/>
          <w:b/>
        </w:rPr>
      </w:pPr>
      <w:r w:rsidRPr="00CE6EAA">
        <w:rPr>
          <w:rFonts w:ascii="Myriad Pro" w:hAnsi="Myriad Pro"/>
          <w:b/>
        </w:rPr>
        <w:t>Contents of this file</w:t>
      </w:r>
      <w:r>
        <w:rPr>
          <w:rFonts w:ascii="Myriad Pro" w:hAnsi="Myriad Pro"/>
          <w:b/>
        </w:rPr>
        <w:t xml:space="preserve"> </w:t>
      </w:r>
    </w:p>
    <w:p w14:paraId="60DD2191" w14:textId="77777777" w:rsidR="007A33C2" w:rsidRPr="00E40896" w:rsidRDefault="007A33C2" w:rsidP="007A33C2">
      <w:pPr>
        <w:rPr>
          <w:rFonts w:ascii="Myriad Pro" w:hAnsi="Myriad Pro"/>
        </w:rPr>
      </w:pPr>
    </w:p>
    <w:p w14:paraId="1E5DA406" w14:textId="77777777" w:rsidR="007A33C2" w:rsidRPr="00CE6EAA" w:rsidRDefault="007A33C2" w:rsidP="007A33C2">
      <w:pPr>
        <w:ind w:left="720"/>
        <w:rPr>
          <w:rFonts w:ascii="Myriad Pro" w:hAnsi="Myriad Pro"/>
        </w:rPr>
      </w:pPr>
      <w:r w:rsidRPr="00CE6EAA">
        <w:rPr>
          <w:rFonts w:ascii="Myriad Pro" w:hAnsi="Myriad Pro"/>
        </w:rPr>
        <w:t>Text S1 to S</w:t>
      </w:r>
      <w:r w:rsidR="00C54CD8">
        <w:rPr>
          <w:rFonts w:ascii="Myriad Pro" w:hAnsi="Myriad Pro"/>
        </w:rPr>
        <w:t>3</w:t>
      </w:r>
    </w:p>
    <w:p w14:paraId="096A46AF" w14:textId="77777777" w:rsidR="007A33C2" w:rsidRPr="00CE6EAA" w:rsidRDefault="007A33C2" w:rsidP="007A33C2">
      <w:pPr>
        <w:ind w:left="720"/>
        <w:rPr>
          <w:rFonts w:ascii="Myriad Pro" w:hAnsi="Myriad Pro"/>
        </w:rPr>
      </w:pPr>
      <w:r w:rsidRPr="00CE6EAA">
        <w:rPr>
          <w:rFonts w:ascii="Myriad Pro" w:hAnsi="Myriad Pro"/>
        </w:rPr>
        <w:t xml:space="preserve">Figures </w:t>
      </w:r>
      <w:r>
        <w:rPr>
          <w:rFonts w:ascii="Myriad Pro" w:hAnsi="Myriad Pro"/>
        </w:rPr>
        <w:t>SF1</w:t>
      </w:r>
    </w:p>
    <w:p w14:paraId="4D266C82" w14:textId="77777777" w:rsidR="007A33C2" w:rsidRPr="00E40896" w:rsidRDefault="007A33C2" w:rsidP="007A33C2">
      <w:pPr>
        <w:ind w:left="720"/>
        <w:rPr>
          <w:rFonts w:ascii="Myriad Pro" w:hAnsi="Myriad Pro"/>
        </w:rPr>
      </w:pPr>
    </w:p>
    <w:p w14:paraId="561D9543" w14:textId="77777777" w:rsidR="007A33C2" w:rsidRPr="00CE6EAA" w:rsidRDefault="007A33C2" w:rsidP="007A33C2">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47F4039B" w14:textId="77777777" w:rsidR="007A33C2" w:rsidRPr="00E61EC0" w:rsidRDefault="007A33C2" w:rsidP="007A33C2">
      <w:pPr>
        <w:spacing w:before="100" w:beforeAutospacing="1" w:after="100" w:afterAutospacing="1"/>
        <w:rPr>
          <w:rFonts w:ascii="Myriad Pro" w:hAnsi="Myriad Pro"/>
          <w:b/>
        </w:rPr>
      </w:pPr>
      <w:r>
        <w:rPr>
          <w:rFonts w:ascii="Myriad Pro" w:hAnsi="Myriad Pro"/>
        </w:rPr>
        <w:t xml:space="preserve">This supplemental file contains additional information on the Mars 2020 Perseverance rover payload and how they support science observations </w:t>
      </w:r>
      <w:r>
        <w:rPr>
          <w:rFonts w:ascii="Myriad Pro" w:hAnsi="Myriad Pro"/>
          <w:b/>
        </w:rPr>
        <w:t>(Text S1; Figure SF1)</w:t>
      </w:r>
      <w:r>
        <w:rPr>
          <w:rFonts w:ascii="Myriad Pro" w:hAnsi="Myriad Pro"/>
        </w:rPr>
        <w:t xml:space="preserve">, details on the sampling sol path </w:t>
      </w:r>
      <w:r>
        <w:rPr>
          <w:rFonts w:ascii="Myriad Pro" w:hAnsi="Myriad Pro"/>
          <w:b/>
        </w:rPr>
        <w:t>(Text S2)</w:t>
      </w:r>
      <w:r w:rsidR="002613C8">
        <w:rPr>
          <w:rFonts w:ascii="Myriad Pro" w:hAnsi="Myriad Pro"/>
        </w:rPr>
        <w:t xml:space="preserve">, and details on SHERLOC </w:t>
      </w:r>
      <w:r w:rsidR="00E61EC0">
        <w:rPr>
          <w:rFonts w:ascii="Myriad Pro" w:hAnsi="Myriad Pro"/>
        </w:rPr>
        <w:t xml:space="preserve">detections of potential organics in observed targets </w:t>
      </w:r>
      <w:r w:rsidR="00E61EC0">
        <w:rPr>
          <w:rFonts w:ascii="Myriad Pro" w:hAnsi="Myriad Pro"/>
          <w:b/>
        </w:rPr>
        <w:t>(Text S3)</w:t>
      </w:r>
      <w:r w:rsidR="00E61EC0" w:rsidRPr="00E61EC0">
        <w:rPr>
          <w:rFonts w:ascii="Myriad Pro" w:hAnsi="Myriad Pro"/>
        </w:rPr>
        <w:t xml:space="preserve">. </w:t>
      </w:r>
    </w:p>
    <w:p w14:paraId="773B2A18" w14:textId="77777777" w:rsidR="007A33C2" w:rsidRDefault="007A33C2"/>
    <w:p w14:paraId="33CAE44A" w14:textId="77777777" w:rsidR="007A33C2" w:rsidRDefault="007A33C2"/>
    <w:p w14:paraId="09A4B13E" w14:textId="77777777" w:rsidR="007A33C2" w:rsidRDefault="007A33C2"/>
    <w:p w14:paraId="0E306082" w14:textId="77777777" w:rsidR="001637E0" w:rsidRDefault="001637E0"/>
    <w:p w14:paraId="70F30B8D" w14:textId="77777777" w:rsidR="007A33C2" w:rsidRDefault="007A33C2"/>
    <w:p w14:paraId="370F267F" w14:textId="77777777" w:rsidR="007A33C2" w:rsidRDefault="007A33C2"/>
    <w:p w14:paraId="5B449CCB" w14:textId="77777777" w:rsidR="007A33C2" w:rsidRDefault="007A33C2"/>
    <w:p w14:paraId="723FFC99" w14:textId="77777777" w:rsidR="007A33C2" w:rsidRDefault="007A33C2"/>
    <w:p w14:paraId="1BCA6628" w14:textId="77777777" w:rsidR="007A33C2" w:rsidRDefault="007A33C2"/>
    <w:p w14:paraId="3EBDC7A6" w14:textId="77777777" w:rsidR="007A33C2" w:rsidRDefault="007A33C2"/>
    <w:p w14:paraId="11A11136" w14:textId="77777777" w:rsidR="007A33C2" w:rsidRDefault="007A33C2"/>
    <w:p w14:paraId="6B1DF94A" w14:textId="77777777" w:rsidR="007A33C2" w:rsidRDefault="007A33C2"/>
    <w:p w14:paraId="77F18051" w14:textId="77777777" w:rsidR="007A33C2" w:rsidRDefault="007A33C2"/>
    <w:p w14:paraId="06D4AE1F" w14:textId="77777777" w:rsidR="007A33C2" w:rsidRDefault="007A33C2"/>
    <w:p w14:paraId="28289722" w14:textId="77777777" w:rsidR="001637E0" w:rsidRDefault="001637E0"/>
    <w:p w14:paraId="383AABD9" w14:textId="77777777" w:rsidR="007A33C2" w:rsidRPr="005314B5" w:rsidRDefault="007A33C2" w:rsidP="007A33C2">
      <w:pPr>
        <w:pStyle w:val="SMHeading"/>
        <w:rPr>
          <w:rFonts w:ascii="Myriad Pro" w:hAnsi="Myriad Pro"/>
          <w:sz w:val="22"/>
          <w:szCs w:val="22"/>
        </w:rPr>
      </w:pPr>
      <w:bookmarkStart w:id="2" w:name="_i4nw4ixzpf5" w:colFirst="0" w:colLast="0"/>
      <w:bookmarkEnd w:id="2"/>
      <w:r w:rsidRPr="005314B5">
        <w:rPr>
          <w:rFonts w:ascii="Myriad Pro" w:hAnsi="Myriad Pro"/>
          <w:sz w:val="22"/>
          <w:szCs w:val="22"/>
        </w:rPr>
        <w:lastRenderedPageBreak/>
        <w:t>Text</w:t>
      </w:r>
      <w:r>
        <w:rPr>
          <w:rFonts w:ascii="Myriad Pro" w:hAnsi="Myriad Pro"/>
          <w:sz w:val="22"/>
          <w:szCs w:val="22"/>
        </w:rPr>
        <w:t xml:space="preserve"> S1. Rover Payload Details</w:t>
      </w:r>
    </w:p>
    <w:p w14:paraId="3DDF7C06" w14:textId="77777777" w:rsidR="001637E0" w:rsidRDefault="001E31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To accomplish its objectives, the Perseverance rover is equipped with seven science instruments, as well as engineering instruments, designed to make scientific observations at various spatial scales (</w:t>
      </w:r>
      <w:r>
        <w:rPr>
          <w:rFonts w:ascii="Times New Roman" w:eastAsia="Times New Roman" w:hAnsi="Times New Roman" w:cs="Times New Roman"/>
          <w:b/>
        </w:rPr>
        <w:t>Table 1</w:t>
      </w:r>
      <w:r>
        <w:rPr>
          <w:rFonts w:ascii="Times New Roman" w:eastAsia="Times New Roman" w:hAnsi="Times New Roman" w:cs="Times New Roman"/>
        </w:rPr>
        <w:t xml:space="preserve">; Farley et al., 2020 Fig. 1). </w:t>
      </w:r>
    </w:p>
    <w:p w14:paraId="41A5C400" w14:textId="77777777" w:rsidR="001637E0" w:rsidRDefault="001E31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Remote Sensing (RS)</w:t>
      </w:r>
      <w:r>
        <w:rPr>
          <w:rFonts w:ascii="Times New Roman" w:eastAsia="Times New Roman" w:hAnsi="Times New Roman" w:cs="Times New Roman"/>
        </w:rPr>
        <w:t xml:space="preserve"> instruments, most of which are on the Remote Sensing Mast (RSM) are intended to be used on an almost daily basis for operations and science observations. These instruments can be pointed towards targets of interest by pointing the RSM. The remote sensing instruments are also routinely used to support atmospheric observations of atmospheric opacity and to search for clouds and dust devils (Newman et al. 2020).</w:t>
      </w:r>
    </w:p>
    <w:p w14:paraId="0F5D1B54" w14:textId="77777777" w:rsidR="001637E0" w:rsidRDefault="001E3187">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Engineering cameras: </w:t>
      </w:r>
      <w:r>
        <w:rPr>
          <w:rFonts w:ascii="Times New Roman" w:eastAsia="Times New Roman" w:hAnsi="Times New Roman" w:cs="Times New Roman"/>
        </w:rPr>
        <w:t xml:space="preserve">Engineering cameras provide spatially extensive views of the rover surroundings and are used to guide rover navigation, Robotic Arm operation, and the identification and selection of science targets for observation with the science instruments. There are 16 Engineering cameras (Maki et al., 2020), but those </w:t>
      </w:r>
      <w:proofErr w:type="gramStart"/>
      <w:r>
        <w:rPr>
          <w:rFonts w:ascii="Times New Roman" w:eastAsia="Times New Roman" w:hAnsi="Times New Roman" w:cs="Times New Roman"/>
        </w:rPr>
        <w:t>most commonly used</w:t>
      </w:r>
      <w:proofErr w:type="gramEnd"/>
      <w:r>
        <w:rPr>
          <w:rFonts w:ascii="Times New Roman" w:eastAsia="Times New Roman" w:hAnsi="Times New Roman" w:cs="Times New Roman"/>
        </w:rPr>
        <w:t xml:space="preserve"> to support science activities are: the Navigation cameras (</w:t>
      </w:r>
      <w:proofErr w:type="spellStart"/>
      <w:r>
        <w:rPr>
          <w:rFonts w:ascii="Times New Roman" w:eastAsia="Times New Roman" w:hAnsi="Times New Roman" w:cs="Times New Roman"/>
        </w:rPr>
        <w:t>Navcams</w:t>
      </w:r>
      <w:proofErr w:type="spellEnd"/>
      <w:r>
        <w:rPr>
          <w:rFonts w:ascii="Times New Roman" w:eastAsia="Times New Roman" w:hAnsi="Times New Roman" w:cs="Times New Roman"/>
        </w:rPr>
        <w:t xml:space="preserve">) on the Remote Sensing Mast, the Hazard Avoidance Cameras (Hazcams) located at the front and rear of the rover body, and the </w:t>
      </w:r>
      <w:proofErr w:type="spellStart"/>
      <w:r>
        <w:rPr>
          <w:rFonts w:ascii="Times New Roman" w:eastAsia="Times New Roman" w:hAnsi="Times New Roman" w:cs="Times New Roman"/>
        </w:rPr>
        <w:t>Cachecam</w:t>
      </w:r>
      <w:proofErr w:type="spellEnd"/>
      <w:r>
        <w:rPr>
          <w:rFonts w:ascii="Times New Roman" w:eastAsia="Times New Roman" w:hAnsi="Times New Roman" w:cs="Times New Roman"/>
        </w:rPr>
        <w:t xml:space="preserve"> located inside the rover body to image and document acquired samples. </w:t>
      </w:r>
    </w:p>
    <w:p w14:paraId="01EE2B81" w14:textId="77777777" w:rsidR="001637E0" w:rsidRDefault="001E3187">
      <w:pPr>
        <w:numPr>
          <w:ilvl w:val="0"/>
          <w:numId w:val="4"/>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Mastcam</w:t>
      </w:r>
      <w:proofErr w:type="spellEnd"/>
      <w:r>
        <w:rPr>
          <w:rFonts w:ascii="Times New Roman" w:eastAsia="Times New Roman" w:hAnsi="Times New Roman" w:cs="Times New Roman"/>
          <w:b/>
        </w:rPr>
        <w:t xml:space="preserve">-Z: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-Z cameras are used for higher resolution imaging of selected targets at relatively broad spatial scales, employing varying zoom levels that can resolve ~0.7 mm features at 2 meters distance and ~3.3 cm features at 100 meters distance (Bell et al., 2021). Stereo images from both the left and right cameras also allow for three-dimensional models to be generated (</w:t>
      </w:r>
      <w:proofErr w:type="spellStart"/>
      <w:r w:rsidR="002B3FCD">
        <w:rPr>
          <w:rFonts w:ascii="Times New Roman" w:eastAsia="Times New Roman" w:hAnsi="Times New Roman" w:cs="Times New Roman"/>
        </w:rPr>
        <w:t>Paar</w:t>
      </w:r>
      <w:proofErr w:type="spellEnd"/>
      <w:r w:rsidR="002B3FCD">
        <w:rPr>
          <w:rFonts w:ascii="Times New Roman" w:eastAsia="Times New Roman" w:hAnsi="Times New Roman" w:cs="Times New Roman"/>
        </w:rPr>
        <w:t xml:space="preserve"> et al., 2023</w:t>
      </w:r>
      <w:r>
        <w:rPr>
          <w:rFonts w:ascii="Times New Roman" w:eastAsia="Times New Roman" w:hAnsi="Times New Roman" w:cs="Times New Roman"/>
        </w:rPr>
        <w:t xml:space="preserve">).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 xml:space="preserve">-Z can also operate in a multispectral mode (Hayes et al. 2021) which can give scientists insight into compositional variations in the landscape at a broad scale. </w:t>
      </w:r>
    </w:p>
    <w:p w14:paraId="29079A01" w14:textId="77777777" w:rsidR="001637E0" w:rsidRDefault="001E3187">
      <w:pPr>
        <w:numPr>
          <w:ilvl w:val="0"/>
          <w:numId w:val="4"/>
        </w:num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Supercam</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instrument operates in multiple modes that enable the study of texture, chemistry, and mineralogy of selected targets (Maurice et al., 2021, Wiens et al., 2021). Elemental composition is derived from Laser-Induced Breakdown spectroscopy (LIBS) observations, and mineralogy from Raman, Time-Resolved Luminescence spectroscopy (TRLS), and Visible and Near-Infrared Reflectance spectroscopy (VIS, IR). The Remote Micro-Imager (RMI) also provides the highest-resolution imaging available from the RSM and can resolve ~0.1 mm features at 2 meters distance and ~5 mm features at 100 meters distance, albeit in a smaller spatial footprint than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 xml:space="preserve">-Z images. A Microphone (Mic) also can provide acoustic data as LIBS shots impact selected targets. LIBS, Raman, TRLS, and Mic observations are typically acquired within the rover workspace at distances ranging from 2 to 6.5 meters from the RSM to preserve quality of data, whereas VISIR and RMI observations can be acquired at longer distances. </w:t>
      </w:r>
    </w:p>
    <w:p w14:paraId="23ABDD4D" w14:textId="77777777" w:rsidR="001637E0" w:rsidRDefault="001637E0">
      <w:pPr>
        <w:spacing w:line="240" w:lineRule="auto"/>
        <w:jc w:val="both"/>
        <w:rPr>
          <w:rFonts w:ascii="Times New Roman" w:eastAsia="Times New Roman" w:hAnsi="Times New Roman" w:cs="Times New Roman"/>
        </w:rPr>
      </w:pPr>
    </w:p>
    <w:p w14:paraId="1355A1A7" w14:textId="77777777" w:rsidR="001637E0" w:rsidRDefault="001E31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Proximity Science (PS)</w:t>
      </w:r>
      <w:r>
        <w:rPr>
          <w:rFonts w:ascii="Times New Roman" w:eastAsia="Times New Roman" w:hAnsi="Times New Roman" w:cs="Times New Roman"/>
        </w:rPr>
        <w:t xml:space="preserve"> instruments are mounted on the turret at the end of the Robotic Arm (RA) and can therefore be placed as close as a few cm from a natural or abraded rock surface for the highest-resolution observations possible from the rover payload. However, these instruments are also more power-intensive to operate, and are thus typically used to follow up on interesting results from remote sensing observations or to document characteristics of a rock that will be sampled. </w:t>
      </w:r>
    </w:p>
    <w:p w14:paraId="57272C81" w14:textId="77777777" w:rsidR="001637E0" w:rsidRDefault="001E318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SHERLOC: </w:t>
      </w:r>
      <w:r>
        <w:rPr>
          <w:rFonts w:ascii="Times New Roman" w:eastAsia="Times New Roman" w:hAnsi="Times New Roman" w:cs="Times New Roman"/>
        </w:rPr>
        <w:t xml:space="preserve">The Scanning Habitable Environments with Raman &amp; Luminescence for Organics &amp; Chemicals (SHERLOC; </w:t>
      </w:r>
      <w:proofErr w:type="spellStart"/>
      <w:r>
        <w:rPr>
          <w:rFonts w:ascii="Times New Roman" w:eastAsia="Times New Roman" w:hAnsi="Times New Roman" w:cs="Times New Roman"/>
        </w:rPr>
        <w:t>Bhartia</w:t>
      </w:r>
      <w:proofErr w:type="spellEnd"/>
      <w:r>
        <w:rPr>
          <w:rFonts w:ascii="Times New Roman" w:eastAsia="Times New Roman" w:hAnsi="Times New Roman" w:cs="Times New Roman"/>
        </w:rPr>
        <w:t xml:space="preserve"> et al., 2021) instrument uses fluorescence and Raman spectroscopy to map organics and mineralogy on targets imaged by the Autofocus Context Imager (ACI; &lt; 100 microns per mapping pixel)). SHERLOC resolves the spatial distribution and correlation between organics and minerals with visible grains or crystals, which is key for assessing possible biosignatures. SHERLOC is also accompanied by the </w:t>
      </w:r>
      <w:proofErr w:type="gramStart"/>
      <w:r>
        <w:rPr>
          <w:rFonts w:ascii="Times New Roman" w:eastAsia="Times New Roman" w:hAnsi="Times New Roman" w:cs="Times New Roman"/>
        </w:rPr>
        <w:t>Wide Angle</w:t>
      </w:r>
      <w:proofErr w:type="gramEnd"/>
      <w:r>
        <w:rPr>
          <w:rFonts w:ascii="Times New Roman" w:eastAsia="Times New Roman" w:hAnsi="Times New Roman" w:cs="Times New Roman"/>
        </w:rPr>
        <w:t xml:space="preserve"> Topographic Sensor for Operations and </w:t>
      </w:r>
      <w:proofErr w:type="spellStart"/>
      <w:r>
        <w:rPr>
          <w:rFonts w:ascii="Times New Roman" w:eastAsia="Times New Roman" w:hAnsi="Times New Roman" w:cs="Times New Roman"/>
        </w:rPr>
        <w:t>eNgineering</w:t>
      </w:r>
      <w:proofErr w:type="spellEnd"/>
      <w:r>
        <w:rPr>
          <w:rFonts w:ascii="Times New Roman" w:eastAsia="Times New Roman" w:hAnsi="Times New Roman" w:cs="Times New Roman"/>
        </w:rPr>
        <w:t xml:space="preserve"> (WATSON) which, when placed close to target surfaces, provides the highest resolution imaging possible from Perseverance’s payload, at 13 microns per pixel.</w:t>
      </w:r>
    </w:p>
    <w:p w14:paraId="14E32A7B" w14:textId="77777777" w:rsidR="001637E0" w:rsidRDefault="001E3187">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PIXL: </w:t>
      </w:r>
      <w:r>
        <w:rPr>
          <w:rFonts w:ascii="Times New Roman" w:eastAsia="Times New Roman" w:hAnsi="Times New Roman" w:cs="Times New Roman"/>
        </w:rPr>
        <w:t xml:space="preserve">The Planetary Instrument for X-Ray </w:t>
      </w:r>
      <w:proofErr w:type="spellStart"/>
      <w:r>
        <w:rPr>
          <w:rFonts w:ascii="Times New Roman" w:eastAsia="Times New Roman" w:hAnsi="Times New Roman" w:cs="Times New Roman"/>
        </w:rPr>
        <w:t>Lithochemistry</w:t>
      </w:r>
      <w:proofErr w:type="spellEnd"/>
      <w:r>
        <w:rPr>
          <w:rFonts w:ascii="Times New Roman" w:eastAsia="Times New Roman" w:hAnsi="Times New Roman" w:cs="Times New Roman"/>
        </w:rPr>
        <w:t xml:space="preserve"> (PIXL; Allwood et al., 2020) is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X-ray fluorescence spectrometer that maps detailed elemental chemistry of targets at 70 microns per pixel. Major and minor rock-forming elements and trace elements are detected and correlated to </w:t>
      </w:r>
      <w:r>
        <w:rPr>
          <w:rFonts w:ascii="Times New Roman" w:eastAsia="Times New Roman" w:hAnsi="Times New Roman" w:cs="Times New Roman"/>
        </w:rPr>
        <w:lastRenderedPageBreak/>
        <w:t xml:space="preserve">grains or crystals that can be identified in PIXL’s camera. This allows the science team to determine the composition of individual grains or the elemental maps may be summed to yield the bulk rock composition. Such analyses are critical to determining the lithology of rocks that Perseverance encounters. </w:t>
      </w:r>
    </w:p>
    <w:p w14:paraId="69E16D73" w14:textId="77777777" w:rsidR="001637E0" w:rsidRDefault="001637E0">
      <w:pPr>
        <w:spacing w:line="240" w:lineRule="auto"/>
        <w:jc w:val="both"/>
        <w:rPr>
          <w:rFonts w:ascii="Times New Roman" w:eastAsia="Times New Roman" w:hAnsi="Times New Roman" w:cs="Times New Roman"/>
        </w:rPr>
      </w:pPr>
    </w:p>
    <w:p w14:paraId="0830BA89" w14:textId="77777777" w:rsidR="001637E0" w:rsidRDefault="001E31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Other science instruments are distributed in other parts of, or throughout, the rover body:</w:t>
      </w:r>
    </w:p>
    <w:p w14:paraId="5070C082" w14:textId="77777777" w:rsidR="001637E0" w:rsidRDefault="001E3187">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RIMFAX: </w:t>
      </w:r>
      <w:r>
        <w:rPr>
          <w:rFonts w:ascii="Times New Roman" w:eastAsia="Times New Roman" w:hAnsi="Times New Roman" w:cs="Times New Roman"/>
        </w:rPr>
        <w:t xml:space="preserve">The Radar Imager for Mars’ Subsurface Experiment (RIMFAX; </w:t>
      </w:r>
      <w:proofErr w:type="spellStart"/>
      <w:r>
        <w:rPr>
          <w:rFonts w:ascii="Times New Roman" w:eastAsia="Times New Roman" w:hAnsi="Times New Roman" w:cs="Times New Roman"/>
        </w:rPr>
        <w:t>Hamran</w:t>
      </w:r>
      <w:proofErr w:type="spellEnd"/>
      <w:r>
        <w:rPr>
          <w:rFonts w:ascii="Times New Roman" w:eastAsia="Times New Roman" w:hAnsi="Times New Roman" w:cs="Times New Roman"/>
        </w:rPr>
        <w:t xml:space="preserve"> et al., 2020) is located at the rear of the rover and is a ground penetrating radar (GPR) that yields information about the structure and stratigraphy of the subsurface beneath the rover wheels. Observations from RIMFAX may potentially be extrapolated and related to surface stratigraphy, depending on the depth resolution which relies on the composition and dielectric properties of the subsurface materials.</w:t>
      </w:r>
    </w:p>
    <w:p w14:paraId="1096118C" w14:textId="77777777" w:rsidR="001637E0" w:rsidRDefault="001E3187">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MEDA: </w:t>
      </w:r>
      <w:r>
        <w:rPr>
          <w:rFonts w:ascii="Times New Roman" w:eastAsia="Times New Roman" w:hAnsi="Times New Roman" w:cs="Times New Roman"/>
        </w:rPr>
        <w:t xml:space="preserve">The Mars Environmental Dynamics Analyzer (MEDA; Rodriguez-Manfredi et al., 2021) measures air pressure, surface and air temperature, wind speed and direction, and relative humidity via a suite of elements that are distributed around the rover body. MEDA and its upward-looking </w:t>
      </w:r>
      <w:proofErr w:type="spellStart"/>
      <w:r>
        <w:rPr>
          <w:rFonts w:ascii="Times New Roman" w:eastAsia="Times New Roman" w:hAnsi="Times New Roman" w:cs="Times New Roman"/>
        </w:rPr>
        <w:t>Skycam</w:t>
      </w:r>
      <w:proofErr w:type="spellEnd"/>
      <w:r>
        <w:rPr>
          <w:rFonts w:ascii="Times New Roman" w:eastAsia="Times New Roman" w:hAnsi="Times New Roman" w:cs="Times New Roman"/>
        </w:rPr>
        <w:t xml:space="preserve"> is operated almost daily to monitor atmospheric conditions and activity. </w:t>
      </w:r>
    </w:p>
    <w:p w14:paraId="682BE4EC" w14:textId="77777777" w:rsidR="001637E0" w:rsidRDefault="001E3187">
      <w:pPr>
        <w:numPr>
          <w:ilvl w:val="0"/>
          <w:numId w:val="3"/>
        </w:num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MOXIE: </w:t>
      </w:r>
      <w:r>
        <w:rPr>
          <w:rFonts w:ascii="Times New Roman" w:eastAsia="Times New Roman" w:hAnsi="Times New Roman" w:cs="Times New Roman"/>
        </w:rPr>
        <w:t>The Mars Oxygen ISRU (In-Situ Resource Utilization) Experiment (MOXIE; Hecht et al., 2021) is located within the rover body and is a technology demonstration intended to prepare for future human exploration. MOXIE generates oxygen (O2) from dissociation of atmospheric CO2, with future applications towards producing O2 for ascent vehicle propellant on a future human mission.</w:t>
      </w:r>
    </w:p>
    <w:p w14:paraId="76FA335B" w14:textId="77777777" w:rsidR="001637E0" w:rsidRDefault="001637E0">
      <w:pPr>
        <w:spacing w:line="240" w:lineRule="auto"/>
        <w:jc w:val="both"/>
        <w:rPr>
          <w:rFonts w:ascii="Times New Roman" w:eastAsia="Times New Roman" w:hAnsi="Times New Roman" w:cs="Times New Roman"/>
        </w:rPr>
      </w:pPr>
    </w:p>
    <w:p w14:paraId="77913366" w14:textId="77777777" w:rsidR="001637E0" w:rsidRDefault="001E31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Though not scientific instruments, the following subsystems are used to support scientific investigations and operations: </w:t>
      </w:r>
    </w:p>
    <w:p w14:paraId="186DCE50" w14:textId="77777777" w:rsidR="001637E0" w:rsidRDefault="001E3187">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SCS: </w:t>
      </w: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Sampling and Caching Subsystem (SCS; Moeller et al., 2020) provides the mechanisms used to abrade rock surfaces and collect rock core and regolith samples and is composed of several elements distributed throughout the rover. The turret at the end of the Robotic Arm holds the Corer, a drill used to abrade and core and the Gas Dust Removal Tool (</w:t>
      </w:r>
      <w:proofErr w:type="spellStart"/>
      <w:r>
        <w:rPr>
          <w:rFonts w:ascii="Times New Roman" w:eastAsia="Times New Roman" w:hAnsi="Times New Roman" w:cs="Times New Roman"/>
        </w:rPr>
        <w:t>gDRT</w:t>
      </w:r>
      <w:proofErr w:type="spellEnd"/>
      <w:r>
        <w:rPr>
          <w:rFonts w:ascii="Times New Roman" w:eastAsia="Times New Roman" w:hAnsi="Times New Roman" w:cs="Times New Roman"/>
        </w:rPr>
        <w:t xml:space="preserve">), in addition to PIXL and SHERLOC. Inside the rover body is the Adaptive Caching Assembly (ACA) which houses the 42 sample tubes (with the 43th tube in the bit carousel). The ACA is aided by a Sample Handling Arm (SHA) and a Bit Carousel (BC) that maneuvers bits (e.g., abrading, coring) and sample tubes between the ACA and the Corer. During abrasion, an abrasion bit is exchanged onto the Corer and then placed in contact with the rock surface to produce an abrasion patch that is between 2 to 16 mm deep and 45 mm in diameter, with 40 mm diameter of dust-cleared surface after the </w:t>
      </w:r>
      <w:proofErr w:type="spellStart"/>
      <w:r>
        <w:rPr>
          <w:rFonts w:ascii="Times New Roman" w:eastAsia="Times New Roman" w:hAnsi="Times New Roman" w:cs="Times New Roman"/>
        </w:rPr>
        <w:t>gDRT</w:t>
      </w:r>
      <w:proofErr w:type="spellEnd"/>
      <w:r>
        <w:rPr>
          <w:rFonts w:ascii="Times New Roman" w:eastAsia="Times New Roman" w:hAnsi="Times New Roman" w:cs="Times New Roman"/>
        </w:rPr>
        <w:t xml:space="preserve"> puffs. During coring, the SHA extracts a sample tube and inserts it into a coring drill bit, which is picked up from the Bit Carousel by the turret. The turret is placed onto the rock surface and rotary-percussive motion drills into the rock to produce core samples up to 76 mm long. The full sample tube is then exchanged back into the Bit Carousel within the ACA, where the sample is imaged with </w:t>
      </w:r>
      <w:proofErr w:type="spellStart"/>
      <w:r>
        <w:rPr>
          <w:rFonts w:ascii="Times New Roman" w:eastAsia="Times New Roman" w:hAnsi="Times New Roman" w:cs="Times New Roman"/>
        </w:rPr>
        <w:t>Cachecam</w:t>
      </w:r>
      <w:proofErr w:type="spellEnd"/>
      <w:r>
        <w:rPr>
          <w:rFonts w:ascii="Times New Roman" w:eastAsia="Times New Roman" w:hAnsi="Times New Roman" w:cs="Times New Roman"/>
        </w:rPr>
        <w:t xml:space="preserve">, measured with a volume probe, and sealed with a hermetic seal. </w:t>
      </w:r>
    </w:p>
    <w:p w14:paraId="47908916" w14:textId="77777777" w:rsidR="001637E0" w:rsidRDefault="001E3187">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Ingenuity Helicopter: </w:t>
      </w:r>
      <w:r>
        <w:rPr>
          <w:rFonts w:ascii="Times New Roman" w:eastAsia="Times New Roman" w:hAnsi="Times New Roman" w:cs="Times New Roman"/>
        </w:rPr>
        <w:t>The Ingenuity Helicopter (</w:t>
      </w:r>
      <w:proofErr w:type="spellStart"/>
      <w:r>
        <w:rPr>
          <w:rFonts w:ascii="Times New Roman" w:eastAsia="Times New Roman" w:hAnsi="Times New Roman" w:cs="Times New Roman"/>
        </w:rPr>
        <w:t>Balaram</w:t>
      </w:r>
      <w:proofErr w:type="spellEnd"/>
      <w:r>
        <w:rPr>
          <w:rFonts w:ascii="Times New Roman" w:eastAsia="Times New Roman" w:hAnsi="Times New Roman" w:cs="Times New Roman"/>
        </w:rPr>
        <w:t xml:space="preserve"> et al., 2021) was deployed for a 30-sol technology demonstration after rover landing and commissioning. Ingenuity is intended to demonstrate the first powered, controlled flight on another planet and will inform future helicopter missions to Mars and other planets. Prior to its deployment, Ingenuity was housed in the belly of the rover. After its deployment, Ingenuity communicated with Perseverance to execute a series of flights during the 30-sol demonstration period. After the period of technology demonstration, Ingenuity was used to fly ahead of the rover and scout, providing Rover Planners with insights on terrain quality to evaluate ease or difficulty in driving and providing the science team with initial images of upcoming outcrops to help determine the most scientifically compelling outcrops to drive to. Ingenuity’s helicopters consist of a black-and-white navigation camera facing down to the </w:t>
      </w:r>
      <w:proofErr w:type="spellStart"/>
      <w:r>
        <w:rPr>
          <w:rFonts w:ascii="Times New Roman" w:eastAsia="Times New Roman" w:hAnsi="Times New Roman" w:cs="Times New Roman"/>
        </w:rPr>
        <w:t>martian</w:t>
      </w:r>
      <w:proofErr w:type="spellEnd"/>
      <w:r>
        <w:rPr>
          <w:rFonts w:ascii="Times New Roman" w:eastAsia="Times New Roman" w:hAnsi="Times New Roman" w:cs="Times New Roman"/>
        </w:rPr>
        <w:t xml:space="preserve"> surface, and a color forward-facing camera, both of which are commercially sourced. </w:t>
      </w:r>
    </w:p>
    <w:p w14:paraId="0EE7E969" w14:textId="77777777" w:rsidR="001637E0" w:rsidRDefault="001637E0">
      <w:pPr>
        <w:spacing w:line="240" w:lineRule="auto"/>
        <w:jc w:val="both"/>
        <w:rPr>
          <w:rFonts w:ascii="Times New Roman" w:eastAsia="Times New Roman" w:hAnsi="Times New Roman" w:cs="Times New Roman"/>
        </w:rPr>
      </w:pPr>
    </w:p>
    <w:p w14:paraId="71F22181" w14:textId="77777777" w:rsidR="007A33C2" w:rsidRPr="007A33C2" w:rsidRDefault="007A33C2" w:rsidP="007A33C2">
      <w:pPr>
        <w:spacing w:before="240" w:after="240" w:line="240" w:lineRule="auto"/>
        <w:jc w:val="both"/>
        <w:rPr>
          <w:rFonts w:ascii="Times New Roman" w:eastAsia="Times New Roman" w:hAnsi="Times New Roman" w:cs="Times New Roman"/>
          <w:b/>
        </w:rPr>
      </w:pPr>
      <w:bookmarkStart w:id="3" w:name="_jqa7z3op5bln" w:colFirst="0" w:colLast="0"/>
      <w:bookmarkEnd w:id="3"/>
      <w:r w:rsidRPr="007A33C2">
        <w:rPr>
          <w:rFonts w:ascii="Times New Roman" w:eastAsia="Times New Roman" w:hAnsi="Times New Roman" w:cs="Times New Roman"/>
          <w:b/>
        </w:rPr>
        <w:lastRenderedPageBreak/>
        <w:t>S1.1 Payload for Atmospheric Observations</w:t>
      </w:r>
    </w:p>
    <w:p w14:paraId="70FC5330" w14:textId="11E8CB1B" w:rsidR="001637E0" w:rsidRDefault="001E3187">
      <w:pPr>
        <w:spacing w:before="240" w:after="24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As described in Rodriguez</w:t>
      </w:r>
      <w:r w:rsidR="00336CA4">
        <w:rPr>
          <w:rFonts w:ascii="Times New Roman" w:eastAsia="Times New Roman" w:hAnsi="Times New Roman" w:cs="Times New Roman"/>
        </w:rPr>
        <w:t>-</w:t>
      </w:r>
      <w:r>
        <w:rPr>
          <w:rFonts w:ascii="Times New Roman" w:eastAsia="Times New Roman" w:hAnsi="Times New Roman" w:cs="Times New Roman"/>
        </w:rPr>
        <w:t xml:space="preserve">Manfredi et al. (2021), MEDA measures pressure, surface temperature, air temperature at three heights (0.84, 1.45, and ~40 m), wind speed and direction, and relative humidity, as well as downward and upward longwave and shortwave radiative fluxes. These measurements are typically made at 1 Hz frequency for at least 13 Mars hours per sol, and capture both the radiative forcing of the atmosphere and the complete surface energy budget (including radiative fluxes and surface sensible heat flux) for the first time at the </w:t>
      </w:r>
      <w:proofErr w:type="spellStart"/>
      <w:r>
        <w:rPr>
          <w:rFonts w:ascii="Times New Roman" w:eastAsia="Times New Roman" w:hAnsi="Times New Roman" w:cs="Times New Roman"/>
        </w:rPr>
        <w:t>martian</w:t>
      </w:r>
      <w:proofErr w:type="spellEnd"/>
      <w:r>
        <w:rPr>
          <w:rFonts w:ascii="Times New Roman" w:eastAsia="Times New Roman" w:hAnsi="Times New Roman" w:cs="Times New Roman"/>
        </w:rPr>
        <w:t xml:space="preserve"> surface, as described in Rodriguez</w:t>
      </w:r>
      <w:r w:rsidR="00336CA4">
        <w:rPr>
          <w:rFonts w:ascii="Times New Roman" w:eastAsia="Times New Roman" w:hAnsi="Times New Roman" w:cs="Times New Roman"/>
        </w:rPr>
        <w:t>-</w:t>
      </w:r>
      <w:r>
        <w:rPr>
          <w:rFonts w:ascii="Times New Roman" w:eastAsia="Times New Roman" w:hAnsi="Times New Roman" w:cs="Times New Roman"/>
        </w:rPr>
        <w:t>Manfredi et al. (202</w:t>
      </w:r>
      <w:r w:rsidR="00336CA4">
        <w:rPr>
          <w:rFonts w:ascii="Times New Roman" w:eastAsia="Times New Roman" w:hAnsi="Times New Roman" w:cs="Times New Roman"/>
        </w:rPr>
        <w:t>3</w:t>
      </w:r>
      <w:r>
        <w:rPr>
          <w:rFonts w:ascii="Times New Roman" w:eastAsia="Times New Roman" w:hAnsi="Times New Roman" w:cs="Times New Roman"/>
        </w:rPr>
        <w:t>) (henceforth RM2</w:t>
      </w:r>
      <w:r w:rsidR="00336CA4">
        <w:rPr>
          <w:rFonts w:ascii="Times New Roman" w:eastAsia="Times New Roman" w:hAnsi="Times New Roman" w:cs="Times New Roman"/>
        </w:rPr>
        <w:t>3</w:t>
      </w:r>
      <w:r>
        <w:rPr>
          <w:rFonts w:ascii="Times New Roman" w:eastAsia="Times New Roman" w:hAnsi="Times New Roman" w:cs="Times New Roman"/>
        </w:rPr>
        <w:t xml:space="preserve">) and in </w:t>
      </w:r>
      <w:proofErr w:type="spellStart"/>
      <w:r>
        <w:rPr>
          <w:rFonts w:ascii="Times New Roman" w:eastAsia="Times New Roman" w:hAnsi="Times New Roman" w:cs="Times New Roman"/>
        </w:rPr>
        <w:t>Savijärvi</w:t>
      </w:r>
      <w:proofErr w:type="spellEnd"/>
      <w:r>
        <w:rPr>
          <w:rFonts w:ascii="Times New Roman" w:eastAsia="Times New Roman" w:hAnsi="Times New Roman" w:cs="Times New Roman"/>
        </w:rPr>
        <w:t xml:space="preserve"> et al. and Martínez et al. (this special issue). MEDA measurements of the surface energy budget allow the direct calculation of thermal inertia and albedo at spatial scales of a few meters, providing ground truth for orbital retrievals (Martinez et al., this special issue). In addition, direct and diffuse shortwave fluxes from the atmosphere are measured by MEDA’s novel Radiation and Dust Sensor (RDS), enabling the tracking of dust clouds, water ice clouds, and dusty convective vortices (‘dust devils’) past the rover, as described in Newman et al. (2022) (henceforth N22) and in </w:t>
      </w:r>
      <w:proofErr w:type="spellStart"/>
      <w:r>
        <w:rPr>
          <w:rFonts w:ascii="Times New Roman" w:eastAsia="Times New Roman" w:hAnsi="Times New Roman" w:cs="Times New Roman"/>
        </w:rPr>
        <w:t>Apestigue</w:t>
      </w:r>
      <w:proofErr w:type="spellEnd"/>
      <w:r>
        <w:rPr>
          <w:rFonts w:ascii="Times New Roman" w:eastAsia="Times New Roman" w:hAnsi="Times New Roman" w:cs="Times New Roman"/>
        </w:rPr>
        <w:t xml:space="preserve"> et al., Toledo et al., and </w:t>
      </w:r>
      <w:proofErr w:type="spellStart"/>
      <w:r>
        <w:rPr>
          <w:rFonts w:ascii="Times New Roman" w:eastAsia="Times New Roman" w:hAnsi="Times New Roman" w:cs="Times New Roman"/>
        </w:rPr>
        <w:t>Hueso</w:t>
      </w:r>
      <w:proofErr w:type="spellEnd"/>
      <w:r>
        <w:rPr>
          <w:rFonts w:ascii="Times New Roman" w:eastAsia="Times New Roman" w:hAnsi="Times New Roman" w:cs="Times New Roman"/>
        </w:rPr>
        <w:t xml:space="preserve"> et al. (this special issue). The measurement of both the incident and reflected shortwave surface flux has also been used to measure changes in surface albedo and to pinpoint the timing of local dust lifting by passing dust devils. The combination of this knowledge with other MEDA timeseries - most notably wind speed and pressure - has provided quantitative information on the atmospheric conditions required to raise dust from the surface, as described in N22 and Vicente-</w:t>
      </w:r>
      <w:proofErr w:type="spellStart"/>
      <w:r>
        <w:rPr>
          <w:rFonts w:ascii="Times New Roman" w:eastAsia="Times New Roman" w:hAnsi="Times New Roman" w:cs="Times New Roman"/>
        </w:rPr>
        <w:t>Retortillo</w:t>
      </w:r>
      <w:proofErr w:type="spellEnd"/>
      <w:r>
        <w:rPr>
          <w:rFonts w:ascii="Times New Roman" w:eastAsia="Times New Roman" w:hAnsi="Times New Roman" w:cs="Times New Roman"/>
        </w:rPr>
        <w:t xml:space="preserve"> et al. (this special issue). MEDA pressure data, in combination with other timeseries, have further been used to assess the spatiotemporal variation of convective vortex activity and to infer the physical characteristics of vortices and convection cells (N22; </w:t>
      </w:r>
      <w:proofErr w:type="spellStart"/>
      <w:r>
        <w:rPr>
          <w:rFonts w:ascii="Times New Roman" w:eastAsia="Times New Roman" w:hAnsi="Times New Roman" w:cs="Times New Roman"/>
        </w:rPr>
        <w:t>Hueso</w:t>
      </w:r>
      <w:proofErr w:type="spellEnd"/>
      <w:r>
        <w:rPr>
          <w:rFonts w:ascii="Times New Roman" w:eastAsia="Times New Roman" w:hAnsi="Times New Roman" w:cs="Times New Roman"/>
        </w:rPr>
        <w:t xml:space="preserve"> et al., Richardson et al., this issue). Investigations of wave activity in primarily pressure data reveal seasonal changes in thermal tides, baroclinic waves, and gravity waves, and the turbulent power spectrum (RM2</w:t>
      </w:r>
      <w:r w:rsidR="00336CA4">
        <w:rPr>
          <w:rFonts w:ascii="Times New Roman" w:eastAsia="Times New Roman" w:hAnsi="Times New Roman" w:cs="Times New Roman"/>
        </w:rPr>
        <w:t>3</w:t>
      </w:r>
      <w:r>
        <w:rPr>
          <w:rFonts w:ascii="Times New Roman" w:eastAsia="Times New Roman" w:hAnsi="Times New Roman" w:cs="Times New Roman"/>
        </w:rPr>
        <w:t>; Sanchez-</w:t>
      </w:r>
      <w:proofErr w:type="spellStart"/>
      <w:r>
        <w:rPr>
          <w:rFonts w:ascii="Times New Roman" w:eastAsia="Times New Roman" w:hAnsi="Times New Roman" w:cs="Times New Roman"/>
        </w:rPr>
        <w:t>Lavega</w:t>
      </w:r>
      <w:proofErr w:type="spellEnd"/>
      <w:r>
        <w:rPr>
          <w:rFonts w:ascii="Times New Roman" w:eastAsia="Times New Roman" w:hAnsi="Times New Roman" w:cs="Times New Roman"/>
        </w:rPr>
        <w:t xml:space="preserve"> et al., </w:t>
      </w:r>
      <w:proofErr w:type="spellStart"/>
      <w:r>
        <w:rPr>
          <w:rFonts w:ascii="Times New Roman" w:eastAsia="Times New Roman" w:hAnsi="Times New Roman" w:cs="Times New Roman"/>
        </w:rPr>
        <w:t>Harri</w:t>
      </w:r>
      <w:proofErr w:type="spellEnd"/>
      <w:r>
        <w:rPr>
          <w:rFonts w:ascii="Times New Roman" w:eastAsia="Times New Roman" w:hAnsi="Times New Roman" w:cs="Times New Roman"/>
        </w:rPr>
        <w:t xml:space="preserve"> et al., this special issue). MEDA wind and temperature data have been used to confirm pre-landing predictions (</w:t>
      </w:r>
      <w:proofErr w:type="spellStart"/>
      <w:r>
        <w:rPr>
          <w:rFonts w:ascii="Times New Roman" w:eastAsia="Times New Roman" w:hAnsi="Times New Roman" w:cs="Times New Roman"/>
        </w:rPr>
        <w:t>Pla</w:t>
      </w:r>
      <w:proofErr w:type="spellEnd"/>
      <w:r>
        <w:rPr>
          <w:rFonts w:ascii="Times New Roman" w:eastAsia="Times New Roman" w:hAnsi="Times New Roman" w:cs="Times New Roman"/>
        </w:rPr>
        <w:t>-Garcia et al., 2019; Newman et al., 202</w:t>
      </w:r>
      <w:r w:rsidR="00541CFD">
        <w:rPr>
          <w:rFonts w:ascii="Times New Roman" w:eastAsia="Times New Roman" w:hAnsi="Times New Roman" w:cs="Times New Roman"/>
        </w:rPr>
        <w:t>1</w:t>
      </w:r>
      <w:r>
        <w:rPr>
          <w:rFonts w:ascii="Times New Roman" w:eastAsia="Times New Roman" w:hAnsi="Times New Roman" w:cs="Times New Roman"/>
        </w:rPr>
        <w:t xml:space="preserve">) of regional and local slope-controlled wind patterns, to study the variability in wind speed linked to daytime convection cells and nighttime turbulence (N22; Navarro et al., </w:t>
      </w:r>
      <w:proofErr w:type="spellStart"/>
      <w:r>
        <w:rPr>
          <w:rFonts w:ascii="Times New Roman" w:eastAsia="Times New Roman" w:hAnsi="Times New Roman" w:cs="Times New Roman"/>
        </w:rPr>
        <w:t>Viudez-Moreiras</w:t>
      </w:r>
      <w:proofErr w:type="spellEnd"/>
      <w:r>
        <w:rPr>
          <w:rFonts w:ascii="Times New Roman" w:eastAsia="Times New Roman" w:hAnsi="Times New Roman" w:cs="Times New Roman"/>
        </w:rPr>
        <w:t xml:space="preserve"> et al., </w:t>
      </w:r>
      <w:proofErr w:type="spellStart"/>
      <w:r>
        <w:rPr>
          <w:rFonts w:ascii="Times New Roman" w:eastAsia="Times New Roman" w:hAnsi="Times New Roman" w:cs="Times New Roman"/>
        </w:rPr>
        <w:t>Pla</w:t>
      </w:r>
      <w:proofErr w:type="spellEnd"/>
      <w:r>
        <w:rPr>
          <w:rFonts w:ascii="Times New Roman" w:eastAsia="Times New Roman" w:hAnsi="Times New Roman" w:cs="Times New Roman"/>
        </w:rPr>
        <w:t>-Garcia et al., this issue), and to explore the vertical structure of the near-surface atmospheric layer with unprecedented temporal coverage (RM2</w:t>
      </w:r>
      <w:r w:rsidR="00336CA4">
        <w:rPr>
          <w:rFonts w:ascii="Times New Roman" w:eastAsia="Times New Roman" w:hAnsi="Times New Roman" w:cs="Times New Roman"/>
        </w:rPr>
        <w:t>3</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Munguira</w:t>
      </w:r>
      <w:proofErr w:type="spellEnd"/>
      <w:r>
        <w:rPr>
          <w:rFonts w:ascii="Times New Roman" w:eastAsia="Times New Roman" w:hAnsi="Times New Roman" w:cs="Times New Roman"/>
        </w:rPr>
        <w:t xml:space="preserve"> et al., this issue). Last, MEDA relative humidity data have been used to identify temporal variations in water vapor abundance, which may be linked to either variations in transport or surface-atmosphere exchange of water vapor (RM2</w:t>
      </w:r>
      <w:r w:rsidR="00336CA4">
        <w:rPr>
          <w:rFonts w:ascii="Times New Roman" w:eastAsia="Times New Roman" w:hAnsi="Times New Roman" w:cs="Times New Roman"/>
        </w:rPr>
        <w:t>3</w:t>
      </w:r>
      <w:r>
        <w:rPr>
          <w:rFonts w:ascii="Times New Roman" w:eastAsia="Times New Roman" w:hAnsi="Times New Roman" w:cs="Times New Roman"/>
        </w:rPr>
        <w:t>; Polkko et al., this issue).</w:t>
      </w:r>
    </w:p>
    <w:p w14:paraId="1B10460F" w14:textId="77777777" w:rsidR="001637E0" w:rsidRDefault="001E3187">
      <w:pPr>
        <w:spacing w:before="240" w:after="24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 xml:space="preserve">-Z, Navcam, and MEDA </w:t>
      </w:r>
      <w:proofErr w:type="spellStart"/>
      <w:r>
        <w:rPr>
          <w:rFonts w:ascii="Times New Roman" w:eastAsia="Times New Roman" w:hAnsi="Times New Roman" w:cs="Times New Roman"/>
        </w:rPr>
        <w:t>Skycam</w:t>
      </w:r>
      <w:proofErr w:type="spellEnd"/>
      <w:r>
        <w:rPr>
          <w:rFonts w:ascii="Times New Roman" w:eastAsia="Times New Roman" w:hAnsi="Times New Roman" w:cs="Times New Roman"/>
        </w:rPr>
        <w:t xml:space="preserve"> sky images provide information on aerosol abundances and properties (Wolff et al., Lemmon et al., </w:t>
      </w:r>
      <w:r w:rsidR="002B3FCD">
        <w:rPr>
          <w:rFonts w:ascii="Times New Roman" w:eastAsia="Times New Roman" w:hAnsi="Times New Roman" w:cs="Times New Roman"/>
        </w:rPr>
        <w:t>2023</w:t>
      </w:r>
      <w:r>
        <w:rPr>
          <w:rFonts w:ascii="Times New Roman" w:eastAsia="Times New Roman" w:hAnsi="Times New Roman" w:cs="Times New Roman"/>
        </w:rPr>
        <w:t xml:space="preserve">), including the first unambiguous detection of halos (implying highly developed water ice particles) in an atmosphere other than Earth’s (Lemmon et al., </w:t>
      </w:r>
      <w:r w:rsidR="002B3FCD">
        <w:rPr>
          <w:rFonts w:ascii="Times New Roman" w:eastAsia="Times New Roman" w:hAnsi="Times New Roman" w:cs="Times New Roman"/>
        </w:rPr>
        <w:t>2023</w:t>
      </w:r>
      <w:r>
        <w:rPr>
          <w:rFonts w:ascii="Times New Roman" w:eastAsia="Times New Roman" w:hAnsi="Times New Roman" w:cs="Times New Roman"/>
        </w:rPr>
        <w:t>). MEDA’s RDS-</w:t>
      </w:r>
      <w:proofErr w:type="spellStart"/>
      <w:r>
        <w:rPr>
          <w:rFonts w:ascii="Times New Roman" w:eastAsia="Times New Roman" w:hAnsi="Times New Roman" w:cs="Times New Roman"/>
        </w:rPr>
        <w:t>Skycam</w:t>
      </w:r>
      <w:proofErr w:type="spellEnd"/>
      <w:r>
        <w:rPr>
          <w:rFonts w:ascii="Times New Roman" w:eastAsia="Times New Roman" w:hAnsi="Times New Roman" w:cs="Times New Roman"/>
        </w:rPr>
        <w:t>, an upward-looking camera with a fisheye lens, further measures the optical depth of the atmosphere. In addition, MEDA downward longwave fluxes provide the first estimation for Mars of high-frequency opacity variations throughout the diurnal cycle (Smith et al., this issue). MEDA RDS data also reveal episodes of dust lifting and the passage and properties, including in some cases altitude, of dust and water ice clouds (</w:t>
      </w:r>
      <w:proofErr w:type="spellStart"/>
      <w:r>
        <w:rPr>
          <w:rFonts w:ascii="Times New Roman" w:eastAsia="Times New Roman" w:hAnsi="Times New Roman" w:cs="Times New Roman"/>
        </w:rPr>
        <w:t>Apestigue</w:t>
      </w:r>
      <w:proofErr w:type="spellEnd"/>
      <w:r>
        <w:rPr>
          <w:rFonts w:ascii="Times New Roman" w:eastAsia="Times New Roman" w:hAnsi="Times New Roman" w:cs="Times New Roman"/>
        </w:rPr>
        <w:t xml:space="preserve"> et al., Toledo et al., this issue).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‘passive sky’ observations provides information on the abundance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and trace gases such as CO and H</w:t>
      </w:r>
      <w:r>
        <w:rPr>
          <w:rFonts w:ascii="Times New Roman" w:eastAsia="Times New Roman" w:hAnsi="Times New Roman" w:cs="Times New Roman"/>
          <w:vertAlign w:val="subscript"/>
        </w:rPr>
        <w:t>2</w:t>
      </w:r>
      <w:r>
        <w:rPr>
          <w:rFonts w:ascii="Times New Roman" w:eastAsia="Times New Roman" w:hAnsi="Times New Roman" w:cs="Times New Roman"/>
        </w:rPr>
        <w:t>O (</w:t>
      </w:r>
      <w:proofErr w:type="spellStart"/>
      <w:r>
        <w:rPr>
          <w:rFonts w:ascii="Times New Roman" w:eastAsia="Times New Roman" w:hAnsi="Times New Roman" w:cs="Times New Roman"/>
        </w:rPr>
        <w:t>Montmessin</w:t>
      </w:r>
      <w:proofErr w:type="spellEnd"/>
      <w:r>
        <w:rPr>
          <w:rFonts w:ascii="Times New Roman" w:eastAsia="Times New Roman" w:hAnsi="Times New Roman" w:cs="Times New Roman"/>
        </w:rPr>
        <w:t xml:space="preserve"> et al., this issue).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also has the ability to characterize aerosol abundance and properties from the visible to the near-infrared, as well as to produce 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abundances.</w:t>
      </w:r>
    </w:p>
    <w:p w14:paraId="5A5C7D65" w14:textId="77777777" w:rsidR="001637E0" w:rsidRDefault="001E3187">
      <w:pPr>
        <w:spacing w:before="240" w:after="24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SuperCam’s</w:t>
      </w:r>
      <w:proofErr w:type="spellEnd"/>
      <w:r>
        <w:rPr>
          <w:rFonts w:ascii="Times New Roman" w:eastAsia="Times New Roman" w:hAnsi="Times New Roman" w:cs="Times New Roman"/>
        </w:rPr>
        <w:t xml:space="preserve"> microphone has been used to study atmospheric dynamics in an unprecedented frequency range (&gt; 20 Hz; Maurice et al., 2022). This includes characterizing rapid wind </w:t>
      </w:r>
      <w:proofErr w:type="gramStart"/>
      <w:r>
        <w:rPr>
          <w:rFonts w:ascii="Times New Roman" w:eastAsia="Times New Roman" w:hAnsi="Times New Roman" w:cs="Times New Roman"/>
        </w:rPr>
        <w:t>fluctuations(</w:t>
      </w:r>
      <w:proofErr w:type="gramEnd"/>
      <w:r>
        <w:rPr>
          <w:rFonts w:ascii="Times New Roman" w:eastAsia="Times New Roman" w:hAnsi="Times New Roman" w:cs="Times New Roman"/>
        </w:rPr>
        <w:t>Stott et al., this issue), making the first observation of the dissipative turbulence regime (Maurice et al., 2022) and observing convective vortices and saltation impacts (Murdoch et al., this issue). Rapid temperature fluctuations signaling strong daytime turbulence have also been investigated using both MEDA and microphone data (</w:t>
      </w:r>
      <w:proofErr w:type="spellStart"/>
      <w:r>
        <w:rPr>
          <w:rFonts w:ascii="Times New Roman" w:eastAsia="Times New Roman" w:hAnsi="Times New Roman" w:cs="Times New Roman"/>
        </w:rPr>
        <w:t>Munguira</w:t>
      </w:r>
      <w:proofErr w:type="spellEnd"/>
      <w:r>
        <w:rPr>
          <w:rFonts w:ascii="Times New Roman" w:eastAsia="Times New Roman" w:hAnsi="Times New Roman" w:cs="Times New Roman"/>
        </w:rPr>
        <w:t xml:space="preserve"> et al., Chavez and de la Torre et al., Chide et al., this issue), while the weaker night-time turbulence has been investigated with MEDA data (</w:t>
      </w:r>
      <w:proofErr w:type="spellStart"/>
      <w:r>
        <w:rPr>
          <w:rFonts w:ascii="Times New Roman" w:eastAsia="Times New Roman" w:hAnsi="Times New Roman" w:cs="Times New Roman"/>
        </w:rPr>
        <w:t>Pla</w:t>
      </w:r>
      <w:proofErr w:type="spellEnd"/>
      <w:r>
        <w:rPr>
          <w:rFonts w:ascii="Times New Roman" w:eastAsia="Times New Roman" w:hAnsi="Times New Roman" w:cs="Times New Roman"/>
        </w:rPr>
        <w:t>-García et al., this issue).</w:t>
      </w:r>
    </w:p>
    <w:p w14:paraId="294384A1" w14:textId="77777777" w:rsidR="001637E0" w:rsidRDefault="007A33C2" w:rsidP="007A33C2">
      <w:pPr>
        <w:pStyle w:val="SMHeading"/>
      </w:pPr>
      <w:r w:rsidRPr="005314B5">
        <w:rPr>
          <w:rFonts w:ascii="Myriad Pro" w:hAnsi="Myriad Pro"/>
          <w:sz w:val="22"/>
          <w:szCs w:val="22"/>
        </w:rPr>
        <w:lastRenderedPageBreak/>
        <w:t>Text</w:t>
      </w:r>
      <w:r>
        <w:rPr>
          <w:rFonts w:ascii="Myriad Pro" w:hAnsi="Myriad Pro"/>
          <w:sz w:val="22"/>
          <w:szCs w:val="22"/>
        </w:rPr>
        <w:t xml:space="preserve"> S2. Sampling Sol Path </w:t>
      </w:r>
      <w:bookmarkStart w:id="4" w:name="_eej9tg3105sz" w:colFirst="0" w:colLast="0"/>
      <w:bookmarkEnd w:id="4"/>
    </w:p>
    <w:p w14:paraId="1E43CE69"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When the decision is made to sample at a location, the rover performs a precision drive approach to the rock to be sampled on sol S-6, where “S” is the first Sampling event. Post-drive imaging of the workspace is acquired by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 xml:space="preserve">-Z, </w:t>
      </w:r>
      <w:proofErr w:type="spellStart"/>
      <w:r>
        <w:rPr>
          <w:rFonts w:ascii="Times New Roman" w:eastAsia="Times New Roman" w:hAnsi="Times New Roman" w:cs="Times New Roman"/>
        </w:rPr>
        <w:t>NavCam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HazCam</w:t>
      </w:r>
      <w:proofErr w:type="spellEnd"/>
      <w:r>
        <w:rPr>
          <w:rFonts w:ascii="Times New Roman" w:eastAsia="Times New Roman" w:hAnsi="Times New Roman" w:cs="Times New Roman"/>
        </w:rPr>
        <w:t xml:space="preserve">, and provides the decisional data needed to assess arm and drill placement on the surface. </w:t>
      </w:r>
    </w:p>
    <w:p w14:paraId="2A525548"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On sol S-5, the operations team plans target assessment and refinement, including WATSON images on candidate abrasion and coring targets in the workspace. </w:t>
      </w:r>
    </w:p>
    <w:p w14:paraId="339E7B68"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On sol S-4, abrasion occurs, followed by dust removal with the </w:t>
      </w:r>
      <w:proofErr w:type="spellStart"/>
      <w:r>
        <w:rPr>
          <w:rFonts w:ascii="Times New Roman" w:eastAsia="Times New Roman" w:hAnsi="Times New Roman" w:cs="Times New Roman"/>
        </w:rPr>
        <w:t>gDRT</w:t>
      </w:r>
      <w:proofErr w:type="spellEnd"/>
      <w:r>
        <w:rPr>
          <w:rFonts w:ascii="Times New Roman" w:eastAsia="Times New Roman" w:hAnsi="Times New Roman" w:cs="Times New Roman"/>
        </w:rPr>
        <w:t xml:space="preserve"> and post-abrasion WATSON imaging. </w:t>
      </w:r>
    </w:p>
    <w:p w14:paraId="61F10CDC"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During S-3 the STOP list activities proceed to key science data products, such as SHERLOC and PIXL spectroscopic analyses of regions within the abrasion patch. To increase signal-to-noise, both in terms of duration of scan and operating at lower temperatures, the PIXL scan typically runs overnight between S-3 and S-2. WATSON images of the intended coring targets are also imaged on S-3. </w:t>
      </w:r>
    </w:p>
    <w:p w14:paraId="77874A15"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The S-2 sequence of activities includes remote science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RMI, LIBS, VISIR, Raman and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 xml:space="preserve">-Z multispectral) of the abrasion patch. The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LIBS measurements can leave small divots (from the laser) and potentially alter the surface chemistry, hence the requirement that these observations occur after the proximity science measurements of SHERLOC and PIXL. </w:t>
      </w:r>
    </w:p>
    <w:p w14:paraId="1C31F2A1"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the final sol prior to sampling, S-1, engineering constraints necessitate that much of that sol be utilized for recharging the batteries. This sol has also served as an opportunity for opportunistic science activities, i.e. those that are not required by the STOP List, that are typically lower in power usage. </w:t>
      </w:r>
    </w:p>
    <w:p w14:paraId="4335CCA6"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Finally, on Sol S - the first sampling sol - the first core is collected, after which the arm inverts and performs a percuss to ingest (PTI) activity to cause the core to slide further back into the collection tube. The drill then mates with the bit carousel and the core is transferred to the adaptive caching assembly, where imaging, volume measurements, and sealing of the tube are conducted (Moeller et al., 2020). Post-coring </w:t>
      </w:r>
      <w:proofErr w:type="spellStart"/>
      <w:r>
        <w:rPr>
          <w:rFonts w:ascii="Times New Roman" w:eastAsia="Times New Roman" w:hAnsi="Times New Roman" w:cs="Times New Roman"/>
        </w:rPr>
        <w:t>HazCam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NavCam</w:t>
      </w:r>
      <w:proofErr w:type="spellEnd"/>
      <w:r>
        <w:rPr>
          <w:rFonts w:ascii="Times New Roman" w:eastAsia="Times New Roman" w:hAnsi="Times New Roman" w:cs="Times New Roman"/>
        </w:rPr>
        <w:t xml:space="preserve"> images of the workspace are collected as well. Initially, no images were collected pre- or post-PTI, but after the failure to collect a core at the </w:t>
      </w:r>
      <w:proofErr w:type="spellStart"/>
      <w:r>
        <w:rPr>
          <w:rFonts w:ascii="Times New Roman" w:eastAsia="Times New Roman" w:hAnsi="Times New Roman" w:cs="Times New Roman"/>
        </w:rPr>
        <w:t>Roubion</w:t>
      </w:r>
      <w:proofErr w:type="spellEnd"/>
      <w:r>
        <w:rPr>
          <w:rFonts w:ascii="Times New Roman" w:eastAsia="Times New Roman" w:hAnsi="Times New Roman" w:cs="Times New Roman"/>
        </w:rPr>
        <w:t xml:space="preserve"> site near the southern end of the Séítah </w:t>
      </w:r>
      <w:r w:rsidRPr="00C54CD8">
        <w:rPr>
          <w:rFonts w:ascii="Times New Roman" w:eastAsia="Times New Roman" w:hAnsi="Times New Roman" w:cs="Times New Roman"/>
        </w:rPr>
        <w:t>region (</w:t>
      </w:r>
      <w:r w:rsidRPr="00C54CD8">
        <w:rPr>
          <w:rFonts w:ascii="Times New Roman" w:eastAsia="Times New Roman" w:hAnsi="Times New Roman" w:cs="Times New Roman"/>
          <w:b/>
        </w:rPr>
        <w:t>Section 4.3</w:t>
      </w:r>
      <w:r w:rsidRPr="00C54CD8">
        <w:rPr>
          <w:rFonts w:ascii="Times New Roman" w:eastAsia="Times New Roman" w:hAnsi="Times New Roman" w:cs="Times New Roman"/>
        </w:rPr>
        <w:t xml:space="preserve">), post-coring </w:t>
      </w:r>
      <w:r>
        <w:rPr>
          <w:rFonts w:ascii="Times New Roman" w:eastAsia="Times New Roman" w:hAnsi="Times New Roman" w:cs="Times New Roman"/>
        </w:rPr>
        <w:t xml:space="preserve">imaging of the drill was deemed to be important for core capture assessment. </w:t>
      </w:r>
    </w:p>
    <w:p w14:paraId="01F8E50F"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On S+1, upon successful collection of the first core, post-coring imaging and remote science (</w:t>
      </w:r>
      <w:proofErr w:type="spellStart"/>
      <w:r>
        <w:rPr>
          <w:rFonts w:ascii="Times New Roman" w:eastAsia="Times New Roman" w:hAnsi="Times New Roman" w:cs="Times New Roman"/>
        </w:rPr>
        <w:t>SuperCam</w:t>
      </w:r>
      <w:proofErr w:type="spellEnd"/>
      <w:r>
        <w:rPr>
          <w:rFonts w:ascii="Times New Roman" w:eastAsia="Times New Roman" w:hAnsi="Times New Roman" w:cs="Times New Roman"/>
        </w:rPr>
        <w:t xml:space="preserve"> LIBS, RMI and </w:t>
      </w:r>
      <w:proofErr w:type="spellStart"/>
      <w:r>
        <w:rPr>
          <w:rFonts w:ascii="Times New Roman" w:eastAsia="Times New Roman" w:hAnsi="Times New Roman" w:cs="Times New Roman"/>
        </w:rPr>
        <w:t>Mastcam</w:t>
      </w:r>
      <w:proofErr w:type="spellEnd"/>
      <w:r>
        <w:rPr>
          <w:rFonts w:ascii="Times New Roman" w:eastAsia="Times New Roman" w:hAnsi="Times New Roman" w:cs="Times New Roman"/>
        </w:rPr>
        <w:t>-Z multispectral) is conducted on the hole from which the core was extracted. WATSON imaging of the borehole is also obtained on this sol, though this step was later added to the sol path midway through the crater floor campaign.</w:t>
      </w:r>
    </w:p>
    <w:p w14:paraId="44782161"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On S+2, the rover recharges in preparation for the second sampling event, and this sol is again an opportunity for opportunistic science activities as long as the rover sufficiently recharges.</w:t>
      </w:r>
    </w:p>
    <w:p w14:paraId="4FA5512B"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Sampling of the second core occurs on S+3 in the same manner as performed on sol S.</w:t>
      </w:r>
    </w:p>
    <w:p w14:paraId="1427C1AE"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On S+4, the rover exchanges the coring bit for the abrading bit.</w:t>
      </w:r>
    </w:p>
    <w:p w14:paraId="543DE8A2" w14:textId="77777777" w:rsidR="001637E0" w:rsidRDefault="001E3187">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On S+5, the rover drives away from the sampling site.</w:t>
      </w:r>
    </w:p>
    <w:p w14:paraId="66126012" w14:textId="77777777" w:rsidR="001637E0" w:rsidRDefault="001637E0">
      <w:pPr>
        <w:spacing w:line="240" w:lineRule="auto"/>
        <w:jc w:val="both"/>
        <w:rPr>
          <w:rFonts w:ascii="Times New Roman" w:eastAsia="Times New Roman" w:hAnsi="Times New Roman" w:cs="Times New Roman"/>
        </w:rPr>
      </w:pPr>
    </w:p>
    <w:p w14:paraId="69FC8ED8" w14:textId="77777777" w:rsidR="001637E0" w:rsidRDefault="001637E0">
      <w:pPr>
        <w:spacing w:line="240" w:lineRule="auto"/>
        <w:jc w:val="both"/>
        <w:rPr>
          <w:rFonts w:ascii="Times New Roman" w:eastAsia="Times New Roman" w:hAnsi="Times New Roman" w:cs="Times New Roman"/>
        </w:rPr>
      </w:pPr>
    </w:p>
    <w:p w14:paraId="1900DB6C" w14:textId="77777777" w:rsidR="00C54CD8" w:rsidRDefault="00C54CD8">
      <w:pPr>
        <w:spacing w:line="240" w:lineRule="auto"/>
        <w:jc w:val="both"/>
        <w:rPr>
          <w:rFonts w:ascii="Times New Roman" w:eastAsia="Times New Roman" w:hAnsi="Times New Roman" w:cs="Times New Roman"/>
        </w:rPr>
      </w:pPr>
    </w:p>
    <w:p w14:paraId="50EE87BD" w14:textId="77777777" w:rsidR="00C54CD8" w:rsidRDefault="00C54CD8">
      <w:pPr>
        <w:spacing w:line="240" w:lineRule="auto"/>
        <w:jc w:val="both"/>
        <w:rPr>
          <w:rFonts w:ascii="Times New Roman" w:eastAsia="Times New Roman" w:hAnsi="Times New Roman" w:cs="Times New Roman"/>
        </w:rPr>
      </w:pPr>
    </w:p>
    <w:p w14:paraId="69DA3EC4" w14:textId="77777777" w:rsidR="00C54CD8" w:rsidRDefault="00C54CD8">
      <w:pPr>
        <w:spacing w:line="240" w:lineRule="auto"/>
        <w:jc w:val="both"/>
        <w:rPr>
          <w:rFonts w:ascii="Times New Roman" w:eastAsia="Times New Roman" w:hAnsi="Times New Roman" w:cs="Times New Roman"/>
        </w:rPr>
      </w:pPr>
    </w:p>
    <w:p w14:paraId="74A6CEA0" w14:textId="77777777" w:rsidR="00C54CD8" w:rsidRDefault="00C54CD8">
      <w:pPr>
        <w:spacing w:line="240" w:lineRule="auto"/>
        <w:jc w:val="both"/>
        <w:rPr>
          <w:rFonts w:ascii="Times New Roman" w:eastAsia="Times New Roman" w:hAnsi="Times New Roman" w:cs="Times New Roman"/>
        </w:rPr>
      </w:pPr>
    </w:p>
    <w:p w14:paraId="3E51BFC5" w14:textId="77777777" w:rsidR="00C54CD8" w:rsidRDefault="00C54CD8">
      <w:pPr>
        <w:spacing w:line="240" w:lineRule="auto"/>
        <w:jc w:val="both"/>
        <w:rPr>
          <w:rFonts w:ascii="Times New Roman" w:eastAsia="Times New Roman" w:hAnsi="Times New Roman" w:cs="Times New Roman"/>
        </w:rPr>
      </w:pPr>
    </w:p>
    <w:p w14:paraId="6136B4EB" w14:textId="77777777" w:rsidR="00C54CD8" w:rsidRDefault="00C54CD8">
      <w:pPr>
        <w:spacing w:line="240" w:lineRule="auto"/>
        <w:jc w:val="both"/>
        <w:rPr>
          <w:rFonts w:ascii="Times New Roman" w:eastAsia="Times New Roman" w:hAnsi="Times New Roman" w:cs="Times New Roman"/>
        </w:rPr>
      </w:pPr>
    </w:p>
    <w:p w14:paraId="0AC778BC" w14:textId="77777777" w:rsidR="00CE7F3D" w:rsidRDefault="00CE7F3D" w:rsidP="00CE7F3D">
      <w:pPr>
        <w:pStyle w:val="SMHeading"/>
      </w:pPr>
      <w:r w:rsidRPr="005314B5">
        <w:rPr>
          <w:rFonts w:ascii="Myriad Pro" w:hAnsi="Myriad Pro"/>
          <w:sz w:val="22"/>
          <w:szCs w:val="22"/>
        </w:rPr>
        <w:lastRenderedPageBreak/>
        <w:t>Text</w:t>
      </w:r>
      <w:r>
        <w:rPr>
          <w:rFonts w:ascii="Myriad Pro" w:hAnsi="Myriad Pro"/>
          <w:sz w:val="22"/>
          <w:szCs w:val="22"/>
        </w:rPr>
        <w:t xml:space="preserve"> S3. Potential Organic Materials in </w:t>
      </w:r>
      <w:proofErr w:type="spellStart"/>
      <w:r>
        <w:rPr>
          <w:rFonts w:ascii="Myriad Pro" w:hAnsi="Myriad Pro"/>
          <w:sz w:val="22"/>
          <w:szCs w:val="22"/>
        </w:rPr>
        <w:t>Jezero</w:t>
      </w:r>
      <w:proofErr w:type="spellEnd"/>
      <w:r>
        <w:rPr>
          <w:rFonts w:ascii="Myriad Pro" w:hAnsi="Myriad Pro"/>
          <w:sz w:val="22"/>
          <w:szCs w:val="22"/>
        </w:rPr>
        <w:t xml:space="preserve"> Crater Floor Rocks</w:t>
      </w:r>
    </w:p>
    <w:p w14:paraId="216F8437" w14:textId="77777777" w:rsidR="00CE7F3D" w:rsidRPr="00CE7F3D" w:rsidRDefault="00CE7F3D" w:rsidP="00C54CD8">
      <w:pPr>
        <w:spacing w:line="240" w:lineRule="auto"/>
        <w:ind w:firstLine="720"/>
        <w:jc w:val="both"/>
        <w:rPr>
          <w:rFonts w:ascii="Times" w:hAnsi="Times" w:cs="Times"/>
        </w:rPr>
      </w:pPr>
      <w:r w:rsidRPr="00CE7F3D">
        <w:rPr>
          <w:rFonts w:ascii="Times" w:hAnsi="Times" w:cs="Times"/>
        </w:rPr>
        <w:t xml:space="preserve">The search for biosignatures is a primary goal of the Perseverance mission, and within that context, the search for organic materials is of critical importance (Farley et al., 2020). The SHERLOC instrument utilizes complementary deep UV Raman and fluorescence spectroscopy to detect minerals and organic matter at a close distance from the rock surface. Fluorescence is a more sensitive, though less diagnostic, technique and can be used to optically detect aromatic organic molecules at low concentrations (ppb), though it cannot identify the specific molecules present. By contrast, Raman spectroscopy capitalizes on a weak scattering phenomenon that can reveal information about vibrational bonds within an organic molecule, thereby providing specific information useful for molecular assignment, but requiring a significantly larger amount of organic matter. Previous Raman examination of </w:t>
      </w:r>
      <w:proofErr w:type="spellStart"/>
      <w:r w:rsidRPr="00CE7F3D">
        <w:rPr>
          <w:rFonts w:ascii="Times" w:hAnsi="Times" w:cs="Times"/>
        </w:rPr>
        <w:t>martian</w:t>
      </w:r>
      <w:proofErr w:type="spellEnd"/>
      <w:r w:rsidRPr="00CE7F3D">
        <w:rPr>
          <w:rFonts w:ascii="Times" w:hAnsi="Times" w:cs="Times"/>
        </w:rPr>
        <w:t xml:space="preserve"> organic material in </w:t>
      </w:r>
      <w:proofErr w:type="spellStart"/>
      <w:r w:rsidRPr="00CE7F3D">
        <w:rPr>
          <w:rFonts w:ascii="Times" w:hAnsi="Times" w:cs="Times"/>
        </w:rPr>
        <w:t>martian</w:t>
      </w:r>
      <w:proofErr w:type="spellEnd"/>
      <w:r w:rsidRPr="00CE7F3D">
        <w:rPr>
          <w:rFonts w:ascii="Times" w:hAnsi="Times" w:cs="Times"/>
        </w:rPr>
        <w:t xml:space="preserve"> meteorites shows this material is characterized by a D and G band distribution similar to that seen in carbonaceous chondrites and kerogen-like material on Earth. This material is labeled macromolecular carbon (e.g., Steele et al., 2022). In the crater floor targets observed by SHERLOC, no Raman signatures were found on any of the targets; however, fluorescence measurements revealed strong indications for aromatic compounds. Abraded targets within the </w:t>
      </w:r>
      <w:proofErr w:type="spellStart"/>
      <w:r w:rsidRPr="00CE7F3D">
        <w:rPr>
          <w:rFonts w:ascii="Times" w:hAnsi="Times" w:cs="Times"/>
        </w:rPr>
        <w:t>Máaz</w:t>
      </w:r>
      <w:proofErr w:type="spellEnd"/>
      <w:r w:rsidRPr="00CE7F3D">
        <w:rPr>
          <w:rFonts w:ascii="Times" w:hAnsi="Times" w:cs="Times"/>
        </w:rPr>
        <w:t xml:space="preserve"> formation revealed the strongest fluorescence signal, while natural surface </w:t>
      </w:r>
      <w:proofErr w:type="spellStart"/>
      <w:r w:rsidRPr="00CE7F3D">
        <w:rPr>
          <w:rFonts w:ascii="Times" w:hAnsi="Times" w:cs="Times"/>
        </w:rPr>
        <w:t>Máaz</w:t>
      </w:r>
      <w:proofErr w:type="spellEnd"/>
      <w:r w:rsidRPr="00CE7F3D">
        <w:rPr>
          <w:rFonts w:ascii="Times" w:hAnsi="Times" w:cs="Times"/>
        </w:rPr>
        <w:t xml:space="preserve"> and abraded </w:t>
      </w:r>
      <w:proofErr w:type="spellStart"/>
      <w:r w:rsidRPr="00CE7F3D">
        <w:rPr>
          <w:rFonts w:ascii="Times" w:hAnsi="Times" w:cs="Times"/>
        </w:rPr>
        <w:t>Séítah</w:t>
      </w:r>
      <w:proofErr w:type="spellEnd"/>
      <w:r w:rsidRPr="00CE7F3D">
        <w:rPr>
          <w:rFonts w:ascii="Times" w:hAnsi="Times" w:cs="Times"/>
        </w:rPr>
        <w:t xml:space="preserve"> targets were comparable in signal strength (Sharma and </w:t>
      </w:r>
      <w:proofErr w:type="spellStart"/>
      <w:r w:rsidRPr="00CE7F3D">
        <w:rPr>
          <w:rFonts w:ascii="Times" w:hAnsi="Times" w:cs="Times"/>
        </w:rPr>
        <w:t>Roppel</w:t>
      </w:r>
      <w:proofErr w:type="spellEnd"/>
      <w:r w:rsidRPr="00CE7F3D">
        <w:rPr>
          <w:rFonts w:ascii="Times" w:hAnsi="Times" w:cs="Times"/>
        </w:rPr>
        <w:t>, in revision). Below we provide an overview of the results from each target.</w:t>
      </w:r>
    </w:p>
    <w:p w14:paraId="4E2FE322" w14:textId="77777777" w:rsidR="00CE7F3D" w:rsidRPr="00CE7F3D" w:rsidRDefault="00CE7F3D" w:rsidP="00C54CD8">
      <w:pPr>
        <w:spacing w:line="240" w:lineRule="auto"/>
        <w:ind w:firstLine="720"/>
        <w:jc w:val="both"/>
        <w:rPr>
          <w:rFonts w:ascii="Times" w:hAnsi="Times" w:cs="Times"/>
        </w:rPr>
      </w:pPr>
      <w:proofErr w:type="spellStart"/>
      <w:r w:rsidRPr="00CE7F3D">
        <w:rPr>
          <w:rFonts w:ascii="Times" w:hAnsi="Times" w:cs="Times"/>
          <w:b/>
        </w:rPr>
        <w:t>Naa’táanii</w:t>
      </w:r>
      <w:proofErr w:type="spellEnd"/>
      <w:r w:rsidRPr="00CE7F3D">
        <w:rPr>
          <w:rFonts w:ascii="Times" w:hAnsi="Times" w:cs="Times"/>
          <w:b/>
        </w:rPr>
        <w:t xml:space="preserve"> (</w:t>
      </w:r>
      <w:proofErr w:type="spellStart"/>
      <w:r w:rsidRPr="00CE7F3D">
        <w:rPr>
          <w:rFonts w:ascii="Times" w:hAnsi="Times" w:cs="Times"/>
          <w:b/>
        </w:rPr>
        <w:t>Máaz</w:t>
      </w:r>
      <w:proofErr w:type="spellEnd"/>
      <w:r w:rsidRPr="00CE7F3D">
        <w:rPr>
          <w:rFonts w:ascii="Times" w:hAnsi="Times" w:cs="Times"/>
          <w:b/>
        </w:rPr>
        <w:t xml:space="preserve"> formation, </w:t>
      </w:r>
      <w:proofErr w:type="spellStart"/>
      <w:r w:rsidRPr="00CE7F3D">
        <w:rPr>
          <w:rFonts w:ascii="Times" w:hAnsi="Times" w:cs="Times"/>
          <w:b/>
        </w:rPr>
        <w:t>Naa’táanii</w:t>
      </w:r>
      <w:proofErr w:type="spellEnd"/>
      <w:r w:rsidRPr="00CE7F3D">
        <w:rPr>
          <w:rFonts w:ascii="Times" w:hAnsi="Times" w:cs="Times"/>
          <w:b/>
        </w:rPr>
        <w:t xml:space="preserve"> member, natural surface): </w:t>
      </w:r>
      <w:r w:rsidRPr="00CE7F3D">
        <w:rPr>
          <w:rFonts w:ascii="Times" w:hAnsi="Times" w:cs="Times"/>
        </w:rPr>
        <w:t xml:space="preserve">No organic compounds were detected with Raman scattering from the </w:t>
      </w:r>
      <w:proofErr w:type="spellStart"/>
      <w:r w:rsidRPr="00CE7F3D">
        <w:rPr>
          <w:rFonts w:ascii="Times" w:hAnsi="Times" w:cs="Times"/>
        </w:rPr>
        <w:t>Naa’táanii</w:t>
      </w:r>
      <w:proofErr w:type="spellEnd"/>
      <w:r w:rsidRPr="00CE7F3D">
        <w:rPr>
          <w:rFonts w:ascii="Times" w:hAnsi="Times" w:cs="Times"/>
        </w:rPr>
        <w:t xml:space="preserve"> target. Overall, there were few fluorescence detections indicative of organics across the four scans on this target. Two distinct groups of fluorescence signals were observed: 1) a ~345-350 nm single band with variable intensity and not correlated to texture. This band either indicates the presence of two-ring aromatic molecules or mineral luminescence due to the presence of rare earth elements (REEs). 2) A ~270-285 nm single band of relatively low intensity was also observed and was not correlated to texture. This band may be due to the presence of single ring aromatic molecules, though luminescence due to mineral defects is also possible. Aside from low to no concentration of organics, </w:t>
      </w:r>
      <w:bookmarkStart w:id="5" w:name="_Hlk131007940"/>
      <w:r w:rsidRPr="00CE7F3D">
        <w:rPr>
          <w:rFonts w:ascii="Times" w:hAnsi="Times" w:cs="Times"/>
        </w:rPr>
        <w:t xml:space="preserve">further interpretation of these observations </w:t>
      </w:r>
      <w:bookmarkEnd w:id="5"/>
      <w:r w:rsidRPr="00CE7F3D">
        <w:rPr>
          <w:rFonts w:ascii="Times" w:hAnsi="Times" w:cs="Times"/>
        </w:rPr>
        <w:t xml:space="preserve">may have been limited by, 1) the low power (pulses per point) used on scans, since it was the first use of the instrument on a target, 2) dust on target surface, and 3) the natural surface of the </w:t>
      </w:r>
      <w:proofErr w:type="spellStart"/>
      <w:r w:rsidRPr="00CE7F3D">
        <w:rPr>
          <w:rFonts w:ascii="Times" w:hAnsi="Times" w:cs="Times"/>
        </w:rPr>
        <w:t>Naa’táanii</w:t>
      </w:r>
      <w:proofErr w:type="spellEnd"/>
      <w:r w:rsidRPr="00CE7F3D">
        <w:rPr>
          <w:rFonts w:ascii="Times" w:hAnsi="Times" w:cs="Times"/>
        </w:rPr>
        <w:t xml:space="preserve"> target had significant topography, meaning some points were out of focus, leading to somewhat attenuated signal. </w:t>
      </w:r>
    </w:p>
    <w:p w14:paraId="1E296F30" w14:textId="77777777" w:rsidR="00CE7F3D" w:rsidRPr="00CE7F3D" w:rsidRDefault="00CE7F3D" w:rsidP="00C54CD8">
      <w:pPr>
        <w:spacing w:line="240" w:lineRule="auto"/>
        <w:ind w:firstLine="720"/>
        <w:jc w:val="both"/>
        <w:rPr>
          <w:rFonts w:ascii="Times" w:hAnsi="Times" w:cs="Times"/>
        </w:rPr>
      </w:pPr>
      <w:proofErr w:type="spellStart"/>
      <w:r w:rsidRPr="00CE7F3D">
        <w:rPr>
          <w:rFonts w:ascii="Times" w:hAnsi="Times" w:cs="Times"/>
          <w:b/>
        </w:rPr>
        <w:t>Foux</w:t>
      </w:r>
      <w:proofErr w:type="spellEnd"/>
      <w:r w:rsidRPr="00CE7F3D">
        <w:rPr>
          <w:rFonts w:ascii="Times" w:hAnsi="Times" w:cs="Times"/>
          <w:b/>
        </w:rPr>
        <w:t xml:space="preserve"> (</w:t>
      </w:r>
      <w:proofErr w:type="spellStart"/>
      <w:r w:rsidRPr="00CE7F3D">
        <w:rPr>
          <w:rFonts w:ascii="Times" w:hAnsi="Times" w:cs="Times"/>
          <w:b/>
        </w:rPr>
        <w:t>Máaz</w:t>
      </w:r>
      <w:proofErr w:type="spellEnd"/>
      <w:r w:rsidRPr="00CE7F3D">
        <w:rPr>
          <w:rFonts w:ascii="Times" w:hAnsi="Times" w:cs="Times"/>
          <w:b/>
        </w:rPr>
        <w:t xml:space="preserve"> formation, </w:t>
      </w:r>
      <w:proofErr w:type="spellStart"/>
      <w:r w:rsidRPr="00CE7F3D">
        <w:rPr>
          <w:rFonts w:ascii="Times" w:hAnsi="Times" w:cs="Times"/>
          <w:b/>
        </w:rPr>
        <w:t>Roubion</w:t>
      </w:r>
      <w:proofErr w:type="spellEnd"/>
      <w:r w:rsidRPr="00CE7F3D">
        <w:rPr>
          <w:rFonts w:ascii="Times" w:hAnsi="Times" w:cs="Times"/>
          <w:b/>
        </w:rPr>
        <w:t xml:space="preserve"> member, natural surface): </w:t>
      </w:r>
      <w:r w:rsidRPr="00CE7F3D">
        <w:rPr>
          <w:rFonts w:ascii="Times" w:hAnsi="Times" w:cs="Times"/>
        </w:rPr>
        <w:t xml:space="preserve">There were no organics detected with Raman on the </w:t>
      </w:r>
      <w:proofErr w:type="spellStart"/>
      <w:r w:rsidRPr="00CE7F3D">
        <w:rPr>
          <w:rFonts w:ascii="Times" w:hAnsi="Times" w:cs="Times"/>
        </w:rPr>
        <w:t>Foux</w:t>
      </w:r>
      <w:proofErr w:type="spellEnd"/>
      <w:r w:rsidRPr="00CE7F3D">
        <w:rPr>
          <w:rFonts w:ascii="Times" w:hAnsi="Times" w:cs="Times"/>
        </w:rPr>
        <w:t xml:space="preserve"> target. However, </w:t>
      </w:r>
      <w:proofErr w:type="spellStart"/>
      <w:r w:rsidRPr="00CE7F3D">
        <w:rPr>
          <w:rFonts w:ascii="Times" w:hAnsi="Times" w:cs="Times"/>
        </w:rPr>
        <w:t>Foux</w:t>
      </w:r>
      <w:proofErr w:type="spellEnd"/>
      <w:r w:rsidRPr="00CE7F3D">
        <w:rPr>
          <w:rFonts w:ascii="Times" w:hAnsi="Times" w:cs="Times"/>
        </w:rPr>
        <w:t xml:space="preserve"> did reveal the most fluorescence detections of the three natural targets observed in the crater floor campaign. Both the single fluorescence band at ~338-350 nm and at ~270-288 nm </w:t>
      </w:r>
      <w:proofErr w:type="gramStart"/>
      <w:r w:rsidRPr="00CE7F3D">
        <w:rPr>
          <w:rFonts w:ascii="Times" w:hAnsi="Times" w:cs="Times"/>
        </w:rPr>
        <w:t>were</w:t>
      </w:r>
      <w:proofErr w:type="gramEnd"/>
      <w:r w:rsidRPr="00CE7F3D">
        <w:rPr>
          <w:rFonts w:ascii="Times" w:hAnsi="Times" w:cs="Times"/>
        </w:rPr>
        <w:t xml:space="preserve"> observed at </w:t>
      </w:r>
      <w:proofErr w:type="spellStart"/>
      <w:r w:rsidRPr="00CE7F3D">
        <w:rPr>
          <w:rFonts w:ascii="Times" w:hAnsi="Times" w:cs="Times"/>
        </w:rPr>
        <w:t>Foux</w:t>
      </w:r>
      <w:proofErr w:type="spellEnd"/>
      <w:r w:rsidRPr="00CE7F3D">
        <w:rPr>
          <w:rFonts w:ascii="Times" w:hAnsi="Times" w:cs="Times"/>
        </w:rPr>
        <w:t>.</w:t>
      </w:r>
    </w:p>
    <w:p w14:paraId="369B4421" w14:textId="77777777" w:rsidR="00CE7F3D" w:rsidRPr="00CE7F3D" w:rsidRDefault="00CE7F3D" w:rsidP="00C54CD8">
      <w:pPr>
        <w:spacing w:line="240" w:lineRule="auto"/>
        <w:ind w:firstLine="720"/>
        <w:jc w:val="both"/>
        <w:rPr>
          <w:rFonts w:ascii="Times" w:hAnsi="Times" w:cs="Times"/>
        </w:rPr>
      </w:pPr>
      <w:proofErr w:type="spellStart"/>
      <w:r w:rsidRPr="00CE7F3D">
        <w:rPr>
          <w:rFonts w:ascii="Times" w:hAnsi="Times" w:cs="Times"/>
          <w:b/>
        </w:rPr>
        <w:t>Guillaumes</w:t>
      </w:r>
      <w:proofErr w:type="spellEnd"/>
      <w:r w:rsidRPr="00CE7F3D">
        <w:rPr>
          <w:rFonts w:ascii="Times" w:hAnsi="Times" w:cs="Times"/>
          <w:b/>
        </w:rPr>
        <w:t xml:space="preserve"> (</w:t>
      </w:r>
      <w:proofErr w:type="spellStart"/>
      <w:r w:rsidRPr="00CE7F3D">
        <w:rPr>
          <w:rFonts w:ascii="Times" w:hAnsi="Times" w:cs="Times"/>
          <w:b/>
        </w:rPr>
        <w:t>Máaz</w:t>
      </w:r>
      <w:proofErr w:type="spellEnd"/>
      <w:r w:rsidRPr="00CE7F3D">
        <w:rPr>
          <w:rFonts w:ascii="Times" w:hAnsi="Times" w:cs="Times"/>
          <w:b/>
        </w:rPr>
        <w:t xml:space="preserve"> formation, </w:t>
      </w:r>
      <w:proofErr w:type="spellStart"/>
      <w:r w:rsidRPr="00CE7F3D">
        <w:rPr>
          <w:rFonts w:ascii="Times" w:hAnsi="Times" w:cs="Times"/>
          <w:b/>
        </w:rPr>
        <w:t>Roubion</w:t>
      </w:r>
      <w:proofErr w:type="spellEnd"/>
      <w:r w:rsidRPr="00CE7F3D">
        <w:rPr>
          <w:rFonts w:ascii="Times" w:hAnsi="Times" w:cs="Times"/>
          <w:b/>
        </w:rPr>
        <w:t xml:space="preserve"> member, abraded surface)</w:t>
      </w:r>
      <w:r w:rsidRPr="00CE7F3D">
        <w:rPr>
          <w:rFonts w:ascii="Times" w:hAnsi="Times" w:cs="Times"/>
        </w:rPr>
        <w:t>: Observations of potential organics include spatially distributed ~275 and ~340 nm fluorescence features, where again the fluorescence at 275 nm may be attributed to minerals. No correlation with texture was observed, however some association with dust was noted.</w:t>
      </w:r>
    </w:p>
    <w:p w14:paraId="7D916899" w14:textId="77777777" w:rsidR="00CE7F3D" w:rsidRPr="00CE7F3D" w:rsidRDefault="00CE7F3D" w:rsidP="00C54CD8">
      <w:pPr>
        <w:spacing w:line="240" w:lineRule="auto"/>
        <w:ind w:firstLine="720"/>
        <w:jc w:val="both"/>
        <w:rPr>
          <w:rFonts w:ascii="Times" w:hAnsi="Times" w:cs="Times"/>
        </w:rPr>
      </w:pPr>
      <w:r w:rsidRPr="00CE7F3D">
        <w:rPr>
          <w:rFonts w:ascii="Times" w:hAnsi="Times" w:cs="Times"/>
          <w:b/>
        </w:rPr>
        <w:t>Bellegarde (</w:t>
      </w:r>
      <w:proofErr w:type="spellStart"/>
      <w:r w:rsidRPr="00CE7F3D">
        <w:rPr>
          <w:rFonts w:ascii="Times" w:hAnsi="Times" w:cs="Times"/>
          <w:b/>
        </w:rPr>
        <w:t>Máaz</w:t>
      </w:r>
      <w:proofErr w:type="spellEnd"/>
      <w:r w:rsidRPr="00CE7F3D">
        <w:rPr>
          <w:rFonts w:ascii="Times" w:hAnsi="Times" w:cs="Times"/>
          <w:b/>
        </w:rPr>
        <w:t xml:space="preserve"> formation, Rochette member, abraded surface)</w:t>
      </w:r>
      <w:r w:rsidRPr="00CE7F3D">
        <w:rPr>
          <w:rFonts w:ascii="Times" w:hAnsi="Times" w:cs="Times"/>
        </w:rPr>
        <w:t>: Spatially distributed ~275 and ~340 nm fluorescence features support the detection of organics, though mineral fluorescence may account for the 340 nm feature. The putative organic bands were found in association with dust and along crystal boundaries. Interestingly, features at ~303 nm and 325 nm were observed and found to be strongly correlated with an area of high sulfate concentration. This two-band feature was observed in multiple large grains, and unlike the previous fluorescence was found within the grains, not along their boundaries. Although these bands could be consistent with organics such as aromatic heterocycles, this is not confirmed with Raman.</w:t>
      </w:r>
    </w:p>
    <w:p w14:paraId="4E66A1C7" w14:textId="77777777" w:rsidR="00CE7F3D" w:rsidRPr="00CE7F3D" w:rsidRDefault="00CE7F3D" w:rsidP="00C54CD8">
      <w:pPr>
        <w:spacing w:line="240" w:lineRule="auto"/>
        <w:ind w:firstLine="720"/>
        <w:jc w:val="both"/>
        <w:rPr>
          <w:rFonts w:ascii="Times" w:hAnsi="Times" w:cs="Times"/>
        </w:rPr>
      </w:pPr>
      <w:proofErr w:type="spellStart"/>
      <w:r w:rsidRPr="00CE7F3D">
        <w:rPr>
          <w:rFonts w:ascii="Times" w:hAnsi="Times" w:cs="Times"/>
          <w:b/>
        </w:rPr>
        <w:t>Montpezat</w:t>
      </w:r>
      <w:proofErr w:type="spellEnd"/>
      <w:r w:rsidRPr="00CE7F3D">
        <w:rPr>
          <w:rFonts w:ascii="Times" w:hAnsi="Times" w:cs="Times"/>
          <w:b/>
        </w:rPr>
        <w:t xml:space="preserve"> (</w:t>
      </w:r>
      <w:proofErr w:type="spellStart"/>
      <w:r w:rsidRPr="00CE7F3D">
        <w:rPr>
          <w:rFonts w:ascii="Times" w:hAnsi="Times" w:cs="Times"/>
          <w:b/>
        </w:rPr>
        <w:t>Máaz</w:t>
      </w:r>
      <w:proofErr w:type="spellEnd"/>
      <w:r w:rsidRPr="00CE7F3D">
        <w:rPr>
          <w:rFonts w:ascii="Times" w:hAnsi="Times" w:cs="Times"/>
          <w:b/>
        </w:rPr>
        <w:t xml:space="preserve"> formation, </w:t>
      </w:r>
      <w:proofErr w:type="spellStart"/>
      <w:r w:rsidRPr="00CE7F3D">
        <w:rPr>
          <w:rFonts w:ascii="Times" w:hAnsi="Times" w:cs="Times"/>
          <w:b/>
        </w:rPr>
        <w:t>Artuby</w:t>
      </w:r>
      <w:proofErr w:type="spellEnd"/>
      <w:r w:rsidRPr="00CE7F3D">
        <w:rPr>
          <w:rFonts w:ascii="Times" w:hAnsi="Times" w:cs="Times"/>
          <w:b/>
        </w:rPr>
        <w:t xml:space="preserve"> member, abraded surface)</w:t>
      </w:r>
      <w:r w:rsidRPr="00CE7F3D">
        <w:rPr>
          <w:rFonts w:ascii="Times" w:hAnsi="Times" w:cs="Times"/>
        </w:rPr>
        <w:t xml:space="preserve">: The fluorescence signals were dominated by emissions at ~343 nm, though ~275 nm fluorescence was also observed at a few points. As on previous targets, these features could be due to organic molecules, though mineral defects or REE luminescence may also contribute in these ranges. A single point exhibited a Raman signal that may be consistent with an organic G band that closely aligns with the known G band on the SaU008 meteorite </w:t>
      </w:r>
      <w:r w:rsidRPr="00CE7F3D">
        <w:rPr>
          <w:rFonts w:ascii="Times" w:hAnsi="Times" w:cs="Times"/>
        </w:rPr>
        <w:lastRenderedPageBreak/>
        <w:t xml:space="preserve">SHERLOC calibration target (Sharma and </w:t>
      </w:r>
      <w:proofErr w:type="spellStart"/>
      <w:r w:rsidRPr="00CE7F3D">
        <w:rPr>
          <w:rFonts w:ascii="Times" w:hAnsi="Times" w:cs="Times"/>
        </w:rPr>
        <w:t>Roppel</w:t>
      </w:r>
      <w:proofErr w:type="spellEnd"/>
      <w:r w:rsidRPr="00CE7F3D">
        <w:rPr>
          <w:rFonts w:ascii="Times" w:hAnsi="Times" w:cs="Times"/>
        </w:rPr>
        <w:t xml:space="preserve">, in revision; Fries et al., 2022); 340 nm fluorescence was co-located with this Raman detection. </w:t>
      </w:r>
    </w:p>
    <w:p w14:paraId="52593438" w14:textId="77777777" w:rsidR="00CE7F3D" w:rsidRPr="00CE7F3D" w:rsidRDefault="00CE7F3D" w:rsidP="00C54CD8">
      <w:pPr>
        <w:spacing w:line="240" w:lineRule="auto"/>
        <w:ind w:firstLine="720"/>
        <w:jc w:val="both"/>
        <w:rPr>
          <w:rFonts w:ascii="Times" w:hAnsi="Times" w:cs="Times"/>
        </w:rPr>
      </w:pPr>
      <w:r w:rsidRPr="00CE7F3D">
        <w:rPr>
          <w:rFonts w:ascii="Times" w:hAnsi="Times" w:cs="Times"/>
          <w:b/>
        </w:rPr>
        <w:t>Alfalfa (</w:t>
      </w:r>
      <w:proofErr w:type="spellStart"/>
      <w:r w:rsidRPr="00CE7F3D">
        <w:rPr>
          <w:rFonts w:ascii="Times" w:hAnsi="Times" w:cs="Times"/>
          <w:b/>
        </w:rPr>
        <w:t>Máaz</w:t>
      </w:r>
      <w:proofErr w:type="spellEnd"/>
      <w:r w:rsidRPr="00CE7F3D">
        <w:rPr>
          <w:rFonts w:ascii="Times" w:hAnsi="Times" w:cs="Times"/>
          <w:b/>
        </w:rPr>
        <w:t xml:space="preserve"> formation, </w:t>
      </w:r>
      <w:proofErr w:type="spellStart"/>
      <w:r w:rsidRPr="00CE7F3D">
        <w:rPr>
          <w:rFonts w:ascii="Times" w:hAnsi="Times" w:cs="Times"/>
          <w:b/>
        </w:rPr>
        <w:t>Ch’ał</w:t>
      </w:r>
      <w:proofErr w:type="spellEnd"/>
      <w:r w:rsidRPr="00CE7F3D">
        <w:rPr>
          <w:rFonts w:ascii="Times" w:hAnsi="Times" w:cs="Times"/>
          <w:b/>
        </w:rPr>
        <w:t xml:space="preserve"> member, abraded surface): </w:t>
      </w:r>
      <w:r w:rsidRPr="00CE7F3D">
        <w:rPr>
          <w:rFonts w:ascii="Times" w:hAnsi="Times" w:cs="Times"/>
        </w:rPr>
        <w:t xml:space="preserve">Fluorescence bands were detected at ~273-284 nm as well as at ~344-349 nm, which may be due to one and two ring organic molecules. However, a mineral contribution in subsets of these ranges cannot be ruled out. </w:t>
      </w:r>
    </w:p>
    <w:p w14:paraId="43353BE2" w14:textId="77777777" w:rsidR="00CE7F3D" w:rsidRPr="00CE7F3D" w:rsidRDefault="00CE7F3D" w:rsidP="00C54CD8">
      <w:pPr>
        <w:spacing w:line="240" w:lineRule="auto"/>
        <w:ind w:firstLine="720"/>
        <w:jc w:val="both"/>
        <w:rPr>
          <w:rFonts w:ascii="Times" w:hAnsi="Times" w:cs="Times"/>
        </w:rPr>
      </w:pPr>
      <w:proofErr w:type="spellStart"/>
      <w:r w:rsidRPr="00CE7F3D">
        <w:rPr>
          <w:rFonts w:ascii="Times" w:hAnsi="Times" w:cs="Times"/>
          <w:b/>
        </w:rPr>
        <w:t>Dourbes</w:t>
      </w:r>
      <w:proofErr w:type="spellEnd"/>
      <w:r w:rsidRPr="00CE7F3D">
        <w:rPr>
          <w:rFonts w:ascii="Times" w:hAnsi="Times" w:cs="Times"/>
          <w:b/>
        </w:rPr>
        <w:t xml:space="preserve"> (</w:t>
      </w:r>
      <w:proofErr w:type="spellStart"/>
      <w:r w:rsidRPr="00CE7F3D">
        <w:rPr>
          <w:rFonts w:ascii="Times" w:hAnsi="Times" w:cs="Times"/>
          <w:b/>
        </w:rPr>
        <w:t>Séítah</w:t>
      </w:r>
      <w:proofErr w:type="spellEnd"/>
      <w:r w:rsidRPr="00CE7F3D">
        <w:rPr>
          <w:rFonts w:ascii="Times" w:hAnsi="Times" w:cs="Times"/>
          <w:b/>
        </w:rPr>
        <w:t xml:space="preserve"> formation, Bastide member, abraded surface): </w:t>
      </w:r>
      <w:r w:rsidRPr="00CE7F3D">
        <w:rPr>
          <w:rFonts w:ascii="Times" w:hAnsi="Times" w:cs="Times"/>
        </w:rPr>
        <w:t xml:space="preserve">The fluorescence signatures at ~338-350 nm and at ~270-288 nm, consistent with organics, were spatially distributed across </w:t>
      </w:r>
      <w:proofErr w:type="spellStart"/>
      <w:r w:rsidRPr="00CE7F3D">
        <w:rPr>
          <w:rFonts w:ascii="Times" w:hAnsi="Times" w:cs="Times"/>
        </w:rPr>
        <w:t>Dourbes</w:t>
      </w:r>
      <w:proofErr w:type="spellEnd"/>
      <w:r w:rsidRPr="00CE7F3D">
        <w:rPr>
          <w:rFonts w:ascii="Times" w:hAnsi="Times" w:cs="Times"/>
        </w:rPr>
        <w:t xml:space="preserve"> with no apparent correlation with texture or mineralogy. The fluorescence measurements were associated with dust and were located along crystal boundaries. Interestingly, when </w:t>
      </w:r>
      <w:proofErr w:type="spellStart"/>
      <w:r w:rsidRPr="00CE7F3D">
        <w:rPr>
          <w:rFonts w:ascii="Times" w:hAnsi="Times" w:cs="Times"/>
        </w:rPr>
        <w:t>Dourbes</w:t>
      </w:r>
      <w:proofErr w:type="spellEnd"/>
      <w:r w:rsidRPr="00CE7F3D">
        <w:rPr>
          <w:rFonts w:ascii="Times" w:hAnsi="Times" w:cs="Times"/>
        </w:rPr>
        <w:t xml:space="preserve"> was analyzed with a second scan (sol </w:t>
      </w:r>
      <w:proofErr w:type="gramStart"/>
      <w:r w:rsidRPr="00CE7F3D">
        <w:rPr>
          <w:rFonts w:ascii="Times" w:hAnsi="Times" w:cs="Times"/>
        </w:rPr>
        <w:t>269)after</w:t>
      </w:r>
      <w:proofErr w:type="gramEnd"/>
      <w:r w:rsidRPr="00CE7F3D">
        <w:rPr>
          <w:rFonts w:ascii="Times" w:hAnsi="Times" w:cs="Times"/>
        </w:rPr>
        <w:t xml:space="preserve"> 13 </w:t>
      </w:r>
      <w:proofErr w:type="spellStart"/>
      <w:r w:rsidRPr="00CE7F3D">
        <w:rPr>
          <w:rFonts w:ascii="Times" w:hAnsi="Times" w:cs="Times"/>
        </w:rPr>
        <w:t>sols</w:t>
      </w:r>
      <w:proofErr w:type="spellEnd"/>
      <w:r w:rsidRPr="00CE7F3D">
        <w:rPr>
          <w:rFonts w:ascii="Times" w:hAnsi="Times" w:cs="Times"/>
        </w:rPr>
        <w:t xml:space="preserve"> of exposure to the environment, the fluorescence bands associated with organics were still detected.</w:t>
      </w:r>
    </w:p>
    <w:p w14:paraId="6C472A63" w14:textId="77777777" w:rsidR="00CE7F3D" w:rsidRPr="00CE7F3D" w:rsidRDefault="00CE7F3D" w:rsidP="00C54CD8">
      <w:pPr>
        <w:spacing w:line="240" w:lineRule="auto"/>
        <w:ind w:firstLine="720"/>
        <w:jc w:val="both"/>
        <w:rPr>
          <w:rFonts w:ascii="Times" w:hAnsi="Times" w:cs="Times"/>
        </w:rPr>
      </w:pPr>
      <w:r w:rsidRPr="00CE7F3D">
        <w:rPr>
          <w:rFonts w:ascii="Times" w:hAnsi="Times" w:cs="Times"/>
          <w:b/>
        </w:rPr>
        <w:t>Garde (Séítah formation, Bastide member, abraded surface)</w:t>
      </w:r>
      <w:r w:rsidRPr="00CE7F3D">
        <w:rPr>
          <w:rFonts w:ascii="Times" w:hAnsi="Times" w:cs="Times"/>
        </w:rPr>
        <w:t xml:space="preserve">: Grains were predominantly 1.4-2.0 mm olivine grains. The ~338-350 nm fluorescence feature was found to be spatially distributed, with some positive association with dust and crystal boundaries. The fluorescence band </w:t>
      </w:r>
      <w:proofErr w:type="gramStart"/>
      <w:r w:rsidRPr="00CE7F3D">
        <w:rPr>
          <w:rFonts w:ascii="Times" w:hAnsi="Times" w:cs="Times"/>
        </w:rPr>
        <w:t>at  ~</w:t>
      </w:r>
      <w:proofErr w:type="gramEnd"/>
      <w:r w:rsidRPr="00CE7F3D">
        <w:rPr>
          <w:rFonts w:ascii="Times" w:hAnsi="Times" w:cs="Times"/>
        </w:rPr>
        <w:t>270-288 nm was found to be well correlated with the ~338-350 nm band.</w:t>
      </w:r>
    </w:p>
    <w:p w14:paraId="0131F747" w14:textId="77777777" w:rsidR="00CE7F3D" w:rsidRPr="00CE7F3D" w:rsidRDefault="00CE7F3D" w:rsidP="00C54CD8">
      <w:pPr>
        <w:spacing w:line="240" w:lineRule="auto"/>
        <w:ind w:firstLine="720"/>
        <w:jc w:val="both"/>
        <w:rPr>
          <w:rFonts w:ascii="Times" w:hAnsi="Times" w:cs="Times"/>
        </w:rPr>
      </w:pPr>
      <w:r w:rsidRPr="00CE7F3D">
        <w:rPr>
          <w:rFonts w:ascii="Times" w:hAnsi="Times" w:cs="Times"/>
          <w:b/>
        </w:rPr>
        <w:t>Quartier (Séítah formation, Bastide member, abraded surface)</w:t>
      </w:r>
      <w:r w:rsidRPr="00CE7F3D">
        <w:rPr>
          <w:rFonts w:ascii="Times" w:hAnsi="Times" w:cs="Times"/>
        </w:rPr>
        <w:t>: SHERLOC detected fluorescence features at ~343 nm and a doublet at ~303 &amp; 325 nm, which may be due to the presence of one or two-ringed aromatic molecules. Mineral luminescence may possibly contribute to the longer wavelength of fluorescence. The doublet fluorescence feature was frequently spatially correlated to the sulfate mineral detections, which also showed a Raman signal consistent with hydration at many points. Finally, multiple points within Quartier exhibited Raman peaks at ~1330-1410 cm-1 and ~1650 cm-1 that may or may not be due to an organic molecule vibrational mode.</w:t>
      </w:r>
    </w:p>
    <w:p w14:paraId="74E81410" w14:textId="77777777" w:rsidR="001637E0" w:rsidRDefault="001637E0" w:rsidP="00C54CD8">
      <w:pPr>
        <w:spacing w:line="240" w:lineRule="auto"/>
      </w:pPr>
    </w:p>
    <w:p w14:paraId="0656AFA4" w14:textId="77777777" w:rsidR="00CE7F3D" w:rsidRDefault="00CE7F3D" w:rsidP="00C54CD8">
      <w:pPr>
        <w:spacing w:line="240" w:lineRule="auto"/>
      </w:pPr>
    </w:p>
    <w:p w14:paraId="469CCEF7" w14:textId="77777777" w:rsidR="00CE7F3D" w:rsidRDefault="00CE7F3D" w:rsidP="00C54CD8">
      <w:pPr>
        <w:spacing w:line="240" w:lineRule="auto"/>
      </w:pPr>
    </w:p>
    <w:p w14:paraId="08BCAFE7" w14:textId="77777777" w:rsidR="00CE7F3D" w:rsidRDefault="00CE7F3D" w:rsidP="00C54CD8">
      <w:pPr>
        <w:spacing w:line="240" w:lineRule="auto"/>
      </w:pPr>
    </w:p>
    <w:p w14:paraId="49B4E00C" w14:textId="77777777" w:rsidR="001637E0" w:rsidRDefault="001E3187" w:rsidP="00C54CD8">
      <w:pPr>
        <w:pStyle w:val="Heading4"/>
        <w:spacing w:before="240" w:after="240" w:line="240" w:lineRule="auto"/>
        <w:rPr>
          <w:rFonts w:ascii="Times New Roman" w:eastAsia="Times New Roman" w:hAnsi="Times New Roman" w:cs="Times New Roman"/>
          <w:color w:val="000000"/>
          <w:sz w:val="22"/>
          <w:szCs w:val="22"/>
        </w:rPr>
      </w:pPr>
      <w:bookmarkStart w:id="6" w:name="_pvyq7veh65pu" w:colFirst="0" w:colLast="0"/>
      <w:bookmarkEnd w:id="6"/>
      <w:r>
        <w:rPr>
          <w:rFonts w:ascii="Times New Roman" w:eastAsia="Times New Roman" w:hAnsi="Times New Roman" w:cs="Times New Roman"/>
          <w:noProof/>
        </w:rPr>
        <w:lastRenderedPageBreak/>
        <w:drawing>
          <wp:inline distT="114300" distB="114300" distL="114300" distR="114300" wp14:anchorId="1CAA0FC7" wp14:editId="432BF4CC">
            <wp:extent cx="5943600" cy="342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429000"/>
                    </a:xfrm>
                    <a:prstGeom prst="rect">
                      <a:avLst/>
                    </a:prstGeom>
                    <a:ln/>
                  </pic:spPr>
                </pic:pic>
              </a:graphicData>
            </a:graphic>
          </wp:inline>
        </w:drawing>
      </w:r>
    </w:p>
    <w:p w14:paraId="3B040FDD" w14:textId="77777777" w:rsidR="007A33C2" w:rsidRPr="007A33C2" w:rsidRDefault="007A33C2" w:rsidP="00C54CD8">
      <w:pPr>
        <w:spacing w:line="240" w:lineRule="auto"/>
      </w:pPr>
      <w:r w:rsidRPr="007A33C2">
        <w:rPr>
          <w:rFonts w:ascii="Myriad Pro" w:hAnsi="Myriad Pro"/>
          <w:b/>
        </w:rPr>
        <w:t>Figure S1.</w:t>
      </w:r>
      <w:r w:rsidRPr="007A33C2">
        <w:rPr>
          <w:b/>
        </w:rPr>
        <w:t xml:space="preserve"> Summary of atmospheric science activities.</w:t>
      </w:r>
      <w:r>
        <w:br/>
      </w:r>
      <w:r>
        <w:rPr>
          <w:rFonts w:ascii="Times New Roman" w:eastAsia="Times New Roman" w:hAnsi="Times New Roman" w:cs="Times New Roman"/>
          <w:color w:val="000000"/>
        </w:rPr>
        <w:t>Summary of weekly and less frequency atmospheric / aeolian science activities during the nominal</w:t>
      </w:r>
    </w:p>
    <w:sectPr w:rsidR="007A33C2" w:rsidRPr="007A33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C603" w14:textId="77777777" w:rsidR="000A069D" w:rsidRDefault="000A069D">
      <w:pPr>
        <w:spacing w:line="240" w:lineRule="auto"/>
      </w:pPr>
      <w:r>
        <w:separator/>
      </w:r>
    </w:p>
  </w:endnote>
  <w:endnote w:type="continuationSeparator" w:id="0">
    <w:p w14:paraId="47ACD162" w14:textId="77777777" w:rsidR="000A069D" w:rsidRDefault="000A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5F65" w14:textId="77777777" w:rsidR="000A069D" w:rsidRDefault="000A069D">
      <w:pPr>
        <w:spacing w:line="240" w:lineRule="auto"/>
      </w:pPr>
      <w:r>
        <w:separator/>
      </w:r>
    </w:p>
  </w:footnote>
  <w:footnote w:type="continuationSeparator" w:id="0">
    <w:p w14:paraId="1A0D93F7" w14:textId="77777777" w:rsidR="000A069D" w:rsidRDefault="000A0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6FAC" w14:textId="77777777" w:rsidR="001637E0" w:rsidRDefault="00163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052"/>
    <w:multiLevelType w:val="multilevel"/>
    <w:tmpl w:val="B0E8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40EED"/>
    <w:multiLevelType w:val="multilevel"/>
    <w:tmpl w:val="AC92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730A2"/>
    <w:multiLevelType w:val="multilevel"/>
    <w:tmpl w:val="C414B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F5F87"/>
    <w:multiLevelType w:val="multilevel"/>
    <w:tmpl w:val="2F16C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70642"/>
    <w:multiLevelType w:val="multilevel"/>
    <w:tmpl w:val="A5484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270601">
    <w:abstractNumId w:val="1"/>
  </w:num>
  <w:num w:numId="2" w16cid:durableId="1112364838">
    <w:abstractNumId w:val="2"/>
  </w:num>
  <w:num w:numId="3" w16cid:durableId="1220096291">
    <w:abstractNumId w:val="4"/>
  </w:num>
  <w:num w:numId="4" w16cid:durableId="52972113">
    <w:abstractNumId w:val="3"/>
  </w:num>
  <w:num w:numId="5" w16cid:durableId="1532378350">
    <w:abstractNumId w:val="0"/>
  </w:num>
  <w:num w:numId="6" w16cid:durableId="824248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0"/>
    <w:rsid w:val="000A069D"/>
    <w:rsid w:val="001637E0"/>
    <w:rsid w:val="001E3187"/>
    <w:rsid w:val="00255376"/>
    <w:rsid w:val="002613C8"/>
    <w:rsid w:val="002B3FCD"/>
    <w:rsid w:val="00336CA4"/>
    <w:rsid w:val="003A0EB2"/>
    <w:rsid w:val="004A3AF8"/>
    <w:rsid w:val="00541CFD"/>
    <w:rsid w:val="0058588D"/>
    <w:rsid w:val="00614A9B"/>
    <w:rsid w:val="006239D6"/>
    <w:rsid w:val="007A33C2"/>
    <w:rsid w:val="00896116"/>
    <w:rsid w:val="009D0B75"/>
    <w:rsid w:val="00A655D9"/>
    <w:rsid w:val="00C54CD8"/>
    <w:rsid w:val="00CE7F3D"/>
    <w:rsid w:val="00E61EC0"/>
    <w:rsid w:val="00F1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3E74"/>
  <w15:docId w15:val="{68ED3708-4821-4B62-8171-2AD9E782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SMHeading">
    <w:name w:val="SM Heading"/>
    <w:basedOn w:val="Heading1"/>
    <w:qFormat/>
    <w:rsid w:val="007A33C2"/>
    <w:pPr>
      <w:keepLines w:val="0"/>
      <w:spacing w:before="240" w:after="60" w:line="240" w:lineRule="auto"/>
    </w:pPr>
    <w:rPr>
      <w:rFonts w:ascii="Times New Roman" w:eastAsia="Times New Roman" w:hAnsi="Times New Roman" w:cs="Times New Roman"/>
      <w:b/>
      <w:bCs/>
      <w:kern w:val="32"/>
      <w:sz w:val="24"/>
      <w:szCs w:val="24"/>
      <w:lang w:val="en-US"/>
    </w:rPr>
  </w:style>
  <w:style w:type="paragraph" w:customStyle="1" w:styleId="SMText">
    <w:name w:val="SM Text"/>
    <w:basedOn w:val="Normal"/>
    <w:qFormat/>
    <w:rsid w:val="007A33C2"/>
    <w:pPr>
      <w:spacing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7A33C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OCIO Jet Propulsion Laboratory</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Vivian (US 397D)</dc:creator>
  <cp:lastModifiedBy>GREEN, MISTY LYN (LARC-B713)[ROTHE ARES Joint Venture]</cp:lastModifiedBy>
  <cp:revision>2</cp:revision>
  <cp:lastPrinted>2023-04-02T15:06:00Z</cp:lastPrinted>
  <dcterms:created xsi:type="dcterms:W3CDTF">2023-12-14T18:11:00Z</dcterms:created>
  <dcterms:modified xsi:type="dcterms:W3CDTF">2023-12-14T18:11:00Z</dcterms:modified>
</cp:coreProperties>
</file>