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0751D" w14:textId="418A4989" w:rsidR="00E6133D" w:rsidRDefault="007527BE" w:rsidP="007527BE">
      <w:pPr>
        <w:rPr>
          <w:sz w:val="36"/>
          <w:szCs w:val="36"/>
        </w:rPr>
      </w:pPr>
      <w:r>
        <w:rPr>
          <w:rFonts w:ascii="Arial" w:hAnsi="Arial" w:cs="Arial"/>
          <w:noProof/>
          <w:sz w:val="20"/>
        </w:rPr>
        <w:drawing>
          <wp:inline distT="0" distB="0" distL="0" distR="0" wp14:anchorId="1D71516D" wp14:editId="1F4D7194">
            <wp:extent cx="1200150" cy="422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AS 2022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2A67E2A4" w14:textId="77777777" w:rsidR="00DF48AE" w:rsidRDefault="00DF48AE" w:rsidP="00E6133D">
      <w:pPr>
        <w:jc w:val="center"/>
        <w:rPr>
          <w:sz w:val="36"/>
          <w:szCs w:val="36"/>
        </w:rPr>
      </w:pPr>
    </w:p>
    <w:p w14:paraId="1649890B" w14:textId="77777777" w:rsidR="00E6133D" w:rsidRPr="00F649EE" w:rsidRDefault="00E6133D" w:rsidP="00E6133D">
      <w:pPr>
        <w:rPr>
          <w:rFonts w:ascii="Arial" w:hAnsi="Arial" w:cs="Arial"/>
          <w:b/>
          <w:sz w:val="28"/>
          <w:szCs w:val="28"/>
        </w:rPr>
      </w:pPr>
      <w:r w:rsidRPr="00F649EE">
        <w:rPr>
          <w:rFonts w:ascii="Arial" w:hAnsi="Arial" w:cs="Arial"/>
          <w:b/>
          <w:sz w:val="28"/>
          <w:szCs w:val="28"/>
        </w:rPr>
        <w:t>Main Manuscript for</w:t>
      </w:r>
    </w:p>
    <w:p w14:paraId="12588F07" w14:textId="27F15E62" w:rsidR="00E6133D" w:rsidRPr="00E6133D" w:rsidRDefault="00760D51" w:rsidP="00E6133D">
      <w:pPr>
        <w:rPr>
          <w:rFonts w:ascii="Arial" w:hAnsi="Arial" w:cs="Arial"/>
          <w:sz w:val="20"/>
          <w:szCs w:val="20"/>
        </w:rPr>
      </w:pPr>
      <w:bookmarkStart w:id="0" w:name="_Hlk115109708"/>
      <w:r>
        <w:rPr>
          <w:rFonts w:ascii="Arial" w:hAnsi="Arial" w:cs="Arial"/>
          <w:sz w:val="28"/>
          <w:szCs w:val="28"/>
        </w:rPr>
        <w:t>A</w:t>
      </w:r>
      <w:r w:rsidR="00AD76ED" w:rsidRPr="00AD76ED">
        <w:rPr>
          <w:rFonts w:ascii="Arial" w:hAnsi="Arial" w:cs="Arial"/>
          <w:sz w:val="28"/>
          <w:szCs w:val="28"/>
        </w:rPr>
        <w:t>n observation-based</w:t>
      </w:r>
      <w:r w:rsidR="00483883">
        <w:rPr>
          <w:rFonts w:ascii="Arial" w:hAnsi="Arial" w:cs="Arial"/>
          <w:sz w:val="28"/>
          <w:szCs w:val="28"/>
        </w:rPr>
        <w:t>,</w:t>
      </w:r>
      <w:r w:rsidR="00AD76ED" w:rsidRPr="00AD76ED">
        <w:rPr>
          <w:rFonts w:ascii="Arial" w:hAnsi="Arial" w:cs="Arial"/>
          <w:sz w:val="28"/>
          <w:szCs w:val="28"/>
        </w:rPr>
        <w:t xml:space="preserve"> reduced-form model</w:t>
      </w:r>
      <w:r>
        <w:rPr>
          <w:rFonts w:ascii="Arial" w:hAnsi="Arial" w:cs="Arial"/>
          <w:sz w:val="28"/>
          <w:szCs w:val="28"/>
        </w:rPr>
        <w:t xml:space="preserve"> for </w:t>
      </w:r>
      <w:r w:rsidRPr="00AD76ED">
        <w:rPr>
          <w:rFonts w:ascii="Arial" w:hAnsi="Arial" w:cs="Arial"/>
          <w:sz w:val="28"/>
          <w:szCs w:val="28"/>
        </w:rPr>
        <w:t xml:space="preserve">oxidation in the remote </w:t>
      </w:r>
      <w:r>
        <w:rPr>
          <w:rFonts w:ascii="Arial" w:hAnsi="Arial" w:cs="Arial"/>
          <w:sz w:val="28"/>
          <w:szCs w:val="28"/>
        </w:rPr>
        <w:t xml:space="preserve">marine </w:t>
      </w:r>
      <w:r w:rsidRPr="00AD76ED">
        <w:rPr>
          <w:rFonts w:ascii="Arial" w:hAnsi="Arial" w:cs="Arial"/>
          <w:sz w:val="28"/>
          <w:szCs w:val="28"/>
        </w:rPr>
        <w:t>troposphere</w:t>
      </w:r>
    </w:p>
    <w:bookmarkEnd w:id="0"/>
    <w:p w14:paraId="58E999DE" w14:textId="2EC9555F" w:rsidR="00AD76ED" w:rsidRPr="00AD76ED" w:rsidRDefault="00AD76ED" w:rsidP="00AD76ED">
      <w:pPr>
        <w:rPr>
          <w:rFonts w:ascii="Arial" w:hAnsi="Arial" w:cs="Arial"/>
          <w:bCs/>
          <w:sz w:val="20"/>
          <w:szCs w:val="20"/>
        </w:rPr>
      </w:pPr>
      <w:r w:rsidRPr="00AD76ED">
        <w:rPr>
          <w:rFonts w:ascii="Arial" w:hAnsi="Arial" w:cs="Arial"/>
          <w:bCs/>
          <w:sz w:val="20"/>
          <w:szCs w:val="20"/>
        </w:rPr>
        <w:t>Colleen B. Baublitz</w:t>
      </w:r>
      <w:r w:rsidRPr="00AD76ED">
        <w:rPr>
          <w:rFonts w:ascii="Arial" w:hAnsi="Arial" w:cs="Arial"/>
          <w:bCs/>
          <w:sz w:val="20"/>
          <w:szCs w:val="20"/>
          <w:vertAlign w:val="superscript"/>
        </w:rPr>
        <w:t>1,2,#a,*</w:t>
      </w:r>
      <w:r w:rsidRPr="00AD76ED">
        <w:rPr>
          <w:rFonts w:ascii="Arial" w:hAnsi="Arial" w:cs="Arial"/>
          <w:bCs/>
          <w:sz w:val="20"/>
          <w:szCs w:val="20"/>
        </w:rPr>
        <w:t>, Arlene M. Fiore</w:t>
      </w:r>
      <w:r w:rsidRPr="00AD76ED">
        <w:rPr>
          <w:rFonts w:ascii="Arial" w:hAnsi="Arial" w:cs="Arial"/>
          <w:bCs/>
          <w:sz w:val="20"/>
          <w:szCs w:val="20"/>
          <w:vertAlign w:val="superscript"/>
        </w:rPr>
        <w:t>1,2,#b</w:t>
      </w:r>
      <w:r w:rsidRPr="00AD76ED">
        <w:rPr>
          <w:rFonts w:ascii="Arial" w:hAnsi="Arial" w:cs="Arial"/>
          <w:bCs/>
          <w:sz w:val="20"/>
          <w:szCs w:val="20"/>
        </w:rPr>
        <w:t>, Sarah M. Ludwig</w:t>
      </w:r>
      <w:r w:rsidRPr="00AD76ED">
        <w:rPr>
          <w:rFonts w:ascii="Arial" w:hAnsi="Arial" w:cs="Arial"/>
          <w:bCs/>
          <w:sz w:val="20"/>
          <w:szCs w:val="20"/>
          <w:vertAlign w:val="superscript"/>
        </w:rPr>
        <w:t>1,2</w:t>
      </w:r>
      <w:r w:rsidRPr="00AD76ED">
        <w:rPr>
          <w:rFonts w:ascii="Arial" w:hAnsi="Arial" w:cs="Arial"/>
          <w:bCs/>
          <w:sz w:val="20"/>
          <w:szCs w:val="20"/>
        </w:rPr>
        <w:t>, Julie M. Nicely</w:t>
      </w:r>
      <w:r w:rsidRPr="00AD76ED">
        <w:rPr>
          <w:rFonts w:ascii="Arial" w:hAnsi="Arial" w:cs="Arial"/>
          <w:bCs/>
          <w:sz w:val="20"/>
          <w:szCs w:val="20"/>
          <w:vertAlign w:val="superscript"/>
        </w:rPr>
        <w:t>3,4</w:t>
      </w:r>
      <w:r w:rsidRPr="00AD76ED">
        <w:rPr>
          <w:rFonts w:ascii="Arial" w:hAnsi="Arial" w:cs="Arial"/>
          <w:bCs/>
          <w:sz w:val="20"/>
          <w:szCs w:val="20"/>
        </w:rPr>
        <w:t>, Glenn M. Wolfe</w:t>
      </w:r>
      <w:r w:rsidRPr="00AD76ED">
        <w:rPr>
          <w:rFonts w:ascii="Arial" w:hAnsi="Arial" w:cs="Arial"/>
          <w:bCs/>
          <w:sz w:val="20"/>
          <w:szCs w:val="20"/>
          <w:vertAlign w:val="superscript"/>
        </w:rPr>
        <w:t>4</w:t>
      </w:r>
      <w:r w:rsidRPr="00AD76ED">
        <w:rPr>
          <w:rFonts w:ascii="Arial" w:hAnsi="Arial" w:cs="Arial"/>
          <w:bCs/>
          <w:sz w:val="20"/>
          <w:szCs w:val="20"/>
        </w:rPr>
        <w:t>, Lee T. Murray</w:t>
      </w:r>
      <w:r w:rsidRPr="00AD76ED">
        <w:rPr>
          <w:rFonts w:ascii="Arial" w:hAnsi="Arial" w:cs="Arial"/>
          <w:bCs/>
          <w:sz w:val="20"/>
          <w:szCs w:val="20"/>
          <w:vertAlign w:val="superscript"/>
        </w:rPr>
        <w:t>5</w:t>
      </w:r>
      <w:r w:rsidRPr="00AD76ED">
        <w:rPr>
          <w:rFonts w:ascii="Arial" w:hAnsi="Arial" w:cs="Arial"/>
          <w:bCs/>
          <w:sz w:val="20"/>
          <w:szCs w:val="20"/>
        </w:rPr>
        <w:t>, Róisín Commane</w:t>
      </w:r>
      <w:r w:rsidRPr="00AD76ED">
        <w:rPr>
          <w:rFonts w:ascii="Arial" w:hAnsi="Arial" w:cs="Arial"/>
          <w:bCs/>
          <w:sz w:val="20"/>
          <w:szCs w:val="20"/>
          <w:vertAlign w:val="superscript"/>
        </w:rPr>
        <w:t>1,2</w:t>
      </w:r>
      <w:r w:rsidRPr="00AD76ED">
        <w:rPr>
          <w:rFonts w:ascii="Arial" w:hAnsi="Arial" w:cs="Arial"/>
          <w:bCs/>
          <w:sz w:val="20"/>
          <w:szCs w:val="20"/>
        </w:rPr>
        <w:t>, Michael J. Prather</w:t>
      </w:r>
      <w:r w:rsidRPr="00AD76ED">
        <w:rPr>
          <w:rFonts w:ascii="Arial" w:hAnsi="Arial" w:cs="Arial"/>
          <w:bCs/>
          <w:sz w:val="20"/>
          <w:szCs w:val="20"/>
          <w:vertAlign w:val="superscript"/>
        </w:rPr>
        <w:t>6</w:t>
      </w:r>
      <w:r w:rsidRPr="00AD76ED">
        <w:rPr>
          <w:rFonts w:ascii="Arial" w:hAnsi="Arial" w:cs="Arial"/>
          <w:bCs/>
          <w:sz w:val="20"/>
          <w:szCs w:val="20"/>
        </w:rPr>
        <w:t>, Daniel C. Anderson</w:t>
      </w:r>
      <w:r w:rsidRPr="00AD76ED">
        <w:rPr>
          <w:rFonts w:ascii="Arial" w:hAnsi="Arial" w:cs="Arial"/>
          <w:bCs/>
          <w:sz w:val="20"/>
          <w:szCs w:val="20"/>
          <w:vertAlign w:val="superscript"/>
        </w:rPr>
        <w:t>4,7</w:t>
      </w:r>
      <w:r w:rsidRPr="00AD76ED">
        <w:rPr>
          <w:rFonts w:ascii="Arial" w:hAnsi="Arial" w:cs="Arial"/>
          <w:bCs/>
          <w:sz w:val="20"/>
          <w:szCs w:val="20"/>
        </w:rPr>
        <w:t>, Gustavo Correa</w:t>
      </w:r>
      <w:r w:rsidRPr="00AD76ED">
        <w:rPr>
          <w:rFonts w:ascii="Arial" w:hAnsi="Arial" w:cs="Arial"/>
          <w:bCs/>
          <w:sz w:val="20"/>
          <w:szCs w:val="20"/>
          <w:vertAlign w:val="superscript"/>
        </w:rPr>
        <w:t>2</w:t>
      </w:r>
      <w:r w:rsidRPr="00AD76ED">
        <w:rPr>
          <w:rFonts w:ascii="Arial" w:hAnsi="Arial" w:cs="Arial"/>
          <w:bCs/>
          <w:sz w:val="20"/>
          <w:szCs w:val="20"/>
        </w:rPr>
        <w:t>, Bryan N. Duncan</w:t>
      </w:r>
      <w:r w:rsidRPr="00AD76ED">
        <w:rPr>
          <w:rFonts w:ascii="Arial" w:hAnsi="Arial" w:cs="Arial"/>
          <w:bCs/>
          <w:sz w:val="20"/>
          <w:szCs w:val="20"/>
          <w:vertAlign w:val="superscript"/>
        </w:rPr>
        <w:t>4</w:t>
      </w:r>
      <w:r w:rsidRPr="00AD76ED">
        <w:rPr>
          <w:rFonts w:ascii="Arial" w:hAnsi="Arial" w:cs="Arial"/>
          <w:bCs/>
          <w:sz w:val="20"/>
          <w:szCs w:val="20"/>
        </w:rPr>
        <w:t>, Melanie Follette-Cook</w:t>
      </w:r>
      <w:r w:rsidRPr="00AD76ED">
        <w:rPr>
          <w:rFonts w:ascii="Arial" w:hAnsi="Arial" w:cs="Arial"/>
          <w:bCs/>
          <w:sz w:val="20"/>
          <w:szCs w:val="20"/>
          <w:vertAlign w:val="superscript"/>
        </w:rPr>
        <w:t>4,8</w:t>
      </w:r>
      <w:r w:rsidRPr="00AD76ED">
        <w:rPr>
          <w:rFonts w:ascii="Arial" w:hAnsi="Arial" w:cs="Arial"/>
          <w:bCs/>
          <w:sz w:val="20"/>
          <w:szCs w:val="20"/>
        </w:rPr>
        <w:t>, Daniel M. Westervelt</w:t>
      </w:r>
      <w:r w:rsidRPr="00AD76ED">
        <w:rPr>
          <w:rFonts w:ascii="Arial" w:hAnsi="Arial" w:cs="Arial"/>
          <w:bCs/>
          <w:sz w:val="20"/>
          <w:szCs w:val="20"/>
          <w:vertAlign w:val="superscript"/>
        </w:rPr>
        <w:t>2,9</w:t>
      </w:r>
      <w:r w:rsidRPr="00AD76ED">
        <w:rPr>
          <w:rFonts w:ascii="Arial" w:hAnsi="Arial" w:cs="Arial"/>
          <w:bCs/>
          <w:sz w:val="20"/>
          <w:szCs w:val="20"/>
        </w:rPr>
        <w:t>, Ilann Bourgeois</w:t>
      </w:r>
      <w:r w:rsidRPr="00AD76ED">
        <w:rPr>
          <w:rFonts w:ascii="Arial" w:hAnsi="Arial" w:cs="Arial"/>
          <w:bCs/>
          <w:sz w:val="20"/>
          <w:szCs w:val="20"/>
          <w:vertAlign w:val="superscript"/>
        </w:rPr>
        <w:t>10,11,#c,#d</w:t>
      </w:r>
      <w:r w:rsidRPr="00AD76ED">
        <w:rPr>
          <w:rFonts w:ascii="Arial" w:hAnsi="Arial" w:cs="Arial"/>
          <w:bCs/>
          <w:sz w:val="20"/>
          <w:szCs w:val="20"/>
        </w:rPr>
        <w:t>, William H. Brune</w:t>
      </w:r>
      <w:r w:rsidRPr="00AD76ED">
        <w:rPr>
          <w:rFonts w:ascii="Arial" w:hAnsi="Arial" w:cs="Arial"/>
          <w:bCs/>
          <w:sz w:val="20"/>
          <w:szCs w:val="20"/>
          <w:vertAlign w:val="superscript"/>
        </w:rPr>
        <w:t>12</w:t>
      </w:r>
      <w:r w:rsidRPr="00AD76ED">
        <w:rPr>
          <w:rFonts w:ascii="Arial" w:hAnsi="Arial" w:cs="Arial"/>
          <w:bCs/>
          <w:sz w:val="20"/>
          <w:szCs w:val="20"/>
        </w:rPr>
        <w:t>, T. Paul Bui</w:t>
      </w:r>
      <w:r w:rsidRPr="00AD76ED">
        <w:rPr>
          <w:rFonts w:ascii="Arial" w:hAnsi="Arial" w:cs="Arial"/>
          <w:bCs/>
          <w:sz w:val="20"/>
          <w:szCs w:val="20"/>
          <w:vertAlign w:val="superscript"/>
        </w:rPr>
        <w:t>13</w:t>
      </w:r>
      <w:r w:rsidRPr="00AD76ED">
        <w:rPr>
          <w:rFonts w:ascii="Arial" w:hAnsi="Arial" w:cs="Arial"/>
          <w:bCs/>
          <w:sz w:val="20"/>
          <w:szCs w:val="20"/>
        </w:rPr>
        <w:t>, Joshua P. DiGangi</w:t>
      </w:r>
      <w:r w:rsidRPr="00AD76ED">
        <w:rPr>
          <w:rFonts w:ascii="Arial" w:hAnsi="Arial" w:cs="Arial"/>
          <w:bCs/>
          <w:sz w:val="20"/>
          <w:szCs w:val="20"/>
          <w:vertAlign w:val="superscript"/>
        </w:rPr>
        <w:t>14</w:t>
      </w:r>
      <w:r w:rsidRPr="00AD76ED">
        <w:rPr>
          <w:rFonts w:ascii="Arial" w:hAnsi="Arial" w:cs="Arial"/>
          <w:bCs/>
          <w:sz w:val="20"/>
          <w:szCs w:val="20"/>
        </w:rPr>
        <w:t>, Glenn S. Diskin</w:t>
      </w:r>
      <w:r w:rsidRPr="00AD76ED">
        <w:rPr>
          <w:rFonts w:ascii="Arial" w:hAnsi="Arial" w:cs="Arial"/>
          <w:bCs/>
          <w:sz w:val="20"/>
          <w:szCs w:val="20"/>
          <w:vertAlign w:val="superscript"/>
        </w:rPr>
        <w:t>14</w:t>
      </w:r>
      <w:r w:rsidRPr="00AD76ED">
        <w:rPr>
          <w:rFonts w:ascii="Arial" w:hAnsi="Arial" w:cs="Arial"/>
          <w:bCs/>
          <w:sz w:val="20"/>
          <w:szCs w:val="20"/>
        </w:rPr>
        <w:t>, Samuel R. Hall</w:t>
      </w:r>
      <w:r w:rsidRPr="00AD76ED">
        <w:rPr>
          <w:rFonts w:ascii="Arial" w:hAnsi="Arial" w:cs="Arial"/>
          <w:bCs/>
          <w:sz w:val="20"/>
          <w:szCs w:val="20"/>
          <w:vertAlign w:val="superscript"/>
        </w:rPr>
        <w:t>15</w:t>
      </w:r>
      <w:r w:rsidRPr="00AD76ED">
        <w:rPr>
          <w:rFonts w:ascii="Arial" w:hAnsi="Arial" w:cs="Arial"/>
          <w:bCs/>
          <w:sz w:val="20"/>
          <w:szCs w:val="20"/>
        </w:rPr>
        <w:t>, Kathryn McKain</w:t>
      </w:r>
      <w:r w:rsidRPr="00AD76ED">
        <w:rPr>
          <w:rFonts w:ascii="Arial" w:hAnsi="Arial" w:cs="Arial"/>
          <w:bCs/>
          <w:sz w:val="20"/>
          <w:szCs w:val="20"/>
          <w:vertAlign w:val="superscript"/>
        </w:rPr>
        <w:t>10,16</w:t>
      </w:r>
      <w:r w:rsidRPr="00AD76ED">
        <w:rPr>
          <w:rFonts w:ascii="Arial" w:hAnsi="Arial" w:cs="Arial"/>
          <w:bCs/>
          <w:sz w:val="20"/>
          <w:szCs w:val="20"/>
        </w:rPr>
        <w:t>, David O. Miller</w:t>
      </w:r>
      <w:r w:rsidRPr="00AD76ED">
        <w:rPr>
          <w:rFonts w:ascii="Arial" w:hAnsi="Arial" w:cs="Arial"/>
          <w:bCs/>
          <w:sz w:val="20"/>
          <w:szCs w:val="20"/>
          <w:vertAlign w:val="superscript"/>
        </w:rPr>
        <w:t>12</w:t>
      </w:r>
      <w:r w:rsidRPr="00AD76ED">
        <w:rPr>
          <w:rFonts w:ascii="Arial" w:hAnsi="Arial" w:cs="Arial"/>
          <w:bCs/>
          <w:sz w:val="20"/>
          <w:szCs w:val="20"/>
        </w:rPr>
        <w:t>, Jeff Peischl</w:t>
      </w:r>
      <w:r w:rsidRPr="00AD76ED">
        <w:rPr>
          <w:rFonts w:ascii="Arial" w:hAnsi="Arial" w:cs="Arial"/>
          <w:bCs/>
          <w:sz w:val="20"/>
          <w:szCs w:val="20"/>
          <w:vertAlign w:val="superscript"/>
        </w:rPr>
        <w:t>10,11</w:t>
      </w:r>
      <w:r w:rsidRPr="00AD76ED">
        <w:rPr>
          <w:rFonts w:ascii="Arial" w:hAnsi="Arial" w:cs="Arial"/>
          <w:bCs/>
          <w:sz w:val="20"/>
          <w:szCs w:val="20"/>
        </w:rPr>
        <w:t>, Alexander Thames</w:t>
      </w:r>
      <w:r w:rsidRPr="00AD76ED">
        <w:rPr>
          <w:rFonts w:ascii="Arial" w:hAnsi="Arial" w:cs="Arial"/>
          <w:bCs/>
          <w:sz w:val="20"/>
          <w:szCs w:val="20"/>
          <w:vertAlign w:val="superscript"/>
        </w:rPr>
        <w:t>12,#e</w:t>
      </w:r>
      <w:r w:rsidRPr="00AD76ED">
        <w:rPr>
          <w:rFonts w:ascii="Arial" w:hAnsi="Arial" w:cs="Arial"/>
          <w:bCs/>
          <w:sz w:val="20"/>
          <w:szCs w:val="20"/>
        </w:rPr>
        <w:t>, Chelsea Thompson</w:t>
      </w:r>
      <w:r w:rsidRPr="00AD76ED">
        <w:rPr>
          <w:rFonts w:ascii="Arial" w:hAnsi="Arial" w:cs="Arial"/>
          <w:bCs/>
          <w:sz w:val="20"/>
          <w:szCs w:val="20"/>
          <w:vertAlign w:val="superscript"/>
        </w:rPr>
        <w:t>10,11</w:t>
      </w:r>
      <w:r w:rsidRPr="00AD76ED">
        <w:rPr>
          <w:rFonts w:ascii="Arial" w:hAnsi="Arial" w:cs="Arial"/>
          <w:bCs/>
          <w:sz w:val="20"/>
          <w:szCs w:val="20"/>
        </w:rPr>
        <w:t>, Kirk Ullmann</w:t>
      </w:r>
      <w:r w:rsidRPr="00AD76ED">
        <w:rPr>
          <w:rFonts w:ascii="Arial" w:hAnsi="Arial" w:cs="Arial"/>
          <w:bCs/>
          <w:sz w:val="20"/>
          <w:szCs w:val="20"/>
          <w:vertAlign w:val="superscript"/>
        </w:rPr>
        <w:t>15</w:t>
      </w:r>
      <w:r w:rsidRPr="00AD76ED">
        <w:rPr>
          <w:rFonts w:ascii="Arial" w:hAnsi="Arial" w:cs="Arial"/>
          <w:bCs/>
          <w:sz w:val="20"/>
          <w:szCs w:val="20"/>
        </w:rPr>
        <w:t>, Steven C. Wofsy</w:t>
      </w:r>
      <w:r w:rsidRPr="00AD76ED">
        <w:rPr>
          <w:rFonts w:ascii="Arial" w:hAnsi="Arial" w:cs="Arial"/>
          <w:bCs/>
          <w:sz w:val="20"/>
          <w:szCs w:val="20"/>
          <w:vertAlign w:val="superscript"/>
        </w:rPr>
        <w:t>17</w:t>
      </w:r>
    </w:p>
    <w:p w14:paraId="353FE553"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w:t>
      </w:r>
      <w:r w:rsidRPr="00FE7FE5">
        <w:rPr>
          <w:rFonts w:ascii="Arial" w:hAnsi="Arial" w:cs="Arial"/>
          <w:sz w:val="20"/>
          <w:szCs w:val="20"/>
        </w:rPr>
        <w:t xml:space="preserve"> Department of Earth and Environmental Sciences, Columbia University, New York, NY, USA</w:t>
      </w:r>
    </w:p>
    <w:p w14:paraId="6F4D669C"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2</w:t>
      </w:r>
      <w:r w:rsidRPr="00FE7FE5">
        <w:rPr>
          <w:rFonts w:ascii="Arial" w:hAnsi="Arial" w:cs="Arial"/>
          <w:sz w:val="20"/>
          <w:szCs w:val="20"/>
        </w:rPr>
        <w:t xml:space="preserve"> Lamont-Doherty Earth Observatory of Columbia University, Palisades, NY, USA</w:t>
      </w:r>
    </w:p>
    <w:p w14:paraId="07665720"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3</w:t>
      </w:r>
      <w:r w:rsidRPr="00FE7FE5">
        <w:rPr>
          <w:rFonts w:ascii="Arial" w:hAnsi="Arial" w:cs="Arial"/>
          <w:sz w:val="20"/>
          <w:szCs w:val="20"/>
        </w:rPr>
        <w:t xml:space="preserve"> Earth System Science Interdisciplinary Center, University of MD, College Park, MD, USA</w:t>
      </w:r>
    </w:p>
    <w:p w14:paraId="7C292231"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4</w:t>
      </w:r>
      <w:r w:rsidRPr="00FE7FE5">
        <w:rPr>
          <w:rFonts w:ascii="Arial" w:hAnsi="Arial" w:cs="Arial"/>
          <w:sz w:val="20"/>
          <w:szCs w:val="20"/>
        </w:rPr>
        <w:t xml:space="preserve"> Atmospheric Chemistry and Dynamics Laboratory, National Aeronautics and Space Administration (NASA) Goddard Space Flight Center, Greenbelt, MD, USA</w:t>
      </w:r>
    </w:p>
    <w:p w14:paraId="51119B26"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5</w:t>
      </w:r>
      <w:r w:rsidRPr="00FE7FE5">
        <w:rPr>
          <w:rFonts w:ascii="Arial" w:hAnsi="Arial" w:cs="Arial"/>
          <w:sz w:val="20"/>
          <w:szCs w:val="20"/>
        </w:rPr>
        <w:t xml:space="preserve"> Department of Earth and Environmental Sciences, University of Rochester, Rochester, NY, USA</w:t>
      </w:r>
    </w:p>
    <w:p w14:paraId="2B79E9A2"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6</w:t>
      </w:r>
      <w:r w:rsidRPr="00FE7FE5">
        <w:rPr>
          <w:rFonts w:ascii="Arial" w:hAnsi="Arial" w:cs="Arial"/>
          <w:sz w:val="20"/>
          <w:szCs w:val="20"/>
        </w:rPr>
        <w:t xml:space="preserve"> Department of Earth System Science, University of California, Irvine, CA, USA</w:t>
      </w:r>
    </w:p>
    <w:p w14:paraId="7F04A3BF"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 xml:space="preserve">7 </w:t>
      </w:r>
      <w:r w:rsidRPr="00FE7FE5">
        <w:rPr>
          <w:rFonts w:ascii="Arial" w:hAnsi="Arial" w:cs="Arial"/>
          <w:sz w:val="20"/>
          <w:szCs w:val="20"/>
        </w:rPr>
        <w:t xml:space="preserve">University of Maryland Baltimore County, Baltimore, MD, USA </w:t>
      </w:r>
    </w:p>
    <w:p w14:paraId="700AC38E"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8</w:t>
      </w:r>
      <w:r w:rsidRPr="00FE7FE5">
        <w:rPr>
          <w:rFonts w:ascii="Arial" w:hAnsi="Arial" w:cs="Arial"/>
          <w:sz w:val="20"/>
          <w:szCs w:val="20"/>
        </w:rPr>
        <w:t xml:space="preserve"> Morgan State University, Baltimore, MD, USA</w:t>
      </w:r>
    </w:p>
    <w:p w14:paraId="67FD1173"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9</w:t>
      </w:r>
      <w:r w:rsidRPr="00FE7FE5">
        <w:rPr>
          <w:rFonts w:ascii="Arial" w:hAnsi="Arial" w:cs="Arial"/>
          <w:sz w:val="20"/>
          <w:szCs w:val="20"/>
        </w:rPr>
        <w:t xml:space="preserve"> NASA Goddard Institute for Space Studies, New York, New York, USA</w:t>
      </w:r>
    </w:p>
    <w:p w14:paraId="72935426"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10</w:t>
      </w:r>
      <w:r w:rsidRPr="00FE7FE5">
        <w:rPr>
          <w:rFonts w:ascii="Arial" w:hAnsi="Arial" w:cs="Arial"/>
          <w:sz w:val="20"/>
          <w:szCs w:val="20"/>
        </w:rPr>
        <w:t xml:space="preserve"> Cooperative Institute for Research in Environmental Sciences, University of Colorado Boulder, Boulder, CO, USA</w:t>
      </w:r>
    </w:p>
    <w:p w14:paraId="19101AD0"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11</w:t>
      </w:r>
      <w:r w:rsidRPr="00FE7FE5">
        <w:rPr>
          <w:rFonts w:ascii="Arial" w:hAnsi="Arial" w:cs="Arial"/>
          <w:sz w:val="20"/>
          <w:szCs w:val="20"/>
        </w:rPr>
        <w:t xml:space="preserve"> National Oceanic and Atmospheric Administration (NOAA) Chemical Sciences Laboratory, Boulder, CO, USA</w:t>
      </w:r>
    </w:p>
    <w:p w14:paraId="19E14B59"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12</w:t>
      </w:r>
      <w:r w:rsidRPr="00FE7FE5">
        <w:rPr>
          <w:rFonts w:ascii="Arial" w:hAnsi="Arial" w:cs="Arial"/>
          <w:sz w:val="20"/>
          <w:szCs w:val="20"/>
        </w:rPr>
        <w:t xml:space="preserve"> Department of Meteorology and Atmospheric Science, Pennsylvania State University, University Park, PA, USA</w:t>
      </w:r>
    </w:p>
    <w:p w14:paraId="73144821"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13</w:t>
      </w:r>
      <w:r w:rsidRPr="00FE7FE5">
        <w:rPr>
          <w:rFonts w:ascii="Arial" w:hAnsi="Arial" w:cs="Arial"/>
          <w:sz w:val="20"/>
          <w:szCs w:val="20"/>
        </w:rPr>
        <w:t xml:space="preserve"> NASA Ames Research Center, Moffett Field, CA, USA</w:t>
      </w:r>
    </w:p>
    <w:p w14:paraId="6C202008"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14</w:t>
      </w:r>
      <w:r w:rsidRPr="00FE7FE5">
        <w:rPr>
          <w:rFonts w:ascii="Arial" w:hAnsi="Arial" w:cs="Arial"/>
          <w:sz w:val="20"/>
          <w:szCs w:val="20"/>
        </w:rPr>
        <w:t xml:space="preserve"> NASA Langley Research Center, Hampton, Virginia, USA</w:t>
      </w:r>
    </w:p>
    <w:p w14:paraId="2779D176"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15</w:t>
      </w:r>
      <w:r w:rsidRPr="00FE7FE5">
        <w:rPr>
          <w:rFonts w:ascii="Arial" w:hAnsi="Arial" w:cs="Arial"/>
          <w:sz w:val="20"/>
          <w:szCs w:val="20"/>
        </w:rPr>
        <w:t xml:space="preserve"> Atmospheric Chemistry Observations &amp; Modeling Laboratory, National Center for Atmospheric Research (NCAR), Boulder, CO, USA</w:t>
      </w:r>
    </w:p>
    <w:p w14:paraId="07656DC5"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16</w:t>
      </w:r>
      <w:r w:rsidRPr="00FE7FE5">
        <w:rPr>
          <w:rFonts w:ascii="Arial" w:hAnsi="Arial" w:cs="Arial"/>
          <w:sz w:val="20"/>
          <w:szCs w:val="20"/>
        </w:rPr>
        <w:t xml:space="preserve"> NOAA Global Monitoring Laboratory, Boulder, CO, USA</w:t>
      </w:r>
    </w:p>
    <w:p w14:paraId="5930C022"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17</w:t>
      </w:r>
      <w:r w:rsidRPr="00FE7FE5">
        <w:rPr>
          <w:rFonts w:ascii="Arial" w:hAnsi="Arial" w:cs="Arial"/>
          <w:sz w:val="20"/>
          <w:szCs w:val="20"/>
        </w:rPr>
        <w:t xml:space="preserve"> Department of Earth and Planetary Sciences, Harvard University, Cambridge, MA, USA</w:t>
      </w:r>
    </w:p>
    <w:p w14:paraId="3E47C094"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#a</w:t>
      </w:r>
      <w:r w:rsidRPr="00FE7FE5">
        <w:rPr>
          <w:rFonts w:ascii="Arial" w:hAnsi="Arial" w:cs="Arial"/>
          <w:sz w:val="20"/>
          <w:szCs w:val="20"/>
        </w:rPr>
        <w:t xml:space="preserve"> Now at Office of Research and Development, US Environmental Protection Agency, Research Triangle Park, North Carolina, USA</w:t>
      </w:r>
    </w:p>
    <w:p w14:paraId="61B3BAA4"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#b</w:t>
      </w:r>
      <w:r w:rsidRPr="00FE7FE5">
        <w:rPr>
          <w:rFonts w:ascii="Arial" w:hAnsi="Arial" w:cs="Arial"/>
          <w:sz w:val="20"/>
          <w:szCs w:val="20"/>
        </w:rPr>
        <w:t xml:space="preserve"> Now at the Department of Earth and Planetary Sciences, Massachusetts Institute of Technology, Cambridge, MA, USA</w:t>
      </w:r>
    </w:p>
    <w:p w14:paraId="470C0D5B"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#c</w:t>
      </w:r>
      <w:r w:rsidRPr="00FE7FE5">
        <w:rPr>
          <w:rFonts w:ascii="Arial" w:hAnsi="Arial" w:cs="Arial"/>
          <w:sz w:val="20"/>
          <w:szCs w:val="20"/>
        </w:rPr>
        <w:t xml:space="preserve"> Now at Plant Ecology Research Laboratory, Ecole Polytechnique Fédérale de Lausanne, CH-1015 Lausanne, Switzerland</w:t>
      </w:r>
    </w:p>
    <w:p w14:paraId="3469257D" w14:textId="77777777" w:rsidR="00FE7FE5" w:rsidRPr="00FE7FE5" w:rsidRDefault="00FE7FE5" w:rsidP="00432BDB">
      <w:pPr>
        <w:contextualSpacing/>
        <w:rPr>
          <w:rFonts w:ascii="Arial" w:hAnsi="Arial" w:cs="Arial"/>
          <w:sz w:val="20"/>
          <w:szCs w:val="20"/>
        </w:rPr>
      </w:pPr>
      <w:r w:rsidRPr="00FE7FE5">
        <w:rPr>
          <w:rFonts w:ascii="Arial" w:hAnsi="Arial" w:cs="Arial"/>
          <w:sz w:val="20"/>
          <w:szCs w:val="20"/>
          <w:vertAlign w:val="superscript"/>
        </w:rPr>
        <w:t>#d</w:t>
      </w:r>
      <w:r w:rsidRPr="00FE7FE5">
        <w:rPr>
          <w:rFonts w:ascii="Arial" w:hAnsi="Arial" w:cs="Arial"/>
          <w:sz w:val="20"/>
          <w:szCs w:val="20"/>
        </w:rPr>
        <w:t xml:space="preserve"> Now at Extreme Environments Research Laboratory, Ecole Polytechnique Fédérale de Lausanne Valais Wallis, CH-1951 Sion, Switzerland</w:t>
      </w:r>
    </w:p>
    <w:p w14:paraId="51FDB9C8" w14:textId="77777777" w:rsidR="00432BDB" w:rsidRDefault="00FE7FE5" w:rsidP="00432BDB">
      <w:pPr>
        <w:contextualSpacing/>
        <w:rPr>
          <w:rFonts w:ascii="Arial" w:hAnsi="Arial" w:cs="Arial"/>
          <w:sz w:val="20"/>
          <w:szCs w:val="20"/>
        </w:rPr>
      </w:pPr>
      <w:r w:rsidRPr="00FE7FE5">
        <w:rPr>
          <w:rFonts w:ascii="Arial" w:hAnsi="Arial" w:cs="Arial"/>
          <w:sz w:val="20"/>
          <w:szCs w:val="20"/>
          <w:vertAlign w:val="superscript"/>
        </w:rPr>
        <w:t>#e</w:t>
      </w:r>
      <w:r w:rsidRPr="00FE7FE5">
        <w:rPr>
          <w:rFonts w:ascii="Arial" w:hAnsi="Arial" w:cs="Arial"/>
          <w:sz w:val="20"/>
          <w:szCs w:val="20"/>
        </w:rPr>
        <w:t xml:space="preserve"> Now at Department of Geosciences, Pennsylvania State University, University Park, PA, USA </w:t>
      </w:r>
    </w:p>
    <w:p w14:paraId="1046068D" w14:textId="77777777" w:rsidR="00432BDB" w:rsidRDefault="00432BDB" w:rsidP="00432BDB">
      <w:pPr>
        <w:contextualSpacing/>
        <w:rPr>
          <w:rFonts w:ascii="Arial" w:hAnsi="Arial" w:cs="Arial"/>
          <w:sz w:val="20"/>
          <w:szCs w:val="20"/>
        </w:rPr>
      </w:pPr>
    </w:p>
    <w:p w14:paraId="20DFDABE" w14:textId="2C48589B" w:rsidR="00E6133D" w:rsidRPr="00F649EE" w:rsidRDefault="00E6133D" w:rsidP="00432BDB">
      <w:pPr>
        <w:contextualSpacing/>
        <w:rPr>
          <w:rFonts w:ascii="Arial" w:hAnsi="Arial" w:cs="Arial"/>
          <w:sz w:val="20"/>
          <w:szCs w:val="20"/>
        </w:rPr>
      </w:pPr>
      <w:r w:rsidRPr="00E6133D">
        <w:rPr>
          <w:rFonts w:ascii="Arial" w:hAnsi="Arial" w:cs="Arial"/>
          <w:sz w:val="20"/>
          <w:szCs w:val="20"/>
        </w:rPr>
        <w:t>*</w:t>
      </w:r>
      <w:r w:rsidR="00432BDB">
        <w:rPr>
          <w:rFonts w:ascii="Arial" w:hAnsi="Arial" w:cs="Arial"/>
          <w:sz w:val="20"/>
          <w:szCs w:val="20"/>
        </w:rPr>
        <w:t>Colleen B. Baublitz</w:t>
      </w:r>
    </w:p>
    <w:p w14:paraId="46D7756D" w14:textId="6E513482" w:rsidR="00E6133D" w:rsidRPr="00623869" w:rsidRDefault="00E6133D" w:rsidP="00E6133D">
      <w:pPr>
        <w:rPr>
          <w:rFonts w:ascii="Arial" w:hAnsi="Arial" w:cs="Arial"/>
          <w:sz w:val="20"/>
          <w:szCs w:val="20"/>
        </w:rPr>
      </w:pPr>
      <w:r w:rsidRPr="00623869">
        <w:rPr>
          <w:rFonts w:ascii="Arial" w:hAnsi="Arial" w:cs="Arial"/>
          <w:b/>
          <w:sz w:val="20"/>
          <w:szCs w:val="20"/>
        </w:rPr>
        <w:t xml:space="preserve">Email: </w:t>
      </w:r>
      <w:r w:rsidRPr="00623869">
        <w:rPr>
          <w:rFonts w:ascii="Arial" w:hAnsi="Arial" w:cs="Arial"/>
          <w:sz w:val="20"/>
          <w:szCs w:val="20"/>
        </w:rPr>
        <w:t xml:space="preserve"> </w:t>
      </w:r>
      <w:r w:rsidR="00843AAD">
        <w:rPr>
          <w:rFonts w:ascii="Arial" w:hAnsi="Arial" w:cs="Arial"/>
          <w:sz w:val="20"/>
          <w:szCs w:val="20"/>
        </w:rPr>
        <w:t>cbb2158@columbia.edu</w:t>
      </w:r>
      <w:hyperlink r:id="rId9"/>
    </w:p>
    <w:p w14:paraId="7A5DDA98" w14:textId="2C54069C" w:rsidR="00623869" w:rsidRPr="00BB6B27" w:rsidRDefault="00623869" w:rsidP="00623869">
      <w:pPr>
        <w:rPr>
          <w:rFonts w:ascii="Arial" w:hAnsi="Arial" w:cs="Arial"/>
          <w:sz w:val="20"/>
          <w:szCs w:val="20"/>
        </w:rPr>
      </w:pPr>
      <w:r>
        <w:rPr>
          <w:rFonts w:ascii="Arial" w:hAnsi="Arial" w:cs="Arial"/>
          <w:b/>
          <w:sz w:val="20"/>
          <w:szCs w:val="20"/>
        </w:rPr>
        <w:lastRenderedPageBreak/>
        <w:t xml:space="preserve">Competing Interest Statement: </w:t>
      </w:r>
      <w:r w:rsidR="00FE7FE5">
        <w:rPr>
          <w:rFonts w:ascii="Arial" w:hAnsi="Arial" w:cs="Arial"/>
          <w:sz w:val="20"/>
          <w:szCs w:val="20"/>
        </w:rPr>
        <w:t>The authors declare no competing interest.</w:t>
      </w:r>
      <w:r>
        <w:rPr>
          <w:rFonts w:ascii="Arial" w:hAnsi="Arial" w:cs="Arial"/>
          <w:sz w:val="20"/>
          <w:szCs w:val="20"/>
        </w:rPr>
        <w:t xml:space="preserve"> </w:t>
      </w:r>
    </w:p>
    <w:p w14:paraId="61606AE0" w14:textId="6B897ACC" w:rsidR="00E6133D" w:rsidRPr="00E6133D" w:rsidRDefault="00E6133D" w:rsidP="00E6133D">
      <w:pPr>
        <w:rPr>
          <w:rFonts w:ascii="Arial" w:hAnsi="Arial" w:cs="Arial"/>
          <w:sz w:val="20"/>
          <w:szCs w:val="20"/>
        </w:rPr>
      </w:pPr>
      <w:r w:rsidRPr="00E6133D">
        <w:rPr>
          <w:rFonts w:ascii="Arial" w:hAnsi="Arial" w:cs="Arial"/>
          <w:b/>
          <w:sz w:val="20"/>
          <w:szCs w:val="20"/>
        </w:rPr>
        <w:t>Classification</w:t>
      </w:r>
      <w:r w:rsidR="00623869">
        <w:rPr>
          <w:rFonts w:ascii="Arial" w:hAnsi="Arial" w:cs="Arial"/>
          <w:b/>
          <w:sz w:val="20"/>
          <w:szCs w:val="20"/>
        </w:rPr>
        <w:t xml:space="preserve">: </w:t>
      </w:r>
      <w:r w:rsidR="00FE7FE5" w:rsidRPr="00FE7FE5">
        <w:rPr>
          <w:rFonts w:ascii="Arial" w:hAnsi="Arial" w:cs="Arial"/>
          <w:sz w:val="20"/>
          <w:szCs w:val="20"/>
        </w:rPr>
        <w:t>Earth, Atmospheric and Planetary Sciences (Major), Environmental Sciences (Minor)</w:t>
      </w:r>
    </w:p>
    <w:p w14:paraId="18812061" w14:textId="73EAA3F6" w:rsidR="00E6133D" w:rsidRPr="00E6133D" w:rsidRDefault="00E6133D" w:rsidP="00E6133D">
      <w:pPr>
        <w:rPr>
          <w:rFonts w:ascii="Arial" w:hAnsi="Arial" w:cs="Arial"/>
          <w:sz w:val="20"/>
          <w:szCs w:val="20"/>
        </w:rPr>
      </w:pPr>
      <w:r w:rsidRPr="00E6133D">
        <w:rPr>
          <w:rFonts w:ascii="Arial" w:hAnsi="Arial" w:cs="Arial"/>
          <w:b/>
          <w:sz w:val="20"/>
          <w:szCs w:val="20"/>
        </w:rPr>
        <w:t>Keywords</w:t>
      </w:r>
      <w:r w:rsidR="00623869">
        <w:rPr>
          <w:rFonts w:ascii="Arial" w:hAnsi="Arial" w:cs="Arial"/>
          <w:b/>
          <w:sz w:val="20"/>
          <w:szCs w:val="20"/>
        </w:rPr>
        <w:t xml:space="preserve">: </w:t>
      </w:r>
      <w:r w:rsidR="00FE7FE5" w:rsidRPr="00FE7FE5">
        <w:rPr>
          <w:rFonts w:ascii="Arial" w:hAnsi="Arial" w:cs="Arial"/>
          <w:sz w:val="20"/>
          <w:szCs w:val="20"/>
        </w:rPr>
        <w:t xml:space="preserve">hydroxyl radical, atmospheric oxidation, </w:t>
      </w:r>
      <w:r w:rsidR="00CC64F9">
        <w:rPr>
          <w:rFonts w:ascii="Arial" w:hAnsi="Arial" w:cs="Arial"/>
          <w:sz w:val="20"/>
          <w:szCs w:val="20"/>
        </w:rPr>
        <w:t xml:space="preserve">marine troposphere, </w:t>
      </w:r>
      <w:r w:rsidR="00FE7FE5" w:rsidRPr="00FE7FE5">
        <w:rPr>
          <w:rFonts w:ascii="Arial" w:hAnsi="Arial" w:cs="Arial"/>
          <w:sz w:val="20"/>
          <w:szCs w:val="20"/>
        </w:rPr>
        <w:t>tropospheric chemistry</w:t>
      </w:r>
    </w:p>
    <w:p w14:paraId="1265A261" w14:textId="77777777" w:rsidR="00623869" w:rsidRDefault="00623869" w:rsidP="00E6133D">
      <w:pPr>
        <w:rPr>
          <w:rFonts w:ascii="Arial" w:hAnsi="Arial" w:cs="Arial"/>
          <w:b/>
          <w:sz w:val="20"/>
          <w:szCs w:val="20"/>
        </w:rPr>
      </w:pPr>
    </w:p>
    <w:p w14:paraId="788EAF02" w14:textId="21CEB795" w:rsidR="00E6133D" w:rsidRPr="00E6133D" w:rsidRDefault="00E6133D" w:rsidP="00E6133D">
      <w:pPr>
        <w:rPr>
          <w:rFonts w:ascii="Arial" w:hAnsi="Arial" w:cs="Arial"/>
          <w:b/>
          <w:sz w:val="20"/>
          <w:szCs w:val="20"/>
        </w:rPr>
      </w:pPr>
      <w:r w:rsidRPr="00E6133D">
        <w:rPr>
          <w:rFonts w:ascii="Arial" w:hAnsi="Arial" w:cs="Arial"/>
          <w:b/>
          <w:sz w:val="20"/>
          <w:szCs w:val="20"/>
        </w:rPr>
        <w:t>This PDF file includes:</w:t>
      </w:r>
    </w:p>
    <w:p w14:paraId="14DCCC60" w14:textId="77777777" w:rsidR="00E6133D" w:rsidRPr="00E6133D" w:rsidRDefault="00E6133D" w:rsidP="00E6133D">
      <w:pPr>
        <w:ind w:left="720"/>
        <w:contextualSpacing/>
        <w:rPr>
          <w:rFonts w:ascii="Arial" w:hAnsi="Arial" w:cs="Arial"/>
          <w:sz w:val="20"/>
          <w:szCs w:val="20"/>
        </w:rPr>
      </w:pPr>
      <w:r w:rsidRPr="00E6133D">
        <w:rPr>
          <w:rFonts w:ascii="Arial" w:hAnsi="Arial" w:cs="Arial"/>
          <w:sz w:val="20"/>
          <w:szCs w:val="20"/>
        </w:rPr>
        <w:t>Main Text</w:t>
      </w:r>
    </w:p>
    <w:p w14:paraId="06589A43" w14:textId="5F1C04A6" w:rsidR="00E6133D" w:rsidRPr="00474D11" w:rsidRDefault="00E6133D" w:rsidP="00FE7FE5">
      <w:pPr>
        <w:ind w:left="720"/>
        <w:contextualSpacing/>
        <w:rPr>
          <w:rFonts w:ascii="Arial" w:hAnsi="Arial" w:cs="Arial"/>
          <w:sz w:val="20"/>
          <w:szCs w:val="20"/>
        </w:rPr>
      </w:pPr>
      <w:r w:rsidRPr="00E6133D">
        <w:rPr>
          <w:rFonts w:ascii="Arial" w:hAnsi="Arial" w:cs="Arial"/>
          <w:sz w:val="20"/>
          <w:szCs w:val="20"/>
        </w:rPr>
        <w:t xml:space="preserve">Figures 1 to </w:t>
      </w:r>
      <w:r w:rsidR="003E3ED5">
        <w:rPr>
          <w:rFonts w:ascii="Arial" w:hAnsi="Arial" w:cs="Arial"/>
          <w:sz w:val="20"/>
          <w:szCs w:val="20"/>
        </w:rPr>
        <w:t>3</w:t>
      </w:r>
    </w:p>
    <w:p w14:paraId="31F9A0E2" w14:textId="77777777" w:rsidR="00FE7FE5" w:rsidRDefault="00FE7FE5">
      <w:pPr>
        <w:rPr>
          <w:rFonts w:ascii="Arial" w:hAnsi="Arial" w:cs="Arial"/>
          <w:b/>
          <w:color w:val="000000"/>
          <w:sz w:val="20"/>
          <w:szCs w:val="20"/>
        </w:rPr>
      </w:pPr>
      <w:bookmarkStart w:id="1" w:name="30j0zll" w:colFirst="0" w:colLast="0"/>
      <w:bookmarkStart w:id="2" w:name="1fob9te" w:colFirst="0" w:colLast="0"/>
      <w:bookmarkEnd w:id="1"/>
      <w:bookmarkEnd w:id="2"/>
      <w:r>
        <w:rPr>
          <w:rFonts w:ascii="Arial" w:hAnsi="Arial" w:cs="Arial"/>
          <w:b/>
          <w:color w:val="000000"/>
          <w:sz w:val="20"/>
          <w:szCs w:val="20"/>
        </w:rPr>
        <w:br w:type="page"/>
      </w:r>
    </w:p>
    <w:p w14:paraId="3AA56AA1" w14:textId="77777777" w:rsidR="0056523B" w:rsidRDefault="0056523B" w:rsidP="00E6133D">
      <w:pPr>
        <w:keepNext/>
        <w:pBdr>
          <w:top w:val="nil"/>
          <w:left w:val="nil"/>
          <w:bottom w:val="nil"/>
          <w:right w:val="nil"/>
          <w:between w:val="nil"/>
        </w:pBdr>
        <w:spacing w:before="240" w:after="60"/>
        <w:rPr>
          <w:rFonts w:ascii="Arial" w:hAnsi="Arial" w:cs="Arial"/>
          <w:b/>
          <w:color w:val="000000"/>
          <w:sz w:val="20"/>
          <w:szCs w:val="20"/>
        </w:rPr>
        <w:sectPr w:rsidR="0056523B">
          <w:headerReference w:type="default" r:id="rId10"/>
          <w:footerReference w:type="default" r:id="rId11"/>
          <w:type w:val="continuous"/>
          <w:pgSz w:w="12240" w:h="15840"/>
          <w:pgMar w:top="1440" w:right="1800" w:bottom="1440" w:left="1800" w:header="720" w:footer="720" w:gutter="0"/>
          <w:cols w:space="720"/>
        </w:sectPr>
      </w:pPr>
    </w:p>
    <w:p w14:paraId="1022AED8" w14:textId="7EEBE461" w:rsidR="00E6133D" w:rsidRPr="00980C22" w:rsidRDefault="00E6133D" w:rsidP="00E6133D">
      <w:pPr>
        <w:keepNext/>
        <w:pBdr>
          <w:top w:val="nil"/>
          <w:left w:val="nil"/>
          <w:bottom w:val="nil"/>
          <w:right w:val="nil"/>
          <w:between w:val="nil"/>
        </w:pBdr>
        <w:spacing w:before="240" w:after="60"/>
        <w:rPr>
          <w:rFonts w:ascii="Arial" w:hAnsi="Arial" w:cs="Arial"/>
          <w:b/>
          <w:color w:val="000000"/>
          <w:sz w:val="20"/>
          <w:szCs w:val="20"/>
        </w:rPr>
      </w:pPr>
      <w:r w:rsidRPr="00980C22">
        <w:rPr>
          <w:rFonts w:ascii="Arial" w:hAnsi="Arial" w:cs="Arial"/>
          <w:b/>
          <w:color w:val="000000"/>
          <w:sz w:val="20"/>
          <w:szCs w:val="20"/>
        </w:rPr>
        <w:lastRenderedPageBreak/>
        <w:t>Abstract</w:t>
      </w:r>
    </w:p>
    <w:p w14:paraId="04EE6F46" w14:textId="0DA0AC05" w:rsidR="00FE7FE5" w:rsidRPr="00FE7FE5" w:rsidRDefault="00FE7FE5" w:rsidP="00FE7FE5">
      <w:pPr>
        <w:keepNext/>
        <w:pBdr>
          <w:top w:val="nil"/>
          <w:left w:val="nil"/>
          <w:bottom w:val="nil"/>
          <w:right w:val="nil"/>
          <w:between w:val="nil"/>
        </w:pBdr>
        <w:spacing w:before="240" w:after="60"/>
        <w:rPr>
          <w:rFonts w:ascii="Arial" w:hAnsi="Arial" w:cs="Arial"/>
          <w:color w:val="000000"/>
          <w:sz w:val="20"/>
          <w:szCs w:val="20"/>
        </w:rPr>
      </w:pPr>
      <w:r w:rsidRPr="00FE7FE5">
        <w:rPr>
          <w:rFonts w:ascii="Arial" w:hAnsi="Arial" w:cs="Arial"/>
          <w:color w:val="000000"/>
          <w:sz w:val="20"/>
          <w:szCs w:val="20"/>
        </w:rPr>
        <w:t xml:space="preserve">The hydroxyl radical (OH) fuels atmospheric chemical cycling as the main sink for methane and a </w:t>
      </w:r>
      <w:r w:rsidR="00760D51">
        <w:rPr>
          <w:rFonts w:ascii="Arial" w:hAnsi="Arial" w:cs="Arial"/>
          <w:color w:val="000000"/>
          <w:sz w:val="20"/>
          <w:szCs w:val="20"/>
        </w:rPr>
        <w:t>driver of the formation and loss of many air pollutants,</w:t>
      </w:r>
      <w:r w:rsidRPr="00FE7FE5">
        <w:rPr>
          <w:rFonts w:ascii="Arial" w:hAnsi="Arial" w:cs="Arial"/>
          <w:color w:val="000000"/>
          <w:sz w:val="20"/>
          <w:szCs w:val="20"/>
        </w:rPr>
        <w:t xml:space="preserve"> </w:t>
      </w:r>
      <w:r w:rsidR="00760D51">
        <w:rPr>
          <w:rFonts w:ascii="Arial" w:hAnsi="Arial" w:cs="Arial"/>
          <w:color w:val="000000"/>
          <w:sz w:val="20"/>
          <w:szCs w:val="20"/>
        </w:rPr>
        <w:t xml:space="preserve">but direct </w:t>
      </w:r>
      <w:r w:rsidRPr="00FE7FE5">
        <w:rPr>
          <w:rFonts w:ascii="Arial" w:hAnsi="Arial" w:cs="Arial"/>
          <w:color w:val="000000"/>
          <w:sz w:val="20"/>
          <w:szCs w:val="20"/>
        </w:rPr>
        <w:t>OH observations are sparse</w:t>
      </w:r>
      <w:r w:rsidR="00760D51">
        <w:rPr>
          <w:rFonts w:ascii="Arial" w:hAnsi="Arial" w:cs="Arial"/>
          <w:color w:val="000000"/>
          <w:sz w:val="20"/>
          <w:szCs w:val="20"/>
        </w:rPr>
        <w:t>.</w:t>
      </w:r>
      <w:r w:rsidRPr="00FE7FE5">
        <w:rPr>
          <w:rFonts w:ascii="Arial" w:hAnsi="Arial" w:cs="Arial"/>
          <w:color w:val="000000"/>
          <w:sz w:val="20"/>
          <w:szCs w:val="20"/>
        </w:rPr>
        <w:t xml:space="preserve"> </w:t>
      </w:r>
      <w:r w:rsidR="00760D51">
        <w:rPr>
          <w:rFonts w:ascii="Arial" w:hAnsi="Arial" w:cs="Arial"/>
          <w:color w:val="000000"/>
          <w:sz w:val="20"/>
          <w:szCs w:val="20"/>
        </w:rPr>
        <w:t>W</w:t>
      </w:r>
      <w:r w:rsidRPr="00FE7FE5">
        <w:rPr>
          <w:rFonts w:ascii="Arial" w:hAnsi="Arial" w:cs="Arial"/>
          <w:color w:val="000000"/>
          <w:sz w:val="20"/>
          <w:szCs w:val="20"/>
        </w:rPr>
        <w:t xml:space="preserve">e develop </w:t>
      </w:r>
      <w:r w:rsidR="00760D51">
        <w:rPr>
          <w:rFonts w:ascii="Arial" w:hAnsi="Arial" w:cs="Arial"/>
          <w:color w:val="000000"/>
          <w:sz w:val="20"/>
          <w:szCs w:val="20"/>
        </w:rPr>
        <w:t xml:space="preserve">and evaluate </w:t>
      </w:r>
      <w:r w:rsidRPr="00FE7FE5">
        <w:rPr>
          <w:rFonts w:ascii="Arial" w:hAnsi="Arial" w:cs="Arial"/>
          <w:color w:val="000000"/>
          <w:sz w:val="20"/>
          <w:szCs w:val="20"/>
        </w:rPr>
        <w:t>an observation-based proxy for</w:t>
      </w:r>
      <w:r w:rsidR="00A20DB1">
        <w:rPr>
          <w:rFonts w:ascii="Arial" w:hAnsi="Arial" w:cs="Arial"/>
          <w:color w:val="000000"/>
          <w:sz w:val="20"/>
          <w:szCs w:val="20"/>
        </w:rPr>
        <w:t xml:space="preserve"> short term, spatial variations in</w:t>
      </w:r>
      <w:r w:rsidRPr="00FE7FE5">
        <w:rPr>
          <w:rFonts w:ascii="Arial" w:hAnsi="Arial" w:cs="Arial"/>
          <w:color w:val="000000"/>
          <w:sz w:val="20"/>
          <w:szCs w:val="20"/>
        </w:rPr>
        <w:t xml:space="preserve"> OH (Proxy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w:t>
      </w:r>
      <w:r w:rsidR="00691911">
        <w:rPr>
          <w:rFonts w:ascii="Arial" w:hAnsi="Arial" w:cs="Arial"/>
          <w:color w:val="000000"/>
          <w:sz w:val="20"/>
          <w:szCs w:val="20"/>
        </w:rPr>
        <w:t>in the remote marine troposphere</w:t>
      </w:r>
      <w:r w:rsidR="00691911" w:rsidRPr="00FE7FE5" w:rsidDel="00760D51">
        <w:rPr>
          <w:rFonts w:ascii="Arial" w:hAnsi="Arial" w:cs="Arial"/>
          <w:color w:val="000000"/>
          <w:sz w:val="20"/>
          <w:szCs w:val="20"/>
        </w:rPr>
        <w:t xml:space="preserve"> </w:t>
      </w:r>
      <w:r w:rsidR="00760D51">
        <w:rPr>
          <w:rFonts w:ascii="Arial" w:hAnsi="Arial" w:cs="Arial"/>
          <w:color w:val="000000"/>
          <w:sz w:val="20"/>
          <w:szCs w:val="20"/>
        </w:rPr>
        <w:t>using unprecedented and comprehensive</w:t>
      </w:r>
      <w:r w:rsidRPr="00FE7FE5">
        <w:rPr>
          <w:rFonts w:ascii="Arial" w:hAnsi="Arial" w:cs="Arial"/>
          <w:color w:val="000000"/>
          <w:sz w:val="20"/>
          <w:szCs w:val="20"/>
        </w:rPr>
        <w:t xml:space="preserve"> measurements from the NASA Atmospheric Tomography (ATom) airborne campaign. </w:t>
      </w:r>
      <w:r w:rsidR="00BE1C37">
        <w:rPr>
          <w:rFonts w:ascii="Arial" w:hAnsi="Arial" w:cs="Arial"/>
          <w:color w:val="000000"/>
          <w:sz w:val="20"/>
          <w:szCs w:val="20"/>
        </w:rPr>
        <w:t>Proxy</w:t>
      </w:r>
      <w:r w:rsidR="00BE1C37" w:rsidRPr="001C08EE">
        <w:rPr>
          <w:rFonts w:ascii="Arial" w:hAnsi="Arial" w:cs="Arial"/>
          <w:i/>
          <w:iCs/>
          <w:color w:val="000000"/>
          <w:sz w:val="20"/>
          <w:szCs w:val="20"/>
          <w:vertAlign w:val="subscript"/>
        </w:rPr>
        <w:t>OH</w:t>
      </w:r>
      <w:r w:rsidR="00BE1C37">
        <w:rPr>
          <w:rFonts w:ascii="Arial" w:hAnsi="Arial" w:cs="Arial"/>
          <w:color w:val="000000"/>
          <w:sz w:val="20"/>
          <w:szCs w:val="20"/>
        </w:rPr>
        <w:t xml:space="preserve"> is a</w:t>
      </w:r>
      <w:r w:rsidRPr="00FE7FE5">
        <w:rPr>
          <w:rFonts w:ascii="Arial" w:hAnsi="Arial" w:cs="Arial"/>
          <w:color w:val="000000"/>
          <w:sz w:val="20"/>
          <w:szCs w:val="20"/>
        </w:rPr>
        <w:t xml:space="preserve"> reduced form of the OH steady-state equation represent</w:t>
      </w:r>
      <w:r w:rsidR="00BE1C37">
        <w:rPr>
          <w:rFonts w:ascii="Arial" w:hAnsi="Arial" w:cs="Arial"/>
          <w:color w:val="000000"/>
          <w:sz w:val="20"/>
          <w:szCs w:val="20"/>
        </w:rPr>
        <w:t>ing</w:t>
      </w:r>
      <w:r w:rsidRPr="00FE7FE5">
        <w:rPr>
          <w:rFonts w:ascii="Arial" w:hAnsi="Arial" w:cs="Arial"/>
          <w:color w:val="000000"/>
          <w:sz w:val="20"/>
          <w:szCs w:val="20"/>
        </w:rPr>
        <w:t xml:space="preserve"> the dominant OH production and loss pathways in the remote </w:t>
      </w:r>
      <w:r w:rsidR="00861823">
        <w:rPr>
          <w:rFonts w:ascii="Arial" w:hAnsi="Arial" w:cs="Arial"/>
          <w:color w:val="000000"/>
          <w:sz w:val="20"/>
          <w:szCs w:val="20"/>
        </w:rPr>
        <w:t xml:space="preserve">marine </w:t>
      </w:r>
      <w:r w:rsidRPr="00FE7FE5">
        <w:rPr>
          <w:rFonts w:ascii="Arial" w:hAnsi="Arial" w:cs="Arial"/>
          <w:color w:val="000000"/>
          <w:sz w:val="20"/>
          <w:szCs w:val="20"/>
        </w:rPr>
        <w:t>troposphere</w:t>
      </w:r>
      <w:r w:rsidR="00BE1C37">
        <w:rPr>
          <w:rFonts w:ascii="Arial" w:hAnsi="Arial" w:cs="Arial"/>
          <w:color w:val="000000"/>
          <w:sz w:val="20"/>
          <w:szCs w:val="20"/>
        </w:rPr>
        <w:t>,</w:t>
      </w:r>
      <w:r w:rsidR="00A43716">
        <w:rPr>
          <w:rFonts w:ascii="Arial" w:hAnsi="Arial" w:cs="Arial"/>
          <w:color w:val="000000"/>
          <w:sz w:val="20"/>
          <w:szCs w:val="20"/>
        </w:rPr>
        <w:t xml:space="preserve"> according to box model simulations of OH constrained with ATom observations</w:t>
      </w:r>
      <w:r w:rsidRPr="00FE7FE5">
        <w:rPr>
          <w:rFonts w:ascii="Arial" w:hAnsi="Arial" w:cs="Arial"/>
          <w:color w:val="000000"/>
          <w:sz w:val="20"/>
          <w:szCs w:val="20"/>
        </w:rPr>
        <w:t xml:space="preserve">. </w:t>
      </w:r>
      <w:r w:rsidR="00BE1C37">
        <w:rPr>
          <w:rFonts w:ascii="Arial" w:hAnsi="Arial" w:cs="Arial"/>
          <w:color w:val="000000"/>
          <w:sz w:val="20"/>
          <w:szCs w:val="20"/>
        </w:rPr>
        <w:t>Proxy</w:t>
      </w:r>
      <w:r w:rsidR="00BE1C37" w:rsidRPr="00F47570">
        <w:rPr>
          <w:rFonts w:ascii="Arial" w:hAnsi="Arial" w:cs="Arial"/>
          <w:i/>
          <w:iCs/>
          <w:color w:val="000000"/>
          <w:sz w:val="20"/>
          <w:szCs w:val="20"/>
          <w:vertAlign w:val="subscript"/>
        </w:rPr>
        <w:t>OH</w:t>
      </w:r>
      <w:r w:rsidR="00BE1C37">
        <w:rPr>
          <w:rFonts w:ascii="Arial" w:hAnsi="Arial" w:cs="Arial"/>
          <w:color w:val="000000"/>
          <w:sz w:val="20"/>
          <w:szCs w:val="20"/>
        </w:rPr>
        <w:t xml:space="preserve"> </w:t>
      </w:r>
      <w:r w:rsidR="00BE1C37" w:rsidRPr="00FE7FE5">
        <w:rPr>
          <w:rFonts w:ascii="Arial" w:hAnsi="Arial" w:cs="Arial"/>
          <w:color w:val="000000"/>
          <w:sz w:val="20"/>
          <w:szCs w:val="20"/>
        </w:rPr>
        <w:t>compris</w:t>
      </w:r>
      <w:r w:rsidR="00BE1C37">
        <w:rPr>
          <w:rFonts w:ascii="Arial" w:hAnsi="Arial" w:cs="Arial"/>
          <w:color w:val="000000"/>
          <w:sz w:val="20"/>
          <w:szCs w:val="20"/>
        </w:rPr>
        <w:t>es</w:t>
      </w:r>
      <w:r w:rsidR="00BE1C37" w:rsidRPr="00FE7FE5">
        <w:rPr>
          <w:rFonts w:ascii="Arial" w:hAnsi="Arial" w:cs="Arial"/>
          <w:color w:val="000000"/>
          <w:sz w:val="20"/>
          <w:szCs w:val="20"/>
        </w:rPr>
        <w:t xml:space="preserve"> only eight variables that </w:t>
      </w:r>
      <w:r w:rsidR="00BE1C37">
        <w:rPr>
          <w:rFonts w:ascii="Arial" w:hAnsi="Arial" w:cs="Arial"/>
          <w:color w:val="000000"/>
          <w:sz w:val="20"/>
          <w:szCs w:val="20"/>
        </w:rPr>
        <w:t>are generally observed by routine ground</w:t>
      </w:r>
      <w:r w:rsidR="00E833C9">
        <w:rPr>
          <w:rFonts w:ascii="Arial" w:hAnsi="Arial" w:cs="Arial"/>
          <w:color w:val="000000"/>
          <w:sz w:val="20"/>
          <w:szCs w:val="20"/>
        </w:rPr>
        <w:t>-</w:t>
      </w:r>
      <w:r w:rsidR="00BE1C37">
        <w:rPr>
          <w:rFonts w:ascii="Arial" w:hAnsi="Arial" w:cs="Arial"/>
          <w:color w:val="000000"/>
          <w:sz w:val="20"/>
          <w:szCs w:val="20"/>
        </w:rPr>
        <w:t xml:space="preserve"> or satellite-based instruments. </w:t>
      </w:r>
      <w:r w:rsidRPr="00FE7FE5">
        <w:rPr>
          <w:rFonts w:ascii="Arial" w:hAnsi="Arial" w:cs="Arial"/>
          <w:color w:val="000000"/>
          <w:sz w:val="20"/>
          <w:szCs w:val="20"/>
        </w:rPr>
        <w:t>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scales linearly with </w:t>
      </w:r>
      <w:r w:rsidRPr="00FE7FE5">
        <w:rPr>
          <w:rFonts w:ascii="Arial" w:hAnsi="Arial" w:cs="Arial"/>
          <w:i/>
          <w:iCs/>
          <w:color w:val="000000"/>
          <w:sz w:val="20"/>
          <w:szCs w:val="20"/>
        </w:rPr>
        <w:t>in situ</w:t>
      </w:r>
      <w:r w:rsidRPr="00FE7FE5">
        <w:rPr>
          <w:rFonts w:ascii="Arial" w:hAnsi="Arial" w:cs="Arial"/>
          <w:color w:val="000000"/>
          <w:sz w:val="20"/>
          <w:szCs w:val="20"/>
        </w:rPr>
        <w:t xml:space="preserve"> [OH] </w:t>
      </w:r>
      <w:r w:rsidR="00217C8C">
        <w:rPr>
          <w:rFonts w:ascii="Arial" w:hAnsi="Arial" w:cs="Arial"/>
          <w:color w:val="000000"/>
          <w:sz w:val="20"/>
          <w:szCs w:val="20"/>
        </w:rPr>
        <w:t xml:space="preserve">spatial </w:t>
      </w:r>
      <w:r w:rsidR="009E3FDB">
        <w:rPr>
          <w:rFonts w:ascii="Arial" w:hAnsi="Arial" w:cs="Arial"/>
          <w:color w:val="000000"/>
          <w:sz w:val="20"/>
          <w:szCs w:val="20"/>
        </w:rPr>
        <w:t>variations</w:t>
      </w:r>
      <w:r w:rsidRPr="00FE7FE5">
        <w:rPr>
          <w:rFonts w:ascii="Arial" w:hAnsi="Arial" w:cs="Arial"/>
          <w:color w:val="000000"/>
          <w:sz w:val="20"/>
          <w:szCs w:val="20"/>
        </w:rPr>
        <w:t xml:space="preserve"> </w:t>
      </w:r>
      <w:r w:rsidR="007F57CB" w:rsidRPr="00FE7FE5">
        <w:rPr>
          <w:rFonts w:ascii="Arial" w:hAnsi="Arial" w:cs="Arial"/>
          <w:color w:val="000000"/>
          <w:sz w:val="20"/>
          <w:szCs w:val="20"/>
        </w:rPr>
        <w:t xml:space="preserve">along </w:t>
      </w:r>
      <w:r w:rsidR="007F57CB">
        <w:rPr>
          <w:rFonts w:ascii="Arial" w:hAnsi="Arial" w:cs="Arial"/>
          <w:color w:val="000000"/>
          <w:sz w:val="20"/>
          <w:szCs w:val="20"/>
        </w:rPr>
        <w:t xml:space="preserve">the </w:t>
      </w:r>
      <w:r w:rsidR="007F57CB" w:rsidRPr="00FE7FE5">
        <w:rPr>
          <w:rFonts w:ascii="Arial" w:hAnsi="Arial" w:cs="Arial"/>
          <w:color w:val="000000"/>
          <w:sz w:val="20"/>
          <w:szCs w:val="20"/>
        </w:rPr>
        <w:t>ATom flight tracks</w:t>
      </w:r>
      <w:r w:rsidRPr="00FE7FE5">
        <w:rPr>
          <w:rFonts w:ascii="Arial" w:hAnsi="Arial" w:cs="Arial"/>
          <w:color w:val="000000"/>
          <w:sz w:val="20"/>
          <w:szCs w:val="20"/>
        </w:rPr>
        <w:t xml:space="preserve"> (me</w:t>
      </w:r>
      <w:r w:rsidR="00836A8C">
        <w:rPr>
          <w:rFonts w:ascii="Arial" w:hAnsi="Arial" w:cs="Arial"/>
          <w:color w:val="000000"/>
          <w:sz w:val="20"/>
          <w:szCs w:val="20"/>
        </w:rPr>
        <w:t>di</w:t>
      </w:r>
      <w:r w:rsidRPr="00FE7FE5">
        <w:rPr>
          <w:rFonts w:ascii="Arial" w:hAnsi="Arial" w:cs="Arial"/>
          <w:color w:val="000000"/>
          <w:sz w:val="20"/>
          <w:szCs w:val="20"/>
        </w:rPr>
        <w:t xml:space="preserve">an </w:t>
      </w:r>
      <w:r w:rsidRPr="00FE7FE5">
        <w:rPr>
          <w:rFonts w:ascii="Arial" w:hAnsi="Arial" w:cs="Arial"/>
          <w:i/>
          <w:iCs/>
          <w:color w:val="000000"/>
          <w:sz w:val="20"/>
          <w:szCs w:val="20"/>
        </w:rPr>
        <w:t>r</w:t>
      </w:r>
      <w:r w:rsidRPr="00FE7FE5">
        <w:rPr>
          <w:rFonts w:ascii="Arial" w:hAnsi="Arial" w:cs="Arial"/>
          <w:color w:val="000000"/>
          <w:sz w:val="20"/>
          <w:szCs w:val="20"/>
          <w:vertAlign w:val="superscript"/>
        </w:rPr>
        <w:t>2</w:t>
      </w:r>
      <w:r w:rsidRPr="00FE7FE5">
        <w:rPr>
          <w:rFonts w:ascii="Arial" w:hAnsi="Arial" w:cs="Arial"/>
          <w:color w:val="000000"/>
          <w:sz w:val="20"/>
          <w:szCs w:val="20"/>
        </w:rPr>
        <w:t xml:space="preserve"> = 0.</w:t>
      </w:r>
      <w:r w:rsidR="00CE383B">
        <w:rPr>
          <w:rFonts w:ascii="Arial" w:hAnsi="Arial" w:cs="Arial"/>
          <w:color w:val="000000"/>
          <w:sz w:val="20"/>
          <w:szCs w:val="20"/>
        </w:rPr>
        <w:t>90</w:t>
      </w:r>
      <w:r w:rsidR="00836A8C">
        <w:rPr>
          <w:rFonts w:ascii="Arial" w:hAnsi="Arial" w:cs="Arial"/>
          <w:color w:val="000000"/>
          <w:sz w:val="20"/>
          <w:szCs w:val="20"/>
        </w:rPr>
        <w:t>, interquartile range = 0.</w:t>
      </w:r>
      <w:r w:rsidR="00CE383B">
        <w:rPr>
          <w:rFonts w:ascii="Arial" w:hAnsi="Arial" w:cs="Arial"/>
          <w:color w:val="000000"/>
          <w:sz w:val="20"/>
          <w:szCs w:val="20"/>
        </w:rPr>
        <w:t>80</w:t>
      </w:r>
      <w:r w:rsidR="00836A8C">
        <w:rPr>
          <w:rFonts w:ascii="Arial" w:hAnsi="Arial" w:cs="Arial"/>
          <w:color w:val="000000"/>
          <w:sz w:val="20"/>
          <w:szCs w:val="20"/>
        </w:rPr>
        <w:t xml:space="preserve"> – 0.94 </w:t>
      </w:r>
      <w:r w:rsidRPr="00FE7FE5">
        <w:rPr>
          <w:rFonts w:ascii="Arial" w:hAnsi="Arial" w:cs="Arial"/>
          <w:color w:val="000000"/>
          <w:sz w:val="20"/>
          <w:szCs w:val="20"/>
        </w:rPr>
        <w:t xml:space="preserve">across 2 km altitude by 20° latitudinal </w:t>
      </w:r>
      <w:r w:rsidR="00760D51">
        <w:rPr>
          <w:rFonts w:ascii="Arial" w:hAnsi="Arial" w:cs="Arial"/>
          <w:color w:val="000000"/>
          <w:sz w:val="20"/>
          <w:szCs w:val="20"/>
        </w:rPr>
        <w:t>regions</w:t>
      </w:r>
      <w:r w:rsidRPr="00FE7FE5">
        <w:rPr>
          <w:rFonts w:ascii="Arial" w:hAnsi="Arial" w:cs="Arial"/>
          <w:color w:val="000000"/>
          <w:sz w:val="20"/>
          <w:szCs w:val="20"/>
        </w:rPr>
        <w:t xml:space="preserve">). </w:t>
      </w:r>
      <w:r w:rsidR="007F57CB">
        <w:rPr>
          <w:rFonts w:ascii="Arial" w:hAnsi="Arial" w:cs="Arial"/>
          <w:color w:val="000000"/>
          <w:sz w:val="20"/>
          <w:szCs w:val="20"/>
        </w:rPr>
        <w:t>We deconstruct</w:t>
      </w:r>
      <w:r w:rsidR="00760D51">
        <w:rPr>
          <w:rFonts w:ascii="Arial" w:hAnsi="Arial" w:cs="Arial"/>
          <w:color w:val="000000"/>
          <w:sz w:val="20"/>
          <w:szCs w:val="20"/>
        </w:rPr>
        <w:t xml:space="preserve"> spatial</w:t>
      </w:r>
      <w:r w:rsidR="007F57CB">
        <w:rPr>
          <w:rFonts w:ascii="Arial" w:hAnsi="Arial" w:cs="Arial"/>
          <w:color w:val="000000"/>
          <w:sz w:val="20"/>
          <w:szCs w:val="20"/>
        </w:rPr>
        <w:t xml:space="preserve"> variations in</w:t>
      </w:r>
      <w:r w:rsidR="007F57CB" w:rsidRPr="00FE7FE5">
        <w:rPr>
          <w:rFonts w:ascii="Arial" w:hAnsi="Arial" w:cs="Arial"/>
          <w:color w:val="000000"/>
          <w:sz w:val="20"/>
          <w:szCs w:val="20"/>
        </w:rPr>
        <w:t xml:space="preserve"> Proxy</w:t>
      </w:r>
      <w:r w:rsidR="007F57CB" w:rsidRPr="00FE7FE5">
        <w:rPr>
          <w:rFonts w:ascii="Arial" w:hAnsi="Arial" w:cs="Arial"/>
          <w:i/>
          <w:iCs/>
          <w:color w:val="000000"/>
          <w:sz w:val="20"/>
          <w:szCs w:val="20"/>
          <w:vertAlign w:val="subscript"/>
        </w:rPr>
        <w:t>OH</w:t>
      </w:r>
      <w:r w:rsidR="007F57CB" w:rsidRPr="00FE7FE5">
        <w:rPr>
          <w:rFonts w:ascii="Arial" w:hAnsi="Arial" w:cs="Arial"/>
          <w:i/>
          <w:iCs/>
          <w:color w:val="000000"/>
          <w:sz w:val="20"/>
          <w:szCs w:val="20"/>
          <w:vertAlign w:val="subscript"/>
        </w:rPr>
        <w:softHyphen/>
      </w:r>
      <w:r w:rsidR="007F57CB" w:rsidRPr="00FE7FE5">
        <w:rPr>
          <w:rFonts w:ascii="Arial" w:hAnsi="Arial" w:cs="Arial"/>
          <w:i/>
          <w:iCs/>
          <w:color w:val="000000"/>
          <w:sz w:val="20"/>
          <w:szCs w:val="20"/>
        </w:rPr>
        <w:softHyphen/>
      </w:r>
      <w:r w:rsidR="007F57CB" w:rsidRPr="00FE7FE5">
        <w:rPr>
          <w:rFonts w:ascii="Arial" w:hAnsi="Arial" w:cs="Arial"/>
          <w:color w:val="000000"/>
          <w:sz w:val="20"/>
          <w:szCs w:val="20"/>
        </w:rPr>
        <w:t xml:space="preserve"> </w:t>
      </w:r>
      <w:r w:rsidR="007F57CB">
        <w:rPr>
          <w:rFonts w:ascii="Arial" w:hAnsi="Arial" w:cs="Arial"/>
          <w:color w:val="000000"/>
          <w:sz w:val="20"/>
          <w:szCs w:val="20"/>
        </w:rPr>
        <w:t xml:space="preserve">as a first-order approximation of the sensitivity of </w:t>
      </w:r>
      <w:r w:rsidR="007F57CB" w:rsidRPr="00FE7FE5">
        <w:rPr>
          <w:rFonts w:ascii="Arial" w:hAnsi="Arial" w:cs="Arial"/>
          <w:color w:val="000000"/>
          <w:sz w:val="20"/>
          <w:szCs w:val="20"/>
        </w:rPr>
        <w:t xml:space="preserve">OH </w:t>
      </w:r>
      <w:r w:rsidR="007F57CB">
        <w:rPr>
          <w:rFonts w:ascii="Arial" w:hAnsi="Arial" w:cs="Arial"/>
          <w:color w:val="000000"/>
          <w:sz w:val="20"/>
          <w:szCs w:val="20"/>
        </w:rPr>
        <w:t>variations to individual terms</w:t>
      </w:r>
      <w:r w:rsidR="00760D51">
        <w:rPr>
          <w:rFonts w:ascii="Arial" w:hAnsi="Arial" w:cs="Arial"/>
          <w:color w:val="000000"/>
          <w:sz w:val="20"/>
          <w:szCs w:val="20"/>
        </w:rPr>
        <w:t>.</w:t>
      </w:r>
      <w:r w:rsidR="007F57CB">
        <w:rPr>
          <w:rFonts w:ascii="Arial" w:hAnsi="Arial" w:cs="Arial"/>
          <w:color w:val="000000"/>
          <w:sz w:val="20"/>
          <w:szCs w:val="20"/>
        </w:rPr>
        <w:t xml:space="preserve"> </w:t>
      </w:r>
      <w:r w:rsidRPr="00FE7FE5">
        <w:rPr>
          <w:rFonts w:ascii="Arial" w:hAnsi="Arial" w:cs="Arial"/>
          <w:color w:val="000000"/>
          <w:sz w:val="20"/>
          <w:szCs w:val="20"/>
        </w:rPr>
        <w:t>Two terms</w:t>
      </w:r>
      <w:r w:rsidR="00CC52C6">
        <w:rPr>
          <w:rFonts w:ascii="Arial" w:hAnsi="Arial" w:cs="Arial"/>
          <w:color w:val="000000"/>
          <w:sz w:val="20"/>
          <w:szCs w:val="20"/>
        </w:rPr>
        <w:t xml:space="preserve"> </w:t>
      </w:r>
      <w:r w:rsidRPr="00FE7FE5">
        <w:rPr>
          <w:rFonts w:ascii="Arial" w:hAnsi="Arial" w:cs="Arial"/>
          <w:color w:val="000000"/>
          <w:sz w:val="20"/>
          <w:szCs w:val="20"/>
        </w:rPr>
        <w:t xml:space="preserve">modulate </w:t>
      </w:r>
      <w:r w:rsidR="007908FF">
        <w:rPr>
          <w:rFonts w:ascii="Arial" w:hAnsi="Arial" w:cs="Arial"/>
          <w:color w:val="000000"/>
          <w:sz w:val="20"/>
          <w:szCs w:val="20"/>
        </w:rPr>
        <w:t xml:space="preserve">within-region </w:t>
      </w:r>
      <w:r w:rsidRPr="00FE7FE5">
        <w:rPr>
          <w:rFonts w:ascii="Arial" w:hAnsi="Arial" w:cs="Arial"/>
          <w:color w:val="000000"/>
          <w:sz w:val="20"/>
          <w:szCs w:val="20"/>
        </w:rPr>
        <w:t>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w:t>
      </w:r>
      <w:r w:rsidR="009E3FDB">
        <w:rPr>
          <w:rFonts w:ascii="Arial" w:hAnsi="Arial" w:cs="Arial"/>
          <w:color w:val="000000"/>
          <w:sz w:val="20"/>
          <w:szCs w:val="20"/>
        </w:rPr>
        <w:t>variations</w:t>
      </w:r>
      <w:r w:rsidR="00CC52C6" w:rsidRPr="00FE7FE5">
        <w:rPr>
          <w:rFonts w:ascii="Arial" w:hAnsi="Arial" w:cs="Arial"/>
          <w:color w:val="000000"/>
          <w:sz w:val="20"/>
          <w:szCs w:val="20"/>
        </w:rPr>
        <w:t>—water vapor (H</w:t>
      </w:r>
      <w:r w:rsidR="00CC52C6" w:rsidRPr="00FE7FE5">
        <w:rPr>
          <w:rFonts w:ascii="Arial" w:hAnsi="Arial" w:cs="Arial"/>
          <w:color w:val="000000"/>
          <w:sz w:val="20"/>
          <w:szCs w:val="20"/>
          <w:vertAlign w:val="subscript"/>
        </w:rPr>
        <w:t>2</w:t>
      </w:r>
      <w:r w:rsidR="00CC52C6" w:rsidRPr="00FE7FE5">
        <w:rPr>
          <w:rFonts w:ascii="Arial" w:hAnsi="Arial" w:cs="Arial"/>
          <w:color w:val="000000"/>
          <w:sz w:val="20"/>
          <w:szCs w:val="20"/>
        </w:rPr>
        <w:t>O) and</w:t>
      </w:r>
      <w:r w:rsidR="00CC52C6">
        <w:rPr>
          <w:rFonts w:ascii="Arial" w:hAnsi="Arial" w:cs="Arial"/>
          <w:color w:val="000000"/>
          <w:sz w:val="20"/>
          <w:szCs w:val="20"/>
        </w:rPr>
        <w:t>, to a lesser extent,</w:t>
      </w:r>
      <w:r w:rsidR="00CC52C6" w:rsidRPr="00FE7FE5">
        <w:rPr>
          <w:rFonts w:ascii="Arial" w:hAnsi="Arial" w:cs="Arial"/>
          <w:color w:val="000000"/>
          <w:sz w:val="20"/>
          <w:szCs w:val="20"/>
        </w:rPr>
        <w:t xml:space="preserve"> nitric oxide (NO)</w:t>
      </w:r>
      <w:r w:rsidR="00CC52C6">
        <w:rPr>
          <w:rFonts w:ascii="Arial" w:hAnsi="Arial" w:cs="Arial"/>
          <w:color w:val="000000"/>
          <w:sz w:val="20"/>
          <w:szCs w:val="20"/>
        </w:rPr>
        <w:t>.</w:t>
      </w:r>
      <w:r w:rsidR="00BE1C37" w:rsidRPr="00FE7FE5">
        <w:rPr>
          <w:rFonts w:ascii="Arial" w:hAnsi="Arial" w:cs="Arial"/>
          <w:color w:val="000000"/>
          <w:sz w:val="20"/>
          <w:szCs w:val="20"/>
        </w:rPr>
        <w:t xml:space="preserve"> </w:t>
      </w:r>
      <w:r w:rsidR="00CC52C6">
        <w:rPr>
          <w:rFonts w:ascii="Arial" w:hAnsi="Arial" w:cs="Arial"/>
          <w:color w:val="000000"/>
          <w:sz w:val="20"/>
          <w:szCs w:val="20"/>
        </w:rPr>
        <w:t xml:space="preserve">This </w:t>
      </w:r>
      <w:r w:rsidR="00BE1C37" w:rsidRPr="00FE7FE5">
        <w:rPr>
          <w:rFonts w:ascii="Arial" w:hAnsi="Arial" w:cs="Arial"/>
          <w:color w:val="000000"/>
          <w:sz w:val="20"/>
          <w:szCs w:val="20"/>
        </w:rPr>
        <w:t>impl</w:t>
      </w:r>
      <w:r w:rsidR="00CC52C6">
        <w:rPr>
          <w:rFonts w:ascii="Arial" w:hAnsi="Arial" w:cs="Arial"/>
          <w:color w:val="000000"/>
          <w:sz w:val="20"/>
          <w:szCs w:val="20"/>
        </w:rPr>
        <w:t>ies</w:t>
      </w:r>
      <w:r w:rsidR="00BE1C37" w:rsidRPr="00FE7FE5">
        <w:rPr>
          <w:rFonts w:ascii="Arial" w:hAnsi="Arial" w:cs="Arial"/>
          <w:color w:val="000000"/>
          <w:sz w:val="20"/>
          <w:szCs w:val="20"/>
        </w:rPr>
        <w:t xml:space="preserve"> that a </w:t>
      </w:r>
      <w:r w:rsidR="00BE1C37">
        <w:rPr>
          <w:rFonts w:ascii="Arial" w:hAnsi="Arial" w:cs="Arial"/>
          <w:color w:val="000000"/>
          <w:sz w:val="20"/>
          <w:szCs w:val="20"/>
        </w:rPr>
        <w:t xml:space="preserve">limited </w:t>
      </w:r>
      <w:r w:rsidR="00BE1C37" w:rsidRPr="00FE7FE5">
        <w:rPr>
          <w:rFonts w:ascii="Arial" w:hAnsi="Arial" w:cs="Arial"/>
          <w:color w:val="000000"/>
          <w:sz w:val="20"/>
          <w:szCs w:val="20"/>
        </w:rPr>
        <w:t xml:space="preserve">set of observations could offer a novel avenue for observation-based mapping of OH </w:t>
      </w:r>
      <w:r w:rsidR="00217C8C">
        <w:rPr>
          <w:rFonts w:ascii="Arial" w:hAnsi="Arial" w:cs="Arial"/>
          <w:color w:val="000000"/>
          <w:sz w:val="20"/>
          <w:szCs w:val="20"/>
        </w:rPr>
        <w:t xml:space="preserve">spatial </w:t>
      </w:r>
      <w:r w:rsidR="00BE1C37">
        <w:rPr>
          <w:rFonts w:ascii="Arial" w:hAnsi="Arial" w:cs="Arial"/>
          <w:color w:val="000000"/>
          <w:sz w:val="20"/>
          <w:szCs w:val="20"/>
        </w:rPr>
        <w:t>variations</w:t>
      </w:r>
      <w:r w:rsidRPr="00FE7FE5">
        <w:rPr>
          <w:rFonts w:ascii="Arial" w:hAnsi="Arial" w:cs="Arial"/>
          <w:color w:val="000000"/>
          <w:sz w:val="20"/>
          <w:szCs w:val="20"/>
        </w:rPr>
        <w:t xml:space="preserve"> over much of the remote marine troposphere. Both H</w:t>
      </w:r>
      <w:r w:rsidRPr="00FE7FE5">
        <w:rPr>
          <w:rFonts w:ascii="Arial" w:hAnsi="Arial" w:cs="Arial"/>
          <w:color w:val="000000"/>
          <w:sz w:val="20"/>
          <w:szCs w:val="20"/>
          <w:vertAlign w:val="subscript"/>
        </w:rPr>
        <w:t>2</w:t>
      </w:r>
      <w:r w:rsidRPr="00FE7FE5">
        <w:rPr>
          <w:rFonts w:ascii="Arial" w:hAnsi="Arial" w:cs="Arial"/>
          <w:color w:val="000000"/>
          <w:sz w:val="20"/>
          <w:szCs w:val="20"/>
        </w:rPr>
        <w:t xml:space="preserve">O and NO are expected to change with climate, while NO also varies strongly with human activities. </w:t>
      </w:r>
      <w:r w:rsidR="00760D51">
        <w:rPr>
          <w:rFonts w:ascii="Arial" w:hAnsi="Arial" w:cs="Arial"/>
          <w:color w:val="000000"/>
          <w:sz w:val="20"/>
          <w:szCs w:val="20"/>
        </w:rPr>
        <w:t>We also illustrate the utility of Proxy</w:t>
      </w:r>
      <w:r w:rsidR="00760D51" w:rsidRPr="00F47570">
        <w:rPr>
          <w:rFonts w:ascii="Arial" w:hAnsi="Arial" w:cs="Arial"/>
          <w:i/>
          <w:iCs/>
          <w:color w:val="000000"/>
          <w:sz w:val="20"/>
          <w:szCs w:val="20"/>
          <w:vertAlign w:val="subscript"/>
        </w:rPr>
        <w:t>OH</w:t>
      </w:r>
      <w:r w:rsidR="00760D51">
        <w:rPr>
          <w:rFonts w:ascii="Arial" w:hAnsi="Arial" w:cs="Arial"/>
          <w:color w:val="000000"/>
          <w:sz w:val="20"/>
          <w:szCs w:val="20"/>
        </w:rPr>
        <w:t xml:space="preserve"> </w:t>
      </w:r>
      <w:r w:rsidR="00760D51" w:rsidRPr="00FE7FE5">
        <w:rPr>
          <w:rFonts w:ascii="Arial" w:hAnsi="Arial" w:cs="Arial"/>
          <w:color w:val="000000"/>
          <w:sz w:val="20"/>
          <w:szCs w:val="20"/>
        </w:rPr>
        <w:t>a</w:t>
      </w:r>
      <w:r w:rsidR="00760D51">
        <w:rPr>
          <w:rFonts w:ascii="Arial" w:hAnsi="Arial" w:cs="Arial"/>
          <w:color w:val="000000"/>
          <w:sz w:val="20"/>
          <w:szCs w:val="20"/>
        </w:rPr>
        <w:t>s</w:t>
      </w:r>
      <w:r w:rsidR="00760D51" w:rsidRPr="00FE7FE5">
        <w:rPr>
          <w:rFonts w:ascii="Arial" w:hAnsi="Arial" w:cs="Arial"/>
          <w:color w:val="000000"/>
          <w:sz w:val="20"/>
          <w:szCs w:val="20"/>
        </w:rPr>
        <w:t xml:space="preserve"> </w:t>
      </w:r>
      <w:r w:rsidR="00760D51">
        <w:rPr>
          <w:rFonts w:ascii="Arial" w:hAnsi="Arial" w:cs="Arial"/>
          <w:color w:val="000000"/>
          <w:sz w:val="20"/>
          <w:szCs w:val="20"/>
        </w:rPr>
        <w:t>a</w:t>
      </w:r>
      <w:r w:rsidR="00760D51" w:rsidRPr="00FE7FE5">
        <w:rPr>
          <w:rFonts w:ascii="Arial" w:hAnsi="Arial" w:cs="Arial"/>
          <w:color w:val="000000"/>
          <w:sz w:val="20"/>
          <w:szCs w:val="20"/>
        </w:rPr>
        <w:t xml:space="preserve"> process-based approach </w:t>
      </w:r>
      <w:r w:rsidR="00CC52C6">
        <w:rPr>
          <w:rFonts w:ascii="Arial" w:hAnsi="Arial" w:cs="Arial"/>
          <w:color w:val="000000"/>
          <w:sz w:val="20"/>
          <w:szCs w:val="20"/>
        </w:rPr>
        <w:t>for</w:t>
      </w:r>
      <w:r w:rsidR="00760D51" w:rsidRPr="00FE7FE5">
        <w:rPr>
          <w:rFonts w:ascii="Arial" w:hAnsi="Arial" w:cs="Arial"/>
          <w:color w:val="000000"/>
          <w:sz w:val="20"/>
          <w:szCs w:val="20"/>
        </w:rPr>
        <w:t xml:space="preserve"> </w:t>
      </w:r>
      <w:r w:rsidR="001C2313">
        <w:rPr>
          <w:rFonts w:ascii="Arial" w:hAnsi="Arial" w:cs="Arial"/>
          <w:color w:val="000000"/>
          <w:sz w:val="20"/>
          <w:szCs w:val="20"/>
        </w:rPr>
        <w:t>evaluat</w:t>
      </w:r>
      <w:r w:rsidR="00CC52C6">
        <w:rPr>
          <w:rFonts w:ascii="Arial" w:hAnsi="Arial" w:cs="Arial"/>
          <w:color w:val="000000"/>
          <w:sz w:val="20"/>
          <w:szCs w:val="20"/>
        </w:rPr>
        <w:t>ing</w:t>
      </w:r>
      <w:r w:rsidR="001C2313">
        <w:rPr>
          <w:rFonts w:ascii="Arial" w:hAnsi="Arial" w:cs="Arial"/>
          <w:color w:val="000000"/>
          <w:sz w:val="20"/>
          <w:szCs w:val="20"/>
        </w:rPr>
        <w:t xml:space="preserve"> inter-model </w:t>
      </w:r>
      <w:r w:rsidR="00A20DB1">
        <w:rPr>
          <w:rFonts w:ascii="Arial" w:hAnsi="Arial" w:cs="Arial"/>
          <w:color w:val="000000"/>
          <w:sz w:val="20"/>
          <w:szCs w:val="20"/>
        </w:rPr>
        <w:t>differences</w:t>
      </w:r>
      <w:r w:rsidR="001C2313">
        <w:rPr>
          <w:rFonts w:ascii="Arial" w:hAnsi="Arial" w:cs="Arial"/>
          <w:color w:val="000000"/>
          <w:sz w:val="20"/>
          <w:szCs w:val="20"/>
        </w:rPr>
        <w:t xml:space="preserve"> in </w:t>
      </w:r>
      <w:r w:rsidR="00CC52C6">
        <w:rPr>
          <w:rFonts w:ascii="Arial" w:hAnsi="Arial" w:cs="Arial"/>
          <w:color w:val="000000"/>
          <w:sz w:val="20"/>
          <w:szCs w:val="20"/>
        </w:rPr>
        <w:t xml:space="preserve">remote marine tropospheric </w:t>
      </w:r>
      <w:r w:rsidR="001C2313">
        <w:rPr>
          <w:rFonts w:ascii="Arial" w:hAnsi="Arial" w:cs="Arial"/>
          <w:color w:val="000000"/>
          <w:sz w:val="20"/>
          <w:szCs w:val="20"/>
        </w:rPr>
        <w:t>OH</w:t>
      </w:r>
      <w:r w:rsidR="00760D51" w:rsidRPr="00FE7FE5">
        <w:rPr>
          <w:rFonts w:ascii="Arial" w:hAnsi="Arial" w:cs="Arial"/>
          <w:color w:val="000000"/>
          <w:sz w:val="20"/>
          <w:szCs w:val="20"/>
        </w:rPr>
        <w:t>.</w:t>
      </w:r>
    </w:p>
    <w:p w14:paraId="45398465" w14:textId="77777777" w:rsidR="00E6133D" w:rsidRPr="00980C22" w:rsidRDefault="00E6133D" w:rsidP="00E6133D">
      <w:pPr>
        <w:keepNext/>
        <w:pBdr>
          <w:top w:val="nil"/>
          <w:left w:val="nil"/>
          <w:bottom w:val="nil"/>
          <w:right w:val="nil"/>
          <w:between w:val="nil"/>
        </w:pBdr>
        <w:spacing w:before="240" w:after="60"/>
        <w:rPr>
          <w:rFonts w:ascii="Arial" w:hAnsi="Arial" w:cs="Arial"/>
          <w:b/>
          <w:color w:val="000000"/>
          <w:sz w:val="20"/>
          <w:szCs w:val="20"/>
        </w:rPr>
      </w:pPr>
      <w:r w:rsidRPr="00980C22">
        <w:rPr>
          <w:rFonts w:ascii="Arial" w:hAnsi="Arial" w:cs="Arial"/>
          <w:b/>
          <w:color w:val="000000"/>
          <w:sz w:val="20"/>
          <w:szCs w:val="20"/>
        </w:rPr>
        <w:t>Significance Statement</w:t>
      </w:r>
    </w:p>
    <w:p w14:paraId="4A98E00C" w14:textId="1657C917" w:rsidR="00E6133D" w:rsidRPr="00980C22" w:rsidRDefault="00FE7FE5" w:rsidP="00E6133D">
      <w:pPr>
        <w:keepNext/>
        <w:pBdr>
          <w:top w:val="nil"/>
          <w:left w:val="nil"/>
          <w:bottom w:val="nil"/>
          <w:right w:val="nil"/>
          <w:between w:val="nil"/>
        </w:pBdr>
        <w:spacing w:before="240" w:after="60"/>
        <w:rPr>
          <w:rFonts w:ascii="Arial" w:hAnsi="Arial" w:cs="Arial"/>
          <w:color w:val="000000"/>
          <w:sz w:val="20"/>
          <w:szCs w:val="20"/>
        </w:rPr>
      </w:pPr>
      <w:r w:rsidRPr="00FE7FE5">
        <w:rPr>
          <w:rFonts w:ascii="Arial" w:hAnsi="Arial" w:cs="Arial"/>
          <w:color w:val="000000"/>
          <w:sz w:val="20"/>
          <w:szCs w:val="20"/>
        </w:rPr>
        <w:t>The hydroxyl radical (OH) controls tropospheric methane loss rate</w:t>
      </w:r>
      <w:r w:rsidR="00BE1C37">
        <w:rPr>
          <w:rFonts w:ascii="Arial" w:hAnsi="Arial" w:cs="Arial"/>
          <w:color w:val="000000"/>
          <w:sz w:val="20"/>
          <w:szCs w:val="20"/>
        </w:rPr>
        <w:t>s</w:t>
      </w:r>
      <w:r w:rsidR="00A20DB1">
        <w:rPr>
          <w:rFonts w:ascii="Arial" w:hAnsi="Arial" w:cs="Arial"/>
          <w:color w:val="000000"/>
          <w:sz w:val="20"/>
          <w:szCs w:val="20"/>
        </w:rPr>
        <w:t xml:space="preserve">. </w:t>
      </w:r>
      <w:r w:rsidR="00BE1C37">
        <w:rPr>
          <w:rFonts w:ascii="Arial" w:hAnsi="Arial" w:cs="Arial"/>
          <w:color w:val="000000"/>
          <w:sz w:val="20"/>
          <w:szCs w:val="20"/>
        </w:rPr>
        <w:t>G</w:t>
      </w:r>
      <w:r w:rsidR="00BE1C37" w:rsidRPr="00FE7FE5">
        <w:rPr>
          <w:rFonts w:ascii="Arial" w:hAnsi="Arial" w:cs="Arial"/>
          <w:color w:val="000000"/>
          <w:sz w:val="20"/>
          <w:szCs w:val="20"/>
        </w:rPr>
        <w:t xml:space="preserve">lobal or hemispheric annual mean methane loss rates are currently inferred from </w:t>
      </w:r>
      <w:r w:rsidR="00BE1C37">
        <w:rPr>
          <w:rFonts w:ascii="Arial" w:hAnsi="Arial" w:cs="Arial"/>
          <w:color w:val="000000"/>
          <w:sz w:val="20"/>
          <w:szCs w:val="20"/>
        </w:rPr>
        <w:t>observations</w:t>
      </w:r>
      <w:r w:rsidR="00BE1C37" w:rsidRPr="00FE7FE5">
        <w:rPr>
          <w:rFonts w:ascii="Arial" w:hAnsi="Arial" w:cs="Arial"/>
          <w:color w:val="000000"/>
          <w:sz w:val="20"/>
          <w:szCs w:val="20"/>
        </w:rPr>
        <w:t xml:space="preserve"> of well-mixed </w:t>
      </w:r>
      <w:r w:rsidR="00BE1C37">
        <w:rPr>
          <w:rFonts w:ascii="Arial" w:hAnsi="Arial" w:cs="Arial"/>
          <w:color w:val="000000"/>
          <w:sz w:val="20"/>
          <w:szCs w:val="20"/>
        </w:rPr>
        <w:t>gases</w:t>
      </w:r>
      <w:r w:rsidR="00217C8C">
        <w:rPr>
          <w:rFonts w:ascii="Arial" w:hAnsi="Arial" w:cs="Arial"/>
          <w:color w:val="000000"/>
          <w:sz w:val="20"/>
          <w:szCs w:val="20"/>
        </w:rPr>
        <w:t>,</w:t>
      </w:r>
      <w:r w:rsidR="00BE1C37" w:rsidRPr="00FE7FE5">
        <w:rPr>
          <w:rFonts w:ascii="Arial" w:hAnsi="Arial" w:cs="Arial"/>
          <w:color w:val="000000"/>
          <w:sz w:val="20"/>
          <w:szCs w:val="20"/>
        </w:rPr>
        <w:t xml:space="preserve"> </w:t>
      </w:r>
      <w:r w:rsidR="00BE1C37">
        <w:rPr>
          <w:rFonts w:ascii="Arial" w:hAnsi="Arial" w:cs="Arial"/>
          <w:color w:val="000000"/>
          <w:sz w:val="20"/>
          <w:szCs w:val="20"/>
        </w:rPr>
        <w:t>such as</w:t>
      </w:r>
      <w:r w:rsidR="00BE1C37" w:rsidRPr="00FE7FE5">
        <w:rPr>
          <w:rFonts w:ascii="Arial" w:hAnsi="Arial" w:cs="Arial"/>
          <w:color w:val="000000"/>
          <w:sz w:val="20"/>
          <w:szCs w:val="20"/>
        </w:rPr>
        <w:t xml:space="preserve"> methyl chloroform</w:t>
      </w:r>
      <w:r w:rsidR="00BE1C37">
        <w:rPr>
          <w:rFonts w:ascii="Arial" w:hAnsi="Arial" w:cs="Arial"/>
          <w:color w:val="000000"/>
          <w:sz w:val="20"/>
          <w:szCs w:val="20"/>
        </w:rPr>
        <w:t>. The</w:t>
      </w:r>
      <w:r w:rsidR="009E079E">
        <w:rPr>
          <w:rFonts w:ascii="Arial" w:hAnsi="Arial" w:cs="Arial"/>
          <w:color w:val="000000"/>
          <w:sz w:val="20"/>
          <w:szCs w:val="20"/>
        </w:rPr>
        <w:t xml:space="preserve"> short </w:t>
      </w:r>
      <w:r w:rsidR="00BE1C37">
        <w:rPr>
          <w:rFonts w:ascii="Arial" w:hAnsi="Arial" w:cs="Arial"/>
          <w:color w:val="000000"/>
          <w:sz w:val="20"/>
          <w:szCs w:val="20"/>
        </w:rPr>
        <w:t xml:space="preserve">OH </w:t>
      </w:r>
      <w:r w:rsidR="009E079E">
        <w:rPr>
          <w:rFonts w:ascii="Arial" w:hAnsi="Arial" w:cs="Arial"/>
          <w:color w:val="000000"/>
          <w:sz w:val="20"/>
          <w:szCs w:val="20"/>
        </w:rPr>
        <w:t xml:space="preserve">lifetime </w:t>
      </w:r>
      <w:r w:rsidR="00D9005B">
        <w:rPr>
          <w:rFonts w:ascii="Arial" w:hAnsi="Arial" w:cs="Arial"/>
          <w:color w:val="000000"/>
          <w:sz w:val="20"/>
          <w:szCs w:val="20"/>
        </w:rPr>
        <w:t>(</w:t>
      </w:r>
      <w:r w:rsidR="009E079E">
        <w:rPr>
          <w:rFonts w:ascii="Arial" w:hAnsi="Arial" w:cs="Arial"/>
          <w:color w:val="000000"/>
          <w:sz w:val="20"/>
          <w:szCs w:val="20"/>
        </w:rPr>
        <w:t>1-2 seconds</w:t>
      </w:r>
      <w:r w:rsidR="00D9005B">
        <w:rPr>
          <w:rFonts w:ascii="Arial" w:hAnsi="Arial" w:cs="Arial"/>
          <w:color w:val="000000"/>
          <w:sz w:val="20"/>
          <w:szCs w:val="20"/>
        </w:rPr>
        <w:t xml:space="preserve">) </w:t>
      </w:r>
      <w:r w:rsidR="00BE1C37">
        <w:rPr>
          <w:rFonts w:ascii="Arial" w:hAnsi="Arial" w:cs="Arial"/>
          <w:color w:val="000000"/>
          <w:sz w:val="20"/>
          <w:szCs w:val="20"/>
        </w:rPr>
        <w:t xml:space="preserve">and associated sharp spatiotemporal variations </w:t>
      </w:r>
      <w:r w:rsidR="00D9005B">
        <w:rPr>
          <w:rFonts w:ascii="Arial" w:hAnsi="Arial" w:cs="Arial"/>
          <w:color w:val="000000"/>
          <w:sz w:val="20"/>
          <w:szCs w:val="20"/>
        </w:rPr>
        <w:t xml:space="preserve">limit constraints on global models and understanding of “why” </w:t>
      </w:r>
      <w:r w:rsidR="00BE1C37">
        <w:rPr>
          <w:rFonts w:ascii="Arial" w:hAnsi="Arial" w:cs="Arial"/>
          <w:color w:val="000000"/>
          <w:sz w:val="20"/>
          <w:szCs w:val="20"/>
        </w:rPr>
        <w:t xml:space="preserve">globally integrated </w:t>
      </w:r>
      <w:r w:rsidR="00D9005B">
        <w:rPr>
          <w:rFonts w:ascii="Arial" w:hAnsi="Arial" w:cs="Arial"/>
          <w:color w:val="000000"/>
          <w:sz w:val="20"/>
          <w:szCs w:val="20"/>
        </w:rPr>
        <w:t>OH fluctuates</w:t>
      </w:r>
      <w:r w:rsidRPr="00FE7FE5">
        <w:rPr>
          <w:rFonts w:ascii="Arial" w:hAnsi="Arial" w:cs="Arial"/>
          <w:color w:val="000000"/>
          <w:sz w:val="20"/>
          <w:szCs w:val="20"/>
        </w:rPr>
        <w:t xml:space="preserve">. From airborne measurements and steady-state chemistry, we develop a proxy to infer OH </w:t>
      </w:r>
      <w:r w:rsidR="00D9005B">
        <w:rPr>
          <w:rFonts w:ascii="Arial" w:hAnsi="Arial" w:cs="Arial"/>
          <w:color w:val="000000"/>
          <w:sz w:val="20"/>
          <w:szCs w:val="20"/>
        </w:rPr>
        <w:t xml:space="preserve">spatial </w:t>
      </w:r>
      <w:r w:rsidR="009E3FDB">
        <w:rPr>
          <w:rFonts w:ascii="Arial" w:hAnsi="Arial" w:cs="Arial"/>
          <w:color w:val="000000"/>
          <w:sz w:val="20"/>
          <w:szCs w:val="20"/>
        </w:rPr>
        <w:t>variations</w:t>
      </w:r>
      <w:r w:rsidRPr="00FE7FE5">
        <w:rPr>
          <w:rFonts w:ascii="Arial" w:hAnsi="Arial" w:cs="Arial"/>
          <w:color w:val="000000"/>
          <w:sz w:val="20"/>
          <w:szCs w:val="20"/>
        </w:rPr>
        <w:t xml:space="preserve"> and</w:t>
      </w:r>
      <w:r w:rsidR="001C2313">
        <w:rPr>
          <w:rFonts w:ascii="Arial" w:hAnsi="Arial" w:cs="Arial"/>
          <w:color w:val="000000"/>
          <w:sz w:val="20"/>
          <w:szCs w:val="20"/>
        </w:rPr>
        <w:t xml:space="preserve"> their</w:t>
      </w:r>
      <w:r w:rsidRPr="00FE7FE5">
        <w:rPr>
          <w:rFonts w:ascii="Arial" w:hAnsi="Arial" w:cs="Arial"/>
          <w:color w:val="000000"/>
          <w:sz w:val="20"/>
          <w:szCs w:val="20"/>
        </w:rPr>
        <w:t xml:space="preserve"> sensitivity to individual photochemical drivers </w:t>
      </w:r>
      <w:r w:rsidR="00D9005B">
        <w:rPr>
          <w:rFonts w:ascii="Arial" w:hAnsi="Arial" w:cs="Arial"/>
          <w:color w:val="000000"/>
          <w:sz w:val="20"/>
          <w:szCs w:val="20"/>
        </w:rPr>
        <w:t xml:space="preserve">over </w:t>
      </w:r>
      <w:r w:rsidRPr="00FE7FE5">
        <w:rPr>
          <w:rFonts w:ascii="Arial" w:hAnsi="Arial" w:cs="Arial"/>
          <w:color w:val="000000"/>
          <w:sz w:val="20"/>
          <w:szCs w:val="20"/>
        </w:rPr>
        <w:t>30 different regions</w:t>
      </w:r>
      <w:r w:rsidR="003C0D57">
        <w:rPr>
          <w:rFonts w:ascii="Arial" w:hAnsi="Arial" w:cs="Arial"/>
          <w:color w:val="000000"/>
          <w:sz w:val="20"/>
          <w:szCs w:val="20"/>
        </w:rPr>
        <w:t xml:space="preserve"> in the remote marine troposphere</w:t>
      </w:r>
      <w:r w:rsidRPr="00FE7FE5">
        <w:rPr>
          <w:rFonts w:ascii="Arial" w:hAnsi="Arial" w:cs="Arial"/>
          <w:color w:val="000000"/>
          <w:sz w:val="20"/>
          <w:szCs w:val="20"/>
        </w:rPr>
        <w:t>. Two terms</w:t>
      </w:r>
      <w:r w:rsidR="00FD0D03">
        <w:rPr>
          <w:rFonts w:ascii="Arial" w:hAnsi="Arial" w:cs="Arial"/>
          <w:color w:val="000000"/>
          <w:sz w:val="20"/>
          <w:szCs w:val="20"/>
        </w:rPr>
        <w:t xml:space="preserve">, water vapor and </w:t>
      </w:r>
      <w:r w:rsidR="00113920">
        <w:rPr>
          <w:rFonts w:ascii="Arial" w:hAnsi="Arial" w:cs="Arial"/>
          <w:color w:val="000000"/>
          <w:sz w:val="20"/>
          <w:szCs w:val="20"/>
        </w:rPr>
        <w:t>nitr</w:t>
      </w:r>
      <w:r w:rsidR="00217C8C">
        <w:rPr>
          <w:rFonts w:ascii="Arial" w:hAnsi="Arial" w:cs="Arial"/>
          <w:color w:val="000000"/>
          <w:sz w:val="20"/>
          <w:szCs w:val="20"/>
        </w:rPr>
        <w:t>ic</w:t>
      </w:r>
      <w:r w:rsidR="00FD0D03">
        <w:rPr>
          <w:rFonts w:ascii="Arial" w:hAnsi="Arial" w:cs="Arial"/>
          <w:color w:val="000000"/>
          <w:sz w:val="20"/>
          <w:szCs w:val="20"/>
        </w:rPr>
        <w:t xml:space="preserve"> oxide,</w:t>
      </w:r>
      <w:r w:rsidRPr="00FE7FE5">
        <w:rPr>
          <w:rFonts w:ascii="Arial" w:hAnsi="Arial" w:cs="Arial"/>
          <w:color w:val="000000"/>
          <w:sz w:val="20"/>
          <w:szCs w:val="20"/>
        </w:rPr>
        <w:t xml:space="preserve"> contribute most of the </w:t>
      </w:r>
      <w:r w:rsidR="00BE1C37">
        <w:rPr>
          <w:rFonts w:ascii="Arial" w:hAnsi="Arial" w:cs="Arial"/>
          <w:color w:val="000000"/>
          <w:sz w:val="20"/>
          <w:szCs w:val="20"/>
        </w:rPr>
        <w:t>within-</w:t>
      </w:r>
      <w:r w:rsidR="00FD0D03">
        <w:rPr>
          <w:rFonts w:ascii="Arial" w:hAnsi="Arial" w:cs="Arial"/>
          <w:color w:val="000000"/>
          <w:sz w:val="20"/>
          <w:szCs w:val="20"/>
        </w:rPr>
        <w:t xml:space="preserve">region </w:t>
      </w:r>
      <w:r w:rsidRPr="00000DA1">
        <w:rPr>
          <w:rFonts w:ascii="Arial" w:hAnsi="Arial" w:cs="Arial"/>
          <w:color w:val="000000"/>
          <w:sz w:val="20"/>
          <w:szCs w:val="20"/>
        </w:rPr>
        <w:t xml:space="preserve">proxy </w:t>
      </w:r>
      <w:r w:rsidR="009E3FDB" w:rsidRPr="00000DA1">
        <w:rPr>
          <w:rFonts w:ascii="Arial" w:hAnsi="Arial" w:cs="Arial"/>
          <w:color w:val="000000"/>
          <w:sz w:val="20"/>
          <w:szCs w:val="20"/>
        </w:rPr>
        <w:t>variation</w:t>
      </w:r>
      <w:r w:rsidR="00A20DB1" w:rsidRPr="00000DA1">
        <w:rPr>
          <w:rFonts w:ascii="Arial" w:hAnsi="Arial" w:cs="Arial"/>
          <w:color w:val="000000"/>
          <w:sz w:val="20"/>
          <w:szCs w:val="20"/>
        </w:rPr>
        <w:t>s</w:t>
      </w:r>
      <w:r w:rsidRPr="00DA5A76">
        <w:rPr>
          <w:rFonts w:ascii="Arial" w:hAnsi="Arial" w:cs="Arial"/>
          <w:color w:val="000000"/>
          <w:sz w:val="20"/>
          <w:szCs w:val="20"/>
        </w:rPr>
        <w:t xml:space="preserve">, implying that a </w:t>
      </w:r>
      <w:r w:rsidR="00CC64F9">
        <w:rPr>
          <w:rFonts w:ascii="Arial" w:hAnsi="Arial" w:cs="Arial"/>
          <w:color w:val="000000"/>
          <w:sz w:val="20"/>
          <w:szCs w:val="20"/>
        </w:rPr>
        <w:t>limited</w:t>
      </w:r>
      <w:r w:rsidR="00CC64F9" w:rsidRPr="00DA5A76">
        <w:rPr>
          <w:rFonts w:ascii="Arial" w:hAnsi="Arial" w:cs="Arial"/>
          <w:color w:val="000000"/>
          <w:sz w:val="20"/>
          <w:szCs w:val="20"/>
        </w:rPr>
        <w:t xml:space="preserve"> </w:t>
      </w:r>
      <w:r w:rsidRPr="00DA5A76">
        <w:rPr>
          <w:rFonts w:ascii="Arial" w:hAnsi="Arial" w:cs="Arial"/>
          <w:color w:val="000000"/>
          <w:sz w:val="20"/>
          <w:szCs w:val="20"/>
        </w:rPr>
        <w:t>set of observations could serve as bellwethers of changing atmospheric oxidation</w:t>
      </w:r>
      <w:r w:rsidR="00D9005B" w:rsidRPr="00000DA1">
        <w:rPr>
          <w:rFonts w:ascii="Arial" w:hAnsi="Arial" w:cs="Arial"/>
          <w:color w:val="000000"/>
          <w:sz w:val="20"/>
          <w:szCs w:val="20"/>
        </w:rPr>
        <w:t xml:space="preserve"> </w:t>
      </w:r>
      <w:r w:rsidR="00C20C8E" w:rsidRPr="00000DA1">
        <w:rPr>
          <w:rFonts w:ascii="Arial" w:hAnsi="Arial" w:cs="Arial"/>
          <w:color w:val="000000"/>
          <w:sz w:val="20"/>
          <w:szCs w:val="20"/>
        </w:rPr>
        <w:t>patterns</w:t>
      </w:r>
      <w:r w:rsidRPr="00000DA1">
        <w:rPr>
          <w:rFonts w:ascii="Arial" w:hAnsi="Arial" w:cs="Arial"/>
          <w:color w:val="000000"/>
          <w:sz w:val="20"/>
          <w:szCs w:val="20"/>
        </w:rPr>
        <w:t>.</w:t>
      </w:r>
    </w:p>
    <w:p w14:paraId="2A72CFB6" w14:textId="77777777" w:rsidR="00980C22" w:rsidRPr="00980C22" w:rsidRDefault="00980C22" w:rsidP="00E6133D">
      <w:pPr>
        <w:keepNext/>
        <w:pBdr>
          <w:top w:val="nil"/>
          <w:left w:val="nil"/>
          <w:bottom w:val="nil"/>
          <w:right w:val="nil"/>
          <w:between w:val="nil"/>
        </w:pBdr>
        <w:spacing w:before="240" w:after="60"/>
        <w:contextualSpacing/>
        <w:rPr>
          <w:rFonts w:ascii="Arial" w:hAnsi="Arial" w:cs="Arial"/>
          <w:color w:val="000000"/>
          <w:sz w:val="20"/>
          <w:szCs w:val="20"/>
        </w:rPr>
      </w:pPr>
    </w:p>
    <w:p w14:paraId="119741A7" w14:textId="77777777" w:rsidR="00E6133D" w:rsidRDefault="00E6133D" w:rsidP="00E6133D">
      <w:pPr>
        <w:keepNext/>
        <w:pBdr>
          <w:top w:val="nil"/>
          <w:left w:val="nil"/>
          <w:bottom w:val="nil"/>
          <w:right w:val="nil"/>
          <w:between w:val="nil"/>
        </w:pBdr>
        <w:spacing w:before="240" w:after="60"/>
        <w:contextualSpacing/>
        <w:rPr>
          <w:rFonts w:ascii="Arial" w:hAnsi="Arial" w:cs="Arial"/>
          <w:b/>
          <w:color w:val="000000"/>
          <w:sz w:val="20"/>
          <w:szCs w:val="20"/>
        </w:rPr>
      </w:pPr>
      <w:r w:rsidRPr="00980C22">
        <w:rPr>
          <w:rFonts w:ascii="Arial" w:hAnsi="Arial" w:cs="Arial"/>
          <w:b/>
          <w:color w:val="000000"/>
          <w:sz w:val="20"/>
          <w:szCs w:val="20"/>
        </w:rPr>
        <w:t>Main Text</w:t>
      </w:r>
    </w:p>
    <w:p w14:paraId="0A25037F" w14:textId="63362C9D" w:rsidR="00E6133D" w:rsidRPr="007F380D" w:rsidRDefault="007F380D" w:rsidP="007F380D">
      <w:pPr>
        <w:keepNext/>
        <w:pBdr>
          <w:top w:val="nil"/>
          <w:left w:val="nil"/>
          <w:bottom w:val="nil"/>
          <w:right w:val="nil"/>
          <w:between w:val="nil"/>
        </w:pBdr>
        <w:spacing w:before="240" w:after="60"/>
        <w:rPr>
          <w:rFonts w:ascii="Arial" w:hAnsi="Arial" w:cs="Arial"/>
          <w:b/>
          <w:color w:val="000000"/>
          <w:sz w:val="20"/>
          <w:szCs w:val="20"/>
        </w:rPr>
      </w:pPr>
      <w:r w:rsidRPr="007F380D">
        <w:rPr>
          <w:rFonts w:ascii="Arial" w:hAnsi="Arial" w:cs="Arial"/>
          <w:b/>
          <w:color w:val="000000"/>
          <w:sz w:val="20"/>
          <w:szCs w:val="20"/>
        </w:rPr>
        <w:t>1.</w:t>
      </w:r>
      <w:r>
        <w:rPr>
          <w:rFonts w:ascii="Arial" w:hAnsi="Arial" w:cs="Arial"/>
          <w:b/>
          <w:color w:val="000000"/>
          <w:sz w:val="20"/>
          <w:szCs w:val="20"/>
        </w:rPr>
        <w:t xml:space="preserve"> </w:t>
      </w:r>
      <w:r w:rsidR="00E6133D" w:rsidRPr="007F380D">
        <w:rPr>
          <w:rFonts w:ascii="Arial" w:hAnsi="Arial" w:cs="Arial"/>
          <w:b/>
          <w:color w:val="000000"/>
          <w:sz w:val="20"/>
          <w:szCs w:val="20"/>
        </w:rPr>
        <w:t>Introduction</w:t>
      </w:r>
    </w:p>
    <w:p w14:paraId="31E96E38" w14:textId="77777777" w:rsidR="007F380D" w:rsidRDefault="007F380D" w:rsidP="00FE7FE5">
      <w:pPr>
        <w:keepNext/>
        <w:pBdr>
          <w:top w:val="nil"/>
          <w:left w:val="nil"/>
          <w:bottom w:val="nil"/>
          <w:right w:val="nil"/>
          <w:between w:val="nil"/>
        </w:pBdr>
        <w:spacing w:before="240" w:after="60"/>
        <w:contextualSpacing/>
        <w:rPr>
          <w:rFonts w:ascii="Arial" w:hAnsi="Arial" w:cs="Arial"/>
          <w:color w:val="000000"/>
          <w:sz w:val="20"/>
          <w:szCs w:val="20"/>
        </w:rPr>
      </w:pPr>
    </w:p>
    <w:p w14:paraId="6C3086CC" w14:textId="036A9037" w:rsidR="00FE7FE5" w:rsidRPr="00FE7FE5"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r w:rsidRPr="00FE7FE5">
        <w:rPr>
          <w:rFonts w:ascii="Arial" w:hAnsi="Arial" w:cs="Arial"/>
          <w:color w:val="000000"/>
          <w:sz w:val="20"/>
          <w:szCs w:val="20"/>
        </w:rPr>
        <w:t xml:space="preserve">As the primary sink for methane, a strong greenhouse gas and air pollutant precursor, the hydroxyl radical (OH) is an influential yet poorly </w:t>
      </w:r>
      <w:r w:rsidR="00A77A87">
        <w:rPr>
          <w:rFonts w:ascii="Arial" w:hAnsi="Arial" w:cs="Arial"/>
          <w:color w:val="000000"/>
          <w:sz w:val="20"/>
          <w:szCs w:val="20"/>
        </w:rPr>
        <w:t>quantified</w:t>
      </w:r>
      <w:r w:rsidR="00A77A87" w:rsidRPr="00FE7FE5">
        <w:rPr>
          <w:rFonts w:ascii="Arial" w:hAnsi="Arial" w:cs="Arial"/>
          <w:color w:val="000000"/>
          <w:sz w:val="20"/>
          <w:szCs w:val="20"/>
        </w:rPr>
        <w:t xml:space="preserve"> </w:t>
      </w:r>
      <w:r w:rsidRPr="00FE7FE5">
        <w:rPr>
          <w:rFonts w:ascii="Arial" w:hAnsi="Arial" w:cs="Arial"/>
          <w:color w:val="000000"/>
          <w:sz w:val="20"/>
          <w:szCs w:val="20"/>
        </w:rPr>
        <w:t xml:space="preserve">lever on methane </w:t>
      </w:r>
      <w:r w:rsidR="009E3FDB">
        <w:rPr>
          <w:rFonts w:ascii="Arial" w:hAnsi="Arial" w:cs="Arial"/>
          <w:color w:val="000000"/>
          <w:sz w:val="20"/>
          <w:szCs w:val="20"/>
        </w:rPr>
        <w:t>variations</w:t>
      </w:r>
      <w:r w:rsidRPr="00FE7FE5">
        <w:rPr>
          <w:rFonts w:ascii="Arial" w:hAnsi="Arial" w:cs="Arial"/>
          <w:color w:val="000000"/>
          <w:sz w:val="20"/>
          <w:szCs w:val="20"/>
        </w:rPr>
        <w:t xml:space="preserve">. Uncertainty in OH </w:t>
      </w:r>
      <w:r w:rsidR="001C2313">
        <w:rPr>
          <w:rFonts w:ascii="Arial" w:hAnsi="Arial" w:cs="Arial"/>
          <w:color w:val="000000"/>
          <w:sz w:val="20"/>
          <w:szCs w:val="20"/>
        </w:rPr>
        <w:t xml:space="preserve">interannual </w:t>
      </w:r>
      <w:r w:rsidR="009E3FDB">
        <w:rPr>
          <w:rFonts w:ascii="Arial" w:hAnsi="Arial" w:cs="Arial"/>
          <w:color w:val="000000"/>
          <w:sz w:val="20"/>
          <w:szCs w:val="20"/>
        </w:rPr>
        <w:t>variations</w:t>
      </w:r>
      <w:r w:rsidRPr="00FE7FE5">
        <w:rPr>
          <w:rFonts w:ascii="Arial" w:hAnsi="Arial" w:cs="Arial"/>
          <w:color w:val="000000"/>
          <w:sz w:val="20"/>
          <w:szCs w:val="20"/>
        </w:rPr>
        <w:t xml:space="preserve"> is sufficiently high that it can hinder attribution of annual methane fluctuations. For example, inverse modeling analyses suggested several—sometimes conflicting—source sectors could explain the observed stabilization in methane levels from 2000 to 2005 </w:t>
      </w:r>
      <w:r w:rsidRPr="00FE7FE5">
        <w:rPr>
          <w:rFonts w:ascii="Arial" w:hAnsi="Arial" w:cs="Arial"/>
          <w:color w:val="000000"/>
          <w:sz w:val="20"/>
          <w:szCs w:val="20"/>
        </w:rPr>
        <w:fldChar w:fldCharType="begin"/>
      </w:r>
      <w:r w:rsidR="009108F6">
        <w:rPr>
          <w:rFonts w:ascii="Arial" w:hAnsi="Arial" w:cs="Arial"/>
          <w:color w:val="000000"/>
          <w:sz w:val="20"/>
          <w:szCs w:val="20"/>
        </w:rPr>
        <w:instrText xml:space="preserve"> ADDIN ZOTERO_ITEM CSL_CITATION {"citationID":"f0RMzsys","properties":{"formattedCitation":"(1\\uc0\\u8211{}5)","plainCitation":"(1–5)","noteIndex":0},"citationItems":[{"id":763,"uris":["http://zotero.org/users/9309103/items/8FM9NG7E"],"itemData":{"id":763,"type":"article-journal","abstract":"Observations of atmospheric methane (CH4) since the late 1970s and measurements of CH4 trapped in ice and snow reveal a meteoric rise in concentration during much of the twentieth century. Since 1750, levels of atmospheric CH4 have more than doubled to current globally averaged concentration near 1,800 ppb. During the late 1980s and 1990s, the CH4 growth rate slowed substantially and was near or at zero between 1999 and 2006. There is no scientific consensus on the drivers of this slowdown. Here, we report measurements of the stable isotopic composition of atmospheric CH4 (13C/12C and D/H) from a rare air archive dating from 1977 to 1998. Together with more modern records of isotopic atmospheric CH4, we performed a time-dependent retrieval of methane fluxes spanning 25 y (1984–2009) using a 3D chemical transport model. This inversion results in a 24 [18, 27] Tg y−1 CH4 increase in fugitive fossil fuel emissions since 1984 with most of this growth occurring after year 2000. This result is consistent with some bottom-up emissions inventories but not with recent estimates based on atmospheric ethane. In fact, when forced with decreasing emissions from fossil fuel sources our inversion estimates unreasonably high emissions in other sources. Further, the inversion estimates a decrease in biomass-burning emissions that could explain falling ethane abundance. A range of sensitivity tests suggests that these results are robust.","container-title":"Proceedings of the National Academy of Sciences","DOI":"10.1073/pnas.1522923113","ISSN":"0027-8424, 1091-6490","issue":"39","journalAbbreviation":"PNAS","language":"en","license":"©  . http://www.pnas.org/site/misc/userlicense.xhtml","note":"publisher: National Academy of Sciences\nsection: Physical Sciences\nPMID: 27621453","page":"10791-10796","source":"www.pnas.org","title":"Atmospheric methane isotopic record favors fossil sources flat in 1980s and 1990s with recent increase","volume":"113","author":[{"family":"Rice","given":"Andrew L."},{"family":"Butenhoff","given":"Christopher L."},{"family":"Teama","given":"Doaa G."},{"family":"Röger","given":"Florian H."},{"family":"Khalil","given":"M. Aslam K."},{"family":"Rasmussen","given":"Reinhold A."}],"issued":{"date-parts":[["2016",9,27]]}}},{"id":69,"uris":["http://zotero.org/users/9309103/items/QV59T9NC"],"itemData":{"id":69,"type":"article-journal","abstract":"Getting a rise out of agriculture\nMethane, a powerful and important greenhouse gas, has been accumulating nearly uninterruptedly in the atmosphere for the past 200 years, with the exception of a mysterious plateau between 1999 and 2006. Schaefer et al. measured methane's carbon isotopic composition in samples collected over the past 35 years in order to constrain the cause of the pause. Lower thermogenic emissions or variations in the hydroxyldriven methane sink caused the plateau. Thermogenic emissions didn't resume to cause the subsequent rise. Instead, the ongoing rise is most likely due to biogenic sources, most notably agriculture.\nScience, this issue p. 80\nBetween 1999 and 2006, a plateau interrupted the otherwise continuous increase of atmospheric methane concentration [CH4] since preindustrial times. Causes could be sink variability or a temporary reduction in industrial or climate-sensitive sources. We reconstructed the global history of [CH4] and its stable carbon isotopes from ice cores, archived air, and a global network of monitoring stations. A box-model analysis suggests that diminishing thermogenic emissions, probably from the fossil-fuel industry, and/or variations in the hydroxyl CH4 sink caused the [CH4] plateau. Thermogenic emissions did not resume to cause the renewed [CH4] rise after 2006, which contradicts emission inventories. Post-2006 source increases are predominantly biogenic, outside the Arctic, and arguably more consistent with agriculture than wetlands. If so, mitigating CH4 emissions must be balanced with the need for food production.\nThe atmospheric methane level has resumed its increase after a plateau between 1999 and 2006.\nThe atmospheric methane level has resumed its increase after a plateau between 1999 and 2006.","container-title":"Science","DOI":"10.1126/science.aad2705","ISSN":"0036-8075, 1095-9203","issue":"6281","language":"en","license":"Copyright © 2016, American Association for the Advancement of Science","note":"publisher: American Association for the Advancement of Science\nsection: Report\nPMID: 26966190","page":"80-84","source":"science.sciencemag.org","title":"A 21st-century shift from fossil-fuel to biogenic methane emissions indicated by 13CH4","volume":"352","author":[{"family":"Schaefer","given":"Hinrich"},{"family":"Fletcher","given":"Sara E. Mikaloff"},{"family":"Veidt","given":"Cordelia"},{"family":"Lassey","given":"Keith R."},{"family":"Brailsford","given":"Gordon W."},{"family":"Bromley","given":"Tony M."},{"family":"Dlugokencky","given":"Edward J."},{"family":"Michel","given":"Sylvia E."},{"family":"Miller","given":"John B."},{"family":"Levin","given":"Ingeborg"},{"family":"Lowe","given":"Dave C."},{"family":"Martin","given":"Ross J."},{"family":"Vaughn","given":"Bruce H."},{"family":"White","given":"James W. C."}],"issued":{"date-parts":[["2016",4,1]]}}},{"id":761,"uris":["http://zotero.org/users/9309103/items/CS55JV56"],"itemData":{"id":761,"type":"article-journal","abstract":"Revisions in isotopic source signatures reveal that global total fossil fuel methane emissions from industry plus natural geological seepage are much larger than thought.","container-title":"Nature","DOI":"10.1038/nature19797","ISSN":"1476-4687","issue":"7623","language":"en","license":"2016 Macmillan Publishers Limited, part of Springer Nature. All rights reserved.","note":"number: 7623\npublisher: Nature Publishing Group","page":"88-91","source":"www.nature.com","title":"Upward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P."}],"issued":{"date-parts":[["2016",10]]}}},{"id":70,"uris":["http://zotero.org/users/9309103/items/X5BTVGB7"],"itemData":{"id":70,"type":"article-journal","abstract":"Several viable but conflicting explanations have been proposed to explain the recent ~8 p.p.b. per year increase in atmospheric methane after 2006, equivalent to net emissions increase of ~25 Tg CH4 per year. A concurrent increase in atmospheric ethane implicates a fossil source; a concurrent decrease in the heavy isotope content of methane points toward a biogenic source, while other studies propose a decrease in the chemical sink (OH). Here we show that biomass burning emissions of methane decreased by 3.7 (±1.4) Tg CH4 per year from the 2001–2007 to the 2008–2014 time periods using satellite measurements of CO and CH4, nearly twice the decrease expected from prior estimates. After updating both the total and isotopic budgets for atmospheric methane with these revised biomass burning emissions (and assuming no change to the chemical sink), we find that fossil fuels contribute between 12–19 Tg CH4 per year to the recent atmospheric methane increase, thus reconciling the isotopic- and ethane-based results.","container-title":"Nature Communications","DOI":"10.1038/s41467-017-02246-0","ISSN":"2041-1723","issue":"1","journalAbbreviation":"Nat Commun","language":"en","license":"2017 The Author(s)","note":"Bandiera_abtest: a\nCc_license_type: cc_by\nCg_type: Nature Research Journals\nnumber: 1\nPrimary_atype: Research\npublisher: Nature Publishing Group\nSubject_term: Carbon cycle\nSubject_term_id: carbon-cycle","page":"2227","source":"www.nature.com","title":"Reduced biomass burning emissions reconcile conflicting estimates of the post-2006 atmospheric methane budget","volume":"8","author":[{"family":"Worden","given":"John R."},{"family":"Bloom","given":"A. Anthony"},{"family":"Pandey","given":"Sudhanshu"},{"family":"Jiang","given":"Zhe"},{"family":"Worden","given":"Helen M."},{"family":"Walker","given":"Thomas W."},{"family":"Houweling","given":"Sander"},{"family":"Röckmann","given":"Thomas"}],"issued":{"date-parts":[["2017",12,20]]}}},{"id":760,"uris":["http://zotero.org/users/9309103/items/5U2CPBEV"],"itemData":{"id":760,"type":"article-journal","abstract":"Atmospheric measurements show an increase in CH4 from the 1980s to 1998 followed by a period of near-zero growth until 2007. However, from 2007, CH4 has increased again. Understanding the variability in CH4 is critical for climate prediction and climate change mitigation. We examine the role of CH4 sources and the dominant CH4 sink, oxidation by the hydroxyl radical (OH), in atmospheric CH4 variability over the past three decades using observations of CH4, C2H6, and δ13CCH4 in an inversion. From 2006 to 2014, microbial and fossil fuel emissions increased by 36 ± 12 and 15 ± 8 Tg y−1, respectively. Emission increases were partially offset by a decrease in biomass burning of 3 ± 2 Tg y−1 and increase in soil oxidation of 5 ± 6 Tg y−1. A change in the atmospheric sink did not appear to be a significant factor in the recent growth of CH4.","container-title":"Geophysical Research Letters","DOI":"10.1029/2018GL078127","ISSN":"1944-8007","issue":"20","language":"en","note":"_eprint: https://onlinelibrary.wiley.com/doi/pdf/10.1029/2018GL078127","page":"11,499-11,508","source":"Wiley Online Library","title":"Variability in Atmospheric Methane From Fossil Fuel and Microbial Sources Over the Last Three Decades","volume":"45","author":[{"family":"Thompson","given":"R. L."},{"family":"Nisbet","given":"E. G."},{"family":"Pisso","given":"I."},{"family":"Stohl","given":"A."},{"family":"Blake","given":"D."},{"family":"Dlugokencky","given":"E. J."},{"family":"Helmig","given":"D."},{"family":"White","given":"J. W. C."}],"issued":{"date-parts":[["2018"]]}}}],"schema":"https://github.com/citation-style-language/schema/raw/master/csl-citation.json"}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(1–5)</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t>
      </w:r>
      <w:r w:rsidR="00217C8C">
        <w:rPr>
          <w:rFonts w:ascii="Arial" w:hAnsi="Arial" w:cs="Arial"/>
          <w:color w:val="000000"/>
          <w:sz w:val="20"/>
          <w:szCs w:val="20"/>
        </w:rPr>
        <w:t>while</w:t>
      </w:r>
      <w:r w:rsidR="00A77A87" w:rsidRPr="00FE7FE5">
        <w:rPr>
          <w:rFonts w:ascii="Arial" w:hAnsi="Arial" w:cs="Arial"/>
          <w:color w:val="000000"/>
          <w:sz w:val="20"/>
          <w:szCs w:val="20"/>
        </w:rPr>
        <w:t xml:space="preserve"> </w:t>
      </w:r>
      <w:r w:rsidRPr="00FE7FE5">
        <w:rPr>
          <w:rFonts w:ascii="Arial" w:hAnsi="Arial" w:cs="Arial"/>
          <w:color w:val="000000"/>
          <w:sz w:val="20"/>
          <w:szCs w:val="20"/>
        </w:rPr>
        <w:t xml:space="preserve">uncertainty in the OH sink </w:t>
      </w:r>
      <w:r w:rsidR="00D9005B">
        <w:rPr>
          <w:rFonts w:ascii="Arial" w:hAnsi="Arial" w:cs="Arial"/>
          <w:color w:val="000000"/>
          <w:sz w:val="20"/>
          <w:szCs w:val="20"/>
        </w:rPr>
        <w:t xml:space="preserve">hinders effective trend attribution </w:t>
      </w:r>
      <w:r w:rsidRPr="00FE7FE5">
        <w:rPr>
          <w:rFonts w:ascii="Arial" w:hAnsi="Arial" w:cs="Arial"/>
          <w:color w:val="000000"/>
          <w:sz w:val="20"/>
          <w:szCs w:val="20"/>
        </w:rPr>
        <w:fldChar w:fldCharType="begin"/>
      </w:r>
      <w:r w:rsidR="0009159E">
        <w:rPr>
          <w:rFonts w:ascii="Arial" w:hAnsi="Arial" w:cs="Arial"/>
          <w:color w:val="000000"/>
          <w:sz w:val="20"/>
          <w:szCs w:val="20"/>
        </w:rPr>
        <w:instrText xml:space="preserve"> ADDIN ZOTERO_ITEM CSL_CITATION {"citationID":"PXF4axYt","properties":{"formattedCitation":"(6\\uc0\\u8211{}8)","plainCitation":"(6–8)","noteIndex":0},"citationItems":[{"id":446,"uris":["http://zotero.org/users/9309103/items/NCFFPZPY"],"itemData":{"id":446,"type":"article-journal","abstract":"The growth in global methane (CH\n              4\n              ) concentration, which had been ongoing since the industrial revolution, stalled around the year 2000 before resuming globally in 2007. We evaluate the role of the hydroxyl radical (OH), the major CH\n              4\n              sink, in the recent CH\n              4\n              growth. We also examine the influence of systematic uncertainties in OH concentrations on CH\n              4\n              emissions inferred from atmospheric observations. We use observations of 1,1,1-trichloroethane (CH\n              3\n              CCl\n              3\n              ), which is lost primarily through reaction with OH, to estimate OH levels as well as CH\n              3\n              CC\n              3\n              emissions, which have uncertainty that previously limited the accuracy of OH estimates. We find a 64–70% probability that a decline in OH has contributed to the post-2007 methane rise. Our median solution suggests that CH\n              4\n              emissions increased relatively steadily during the late 1990s and early 2000s, after which growth was more modest. This solution obviates the need for a sudden statistically significant change in total CH\n              4\n              emissions around the year 2007 to explain the atmospheric observations and can explain some of the decline in the atmospheric\n              13\n              CH\n              4\n              /\n              12\n              CH\n              4\n              ratio and the recent growth in C\n              2\n              H\n              6\n              . Our approach indicates that significant OH-related uncertainties in the CH\n              4\n              budget remain, and we find that it is not possible to implicate, with a high degree of confidence, rapid global CH\n              4\n              emissions changes as the primary driver of recent trends when our inferred OH trends and these uncertainties are considered.","container-title":"Proceedings of the National Academy of Sciences","DOI":"10.1073/pnas.1616426114","ISSN":"0027-8424, 1091-6490","issue":"21","journalAbbreviation":"Proc Natl Acad Sci USA","language":"en","page":"5373-5377","source":"DOI.org (Crossref)","title":"Role of atmospheric oxidation in recent methane growth","volume":"114","author":[{"family":"Rigby","given":"Matthew"},{"family":"Montzka","given":"Stephen A."},{"family":"Prinn","given":"Ronald G."},{"family":"White","given":"James W. C."},{"family":"Young","given":"Dickon"},{"family":"O’Doherty","given":"Simon"},{"family":"Lunt","given":"Mark F."},{"family":"Ganesan","given":"Anita L."},{"family":"Manning","given":"Alistair J."},{"family":"Simmonds","given":"Peter G."},{"family":"Salameh","given":"Peter K."},{"family":"Harth","given":"Christina M."},{"family":"Mühle","given":"Jens"},{"family":"Weiss","given":"Ray F."},{"family":"Fraser","given":"Paul J."},{"family":"Steele","given":"L. Paul"},{"family":"Krummel","given":"Paul B."},{"family":"McCulloch","given":"Archie"},{"family":"Park","given":"Sunyoung"}],"issued":{"date-parts":[["2017",5,23]]}}},{"id":461,"uris":["http://zotero.org/users/9309103/items/4XE4WV2Q"],"itemData":{"id":461,"type":"article-journal","abstract":"Methane is the second strongest anthropogenic greenhouse gas and its atmospheric burden has more than doubled since 1850. Methane concentrations stabilized in the early 2000s and began increasing again in 2007. Neither the stabilization nor the recent growth are well understood, as evidenced by multiple competing hypotheses in recent literature. Here we use a multispecies two-box model inversion to jointly constrain 36 y of methane sources and sinks, using ground-based measurements of methane, methyl chloroform, and the C\n              13\n              /C\n              12\n              ratio in atmospheric methane (δ\n              13\n              CH\n              4\n              ) from 1983 through 2015. We find that the problem, as currently formulated, is underdetermined and solutions obtained in previous work are strongly dependent on prior assumptions. Based on our analysis, the mathematically most likely explanation for the renewed growth in atmospheric methane, counterintuitively, involves a 25-Tg/y decrease in methane emissions from 2003 to 2016 that is offset by a 7% decrease in global mean hydroxyl (OH) concentrations, the primary sink for atmospheric methane, over the same period. However, we are still able to fit the observations if we assume that OH concentrations are time invariant (as much of the previous work has assumed) and we then find solutions that are largely consistent with other proposed hypotheses for the renewed growth of atmospheric methane since 2007. We conclude that the current surface observing system does not allow unambiguous attribution of the decadal trends in methane without robust constraints on OH variability, which currently rely purely on methyl chloroform data and its uncertain emissions estimates.","container-title":"Proceedings of the National Academy of Sciences","DOI":"10.1073/pnas.1616020114","ISSN":"0027-8424, 1091-6490","issue":"21","journalAbbreviation":"Proc Natl Acad Sci USA","language":"en","page":"5367-5372","source":"DOI.org (Crossref)","title":"Ambiguity in the causes for decadal trends in atmospheric methane and hydroxyl","volume":"114","author":[{"family":"Turner","given":"Alexander J."},{"family":"Frankenberg","given":"Christian"},{"family":"Wennberg","given":"Paul O."},{"family":"Jacob","given":"Daniel J."}],"issued":{"date-parts":[["2017",5,23]]}}},{"id":727,"uris":["http://zotero.org/users/9309103/items/YQMTTLPS"],"itemData":{"id":727,"type":"article-journal","container-title":"Proceedings of the National Academy of Sciences","DOI":"10.1073/pnas.1704884114","issue":"21","note":"publisher: Proceedings of the National Academy of Sciences","page":"5324-5326","source":"pnas.org (Atypon)","title":"Overexplaining or underexplaining methane’s role in climate change","volume":"114","author":[{"family":"Prather","given":"Michael J."},{"family":"Holmes","given":"Christopher D."}],"issued":{"date-parts":[["2017",5,23]]}}}],"schema":"https://github.com/citation-style-language/schema/raw/master/csl-citation.json"}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(6–8)</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t>
      </w:r>
      <w:r w:rsidR="001C2313">
        <w:rPr>
          <w:rFonts w:ascii="Arial" w:hAnsi="Arial" w:cs="Arial"/>
          <w:color w:val="000000"/>
          <w:sz w:val="20"/>
          <w:szCs w:val="20"/>
        </w:rPr>
        <w:t>Declining</w:t>
      </w:r>
      <w:r w:rsidRPr="00FE7FE5">
        <w:rPr>
          <w:rFonts w:ascii="Arial" w:hAnsi="Arial" w:cs="Arial"/>
          <w:color w:val="000000"/>
          <w:sz w:val="20"/>
          <w:szCs w:val="20"/>
        </w:rPr>
        <w:t xml:space="preserve"> OH due to COVID-19 lockdowns </w:t>
      </w:r>
      <w:r w:rsidR="001C2313">
        <w:rPr>
          <w:rFonts w:ascii="Arial" w:hAnsi="Arial" w:cs="Arial"/>
          <w:color w:val="000000"/>
          <w:sz w:val="20"/>
          <w:szCs w:val="20"/>
        </w:rPr>
        <w:t>has been invoked as a cause of</w:t>
      </w:r>
      <w:r w:rsidRPr="00FE7FE5">
        <w:rPr>
          <w:rFonts w:ascii="Arial" w:hAnsi="Arial" w:cs="Arial"/>
          <w:color w:val="000000"/>
          <w:sz w:val="20"/>
          <w:szCs w:val="20"/>
        </w:rPr>
        <w:t xml:space="preserve"> the record-breaking increase in methane concentration observed since 2020 </w:t>
      </w:r>
      <w:r w:rsidRPr="00FE7FE5">
        <w:rPr>
          <w:rFonts w:ascii="Arial" w:hAnsi="Arial" w:cs="Arial"/>
          <w:color w:val="000000"/>
          <w:sz w:val="20"/>
          <w:szCs w:val="20"/>
        </w:rPr>
        <w:fldChar w:fldCharType="begin"/>
      </w:r>
      <w:r w:rsidR="002773B9">
        <w:rPr>
          <w:rFonts w:ascii="Arial" w:hAnsi="Arial" w:cs="Arial"/>
          <w:color w:val="000000"/>
          <w:sz w:val="20"/>
          <w:szCs w:val="20"/>
        </w:rPr>
        <w:instrText xml:space="preserve"> ADDIN ZOTERO_ITEM CSL_CITATION {"citationID":"FuNIvR6O","properties":{"formattedCitation":"(9)","plainCitation":"(9)","noteIndex":0},"citationItems":[{"id":2226,"uris":["http://zotero.org/users/9309103/items/P88NMM2J"],"itemData":{"id":2226,"type":"article-journal","abstract":"Abstract. Compared with 2019, measurements of the global growth rate\nof background (marine air) atmospheric methane rose by 5.3 ppb yr−1 in 2020,\nreaching 15.0 ppb yr−1. Global atmospheric chemistry models have previously\nshown that reductions in nitrogen oxide (NOx) emissions reduce levels of the\nhydroxyl radical (OH) and lengthen the methane lifetime. Acting in the\nopposite sense, reductions in carbon monoxide (CO) and non-methane volatile\norganic compound (NMVOC) emissions increase OH and shorten methane's\nlifetime. Using estimates of NOx, CO, and NMVOC emission reductions\nassociated with COVID-19 lockdowns around the world in 2020 as well as\nmodel-derived regional and aviation sensitivities of methane to these\nemissions, we find that NOx emission reductions led to a 4.8 (3.8 to 5.8) ppb yr−1 increase in the global methane growth rate. Reductions in CO and\nNMVOC emissions partly counteracted this, changing (reducing) the methane\ngrowth rate by −1.4 (−1.1 to −1.7) ppb yr−1 (CO) and −0.5 (−0.1 to −0.9) ppb yr−1 (NMVOC), yielding a net increase of 2.9 (1.7 to 4.0) ppb yr−1.\nUncertainties refer to ±1 standard deviation model ranges in\nsensitivities. Whilst changes in anthropogenic emissions related to COVID-19\nlockdowns are probably not the only important factor that influenced methane\nduring 2020, these results indicate that they have had a large impact and\nthat the net effect of NOx, CO, and NMVOC emission changes can explain over\nhalf of the observed 2020 methane changes. Large uncertainties remain in\nboth emission changes during the lockdowns and methane's response to them;\nnevertheless, this analysis suggests that further research into how the\natmospheric composition changed over the lockdown periods will help us to\ninterpret past methane changes and to constrain future methane projections.","container-title":"Atmospheric Chemistry and Physics","DOI":"10.5194/acp-22-14243-2022","ISSN":"1680-7324","issue":"21","journalAbbreviation":"Atmos. Chem. Phys.","language":"en","page":"14243-14252","source":"DOI.org (Crossref)","title":"COVID-19 lockdown emission reductions have the potential to explain over half of the coincident increase in global atmospheric methane","volume":"22","author":[{"family":"Stevenson","given":"David S."},{"family":"Derwent","given":"Richard G."},{"family":"Wild","given":"Oliver"},{"family":"Collins","given":"William J."}],"issued":{"date-parts":[["2022",11,8]]}}}],"schema":"https://github.com/citation-style-language/schema/raw/master/csl-citation.json"} </w:instrText>
      </w:r>
      <w:r w:rsidRPr="00FE7FE5">
        <w:rPr>
          <w:rFonts w:ascii="Arial" w:hAnsi="Arial" w:cs="Arial"/>
          <w:color w:val="000000"/>
          <w:sz w:val="20"/>
          <w:szCs w:val="20"/>
        </w:rPr>
        <w:fldChar w:fldCharType="separate"/>
      </w:r>
      <w:r w:rsidR="002773B9" w:rsidRPr="002773B9">
        <w:rPr>
          <w:rFonts w:ascii="Arial" w:hAnsi="Arial" w:cs="Arial"/>
          <w:sz w:val="20"/>
        </w:rPr>
        <w:t>(9)</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The lack of constraints on OH also affects its representation in models that are applied to project future atmospheric composition and climate. Even when using the same emission inventories, chemistry-climate models simulate different methane lifetimes </w:t>
      </w:r>
      <w:r w:rsidRPr="00FE7FE5">
        <w:rPr>
          <w:rFonts w:ascii="Arial" w:hAnsi="Arial" w:cs="Arial"/>
          <w:color w:val="000000"/>
          <w:sz w:val="20"/>
          <w:szCs w:val="20"/>
        </w:rPr>
        <w:fldChar w:fldCharType="begin"/>
      </w:r>
      <w:r w:rsidR="0009159E">
        <w:rPr>
          <w:rFonts w:ascii="Arial" w:hAnsi="Arial" w:cs="Arial"/>
          <w:color w:val="000000"/>
          <w:sz w:val="20"/>
          <w:szCs w:val="20"/>
        </w:rPr>
        <w:instrText xml:space="preserve"> ADDIN ZOTERO_ITEM CSL_CITATION {"citationID":"9kOTW6Us","properties":{"formattedCitation":"(10, 11)","plainCitation":"(10, 11)","noteIndex":0},"citationItems":[{"id":211,"uris":["http://zotero.org/users/9309103/items/URYCWMEL"],"itemData":{"id":211,"type":"article-journal","abstract":"The modeling study presented here aims to estimate how uncertainties in global hydroxyl radical (OH) distributions, variability, and trends may contribute to resolving discrepancies between simulated and observed methane (CH4) changes since 2000. A multi-model ensemble of 14 OH ﬁelds was analyzed and aggregated into 64 scenarios to force the ofﬂine atmospheric chemistry transport model LMDz (Laboratoire de Meteorologie Dynamique) with a standard CH4 emission scenario over the period 2000–2016. The multi-model simulated global volume-weighted tropospheric mean OH concentration ([OH]) averaged over 2000–2010 ranges between 8.7 × 105 and 12.8 × 105 molec cm−3. The inter-model differences in tropospheric OH burden and vertical distributions are mainly determined by the differences in the nitrogen oxide (NO) distributions, while the spatial discrepancies between OH ﬁelds are mostly due to differences in natural emissions and volatile organic compound (VOC) chemistry. From 2000 to 2010, most simulated OH ﬁelds show an increase of 0.1–0.3 × 105 molec cm−3 in the tropospheric mean [OH], with year-to-year variations much smaller than during the historical period 1960–2000. Once ingested into the LMDz model, these OH changes translated into a 5 to 15 ppbv reduction in the CH4 mixing ratio in 2010, which represents 7 %–20 % of the model-simulated CH4 increase due to surface emissions. Between 2010 and 2016, the ensemble of simulations showed that OH changes could lead to a CH4 mixing ratio uncertainty of &gt; ±30 ppbv. Over the full 2000–2016 time period, using a common stateof-the-art but nonoptimized emission scenario, the impact of [OH] changes tested here can explain up to 54 % of the gap between model simulations and observations. This result emphasizes the importance of better representing OH abundance and variations in CH4 forward simulations and emission optimizations performed by atmospheric inversions.","container-title":"Atmospheric Chemistry and Physics","DOI":"10.5194/acp-19-13701-2019","ISSN":"1680-7324","issue":"21","journalAbbreviation":"Atmos. Chem. Phys.","language":"en","page":"13701-13723","source":"DOI.org (Crossref)","title":"Inter-model comparison of global hydroxyl radical (OH) distributions and their impact on atmospheric methane over the 2000&amp;amp;#8211;2016 period","volume":"19","author":[{"family":"Zhao","given":"Yuanhong"},{"family":"Saunois","given":"Marielle"},{"family":"Bousquet","given":"Philippe"},{"family":"Lin","given":"Xin"},{"family":"Berchet","given":"Antoine"},{"family":"Hegglin","given":"Michaela I."},{"family":"Canadell","given":"Josep G."},{"family":"Jackson","given":"Robert B."},{"family":"Hauglustaine","given":"Didier A."},{"family":"Szopa","given":"Sophie"},{"family":"Stavert","given":"Ann R."},{"family":"Abraham","given":"Nathan Luke"},{"family":"Archibald","given":"Alex T."},{"family":"Bekki","given":"Slimane"},{"family":"Deushi","given":"Makoto"},{"family":"Jöckel","given":"Patrick"},{"family":"Josse","given":"Béatrice"},{"family":"Kinnison","given":"Douglas"},{"family":"Kirner","given":"Ole"},{"family":"Marécal","given":"Virginie"},{"family":"O&amp;amp;apos;Connor","given":"Fiona M."},{"family":"Plummer","given":"David A."},{"family":"Revell","given":"Laura E."},{"family":"Rozanov","given":"Eugene"},{"family":"Stenke","given":"Andrea"},{"family":"Strode","given":"Sarah"},{"family":"Tilmes","given":"Simone"},{"family":"Dlugokencky","given":"Edward J."},{"family":"Zheng","given":"Bo"}],"issued":{"date-parts":[["2019",11,13]]}}},{"id":78,"uris":["http://zotero.org/users/9309103/items/T4Z8FMET"],"itemData":{"id":78,"type":"article-journal","abstract":"&lt;p&gt;&lt;strong class=\"journal-contentHeaderColor\"&gt;Abstract.&lt;/strong&gt; We analyse historical (1850–2014) atmospheric hydroxyl (OH) and methane lifetime data from Coupled Model Intercomparison Project Phase 6 (CMIP6)/Aerosols and Chemistry Model Intercomparison Project (AerChemMIP) simulations. Tropospheric OH changed little from 1850 up to around 1980, then increased by around 9&amp;thinsp;% up to 2014, with an associated reduction in methane lifetime. The model-derived OH trends from 1980 to 2005 are broadly consistent with trends estimated by several studies that infer OH from inversions of methyl chloroform and associated measurements; most inversion studies indicate decreases in OH since 2005. However, the model results fall within observational uncertainty ranges. The upward trend in modelled OH since 1980 was mainly driven by changes in anthropogenic near-term climate forcer emissions (increases in anthropogenic nitrogen oxides and decreases in CO). Increases in halocarbon emissions since 1950 have made a small contribution to the increase in OH, whilst increases in aerosol-related emissions have slightly reduced OH. Halocarbon emissions have dramatically reduced the stratospheric methane lifetime by about 15&amp;thinsp;%–40&amp;thinsp;%; most previous studies assumed a fixed stratospheric lifetime. Whilst the main driver of atmospheric methane increases since 1850 is emissions of methane itself, increased ozone precursor emissions have significantly modulated (in general reduced) methane trends. Halocarbon and aerosol emissions are found to have relatively small contributions to methane trends. These experiments do not isolate the effects of climate change on OH and methane evolution; however, we calculate residual terms that are due to the combined effects of climate change and non-linear interactions between drivers. These residual terms indicate that non-linear interactions are important and differ between the two methodologies we use for quantifying OH and methane drivers. All these factors need to be considered in order to fully explain OH and methane trends since 1850; these factors will also be important for future trends.&lt;/p&gt;","container-title":"Atmospheric Chemistry and Physics","DOI":"10.5194/acp-20-12905-2020","ISSN":"1680-7316","issue":"21","language":"English","note":"publisher: Copernicus GmbH","page":"12905-12920","source":"acp.copernicus.org","title":"Trends in global tropospheric hydroxyl radical and methane lifetime since 1850 from AerChemMIP","volume":"20","author":[{"family":"Stevenson","given":"David S."},{"family":"Zhao","given":"Alcide"},{"family":"Naik","given":"Vaishali"},{"family":"O'Connor","given":"Fiona M."},{"family":"Tilmes","given":"Simone"},{"family":"Zeng","given":"Guang"},{"family":"Murray","given":"Lee T."},{"family":"Collins","given":"William J."},{"family":"Griffiths","given":"Paul T."},{"family":"Shim","given":"Sungbo"},{"family":"Horowitz","given":"Larry W."},{"family":"Sentman","given":"Lori T."},{"family":"Emmons","given":"Louisa"}],"issued":{"date-parts":[["2020",11,5]]}}}],"schema":"https://github.com/citation-style-language/schema/raw/master/csl-citation.json"}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(10, 11)</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global mean OH </w:t>
      </w:r>
      <w:r w:rsidRPr="00FE7FE5">
        <w:rPr>
          <w:rFonts w:ascii="Arial" w:hAnsi="Arial" w:cs="Arial"/>
          <w:color w:val="000000"/>
          <w:sz w:val="20"/>
          <w:szCs w:val="20"/>
        </w:rPr>
        <w:fldChar w:fldCharType="begin"/>
      </w:r>
      <w:r w:rsidR="009108F6">
        <w:rPr>
          <w:rFonts w:ascii="Arial" w:hAnsi="Arial" w:cs="Arial"/>
          <w:color w:val="000000"/>
          <w:sz w:val="20"/>
          <w:szCs w:val="20"/>
        </w:rPr>
        <w:instrText xml:space="preserve"> ADDIN ZOTERO_ITEM CSL_CITATION {"citationID":"N5QafAqm","properties":{"formattedCitation":"(12, 13)","plainCitation":"(12, 13)","noteIndex":0},"citationItems":[{"id":485,"uris":["http://zotero.org/users/9309103/items/IH4RMIIG"],"itemData":{"id":485,"type":"article-journal","abstract":"The hydroxyl radical (OH) plays critical roles within the troposphere, such as determining the lifetime of methane (CH4), yet is challenging to model due to its fast cycling and dependence on a multitude of sources and sinks. As a result, the reasons for variations in OH and the resulting methane lifetime (τCH4 ), both between models and in time, are difﬁcult to diagnose. We apply a neural network (NN) approach to address this issue within a group of models that participated in the Chemistry-Climate Model Initiative (CCMI). Analysis of the historical speciﬁed dynamics simulations performed for CCMI indicates that the primary drivers of τCH4 differences among 10 models are the ﬂux of UV light to the troposphere (indicated by the photolysis frequency J O1D), the mixing ratio of tropospheric ozone (O3), the abundance of nitrogen oxides (NOx ≡ NO + NO2), and details of the various chemical mechanisms that drive OH. Water vapour, carbon monoxide (CO), the ratio of NO : NOx, and formaldehyde (HCHO) explain moderate differences in τCH4 , while isoprene, methane, the photolysis frequency of NO2 by visible light (J NO2), overhead ozone column, and temperature account for little to no model variation in τCH4 . We also apply the NNs to analysis of temporal trends in OH from 1980 to 2015. All models that participated in the speciﬁed dynamics historical simulation for CCMI demonstrate a decline in τCH4 during the analysed timeframe. The signiﬁcant contributors to this trend, in order of importance, are tropospheric O3, J O1D, NOx, and H2O, with CO also causing substantial interannual variability in OH burden. Finally, the identiﬁed trends in τCH4 are compared to calculated trends in the tropospheric mean OH concentration from previous work, based on analysis of observations. The comparison reveals a robust result for the effect of rising water vapour on OH and τCH4 , imparting an increasing and decreasing trend of about 0.5 % decade−1, respectively. The responses due to NOx, ozone column, and temperature are also in reasonably good agreement between the two studies.","container-title":"Atmospheric Chemistry and Physics","DOI":"10.5194/acp-20-1341-2020","ISSN":"1680-7324","issue":"3","journalAbbreviation":"Atmos. Chem. Phys.","language":"en","page":"1341-1361","source":"DOI.org (Crossref)","title":"A machine learning examination of hydroxyl radical differences among model simulations for CCMI-1","volume":"20","author":[{"family":"Nicely","given":"Julie M."},{"family":"Duncan","given":"Bryan N."},{"family":"Hanisco","given":"Thomas F."},{"family":"Wolfe","given":"Glenn M."},{"family":"Salawitch","given":"Ross J."},{"family":"Deushi","given":"Makoto"},{"family":"Haslerud","given":"Amund S."},{"family":"Jöckel","given":"Patrick"},{"family":"Josse","given":"Béatrice"},{"family":"Kinnison","given":"Douglas E."},{"family":"Klekociuk","given":"Andrew"},{"family":"Manyin","given":"Michael E."},{"family":"Marécal","given":"Virginie"},{"family":"Morgenstern","given":"Olaf"},{"family":"Murray","given":"Lee T."},{"family":"Myhre","given":"Gunnar"},{"family":"Oman","given":"Luke D."},{"family":"Pitari","given":"Giovanni"},{"family":"Pozzer","given":"Andrea"},{"family":"Quaglia","given":"Ilaria"},{"family":"Revell","given":"Laura E."},{"family":"Rozanov","given":"Eugene"},{"family":"Stenke","given":"Andrea"},{"family":"Stone","given":"Kane"},{"family":"Strahan","given":"Susan"},{"family":"Tilmes","given":"Simone"},{"family":"Tost","given":"Holger"},{"family":"Westervelt","given":"Daniel M."},{"family":"Zeng","given":"Guang"}],"issued":{"date-parts":[["2020",2,5]]}}},{"id":771,"uris":["http://zotero.org/users/9309103/items/2ME2XYH6"],"itemData":{"id":771,"type":"article-journal","abstract":"The hydroxyl radical (OH) sets the oxidative capacity of the atmosphere and, thus, profoundly affects the removal rate of pollutants and reactive greenhouse gases. While observationally derived constraints exist for global annual mean present-day OH abundances and interannual variability, OH estimates for past and future periods rely primarily on global atmospheric chemistry models. These models disagree ± 30% in mean OH and in its changes from the preindustrial to late 21st century, even when forced with identical anthropogenic emissions. A simple steady-state relationship that accounts for ozone photolysis frequencies, water vapor, and the ratio of reactive nitrogen to carbon emissions explains temporal variability within most models, but not intermodel differences. Here, we show that departure from the expected relationship reflects the treatment of reactive oxidized nitrogen species (NOy) and the fraction of emitted carbon that reacts within each chemical mechanism, which remain poorly known due to a lack of observational data. Our findings imply a need for additional observational constraints on NOy partitioning and lifetime, especially in the remote free troposphere, as well as the fate of carbon-containing reaction intermediates to test models, thereby reducing uncertainties in projections of OH and, hence, lifetimes of pollutants and greenhouse gases.","container-title":"Proceedings of the National Academy of Sciences","DOI":"10.1073/pnas.2115204118","ISSN":"0027-8424, 1091-6490","issue":"43","journalAbbreviation":"PNAS","language":"en","license":"© 2021 . https://www.pnas.org/site/aboutpnas/licenses.xhtmlPublished under the PNAS license.","note":"publisher: National Academy of Sciences\nsection: Physical Sciences\nPMID: 34686608","source":"www.pnas.org","title":"Large uncertainties in global hydroxyl projections tied to fate of reactive nitrogen and carbon","URL":"https://www.pnas.org/content/118/43/e2115204118","volume":"118","author":[{"family":"Murray","given":"Lee T."},{"family":"Fiore","given":"Arlene M."},{"family":"Shindell","given":"Drew T."},{"family":"Naik","given":"Vaishali"},{"family":"Horowitz","given":"Larry W."}],"accessed":{"date-parts":[["2021",12,8]]},"issued":{"date-parts":[["2021",10,26]]}}}],"schema":"https://github.com/citation-style-language/schema/raw/master/csl-citation.json"}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(12, 13)</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and OH sensitivity to its drivers </w:t>
      </w:r>
      <w:r w:rsidRPr="00FE7FE5">
        <w:rPr>
          <w:rFonts w:ascii="Arial" w:hAnsi="Arial" w:cs="Arial"/>
          <w:color w:val="000000"/>
          <w:sz w:val="20"/>
          <w:szCs w:val="20"/>
        </w:rPr>
        <w:fldChar w:fldCharType="begin"/>
      </w:r>
      <w:r w:rsidR="009108F6">
        <w:rPr>
          <w:rFonts w:ascii="Arial" w:hAnsi="Arial" w:cs="Arial"/>
          <w:color w:val="000000"/>
          <w:sz w:val="20"/>
          <w:szCs w:val="20"/>
        </w:rPr>
        <w:instrText xml:space="preserve"> ADDIN ZOTERO_ITEM CSL_CITATION {"citationID":"UWRrFq2y","properties":{"formattedCitation":"(13\\uc0\\u8211{}15)","plainCitation":"(13–15)","noteIndex":0},"citationItems":[{"id":788,"uris":["http://zotero.org/users/9309103/items/4G8K9MLH"],"itemData":{"id":788,"type":"article-journal","container-title":"Journal of Geophysical Research: Atmospheres","DOI":"10.1002/jgrd.50608","ISSN":"2169897X","issue":"14","journalAbbreviation":"J. Geophys. Res. Atmos.","language":"en","page":"8086-8110","source":"DOI.org (Crossref)","title":"Impact of preindustrial to present-day changes in short-lived pollutant emissions on atmospheric composition and climate forcing","title-short":"Impact of preindustrial to present-day changes in short-lived pollutant emissions on atmospheric composition and climate forcing","volume":"118","author":[{"family":"Naik","given":"Vaishali"},{"family":"Horowitz","given":"Larry W."},{"family":"Fiore","given":"Arlene M."},{"family":"Ginoux","given":"Paul"},{"family":"Mao","given":"Jingqiu"},{"family":"Aghedo","given":"Adetutu M."},{"family":"Levy","given":"Hiram"}],"issued":{"date-parts":[["2013",7,27]]}}},{"id":332,"uris":["http://zotero.org/users/9309103/items/5RDKV4ZY"],"itemData":{"id":332,"type":"article-journal","abstract":"&lt;p&gt;&lt;strong&gt;Abstract.&lt;/strong&gt; Projections of future atmospheric composition change and its impacts on air quality and climate depend heavily on chemistry–climate models that allow us to investigate the effects of changing emissions and meteorology. These models are imperfect as they rely on our understanding of the chemical, physical and dynamical processes governing atmospheric composition, on the approximations needed to represent these numerically, and on the limitations of the observations required to constrain them. Model intercomparison studies show substantial diversity in results that reflect underlying uncertainties, but little progress has been made in explaining the causes of this or in identifying the weaknesses in process understanding or representation that could lead to improved models and to better scientific understanding. Global sensitivity analysis provides a valuable method of identifying and quantifying the main causes of diversity in current models. For the first time, we apply Gaussian process emulation with three independent global chemistry-transport models to quantify the sensitivity of ozone and hydroxyl radicals (OH) to important climate-relevant variables, poorly characterised processes and uncertain emissions. We show a clear sensitivity of tropospheric ozone to atmospheric humidity and precursor emissions which is similar for the models, but find large differences between models for methane lifetime, highlighting substantial differences in the sensitivity of OH to primary and secondary production. This approach allows us to identify key areas where model improvements are required while providing valuable new insight into the processes driving tropospheric composition change.&lt;/p&gt;","container-title":"Atmospheric Chemistry and Physics","DOI":"https://doi.org/10.5194/acp-20-4047-2020","ISSN":"1680-7316","issue":"7","language":"English","note":"publisher: Copernicus GmbH","page":"4047-4058","source":"acp.copernicus.org","title":"Global sensitivity analysis of chemistry–climate model budgets of tropospheric ozone and OH: exploring model diversity","title-short":"Global sensitivity analysis of chemistry–climate model budgets of tropospheric ozone and OH","volume":"20","author":[{"family":"Wild","given":"Oliver"},{"family":"Voulgarakis","given":"Apostolos"},{"family":"O'Connor","given":"Fiona"},{"family":"Lamarque","given":"Jean-François"},{"family":"Ryan","given":"Edmund M."},{"family":"Lee","given":"Lindsay"}],"issued":{"date-parts":[["2020",4,3]]}}},{"id":771,"uris":["http://zotero.org/users/9309103/items/2ME2XYH6"],"itemData":{"id":771,"type":"article-journal","abstract":"The hydroxyl radical (OH) sets the oxidative capacity of the atmosphere and, thus, profoundly affects the removal rate of pollutants and reactive greenhouse gases. While observationally derived constraints exist for global annual mean present-day OH abundances and interannual variability, OH estimates for past and future periods rely primarily on global atmospheric chemistry models. These models disagree ± 30% in mean OH and in its changes from the preindustrial to late 21st century, even when forced with identical anthropogenic emissions. A simple steady-state relationship that accounts for ozone photolysis frequencies, water vapor, and the ratio of reactive nitrogen to carbon emissions explains temporal variability within most models, but not intermodel differences. Here, we show that departure from the expected relationship reflects the treatment of reactive oxidized nitrogen species (NOy) and the fraction of emitted carbon that reacts within each chemical mechanism, which remain poorly known due to a lack of observational data. Our findings imply a need for additional observational constraints on NOy partitioning and lifetime, especially in the remote free troposphere, as well as the fate of carbon-containing reaction intermediates to test models, thereby reducing uncertainties in projections of OH and, hence, lifetimes of pollutants and greenhouse gases.","container-title":"Proceedings of the National Academy of Sciences","DOI":"10.1073/pnas.2115204118","ISSN":"0027-8424, 1091-6490","issue":"43","journalAbbreviation":"PNAS","language":"en","license":"© 2021 . https://www.pnas.org/site/aboutpnas/licenses.xhtmlPublished under the PNAS license.","note":"publisher: National Academy of Sciences\nsection: Physical Sciences\nPMID: 34686608","source":"www.pnas.org","title":"Large uncertainties in global hydroxyl projections tied to fate of reactive nitrogen and carbon","URL":"https://www.pnas.org/content/118/43/e2115204118","volume":"118","author":[{"family":"Murray","given":"Lee T."},{"family":"Fiore","given":"Arlene M."},{"family":"Shindell","given":"Drew T."},{"family":"Naik","given":"Vaishali"},{"family":"Horowitz","given":"Larry W."}],"accessed":{"date-parts":[["2021",12,8]]},"issued":{"date-parts":[["2021",10,26]]}}}],"schema":"https://github.com/citation-style-language/schema/raw/master/csl-citation.json"}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(13–15)</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t>
      </w:r>
      <w:r w:rsidR="00691911" w:rsidRPr="00FE7FE5">
        <w:rPr>
          <w:rFonts w:ascii="Arial" w:hAnsi="Arial" w:cs="Arial"/>
          <w:color w:val="000000"/>
          <w:sz w:val="20"/>
          <w:szCs w:val="20"/>
        </w:rPr>
        <w:t>Here we develop</w:t>
      </w:r>
      <w:r w:rsidR="00691911">
        <w:rPr>
          <w:rFonts w:ascii="Arial" w:hAnsi="Arial" w:cs="Arial"/>
          <w:color w:val="000000"/>
          <w:sz w:val="20"/>
          <w:szCs w:val="20"/>
        </w:rPr>
        <w:t xml:space="preserve"> and evaluate</w:t>
      </w:r>
      <w:r w:rsidR="00691911" w:rsidRPr="00FE7FE5">
        <w:rPr>
          <w:rFonts w:ascii="Arial" w:hAnsi="Arial" w:cs="Arial"/>
          <w:color w:val="000000"/>
          <w:sz w:val="20"/>
          <w:szCs w:val="20"/>
        </w:rPr>
        <w:t xml:space="preserve"> a new proxy (Proxy</w:t>
      </w:r>
      <w:r w:rsidR="00691911" w:rsidRPr="00FE7FE5">
        <w:rPr>
          <w:rFonts w:ascii="Arial" w:hAnsi="Arial" w:cs="Arial"/>
          <w:i/>
          <w:iCs/>
          <w:color w:val="000000"/>
          <w:sz w:val="20"/>
          <w:szCs w:val="20"/>
          <w:vertAlign w:val="subscript"/>
        </w:rPr>
        <w:t>OH</w:t>
      </w:r>
      <w:r w:rsidR="00691911" w:rsidRPr="00FE7FE5">
        <w:rPr>
          <w:rFonts w:ascii="Arial" w:hAnsi="Arial" w:cs="Arial"/>
          <w:color w:val="000000"/>
          <w:sz w:val="20"/>
          <w:szCs w:val="20"/>
        </w:rPr>
        <w:t>), built from OH steady-state chemistry</w:t>
      </w:r>
      <w:r w:rsidR="00691911">
        <w:rPr>
          <w:rFonts w:ascii="Arial" w:hAnsi="Arial" w:cs="Arial"/>
          <w:color w:val="000000"/>
          <w:sz w:val="20"/>
          <w:szCs w:val="20"/>
        </w:rPr>
        <w:t xml:space="preserve"> over the remote marine troposphere</w:t>
      </w:r>
      <w:r w:rsidR="00D9005B">
        <w:rPr>
          <w:rFonts w:ascii="Arial" w:hAnsi="Arial" w:cs="Arial"/>
          <w:color w:val="000000"/>
          <w:sz w:val="20"/>
          <w:szCs w:val="20"/>
        </w:rPr>
        <w:t xml:space="preserve">. </w:t>
      </w:r>
      <w:r w:rsidR="00217C8C">
        <w:rPr>
          <w:rFonts w:ascii="Arial" w:hAnsi="Arial" w:cs="Arial"/>
          <w:color w:val="000000"/>
          <w:sz w:val="20"/>
          <w:szCs w:val="20"/>
        </w:rPr>
        <w:t>Proxy</w:t>
      </w:r>
      <w:r w:rsidR="00217C8C" w:rsidRPr="001C08EE">
        <w:rPr>
          <w:rFonts w:ascii="Arial" w:hAnsi="Arial" w:cs="Arial"/>
          <w:i/>
          <w:iCs/>
          <w:color w:val="000000"/>
          <w:sz w:val="20"/>
          <w:szCs w:val="20"/>
          <w:vertAlign w:val="subscript"/>
        </w:rPr>
        <w:t>OH</w:t>
      </w:r>
      <w:r w:rsidR="00691911" w:rsidRPr="00FE7FE5">
        <w:rPr>
          <w:rFonts w:ascii="Arial" w:hAnsi="Arial" w:cs="Arial"/>
          <w:color w:val="000000"/>
          <w:sz w:val="20"/>
          <w:szCs w:val="20"/>
        </w:rPr>
        <w:t xml:space="preserve"> maps spatial </w:t>
      </w:r>
      <w:r w:rsidR="00691911">
        <w:rPr>
          <w:rFonts w:ascii="Arial" w:hAnsi="Arial" w:cs="Arial"/>
          <w:color w:val="000000"/>
          <w:sz w:val="20"/>
          <w:szCs w:val="20"/>
        </w:rPr>
        <w:t>variations</w:t>
      </w:r>
      <w:r w:rsidR="00691911" w:rsidRPr="00FE7FE5">
        <w:rPr>
          <w:rFonts w:ascii="Arial" w:hAnsi="Arial" w:cs="Arial"/>
          <w:color w:val="000000"/>
          <w:sz w:val="20"/>
          <w:szCs w:val="20"/>
        </w:rPr>
        <w:t xml:space="preserve"> </w:t>
      </w:r>
      <w:r w:rsidR="00691911">
        <w:rPr>
          <w:rFonts w:ascii="Arial" w:hAnsi="Arial" w:cs="Arial"/>
          <w:color w:val="000000"/>
          <w:sz w:val="20"/>
          <w:szCs w:val="20"/>
        </w:rPr>
        <w:t xml:space="preserve">in OH </w:t>
      </w:r>
      <w:r w:rsidR="00D9005B">
        <w:rPr>
          <w:rFonts w:ascii="Arial" w:hAnsi="Arial" w:cs="Arial"/>
          <w:color w:val="000000"/>
          <w:sz w:val="20"/>
          <w:szCs w:val="20"/>
        </w:rPr>
        <w:t>and</w:t>
      </w:r>
      <w:r w:rsidR="00691911" w:rsidRPr="00FE7FE5">
        <w:rPr>
          <w:rFonts w:ascii="Arial" w:hAnsi="Arial" w:cs="Arial"/>
          <w:color w:val="000000"/>
          <w:sz w:val="20"/>
          <w:szCs w:val="20"/>
        </w:rPr>
        <w:t xml:space="preserve"> can </w:t>
      </w:r>
      <w:r w:rsidR="00691911">
        <w:rPr>
          <w:rFonts w:ascii="Arial" w:hAnsi="Arial" w:cs="Arial"/>
          <w:color w:val="000000"/>
          <w:sz w:val="20"/>
          <w:szCs w:val="20"/>
        </w:rPr>
        <w:t xml:space="preserve">also </w:t>
      </w:r>
      <w:r w:rsidR="00691911" w:rsidRPr="00FE7FE5">
        <w:rPr>
          <w:rFonts w:ascii="Arial" w:hAnsi="Arial" w:cs="Arial"/>
          <w:color w:val="000000"/>
          <w:sz w:val="20"/>
          <w:szCs w:val="20"/>
        </w:rPr>
        <w:t xml:space="preserve">be </w:t>
      </w:r>
      <w:r w:rsidR="00691911" w:rsidRPr="00FE7FE5">
        <w:rPr>
          <w:rFonts w:ascii="Arial" w:hAnsi="Arial" w:cs="Arial"/>
          <w:color w:val="000000"/>
          <w:sz w:val="20"/>
          <w:szCs w:val="20"/>
        </w:rPr>
        <w:lastRenderedPageBreak/>
        <w:t xml:space="preserve">deconstructed to infer the processes contributing to OH fluctuations, information that extends beyond the capacity of existing proxies. </w:t>
      </w:r>
    </w:p>
    <w:p w14:paraId="779A82D7" w14:textId="77777777" w:rsidR="00FE7FE5"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p>
    <w:p w14:paraId="1CB02AF6" w14:textId="2DC498C3" w:rsidR="00FE7FE5" w:rsidRPr="00FE7FE5" w:rsidRDefault="00217C8C" w:rsidP="00FE7FE5">
      <w:pPr>
        <w:keepNext/>
        <w:pBdr>
          <w:top w:val="nil"/>
          <w:left w:val="nil"/>
          <w:bottom w:val="nil"/>
          <w:right w:val="nil"/>
          <w:between w:val="nil"/>
        </w:pBdr>
        <w:spacing w:before="240" w:after="60"/>
        <w:contextualSpacing/>
        <w:rPr>
          <w:rFonts w:ascii="Arial" w:hAnsi="Arial" w:cs="Arial"/>
          <w:color w:val="000000"/>
          <w:sz w:val="20"/>
          <w:szCs w:val="20"/>
        </w:rPr>
      </w:pPr>
      <w:r>
        <w:rPr>
          <w:rFonts w:ascii="Arial" w:hAnsi="Arial" w:cs="Arial"/>
          <w:color w:val="000000"/>
          <w:sz w:val="20"/>
          <w:szCs w:val="20"/>
        </w:rPr>
        <w:t>Sharp</w:t>
      </w:r>
      <w:r w:rsidR="007650EB">
        <w:rPr>
          <w:rFonts w:ascii="Arial" w:hAnsi="Arial" w:cs="Arial"/>
          <w:color w:val="000000"/>
          <w:sz w:val="20"/>
          <w:szCs w:val="20"/>
        </w:rPr>
        <w:t xml:space="preserve"> spatiotemporal </w:t>
      </w:r>
      <w:r w:rsidR="00A77A87">
        <w:rPr>
          <w:rFonts w:ascii="Arial" w:hAnsi="Arial" w:cs="Arial"/>
          <w:color w:val="000000"/>
          <w:sz w:val="20"/>
          <w:szCs w:val="20"/>
        </w:rPr>
        <w:t xml:space="preserve">variations in </w:t>
      </w:r>
      <w:r w:rsidR="00FE7FE5" w:rsidRPr="00FE7FE5">
        <w:rPr>
          <w:rFonts w:ascii="Arial" w:hAnsi="Arial" w:cs="Arial"/>
          <w:color w:val="000000"/>
          <w:sz w:val="20"/>
          <w:szCs w:val="20"/>
        </w:rPr>
        <w:t xml:space="preserve">OH confound the development of a representative measurement network. Interannual variability </w:t>
      </w:r>
      <w:r w:rsidR="000041EC">
        <w:rPr>
          <w:rFonts w:ascii="Arial" w:hAnsi="Arial" w:cs="Arial"/>
          <w:color w:val="000000"/>
          <w:sz w:val="20"/>
          <w:szCs w:val="20"/>
        </w:rPr>
        <w:t xml:space="preserve">in </w:t>
      </w:r>
      <w:r w:rsidR="00FE7FE5" w:rsidRPr="00FE7FE5">
        <w:rPr>
          <w:rFonts w:ascii="Arial" w:hAnsi="Arial" w:cs="Arial"/>
          <w:color w:val="000000"/>
          <w:sz w:val="20"/>
          <w:szCs w:val="20"/>
        </w:rPr>
        <w:t xml:space="preserve">global </w:t>
      </w:r>
      <w:r w:rsidR="00FE7FE5" w:rsidRPr="00FE7FE5">
        <w:rPr>
          <w:rFonts w:ascii="Arial" w:hAnsi="Arial" w:cs="Arial"/>
          <w:color w:val="000000"/>
          <w:sz w:val="20"/>
          <w:szCs w:val="20"/>
        </w:rPr>
        <w:fldChar w:fldCharType="begin"/>
      </w:r>
      <w:r w:rsidR="007D17FB">
        <w:rPr>
          <w:rFonts w:ascii="Arial" w:hAnsi="Arial" w:cs="Arial"/>
          <w:color w:val="000000"/>
          <w:sz w:val="20"/>
          <w:szCs w:val="20"/>
        </w:rPr>
        <w:instrText xml:space="preserve"> ADDIN ZOTERO_ITEM CSL_CITATION {"citationID":"coV2O8pJ","properties":{"formattedCitation":"(16\\uc0\\u8211{}19)","plainCitation":"(16–19)","noteIndex":0},"citationItems":[{"id":"DwRQ5GGE/9dFbf616","uris":["http://zotero.org/users/local/S5AKK5U6/items/PAGPADA5"],"itemData":{"id":716,"type":"article-journal","abstract":"An accurate estimate of global hydroxyl radical (OH) abundance is important for projections of air quality, climate, and stratospheric ozone recovery. As the atmospheric mixing ratios of methyl chloroform (CH3CCl3) (MCF), the commonly used OH reference gas, approaches zero, it is important to find alternative approaches to infer atmospheric OH abundance and variability. The lack of global bottom-up emission inventories is the primary obstacle in choosing a MCF alternative. We illustrate that global emissions of long-lived trace gases can be inferred from their observed mixing ratio differences between the Northern Hemisphere (NH) and Southern Hemisphere (SH), given realistic estimates of their NH-SH exchange time, the emission partitioning between the two hemispheres, and the NH versus SH OH abundance ratio. Using the observed long-term trend and emissions derived from the measured hemispheric gradient, the combination of HFC-32 (CH2F2), HFC-134a (CH2FCF3, HFC-152a (CH3CHF2), and HCFC-22 (CHClF2), instead of a single gas, will be useful as a MCF alternative to infer global and hemispheric OH abundance and trace gas lifetimes. The primary assumption on which this multispecies approach relies is that the OH lifetimes can be estimated by scaling the thermal reaction rates of a reference gas at 272 K on global and hemispheric scales. Thus, the derived hemispheric and global OH estimates are forced to reconcile the observed trends and gradient for all four compounds simultaneously. However, currently, observations of these gases from the surface networks do not provide more accurate OH abundance estimate than that from MCF.","container-title":"Journal of Geophysical Research: Atmospheres","DOI":"10.1002/2017JD026926","ISSN":"2169-8996","issue":"21","language":"en","note":"_eprint: https://agupubs.onlinelibrary.wiley.com/doi/pdf/10.1002/2017JD026926","page":"11,914-11,933","source":"Wiley Online Library","title":"Deriving Global OH Abundance and Atmospheric Lifetimes for Long-Lived Gases: A Search for CH3CCl3 Alternatives","title-short":"Deriving Global OH Abundance and Atmospheric Lifetimes for Long-Lived Gases","volume":"122","author":[{"family":"Liang","given":"Qing"},{"family":"Chipperfield","given":"Martyn P."},{"family":"Fleming","given":"Eric L."},{"family":"Abraham","given":"N. Luke"},{"family":"Braesicke","given":"Peter"},{"family":"Burkholder","given":"James B."},{"family":"Daniel","given":"John S."},{"family":"Dhomse","given":"Sandip"},{"family":"Fraser","given":"Paul J."},{"family":"Hardiman","given":"Steven C."},{"family":"Jackman","given":"Charles H."},{"family":"Kinnison","given":"Douglas E."},{"family":"Krummel","given":"Paul B."},{"family":"Montzka","given":"Stephen A."},{"family":"Morgenstern","given":"Olaf"},{"family":"McCulloch","given":"Archie"},{"family":"Mühle","given":"Jens"},{"family":"Newman","given":"Paul A."},{"family":"Orkin","given":"Vladimir L."},{"family":"Pitari","given":"Giovanni"},{"family":"Prinn","given":"Ronald G."},{"family":"Rigby","given":"Matthew"},{"family":"Rozanov","given":"Eugene"},{"family":"Stenke","given":"Andrea"},{"family":"Tummon","given":"Fiona"},{"family":"Velders","given":"Guus J. M."},{"family":"Visioni","given":"Daniele"},{"family":"Weiss","given":"Ray F."}],"issued":{"date-parts":[["2017"]]}}},{"id":17,"uris":["http://zotero.org/users/9309103/items/UPJD9227"],"itemData":{"id":17,"type":"article-journal","abstract":"Dramatic declines in emissions of methyl chloroform (1,1,1-trichloroethane) resulting from the Montreal Protocol provide an unprecedented opportunity to improve our understanding of the oxidizing power of Earth's atmosphere. Atmospheric observations of this industrial gas during the late 1990s yield new insights into the global burden and distribution of the hydroxyl radical. Our results set firm upper limits on the global and Southern Hemispheric lifetimes of methyl chloroform and confirm the predominance of hydroxyl in the tropics. Our analysis suggests a global lifetime for methyl chloroform of 5.2 (+0.2, −0.3) years, a Southern Hemispheric lifetime of 4.9 (+0.2, −0.3) years, and mean annual concentrations of OH that are 15 ± 10% higher south of the intertropical convergence zone than those north of this natural mixing boundary between the hemispheres.","container-title":"Science","DOI":"10.1126/science.288.5465.500","ISSN":"0036-8075, 1095-9203","issue":"5465","language":"en","note":"publisher: American Association for the Advancement of Science\nsection: Report\nPMID: 10775106","page":"500-503","source":"science.sciencemag.org","title":"New Observational Constraints for Atmospheric Hydroxyl on Global and Hemispheric Scales","volume":"288","author":[{"family":"Montzka","given":"S. A."},{"family":"Spivakovsky","given":"C. M."},{"family":"Butler","given":"J. H."},{"family":"Elkins","given":"J. W."},{"family":"Lock","given":"L. T."},{"family":"Mondeel","given":"D. J."}],"issued":{"date-parts":[["2000",4,21]]}}},{"id":490,"uris":["http://zotero.org/users/9309103/items/DW352YL7"],"itemData":{"id":490,"type":"article-journal","container-title":"Science","DOI":"10.1126/science.1197640","ISSN":"0036-8075, 1095-9203","issue":"6013","journalAbbreviation":"Science","language":"en","page":"67-69","source":"DOI.org (Crossref)","title":"Small Interannual Variability of Global Atmospheric Hydroxyl","volume":"331","author":[{"family":"Montzka","given":"S. A."},{"family":"Krol","given":"M."},{"family":"Dlugokencky","given":"E."},{"family":"Hall","given":"B."},{"family":"Jockel","given":"P."},{"family":"Lelieveld","given":"J."}],"issued":{"date-parts":[["2011",1,7]]}}},{"id":59,"uris":["http://zotero.org/users/9309103/items/AVYESUHN"],"itemData":{"id":59,"type":"article-journal","abstract":"Trends and variability in tropospheric hydroxyl (OH) radicals influence budgets of many greenhouse gases, air pollutant species, and ozone depleting substances. Estimations of tropospheric OH trends and variability based on budget analysis of methyl chloroform (CH3CCl3) and process-based chemistry transport models often produce conflicting results. Here we use a previously tested transport model to simulate atmospheric CH3CCl3 for the period 1985–2018. Based on mismatches between model output and observations, we derive consistent anomalies in the inverse lifetime of CH3CCl3 (KG) using measurements from two independent observational networks (National Oceanic and Atmospheric Administration and Advanced Global Atmospheric Gases Experiment). Our method allows a separation between “physical” (transport, temperature) and “chemical” (i.e., abundance) influences on OH + CH3CCl3 reaction rate in the atmosphere. Small increases in KG due to “physical” influences are mostly driven by increases in the temperature-dependent reaction between OH and CH3CCl3 and resulted in a smoothly varying increase of 0.80% decade−1. Chemical effects on KG, linked to global changes in OH sources and sinks, show larger year-to-year variations (</w:instrText>
      </w:r>
      <w:r w:rsidR="007D17FB">
        <w:rPr>
          <w:rFonts w:ascii="Cambria Math" w:hAnsi="Cambria Math" w:cs="Cambria Math"/>
          <w:color w:val="000000"/>
          <w:sz w:val="20"/>
          <w:szCs w:val="20"/>
        </w:rPr>
        <w:instrText>∼</w:instrText>
      </w:r>
      <w:r w:rsidR="007D17FB">
        <w:rPr>
          <w:rFonts w:ascii="Arial" w:hAnsi="Arial" w:cs="Arial"/>
          <w:color w:val="000000"/>
          <w:sz w:val="20"/>
          <w:szCs w:val="20"/>
        </w:rPr>
        <w:instrText xml:space="preserve">2%–3%), and have a negative correlation with the El Niño Southern Oscillation. A significant positive trend in KG can be derived after 2001, but it persists only through 2015 and only if we assume that CH3CCl3 emissions decayed more slowly over time than our best estimate suggests. If global CH3CCl3 emissions dropped below 3 Gg year−1 after 2015, recent CH3CCl3 measurements indicate that the 2015–2018 loss rate of CH3CCl3 due to reaction with OH is comparable to its value 2 decades ago.","container-title":"Journal of Geophysical Research: Atmospheres","DOI":"10.1029/2020JD033862","ISSN":"2169-8996","issue":"4","language":"en","note":"_eprint: https://agupubs.onlinelibrary.wiley.com/doi/pdf/10.1029/2020JD033862","page":"e2020JD033862","source":"Wiley Online Library","title":"Methyl Chloroform Continues to Constrain the Hydroxyl (OH) Variability in the Troposphere","volume":"126","author":[{"family":"Patra","given":"P. K."},{"family":"Krol","given":"M. C."},{"family":"Prinn","given":"R. G."},{"family":"Takigawa","given":"M."},{"family":"Mühle","given":"J."},{"family":"Montzka","given":"S. A."},{"family":"Lal","given":"S."},{"family":"Yamashita","given":"Y."},{"family":"Naus","given":"S."},{"family":"Chandra","given":"N."},{"family":"Weiss","given":"R. F."},{"family":"Krummel","given":"P. B."},{"family":"Fraser","given":"P. J."},{"family":"O'Doherty","given":"S."},{"family":"Elkins","given":"J. W."}],"issued":{"date-parts":[["2021"]]}}}],"schema":"https://github.com/citation-style-language/schema/raw/master/csl-citation.json"} </w:instrText>
      </w:r>
      <w:r w:rsidR="00FE7FE5" w:rsidRPr="00FE7FE5">
        <w:rPr>
          <w:rFonts w:ascii="Arial" w:hAnsi="Arial" w:cs="Arial"/>
          <w:color w:val="000000"/>
          <w:sz w:val="20"/>
          <w:szCs w:val="20"/>
        </w:rPr>
        <w:fldChar w:fldCharType="separate"/>
      </w:r>
      <w:r w:rsidR="00390F9C" w:rsidRPr="00390F9C">
        <w:rPr>
          <w:rFonts w:ascii="Arial" w:hAnsi="Arial" w:cs="Arial"/>
          <w:sz w:val="20"/>
          <w:szCs w:val="24"/>
        </w:rPr>
        <w:t>(16–19)</w:t>
      </w:r>
      <w:r w:rsidR="00FE7FE5" w:rsidRPr="00FE7FE5">
        <w:rPr>
          <w:rFonts w:ascii="Arial" w:hAnsi="Arial" w:cs="Arial"/>
          <w:color w:val="000000"/>
          <w:sz w:val="20"/>
          <w:szCs w:val="20"/>
        </w:rPr>
        <w:fldChar w:fldCharType="end"/>
      </w:r>
      <w:r w:rsidR="00FE7FE5" w:rsidRPr="00FE7FE5">
        <w:rPr>
          <w:rFonts w:ascii="Arial" w:hAnsi="Arial" w:cs="Arial"/>
          <w:color w:val="000000"/>
          <w:sz w:val="20"/>
          <w:szCs w:val="20"/>
        </w:rPr>
        <w:t xml:space="preserve"> or hemispheric </w:t>
      </w:r>
      <w:r w:rsidR="00FE7FE5" w:rsidRPr="00FE7FE5">
        <w:rPr>
          <w:rFonts w:ascii="Arial" w:hAnsi="Arial" w:cs="Arial"/>
          <w:color w:val="000000"/>
          <w:sz w:val="20"/>
          <w:szCs w:val="20"/>
        </w:rPr>
        <w:fldChar w:fldCharType="begin"/>
      </w:r>
      <w:r w:rsidR="00390F9C">
        <w:rPr>
          <w:rFonts w:ascii="Arial" w:hAnsi="Arial" w:cs="Arial"/>
          <w:color w:val="000000"/>
          <w:sz w:val="20"/>
          <w:szCs w:val="20"/>
        </w:rPr>
        <w:instrText xml:space="preserve"> ADDIN ZOTERO_ITEM CSL_CITATION {"citationID":"JxCDeCZb","properties":{"formattedCitation":"(20)","plainCitation":"(20)","noteIndex":0},"citationItems":[{"id":481,"uris":["http://zotero.org/users/9309103/items/FQFM3PKN"],"itemData":{"id":481,"type":"article-journal","container-title":"Nature","DOI":"10.1038/nature13721","ISSN":"0028-0836, 1476-4687","issue":"7517","journalAbbreviation":"Nature","language":"en","page":"219-223","source":"DOI.org (Crossref)","title":"Observational evidence for interhemispheric hydroxyl-radical parity","volume":"513","author":[{"family":"Patra","given":"P. K."},{"family":"Krol","given":"M. C."},{"family":"Montzka","given":"S. A."},{"family":"Arnold","given":"T."},{"family":"Atlas","given":"E. L."},{"family":"Lintner","given":"B. R."},{"family":"Stephens","given":"B. B."},{"family":"Xiang","given":"B."},{"family":"Elkins","given":"J. W."},{"family":"Fraser","given":"P. J."},{"family":"Ghosh","given":"A."},{"family":"Hintsa","given":"E. J."},{"family":"Hurst","given":"D. F."},{"family":"Ishijima","given":"K."},{"family":"Krummel","given":"P. B."},{"family":"Miller","given":"B. R."},{"family":"Miyazaki","given":"K."},{"family":"Moore","given":"F. L."},{"family":"Mühle","given":"J."},{"family":"O’Doherty","given":"S."},{"family":"Prinn","given":"R. G."},{"family":"Steele","given":"L. P."},{"family":"Takigawa","given":"M."},{"family":"Wang","given":"H. J."},{"family":"Weiss","given":"R. F."},{"family":"Wofsy","given":"S. C."},{"family":"Young","given":"D."}],"issued":{"date-parts":[["2014",9]]}}}],"schema":"https://github.com/citation-style-language/schema/raw/master/csl-citation.json"} </w:instrText>
      </w:r>
      <w:r w:rsidR="00FE7FE5" w:rsidRPr="00FE7FE5">
        <w:rPr>
          <w:rFonts w:ascii="Arial" w:hAnsi="Arial" w:cs="Arial"/>
          <w:color w:val="000000"/>
          <w:sz w:val="20"/>
          <w:szCs w:val="20"/>
        </w:rPr>
        <w:fldChar w:fldCharType="separate"/>
      </w:r>
      <w:r w:rsidR="00390F9C" w:rsidRPr="00390F9C">
        <w:rPr>
          <w:rFonts w:ascii="Arial" w:hAnsi="Arial" w:cs="Arial"/>
          <w:sz w:val="20"/>
        </w:rPr>
        <w:t>(20)</w:t>
      </w:r>
      <w:r w:rsidR="00FE7FE5" w:rsidRPr="00FE7FE5">
        <w:rPr>
          <w:rFonts w:ascii="Arial" w:hAnsi="Arial" w:cs="Arial"/>
          <w:color w:val="000000"/>
          <w:sz w:val="20"/>
          <w:szCs w:val="20"/>
        </w:rPr>
        <w:fldChar w:fldCharType="end"/>
      </w:r>
      <w:r w:rsidR="00FE7FE5" w:rsidRPr="00FE7FE5">
        <w:rPr>
          <w:rFonts w:ascii="Arial" w:hAnsi="Arial" w:cs="Arial"/>
          <w:color w:val="000000"/>
          <w:sz w:val="20"/>
          <w:szCs w:val="20"/>
        </w:rPr>
        <w:t xml:space="preserve"> </w:t>
      </w:r>
      <w:r w:rsidR="000041EC">
        <w:rPr>
          <w:rFonts w:ascii="Arial" w:hAnsi="Arial" w:cs="Arial"/>
          <w:color w:val="000000"/>
          <w:sz w:val="20"/>
          <w:szCs w:val="20"/>
        </w:rPr>
        <w:t>mean OH is typically inferred</w:t>
      </w:r>
      <w:r w:rsidR="000041EC" w:rsidRPr="00FE7FE5">
        <w:rPr>
          <w:rFonts w:ascii="Arial" w:hAnsi="Arial" w:cs="Arial"/>
          <w:color w:val="000000"/>
          <w:sz w:val="20"/>
          <w:szCs w:val="20"/>
        </w:rPr>
        <w:t xml:space="preserve"> </w:t>
      </w:r>
      <w:r w:rsidR="007F57CB">
        <w:rPr>
          <w:rFonts w:ascii="Arial" w:hAnsi="Arial" w:cs="Arial"/>
          <w:color w:val="000000"/>
          <w:sz w:val="20"/>
          <w:szCs w:val="20"/>
        </w:rPr>
        <w:t>using</w:t>
      </w:r>
      <w:r w:rsidR="00FE7FE5" w:rsidRPr="00FE7FE5">
        <w:rPr>
          <w:rFonts w:ascii="Arial" w:hAnsi="Arial" w:cs="Arial"/>
          <w:color w:val="000000"/>
          <w:sz w:val="20"/>
          <w:szCs w:val="20"/>
        </w:rPr>
        <w:t xml:space="preserve"> the loss rate of relatively long-lived, well-mixed chemicals that react principally with OH, such as methyl chloroform </w:t>
      </w:r>
      <w:r w:rsidR="00FE7FE5" w:rsidRPr="00FE7FE5">
        <w:rPr>
          <w:rFonts w:ascii="Arial" w:hAnsi="Arial" w:cs="Arial"/>
          <w:color w:val="000000"/>
          <w:sz w:val="20"/>
          <w:szCs w:val="20"/>
        </w:rPr>
        <w:fldChar w:fldCharType="begin"/>
      </w:r>
      <w:r w:rsidR="00390F9C">
        <w:rPr>
          <w:rFonts w:ascii="Arial" w:hAnsi="Arial" w:cs="Arial"/>
          <w:color w:val="000000"/>
          <w:sz w:val="20"/>
          <w:szCs w:val="20"/>
        </w:rPr>
        <w:instrText xml:space="preserve"> ADDIN ZOTERO_ITEM CSL_CITATION {"citationID":"Xs9Df6m5","properties":{"formattedCitation":"(21\\uc0\\u8211{}23)","plainCitation":"(21–23)","noteIndex":0},"citationItems":[{"id":450,"uris":["http://zotero.org/users/9309103/items/3J6G7H7E"],"itemData":{"id":450,"type":"article-journal","abstract":"Methylchloroform (MCF) measurements taken at the Atmospheric Lifetime Experiment / Global Atmospheric Gases Experiment (ALE/GAGE) measurement stations are used to deduce the tropospheric OH concentration and its linear trend between 1978 and 1993. Global three-dimensional fields of OH are calculated with a transport model that includes background photochemistry. Despite the large uncertainties in these OH fields, the simulated MGF concentrations at the five ALE/GAGE stations compare reasonably well to the measurements. As a next step, the OH fields are adjusted to fit the measurements optimally. An ensemble (Monte Carlo) technique is used to optimize the OH scaling factor and to derive the linear trend in OH. The optimized OH fields and trend imply a MCF lifetime in the troposphere of 4.7 years in 1978 and of 4.5 years in 1993. For CH4 these lifetimes (due to OH destruction only) are 9.2 and 8.6 years in 1978 and 1993, respectively. Uncertainties in these estimates are discussed using box-model calculations. The optimized OH concentration is sensitive to the strength of other MCF sinks in the model and is constrained to 1.00−0.15+0.09 × 106 × molecules cm−3 in 1978 and to 1.07−0.17+0.09 × 106 molecules cm−3 in 1993. The deduced OH trend is sensitive to the trend in the MCF emissions and is confined to the interval between −0.1 and +1.1% yr−1 with a most likely value of 0.46% yr−1. Possible causes of a global increase in OH are discussed. A positive OH trend is calculated due to stratospheric ozone depletion, declining CO concentrations, increased water vapor abundance, and enhanced NOx emissions. Although the changes in the atmospheric composition are to a large extent unknown, it seems that the observed changes are consistent with significant increases in OH over the past decades.","container-title":"Journal of Geophysical Research: Atmospheres","DOI":"10.1029/98JD00459","ISSN":"2156-2202","issue":"D9","language":"en","note":"_eprint: https://agupubs.onlinelibrary.wiley.com/doi/pdf/10.1029/98JD00459","page":"10697-10711","source":"Wiley Online Library","title":"Global OH trend inferred from methylchloroform measurements","volume":"103","author":[{"family":"Krol","given":"Maarten"},{"family":"Leeuwen","given":"Peter Jan","dropping-particle":"van"},{"family":"Lelieveld","given":"Jos"}],"issued":{"date-parts":[["1998"]]}}},{"id":453,"uris":["http://zotero.org/users/9309103/items/ES2UQD7A"],"itemData":{"id":453,"type":"article-journal","abstract":"Frequent atmospheric measurements of the anthropogenic compound methylchloroform that were made between 1978 and 1985 indicate that this species is continuing to increase significantly around the world. Reaction with the major atmospheric oxidant, the hydroxyl radical (OH), is the principal sink for this species. The observed mean trends for methylchloroform are 4.8, 5.4, 6.4, and 6.9 percent per year at Aldrigole (Ireland) and Cape Meares (Oregon), Ragged Point (Barbados), Point Matatula (American Samoa), and Cape Grim (Tasmania), respectively, from July 1978 to June 1985. These measured trends, combined with knowledge of industrial emissions, were used in an optimal estimation inversion scheme to deduce a globally averaged methylchloroform atmospheric lifetime of 6.3 (+1.2, -0.9) years (1σ uncertainty) and a globally averaged tropospheric hydroxyl radical concentration of (7.7 $\\pm $ 1.4) $\\times $ 10$^{5}$ radicals per cubic centimeter (1σ uncertainty). These 7 years of gas chromatographic measurements, which comprise about 60,000 individual calibrated real-time air analyses, provide the most accurate estimates yet of the trends and lifetime of methylchloroform and of the global average for tropospheric hydroxyl radical levels. Accurate determination of hydroxyl radical levels is crucial to understanding global atmospheric chemical cycles and trends in the levels of trace gases such as methane.","archive":"JSTOR","container-title":"Science","ISSN":"0036-8075","issue":"4829","note":"publisher: American Association for the Advancement of Science","page":"945-950","source":"JSTOR","title":"Atmospheric Trends in Methylchloroform and the Global Average for the Hydroxyl Radical","volume":"238","author":[{"family":"Prinn","given":"R."},{"family":"Cunnold","given":"D."},{"family":"Rasmussen","given":"R."},{"family":"Simmonds","given":"P."},{"family":"Alyea","given":"F."},{"family":"Crawford","given":"A."},{"family":"Fraser","given":"P."},{"family":"Rosen","given":"R."}],"issued":{"date-parts":[["1987"]]}}},{"id":452,"uris":["http://zotero.org/users/9309103/items/6FD5ZS56"],"itemData":{"id":452,"type":"article-journal","abstract":"Atmospheric measurements at several surface stations made between 1978 and 1990 of the anthropogenic chemical compound 1,1,1-trichloroethane (methyl chloroform, CH3CCl3) show it increasing at a global average rate of 4.4 ± 0.2% per year (1σ) over this time period. The measured trends combined with industrial emission estimates are used in an optimal estimation inversion scheme to deduce a globally averaged CH3CCl3 tropospheric (and total atmospheric) lifetime of 5.7 (+0.7, −0.6) years (1σ) and a weighted global average tropospheric hydroxyl radical (OH) concentration of (8.7 ± 1.0) × 105 radical cm−3 (1σ). Inclusion of a small loss rate to the ocean for CH3CCl3 of 1/85 year−1 does not affect the stated lifetime but lowers the stated OH concentration to (8.1 ± 0.9) × 105 radical cm−3 (1σ). The rate of change of the weighted global average OH concentration over this time period is determined to be 1.0 ± 0.8% per year (1σ) which has major implications for the oxidation capacity of the atmosphere and more specifically for methane (CH4), which like CH3CCl3 is destroyed primarily by OH radicals. Because the weighting strongly favors the tropical lower troposphere, this deduced positive OH trend is qualitatively consistent with hypothesized changes in tropical tropospheric OH and ozone concentrations driven by tropical urbanization, biomass burning, land use changes, and long-term warming. We caution, however, that our deduced rate of change in OH assumes that current industry estimates of anthropogenic emissions and our absolute calibration of CH3CCl3 are accurate. The CH3CCl3 measurements at our tropical South Pacific station (Samoa) show remarkable sensitivity to the El Nino-Southern Oscillation (ENSO), which we attribute to modulation of cross-equatorial transport during the northern hemisphere winter by the interannually varying upper tropospheric zonal winds in the equatorial Pacific. Thus measurements of this chemical compound have led to the discovery of a previously unappreciated aspect of tropical atmospheric tracer transport.","container-title":"Journal of Geophysical Research: Atmospheres","DOI":"10.1029/91JD02755","ISSN":"2156-2202","issue":"D2","language":"en","note":"_eprint: https://agupubs.onlinelibrary.wiley.com/doi/pdf/10.1029/91JD02755","page":"2445-2461","source":"Wiley Online Library","title":"Global average concentration and trend for hydroxyl radicals deduced from ALE/GAGE trichloroethane (methyl chloroform) data for 1978–1990","volume":"97","author":[{"family":"Prinn","given":"R."},{"family":"Cunnold","given":"D."},{"family":"Simmonds","given":"P."},{"family":"Alyea","given":"F."},{"family":"Boldi","given":"R."},{"family":"Crawford","given":"A."},{"family":"Fraser","given":"P."},{"family":"Gutzler","given":"D."},{"family":"Hartley","given":"D."},{"family":"Rosen","given":"R."},{"family":"Rasmussen","given":"R."}],"issued":{"date-parts":[["1992"]]}}}],"schema":"https://github.com/citation-style-language/schema/raw/master/csl-citation.json"} </w:instrText>
      </w:r>
      <w:r w:rsidR="00FE7FE5" w:rsidRPr="00FE7FE5">
        <w:rPr>
          <w:rFonts w:ascii="Arial" w:hAnsi="Arial" w:cs="Arial"/>
          <w:color w:val="000000"/>
          <w:sz w:val="20"/>
          <w:szCs w:val="20"/>
        </w:rPr>
        <w:fldChar w:fldCharType="separate"/>
      </w:r>
      <w:r w:rsidR="00390F9C" w:rsidRPr="00390F9C">
        <w:rPr>
          <w:rFonts w:ascii="Arial" w:hAnsi="Arial" w:cs="Arial"/>
          <w:sz w:val="20"/>
          <w:szCs w:val="24"/>
        </w:rPr>
        <w:t>(21–23)</w:t>
      </w:r>
      <w:r w:rsidR="00FE7FE5" w:rsidRPr="00FE7FE5">
        <w:rPr>
          <w:rFonts w:ascii="Arial" w:hAnsi="Arial" w:cs="Arial"/>
          <w:color w:val="000000"/>
          <w:sz w:val="20"/>
          <w:szCs w:val="20"/>
        </w:rPr>
        <w:fldChar w:fldCharType="end"/>
      </w:r>
      <w:r w:rsidR="00FE7FE5" w:rsidRPr="00FE7FE5">
        <w:rPr>
          <w:rFonts w:ascii="Arial" w:hAnsi="Arial" w:cs="Arial"/>
          <w:color w:val="000000"/>
          <w:sz w:val="20"/>
          <w:szCs w:val="20"/>
        </w:rPr>
        <w:t xml:space="preserve">. Formaldehyde, an intermediate product of methane oxidation with a lifetime of several hours, shows promise for reflecting </w:t>
      </w:r>
      <w:r w:rsidR="00C20C8E">
        <w:rPr>
          <w:rFonts w:ascii="Arial" w:hAnsi="Arial" w:cs="Arial"/>
          <w:color w:val="000000"/>
          <w:sz w:val="20"/>
          <w:szCs w:val="20"/>
        </w:rPr>
        <w:t xml:space="preserve">daily </w:t>
      </w:r>
      <w:r w:rsidR="00FE7FE5" w:rsidRPr="00FE7FE5">
        <w:rPr>
          <w:rFonts w:ascii="Arial" w:hAnsi="Arial" w:cs="Arial"/>
          <w:color w:val="000000"/>
          <w:sz w:val="20"/>
          <w:szCs w:val="20"/>
        </w:rPr>
        <w:t>OH fluctuations at the relatively small scale of a tropospheric column</w:t>
      </w:r>
      <w:r w:rsidR="0005501B">
        <w:rPr>
          <w:rFonts w:ascii="Arial" w:hAnsi="Arial" w:cs="Arial"/>
          <w:color w:val="000000"/>
          <w:sz w:val="20"/>
          <w:szCs w:val="20"/>
        </w:rPr>
        <w:t xml:space="preserve"> </w:t>
      </w:r>
      <w:r w:rsidR="0005501B">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{"citationID":"Zs9YYR2h","properties":{"formattedCitation":"(24, 25)","plainCitation":"(24, 25)","noteIndex":0},"citationItems":[{"id":465,"uris":["http://zotero.org/users/9309103/items/ZFDND6RC"],"itemData":{"id":465,"type":"article-journal","abstract":"The hydroxyl radical (OH) fuels tropospheric ozone production and governs the lifetime of methane and many other gases. Existing methods to quantify global OH are limited to annual and global-to-hemispheric averages. Finer resolution is essential for isolating model deficiencies and building process-level understanding. In situ observations from the Atmospheric Tomography (ATom) mission demonstrate that remote tropospheric OH is tightly coupled to the production and loss of formaldehyde (HCHO), a major hydrocarbon oxidation product. Synthesis of this relationship with satellite-based HCHO retrievals and model-derived HCHO loss frequencies yields a map of total-column OH abundance throughout the remote troposphere (up to 70% of tropospheric mass) over the first two ATom missions (August 2016 and February 2017). This dataset offers unique insights on near-global oxidizing capacity. OH exhibits significant seasonality within individual hemispheres, but the domain mean concentration is nearly identical for both seasons (1.03 ± 0.25 × 10\n              6\n              cm\n              −3\n              ), and the biseasonal average North/South Hemisphere ratio is 0.89 ± 0.06, consistent with a balance of OH sources and sinks across the remote troposphere. Regional phenomena are also highlighted, such as a 10-fold OH depression in the Tropical West Pacific and enhancements in the East Pacific and South Atlantic. This method is complementary to budget-based global OH constraints and can help elucidate the spatial and temporal variability of OH production and methane loss.","container-title":"Proceedings of the National Academy of Sciences","DOI":"10.1073/pnas.1821661116","ISSN":"0027-8424, 1091-6490","issue":"23","journalAbbreviation":"Proc Natl Acad Sci USA","language":"en","page":"11171-11180","source":"DOI.org (Crossref)","title":"Mapping hydroxyl variability throughout the global remote troposphere via synthesis of airborne and satellite formaldehyde observations","volume":"116","author":[{"family":"Wolfe","given":"Glenn M."},{"family":"Nicely","given":"Julie M."},{"family":"St. Clair","given":"Jason M."},{"family":"Hanisco","given":"Thomas F."},{"family":"Liao","given":"Jin"},{"family":"Oman","given":"Luke D."},{"family":"Brune","given":"William B."},{"family":"Miller","given":"David"},{"family":"Thames","given":"Alexander"},{"family":"González Abad","given":"Gonzalo"},{"family":"Ryerson","given":"Thomas B."},{"family":"Thompson","given":"Chelsea R."},{"family":"Peischl","given":"Jeff"},{"family":"McKain","given":"Kathryn"},{"family":"Sweeney","given":"Colm"},{"family":"Wennberg","given":"Paul O."},{"family":"Kim","given":"Michelle"},{"family":"Crounse","given":"John D."},{"family":"Hall","given":"Samuel R."},{"family":"Ullmann","given":"Kirk"},{"family":"Diskin","given":"Glenn"},{"family":"Bui","given":"Paul"},{"family":"Chang","given":"Cecilia"},{"family":"Dean-Day","given":"Jonathan"}],"issued":{"date-parts":[["2019",6,4]]}}},{"id":796,"uris":["http://zotero.org/users/9309103/items/D2M934FC"],"itemData":{"id":796,"type":"article-journal","abstract":"Formaldehyde (CH2O), a key atmospheric oxidation intermediate that is detectable from satellite-based UV/visible spectrometers, is primarily formed when hydroxyl radical (OH) reacts with volatile organic compounds (VOC) and is removed by photolysis, reaction with OH or deposition. We investigate the inﬂuence of OH and VOC variability on the CH2O column using a steady state model and the WRF-Chem regional chemical transport model over the southeast United States for the summer of 2012 (June–August). The steady state model indicates that the CH2O column primarily depends on OH production rates (POH) at low concentrations of OH (&lt;3 × 106 molecules cmÀ3), on both POH and VOC reactivity (VOCR: Σiki[VOC]i) at moderate concentrations of OH (3 × 106–7 × 106 molecules cmÀ3) and on VOCR at high concentrations of OH (&gt;7 × 106 molecules cmÀ3). When constrained with WRF-Chem values of boundary layer average POH and VOCR, the steady state model of CH2O explains most of the daily (r2 = 0.93) and average June–August (r2 = 0.97) spatial variance of the fully simulated cloud-free CH2O column. These ﬁndings imply that measurements of the CH2O column offer the potential to better understand the processes affecting oxidation, particularly in remote regions, where OH concentrations are low. The ﬁndings also suggest that the inference of VOC emissions based on measurements of CH2O, or any other intermediate oxidation species with a photolytic lifetime that is short relative to removal by reaction with OH (e.g., glyoxal), should carefully account for the inﬂuence of OH on the observed pattern, especially where OH concentrations are below 5 × 106 molecules cmÀ3, as occurs in remote forests, where OH strongly varies, as occurs downwind of large nitrogen oxide (NOx: NO+NO2) emission sources, or where OH sources are potentially biased.","container-title":"Journal of Geophysical Research: Atmospheres","DOI":"10.1002/2015JD024012","ISSN":"2169897X","issue":"1","journalAbbreviation":"J. Geophys. Res. Atmos.","language":"en","page":"478-493","source":"DOI.org (Crossref)","title":"The role of OH production in interpreting the variability of CH&lt;sub&gt;2&lt;/sub&gt;O columns in the southeast U.S.","title-short":"The role of OH production in interpreting the variability of CH &lt;sub&gt;2&lt;/sub&gt; O columns in the southeast U.S.","volume":"121","author":[{"family":"Valin","given":"L. C."},{"family":"Fiore","given":"A. M."},{"family":"Chance","given":"K."},{"family":"González Abad","given":"G."}],"issued":{"date-parts":[["2016",1,16]]}}}],"schema":"https://github.com/citation-style-language/schema/raw/master/csl-citation.json"} </w:instrText>
      </w:r>
      <w:r w:rsidR="0005501B">
        <w:rPr>
          <w:rFonts w:ascii="Arial" w:hAnsi="Arial" w:cs="Arial"/>
          <w:color w:val="000000"/>
          <w:sz w:val="20"/>
          <w:szCs w:val="20"/>
        </w:rPr>
        <w:fldChar w:fldCharType="separate"/>
      </w:r>
      <w:r w:rsidR="0005501B" w:rsidRPr="0005501B">
        <w:rPr>
          <w:rFonts w:ascii="Arial" w:hAnsi="Arial" w:cs="Arial"/>
          <w:sz w:val="20"/>
        </w:rPr>
        <w:t>(24, 25)</w:t>
      </w:r>
      <w:r w:rsidR="0005501B">
        <w:rPr>
          <w:rFonts w:ascii="Arial" w:hAnsi="Arial" w:cs="Arial"/>
          <w:color w:val="000000"/>
          <w:sz w:val="20"/>
          <w:szCs w:val="20"/>
        </w:rPr>
        <w:fldChar w:fldCharType="end"/>
      </w:r>
      <w:r w:rsidR="00FE7FE5" w:rsidRPr="00FE7FE5">
        <w:rPr>
          <w:rFonts w:ascii="Arial" w:hAnsi="Arial" w:cs="Arial"/>
          <w:color w:val="000000"/>
          <w:sz w:val="20"/>
          <w:szCs w:val="20"/>
        </w:rPr>
        <w:t xml:space="preserve">. Although they offer much-needed information on OH variability, </w:t>
      </w:r>
      <w:r w:rsidR="00955C29">
        <w:rPr>
          <w:rFonts w:ascii="Arial" w:hAnsi="Arial" w:cs="Arial"/>
          <w:color w:val="000000"/>
          <w:sz w:val="20"/>
          <w:szCs w:val="20"/>
        </w:rPr>
        <w:t xml:space="preserve">none of the </w:t>
      </w:r>
      <w:r w:rsidR="00FE7FE5" w:rsidRPr="00FE7FE5">
        <w:rPr>
          <w:rFonts w:ascii="Arial" w:hAnsi="Arial" w:cs="Arial"/>
          <w:color w:val="000000"/>
          <w:sz w:val="20"/>
          <w:szCs w:val="20"/>
        </w:rPr>
        <w:t>existing proxies provide</w:t>
      </w:r>
      <w:r w:rsidR="00955C29">
        <w:rPr>
          <w:rFonts w:ascii="Arial" w:hAnsi="Arial" w:cs="Arial"/>
          <w:color w:val="000000"/>
          <w:sz w:val="20"/>
          <w:szCs w:val="20"/>
        </w:rPr>
        <w:t>s</w:t>
      </w:r>
      <w:r w:rsidR="00FE7FE5" w:rsidRPr="00FE7FE5">
        <w:rPr>
          <w:rFonts w:ascii="Arial" w:hAnsi="Arial" w:cs="Arial"/>
          <w:color w:val="000000"/>
          <w:sz w:val="20"/>
          <w:szCs w:val="20"/>
        </w:rPr>
        <w:t xml:space="preserve"> insight into the individual photochemical processes controlling OH. </w:t>
      </w:r>
    </w:p>
    <w:p w14:paraId="2953D01F" w14:textId="77777777" w:rsidR="00FE7FE5"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p>
    <w:p w14:paraId="2D6CD3BE" w14:textId="3A97BF7A" w:rsidR="00FE7FE5" w:rsidRPr="00FE7FE5"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r w:rsidRPr="00FE7FE5">
        <w:rPr>
          <w:rFonts w:ascii="Arial" w:hAnsi="Arial" w:cs="Arial"/>
          <w:color w:val="000000"/>
          <w:sz w:val="20"/>
          <w:szCs w:val="20"/>
        </w:rPr>
        <w:t xml:space="preserve">We use </w:t>
      </w:r>
      <w:r w:rsidR="00811CD8">
        <w:rPr>
          <w:rFonts w:ascii="Arial" w:hAnsi="Arial" w:cs="Arial"/>
          <w:color w:val="000000"/>
          <w:sz w:val="20"/>
          <w:szCs w:val="20"/>
        </w:rPr>
        <w:t xml:space="preserve">an unprecedented set of observations from the </w:t>
      </w:r>
      <w:r w:rsidRPr="00FE7FE5">
        <w:rPr>
          <w:rFonts w:ascii="Arial" w:hAnsi="Arial" w:cs="Arial"/>
          <w:color w:val="000000"/>
          <w:sz w:val="20"/>
          <w:szCs w:val="20"/>
        </w:rPr>
        <w:t xml:space="preserve">NASA Atmospheric Tomography (ATom) airborne </w:t>
      </w:r>
      <w:r w:rsidR="00811CD8">
        <w:rPr>
          <w:rFonts w:ascii="Arial" w:hAnsi="Arial" w:cs="Arial"/>
          <w:color w:val="000000"/>
          <w:sz w:val="20"/>
          <w:szCs w:val="20"/>
        </w:rPr>
        <w:t>campaign</w:t>
      </w:r>
      <w:r w:rsidR="00811CD8" w:rsidRPr="00FE7FE5">
        <w:rPr>
          <w:rFonts w:ascii="Arial" w:hAnsi="Arial" w:cs="Arial"/>
          <w:color w:val="000000"/>
          <w:sz w:val="20"/>
          <w:szCs w:val="20"/>
        </w:rPr>
        <w:t xml:space="preserve">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{"citationID":"aTLCcfqt","properties":{"formattedCitation":"(26)","plainCitation":"(26)","noteIndex":0},"citationItems":[{"id":439,"uris":["http://zotero.org/users/9309103/items/WDVT26JF"],"itemData":{"id":439,"type":"article-journal","abstract":"ORNL DAAC: This dataset provides information on greenhouse gases and human-produced air pollution, including atmospheric concentrations of carbon dioxide (CO2), methane (CH4), tropospheric ozone (O3) and black carbon (BC) aerosols, collected during airborne campaigns conducted by NASA's Atmospheric Tomography (ATom) mission. This dataset includes merged data from all instruments plus additional data such as numbered profiles and distance flown. Merged data have been created for seven different sampling intervals. In the case of data obtained over longer time intervals (e.g. flask data), the merge files provide (weighted) averages to match the sampling intervals. ATom deploys an extensive gas and aerosol payload on the NASA DC-8 aircraft for systematic, global-scale sampling of the atmosphere, profiling continuously from 0.2 to 12 km altitude. Flights occurred in each of 4 seasons from 2016 to 2018. Flights originate from the Armstrong Flight Research Center in Palmdale, California, fly north to the western Arctic, south to the South Pacific, east to the Atlantic, north to Greenland, and return to California across central North America. ATom establishes a single, contiguous, global-scale dataset. This comprehensive dataset will be used to improve the representation of chemically reactive gases and short-lived climate forcers in global models of atmospheric chemistry and climate. Profiles of the reactive gases will also provide critical information for validation of satellite data, particularly in remote areas where in situ data is lacking. Complete aircraft flight information including, but not limited to, latitude, longitude, and altitude are also provided. This data release provides results from all instruments on all four ATom flight campaigns.","container-title":"ORNL DAAC","DOI":"https://doi.org/10.3334/ORNLDAAC/1581","language":"en-US","source":"daac.ornl.gov","title":"ATom: Merged Atmospheric Chemistry, Trace Gases, and Aerosols","title-short":"ATom","URL":"https://daac.ornl.gov/cgi-bin/dsviewer.pl?ds_id=1581","author":[{"family":"Wofsy","given":"S. C."},{"family":"Afshar","given":"S."},{"family":"Allen","given":"H. M."},{"family":"Apel","given":"E. C."},{"family":"Asher","given":"E. C."},{"family":"Barletta","given":"B."},{"family":"Bent","given":"J."},{"family":"Bian","given":"H."},{"family":"Biggs","given":"B. C."},{"family":"Blake","given":"D. R."},{"family":"Blake","given":"N."},{"family":"Bourgeois","given":"I."},{"family":"Brock","given":"C. A."},{"family":"Brune","given":"W. H."},{"family":"Budney","given":"J. W."},{"family":"Bui","given":"T. P."},{"family":"Butler","given":"A."},{"family":"Campuzano-Jost","given":"P."},{"family":"Chang","given":"C. S."},{"family":"Chin","given":"M."},{"family":"Commane","given":"R."},{"family":"Correa","given":"G."},{"family":"Crounse","given":"J. D."},{"family":"Cullis","given":"P. D."},{"family":"Daube","given":"B. C."},{"family":"Day","given":"D. A."},{"family":"Dean-Day","given":"J. M."},{"family":"Dibb","given":"J. E."},{"family":"Digangi","given":"J. P."},{"family":"Diskin","given":"G. S."},{"family":"Dollner","given":"M."},{"family":"Elkins","given":"J. W."},{"family":"Erdesz","given":"F."},{"family":"Fiore","given":"A. M."},{"family":"Flynn","given":"C. M."},{"family":"Froyd","given":"K. D."},{"family":"Gesler","given":"D. W."},{"family":"Hall","given":"S. R."},{"family":"Hanisco","given":"T. F."},{"family":"Hannun","given":"R. A."},{"family":"Hills","given":"A. J."},{"family":"Hintsa","given":"E. J."},{"family":"Hoffman","given":"A."},{"family":"Hornbrook","given":"R. S."},{"family":"Huey","given":"L. G."},{"family":"Hughes","given":"S."},{"family":"Jimenez","given":"J. L."},{"family":"Johnson","given":"B. J."},{"family":"Katich","given":"J. M."},{"family":"Keeling","given":"R. F."},{"family":"Kim","given":"M. J."},{"family":"Kupc","given":"A."},{"family":"Lait","given":"L. R."},{"family":"Lamarque","given":"J.-F."},{"family":"Liu","given":"J."},{"family":"Mckain","given":"K."},{"family":"Mclaughlin","given":"R. J."},{"family":"Meinardi","given":"S."},{"family":"Miller","given":"D. O."},{"family":"Montzka","given":"S. A."},{"family":"Moore","given":"F. L."},{"family":"Morgan","given":"E. J."},{"family":"Murphy","given":"D. M."},{"family":"Murray","given":"L. T."},{"family":"Nault","given":"B. A."},{"family":"Neuman","given":"J. A."},{"family":"Newman","given":"P. A."},{"family":"Nicely","given":"J. M."},{"family":"Pan","given":"X."},{"family":"Paplawsky","given":"W."},{"family":"Peischl","given":"J."},{"family":"Prather","given":"M. J."},{"family":"Price","given":"D. J."},{"family":"Ray","given":"E."},{"family":"Reeves","given":"J. M."},{"family":"Richardson","given":"M."},{"family":"Rollins","given":"A. W."},{"family":"Rosenlof","given":"K. H."},{"family":"Ryerson","given":"T. B."},{"family":"Scheuer","given":"E."},{"family":"Schill","given":"G. P."},{"family":"Schroder","given":"J. C."},{"family":"Schwarz","given":"J. P."},{"family":"St. Clair","given":"J. M."},{"family":"Steenrod","given":"S. D."},{"family":"Stephens","given":"B. B."},{"family":"Strode","given":"S. A."},{"family":"Sweeney","given":"C."},{"family":"Tanner","given":"D."},{"family":"Teng","given":"A. P."},{"family":"Thames","given":"A. B."},{"family":"Thompson","given":"C. R."},{"family":"Ullmann","given":"K."},{"family":"Veres","given":"P. R."},{"family":"Vizenor","given":"N."},{"family":"Wagner","given":"N. L."},{"family":"Watt","given":"A."},{"family":"Weber","given":"R."},{"family":"Weinzierl","given":"B."},{"family":"Wennberg","given":"P. O."},{"family":"Williamson","given":"C. J."},{"family":"Wilson","given":"J. C."},{"family":"Wolfe","given":"G. M."},{"family":"Woods","given":"C. T."},{"family":"Zeng","given":"L. H."}],"accessed":{"date-parts":[["2020",3,25]]},"issued":{"date-parts":[["2018",3,28]]}}}],"schema":"https://github.com/citation-style-language/schema/raw/master/csl-citation.json"}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(26)</w:t>
      </w:r>
      <w:r w:rsidRPr="00FE7FE5">
        <w:rPr>
          <w:rFonts w:ascii="Arial" w:hAnsi="Arial" w:cs="Arial"/>
          <w:color w:val="000000"/>
          <w:sz w:val="20"/>
          <w:szCs w:val="20"/>
        </w:rPr>
        <w:fldChar w:fldCharType="end"/>
      </w:r>
      <w:r w:rsidR="00390F9C">
        <w:rPr>
          <w:rFonts w:ascii="Arial" w:hAnsi="Arial" w:cs="Arial"/>
          <w:color w:val="000000"/>
          <w:sz w:val="20"/>
          <w:szCs w:val="20"/>
        </w:rPr>
        <w:t xml:space="preserve">. </w:t>
      </w:r>
      <w:r w:rsidRPr="00FE7FE5">
        <w:rPr>
          <w:rFonts w:ascii="Arial" w:hAnsi="Arial" w:cs="Arial"/>
          <w:color w:val="000000"/>
          <w:sz w:val="20"/>
          <w:szCs w:val="20"/>
        </w:rPr>
        <w:t>This dataset</w:t>
      </w:r>
      <w:r w:rsidR="00CC64F9">
        <w:rPr>
          <w:rFonts w:ascii="Arial" w:hAnsi="Arial" w:cs="Arial"/>
          <w:color w:val="000000"/>
          <w:sz w:val="20"/>
          <w:szCs w:val="20"/>
        </w:rPr>
        <w:t xml:space="preserve">, comprising </w:t>
      </w:r>
      <w:r w:rsidR="00CC64F9" w:rsidRPr="00FE7FE5">
        <w:rPr>
          <w:rFonts w:ascii="Arial" w:hAnsi="Arial" w:cs="Arial"/>
          <w:color w:val="000000"/>
          <w:sz w:val="20"/>
          <w:szCs w:val="20"/>
        </w:rPr>
        <w:t>14</w:t>
      </w:r>
      <w:r w:rsidR="00CC52C6">
        <w:rPr>
          <w:rFonts w:ascii="Arial" w:hAnsi="Arial" w:cs="Arial"/>
          <w:color w:val="000000"/>
          <w:sz w:val="20"/>
          <w:szCs w:val="20"/>
        </w:rPr>
        <w:t>6</w:t>
      </w:r>
      <w:r w:rsidR="00CC64F9" w:rsidRPr="00FE7FE5">
        <w:rPr>
          <w:rFonts w:ascii="Arial" w:hAnsi="Arial" w:cs="Arial"/>
          <w:color w:val="000000"/>
          <w:sz w:val="20"/>
          <w:szCs w:val="20"/>
        </w:rPr>
        <w:t>,</w:t>
      </w:r>
      <w:r w:rsidR="00CC52C6">
        <w:rPr>
          <w:rFonts w:ascii="Arial" w:hAnsi="Arial" w:cs="Arial"/>
          <w:color w:val="000000"/>
          <w:sz w:val="20"/>
          <w:szCs w:val="20"/>
        </w:rPr>
        <w:t>494</w:t>
      </w:r>
      <w:r w:rsidR="00CC64F9" w:rsidRPr="00FE7FE5">
        <w:rPr>
          <w:rFonts w:ascii="Arial" w:hAnsi="Arial" w:cs="Arial"/>
          <w:color w:val="000000"/>
          <w:sz w:val="20"/>
          <w:szCs w:val="20"/>
        </w:rPr>
        <w:t xml:space="preserve"> 10-second average air parcels</w:t>
      </w:r>
      <w:r w:rsidR="00CC64F9">
        <w:rPr>
          <w:rFonts w:ascii="Arial" w:hAnsi="Arial" w:cs="Arial"/>
          <w:color w:val="000000"/>
          <w:sz w:val="20"/>
          <w:szCs w:val="20"/>
        </w:rPr>
        <w:t xml:space="preserve"> </w:t>
      </w:r>
      <w:r w:rsidR="00CC64F9">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{"citationID":"cI5EFB6b","properties":{"formattedCitation":"(27)","plainCitation":"(27)","noteIndex":0},"citationItems":[{"id":441,"uris":["http://zotero.org/users/9309103/items/9Y3LJGW3"],"itemData":{"id":441,"type":"article-journal","abstract":"Abstract. We develop a new protocol for merging in situ measurements with 3-D model\nsimulations of atmospheric chemistry with the goal of integrating these\ndata to identify the most reactive air parcels in terms of tropospheric\nproduction and loss of the greenhouse gases ozone and methane. Presupposing\nthat we can accurately measure atmospheric composition, we examine whether\nmodels constrained by such measurements agree on the chemical budgets for\nozone and methane. In applying our technique to a synthetic data stream of\n14 880 parcels along 180</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 W, we are able to isolate the performance of the\nphotochemical modules operating within their global chemistry-climate and\nchemistry-transport models, removing the effects of modules controlling\ntracer transport, emissions, and scavenging. Differences in reactivity across\nmodels are driven only by the chemical mechanism and the diurnal cycle of\nphotolysis rates, which are driven in turn by temperature, water vapor, solar\nzenith angle, clouds, and possibly aerosols and overhead ozone, which are\ncalculated in each model. We evaluate six global models and identify their\ndifferences and similarities in simulating the chemistry through a range of\ninnovative diagnostics. All models agree that the more highly reactive\nparcels dominate the chemistry (e.g., the hottest 10 % of parcels control\n25–30 % of the total reactivities), but do not fully agree on which parcels\ncomprise the top 10 %. Distinct differences in specific features occur,\nincluding the spatial regions of maximum ozone production and methane loss,\nas well as in the relationship between photolysis and these reactivities.\nUnique, possibly aberrant, features are identified for each model, providing\na benchmark for photochemical module development. Among the six models tested\nhere, three are almost indistinguishable based on the inherent variability caused\nby clouds, and thus we identify four, effectively distinct, chemical models.\nBased on this work, we suggest that water vapor differences in model\nsimulations of past and future atmospheres may be a cause of the different\nevolution of tropospheric O3 and CH4, and lead to different\nchemistry-climate feedbacks across the models.","container-title":"Atmospheric Measurement Techniques","DOI":"10.5194/amt-11-2653-2018","ISSN":"1867-8548","issue":"5","journalAbbreviation":"Atmos. Meas. Tech.","language":"en","page":"2653-2668","source":"DOI.org (Crossref)","title":"How well can global chemistry models calculate the reactivity of short-lived greenhouse gases in the remote troposphere, knowing the chemical composition","volume":"11","author":[{"family":"Prather","given":"Michael J."},{"family":"Flynn","given":"Clare M."},{"family":"Zhu","given":"Xin"},{"family":"Steenrod","given":"Stephen D."},{"family":"Strode","given":"Sarah A."},{"family":"Fiore","given":"Arlene M."},{"family":"Correa","given":"Gustavo"},{"family":"Murray","given":"Lee T."},{"family":"Lamarque","given":"Jean-Francois"}],"issued":{"date-parts":[["2018",5,7]]}}}],"schema":"https://github.com/citation-style-language/schema/raw/master/csl-citation.json"} </w:instrText>
      </w:r>
      <w:r w:rsidR="00CC64F9">
        <w:rPr>
          <w:rFonts w:ascii="Arial" w:hAnsi="Arial" w:cs="Arial"/>
          <w:color w:val="000000"/>
          <w:sz w:val="20"/>
          <w:szCs w:val="20"/>
        </w:rPr>
        <w:fldChar w:fldCharType="separate"/>
      </w:r>
      <w:r w:rsidR="00CC64F9" w:rsidRPr="00CC64F9">
        <w:rPr>
          <w:rFonts w:ascii="Arial" w:hAnsi="Arial" w:cs="Arial"/>
          <w:sz w:val="20"/>
        </w:rPr>
        <w:t>(27)</w:t>
      </w:r>
      <w:r w:rsidR="00CC64F9">
        <w:rPr>
          <w:rFonts w:ascii="Arial" w:hAnsi="Arial" w:cs="Arial"/>
          <w:color w:val="000000"/>
          <w:sz w:val="20"/>
          <w:szCs w:val="20"/>
        </w:rPr>
        <w:fldChar w:fldCharType="end"/>
      </w:r>
      <w:r w:rsidR="00CC64F9">
        <w:rPr>
          <w:rFonts w:ascii="Arial" w:hAnsi="Arial" w:cs="Arial"/>
          <w:color w:val="000000"/>
          <w:sz w:val="20"/>
          <w:szCs w:val="20"/>
        </w:rPr>
        <w:t>,</w:t>
      </w:r>
      <w:r w:rsidRPr="00FE7FE5">
        <w:rPr>
          <w:rFonts w:ascii="Arial" w:hAnsi="Arial" w:cs="Arial"/>
          <w:color w:val="000000"/>
          <w:sz w:val="20"/>
          <w:szCs w:val="20"/>
        </w:rPr>
        <w:t xml:space="preserve"> offers the most spatially comprehensive set of </w:t>
      </w:r>
      <w:r w:rsidRPr="00FE7FE5">
        <w:rPr>
          <w:rFonts w:ascii="Arial" w:hAnsi="Arial" w:cs="Arial"/>
          <w:i/>
          <w:iCs/>
          <w:color w:val="000000"/>
          <w:sz w:val="20"/>
          <w:szCs w:val="20"/>
        </w:rPr>
        <w:t>in situ</w:t>
      </w:r>
      <w:r w:rsidRPr="00FE7FE5">
        <w:rPr>
          <w:rFonts w:ascii="Arial" w:hAnsi="Arial" w:cs="Arial"/>
          <w:color w:val="000000"/>
          <w:sz w:val="20"/>
          <w:szCs w:val="20"/>
        </w:rPr>
        <w:t xml:space="preserve"> profile measurements of OH and its chemical and radiative drivers to date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{"citationID":"wG6B76Q8","properties":{"formattedCitation":"(28)","plainCitation":"(28)","noteIndex":0},"citationItems":[{"id":724,"uris":["http://zotero.org/users/9309103/items/P8XFDYXS"],"itemData":{"id":724,"type":"article-journal","abstract":"Abstract This article provides an overview of the NASA Atmospheric Tomography (ATom) mission and a summary of selected scientific findings to date. ATom was an airborne measurements and modeling campaign aimed at characterizing the composition and chemistry of the troposphere over the most remote regions of the Pacific, Southern, Atlantic, and Arctic Oceans, and examining the impact of anthropogenic and natural emissions on a global scale. These remote regions dominate global chemical reactivity and are exceptionally important for global air quality and climate. ATom data provide the in situ measurements needed to understand the range of chemical species and their reactions, and to test satellite remote sensing observations and global models over large regions of the remote atmosphere. Lack of data in these regions, particularly over the oceans, has limited our understanding of how atmospheric composition is changing in response to shifting anthropogenic emissions and physical climate change. ATom was designed as a global-scale tomographic sampling mission with extensive geographic and seasonal coverage, tropospheric vertical profiling, and detailed speciation of reactive compounds and pollution tracers. ATom flew the NASA DC-8 research aircraft over four seasons to collect a comprehensive suite of measurements of gases, aerosols, and radical species from the remote troposphere and lower stratosphere on four global circuits from 2016 to 2018. Flights maintained near-continuous vertical profiling of 0.15–13-km altitudes on long meridional transects of the Pacific and Atlantic Ocean basins. Analysis and modeling of ATom data have led to the significant early findings highlighted here.","container-title":"Bulletin of the American Meteorological Society","DOI":"10.1175/BAMS-D-20-0315.1","ISSN":"0003-0007, 1520-0477","issue":"3","language":"EN","note":"publisher: American Meteorological Society\nsection: Bulletin of the American Meteorological Society","page":"E761-E790","source":"journals.ametsoc.org","title":"The NASA Atmospheric Tomography (ATom) Mission: Imaging the Chemistry of the Global Atmosphere","title-short":"The NASA Atmospheric Tomography (ATom) Mission","volume":"103","author":[{"family":"Thompson","given":"Chelsea R."},{"family":"Wofsy","given":"Steven C."},{"family":"Prather","given":"Michael J."},{"family":"Newman","given":"Paul A."},{"family":"Hanisco","given":"Thomas F."},{"family":"Ryerson","given":"Thomas B."},{"family":"Fahey","given":"David W."},{"family":"Apel","given":"Eric C."},{"family":"Brock","given":"Charles A."},{"family":"Brune","given":"William H."},{"family":"Froyd","given":"Karl"},{"family":"Katich","given":"Joseph M."},{"family":"Nicely","given":"Julie M."},{"family":"Peischl","given":"Jeff"},{"family":"Ray","given":"Eric"},{"family":"Veres","given":"Patrick R."},{"family":"Wang","given":"Siyuan"},{"family":"Allen","given":"Hannah M."},{"family":"Asher","given":"Elizabeth"},{"family":"Bian","given":"Huisheng"},{"family":"Blake","given":"Donald"},{"family":"Bourgeois","given":"Ilann"},{"family":"Budney","given":"John"},{"family":"Bui","given":"T. Paul"},{"family":"Butler","given":"Amy"},{"family":"Campuzano-Jost","given":"Pedro"},{"family":"Chang","given":"Cecilia"},{"family":"Chin","given":"Mian"},{"family":"Commane","given":"Róisín"},{"family":"Correa","given":"Gus"},{"family":"Crounse","given":"John D."},{"family":"Daube","given":"Bruce"},{"family":"Dibb","given":"Jack E."},{"family":"DiGangi","given":"Joshua P."},{"family":"Diskin","given":"Glenn S."},{"family":"Dollner","given":"Maximilian"},{"family":"Elkins","given":"James W."},{"family":"Fiore","given":"Arlene M."},{"family":"Flynn","given":"Clare M."},{"family":"Guo","given":"Hao"},{"family":"Hall","given":"Samuel R."},{"family":"Hannun","given":"Reem A."},{"family":"Hills","given":"Alan"},{"family":"Hintsa","given":"Eric J."},{"family":"Hodzic","given":"Alma"},{"family":"Hornbrook","given":"Rebecca S."},{"family":"Huey","given":"L. Greg"},{"family":"Jimenez","given":"Jose L."},{"family":"Keeling","given":"Ralph F."},{"family":"Kim","given":"Michelle J."},{"family":"Kupc","given":"Agnieszka"},{"family":"Lacey","given":"Forrest"},{"family":"Lait","given":"Leslie R."},{"family":"Lamarque","given":"Jean-Francois"},{"family":"Liu","given":"Junhua"},{"family":"McKain","given":"Kathryn"},{"family":"Meinardi","given":"Simone"},{"family":"Miller","given":"David O."},{"family":"Montzka","given":"Stephen A."},{"family":"Moore","given":"Fred L."},{"family":"Morgan","given":"Eric J."},{"family":"Murphy","given":"Daniel M."},{"family":"Murray","given":"Lee T."},{"family":"Nault","given":"Benjamin A."},{"family":"Neuman","given":"J. Andrew"},{"family":"Nguyen","given":"Louis"},{"family":"Gonzalez","given":"Yenny"},{"family":"Rollins","given":"Andrew"},{"family":"Rosenlof","given":"Karen"},{"family":"Sargent","given":"Maryann"},{"family":"Schill","given":"Gregory"},{"family":"Schwarz","given":"Joshua P."},{"family":"Clair","given":"Jason M. St"},{"family":"Steenrod","given":"Stephen D."},{"family":"Stephens","given":"Britton B."},{"family":"Strahan","given":"Susan E."},{"family":"Strode","given":"Sarah A."},{"family":"Sweeney","given":"Colm"},{"family":"Thames","given":"Alexander B."},{"family":"Ullmann","given":"Kirk"},{"family":"Wagner","given":"Nicholas"},{"family":"Weber","given":"Rodney"},{"family":"Weinzierl","given":"Bernadett"},{"family":"Wennberg","given":"Paul O."},{"family":"Williamson","given":"Christina J."},{"family":"Wolfe","given":"Glenn M."},{"family":"Zeng","given":"Linghan"}],"issued":{"date-parts":[["2022",3,1]]}}}],"schema":"https://github.com/citation-style-language/schema/raw/master/csl-citation.json"}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(28)</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t>
      </w:r>
      <w:r w:rsidR="0055657F">
        <w:rPr>
          <w:rFonts w:ascii="Arial" w:hAnsi="Arial" w:cs="Arial"/>
          <w:color w:val="000000"/>
          <w:sz w:val="20"/>
          <w:szCs w:val="20"/>
        </w:rPr>
        <w:t xml:space="preserve">In general, we subset the </w:t>
      </w:r>
      <w:r w:rsidR="00CC52C6">
        <w:rPr>
          <w:rFonts w:ascii="Arial" w:hAnsi="Arial" w:cs="Arial"/>
          <w:color w:val="000000"/>
          <w:sz w:val="20"/>
          <w:szCs w:val="20"/>
        </w:rPr>
        <w:t xml:space="preserve">relatively unpolluted, </w:t>
      </w:r>
      <w:r w:rsidR="0055657F">
        <w:rPr>
          <w:rFonts w:ascii="Arial" w:hAnsi="Arial" w:cs="Arial"/>
          <w:color w:val="000000"/>
          <w:sz w:val="20"/>
          <w:szCs w:val="20"/>
        </w:rPr>
        <w:t>remote marine tropospher</w:t>
      </w:r>
      <w:r w:rsidR="00C20C8E">
        <w:rPr>
          <w:rFonts w:ascii="Arial" w:hAnsi="Arial" w:cs="Arial"/>
          <w:color w:val="000000"/>
          <w:sz w:val="20"/>
          <w:szCs w:val="20"/>
        </w:rPr>
        <w:t>ic data</w:t>
      </w:r>
      <w:r w:rsidR="0055657F">
        <w:rPr>
          <w:rFonts w:ascii="Arial" w:hAnsi="Arial" w:cs="Arial"/>
          <w:color w:val="000000"/>
          <w:sz w:val="20"/>
          <w:szCs w:val="20"/>
        </w:rPr>
        <w:t xml:space="preserve"> into regional bins </w:t>
      </w:r>
      <w:r w:rsidR="00A77A87">
        <w:rPr>
          <w:rFonts w:ascii="Arial" w:hAnsi="Arial" w:cs="Arial"/>
          <w:color w:val="000000"/>
          <w:sz w:val="20"/>
          <w:szCs w:val="20"/>
        </w:rPr>
        <w:t>to account for</w:t>
      </w:r>
      <w:r w:rsidR="0055657F">
        <w:rPr>
          <w:rFonts w:ascii="Arial" w:hAnsi="Arial" w:cs="Arial"/>
          <w:color w:val="000000"/>
          <w:sz w:val="20"/>
          <w:szCs w:val="20"/>
        </w:rPr>
        <w:t xml:space="preserve"> large-scale vertical and latitudinal variations in OH. We first consider potential formulations of Proxy</w:t>
      </w:r>
      <w:r w:rsidR="0055657F" w:rsidRPr="00526230">
        <w:rPr>
          <w:rFonts w:ascii="Arial" w:hAnsi="Arial" w:cs="Arial"/>
          <w:i/>
          <w:iCs/>
          <w:color w:val="000000"/>
          <w:sz w:val="20"/>
          <w:szCs w:val="20"/>
          <w:vertAlign w:val="subscript"/>
        </w:rPr>
        <w:t>OH</w:t>
      </w:r>
      <w:r w:rsidR="0055657F">
        <w:rPr>
          <w:rFonts w:ascii="Arial" w:hAnsi="Arial" w:cs="Arial"/>
          <w:color w:val="000000"/>
          <w:sz w:val="20"/>
          <w:szCs w:val="20"/>
        </w:rPr>
        <w:t xml:space="preserve"> using </w:t>
      </w:r>
      <w:r w:rsidR="00A77A87">
        <w:rPr>
          <w:rFonts w:ascii="Arial" w:hAnsi="Arial" w:cs="Arial"/>
          <w:color w:val="000000"/>
          <w:sz w:val="20"/>
          <w:szCs w:val="20"/>
        </w:rPr>
        <w:t>a chemical box model (</w:t>
      </w:r>
      <w:r w:rsidR="0055657F">
        <w:rPr>
          <w:rFonts w:ascii="Arial" w:hAnsi="Arial" w:cs="Arial"/>
          <w:color w:val="000000"/>
          <w:sz w:val="20"/>
          <w:szCs w:val="20"/>
        </w:rPr>
        <w:t>the Framework for 0-D Atmospheric Modeling</w:t>
      </w:r>
      <w:r w:rsidR="00A77A87">
        <w:rPr>
          <w:rFonts w:ascii="Arial" w:hAnsi="Arial" w:cs="Arial"/>
          <w:color w:val="000000"/>
          <w:sz w:val="20"/>
          <w:szCs w:val="20"/>
        </w:rPr>
        <w:t>,</w:t>
      </w:r>
      <w:r w:rsidR="0055657F">
        <w:rPr>
          <w:rFonts w:ascii="Arial" w:hAnsi="Arial" w:cs="Arial"/>
          <w:color w:val="000000"/>
          <w:sz w:val="20"/>
          <w:szCs w:val="20"/>
        </w:rPr>
        <w:t xml:space="preserve"> F0AM) constrained to the ATom observations</w:t>
      </w:r>
      <w:r w:rsidR="00A77A87">
        <w:rPr>
          <w:rFonts w:ascii="Arial" w:hAnsi="Arial" w:cs="Arial"/>
          <w:color w:val="000000"/>
          <w:sz w:val="20"/>
          <w:szCs w:val="20"/>
        </w:rPr>
        <w:t xml:space="preserve"> </w:t>
      </w:r>
      <w:r w:rsidR="00A77A87">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{"citationID":"DkJGNWxE","properties":{"formattedCitation":"(24, 29)","plainCitation":"(24, 29)","noteIndex":0},"citationItems":[{"id":424,"uris":["http://zotero.org/users/9309103/items/AQMJ5B6F"],"itemData":{"id":424,"type":"article-journal","abstract":"&lt;p&gt;&lt;strong&gt;Abstract.&lt;/strong&gt; The Framework for 0-D Atmospheric Modeling (F0AM) is a flexible and user-friendly MATLAB-based platform for simulation of atmospheric chemistry systems. The F0AM interface incorporates front-end configuration of observational constraints and model setups, making it readily adaptable to simulation of photochemical chambers, Lagrangian plumes, and steady-state or time-evolving solar cycles. Six different chemical mechanisms and three options for calculation of photolysis frequencies are currently available. Example simulations are presented to illustrate model capabilities and, more generally, highlight some of the advantages and challenges of 0-D box modeling.&lt;/p&gt;","container-title":"Geoscientific Model Development","DOI":"https://doi.org/10.5194/gmd-9-3309-2016","ISSN":"1991-959X","issue":"9","language":"English","note":"publisher: Copernicus GmbH","page":"3309-3319","source":"www.geosci-model-dev.net","title":"The Framework for 0-D Atmospheric Modeling (F0AM) v3.1","volume":"9","author":[{"family":"Wolfe","given":"Glenn M."},{"family":"Marvin","given":"Margaret R."},{"family":"Roberts","given":"Sandra J."},{"family":"Travis","given":"Katherine R."},{"family":"Liao","given":"Jin"}],"issued":{"date-parts":[["2016",9,20]]}}},{"id":465,"uris":["http://zotero.org/users/9309103/items/ZFDND6RC"],"itemData":{"id":465,"type":"article-journal","abstract":"The hydroxyl radical (OH) fuels tropospheric ozone production and governs the lifetime of methane and many other gases. Existing methods to quantify global OH are limited to annual and global-to-hemispheric averages. Finer resolution is essential for isolating model deficiencies and building process-level understanding. In situ observations from the Atmospheric Tomography (ATom) mission demonstrate that remote tropospheric OH is tightly coupled to the production and loss of formaldehyde (HCHO), a major hydrocarbon oxidation product. Synthesis of this relationship with satellite-based HCHO retrievals and model-derived HCHO loss frequencies yields a map of total-column OH abundance throughout the remote troposphere (up to 70% of tropospheric mass) over the first two ATom missions (August 2016 and February 2017). This dataset offers unique insights on near-global oxidizing capacity. OH exhibits significant seasonality within individual hemispheres, but the domain mean concentration is nearly identical for both seasons (1.03 ± 0.25 × 10\n              6\n              cm\n              −3\n              ), and the biseasonal average North/South Hemisphere ratio is 0.89 ± 0.06, consistent with a balance of OH sources and sinks across the remote troposphere. Regional phenomena are also highlighted, such as a 10-fold OH depression in the Tropical West Pacific and enhancements in the East Pacific and South Atlantic. This method is complementary to budget-based global OH constraints and can help elucidate the spatial and temporal variability of OH production and methane loss.","container-title":"Proceedings of the National Academy of Sciences","DOI":"10.1073/pnas.1821661116","ISSN":"0027-8424, 1091-6490","issue":"23","journalAbbreviation":"Proc Natl Acad Sci USA","language":"en","page":"11171-11180","source":"DOI.org (Crossref)","title":"Mapping hydroxyl variability throughout the global remote troposphere via synthesis of airborne and satellite formaldehyde observations","volume":"116","author":[{"family":"Wolfe","given":"Glenn M."},{"family":"Nicely","given":"Julie M."},{"family":"St. Clair","given":"Jason M."},{"family":"Hanisco","given":"Thomas F."},{"family":"Liao","given":"Jin"},{"family":"Oman","given":"Luke D."},{"family":"Brune","given":"William B."},{"family":"Miller","given":"David"},{"family":"Thames","given":"Alexander"},{"family":"González Abad","given":"Gonzalo"},{"family":"Ryerson","given":"Thomas B."},{"family":"Thompson","given":"Chelsea R."},{"family":"Peischl","given":"Jeff"},{"family":"McKain","given":"Kathryn"},{"family":"Sweeney","given":"Colm"},{"family":"Wennberg","given":"Paul O."},{"family":"Kim","given":"Michelle"},{"family":"Crounse","given":"John D."},{"family":"Hall","given":"Samuel R."},{"family":"Ullmann","given":"Kirk"},{"family":"Diskin","given":"Glenn"},{"family":"Bui","given":"Paul"},{"family":"Chang","given":"Cecilia"},{"family":"Dean-Day","given":"Jonathan"}],"issued":{"date-parts":[["2019",6,4]]}}}],"schema":"https://github.com/citation-style-language/schema/raw/master/csl-citation.json"} </w:instrText>
      </w:r>
      <w:r w:rsidR="00A77A87">
        <w:rPr>
          <w:rFonts w:ascii="Arial" w:hAnsi="Arial" w:cs="Arial"/>
          <w:color w:val="000000"/>
          <w:sz w:val="20"/>
          <w:szCs w:val="20"/>
        </w:rPr>
        <w:fldChar w:fldCharType="separate"/>
      </w:r>
      <w:r w:rsidR="00CC64F9" w:rsidRPr="00CC64F9">
        <w:rPr>
          <w:rFonts w:ascii="Arial" w:hAnsi="Arial" w:cs="Arial"/>
          <w:sz w:val="20"/>
        </w:rPr>
        <w:t>(24, 29)</w:t>
      </w:r>
      <w:r w:rsidR="00A77A87">
        <w:rPr>
          <w:rFonts w:ascii="Arial" w:hAnsi="Arial" w:cs="Arial"/>
          <w:color w:val="000000"/>
          <w:sz w:val="20"/>
          <w:szCs w:val="20"/>
        </w:rPr>
        <w:fldChar w:fldCharType="end"/>
      </w:r>
      <w:r w:rsidR="0055657F">
        <w:rPr>
          <w:rFonts w:ascii="Arial" w:hAnsi="Arial" w:cs="Arial"/>
          <w:color w:val="000000"/>
          <w:sz w:val="20"/>
          <w:szCs w:val="20"/>
        </w:rPr>
        <w:t>. Then we calculate Proxy</w:t>
      </w:r>
      <w:r w:rsidR="0055657F" w:rsidRPr="00526230">
        <w:rPr>
          <w:rFonts w:ascii="Arial" w:hAnsi="Arial" w:cs="Arial"/>
          <w:i/>
          <w:iCs/>
          <w:color w:val="000000"/>
          <w:sz w:val="20"/>
          <w:szCs w:val="20"/>
          <w:vertAlign w:val="subscript"/>
        </w:rPr>
        <w:t>OH</w:t>
      </w:r>
      <w:r w:rsidR="0055657F">
        <w:rPr>
          <w:rFonts w:ascii="Arial" w:hAnsi="Arial" w:cs="Arial"/>
          <w:color w:val="000000"/>
          <w:sz w:val="20"/>
          <w:szCs w:val="20"/>
        </w:rPr>
        <w:t xml:space="preserve"> directly from the observations and evaluate it against ATom </w:t>
      </w:r>
      <w:r w:rsidR="00217C8C">
        <w:rPr>
          <w:rFonts w:ascii="Arial" w:hAnsi="Arial" w:cs="Arial"/>
          <w:color w:val="000000"/>
          <w:sz w:val="20"/>
          <w:szCs w:val="20"/>
        </w:rPr>
        <w:t>[</w:t>
      </w:r>
      <w:r w:rsidR="0055657F">
        <w:rPr>
          <w:rFonts w:ascii="Arial" w:hAnsi="Arial" w:cs="Arial"/>
          <w:color w:val="000000"/>
          <w:sz w:val="20"/>
          <w:szCs w:val="20"/>
        </w:rPr>
        <w:t>OH</w:t>
      </w:r>
      <w:r w:rsidR="00217C8C">
        <w:rPr>
          <w:rFonts w:ascii="Arial" w:hAnsi="Arial" w:cs="Arial"/>
          <w:color w:val="000000"/>
          <w:sz w:val="20"/>
          <w:szCs w:val="20"/>
        </w:rPr>
        <w:t>]</w:t>
      </w:r>
      <w:r w:rsidR="0055657F" w:rsidRPr="00FE7FE5">
        <w:rPr>
          <w:rFonts w:ascii="Arial" w:hAnsi="Arial" w:cs="Arial"/>
          <w:color w:val="000000"/>
          <w:sz w:val="20"/>
          <w:szCs w:val="20"/>
        </w:rPr>
        <w:t xml:space="preserve">. </w:t>
      </w:r>
      <w:r w:rsidRPr="00FE7FE5">
        <w:rPr>
          <w:rFonts w:ascii="Arial" w:hAnsi="Arial" w:cs="Arial"/>
          <w:color w:val="000000"/>
          <w:sz w:val="20"/>
          <w:szCs w:val="20"/>
        </w:rPr>
        <w:t xml:space="preserve">While there is a rich history of using box models constrained by airborne data to examine OH and its sensitivities to </w:t>
      </w:r>
      <w:r w:rsidR="00A77A87">
        <w:rPr>
          <w:rFonts w:ascii="Arial" w:hAnsi="Arial" w:cs="Arial"/>
          <w:color w:val="000000"/>
          <w:sz w:val="20"/>
          <w:szCs w:val="20"/>
        </w:rPr>
        <w:t xml:space="preserve">individual photochemical </w:t>
      </w:r>
      <w:r w:rsidRPr="00FE7FE5">
        <w:rPr>
          <w:rFonts w:ascii="Arial" w:hAnsi="Arial" w:cs="Arial"/>
          <w:color w:val="000000"/>
          <w:sz w:val="20"/>
          <w:szCs w:val="20"/>
        </w:rPr>
        <w:t>drivers (</w:t>
      </w:r>
      <w:r w:rsidRPr="00FE7FE5">
        <w:rPr>
          <w:rFonts w:ascii="Arial" w:hAnsi="Arial" w:cs="Arial"/>
          <w:i/>
          <w:iCs/>
          <w:color w:val="000000"/>
          <w:sz w:val="20"/>
          <w:szCs w:val="20"/>
        </w:rPr>
        <w:t>e.g.</w:t>
      </w:r>
      <w:r w:rsidRPr="00FE7FE5">
        <w:rPr>
          <w:rFonts w:ascii="Arial" w:hAnsi="Arial" w:cs="Arial"/>
          <w:color w:val="000000"/>
          <w:sz w:val="20"/>
          <w:szCs w:val="20"/>
        </w:rPr>
        <w:t xml:space="preserve">,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{"citationID":"M3xtuOGp","properties":{"formattedCitation":"(30\\uc0\\u8211{}34)","plainCitation":"(30–34)","noteIndex":0},"citationItems":[{"id":206,"uris":["http://zotero.org/users/9309103/items/9FNG38XF"],"itemData":{"id":206,"type":"article-journal","abstract":"Earth's atmosphere oxidizes the greenhouse gas methane and other gases, thus determining their lifetimes and oxidation products. Much of this oxidation occurs in the remote, relatively clean free troposphere above the planetary boundary layer, where the oxidation chemistry is thought to be much simpler and better understood than it is in urban regions or forests. The NASA airborne Atmospheric Tomography study (ATom) was designed to produce cross sections of the detailed atmospheric composition in the remote atmosphere over the Paciﬁc and Atlantic Oceans during four seasons. As part of the extensive ATom data set, measurements of the atmosphere's primary oxidant, hydroxyl (OH), and hydroperoxyl (HO2) are compared to a photochemical box model to test the oxidation chemistry. Generally, observed and modeled median OH and HO2 agree to within combined uncertainties at the 2σ conﬁdence level, which is ~±40%. For some seasons, this agreement is within ~±20% below 6</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km altitude. While this test ﬁnds no signiﬁcant differences, OH observations increasingly exceeded modeled values at altitudes above 8 km, becoming ~35% greater, which is near the combined uncertainties. Measurement uncertainty and possible unknown measurement errors complicate tests for unknown chemistry or incorrect reaction rate coefﬁcients that would substantially affect the OH and HO2 abundances. Future analysis of detailed comparisons may yield additional discrepancies that are masked in the median values. Plain Language Summary Chemistry in the vast, remote atmosphere destroys methane and other greenhouse gases. This chemistry is thought to be simple and well understood compared to that in polluted cities or in forests. From the NASA airborne Atmospheric Tomography study over remote oceans, comparisons of observed and modeled reactive gases show that the chemistry is generally understood to within the uncertainties of the measurement and model. However, for the atmosphere's primary reactive gas, hydroxyl, measured values exceed modeled values in the upper troposphere, pointing to errors in probably the measurements but possibly the model chemistry.","container-title":"Journal of Geophysical Research: Atmospheres","DOI":"10.1029/2019JD031685","ISSN":"2169-897X, 2169-8996","issue":"1","journalAbbreviation":"J. Geophys. Res. Atmos.","language":"en","source":"DOI.org (Crossref)","title":"Exploring Oxidation in the Remote Free Troposphere: Insights From Atmospheric Tomography (ATom)","title-short":"Exploring Oxidation in the Remote Free Troposphere","URL":"https://onlinelibrary.wiley.com/doi/abs/10.1029/2019JD031685","volume":"125","author":[{"family":"Brune","given":"W. H."},{"family":"Miller","given":"D. O."},{"family":"Thames","given":"A. B."},{"family":"Allen","given":"H. M."},{"family":"Apel","given":"E. C."},{"family":"Blake","given":"D. R."},{"family":"Bui","given":"T. P."},{"family":"Commane","given":"R."},{"family":"Crounse","given":"J. D."},{"family":"Daube","given":"B. C."},{"family":"Diskin","given":"G. S."},{"family":"DiGangi","given":"J. P."},{"family":"Elkins","given":"J. W."},{"family":"Hall","given":"S. R."},{"family":"Hanisco","given":"T. F."},{"family":"Hannun","given":"R. A."},{"family":"Hintsa","given":"E. J."},{"family":"Hornbrook","given":"R. S."},{"family":"Kim","given":"M. J."},{"family":"McKain","given":"K."},{"family":"Moore","given":"F. L."},{"family":"Neuman","given":"J. A."},{"family":"Nicely","given":"J. M."},{"family":"Peischl","given":"J."},{"family":"Ryerson","given":"T. B."},{"family":"St. Clair","given":"J. M."},{"family":"Sweeney","given":"C."},{"family":"Teng","given":"A. P."},{"family":"Thompson","given":"C."},{"family":"Ullmann","given":"K."},{"family":"Veres","given":"P. R."},{"family":"Wennberg","given":"P. O."},{"family":"Wolfe","given":"G. M."}],"accessed":{"date-parts":[["2020",3,7]]},"issued":{"date-parts":[["2020",1,16]]}}},{"id":553,"uris":["http://zotero.org/users/9309103/items/W5BEAYNI"],"itemData":{"id":553,"type":"article-journal","abstract":"&lt;p&gt;&lt;strong&gt;Abstract.&lt;/strong&gt; Deep convective clouds are critically important to the distribution of atmospheric constituents throughout the troposphere but are difficult environments to study. The Deep Convective Clouds and Chemistry (DC3) study in 2012 provided the environment, platforms, and instrumentation to test oxidation chemistry around deep convective clouds and their impacts downwind. Measurements on the NASA DC-8 aircraft included those of the radicals hydroxyl (OH) and hydroperoxyl (&lt;span class=\"inline-formula\"&gt;HO&lt;sub&gt;2&lt;/sub&gt;&lt;/span&gt;), OH reactivity, and more than 100 other chemical species and atmospheric properties. OH, &lt;span class=\"inline-formula\"&gt;HO&lt;sub&gt;2&lt;/sub&gt;&lt;/span&gt;, and OH reactivity were compared to photochemical models, some with and some without simplified heterogeneous chemistry, to test the understanding of atmospheric oxidation as encoded in the model. In general, the agreement between the observed and modeled OH, &lt;span class=\"inline-formula\"&gt;HO&lt;sub&gt;2&lt;/sub&gt;&lt;/span&gt;, and OH reactivity was within the combined uncertainties for the model without heterogeneous chemistry and the model including heterogeneous chemistry with small OH and &lt;span class=\"inline-formula\"&gt;HO&lt;sub&gt;2&lt;/sub&gt;&lt;/span&gt; uptake consistent with laboratory studies. This agreement is generally independent of the altitude, ozone photolysis rate, nitric oxide and&lt;span id=\"page14494\"/&gt; ozone abundances, modeled OH reactivity, and aerosol and ice surface area. For a sunrise to midday flight downwind of a nighttime mesoscale convective system, the observed ozone increase is consistent with the calculated ozone production rate. Even with some observed-to-modeled discrepancies, these results provide evidence that a current measurement-constrained photochemical model can simulate observed atmospheric oxidation processes to within combined uncertainties, even around convective clouds. For this DC3 study, reduction in the combined uncertainties would be needed to confidently unmask errors or omissions in the model chemical mechanism.&lt;/p&gt;","container-title":"Atmospheric Chemistry and Physics","DOI":"https://doi.org/10.5194/acp-18-14493-2018","ISSN":"1680-7316","issue":"19","language":"English","note":"publisher: Copernicus GmbH","page":"14493-14510","source":"acp.copernicus.org","title":"Atmospheric oxidation in the presence of clouds during the Deep Convective Clouds and Chemistry (DC3) study","volume":"18","author":[{"family":"Brune","given":"William H."},{"family":"Ren","given":"Xinrong"},{"family":"Zhang","given":"Li"},{"family":"Mao","given":"Jingqiu"},{"family":"Miller","given":"David O."},{"family":"Anderson","given":"Bruce E."},{"family":"Blake","given":"Donald R."},{"family":"Cohen","given":"Ronald C."},{"family":"Diskin","given":"Glenn S."},{"family":"Hall","given":"Samuel R."},{"family":"Hanisco","given":"Thomas F."},{"family":"Huey","given":"L. Gregory"},{"family":"Nault","given":"Benjamin A."},{"family":"Peischl","given":"Jeff"},{"family":"Pollack","given":"Ilana"},{"family":"Ryerson","given":"Thomas B."},{"family":"Shingler","given":"Taylor"},{"family":"Sorooshian","given":"Armin"},{"family":"Ullmann","given":"Kirk"},{"family":"Wisthaler","given":"Armin"},{"family":"Wooldridge","given":"Paul J."}],"issued":{"date-parts":[["2018",10,10]]}}},{"id":558,"uris":["http://zotero.org/users/9309103/items/VTFEFZQX"],"itemData":{"id":558,"type":"article-journal","abstract":"OH and HO2 were measured with the Airborne Tropospheric Hydrogen Oxides Sensor (ATHOS) as part of a large measurement suite from the NASA DC-8 aircraft during the Intercontinental Chemical Transport Experiment-A (INTEX-A). This mission, which was conducted mainly over North America and the western Atlantic Ocean in summer 2004, was an excellent test of atmospheric oxidation chemistry. The HOx results from INTEX-A are compared to those from previous campaigns and to results for other related measurements from INTEX-A. Throughout the troposphere, observed OH was generally 0.95 of modeled OH; below 8 km, observed HO2 was generally 1.20 of modeled HO2. This observed-to-modeled comparison is similar to that for TRACE-P, another midlatitude study for which the median observed-to-modeled ratio was 1.08 for OH and 1.34 for HO2, and to that for PEM-TB, a tropical study for which the median observed-to-modeled ratio was 1.17 for OH and 0.97 for HO2. HO2 behavior above 8 km was markedly different. The observed-to-modeled HO2 ratio increased from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1.2 at 8 km to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3 at 11 km with the observed-to-modeled ratio correlating with NO. Above 8 km, the observed-to-modeled HO2 and observed NO were both considerably greater than observations from previous campaigns. In addition, the observed-to-modeled HO2/OH, which is sensitive to cycling reactions between OH and HO2, increased from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1.5 at 8 km to almost 3.5 at 11 km. These discrepancies suggest a large unknown HOx source and additional reactants that cycle HOx from OH to HO2. In the continental planetary boundary layer, the observed-to-modeled OH ratio increased from 1 when isoprene was less than 0.1 ppbv to over 4 when isoprene was greater than 2 ppbv, suggesting that forests throughout the United States are emitting unknown HOx sources. Progress in resolving these discrepancies requires a focused research activity devoted to further examination of possible unknown OH sinks and HOx sources.","container-title":"Journal of Geophysical Research: Atmospheres","DOI":"10.1029/2007JD009166","ISSN":"2156-2202","issue":"D5","language":"en","license":"© 2008 by the Chinese Geophysical Society","note":"_eprint: https://agupubs.onlinelibrary.wiley.com/doi/pdf/10.1029/2007JD009166","source":"Wiley Online Library","title":"HOx chemistry during INTEX-A 2004: Observation, model calculation, and comparison with previous studies","title-short":"HOx chemistry during INTEX-A 2004","URL":"https://agupubs.onlinelibrary.wiley.com/doi/abs/10.1029/2007JD009166","volume":"113","author":[{"family":"Ren","given":"Xinrong"},{"family":"Olson","given":"Jennifer R."},{"family":"Crawford","given":"James H."},{"family":"Brune","given":"William H."},{"family":"Mao","given":"Jingqiu"},{"family":"Long","given":"Robert B."},{"family":"Chen","given":"Zhong"},{"family":"Chen","given":"Gao"},{"family":"Avery","given":"Melody A."},{"family":"Sachse","given":"Glen W."},{"family":"Barrick","given":"John D."},{"family":"Diskin","given":"Glenn S."},{"family":"Huey","given":"L. Greg"},{"family":"Fried","given":"Alan"},{"family":"Cohen","given":"Ronald C."},{"family":"Heikes","given":"Brian"},{"family":"Wennberg","given":"Paul O."},{"family":"Singh","given":"Hanwant B."},{"family":"Blake","given":"Donald R."},{"family":"Shetter","given":"Richard E."}],"accessed":{"date-parts":[["2020",9,21]]},"issued":{"date-parts":[["2008"]]}}},{"id":543,"uris":["http://zotero.org/users/9309103/items/8I6J5A8D"],"itemData":{"id":543,"type":"article-journal","abstract":"Reported here are tropical/subtropical Pacific basin OH observational data presented in a latitude/altitude geographical grid. They cover two seasons of the year (spring and fall) that reflect the timing of NASA's PEM-Tropics A (1996) and B (1999) field programs. Two different OH sensors were used to collect these data, and each instrument was mounted on a different aircraft platform (i.e., NASA's P-3B and DC-8). Collectively, these chemical snapshots of the central Pacific have revealed several interesting trends. Only modest decreases (factors of 2 to 3) were found in the levels of OH with increasing altitude (0–12 km). Similarly, only modest variations were found (factors of 1.5 to 3.5) when the data were examined as a function of latitude (30°N to 30°S). Using simultaneously recorded data for CO, O3, H2O, NO, and NMHCs, comparisons with current models were also carried out. For three out of four data subsets, the results revealed a high level of correspondence. On average, the box model results agreed with the observations within a factor of 1.5. The comparison with the three-dimensional model results was found to be only slightly worse. Overall, these results suggest that current model mechanisms capture the major photochemical processes controlling OH quite well and thus provide a reasonably good representation of OH levels for tropical marine environments. They also indicate that the two OH sensors employed during the PEM-Tropics B study generally saw similar OH levels when sampling a similar tropical marine environment. However, a modest altitude bias appears to exist between these instruments. More rigorous instrument intercomparison activity would therefore seem to be justified. Further comparisons of model predictions with observations are also recommended for nontropical marine environments as well as those involving highly elevated levels of reactive non-methane hydrocarbons.","container-title":"Journal of Geophysical Research: Atmospheres","DOI":"10.1029/2001JD900141","ISSN":"2156-2202","issue":"D23","language":"en","license":"Copyright 2001 by the American Geophysical Union.","note":"_eprint: https://agupubs.onlinelibrary.wiley.com/doi/pdf/10.1029/2001JD900141","page":"32691-32707","source":"Wiley Online Library","title":"Marine latitude/altitude OH distributions: Comparison of Pacific Ocean observations with models","title-short":"Marine latitude/altitude OH distributions","volume":"106","author":[{"family":"Davis","given":"D."},{"family":"Grodzinsky","given":"G."},{"family":"Chen","given":"G."},{"family":"Crawford","given":"J."},{"family":"Eisele","given":"F."},{"family":"Mauldin","given":"L."},{"family":"Tanner","given":"D."},{"family":"Cantrell","given":"C."},{"family":"Brune","given":"W."},{"family":"Tan","given":"D."},{"family":"Faloona","given":"I."},{"family":"Ridley","given":"B."},{"family":"Montzka","given":"D."},{"family":"Walega","given":"J."},{"family":"Grahek","given":"F."},{"family":"Sandholm","given":"S."},{"family":"Sachse","given":"G."},{"family":"Vay","given":"S."},{"family":"Anderson","given":"B."},{"family":"Avery","given":"M."},{"family":"Heikes","given":"B."},{"family":"Snow","given":"J."},{"family":"O'Sullivan","given":"D."},{"family":"Shetter","given":"R."},{"family":"Lefer","given":"B."},{"family":"Blake","given":"D."},{"family":"Blake","given":"N."},{"family":"Carroll","given":"M."},{"family":"Wang","given":"Y."}],"issued":{"date-parts":[["2001"]]}}},{"id":2251,"uris":["http://zotero.org/users/9309103/items/6AGMVXHZ"],"itemData":{"id":2251,"type":"article-journal","container-title":"Journal of Geophysical Research: Atmospheres","DOI":"10.1029/2021JD035368","ISSN":"2169-897X, 2169-8996","issue":"1","journalAbbreviation":"JGR Atmospheres","language":"en","source":"DOI.org (Crossref)","title":"Investigating the Understanding of Oxidation Chemistry Using 20 Years of Airborne OH and HO &lt;sub&gt;2&lt;/sub&gt; Observations","URL":"https://onlinelibrary.wiley.com/doi/10.1029/2021JD035368","volume":"127","author":[{"family":"Miller","given":"David O."},{"family":"Brune","given":"William H."}],"accessed":{"date-parts":[["2023",3,22]]},"issued":{"date-parts":[["2022",1,16]]}}}],"schema":"https://github.com/citation-style-language/schema/raw/master/csl-citation.json"}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szCs w:val="24"/>
        </w:rPr>
        <w:t>(30–34)</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we instead calculate the proxy directly from observations and laboratory-measured kinetic rate coefficients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{"citationID":"NtrTe0NC","properties":{"formattedCitation":"(35)","plainCitation":"(35)","noteIndex":0},"citationItems":[{"id":539,"uris":["http://zotero.org/users/9309103/items/22EDA6KP"],"itemData":{"id":539,"type":"document","publisher":"JPL Publication 15-10, Jet Propulsion Laboratory, Pasadena","title":"Chemical Kinetics and Photochemical Data for Use in Atmospheric Studies, Evaluation No. 18","URL":"http://jpldataeval.jpl.nasa.gov","author":[{"family":"Burkholder","given":"J. B."},{"family":"Sander","given":"S. P."},{"family":"Abbatt","given":"J."},{"family":"Barker","given":"J. R."},{"family":"Huie","given":"R. E."},{"family":"Kolb","given":"C. E."},{"family":"Kurylo","given":"M. J."},{"family":"Orkin","given":"V. L."},{"family":"Wilmouth","given":"D. M."},{"family":"Wine","given":"P. H."}],"issued":{"date-parts":[["2015"]]}}}],"schema":"https://github.com/citation-style-language/schema/raw/master/csl-citation.json"}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(35)</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using only eight variables (Methods </w:t>
      </w:r>
      <w:r w:rsidR="00A42EF2">
        <w:rPr>
          <w:rFonts w:ascii="Arial" w:hAnsi="Arial" w:cs="Arial"/>
          <w:color w:val="000000"/>
          <w:sz w:val="20"/>
          <w:szCs w:val="20"/>
        </w:rPr>
        <w:t>8</w:t>
      </w:r>
      <w:r w:rsidRPr="00FE7FE5">
        <w:rPr>
          <w:rFonts w:ascii="Arial" w:hAnsi="Arial" w:cs="Arial"/>
          <w:color w:val="000000"/>
          <w:sz w:val="20"/>
          <w:szCs w:val="20"/>
        </w:rPr>
        <w:t xml:space="preserve">.1.1). </w:t>
      </w:r>
      <w:r w:rsidR="00390F9C">
        <w:rPr>
          <w:rFonts w:ascii="Arial" w:hAnsi="Arial" w:cs="Arial"/>
          <w:color w:val="000000"/>
          <w:sz w:val="20"/>
          <w:szCs w:val="20"/>
        </w:rPr>
        <w:t xml:space="preserve">This differs from </w:t>
      </w:r>
      <w:r w:rsidR="00C20C8E">
        <w:rPr>
          <w:rFonts w:ascii="Arial" w:hAnsi="Arial" w:cs="Arial"/>
          <w:color w:val="000000"/>
          <w:sz w:val="20"/>
          <w:szCs w:val="20"/>
        </w:rPr>
        <w:t xml:space="preserve">other </w:t>
      </w:r>
      <w:r w:rsidR="00390F9C">
        <w:rPr>
          <w:rFonts w:ascii="Arial" w:hAnsi="Arial" w:cs="Arial"/>
          <w:color w:val="000000"/>
          <w:sz w:val="20"/>
          <w:szCs w:val="20"/>
        </w:rPr>
        <w:t xml:space="preserve">analyses that, for example, </w:t>
      </w:r>
      <w:r w:rsidR="00A77A87">
        <w:rPr>
          <w:rFonts w:ascii="Arial" w:hAnsi="Arial" w:cs="Arial"/>
          <w:color w:val="000000"/>
          <w:sz w:val="20"/>
          <w:szCs w:val="20"/>
        </w:rPr>
        <w:t xml:space="preserve">calculate </w:t>
      </w:r>
      <w:r w:rsidR="00390F9C">
        <w:rPr>
          <w:rFonts w:ascii="Arial" w:hAnsi="Arial" w:cs="Arial"/>
          <w:color w:val="000000"/>
          <w:sz w:val="20"/>
          <w:szCs w:val="20"/>
        </w:rPr>
        <w:t xml:space="preserve">daily average </w:t>
      </w:r>
      <w:r w:rsidR="00A77A87">
        <w:rPr>
          <w:rFonts w:ascii="Arial" w:hAnsi="Arial" w:cs="Arial"/>
          <w:color w:val="000000"/>
          <w:sz w:val="20"/>
          <w:szCs w:val="20"/>
        </w:rPr>
        <w:t>methane loss rates in models constrained by ATom observations</w:t>
      </w:r>
      <w:r w:rsidR="00390F9C">
        <w:rPr>
          <w:rFonts w:ascii="Arial" w:hAnsi="Arial" w:cs="Arial"/>
          <w:color w:val="000000"/>
          <w:sz w:val="20"/>
          <w:szCs w:val="20"/>
        </w:rPr>
        <w:t xml:space="preserve"> </w:t>
      </w:r>
      <w:r w:rsidR="00390F9C">
        <w:rPr>
          <w:rFonts w:ascii="Arial" w:hAnsi="Arial" w:cs="Arial"/>
          <w:color w:val="000000"/>
          <w:sz w:val="20"/>
          <w:szCs w:val="20"/>
        </w:rPr>
        <w:fldChar w:fldCharType="begin"/>
      </w:r>
      <w:r w:rsidR="007D17FB">
        <w:rPr>
          <w:rFonts w:ascii="Arial" w:hAnsi="Arial" w:cs="Arial"/>
          <w:color w:val="000000"/>
          <w:sz w:val="20"/>
          <w:szCs w:val="20"/>
        </w:rPr>
        <w:instrText xml:space="preserve"> ADDIN ZOTERO_ITEM CSL_CITATION {"citationID":"4eLKNU4E","properties":{"formattedCitation":"(36)","plainCitation":"(36)","noteIndex":0},"citationItems":[{"id":"DwRQ5GGE/75XDi7ql","uris":["http://zotero.org/users/9309103/items/3C7AJ3RY"],"itemData":{"id":2238,"type":"article-journal","abstract":"Abstract. The NASA Atmospheric Tomography (ATom) mission built a\nphotochemical climatology of air parcels based on in situ measurements with\nthe NASA DC-8 aircraft along objectively planned profiling transects through\nthe middle of the Pacific and Atlantic oceans. In this paper we present and\nanalyze a data set of 10 s (2 km) merged and gap-filled observations of the\nkey reactive species driving the chemical budgets of O3 and CH4\n(O3, CH4, CO, H2O, HCHO, H2O2, CH3OOH,\nC2H6, higher alkanes, alkenes, aromatics, NOx, HNO3,\nHNO4, peroxyacetyl nitrate, and other organic nitrates), consisting of\n146 494 distinct air parcels from ATom deployments 1 through 4. Six models\ncalculated the O3 and CH4 photochemical tendencies from this\nmodeling data stream for ATom 1. We find that 80 %–90 % of the\ntotal reactivity lies in the top 50 % of the parcels and 25 %–35 % in the top 10 %, supporting previous model-only studies that\ntropospheric chemistry is driven by a fraction of all the air. Surprisingly,\nthe probability densities of species and reactivities averaged on a model\nscale (100 km) differ only slightly from the 2 km ATom 10 s data, indicating\nthat much of the heterogeneity in tropospheric chemistry can be captured\nwith current global chemistry models. Comparing the ATom reactivities over\nthe tropical oceans with climatological statistics from six global chemistry\nmodels, we find generally good agreement with the reactivity rates for\nO3 and CH4. Models distinctly underestimate O3 production\nbelow 2 km relative to the mid-troposphere, and this can be traced to lower\nNOx levels than observed. Attaching photochemical reactivities to\nmeasurements of chemical species allows for a richer, yet more\nconstrained-to-what-matters, set of metrics for model evaluation. This paper\npresents a corrected version of the paper published under the same authors\nand title (sans “corrected”) as https://doi.org/10.5194/acp-21-13729-2021.","container-title":"Atmospheric Chemistry and Physics","DOI":"10.5194/acp-23-99-2023","ISSN":"1680-7324","issue":"1","journalAbbreviation":"Atmos. Chem. Phys.","language":"en","page":"99-117","source":"DOI.org (Crossref)","title":"Heterogeneity and chemical reactivity of the remote troposphere defined by aircraft measurements – corrected","volume":"23","author":[{"family":"Guo","given":"Hao"},{"family":"Flynn","given":"Clare M."},{"family":"Prather","given":"Michael J."},{"family":"Strode","given":"Sarah A."},{"family":"Steenrod","given":"Stephen D."},{"family":"Emmons","given":"Louisa"},{"family":"Lacey","given":"Forrest"},{"family":"Lamarque","given":"Jean-Francois"},{"family":"Fiore","given":"Arlene M."},{"family":"Correa","given":"Gus"},{"family":"Murray","given":"Lee T."},{"family":"Wolfe","given":"Glenn M."},{"family":"St. Clair","given":"Jason M."},{"family":"Kim","given":"Michelle"},{"family":"Crounse","given":"John"},{"family":"Diskin","given":"Glenn"},{"family":"DiGangi","given":"Joshua"},{"family":"Daube","given":"Bruce C."},{"family":"Commane","given":"Roisin"},{"family":"McKain","given":"Kathryn"},{"family":"Peischl","given":"Jeff"},{"family":"Ryerson","given":"Thomas B."},{"family":"Thompson","given":"Chelsea"},{"family":"Hanisco","given":"Thomas F."},{"family":"Blake","given":"Donald"},{"family":"Blake","given":"Nicola J."},{"family":"Apel","given":"Eric C."},{"family":"Hornbrook","given":"Rebecca S."},{"family":"Elkins","given":"James W."},{"family":"Hintsa","given":"Eric J."},{"family":"Moore","given":"Fred L."},{"family":"Wofsy","given":"Steven C."}],"issued":{"date-parts":[["2023",1,4]]}}}],"schema":"https://github.com/citation-style-language/schema/raw/master/csl-citation.json"} </w:instrText>
      </w:r>
      <w:r w:rsidR="00390F9C">
        <w:rPr>
          <w:rFonts w:ascii="Arial" w:hAnsi="Arial" w:cs="Arial"/>
          <w:color w:val="000000"/>
          <w:sz w:val="20"/>
          <w:szCs w:val="20"/>
        </w:rPr>
        <w:fldChar w:fldCharType="separate"/>
      </w:r>
      <w:r w:rsidR="0003499F" w:rsidRPr="0003499F">
        <w:rPr>
          <w:rFonts w:ascii="Arial" w:hAnsi="Arial" w:cs="Arial"/>
          <w:sz w:val="20"/>
        </w:rPr>
        <w:t>(36)</w:t>
      </w:r>
      <w:r w:rsidR="00390F9C">
        <w:rPr>
          <w:rFonts w:ascii="Arial" w:hAnsi="Arial" w:cs="Arial"/>
          <w:color w:val="000000"/>
          <w:sz w:val="20"/>
          <w:szCs w:val="20"/>
        </w:rPr>
        <w:fldChar w:fldCharType="end"/>
      </w:r>
      <w:r w:rsidR="00390F9C">
        <w:rPr>
          <w:rFonts w:ascii="Arial" w:hAnsi="Arial" w:cs="Arial"/>
          <w:color w:val="000000"/>
          <w:sz w:val="20"/>
          <w:szCs w:val="20"/>
        </w:rPr>
        <w:t>.</w:t>
      </w:r>
    </w:p>
    <w:p w14:paraId="08431C8F" w14:textId="77777777" w:rsidR="00FE7FE5"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p>
    <w:p w14:paraId="5A177FDB" w14:textId="1C0CA4CC" w:rsidR="007F380D" w:rsidRPr="007F380D" w:rsidRDefault="00FE7FE5" w:rsidP="00FE7FE5">
      <w:pPr>
        <w:keepNext/>
        <w:pBdr>
          <w:top w:val="nil"/>
          <w:left w:val="nil"/>
          <w:bottom w:val="nil"/>
          <w:right w:val="nil"/>
          <w:between w:val="nil"/>
        </w:pBdr>
        <w:spacing w:before="240" w:after="60"/>
        <w:contextualSpacing/>
        <w:rPr>
          <w:rFonts w:ascii="Arial" w:hAnsi="Arial" w:cs="Arial"/>
          <w:color w:val="000000"/>
          <w:sz w:val="20"/>
          <w:szCs w:val="20"/>
        </w:rPr>
      </w:pPr>
      <w:r w:rsidRPr="00FE7FE5">
        <w:rPr>
          <w:rFonts w:ascii="Arial" w:hAnsi="Arial" w:cs="Arial"/>
          <w:color w:val="000000"/>
          <w:sz w:val="20"/>
          <w:szCs w:val="20"/>
        </w:rPr>
        <w:t>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w:t>
      </w:r>
      <w:r w:rsidR="00811CD8">
        <w:rPr>
          <w:rFonts w:ascii="Arial" w:hAnsi="Arial" w:cs="Arial"/>
          <w:color w:val="000000"/>
          <w:sz w:val="20"/>
          <w:szCs w:val="20"/>
        </w:rPr>
        <w:t xml:space="preserve">serves as a reduced-form model that </w:t>
      </w:r>
      <w:r w:rsidRPr="00FE7FE5">
        <w:rPr>
          <w:rFonts w:ascii="Arial" w:hAnsi="Arial" w:cs="Arial"/>
          <w:color w:val="000000"/>
          <w:sz w:val="20"/>
          <w:szCs w:val="20"/>
        </w:rPr>
        <w:t>offer</w:t>
      </w:r>
      <w:r w:rsidR="00811CD8">
        <w:rPr>
          <w:rFonts w:ascii="Arial" w:hAnsi="Arial" w:cs="Arial"/>
          <w:color w:val="000000"/>
          <w:sz w:val="20"/>
          <w:szCs w:val="20"/>
        </w:rPr>
        <w:t>s</w:t>
      </w:r>
      <w:r w:rsidRPr="00FE7FE5">
        <w:rPr>
          <w:rFonts w:ascii="Arial" w:hAnsi="Arial" w:cs="Arial"/>
          <w:color w:val="000000"/>
          <w:sz w:val="20"/>
          <w:szCs w:val="20"/>
        </w:rPr>
        <w:t xml:space="preserve"> a first-order estimate of the </w:t>
      </w:r>
      <w:r w:rsidR="00CC52C6">
        <w:rPr>
          <w:rFonts w:ascii="Arial" w:hAnsi="Arial" w:cs="Arial"/>
          <w:color w:val="000000"/>
          <w:sz w:val="20"/>
          <w:szCs w:val="20"/>
        </w:rPr>
        <w:t xml:space="preserve">sensitivity </w:t>
      </w:r>
      <w:r w:rsidRPr="00FE7FE5">
        <w:rPr>
          <w:rFonts w:ascii="Arial" w:hAnsi="Arial" w:cs="Arial"/>
          <w:color w:val="000000"/>
          <w:sz w:val="20"/>
          <w:szCs w:val="20"/>
        </w:rPr>
        <w:t xml:space="preserve">of OH </w:t>
      </w:r>
      <w:r w:rsidR="007650EB">
        <w:rPr>
          <w:rFonts w:ascii="Arial" w:hAnsi="Arial" w:cs="Arial"/>
          <w:color w:val="000000"/>
          <w:sz w:val="20"/>
          <w:szCs w:val="20"/>
        </w:rPr>
        <w:t xml:space="preserve">spatial </w:t>
      </w:r>
      <w:r w:rsidR="009E3FDB">
        <w:rPr>
          <w:rFonts w:ascii="Arial" w:hAnsi="Arial" w:cs="Arial"/>
          <w:color w:val="000000"/>
          <w:sz w:val="20"/>
          <w:szCs w:val="20"/>
        </w:rPr>
        <w:t>variations</w:t>
      </w:r>
      <w:r w:rsidR="003C0D57">
        <w:rPr>
          <w:rFonts w:ascii="Arial" w:hAnsi="Arial" w:cs="Arial"/>
          <w:color w:val="000000"/>
          <w:sz w:val="20"/>
          <w:szCs w:val="20"/>
        </w:rPr>
        <w:t xml:space="preserve"> </w:t>
      </w:r>
      <w:r w:rsidR="00CC52C6">
        <w:rPr>
          <w:rFonts w:ascii="Arial" w:hAnsi="Arial" w:cs="Arial"/>
          <w:color w:val="000000"/>
          <w:sz w:val="20"/>
          <w:szCs w:val="20"/>
        </w:rPr>
        <w:t xml:space="preserve">to </w:t>
      </w:r>
      <w:r w:rsidR="00CC52C6" w:rsidRPr="00FE7FE5">
        <w:rPr>
          <w:rFonts w:ascii="Arial" w:hAnsi="Arial" w:cs="Arial"/>
          <w:color w:val="000000"/>
          <w:sz w:val="20"/>
          <w:szCs w:val="20"/>
        </w:rPr>
        <w:t xml:space="preserve">individual reaction rates or variables </w:t>
      </w:r>
      <w:r w:rsidR="003C0D57">
        <w:rPr>
          <w:rFonts w:ascii="Arial" w:hAnsi="Arial" w:cs="Arial"/>
          <w:color w:val="000000"/>
          <w:sz w:val="20"/>
          <w:szCs w:val="20"/>
        </w:rPr>
        <w:t>over the remote marine troposphere</w:t>
      </w:r>
      <w:r w:rsidRPr="00FE7FE5">
        <w:rPr>
          <w:rFonts w:ascii="Arial" w:hAnsi="Arial" w:cs="Arial"/>
          <w:color w:val="000000"/>
          <w:sz w:val="20"/>
          <w:szCs w:val="20"/>
        </w:rPr>
        <w:t xml:space="preserve">. </w:t>
      </w:r>
      <w:r w:rsidR="00811CD8">
        <w:rPr>
          <w:rFonts w:ascii="Arial" w:hAnsi="Arial" w:cs="Arial"/>
          <w:color w:val="000000"/>
          <w:sz w:val="20"/>
          <w:szCs w:val="20"/>
        </w:rPr>
        <w:t>We show below that Proxy</w:t>
      </w:r>
      <w:r w:rsidR="00811CD8" w:rsidRPr="00F47570">
        <w:rPr>
          <w:rFonts w:ascii="Arial" w:hAnsi="Arial" w:cs="Arial"/>
          <w:i/>
          <w:iCs/>
          <w:color w:val="000000"/>
          <w:sz w:val="20"/>
          <w:szCs w:val="20"/>
          <w:vertAlign w:val="subscript"/>
        </w:rPr>
        <w:t>OH</w:t>
      </w:r>
      <w:r w:rsidR="00811CD8">
        <w:rPr>
          <w:rFonts w:ascii="Arial" w:hAnsi="Arial" w:cs="Arial"/>
          <w:color w:val="000000"/>
          <w:sz w:val="20"/>
          <w:szCs w:val="20"/>
        </w:rPr>
        <w:t xml:space="preserve"> suggests that </w:t>
      </w:r>
      <w:r w:rsidR="008B5C33">
        <w:rPr>
          <w:rFonts w:ascii="Arial" w:hAnsi="Arial" w:cs="Arial"/>
          <w:color w:val="000000"/>
          <w:sz w:val="20"/>
          <w:szCs w:val="20"/>
        </w:rPr>
        <w:t>two key drivers, water vapor (H</w:t>
      </w:r>
      <w:r w:rsidR="008B5C33" w:rsidRPr="00F47570">
        <w:rPr>
          <w:rFonts w:ascii="Arial" w:hAnsi="Arial" w:cs="Arial"/>
          <w:color w:val="000000"/>
          <w:sz w:val="20"/>
          <w:szCs w:val="20"/>
          <w:vertAlign w:val="subscript"/>
        </w:rPr>
        <w:t>2</w:t>
      </w:r>
      <w:r w:rsidR="008B5C33">
        <w:rPr>
          <w:rFonts w:ascii="Arial" w:hAnsi="Arial" w:cs="Arial"/>
          <w:color w:val="000000"/>
          <w:sz w:val="20"/>
          <w:szCs w:val="20"/>
        </w:rPr>
        <w:t xml:space="preserve">O) and nitric oxide (NO), contribute most to </w:t>
      </w:r>
      <w:r w:rsidR="007650EB">
        <w:rPr>
          <w:rFonts w:ascii="Arial" w:hAnsi="Arial" w:cs="Arial"/>
          <w:color w:val="000000"/>
          <w:sz w:val="20"/>
          <w:szCs w:val="20"/>
        </w:rPr>
        <w:t>regional</w:t>
      </w:r>
      <w:r w:rsidR="008B5C33">
        <w:rPr>
          <w:rFonts w:ascii="Arial" w:hAnsi="Arial" w:cs="Arial"/>
          <w:color w:val="000000"/>
          <w:sz w:val="20"/>
          <w:szCs w:val="20"/>
        </w:rPr>
        <w:t xml:space="preserve"> variations in OH observed during the ATom campaign.</w:t>
      </w:r>
      <w:r w:rsidR="00811CD8">
        <w:rPr>
          <w:rFonts w:ascii="Arial" w:hAnsi="Arial" w:cs="Arial"/>
          <w:color w:val="000000"/>
          <w:sz w:val="20"/>
          <w:szCs w:val="20"/>
        </w:rPr>
        <w:t xml:space="preserve"> </w:t>
      </w:r>
      <w:r w:rsidRPr="00FE7FE5">
        <w:rPr>
          <w:rFonts w:ascii="Arial" w:hAnsi="Arial" w:cs="Arial"/>
          <w:color w:val="000000"/>
          <w:sz w:val="20"/>
          <w:szCs w:val="20"/>
        </w:rPr>
        <w:t xml:space="preserve">We </w:t>
      </w:r>
      <w:r w:rsidR="00811CD8">
        <w:rPr>
          <w:rFonts w:ascii="Arial" w:hAnsi="Arial" w:cs="Arial"/>
          <w:color w:val="000000"/>
          <w:sz w:val="20"/>
          <w:szCs w:val="20"/>
        </w:rPr>
        <w:t>also apply Proxy</w:t>
      </w:r>
      <w:r w:rsidR="00811CD8" w:rsidRPr="00F47570">
        <w:rPr>
          <w:rFonts w:ascii="Arial" w:hAnsi="Arial" w:cs="Arial"/>
          <w:i/>
          <w:iCs/>
          <w:color w:val="000000"/>
          <w:sz w:val="20"/>
          <w:szCs w:val="20"/>
          <w:vertAlign w:val="subscript"/>
        </w:rPr>
        <w:t>OH</w:t>
      </w:r>
      <w:r w:rsidR="00811CD8">
        <w:rPr>
          <w:rFonts w:ascii="Arial" w:hAnsi="Arial" w:cs="Arial"/>
          <w:color w:val="000000"/>
          <w:sz w:val="20"/>
          <w:szCs w:val="20"/>
        </w:rPr>
        <w:t xml:space="preserve"> to </w:t>
      </w:r>
      <w:r w:rsidRPr="00FE7FE5">
        <w:rPr>
          <w:rFonts w:ascii="Arial" w:hAnsi="Arial" w:cs="Arial"/>
          <w:color w:val="000000"/>
          <w:sz w:val="20"/>
          <w:szCs w:val="20"/>
        </w:rPr>
        <w:t xml:space="preserve">evaluate the simulated </w:t>
      </w:r>
      <w:r w:rsidR="003C0D57" w:rsidRPr="00FE7FE5">
        <w:rPr>
          <w:rFonts w:ascii="Arial" w:hAnsi="Arial" w:cs="Arial"/>
          <w:color w:val="000000"/>
          <w:sz w:val="20"/>
          <w:szCs w:val="20"/>
        </w:rPr>
        <w:t xml:space="preserve">abundance and sensitivity </w:t>
      </w:r>
      <w:r w:rsidR="003C0D57">
        <w:rPr>
          <w:rFonts w:ascii="Arial" w:hAnsi="Arial" w:cs="Arial"/>
          <w:color w:val="000000"/>
          <w:sz w:val="20"/>
          <w:szCs w:val="20"/>
        </w:rPr>
        <w:t xml:space="preserve">of </w:t>
      </w:r>
      <w:r w:rsidRPr="00FE7FE5">
        <w:rPr>
          <w:rFonts w:ascii="Arial" w:hAnsi="Arial" w:cs="Arial"/>
          <w:color w:val="000000"/>
          <w:sz w:val="20"/>
          <w:szCs w:val="20"/>
        </w:rPr>
        <w:t xml:space="preserve">OH </w:t>
      </w:r>
      <w:r w:rsidR="00C76531">
        <w:rPr>
          <w:rFonts w:ascii="Arial" w:hAnsi="Arial" w:cs="Arial"/>
          <w:color w:val="000000"/>
          <w:sz w:val="20"/>
          <w:szCs w:val="20"/>
        </w:rPr>
        <w:t xml:space="preserve">spatial </w:t>
      </w:r>
      <w:r w:rsidR="003C0D57">
        <w:rPr>
          <w:rFonts w:ascii="Arial" w:hAnsi="Arial" w:cs="Arial"/>
          <w:color w:val="000000"/>
          <w:sz w:val="20"/>
          <w:szCs w:val="20"/>
        </w:rPr>
        <w:t xml:space="preserve">variations </w:t>
      </w:r>
      <w:r w:rsidRPr="00FE7FE5">
        <w:rPr>
          <w:rFonts w:ascii="Arial" w:hAnsi="Arial" w:cs="Arial"/>
          <w:color w:val="000000"/>
          <w:sz w:val="20"/>
          <w:szCs w:val="20"/>
        </w:rPr>
        <w:t xml:space="preserve">in </w:t>
      </w:r>
      <w:r w:rsidR="00811CD8">
        <w:rPr>
          <w:rFonts w:ascii="Arial" w:hAnsi="Arial" w:cs="Arial"/>
          <w:color w:val="000000"/>
          <w:sz w:val="20"/>
          <w:szCs w:val="20"/>
        </w:rPr>
        <w:t xml:space="preserve">a </w:t>
      </w:r>
      <w:r w:rsidRPr="00FE7FE5">
        <w:rPr>
          <w:rFonts w:ascii="Arial" w:hAnsi="Arial" w:cs="Arial"/>
          <w:color w:val="000000"/>
          <w:sz w:val="20"/>
          <w:szCs w:val="20"/>
        </w:rPr>
        <w:t xml:space="preserve">global model used to project future composition and climate. </w:t>
      </w:r>
    </w:p>
    <w:p w14:paraId="23296EE6" w14:textId="5959BF27" w:rsidR="00980C22" w:rsidRDefault="00980C22"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6307178E" w14:textId="77412FF5" w:rsidR="007F380D" w:rsidRDefault="007F380D" w:rsidP="00E6133D">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color w:val="000000"/>
          <w:sz w:val="20"/>
          <w:szCs w:val="20"/>
        </w:rPr>
        <w:t>Results</w:t>
      </w:r>
    </w:p>
    <w:p w14:paraId="1AD9AEA3" w14:textId="77777777" w:rsidR="007F380D" w:rsidRDefault="007F380D"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7CE3D8F9" w14:textId="3B0E4554" w:rsidR="00FE7FE5" w:rsidRDefault="007F380D" w:rsidP="00980C22">
      <w:pPr>
        <w:keepNext/>
        <w:pBdr>
          <w:top w:val="nil"/>
          <w:left w:val="nil"/>
          <w:bottom w:val="nil"/>
          <w:right w:val="nil"/>
          <w:between w:val="nil"/>
        </w:pBdr>
        <w:spacing w:before="240" w:after="60"/>
        <w:contextualSpacing/>
        <w:jc w:val="both"/>
        <w:rPr>
          <w:rFonts w:ascii="Arial" w:hAnsi="Arial" w:cs="Arial"/>
          <w:color w:val="000000"/>
          <w:sz w:val="20"/>
          <w:szCs w:val="20"/>
        </w:rPr>
      </w:pPr>
      <w:r>
        <w:rPr>
          <w:rFonts w:ascii="Arial" w:hAnsi="Arial" w:cs="Arial"/>
          <w:b/>
          <w:color w:val="000000"/>
          <w:sz w:val="20"/>
          <w:szCs w:val="20"/>
        </w:rPr>
        <w:t xml:space="preserve">2. </w:t>
      </w:r>
      <w:r w:rsidR="00FE7FE5" w:rsidRPr="00FE7FE5">
        <w:rPr>
          <w:rFonts w:ascii="Arial" w:hAnsi="Arial" w:cs="Arial"/>
          <w:b/>
          <w:color w:val="000000"/>
          <w:sz w:val="20"/>
          <w:szCs w:val="20"/>
        </w:rPr>
        <w:t>Proxy formulation over the remote marine troposphere</w:t>
      </w:r>
    </w:p>
    <w:p w14:paraId="662FBA9E"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48831BFE" w14:textId="6D2BD3CD" w:rsidR="00611E86" w:rsidRDefault="001D3FF7" w:rsidP="00FE7FE5">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3" w:name="_Hlk113959086"/>
      <w:r>
        <w:rPr>
          <w:rFonts w:ascii="Arial" w:hAnsi="Arial" w:cs="Arial"/>
          <w:color w:val="000000"/>
          <w:sz w:val="20"/>
          <w:szCs w:val="20"/>
        </w:rPr>
        <w:t xml:space="preserve">We define variations in OH as </w:t>
      </w:r>
      <w:r w:rsidR="003F382D">
        <w:rPr>
          <w:rFonts w:ascii="Arial" w:hAnsi="Arial" w:cs="Arial"/>
          <w:color w:val="000000"/>
          <w:sz w:val="20"/>
          <w:szCs w:val="20"/>
        </w:rPr>
        <w:t>the</w:t>
      </w:r>
      <w:r>
        <w:rPr>
          <w:rFonts w:ascii="Arial" w:hAnsi="Arial" w:cs="Arial"/>
          <w:color w:val="000000"/>
          <w:sz w:val="20"/>
          <w:szCs w:val="20"/>
        </w:rPr>
        <w:t xml:space="preserve"> spread in concentration at a specified spatiotemporal scale</w:t>
      </w:r>
      <w:r w:rsidR="00BE3AF6">
        <w:rPr>
          <w:rFonts w:ascii="Arial" w:hAnsi="Arial" w:cs="Arial"/>
          <w:color w:val="000000"/>
          <w:sz w:val="20"/>
          <w:szCs w:val="20"/>
        </w:rPr>
        <w:t xml:space="preserve">. </w:t>
      </w:r>
      <w:r w:rsidR="003F382D">
        <w:rPr>
          <w:rFonts w:ascii="Arial" w:hAnsi="Arial" w:cs="Arial"/>
          <w:color w:val="000000"/>
          <w:sz w:val="20"/>
          <w:szCs w:val="20"/>
        </w:rPr>
        <w:t xml:space="preserve">Our goal is to </w:t>
      </w:r>
      <w:r w:rsidR="00924BD8">
        <w:rPr>
          <w:rFonts w:ascii="Arial" w:hAnsi="Arial" w:cs="Arial"/>
          <w:color w:val="000000"/>
          <w:sz w:val="20"/>
          <w:szCs w:val="20"/>
        </w:rPr>
        <w:t>distill the representation of OH to terms (</w:t>
      </w:r>
      <w:r w:rsidR="00924BD8" w:rsidRPr="00F47570">
        <w:rPr>
          <w:rFonts w:ascii="Arial" w:hAnsi="Arial" w:cs="Arial"/>
          <w:i/>
          <w:iCs/>
          <w:color w:val="000000"/>
          <w:sz w:val="20"/>
          <w:szCs w:val="20"/>
        </w:rPr>
        <w:t>e.g</w:t>
      </w:r>
      <w:r w:rsidR="00924BD8">
        <w:rPr>
          <w:rFonts w:ascii="Arial" w:hAnsi="Arial" w:cs="Arial"/>
          <w:color w:val="000000"/>
          <w:sz w:val="20"/>
          <w:szCs w:val="20"/>
        </w:rPr>
        <w:t xml:space="preserve">., photolysis rates or chemical species) that individually </w:t>
      </w:r>
      <w:r w:rsidR="00A43716">
        <w:rPr>
          <w:rFonts w:ascii="Arial" w:hAnsi="Arial" w:cs="Arial"/>
          <w:color w:val="000000"/>
          <w:sz w:val="20"/>
          <w:szCs w:val="20"/>
        </w:rPr>
        <w:t>shape</w:t>
      </w:r>
      <w:r w:rsidR="00924BD8">
        <w:rPr>
          <w:rFonts w:ascii="Arial" w:hAnsi="Arial" w:cs="Arial"/>
          <w:color w:val="000000"/>
          <w:sz w:val="20"/>
          <w:szCs w:val="20"/>
        </w:rPr>
        <w:t xml:space="preserve"> local OH distributions and,</w:t>
      </w:r>
      <w:r w:rsidR="00BE3AF6">
        <w:rPr>
          <w:rFonts w:ascii="Arial" w:hAnsi="Arial" w:cs="Arial"/>
          <w:color w:val="000000"/>
          <w:sz w:val="20"/>
          <w:szCs w:val="20"/>
        </w:rPr>
        <w:t xml:space="preserve"> </w:t>
      </w:r>
      <w:r w:rsidR="00924BD8">
        <w:rPr>
          <w:rFonts w:ascii="Arial" w:hAnsi="Arial" w:cs="Arial"/>
          <w:color w:val="000000"/>
          <w:sz w:val="20"/>
          <w:szCs w:val="20"/>
        </w:rPr>
        <w:t xml:space="preserve">when combined, collectively </w:t>
      </w:r>
      <w:r w:rsidR="003C0D57">
        <w:rPr>
          <w:rFonts w:ascii="Arial" w:hAnsi="Arial" w:cs="Arial"/>
          <w:color w:val="000000"/>
          <w:sz w:val="20"/>
          <w:szCs w:val="20"/>
        </w:rPr>
        <w:t>capture</w:t>
      </w:r>
      <w:r w:rsidR="00BE3AF6">
        <w:rPr>
          <w:rFonts w:ascii="Arial" w:hAnsi="Arial" w:cs="Arial"/>
          <w:color w:val="000000"/>
          <w:sz w:val="20"/>
          <w:szCs w:val="20"/>
        </w:rPr>
        <w:t xml:space="preserve"> measured OH </w:t>
      </w:r>
      <w:r w:rsidR="003C0D57">
        <w:rPr>
          <w:rFonts w:ascii="Arial" w:hAnsi="Arial" w:cs="Arial"/>
          <w:color w:val="000000"/>
          <w:sz w:val="20"/>
          <w:szCs w:val="20"/>
        </w:rPr>
        <w:t>variations</w:t>
      </w:r>
      <w:r w:rsidR="00924BD8">
        <w:rPr>
          <w:rFonts w:ascii="Arial" w:hAnsi="Arial" w:cs="Arial"/>
          <w:color w:val="000000"/>
          <w:sz w:val="20"/>
          <w:szCs w:val="20"/>
        </w:rPr>
        <w:t xml:space="preserve">. </w:t>
      </w:r>
      <w:bookmarkEnd w:id="3"/>
      <w:r w:rsidR="00611E86">
        <w:rPr>
          <w:rFonts w:ascii="Arial" w:hAnsi="Arial" w:cs="Arial"/>
          <w:color w:val="000000"/>
          <w:sz w:val="20"/>
          <w:szCs w:val="20"/>
        </w:rPr>
        <w:t xml:space="preserve">We use </w:t>
      </w:r>
      <w:r w:rsidR="00C20C8E">
        <w:rPr>
          <w:rFonts w:ascii="Arial" w:hAnsi="Arial" w:cs="Arial"/>
          <w:color w:val="000000"/>
          <w:sz w:val="20"/>
          <w:szCs w:val="20"/>
        </w:rPr>
        <w:t>the F0AM</w:t>
      </w:r>
      <w:r w:rsidR="00611E86">
        <w:rPr>
          <w:rFonts w:ascii="Arial" w:hAnsi="Arial" w:cs="Arial"/>
          <w:color w:val="000000"/>
          <w:sz w:val="20"/>
          <w:szCs w:val="20"/>
        </w:rPr>
        <w:t xml:space="preserve"> photochemical box model constrained with ATom observations to test potential formulations of a proxy for OH spatial variations (Methods </w:t>
      </w:r>
      <w:r w:rsidR="00A42EF2">
        <w:rPr>
          <w:rFonts w:ascii="Arial" w:hAnsi="Arial" w:cs="Arial"/>
          <w:color w:val="000000"/>
          <w:sz w:val="20"/>
          <w:szCs w:val="20"/>
        </w:rPr>
        <w:t>8</w:t>
      </w:r>
      <w:r w:rsidR="00611E86">
        <w:rPr>
          <w:rFonts w:ascii="Arial" w:hAnsi="Arial" w:cs="Arial"/>
          <w:color w:val="000000"/>
          <w:sz w:val="20"/>
          <w:szCs w:val="20"/>
        </w:rPr>
        <w:t xml:space="preserve">.1.2). </w:t>
      </w:r>
    </w:p>
    <w:p w14:paraId="55D14567" w14:textId="77777777" w:rsidR="00611E86" w:rsidRDefault="00611E86"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0D552C05" w14:textId="2C1AE3C7" w:rsidR="00FE7FE5" w:rsidRP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sidRPr="00FE7FE5">
        <w:rPr>
          <w:rFonts w:ascii="Arial" w:hAnsi="Arial" w:cs="Arial"/>
          <w:color w:val="000000"/>
          <w:sz w:val="20"/>
          <w:szCs w:val="20"/>
        </w:rPr>
        <w:t xml:space="preserve">Relatively few processes dominate OH </w:t>
      </w:r>
      <w:r w:rsidR="009E3FDB">
        <w:rPr>
          <w:rFonts w:ascii="Arial" w:hAnsi="Arial" w:cs="Arial"/>
          <w:color w:val="000000"/>
          <w:sz w:val="20"/>
          <w:szCs w:val="20"/>
        </w:rPr>
        <w:t>variations</w:t>
      </w:r>
      <w:r w:rsidRPr="00FE7FE5">
        <w:rPr>
          <w:rFonts w:ascii="Arial" w:hAnsi="Arial" w:cs="Arial"/>
          <w:color w:val="000000"/>
          <w:sz w:val="20"/>
          <w:szCs w:val="20"/>
        </w:rPr>
        <w:t xml:space="preserve"> over long timeframes or large spatial scales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{"citationID":"NsSM3xGQ","properties":{"formattedCitation":"(37\\uc0\\u8211{}39)","plainCitation":"(37–39)","noteIndex":0},"citationItems":[{"id":492,"uris":["http://zotero.org/users/9309103/items/3TCE49KL"],"itemData":{"id":492,"type":"article-journal","abstract":"The self-cleaning or oxidation capacity of the atmosphere is principally controlled by hydroxyl (OH) radicals in the troposphere. Hydroxyl has primary (P ) and secondary (S) sources, the former mainly through the photodissociation of ozone, the latter through OH recycling in radical reaction chains. We used the recent Mainz Organics Mechanism (MOM) to advance volatile organic carbon (VOC) chemistry in the general circulation model EMAC (ECHAM/MESSy Atmospheric Chemistry) and show that S is larger than previously assumed. By including emissions of a large number of primary VOC, and accounting for their complete breakdown and intermediate products, MOM is mass-conserving and calculates substantially higher OH reactivity from VOC oxidation compared to predecessor models. Whereas previously P and S were found to be of similar magnitude, the present work indicates that S may be twice as large, mostly due to OH recycling in the free troposphere. Further, we ﬁnd that nighttime OH formation may be signiﬁcant in the polluted subtropical boundary layer in summer. With a mean OH recycling probability of about 67 %, global OH is buffered and not sensitive to perturbations by natural or anthropogenic emission changes. Complementary primary and secondary OH formation mechanisms in pristine and polluted environments in the continental and marine troposphere, connected through long-range transport of O3, can maintain stable global OH levels.","container-title":"Atmospheric Chemistry and Physics","DOI":"10.5194/acp-16-12477-2016","ISSN":"1680-7324","issue":"19","journalAbbreviation":"Atmos. Chem. Phys.","language":"en","page":"12477-12493","source":"DOI.org (Crossref)","title":"Global tropospheric hydroxyl distribution, budget and reactivity","volume":"16","author":[{"family":"Lelieveld","given":"Jos"},{"family":"Gromov","given":"Sergey"},{"family":"Pozzer","given":"Andrea"},{"family":"Taraborrelli","given":"Domenico"}],"issued":{"date-parts":[["2016",10,5]]}}},{"id":475,"uris":["http://zotero.org/users/9309103/items/INSUM9MZ"],"itemData":{"id":475,"type":"article-journal","container-title":"Journal of Geophysical Research: Atmospheres","DOI":"10.1029/1999JD901006","ISSN":"01480227","issue":"D7","journalAbbreviation":"J. Geophys. Res.","language":"en","page":"8931-8980","source":"DOI.org (Crossref)","title":"Three-dimensional climatological distribution of tropospheric OH: Update and evaluation","title-short":"Three-dimensional climatological distribution of tropospheric OH","volume":"105","author":[{"family":"Spivakovsky","given":"C. M."},{"family":"Logan","given":"J. A."},{"family":"Montzka","given":"S. A."},{"family":"Balkanski","given":"Y. J."},{"family":"Foreman-Fowler","given":"M."},{"family":"Jones","given":"D. B. A."},{"family":"Horowitz","given":"L. W."},{"family":"Fusco","given":"A. C."},{"family":"Brenninkmeijer","given":"C. A. M."},{"family":"Prather","given":"M. J."},{"family":"Wofsy","given":"S. C."},{"family":"McElroy","given":"M. B."}],"issued":{"date-parts":[["2000",4,16]]}}},{"id":501,"uris":["http://zotero.org/users/9309103/items/UQUA52QI"],"itemData":{"id":501,"type":"article-journal","abstract":"Accurate prediction of future methane abundances following a climate scenario requires understanding the lifetime changes driven by anthropogenic emissions, meteorological factors, and chemistry-climate feedbacks. Uncertainty in any of these inﬂuences or the underlying processes implies uncertainty in future abundance and radiative forcing. We simulate methane lifetime in three chemical transport models (CTMs) – UCI CTM, GEOS-Chem, and Oslo CTM3 – over the period 1997–2009 and compare the models’ year-to-year variability against constraints from global methyl chloroform observations. Using sensitivity tests, we ﬁnd that temperature, water vapor, stratospheric ozone column, biomass burning and lightning NOx are the dominant sources of interannual changes in methane lifetime in all three models. We also evaluate each model’s response to forcings that have impacts on decadal time scales, such as methane feedback, and anthropogenic emissions. In general, these different CTMs show similar sensitivities to the driving variables. We construct a parametric model that reproduces most of the interannual variability of each CTM and use it to predict methane lifetime from 1980 through 2100 following a speciﬁed emissions and climate scenario (RCP 8.5). The parametric model propagates uncertainties through all steps and provides a foundation for predicting methane abundances in any climate scenario. Our sensitivity tests also enable a new estimate of the methane global warming potential (GWP), accounting for stratospheric ozone effects, including those mediated by water vapor. We estimate the 100-yr GWP to be 32, which is 25 % larger than past assessments.","container-title":"Atmospheric Chemistry and Physics","DOI":"10.5194/acp-13-285-2013","ISSN":"1680-7324","issue":"1","journalAbbreviation":"Atmos. Chem. Phys.","language":"en","page":"285-302","source":"DOI.org (Crossref)","title":"Future methane, hydroxyl, and their uncertainties: key climate and emission parameters for future predictions","title-short":"Future methane, hydroxyl, and their uncertainties","volume":"13","author":[{"family":"Holmes","given":"C. D."},{"family":"Prather","given":"M. J."},{"family":"Søvde","given":"O. A."},{"family":"Myhre","given":"G."}],"issued":{"date-parts":[["2013",1,11]]}}}],"schema":"https://github.com/citation-style-language/schema/raw/master/csl-citation.json"}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szCs w:val="24"/>
        </w:rPr>
        <w:t>(37–39)</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Five years of OH measurements from a site in southern Germany suggest that insolation </w:t>
      </w:r>
      <w:r w:rsidR="00A43716">
        <w:rPr>
          <w:rFonts w:ascii="Arial" w:hAnsi="Arial" w:cs="Arial"/>
          <w:color w:val="000000"/>
          <w:sz w:val="20"/>
          <w:szCs w:val="20"/>
        </w:rPr>
        <w:t xml:space="preserve">largely </w:t>
      </w:r>
      <w:r w:rsidRPr="00FE7FE5">
        <w:rPr>
          <w:rFonts w:ascii="Arial" w:hAnsi="Arial" w:cs="Arial"/>
          <w:color w:val="000000"/>
          <w:sz w:val="20"/>
          <w:szCs w:val="20"/>
        </w:rPr>
        <w:t xml:space="preserve">controls its </w:t>
      </w:r>
      <w:r w:rsidR="00A43716">
        <w:rPr>
          <w:rFonts w:ascii="Arial" w:hAnsi="Arial" w:cs="Arial"/>
          <w:color w:val="000000"/>
          <w:sz w:val="20"/>
          <w:szCs w:val="20"/>
        </w:rPr>
        <w:t xml:space="preserve">temporal </w:t>
      </w:r>
      <w:r w:rsidR="009E3FDB">
        <w:rPr>
          <w:rFonts w:ascii="Arial" w:hAnsi="Arial" w:cs="Arial"/>
          <w:color w:val="000000"/>
          <w:sz w:val="20"/>
          <w:szCs w:val="20"/>
        </w:rPr>
        <w:t>variations</w:t>
      </w:r>
      <w:r w:rsidRPr="00FE7FE5">
        <w:rPr>
          <w:rFonts w:ascii="Arial" w:hAnsi="Arial" w:cs="Arial"/>
          <w:color w:val="000000"/>
          <w:sz w:val="20"/>
          <w:szCs w:val="20"/>
        </w:rPr>
        <w:t xml:space="preserve">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{"citationID":"qvMISUOv","properties":{"formattedCitation":"(40)","plainCitation":"(40)","noteIndex":0},"citationItems":[{"id":541,"uris":["http://zotero.org/users/9309103/items/ZWCW7W9V"],"itemData":{"id":541,"type":"article-journal","abstract":"The hydroxyl (OH) radical mainly determines the oxidizing power of the atmosphere. OH is important for the removal of pollutants influencing human health, climate change, and crop yield. It is widely believed that the atmosphere's oxidation efficiency may be threatened in the long-term by increasing air pollution, but data on OH trends are scarce. A set of long-term measurements taken between 1999 and 2003 at the Hohenpeissenberg Meteorological Observatory in southern Germany is therefore very welcome. The data reveal no observable trend in OH levels. Surprisingly, in view of the many reactions in which the radicals can take part, OH variability is closely and linearly related to solar ultraviolet radiation.","container-title":"Nature","DOI":"10.1038/nature04924","ISSN":"1476-4687","issue":"7099","language":"en","license":"2006 Nature Publishing Group","note":"number: 7099\npublisher: Nature Publishing Group","page":"184-187","source":"www.nature.com","title":"Strong correlation between levels of tropospheric hydroxyl radicals and solar ultraviolet radiation","volume":"442","author":[{"family":"Rohrer","given":"Franz"},{"family":"Berresheim","given":"Harald"}],"issued":{"date-parts":[["2006",7]]}}}],"schema":"https://github.com/citation-style-language/schema/raw/master/csl-citation.json"}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(40)</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Modeled global annual mean OH scales as a simple function of the ratio of reactive nitrogen and carbon emissions from pre-industrial times to present-day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{"citationID":"D0XJjC2D","properties":{"formattedCitation":"(41)","plainCitation":"(41)","noteIndex":0},"citationItems":[{"id":238,"uris":["http://zotero.org/users/9309103/items/TYAXRMVL"],"itemData":{"id":238,"type":"article-journal","abstract":"A globalthree-dimensionaml odelof tropospherichemistryis usedto investigate thechangesin tropospheric03 andOH sincepreindustriatlimesasa resultof fuel combustion andindustry,biomassburning,andgrowthin atmosphericCH4. Model resultsindicatea 63% increaseof theglobaltropospheric03 burdenfrom preindustriatlimesto present(80% and50% in thenorthernandsouthernhemispheresr,espectively)A. nthropogenicemissions of NOx andof CO andhydrocarbonms akecomparablecontributionsto the global03 increase(60% and40% respectively)e, venthoughthelocalrateof tropospheric03 productionis generallyNOx limited.The risein 03 productionparallelscloselytherisein the emissionsof CO andhydrocarbonbecausethe03 yieldpermoleof CO or hydrocarbonoxidizedhasremainedconstantat 0.7-0.8 mol/mol sincepreindustriatlimes.In contrast,the 03 productionefficiencypermoleof NOxemittedhasdecreasedgloballyby a factorof 2. We find a 9% decreasein theglobalmeanOH concentration(mass-weighteds) incepreindustrial times.A linearrelationshipis foundin themodelbetweentheglobalmeanOH concentration andtheSN/S3c/2ratio,whereS•vandScarethesourceosfNOxandofCO andhydrocarbons, respectivelyT. he relativeconstancyof theglobalmeanOH concentrationsincepreindustrial timesreflectstheconservatioonftheSN/S3c/2ratiodespitelargeincreaseins bothS•vandSc. Comparisonsof modelresultswith reconstructendineteenthcenturyobservationsof 03 at continentasl itesindicatea systematicoverestimateof about5 ppbv.Correctingthisoverestimatewouldrequireeithera largemissingchemicalsinkfor 03 or a downwardrevisionof the naturaNl Oxsourcferomlightning(3 TgN yr-1in ourmodel)T. henineteentchenturyobservationsof 03 overFranceshownoverticalgradientbetweentheboundarylayerandthefree tropospherew,hichis inconsistenwtith ourcurrentunderstandinogf tropospheri0c3. The modelunderestimatepsreindustriaCl O concentrationdserivedfrompolaricecores;these measurementasredifficult to reconcilewith anyreasonableCO emissioninventories.","container-title":"Journal of Geophysical Research: Atmospheres","DOI":"10.1029/1998JD100004","ISSN":"01480227","issue":"D23","journalAbbreviation":"J. Geophys. Res.","language":"en","page":"31123-31135","source":"DOI.org (Crossref)","title":"Anthropogenic forcing on tropospheric ozone and OH since preindustrial times","volume":"103","author":[{"family":"Wang","given":"Yuhang"},{"family":"Jacob","given":"Daniel J."}],"issued":{"date-parts":[["1998",12,20]]}}}],"schema":"https://github.com/citation-style-language/schema/raw/master/csl-citation.json"}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(41)</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When combined with atmospheric humidity and overhead ozone columns, a proxy constructed from these </w:t>
      </w:r>
      <w:r w:rsidR="00924BD8">
        <w:rPr>
          <w:rFonts w:ascii="Arial" w:hAnsi="Arial" w:cs="Arial"/>
          <w:color w:val="000000"/>
          <w:sz w:val="20"/>
          <w:szCs w:val="20"/>
        </w:rPr>
        <w:t xml:space="preserve">four </w:t>
      </w:r>
      <w:r w:rsidRPr="00FE7FE5">
        <w:rPr>
          <w:rFonts w:ascii="Arial" w:hAnsi="Arial" w:cs="Arial"/>
          <w:color w:val="000000"/>
          <w:sz w:val="20"/>
          <w:szCs w:val="20"/>
        </w:rPr>
        <w:t xml:space="preserve">variables alone </w:t>
      </w:r>
      <w:r w:rsidR="00955C29">
        <w:rPr>
          <w:rFonts w:ascii="Arial" w:hAnsi="Arial" w:cs="Arial"/>
          <w:color w:val="000000"/>
          <w:sz w:val="20"/>
          <w:szCs w:val="20"/>
        </w:rPr>
        <w:t xml:space="preserve">can </w:t>
      </w:r>
      <w:r w:rsidRPr="00FE7FE5">
        <w:rPr>
          <w:rFonts w:ascii="Arial" w:hAnsi="Arial" w:cs="Arial"/>
          <w:color w:val="000000"/>
          <w:sz w:val="20"/>
          <w:szCs w:val="20"/>
        </w:rPr>
        <w:t xml:space="preserve">capture global mean OH changes on glacial-interglacial </w:t>
      </w:r>
      <w:r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{"citationID":"DlD6Tl0d","properties":{"formattedCitation":"(42)","plainCitation":"(42)","noteIndex":0},"citationItems":[{"id":488,"uris":["http://zotero.org/users/9309103/items/IKNZL4NY"],"itemData":{"id":488,"type":"article-journal","abstract":"Abstract. The oxidative capacity of past atmospheres is highly uncertain. We present here a new climate–biosphere–chemistry modeling framework to determine oxidant levels in the present and past troposphere. We use the GEOS-Chem chemical transport model driven by meteorological fields from the NASA Goddard Institute of Space Studies (GISS) ModelE, with land cover and fire emissions from dynamic global vegetation models. We present time-slice simulations for the present day, late preindustrial era (AD 1770), and the Last Glacial Maximum (LGM, 19–23 ka), and we test the sensitivity of model results to uncertainty in lightning and fire emissions. We find that most preindustrial and paleo climate simulations yield reduced oxidant levels relative to the present day. Contrary to prior studies, tropospheric mean OH in our ensemble shows little change at the LGM relative to the preindustrial era (0.5 ± 12 %), despite large reductions in methane concentrations. We find a simple linear relationship between tropospheric mean ozone photolysis rates, water vapor, and total emissions of NOx and reactive carbon that explains 72 % of the variability in global mean OH in 11 different simulations across the last glacial–interglacial time interval and the industrial era. Key parameters controlling the tropospheric oxidative capacity over glacial–interglacial periods include overhead stratospheric ozone, tropospheric water vapor, and lightning NOx emissions. Variability in global mean OH since the LGM is insensitive to fire emissions. Our simulations are broadly consistent with ice-core records of Δ17O in sulfate and nitrate at the LGM, and CO, HCHO, and H2O2 in the preindustrial era. Our results imply that the glacial–interglacial changes in atmospheric methane observed in ice cores are predominantly driven by changes in its sources as opposed to its sink with OH.","container-title":"Atmospheric Chemistry and Physics","DOI":"10.5194/acp-14-3589-2014","ISSN":"1680-7324","issue":"7","journalAbbreviation":"Atmos. Chem. Phys.","language":"en","page":"3589-3622","source":"DOI.org (Crossref)","title":"Factors controlling variability in the oxidative capacity of the troposphere since the Last Glacial Maximum","volume":"14","author":[{"family":"Murray","given":"L. T."},{"family":"Mickley","given":"L. J."},{"family":"Kaplan","given":"J. O."},{"family":"Sofen","given":"E. D."},{"family":"Pfeiffer","given":"M."},{"family":"Alexander","given":"B."}],"issued":{"date-parts":[["2014",4,9]]}}}],"schema":"https://github.com/citation-style-language/schema/raw/master/csl-citation.json"} </w:instrText>
      </w:r>
      <w:r w:rsidRPr="00FE7FE5">
        <w:rPr>
          <w:rFonts w:ascii="Arial" w:hAnsi="Arial" w:cs="Arial"/>
          <w:color w:val="000000"/>
          <w:sz w:val="20"/>
          <w:szCs w:val="20"/>
        </w:rPr>
        <w:fldChar w:fldCharType="separate"/>
      </w:r>
      <w:r w:rsidR="00CC64F9" w:rsidRPr="00CC64F9">
        <w:rPr>
          <w:rFonts w:ascii="Arial" w:hAnsi="Arial" w:cs="Arial"/>
          <w:sz w:val="20"/>
        </w:rPr>
        <w:t>(42)</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and decadal </w:t>
      </w:r>
      <w:r w:rsidRPr="00FE7FE5">
        <w:rPr>
          <w:rFonts w:ascii="Arial" w:hAnsi="Arial" w:cs="Arial"/>
          <w:color w:val="000000"/>
          <w:sz w:val="20"/>
          <w:szCs w:val="20"/>
        </w:rPr>
        <w:fldChar w:fldCharType="begin"/>
      </w:r>
      <w:r w:rsidR="009108F6">
        <w:rPr>
          <w:rFonts w:ascii="Arial" w:hAnsi="Arial" w:cs="Arial"/>
          <w:color w:val="000000"/>
          <w:sz w:val="20"/>
          <w:szCs w:val="20"/>
        </w:rPr>
        <w:instrText xml:space="preserve"> ADDIN ZOTERO_ITEM CSL_CITATION {"citationID":"aStIvn6B","properties":{"formattedCitation":"(13)","plainCitation":"(13)","noteIndex":0},"citationItems":[{"id":771,"uris":["http://zotero.org/users/9309103/items/2ME2XYH6"],"itemData":{"id":771,"type":"article-journal","abstract":"The hydroxyl radical (OH) sets the oxidative capacity of the atmosphere and, thus, profoundly affects the removal rate of pollutants and reactive greenhouse gases. While observationally derived constraints exist for global annual mean present-day OH abundances and interannual variability, OH estimates for past and future periods rely primarily on global atmospheric chemistry models. These models disagree ± 30% in mean OH and in its changes from the preindustrial to late 21st century, even when forced with identical anthropogenic emissions. A simple steady-state relationship that accounts for ozone photolysis frequencies, water vapor, and the ratio of reactive nitrogen to carbon emissions explains temporal variability within most models, but not intermodel differences. Here, we show that departure from the expected relationship reflects the treatment of reactive oxidized nitrogen species (NOy) and the fraction of emitted carbon that reacts within each chemical mechanism, which remain poorly known due to a lack of observational data. Our findings imply a need for additional observational constraints on NOy partitioning and lifetime, especially in the remote free troposphere, as well as the fate of carbon-containing reaction intermediates to test models, thereby reducing uncertainties in projections of OH and, hence, lifetimes of pollutants and greenhouse gases.","container-title":"Proceedings of the National Academy of Sciences","DOI":"10.1073/pnas.2115204118","ISSN":"0027-8424, 1091-6490","issue":"43","journalAbbreviation":"PNAS","language":"en","license":"© 2021 . https://www.pnas.org/site/aboutpnas/licenses.xhtmlPublished under the PNAS license.","note":"publisher: National Academy of Sciences\nsection: Physical Sciences\nPMID: 34686608","source":"www.pnas.org","title":"Large uncertainties in global hydroxyl projections tied to fate of reactive nitrogen and carbon","URL":"https://www.pnas.org/content/118/43/e2115204118","volume":"118","author":[{"family":"Murray","given":"Lee T."},{"family":"Fiore","given":"Arlene M."},{"family":"Shindell","given":"Drew T."},{"family":"Naik","given":"Vaishali"},{"family":"Horowitz","given":"Larry W."}],"accessed":{"date-parts":[["2021",12,8]]},"issued":{"date-parts":[["2021",10,26]]}}}],"schema":"https://github.com/citation-style-language/schema/raw/master/csl-citation.json"} </w:instrText>
      </w:r>
      <w:r w:rsidRPr="00FE7FE5">
        <w:rPr>
          <w:rFonts w:ascii="Arial" w:hAnsi="Arial" w:cs="Arial"/>
          <w:color w:val="000000"/>
          <w:sz w:val="20"/>
          <w:szCs w:val="20"/>
        </w:rPr>
        <w:fldChar w:fldCharType="separate"/>
      </w:r>
      <w:r w:rsidRPr="00FE7FE5">
        <w:rPr>
          <w:rFonts w:ascii="Arial" w:hAnsi="Arial" w:cs="Arial"/>
          <w:color w:val="000000"/>
          <w:sz w:val="20"/>
          <w:szCs w:val="20"/>
        </w:rPr>
        <w:t>(13)</w:t>
      </w:r>
      <w:r w:rsidRPr="00FE7FE5">
        <w:rPr>
          <w:rFonts w:ascii="Arial" w:hAnsi="Arial" w:cs="Arial"/>
          <w:color w:val="000000"/>
          <w:sz w:val="20"/>
          <w:szCs w:val="20"/>
        </w:rPr>
        <w:fldChar w:fldCharType="end"/>
      </w:r>
      <w:r w:rsidRPr="00FE7FE5">
        <w:rPr>
          <w:rFonts w:ascii="Arial" w:hAnsi="Arial" w:cs="Arial"/>
          <w:color w:val="000000"/>
          <w:sz w:val="20"/>
          <w:szCs w:val="20"/>
        </w:rPr>
        <w:t xml:space="preserve"> timescales.</w:t>
      </w:r>
      <w:r w:rsidR="009108F6">
        <w:rPr>
          <w:rFonts w:ascii="Arial" w:hAnsi="Arial" w:cs="Arial"/>
          <w:color w:val="000000"/>
          <w:sz w:val="20"/>
          <w:szCs w:val="20"/>
        </w:rPr>
        <w:t xml:space="preserve"> </w:t>
      </w:r>
      <w:bookmarkStart w:id="4" w:name="_Hlk115103112"/>
      <w:r w:rsidR="002773B9">
        <w:rPr>
          <w:rFonts w:ascii="Arial" w:hAnsi="Arial" w:cs="Arial"/>
          <w:color w:val="000000"/>
          <w:sz w:val="20"/>
          <w:szCs w:val="20"/>
        </w:rPr>
        <w:t>C</w:t>
      </w:r>
      <w:r w:rsidR="009108F6">
        <w:rPr>
          <w:rFonts w:ascii="Arial" w:hAnsi="Arial" w:cs="Arial"/>
          <w:color w:val="000000"/>
          <w:sz w:val="20"/>
          <w:szCs w:val="20"/>
        </w:rPr>
        <w:t xml:space="preserve">olumn-based satellite </w:t>
      </w:r>
      <w:r w:rsidR="003C0D57">
        <w:rPr>
          <w:rFonts w:ascii="Arial" w:hAnsi="Arial" w:cs="Arial"/>
          <w:color w:val="000000"/>
          <w:sz w:val="20"/>
          <w:szCs w:val="20"/>
        </w:rPr>
        <w:t xml:space="preserve">retrievals of </w:t>
      </w:r>
      <w:r w:rsidR="007908FF">
        <w:rPr>
          <w:rFonts w:ascii="Arial" w:hAnsi="Arial" w:cs="Arial"/>
          <w:color w:val="000000"/>
          <w:sz w:val="20"/>
          <w:szCs w:val="20"/>
        </w:rPr>
        <w:t xml:space="preserve">species serving as OH sources and sinks </w:t>
      </w:r>
      <w:r w:rsidR="009108F6">
        <w:rPr>
          <w:rFonts w:ascii="Arial" w:hAnsi="Arial" w:cs="Arial"/>
          <w:color w:val="000000"/>
          <w:sz w:val="20"/>
          <w:szCs w:val="20"/>
        </w:rPr>
        <w:t xml:space="preserve">reflect interannual modeled OH variations </w:t>
      </w:r>
      <w:r w:rsidR="002773B9">
        <w:rPr>
          <w:rFonts w:ascii="Arial" w:hAnsi="Arial" w:cs="Arial"/>
          <w:color w:val="000000"/>
          <w:sz w:val="20"/>
          <w:szCs w:val="20"/>
        </w:rPr>
        <w:t xml:space="preserve">across U.S. cities from 2005 to 2014 </w:t>
      </w:r>
      <w:r w:rsidR="002773B9">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{"citationID":"4KiQIHxh","properties":{"formattedCitation":"(43)","plainCitation":"(43)","noteIndex":0},"citationItems":[{"id":2228,"uris":["http://zotero.org/users/9309103/items/9RJLMRLE"],"itemData":{"id":2228,"type":"article-journal","container-title":"Environmental Science &amp; Technology","DOI":"10.1021/acs.est.1c05636","ISSN":"0013-936X, 1520-5851","issue":"11","journalAbbreviation":"Environ. Sci. Technol.","language":"en","page":"7362-7371","source":"DOI.org (Crossref)","title":"Combining Machine Learning and Satellite Observations to Predict Spatial and Temporal Variation of near Surface OH in North American Cities","volume":"56","author":[{"family":"Zhu","given":"Qindan"},{"family":"Laughner","given":"Joshua L."},{"family":"Cohen","given":"Ronald C."}],"issued":{"date-parts":[["2022",6,7]]}}}],"schema":"https://github.com/citation-style-language/schema/raw/master/csl-citation.json"} </w:instrText>
      </w:r>
      <w:r w:rsidR="002773B9">
        <w:rPr>
          <w:rFonts w:ascii="Arial" w:hAnsi="Arial" w:cs="Arial"/>
          <w:color w:val="000000"/>
          <w:sz w:val="20"/>
          <w:szCs w:val="20"/>
        </w:rPr>
        <w:fldChar w:fldCharType="separate"/>
      </w:r>
      <w:r w:rsidR="00CC64F9" w:rsidRPr="00CC64F9">
        <w:rPr>
          <w:rFonts w:ascii="Arial" w:hAnsi="Arial" w:cs="Arial"/>
          <w:sz w:val="20"/>
        </w:rPr>
        <w:t>(43)</w:t>
      </w:r>
      <w:r w:rsidR="002773B9">
        <w:rPr>
          <w:rFonts w:ascii="Arial" w:hAnsi="Arial" w:cs="Arial"/>
          <w:color w:val="000000"/>
          <w:sz w:val="20"/>
          <w:szCs w:val="20"/>
        </w:rPr>
        <w:fldChar w:fldCharType="end"/>
      </w:r>
      <w:r w:rsidR="002773B9">
        <w:rPr>
          <w:rFonts w:ascii="Arial" w:hAnsi="Arial" w:cs="Arial"/>
          <w:color w:val="000000"/>
          <w:sz w:val="20"/>
          <w:szCs w:val="20"/>
        </w:rPr>
        <w:t xml:space="preserve"> and to </w:t>
      </w:r>
      <w:r w:rsidR="009108F6">
        <w:rPr>
          <w:rFonts w:ascii="Arial" w:hAnsi="Arial" w:cs="Arial"/>
          <w:color w:val="000000"/>
          <w:sz w:val="20"/>
          <w:szCs w:val="20"/>
        </w:rPr>
        <w:t xml:space="preserve">within 20-30% </w:t>
      </w:r>
      <w:r w:rsidR="002773B9">
        <w:rPr>
          <w:rFonts w:ascii="Arial" w:hAnsi="Arial" w:cs="Arial"/>
          <w:color w:val="000000"/>
          <w:sz w:val="20"/>
          <w:szCs w:val="20"/>
        </w:rPr>
        <w:t>over</w:t>
      </w:r>
      <w:r w:rsidR="009108F6">
        <w:rPr>
          <w:rFonts w:ascii="Arial" w:hAnsi="Arial" w:cs="Arial"/>
          <w:color w:val="000000"/>
          <w:sz w:val="20"/>
          <w:szCs w:val="20"/>
        </w:rPr>
        <w:t xml:space="preserve"> the </w:t>
      </w:r>
      <w:r w:rsidR="002773B9">
        <w:rPr>
          <w:rFonts w:ascii="Arial" w:hAnsi="Arial" w:cs="Arial"/>
          <w:color w:val="000000"/>
          <w:sz w:val="20"/>
          <w:szCs w:val="20"/>
        </w:rPr>
        <w:t xml:space="preserve">oceanic </w:t>
      </w:r>
      <w:r w:rsidR="009108F6">
        <w:rPr>
          <w:rFonts w:ascii="Arial" w:hAnsi="Arial" w:cs="Arial"/>
          <w:color w:val="000000"/>
          <w:sz w:val="20"/>
          <w:szCs w:val="20"/>
        </w:rPr>
        <w:t xml:space="preserve">mid-troposphere </w:t>
      </w:r>
      <w:r w:rsidR="007908FF">
        <w:rPr>
          <w:rFonts w:ascii="Arial" w:hAnsi="Arial" w:cs="Arial"/>
          <w:color w:val="000000"/>
          <w:sz w:val="20"/>
          <w:szCs w:val="20"/>
        </w:rPr>
        <w:t>from</w:t>
      </w:r>
      <w:r w:rsidR="009108F6">
        <w:rPr>
          <w:rFonts w:ascii="Arial" w:hAnsi="Arial" w:cs="Arial"/>
          <w:color w:val="000000"/>
          <w:sz w:val="20"/>
          <w:szCs w:val="20"/>
        </w:rPr>
        <w:t xml:space="preserve"> 2008 </w:t>
      </w:r>
      <w:r w:rsidR="007908FF">
        <w:rPr>
          <w:rFonts w:ascii="Arial" w:hAnsi="Arial" w:cs="Arial"/>
          <w:color w:val="000000"/>
          <w:sz w:val="20"/>
          <w:szCs w:val="20"/>
        </w:rPr>
        <w:t xml:space="preserve">to </w:t>
      </w:r>
      <w:r w:rsidR="009108F6">
        <w:rPr>
          <w:rFonts w:ascii="Arial" w:hAnsi="Arial" w:cs="Arial"/>
          <w:color w:val="000000"/>
          <w:sz w:val="20"/>
          <w:szCs w:val="20"/>
        </w:rPr>
        <w:t xml:space="preserve">2017 </w:t>
      </w:r>
      <w:r w:rsidR="009108F6">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{"citationID":"H01Z6juz","properties":{"formattedCitation":"(44)","plainCitation":"(44)","noteIndex":0},"citationItems":[{"id":2201,"uris":["http://zotero.org/users/9309103/items/QTY5TBYH"],"itemData":{"id":2201,"type":"article-journal","abstract":"Abstract. We present a novel approach to derive indirect global\ninformation on the hydroxyl radical (OH), one of the most important\natmospheric oxidants, using state-of-the-art satellite trace gas observations\n(key sinks and sources of OH) and a steady-state approximation (SSA). This\nis a timely study as OH observations are predominantly from spatially sparse\nfield and infrequent aircraft campaigns, so there is a requirement for\nfurther approaches to infer spatial and temporal information on OH and its\ninteractions with important climate (e.g. methane, CH4) and air quality\n(e.g. nitrogen dioxide, NO2) trace gases. Due to the short lifetime of\nOH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1 s), SSAs of varying complexities can be used to model\nits concentration and offer a tool to examine the OH budget in different\nregions of the atmosphere. Here, we use the well-evaluated TOMCAT\nthree-dimensional chemistry transport model to identify atmospheric regions\nwhere different complexities of the SSAs are representative of OH. In the\ncase of a simplified SSA (S-SSA), where we have observations of ozone\n(O3), carbon monoxide (CO), CH4 and water vapour (H2O) from\nthe Infrared Atmospheric Sounding Interferometer (IASI) on board ESA's\nMetOp-A satellite, it is most representative of OH between 600 and 700 hPa\n(though suitable between 400–800 hPa) within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20 %–30 % of\nTOMCAT modelled OH. The same S-SSA is applied to aircraft measurements from\nthe Atmospheric Tomography Mission (ATom) and compares well with the\nobserved OH concentrations within </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26 %, yielding a\ncorrelation of 0.78. We apply the S-SSA to IASI data spanning 2008–2017 to\nexplore the global long-term inter-annual variability of OH. Relative to the\n10-year mean, we find that global annual mean OH anomalies ranged from −3.1 % to +4.7 %, with the largest spread in the tropics between −6.9 % and +7.7 %. Investigation of the individual terms in the S-SSA\nover this time period suggests that O3 and CO were the key drivers of\nvariability in the production and loss of OH. For example, large enhancement\nin the OH sink during the positive 2015/2016 El Niño–Southern Oscillation (ENSO) event was due to large-scale CO emissions from drought-induced wildfires in South East Asia. The\nmethodology described here could be further developed as a constraint on the\ntropospheric OH distribution as additional satellite data become available\nin the future.","container-title":"Atmospheric Chemistry and Physics","DOI":"10.5194/acp-22-10467-2022","ISSN":"1680-7324","issue":"16","journalAbbreviation":"Atmos. Chem. Phys.","language":"en","page":"10467-10488","source":"DOI.org (Crossref)","title":"Investigating the global OH radical distribution using steady-state approximations and satellite data","volume":"22","author":[{"family":"Pimlott","given":"Matilda A."},{"family":"Pope","given":"Richard J."},{"family":"Kerridge","given":"Brian J."},{"family":"Latter","given":"Barry G."},{"family":"Knappett","given":"Diane S."},{"family":"Heard","given":"Dwayne E."},{"family":"Ventress","given":"Lucy J."},{"family":"Siddans","given":"Richard"},{"family":"Feng","given":"Wuhu"},{"family":"Chipperfield","given":"Martyn P."}],"issued":{"date-parts":[["2022",8,17]]}}}],"schema":"https://github.com/citation-style-language/schema/raw/master/csl-citation.json"} </w:instrText>
      </w:r>
      <w:r w:rsidR="009108F6">
        <w:rPr>
          <w:rFonts w:ascii="Arial" w:hAnsi="Arial" w:cs="Arial"/>
          <w:color w:val="000000"/>
          <w:sz w:val="20"/>
          <w:szCs w:val="20"/>
        </w:rPr>
        <w:fldChar w:fldCharType="separate"/>
      </w:r>
      <w:r w:rsidR="00CC64F9" w:rsidRPr="00CC64F9">
        <w:rPr>
          <w:rFonts w:ascii="Arial" w:hAnsi="Arial" w:cs="Arial"/>
          <w:sz w:val="20"/>
        </w:rPr>
        <w:t>(44)</w:t>
      </w:r>
      <w:r w:rsidR="009108F6">
        <w:rPr>
          <w:rFonts w:ascii="Arial" w:hAnsi="Arial" w:cs="Arial"/>
          <w:color w:val="000000"/>
          <w:sz w:val="20"/>
          <w:szCs w:val="20"/>
        </w:rPr>
        <w:fldChar w:fldCharType="end"/>
      </w:r>
      <w:r w:rsidR="009108F6">
        <w:rPr>
          <w:rFonts w:ascii="Arial" w:hAnsi="Arial" w:cs="Arial"/>
          <w:color w:val="000000"/>
          <w:sz w:val="20"/>
          <w:szCs w:val="20"/>
        </w:rPr>
        <w:t xml:space="preserve">. </w:t>
      </w:r>
      <w:bookmarkEnd w:id="4"/>
      <w:r w:rsidRPr="00FE7FE5">
        <w:rPr>
          <w:rFonts w:ascii="Arial" w:hAnsi="Arial" w:cs="Arial"/>
          <w:color w:val="000000"/>
          <w:sz w:val="20"/>
          <w:szCs w:val="20"/>
        </w:rPr>
        <w:t>Here, we build on th</w:t>
      </w:r>
      <w:r w:rsidR="007908FF">
        <w:rPr>
          <w:rFonts w:ascii="Arial" w:hAnsi="Arial" w:cs="Arial"/>
          <w:color w:val="000000"/>
          <w:sz w:val="20"/>
          <w:szCs w:val="20"/>
        </w:rPr>
        <w:t>ese</w:t>
      </w:r>
      <w:r w:rsidRPr="00FE7FE5">
        <w:rPr>
          <w:rFonts w:ascii="Arial" w:hAnsi="Arial" w:cs="Arial"/>
          <w:color w:val="000000"/>
          <w:sz w:val="20"/>
          <w:szCs w:val="20"/>
        </w:rPr>
        <w:t xml:space="preserve"> </w:t>
      </w:r>
      <w:r w:rsidR="00A43716">
        <w:rPr>
          <w:rFonts w:ascii="Arial" w:hAnsi="Arial" w:cs="Arial"/>
          <w:color w:val="000000"/>
          <w:sz w:val="20"/>
          <w:szCs w:val="20"/>
        </w:rPr>
        <w:t>previously identified set</w:t>
      </w:r>
      <w:r w:rsidR="007908FF">
        <w:rPr>
          <w:rFonts w:ascii="Arial" w:hAnsi="Arial" w:cs="Arial"/>
          <w:color w:val="000000"/>
          <w:sz w:val="20"/>
          <w:szCs w:val="20"/>
        </w:rPr>
        <w:t>s</w:t>
      </w:r>
      <w:r w:rsidR="00A43716">
        <w:rPr>
          <w:rFonts w:ascii="Arial" w:hAnsi="Arial" w:cs="Arial"/>
          <w:color w:val="000000"/>
          <w:sz w:val="20"/>
          <w:szCs w:val="20"/>
        </w:rPr>
        <w:t xml:space="preserve"> of</w:t>
      </w:r>
      <w:r w:rsidRPr="00FE7FE5">
        <w:rPr>
          <w:rFonts w:ascii="Arial" w:hAnsi="Arial" w:cs="Arial"/>
          <w:color w:val="000000"/>
          <w:sz w:val="20"/>
          <w:szCs w:val="20"/>
        </w:rPr>
        <w:t xml:space="preserve"> </w:t>
      </w:r>
      <w:r w:rsidR="00C20C8E">
        <w:rPr>
          <w:rFonts w:ascii="Arial" w:hAnsi="Arial" w:cs="Arial"/>
          <w:color w:val="000000"/>
          <w:sz w:val="20"/>
          <w:szCs w:val="20"/>
        </w:rPr>
        <w:t xml:space="preserve">OH </w:t>
      </w:r>
      <w:r w:rsidRPr="00FE7FE5">
        <w:rPr>
          <w:rFonts w:ascii="Arial" w:hAnsi="Arial" w:cs="Arial"/>
          <w:color w:val="000000"/>
          <w:sz w:val="20"/>
          <w:szCs w:val="20"/>
        </w:rPr>
        <w:t>drivers to develop a new proxy from observable quantities</w:t>
      </w:r>
      <w:r w:rsidR="00691911">
        <w:rPr>
          <w:rFonts w:ascii="Arial" w:hAnsi="Arial" w:cs="Arial"/>
          <w:color w:val="000000"/>
          <w:sz w:val="20"/>
          <w:szCs w:val="20"/>
        </w:rPr>
        <w:t xml:space="preserve"> that reflect OH variations over smaller regional scales</w:t>
      </w:r>
      <w:r w:rsidRPr="00FE7FE5">
        <w:rPr>
          <w:rFonts w:ascii="Arial" w:hAnsi="Arial" w:cs="Arial"/>
          <w:color w:val="000000"/>
          <w:sz w:val="20"/>
          <w:szCs w:val="20"/>
        </w:rPr>
        <w:t xml:space="preserve">. We seek the simplest possible </w:t>
      </w:r>
      <w:r w:rsidRPr="00FE7FE5">
        <w:rPr>
          <w:rFonts w:ascii="Arial" w:hAnsi="Arial" w:cs="Arial"/>
          <w:color w:val="000000"/>
          <w:sz w:val="20"/>
          <w:szCs w:val="20"/>
        </w:rPr>
        <w:lastRenderedPageBreak/>
        <w:t xml:space="preserve">formulation that correlates strongly with ATom-measured </w:t>
      </w:r>
      <w:r w:rsidR="00C76531">
        <w:rPr>
          <w:rFonts w:ascii="Arial" w:hAnsi="Arial" w:cs="Arial"/>
          <w:color w:val="000000"/>
          <w:sz w:val="20"/>
          <w:szCs w:val="20"/>
        </w:rPr>
        <w:t>[</w:t>
      </w:r>
      <w:r w:rsidRPr="00FE7FE5">
        <w:rPr>
          <w:rFonts w:ascii="Arial" w:hAnsi="Arial" w:cs="Arial"/>
          <w:color w:val="000000"/>
          <w:sz w:val="20"/>
          <w:szCs w:val="20"/>
        </w:rPr>
        <w:t>OH</w:t>
      </w:r>
      <w:r w:rsidR="00C76531">
        <w:rPr>
          <w:rFonts w:ascii="Arial" w:hAnsi="Arial" w:cs="Arial"/>
          <w:color w:val="000000"/>
          <w:sz w:val="20"/>
          <w:szCs w:val="20"/>
        </w:rPr>
        <w:t>]</w:t>
      </w:r>
      <w:r w:rsidRPr="00FE7FE5">
        <w:rPr>
          <w:rFonts w:ascii="Arial" w:hAnsi="Arial" w:cs="Arial"/>
          <w:color w:val="000000"/>
          <w:sz w:val="20"/>
          <w:szCs w:val="20"/>
        </w:rPr>
        <w:t>, so that 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may also serve as a reduced-form model. </w:t>
      </w:r>
      <w:r w:rsidR="00924BD8">
        <w:rPr>
          <w:rFonts w:ascii="Arial" w:hAnsi="Arial" w:cs="Arial"/>
          <w:color w:val="000000"/>
          <w:sz w:val="20"/>
          <w:szCs w:val="20"/>
        </w:rPr>
        <w:t>The advantage of a reduced-form model is th</w:t>
      </w:r>
      <w:r w:rsidR="00CC7560">
        <w:rPr>
          <w:rFonts w:ascii="Arial" w:hAnsi="Arial" w:cs="Arial"/>
          <w:color w:val="000000"/>
          <w:sz w:val="20"/>
          <w:szCs w:val="20"/>
        </w:rPr>
        <w:t>at it can i</w:t>
      </w:r>
      <w:r w:rsidR="00CC52C6">
        <w:rPr>
          <w:rFonts w:ascii="Arial" w:hAnsi="Arial" w:cs="Arial"/>
          <w:color w:val="000000"/>
          <w:sz w:val="20"/>
          <w:szCs w:val="20"/>
        </w:rPr>
        <w:t>nfer</w:t>
      </w:r>
      <w:r w:rsidR="00CC7560">
        <w:rPr>
          <w:rFonts w:ascii="Arial" w:hAnsi="Arial" w:cs="Arial"/>
          <w:color w:val="000000"/>
          <w:sz w:val="20"/>
          <w:szCs w:val="20"/>
        </w:rPr>
        <w:t xml:space="preserve"> </w:t>
      </w:r>
      <w:r w:rsidR="00924BD8">
        <w:rPr>
          <w:rFonts w:ascii="Arial" w:hAnsi="Arial" w:cs="Arial"/>
          <w:color w:val="000000"/>
          <w:sz w:val="20"/>
          <w:szCs w:val="20"/>
        </w:rPr>
        <w:t xml:space="preserve">the relative importance of specific chemical species or reactions in contributing to variations in observed </w:t>
      </w:r>
      <w:r w:rsidR="00A43716">
        <w:rPr>
          <w:rFonts w:ascii="Arial" w:hAnsi="Arial" w:cs="Arial"/>
          <w:color w:val="000000"/>
          <w:sz w:val="20"/>
          <w:szCs w:val="20"/>
        </w:rPr>
        <w:t>or</w:t>
      </w:r>
      <w:r w:rsidR="00924BD8">
        <w:rPr>
          <w:rFonts w:ascii="Arial" w:hAnsi="Arial" w:cs="Arial"/>
          <w:color w:val="000000"/>
          <w:sz w:val="20"/>
          <w:szCs w:val="20"/>
        </w:rPr>
        <w:t xml:space="preserve"> simulated OH.</w:t>
      </w:r>
    </w:p>
    <w:p w14:paraId="33C87B1F"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178662C8" w14:textId="5A491825" w:rsidR="00FE7FE5" w:rsidRPr="00FE7FE5" w:rsidRDefault="00EC37BB"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Pr>
          <w:rFonts w:ascii="Arial" w:hAnsi="Arial" w:cs="Arial"/>
          <w:color w:val="000000"/>
          <w:sz w:val="20"/>
          <w:szCs w:val="20"/>
        </w:rPr>
        <w:t xml:space="preserve">Locally, </w:t>
      </w:r>
      <w:r w:rsidR="00FE7FE5" w:rsidRPr="00FE7FE5">
        <w:rPr>
          <w:rFonts w:ascii="Arial" w:hAnsi="Arial" w:cs="Arial"/>
          <w:color w:val="000000"/>
          <w:sz w:val="20"/>
          <w:szCs w:val="20"/>
        </w:rPr>
        <w:t xml:space="preserve">[OH] should </w:t>
      </w:r>
      <w:r w:rsidR="007908FF">
        <w:rPr>
          <w:rFonts w:ascii="Arial" w:hAnsi="Arial" w:cs="Arial"/>
          <w:color w:val="000000"/>
          <w:sz w:val="20"/>
          <w:szCs w:val="20"/>
        </w:rPr>
        <w:t xml:space="preserve">be at </w:t>
      </w:r>
      <w:r w:rsidR="00FE7FE5" w:rsidRPr="00FE7FE5">
        <w:rPr>
          <w:rFonts w:ascii="Arial" w:hAnsi="Arial" w:cs="Arial"/>
          <w:color w:val="000000"/>
          <w:sz w:val="20"/>
          <w:szCs w:val="20"/>
        </w:rPr>
        <w:t xml:space="preserve">steady-state (OH production rate = OH loss rate) on timescales that exceed the OH lifetime of ~1–2 sec </w:t>
      </w:r>
      <w:r w:rsidR="00FE7FE5"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{"citationID":"6uieadwE","properties":{"formattedCitation":"(37)","plainCitation":"(37)","noteIndex":0},"citationItems":[{"id":492,"uris":["http://zotero.org/users/9309103/items/3TCE49KL"],"itemData":{"id":492,"type":"article-journal","abstract":"The self-cleaning or oxidation capacity of the atmosphere is principally controlled by hydroxyl (OH) radicals in the troposphere. Hydroxyl has primary (P ) and secondary (S) sources, the former mainly through the photodissociation of ozone, the latter through OH recycling in radical reaction chains. We used the recent Mainz Organics Mechanism (MOM) to advance volatile organic carbon (VOC) chemistry in the general circulation model EMAC (ECHAM/MESSy Atmospheric Chemistry) and show that S is larger than previously assumed. By including emissions of a large number of primary VOC, and accounting for their complete breakdown and intermediate products, MOM is mass-conserving and calculates substantially higher OH reactivity from VOC oxidation compared to predecessor models. Whereas previously P and S were found to be of similar magnitude, the present work indicates that S may be twice as large, mostly due to OH recycling in the free troposphere. Further, we ﬁnd that nighttime OH formation may be signiﬁcant in the polluted subtropical boundary layer in summer. With a mean OH recycling probability of about 67 %, global OH is buffered and not sensitive to perturbations by natural or anthropogenic emission changes. Complementary primary and secondary OH formation mechanisms in pristine and polluted environments in the continental and marine troposphere, connected through long-range transport of O3, can maintain stable global OH levels.","container-title":"Atmospheric Chemistry and Physics","DOI":"10.5194/acp-16-12477-2016","ISSN":"1680-7324","issue":"19","journalAbbreviation":"Atmos. Chem. Phys.","language":"en","page":"12477-12493","source":"DOI.org (Crossref)","title":"Global tropospheric hydroxyl distribution, budget and reactivity","volume":"16","author":[{"family":"Lelieveld","given":"Jos"},{"family":"Gromov","given":"Sergey"},{"family":"Pozzer","given":"Andrea"},{"family":"Taraborrelli","given":"Domenico"}],"issued":{"date-parts":[["2016",10,5]]}}}],"schema":"https://github.com/citation-style-language/schema/raw/master/csl-citation.json"} </w:instrText>
      </w:r>
      <w:r w:rsidR="00FE7FE5" w:rsidRPr="00FE7FE5">
        <w:rPr>
          <w:rFonts w:ascii="Arial" w:hAnsi="Arial" w:cs="Arial"/>
          <w:color w:val="000000"/>
          <w:sz w:val="20"/>
          <w:szCs w:val="20"/>
        </w:rPr>
        <w:fldChar w:fldCharType="separate"/>
      </w:r>
      <w:r w:rsidR="00CC64F9" w:rsidRPr="00CC64F9">
        <w:rPr>
          <w:rFonts w:ascii="Arial" w:hAnsi="Arial" w:cs="Arial"/>
          <w:sz w:val="20"/>
        </w:rPr>
        <w:t>(37)</w:t>
      </w:r>
      <w:r w:rsidR="00FE7FE5" w:rsidRPr="00FE7FE5">
        <w:rPr>
          <w:rFonts w:ascii="Arial" w:hAnsi="Arial" w:cs="Arial"/>
          <w:color w:val="000000"/>
          <w:sz w:val="20"/>
          <w:szCs w:val="20"/>
        </w:rPr>
        <w:fldChar w:fldCharType="end"/>
      </w:r>
      <w:r w:rsidR="00FE7FE5" w:rsidRPr="00FE7FE5">
        <w:rPr>
          <w:rFonts w:ascii="Arial" w:hAnsi="Arial" w:cs="Arial"/>
          <w:color w:val="000000"/>
          <w:sz w:val="20"/>
          <w:szCs w:val="20"/>
        </w:rPr>
        <w:t xml:space="preserve">. </w:t>
      </w:r>
      <w:r w:rsidR="007908FF">
        <w:rPr>
          <w:rFonts w:ascii="Arial" w:hAnsi="Arial" w:cs="Arial"/>
          <w:color w:val="000000"/>
          <w:sz w:val="20"/>
          <w:szCs w:val="20"/>
        </w:rPr>
        <w:t>Over much</w:t>
      </w:r>
      <w:r w:rsidR="007650EB">
        <w:rPr>
          <w:rFonts w:ascii="Arial" w:hAnsi="Arial" w:cs="Arial"/>
          <w:color w:val="000000"/>
          <w:sz w:val="20"/>
          <w:szCs w:val="20"/>
        </w:rPr>
        <w:t xml:space="preserve"> of the troposphere</w:t>
      </w:r>
      <w:r w:rsidR="00FE7FE5" w:rsidRPr="00FE7FE5">
        <w:rPr>
          <w:rFonts w:ascii="Arial" w:hAnsi="Arial" w:cs="Arial"/>
          <w:color w:val="000000"/>
          <w:sz w:val="20"/>
          <w:szCs w:val="20"/>
        </w:rPr>
        <w:t>, OH production is dominated by the reactions between singlet</w:t>
      </w:r>
      <w:r w:rsidR="00CC7560">
        <w:rPr>
          <w:rFonts w:ascii="Arial" w:hAnsi="Arial" w:cs="Arial"/>
          <w:color w:val="000000"/>
          <w:sz w:val="20"/>
          <w:szCs w:val="20"/>
        </w:rPr>
        <w:t xml:space="preserve"> D</w:t>
      </w:r>
      <w:r w:rsidR="00FE7FE5" w:rsidRPr="00FE7FE5">
        <w:rPr>
          <w:rFonts w:ascii="Arial" w:hAnsi="Arial" w:cs="Arial"/>
          <w:color w:val="000000"/>
          <w:sz w:val="20"/>
          <w:szCs w:val="20"/>
        </w:rPr>
        <w:t xml:space="preserve"> atomic oxygen (produced from ozone photolysis) and water vapor (O(</w:t>
      </w:r>
      <w:r w:rsidR="00FE7FE5" w:rsidRPr="00FE7FE5">
        <w:rPr>
          <w:rFonts w:ascii="Arial" w:hAnsi="Arial" w:cs="Arial"/>
          <w:color w:val="000000"/>
          <w:sz w:val="20"/>
          <w:szCs w:val="20"/>
          <w:vertAlign w:val="superscript"/>
        </w:rPr>
        <w:t>1</w:t>
      </w:r>
      <w:r w:rsidR="00FE7FE5" w:rsidRPr="00FE7FE5">
        <w:rPr>
          <w:rFonts w:ascii="Arial" w:hAnsi="Arial" w:cs="Arial"/>
          <w:color w:val="000000"/>
          <w:sz w:val="20"/>
          <w:szCs w:val="20"/>
        </w:rPr>
        <w:t>D) + H</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O) and the hydroperoxyl radical with nitric oxide (HO</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 xml:space="preserve"> + NO), while losses are dominated by carbon monoxide (CO) and, </w:t>
      </w:r>
      <w:r w:rsidR="007650EB">
        <w:rPr>
          <w:rFonts w:ascii="Arial" w:hAnsi="Arial" w:cs="Arial"/>
          <w:color w:val="000000"/>
          <w:sz w:val="20"/>
          <w:szCs w:val="20"/>
        </w:rPr>
        <w:t>secondarily</w:t>
      </w:r>
      <w:r w:rsidR="00FE7FE5" w:rsidRPr="00FE7FE5">
        <w:rPr>
          <w:rFonts w:ascii="Arial" w:hAnsi="Arial" w:cs="Arial"/>
          <w:color w:val="000000"/>
          <w:sz w:val="20"/>
          <w:szCs w:val="20"/>
        </w:rPr>
        <w:t xml:space="preserve">, methane </w:t>
      </w:r>
      <w:r w:rsidR="00FE7FE5" w:rsidRPr="00FE7FE5">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{"citationID":"Abf4D7cH","properties":{"formattedCitation":"(38)","plainCitation":"(38)","noteIndex":0},"citationItems":[{"id":475,"uris":["http://zotero.org/users/9309103/items/INSUM9MZ"],"itemData":{"id":475,"type":"article-journal","container-title":"Journal of Geophysical Research: Atmospheres","DOI":"10.1029/1999JD901006","ISSN":"01480227","issue":"D7","journalAbbreviation":"J. Geophys. Res.","language":"en","page":"8931-8980","source":"DOI.org (Crossref)","title":"Three-dimensional climatological distribution of tropospheric OH: Update and evaluation","title-short":"Three-dimensional climatological distribution of tropospheric OH","volume":"105","author":[{"family":"Spivakovsky","given":"C. M."},{"family":"Logan","given":"J. A."},{"family":"Montzka","given":"S. A."},{"family":"Balkanski","given":"Y. J."},{"family":"Foreman-Fowler","given":"M."},{"family":"Jones","given":"D. B. A."},{"family":"Horowitz","given":"L. W."},{"family":"Fusco","given":"A. C."},{"family":"Brenninkmeijer","given":"C. A. M."},{"family":"Prather","given":"M. J."},{"family":"Wofsy","given":"S. C."},{"family":"McElroy","given":"M. B."}],"issued":{"date-parts":[["2000",4,16]]}}}],"schema":"https://github.com/citation-style-language/schema/raw/master/csl-citation.json"} </w:instrText>
      </w:r>
      <w:r w:rsidR="00FE7FE5" w:rsidRPr="00FE7FE5">
        <w:rPr>
          <w:rFonts w:ascii="Arial" w:hAnsi="Arial" w:cs="Arial"/>
          <w:color w:val="000000"/>
          <w:sz w:val="20"/>
          <w:szCs w:val="20"/>
        </w:rPr>
        <w:fldChar w:fldCharType="separate"/>
      </w:r>
      <w:r w:rsidR="00CC64F9" w:rsidRPr="00CC64F9">
        <w:rPr>
          <w:rFonts w:ascii="Arial" w:hAnsi="Arial" w:cs="Arial"/>
          <w:sz w:val="20"/>
        </w:rPr>
        <w:t>(38)</w:t>
      </w:r>
      <w:r w:rsidR="00FE7FE5" w:rsidRPr="00FE7FE5">
        <w:rPr>
          <w:rFonts w:ascii="Arial" w:hAnsi="Arial" w:cs="Arial"/>
          <w:color w:val="000000"/>
          <w:sz w:val="20"/>
          <w:szCs w:val="20"/>
        </w:rPr>
        <w:fldChar w:fldCharType="end"/>
      </w:r>
      <w:r w:rsidR="00FE7FE5" w:rsidRPr="00FE7FE5">
        <w:rPr>
          <w:rFonts w:ascii="Arial" w:hAnsi="Arial" w:cs="Arial"/>
          <w:color w:val="000000"/>
          <w:sz w:val="20"/>
          <w:szCs w:val="20"/>
        </w:rPr>
        <w:t xml:space="preserve">. We confirm that these two dominant production pathways capture </w:t>
      </w:r>
      <w:r w:rsidR="007650EB">
        <w:rPr>
          <w:rFonts w:ascii="Arial" w:hAnsi="Arial" w:cs="Arial"/>
          <w:color w:val="000000"/>
          <w:sz w:val="20"/>
          <w:szCs w:val="20"/>
        </w:rPr>
        <w:t>spatial</w:t>
      </w:r>
      <w:r w:rsidR="007650EB" w:rsidRPr="00FE7FE5">
        <w:rPr>
          <w:rFonts w:ascii="Arial" w:hAnsi="Arial" w:cs="Arial"/>
          <w:color w:val="000000"/>
          <w:sz w:val="20"/>
          <w:szCs w:val="20"/>
        </w:rPr>
        <w:t xml:space="preserve"> </w:t>
      </w:r>
      <w:r w:rsidR="009E3FDB">
        <w:rPr>
          <w:rFonts w:ascii="Arial" w:hAnsi="Arial" w:cs="Arial"/>
          <w:color w:val="000000"/>
          <w:sz w:val="20"/>
          <w:szCs w:val="20"/>
        </w:rPr>
        <w:t>variation</w:t>
      </w:r>
      <w:r w:rsidR="007650EB">
        <w:rPr>
          <w:rFonts w:ascii="Arial" w:hAnsi="Arial" w:cs="Arial"/>
          <w:color w:val="000000"/>
          <w:sz w:val="20"/>
          <w:szCs w:val="20"/>
        </w:rPr>
        <w:t>s</w:t>
      </w:r>
      <w:r w:rsidR="00FE7FE5" w:rsidRPr="00FE7FE5">
        <w:rPr>
          <w:rFonts w:ascii="Arial" w:hAnsi="Arial" w:cs="Arial"/>
          <w:color w:val="000000"/>
          <w:sz w:val="20"/>
          <w:szCs w:val="20"/>
        </w:rPr>
        <w:t xml:space="preserve"> in OH production </w:t>
      </w:r>
      <w:r w:rsidR="00611E86">
        <w:rPr>
          <w:rFonts w:ascii="Arial" w:hAnsi="Arial" w:cs="Arial"/>
          <w:color w:val="000000"/>
          <w:sz w:val="20"/>
          <w:szCs w:val="20"/>
        </w:rPr>
        <w:t>with the F0AM box model</w:t>
      </w:r>
      <w:r w:rsidR="00FE7FE5" w:rsidRPr="00FE7FE5">
        <w:rPr>
          <w:rFonts w:ascii="Arial" w:hAnsi="Arial" w:cs="Arial"/>
          <w:color w:val="000000"/>
          <w:sz w:val="20"/>
          <w:szCs w:val="20"/>
        </w:rPr>
        <w:t>. In F0AM, the sum of the O(</w:t>
      </w:r>
      <w:r w:rsidR="00FE7FE5" w:rsidRPr="00FE7FE5">
        <w:rPr>
          <w:rFonts w:ascii="Arial" w:hAnsi="Arial" w:cs="Arial"/>
          <w:color w:val="000000"/>
          <w:sz w:val="20"/>
          <w:szCs w:val="20"/>
          <w:vertAlign w:val="superscript"/>
        </w:rPr>
        <w:t>1</w:t>
      </w:r>
      <w:r w:rsidR="00FE7FE5" w:rsidRPr="00FE7FE5">
        <w:rPr>
          <w:rFonts w:ascii="Arial" w:hAnsi="Arial" w:cs="Arial"/>
          <w:color w:val="000000"/>
          <w:sz w:val="20"/>
          <w:szCs w:val="20"/>
        </w:rPr>
        <w:t>D) + H</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O and HO</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 xml:space="preserve"> + NO </w:t>
      </w:r>
      <w:r w:rsidR="00FE7FE5" w:rsidRPr="00B96CFF">
        <w:rPr>
          <w:rFonts w:ascii="Arial" w:hAnsi="Arial" w:cs="Arial"/>
          <w:color w:val="000000"/>
          <w:sz w:val="20"/>
          <w:szCs w:val="20"/>
        </w:rPr>
        <w:t xml:space="preserve">production </w:t>
      </w:r>
      <w:r w:rsidR="00A43716">
        <w:rPr>
          <w:rFonts w:ascii="Arial" w:hAnsi="Arial" w:cs="Arial"/>
          <w:color w:val="000000"/>
          <w:sz w:val="20"/>
          <w:szCs w:val="20"/>
        </w:rPr>
        <w:t>rates</w:t>
      </w:r>
      <w:r w:rsidR="00A43716" w:rsidRPr="00B96CFF">
        <w:rPr>
          <w:rFonts w:ascii="Arial" w:hAnsi="Arial" w:cs="Arial"/>
          <w:color w:val="000000"/>
          <w:sz w:val="20"/>
          <w:szCs w:val="20"/>
        </w:rPr>
        <w:t xml:space="preserve"> </w:t>
      </w:r>
      <w:r w:rsidR="00FE7FE5" w:rsidRPr="00B96CFF">
        <w:rPr>
          <w:rFonts w:ascii="Arial" w:hAnsi="Arial" w:cs="Arial"/>
          <w:color w:val="000000"/>
          <w:sz w:val="20"/>
          <w:szCs w:val="20"/>
        </w:rPr>
        <w:t xml:space="preserve">strongly </w:t>
      </w:r>
      <w:r w:rsidR="00C76531">
        <w:rPr>
          <w:rFonts w:ascii="Arial" w:hAnsi="Arial" w:cs="Arial"/>
          <w:color w:val="000000"/>
          <w:sz w:val="20"/>
          <w:szCs w:val="20"/>
        </w:rPr>
        <w:t>covary</w:t>
      </w:r>
      <w:r w:rsidR="00C76531" w:rsidRPr="007B13CB">
        <w:rPr>
          <w:rFonts w:ascii="Arial" w:hAnsi="Arial" w:cs="Arial"/>
          <w:color w:val="000000"/>
          <w:sz w:val="20"/>
          <w:szCs w:val="20"/>
        </w:rPr>
        <w:t xml:space="preserve"> </w:t>
      </w:r>
      <w:r w:rsidR="00561D7B">
        <w:rPr>
          <w:rFonts w:ascii="Arial" w:hAnsi="Arial" w:cs="Arial"/>
          <w:color w:val="000000"/>
          <w:sz w:val="20"/>
          <w:szCs w:val="20"/>
        </w:rPr>
        <w:t xml:space="preserve">across the full ATom dataset </w:t>
      </w:r>
      <w:r w:rsidR="00FE7FE5" w:rsidRPr="007B13CB">
        <w:rPr>
          <w:rFonts w:ascii="Arial" w:hAnsi="Arial" w:cs="Arial"/>
          <w:color w:val="000000"/>
          <w:sz w:val="20"/>
          <w:szCs w:val="20"/>
        </w:rPr>
        <w:t xml:space="preserve">with </w:t>
      </w:r>
      <w:r w:rsidR="00A43716">
        <w:rPr>
          <w:rFonts w:ascii="Arial" w:hAnsi="Arial" w:cs="Arial"/>
          <w:color w:val="000000"/>
          <w:sz w:val="20"/>
          <w:szCs w:val="20"/>
        </w:rPr>
        <w:t xml:space="preserve">the </w:t>
      </w:r>
      <w:r w:rsidR="00FE7FE5" w:rsidRPr="007B13CB">
        <w:rPr>
          <w:rFonts w:ascii="Arial" w:hAnsi="Arial" w:cs="Arial"/>
          <w:color w:val="000000"/>
          <w:sz w:val="20"/>
          <w:szCs w:val="20"/>
        </w:rPr>
        <w:t xml:space="preserve">total OH production </w:t>
      </w:r>
      <w:r w:rsidR="00A43716">
        <w:rPr>
          <w:rFonts w:ascii="Arial" w:hAnsi="Arial" w:cs="Arial"/>
          <w:color w:val="000000"/>
          <w:sz w:val="20"/>
          <w:szCs w:val="20"/>
        </w:rPr>
        <w:t xml:space="preserve">rate </w:t>
      </w:r>
      <w:r w:rsidR="00FE7FE5" w:rsidRPr="007B13CB">
        <w:rPr>
          <w:rFonts w:ascii="Arial" w:hAnsi="Arial" w:cs="Arial"/>
          <w:color w:val="000000"/>
          <w:sz w:val="20"/>
          <w:szCs w:val="20"/>
        </w:rPr>
        <w:t>(∑P</w:t>
      </w:r>
      <w:r w:rsidR="00FE7FE5" w:rsidRPr="007B13CB">
        <w:rPr>
          <w:rFonts w:ascii="Arial" w:hAnsi="Arial" w:cs="Arial"/>
          <w:i/>
          <w:iCs/>
          <w:color w:val="000000"/>
          <w:sz w:val="20"/>
          <w:szCs w:val="20"/>
          <w:vertAlign w:val="subscript"/>
        </w:rPr>
        <w:t>OH</w:t>
      </w:r>
      <w:r w:rsidR="00CC52C6">
        <w:t xml:space="preserve">; </w:t>
      </w:r>
      <w:r w:rsidR="00CC52C6" w:rsidRPr="007B13CB">
        <w:rPr>
          <w:rFonts w:ascii="Arial" w:hAnsi="Arial" w:cs="Arial"/>
          <w:i/>
          <w:iCs/>
          <w:color w:val="000000"/>
          <w:sz w:val="20"/>
          <w:szCs w:val="20"/>
        </w:rPr>
        <w:t>r</w:t>
      </w:r>
      <w:r w:rsidR="00CC52C6" w:rsidRPr="007B13CB">
        <w:rPr>
          <w:rFonts w:ascii="Arial" w:hAnsi="Arial" w:cs="Arial"/>
          <w:color w:val="000000"/>
          <w:sz w:val="20"/>
          <w:szCs w:val="20"/>
          <w:vertAlign w:val="superscript"/>
        </w:rPr>
        <w:t>2</w:t>
      </w:r>
      <w:r w:rsidR="00CC52C6" w:rsidRPr="007B13CB">
        <w:rPr>
          <w:rFonts w:ascii="Arial" w:hAnsi="Arial" w:cs="Arial"/>
          <w:color w:val="000000"/>
          <w:sz w:val="20"/>
          <w:szCs w:val="20"/>
        </w:rPr>
        <w:t xml:space="preserve"> = 0.98</w:t>
      </w:r>
      <w:r w:rsidR="00FE7FE5" w:rsidRPr="007B13CB">
        <w:rPr>
          <w:rFonts w:ascii="Arial" w:hAnsi="Arial" w:cs="Arial"/>
          <w:color w:val="000000"/>
          <w:sz w:val="20"/>
          <w:szCs w:val="20"/>
        </w:rPr>
        <w:t xml:space="preserve">) and account for </w:t>
      </w:r>
      <w:r w:rsidR="00FE7FE5" w:rsidRPr="00F47570">
        <w:rPr>
          <w:rFonts w:ascii="Arial" w:hAnsi="Arial" w:cs="Arial"/>
          <w:color w:val="000000"/>
          <w:sz w:val="20"/>
          <w:szCs w:val="20"/>
        </w:rPr>
        <w:t>6</w:t>
      </w:r>
      <w:r w:rsidR="00B96CFF" w:rsidRPr="00F47570">
        <w:rPr>
          <w:rFonts w:ascii="Arial" w:hAnsi="Arial" w:cs="Arial"/>
          <w:color w:val="000000"/>
          <w:sz w:val="20"/>
          <w:szCs w:val="20"/>
        </w:rPr>
        <w:t>0</w:t>
      </w:r>
      <w:r w:rsidR="00FE7FE5" w:rsidRPr="00F47570">
        <w:rPr>
          <w:rFonts w:ascii="Arial" w:hAnsi="Arial" w:cs="Arial"/>
          <w:color w:val="000000"/>
          <w:sz w:val="20"/>
          <w:szCs w:val="20"/>
        </w:rPr>
        <w:t>%</w:t>
      </w:r>
      <w:r w:rsidR="00FE7FE5" w:rsidRPr="007B13CB">
        <w:rPr>
          <w:rFonts w:ascii="Arial" w:hAnsi="Arial" w:cs="Arial"/>
          <w:color w:val="000000"/>
          <w:sz w:val="20"/>
          <w:szCs w:val="20"/>
        </w:rPr>
        <w:t xml:space="preserve"> of </w:t>
      </w:r>
      <w:r w:rsidR="00A77A87" w:rsidRPr="007B13CB">
        <w:rPr>
          <w:rFonts w:ascii="Arial" w:hAnsi="Arial" w:cs="Arial"/>
          <w:color w:val="000000"/>
          <w:sz w:val="20"/>
          <w:szCs w:val="20"/>
        </w:rPr>
        <w:t>∑P</w:t>
      </w:r>
      <w:r w:rsidR="00A77A87" w:rsidRPr="007B13CB">
        <w:rPr>
          <w:rFonts w:ascii="Arial" w:hAnsi="Arial" w:cs="Arial"/>
          <w:i/>
          <w:iCs/>
          <w:color w:val="000000"/>
          <w:sz w:val="20"/>
          <w:szCs w:val="20"/>
          <w:vertAlign w:val="subscript"/>
        </w:rPr>
        <w:t>OH</w:t>
      </w:r>
      <w:r w:rsidR="00A77A87">
        <w:rPr>
          <w:rFonts w:ascii="Arial" w:hAnsi="Arial" w:cs="Arial"/>
          <w:color w:val="000000"/>
          <w:sz w:val="20"/>
          <w:szCs w:val="20"/>
        </w:rPr>
        <w:t xml:space="preserve"> </w:t>
      </w:r>
      <w:r w:rsidR="00836024">
        <w:rPr>
          <w:rFonts w:ascii="Arial" w:hAnsi="Arial" w:cs="Arial"/>
          <w:color w:val="000000"/>
          <w:sz w:val="20"/>
          <w:szCs w:val="20"/>
        </w:rPr>
        <w:t xml:space="preserve">(related to the </w:t>
      </w:r>
      <w:r w:rsidR="00CC52C6">
        <w:rPr>
          <w:rFonts w:ascii="Arial" w:hAnsi="Arial" w:cs="Arial"/>
          <w:color w:val="000000"/>
          <w:sz w:val="20"/>
          <w:szCs w:val="20"/>
        </w:rPr>
        <w:t xml:space="preserve">slope of the regression between the </w:t>
      </w:r>
      <w:r w:rsidR="00836024">
        <w:rPr>
          <w:rFonts w:ascii="Arial" w:hAnsi="Arial" w:cs="Arial"/>
          <w:color w:val="000000"/>
          <w:sz w:val="20"/>
          <w:szCs w:val="20"/>
        </w:rPr>
        <w:t>proxy production</w:t>
      </w:r>
      <w:r w:rsidR="00CC52C6">
        <w:rPr>
          <w:rFonts w:ascii="Arial" w:hAnsi="Arial" w:cs="Arial"/>
          <w:color w:val="000000"/>
          <w:sz w:val="20"/>
          <w:szCs w:val="20"/>
        </w:rPr>
        <w:t xml:space="preserve"> rates and </w:t>
      </w:r>
      <w:r w:rsidR="00836024" w:rsidRPr="007B13CB">
        <w:rPr>
          <w:rFonts w:ascii="Arial" w:hAnsi="Arial" w:cs="Arial"/>
          <w:color w:val="000000"/>
          <w:sz w:val="20"/>
          <w:szCs w:val="20"/>
        </w:rPr>
        <w:t>∑P</w:t>
      </w:r>
      <w:r w:rsidR="00836024" w:rsidRPr="007B13CB">
        <w:rPr>
          <w:rFonts w:ascii="Arial" w:hAnsi="Arial" w:cs="Arial"/>
          <w:i/>
          <w:iCs/>
          <w:color w:val="000000"/>
          <w:sz w:val="20"/>
          <w:szCs w:val="20"/>
          <w:vertAlign w:val="subscript"/>
        </w:rPr>
        <w:t>OH</w:t>
      </w:r>
      <w:r w:rsidR="00836024">
        <w:rPr>
          <w:rFonts w:ascii="Arial" w:hAnsi="Arial" w:cs="Arial"/>
          <w:color w:val="000000"/>
          <w:sz w:val="20"/>
          <w:szCs w:val="20"/>
        </w:rPr>
        <w:t xml:space="preserve"> regression slope; m = 0.75)</w:t>
      </w:r>
      <w:r w:rsidR="00FE7FE5" w:rsidRPr="007B13CB">
        <w:rPr>
          <w:rFonts w:ascii="Arial" w:hAnsi="Arial" w:cs="Arial"/>
          <w:color w:val="000000"/>
          <w:sz w:val="20"/>
          <w:szCs w:val="20"/>
        </w:rPr>
        <w:t xml:space="preserve">. </w:t>
      </w:r>
      <w:r w:rsidR="00A77A87">
        <w:rPr>
          <w:rFonts w:ascii="Arial" w:hAnsi="Arial" w:cs="Arial"/>
          <w:color w:val="000000"/>
          <w:sz w:val="20"/>
          <w:szCs w:val="20"/>
        </w:rPr>
        <w:t xml:space="preserve">The tight fit between OH and the sum of the two largest production terms, even though these terms </w:t>
      </w:r>
      <w:r w:rsidR="00C76531">
        <w:rPr>
          <w:rFonts w:ascii="Arial" w:hAnsi="Arial" w:cs="Arial"/>
          <w:color w:val="000000"/>
          <w:sz w:val="20"/>
          <w:szCs w:val="20"/>
        </w:rPr>
        <w:t xml:space="preserve">cumulatively </w:t>
      </w:r>
      <w:r w:rsidR="00A77A87">
        <w:rPr>
          <w:rFonts w:ascii="Arial" w:hAnsi="Arial" w:cs="Arial"/>
          <w:color w:val="000000"/>
          <w:sz w:val="20"/>
          <w:szCs w:val="20"/>
        </w:rPr>
        <w:t xml:space="preserve">comprise only 60% of </w:t>
      </w:r>
      <w:r w:rsidR="00A77A87" w:rsidRPr="00FE7FE5">
        <w:rPr>
          <w:rFonts w:ascii="Arial" w:hAnsi="Arial" w:cs="Arial"/>
          <w:color w:val="000000"/>
          <w:sz w:val="20"/>
          <w:szCs w:val="20"/>
        </w:rPr>
        <w:t>∑P</w:t>
      </w:r>
      <w:r w:rsidR="00A77A87" w:rsidRPr="00FE7FE5">
        <w:rPr>
          <w:rFonts w:ascii="Arial" w:hAnsi="Arial" w:cs="Arial"/>
          <w:i/>
          <w:iCs/>
          <w:color w:val="000000"/>
          <w:sz w:val="20"/>
          <w:szCs w:val="20"/>
          <w:vertAlign w:val="subscript"/>
        </w:rPr>
        <w:t>OH</w:t>
      </w:r>
      <w:r w:rsidR="00A77A87">
        <w:rPr>
          <w:rFonts w:ascii="Arial" w:hAnsi="Arial" w:cs="Arial"/>
          <w:color w:val="000000"/>
          <w:sz w:val="20"/>
          <w:szCs w:val="20"/>
        </w:rPr>
        <w:t>, implies that O(</w:t>
      </w:r>
      <w:r w:rsidR="00A77A87" w:rsidRPr="00F47570">
        <w:rPr>
          <w:rFonts w:ascii="Arial" w:hAnsi="Arial" w:cs="Arial"/>
          <w:color w:val="000000"/>
          <w:sz w:val="20"/>
          <w:szCs w:val="20"/>
          <w:vertAlign w:val="superscript"/>
        </w:rPr>
        <w:t>1</w:t>
      </w:r>
      <w:r w:rsidR="00A77A87">
        <w:rPr>
          <w:rFonts w:ascii="Arial" w:hAnsi="Arial" w:cs="Arial"/>
          <w:color w:val="000000"/>
          <w:sz w:val="20"/>
          <w:szCs w:val="20"/>
        </w:rPr>
        <w:t>D) + H</w:t>
      </w:r>
      <w:r w:rsidR="00A77A87" w:rsidRPr="00F47570">
        <w:rPr>
          <w:rFonts w:ascii="Arial" w:hAnsi="Arial" w:cs="Arial"/>
          <w:color w:val="000000"/>
          <w:sz w:val="20"/>
          <w:szCs w:val="20"/>
          <w:vertAlign w:val="subscript"/>
        </w:rPr>
        <w:t>2</w:t>
      </w:r>
      <w:r w:rsidR="00A77A87">
        <w:rPr>
          <w:rFonts w:ascii="Arial" w:hAnsi="Arial" w:cs="Arial"/>
          <w:color w:val="000000"/>
          <w:sz w:val="20"/>
          <w:szCs w:val="20"/>
        </w:rPr>
        <w:t>O and HO</w:t>
      </w:r>
      <w:r w:rsidR="00A77A87" w:rsidRPr="00F47570">
        <w:rPr>
          <w:rFonts w:ascii="Arial" w:hAnsi="Arial" w:cs="Arial"/>
          <w:color w:val="000000"/>
          <w:sz w:val="20"/>
          <w:szCs w:val="20"/>
          <w:vertAlign w:val="subscript"/>
        </w:rPr>
        <w:t>2</w:t>
      </w:r>
      <w:r w:rsidR="00A77A87">
        <w:rPr>
          <w:rFonts w:ascii="Arial" w:hAnsi="Arial" w:cs="Arial"/>
          <w:color w:val="000000"/>
          <w:sz w:val="20"/>
          <w:szCs w:val="20"/>
        </w:rPr>
        <w:t xml:space="preserve"> + NO covary with other terms that contribute to </w:t>
      </w:r>
      <w:r w:rsidR="00A77A87" w:rsidRPr="00FE7FE5">
        <w:rPr>
          <w:rFonts w:ascii="Arial" w:hAnsi="Arial" w:cs="Arial"/>
          <w:color w:val="000000"/>
          <w:sz w:val="20"/>
          <w:szCs w:val="20"/>
        </w:rPr>
        <w:t>∑P</w:t>
      </w:r>
      <w:r w:rsidR="00A77A87" w:rsidRPr="00FE7FE5">
        <w:rPr>
          <w:rFonts w:ascii="Arial" w:hAnsi="Arial" w:cs="Arial"/>
          <w:i/>
          <w:iCs/>
          <w:color w:val="000000"/>
          <w:sz w:val="20"/>
          <w:szCs w:val="20"/>
          <w:vertAlign w:val="subscript"/>
        </w:rPr>
        <w:t>OH</w:t>
      </w:r>
      <w:r w:rsidR="00A77A87">
        <w:rPr>
          <w:rFonts w:ascii="Arial" w:hAnsi="Arial" w:cs="Arial"/>
          <w:color w:val="000000"/>
          <w:sz w:val="20"/>
          <w:szCs w:val="20"/>
        </w:rPr>
        <w:t xml:space="preserve">. </w:t>
      </w:r>
      <w:r w:rsidR="00DD39C7">
        <w:rPr>
          <w:rFonts w:ascii="Arial" w:hAnsi="Arial" w:cs="Arial"/>
          <w:color w:val="000000"/>
          <w:sz w:val="20"/>
          <w:szCs w:val="20"/>
        </w:rPr>
        <w:t xml:space="preserve">We show example correlated reactions included in F0AM in Table S1. </w:t>
      </w:r>
      <w:r w:rsidR="00DD39C7" w:rsidRPr="007B13CB">
        <w:rPr>
          <w:rFonts w:ascii="Arial" w:hAnsi="Arial" w:cs="Arial"/>
          <w:color w:val="000000"/>
          <w:sz w:val="20"/>
          <w:szCs w:val="20"/>
        </w:rPr>
        <w:t>The</w:t>
      </w:r>
      <w:r w:rsidR="00DD39C7">
        <w:rPr>
          <w:rFonts w:ascii="Arial" w:hAnsi="Arial" w:cs="Arial"/>
          <w:color w:val="000000"/>
          <w:sz w:val="20"/>
          <w:szCs w:val="20"/>
        </w:rPr>
        <w:t xml:space="preserve"> O(</w:t>
      </w:r>
      <w:r w:rsidR="00DD39C7" w:rsidRPr="001C08EE">
        <w:rPr>
          <w:rFonts w:ascii="Arial" w:hAnsi="Arial" w:cs="Arial"/>
          <w:color w:val="000000"/>
          <w:sz w:val="20"/>
          <w:szCs w:val="20"/>
          <w:vertAlign w:val="superscript"/>
        </w:rPr>
        <w:t>1</w:t>
      </w:r>
      <w:r w:rsidR="00DD39C7">
        <w:rPr>
          <w:rFonts w:ascii="Arial" w:hAnsi="Arial" w:cs="Arial"/>
          <w:color w:val="000000"/>
          <w:sz w:val="20"/>
          <w:szCs w:val="20"/>
        </w:rPr>
        <w:t>D) + H</w:t>
      </w:r>
      <w:r w:rsidR="00DD39C7" w:rsidRPr="001C08EE">
        <w:rPr>
          <w:rFonts w:ascii="Arial" w:hAnsi="Arial" w:cs="Arial"/>
          <w:color w:val="000000"/>
          <w:sz w:val="20"/>
          <w:szCs w:val="20"/>
          <w:vertAlign w:val="subscript"/>
        </w:rPr>
        <w:t>2</w:t>
      </w:r>
      <w:r w:rsidR="00DD39C7">
        <w:rPr>
          <w:rFonts w:ascii="Arial" w:hAnsi="Arial" w:cs="Arial"/>
          <w:color w:val="000000"/>
          <w:sz w:val="20"/>
          <w:szCs w:val="20"/>
        </w:rPr>
        <w:t>O and HO</w:t>
      </w:r>
      <w:r w:rsidR="00DD39C7" w:rsidRPr="001C08EE">
        <w:rPr>
          <w:rFonts w:ascii="Arial" w:hAnsi="Arial" w:cs="Arial"/>
          <w:color w:val="000000"/>
          <w:sz w:val="20"/>
          <w:szCs w:val="20"/>
          <w:vertAlign w:val="subscript"/>
        </w:rPr>
        <w:t>2</w:t>
      </w:r>
      <w:r w:rsidR="00DD39C7">
        <w:rPr>
          <w:rFonts w:ascii="Arial" w:hAnsi="Arial" w:cs="Arial"/>
          <w:color w:val="000000"/>
          <w:sz w:val="20"/>
          <w:szCs w:val="20"/>
        </w:rPr>
        <w:t xml:space="preserve"> + NO</w:t>
      </w:r>
      <w:r w:rsidR="00DD39C7" w:rsidRPr="007B13CB">
        <w:rPr>
          <w:rFonts w:ascii="Arial" w:hAnsi="Arial" w:cs="Arial"/>
          <w:color w:val="000000"/>
          <w:sz w:val="20"/>
          <w:szCs w:val="20"/>
        </w:rPr>
        <w:t xml:space="preserve"> </w:t>
      </w:r>
      <w:r w:rsidR="00FE7FE5" w:rsidRPr="007B13CB">
        <w:rPr>
          <w:rFonts w:ascii="Arial" w:hAnsi="Arial" w:cs="Arial"/>
          <w:color w:val="000000"/>
          <w:sz w:val="20"/>
          <w:szCs w:val="20"/>
        </w:rPr>
        <w:t>pathways, plus the HO</w:t>
      </w:r>
      <w:r w:rsidR="00FE7FE5" w:rsidRPr="007B13CB">
        <w:rPr>
          <w:rFonts w:ascii="Arial" w:hAnsi="Arial" w:cs="Arial"/>
          <w:color w:val="000000"/>
          <w:sz w:val="20"/>
          <w:szCs w:val="20"/>
          <w:vertAlign w:val="subscript"/>
        </w:rPr>
        <w:t>2</w:t>
      </w:r>
      <w:r w:rsidR="00FE7FE5" w:rsidRPr="00ED2E29">
        <w:rPr>
          <w:rFonts w:ascii="Arial" w:hAnsi="Arial" w:cs="Arial"/>
          <w:color w:val="000000"/>
          <w:sz w:val="20"/>
          <w:szCs w:val="20"/>
        </w:rPr>
        <w:t xml:space="preserve"> + O</w:t>
      </w:r>
      <w:r w:rsidR="00FE7FE5" w:rsidRPr="00ED2E29">
        <w:rPr>
          <w:rFonts w:ascii="Arial" w:hAnsi="Arial" w:cs="Arial"/>
          <w:color w:val="000000"/>
          <w:sz w:val="20"/>
          <w:szCs w:val="20"/>
          <w:vertAlign w:val="subscript"/>
        </w:rPr>
        <w:t>3</w:t>
      </w:r>
      <w:r w:rsidR="00FE7FE5" w:rsidRPr="005C2F9F">
        <w:rPr>
          <w:rFonts w:ascii="Arial" w:hAnsi="Arial" w:cs="Arial"/>
          <w:color w:val="000000"/>
          <w:sz w:val="20"/>
          <w:szCs w:val="20"/>
        </w:rPr>
        <w:t xml:space="preserve"> reaction and the </w:t>
      </w:r>
      <w:r w:rsidR="00FE7FE5" w:rsidRPr="00C87FAC">
        <w:rPr>
          <w:rFonts w:ascii="Arial" w:hAnsi="Arial" w:cs="Arial"/>
          <w:color w:val="000000"/>
          <w:sz w:val="20"/>
          <w:szCs w:val="20"/>
        </w:rPr>
        <w:t>photolysis of hydrogen peroxide (H</w:t>
      </w:r>
      <w:r w:rsidR="00FE7FE5" w:rsidRPr="00C87FAC">
        <w:rPr>
          <w:rFonts w:ascii="Arial" w:hAnsi="Arial" w:cs="Arial"/>
          <w:color w:val="000000"/>
          <w:sz w:val="20"/>
          <w:szCs w:val="20"/>
          <w:vertAlign w:val="subscript"/>
        </w:rPr>
        <w:t>2</w:t>
      </w:r>
      <w:r w:rsidR="00FE7FE5" w:rsidRPr="00E15AA0">
        <w:rPr>
          <w:rFonts w:ascii="Arial" w:hAnsi="Arial" w:cs="Arial"/>
          <w:color w:val="000000"/>
          <w:sz w:val="20"/>
          <w:szCs w:val="20"/>
        </w:rPr>
        <w:t>O</w:t>
      </w:r>
      <w:r w:rsidR="00FE7FE5" w:rsidRPr="00E15AA0">
        <w:rPr>
          <w:rFonts w:ascii="Arial" w:hAnsi="Arial" w:cs="Arial"/>
          <w:color w:val="000000"/>
          <w:sz w:val="20"/>
          <w:szCs w:val="20"/>
          <w:vertAlign w:val="subscript"/>
        </w:rPr>
        <w:t>2</w:t>
      </w:r>
      <w:r w:rsidR="00FE7FE5" w:rsidRPr="000A1915">
        <w:rPr>
          <w:rFonts w:ascii="Arial" w:hAnsi="Arial" w:cs="Arial"/>
          <w:color w:val="000000"/>
          <w:sz w:val="20"/>
          <w:szCs w:val="20"/>
        </w:rPr>
        <w:t>) and methyl hydroperoxide (CH</w:t>
      </w:r>
      <w:r w:rsidR="00FE7FE5" w:rsidRPr="003339F5">
        <w:rPr>
          <w:rFonts w:ascii="Arial" w:hAnsi="Arial" w:cs="Arial"/>
          <w:color w:val="000000"/>
          <w:sz w:val="20"/>
          <w:szCs w:val="20"/>
          <w:vertAlign w:val="subscript"/>
        </w:rPr>
        <w:t>3</w:t>
      </w:r>
      <w:r w:rsidR="00FE7FE5" w:rsidRPr="00ED1221">
        <w:rPr>
          <w:rFonts w:ascii="Arial" w:hAnsi="Arial" w:cs="Arial"/>
          <w:color w:val="000000"/>
          <w:sz w:val="20"/>
          <w:szCs w:val="20"/>
        </w:rPr>
        <w:t xml:space="preserve">OOH) cumulatively represent </w:t>
      </w:r>
      <w:r w:rsidR="00FE7FE5" w:rsidRPr="00F47570">
        <w:rPr>
          <w:rFonts w:ascii="Arial" w:hAnsi="Arial" w:cs="Arial"/>
          <w:color w:val="000000"/>
          <w:sz w:val="20"/>
          <w:szCs w:val="20"/>
        </w:rPr>
        <w:t>9</w:t>
      </w:r>
      <w:r w:rsidR="00B96CFF" w:rsidRPr="00F47570">
        <w:rPr>
          <w:rFonts w:ascii="Arial" w:hAnsi="Arial" w:cs="Arial"/>
          <w:color w:val="000000"/>
          <w:sz w:val="20"/>
          <w:szCs w:val="20"/>
        </w:rPr>
        <w:t>8</w:t>
      </w:r>
      <w:r w:rsidR="00FE7FE5" w:rsidRPr="00F47570">
        <w:rPr>
          <w:rFonts w:ascii="Arial" w:hAnsi="Arial" w:cs="Arial"/>
          <w:color w:val="000000"/>
          <w:sz w:val="20"/>
          <w:szCs w:val="20"/>
        </w:rPr>
        <w:t>%</w:t>
      </w:r>
      <w:r w:rsidR="00FE7FE5" w:rsidRPr="007B13CB">
        <w:rPr>
          <w:rFonts w:ascii="Arial" w:hAnsi="Arial" w:cs="Arial"/>
          <w:color w:val="000000"/>
          <w:sz w:val="20"/>
          <w:szCs w:val="20"/>
        </w:rPr>
        <w:t xml:space="preserve"> of ∑P</w:t>
      </w:r>
      <w:r w:rsidR="00FE7FE5" w:rsidRPr="007B13CB">
        <w:rPr>
          <w:rFonts w:ascii="Arial" w:hAnsi="Arial" w:cs="Arial"/>
          <w:i/>
          <w:iCs/>
          <w:color w:val="000000"/>
          <w:sz w:val="20"/>
          <w:szCs w:val="20"/>
          <w:vertAlign w:val="subscript"/>
        </w:rPr>
        <w:t>OH</w:t>
      </w:r>
      <w:r w:rsidR="00836024">
        <w:rPr>
          <w:rFonts w:ascii="Arial" w:hAnsi="Arial" w:cs="Arial"/>
          <w:color w:val="000000"/>
          <w:sz w:val="20"/>
          <w:szCs w:val="20"/>
        </w:rPr>
        <w:t xml:space="preserve"> (m increases to 0.98)</w:t>
      </w:r>
      <w:r w:rsidR="00FE7FE5" w:rsidRPr="007B13CB">
        <w:rPr>
          <w:rFonts w:ascii="Arial" w:hAnsi="Arial" w:cs="Arial"/>
          <w:color w:val="000000"/>
          <w:sz w:val="20"/>
          <w:szCs w:val="20"/>
        </w:rPr>
        <w:t>, with all other processes contributing &lt;1% to</w:t>
      </w:r>
      <w:r w:rsidR="00FE7FE5" w:rsidRPr="00B96CFF">
        <w:rPr>
          <w:rFonts w:ascii="Arial" w:hAnsi="Arial" w:cs="Arial"/>
          <w:color w:val="000000"/>
          <w:sz w:val="20"/>
          <w:szCs w:val="20"/>
        </w:rPr>
        <w:t xml:space="preserve"> ∑P</w:t>
      </w:r>
      <w:r w:rsidR="00FE7FE5" w:rsidRPr="00B96CFF">
        <w:rPr>
          <w:rFonts w:ascii="Arial" w:hAnsi="Arial" w:cs="Arial"/>
          <w:i/>
          <w:iCs/>
          <w:color w:val="000000"/>
          <w:sz w:val="20"/>
          <w:szCs w:val="20"/>
          <w:vertAlign w:val="subscript"/>
        </w:rPr>
        <w:t>OH</w:t>
      </w:r>
      <w:r w:rsidR="00FE7FE5" w:rsidRPr="00B96CFF">
        <w:rPr>
          <w:rFonts w:ascii="Arial" w:hAnsi="Arial" w:cs="Arial"/>
          <w:color w:val="000000"/>
          <w:sz w:val="20"/>
          <w:szCs w:val="20"/>
        </w:rPr>
        <w:t xml:space="preserve"> individually</w:t>
      </w:r>
      <w:r w:rsidR="00561D7B">
        <w:rPr>
          <w:rFonts w:ascii="Arial" w:hAnsi="Arial" w:cs="Arial"/>
          <w:color w:val="000000"/>
          <w:sz w:val="20"/>
          <w:szCs w:val="20"/>
        </w:rPr>
        <w:t xml:space="preserve">. </w:t>
      </w:r>
      <w:r w:rsidR="00CC7560">
        <w:rPr>
          <w:rFonts w:ascii="Arial" w:hAnsi="Arial" w:cs="Arial"/>
          <w:color w:val="000000"/>
          <w:sz w:val="20"/>
          <w:szCs w:val="20"/>
        </w:rPr>
        <w:t>While i</w:t>
      </w:r>
      <w:r w:rsidR="00FE7FE5" w:rsidRPr="00B96CFF">
        <w:rPr>
          <w:rFonts w:ascii="Arial" w:hAnsi="Arial" w:cs="Arial"/>
          <w:color w:val="000000"/>
          <w:sz w:val="20"/>
          <w:szCs w:val="20"/>
        </w:rPr>
        <w:t>ncluding additional OH production processes beyond the two dominant</w:t>
      </w:r>
      <w:r w:rsidR="00FE7FE5" w:rsidRPr="00FE7FE5">
        <w:rPr>
          <w:rFonts w:ascii="Arial" w:hAnsi="Arial" w:cs="Arial"/>
          <w:color w:val="000000"/>
          <w:sz w:val="20"/>
          <w:szCs w:val="20"/>
        </w:rPr>
        <w:t xml:space="preserve"> pathways </w:t>
      </w:r>
      <w:r w:rsidR="00CC7560">
        <w:rPr>
          <w:rFonts w:ascii="Arial" w:hAnsi="Arial" w:cs="Arial"/>
          <w:color w:val="000000"/>
          <w:sz w:val="20"/>
          <w:szCs w:val="20"/>
        </w:rPr>
        <w:t xml:space="preserve">increases the slope to approach 1, it </w:t>
      </w:r>
      <w:r w:rsidR="00FE7FE5" w:rsidRPr="00FE7FE5">
        <w:rPr>
          <w:rFonts w:ascii="Arial" w:hAnsi="Arial" w:cs="Arial"/>
          <w:color w:val="000000"/>
          <w:sz w:val="20"/>
          <w:szCs w:val="20"/>
        </w:rPr>
        <w:t>has little influence on the fit between the simplified representation of production and ∑P</w:t>
      </w:r>
      <w:r w:rsidR="00FE7FE5" w:rsidRPr="00FE7FE5">
        <w:rPr>
          <w:rFonts w:ascii="Arial" w:hAnsi="Arial" w:cs="Arial"/>
          <w:i/>
          <w:iCs/>
          <w:color w:val="000000"/>
          <w:sz w:val="20"/>
          <w:szCs w:val="20"/>
          <w:vertAlign w:val="subscript"/>
        </w:rPr>
        <w:t>OH</w:t>
      </w:r>
      <w:r w:rsidR="00705A10">
        <w:rPr>
          <w:rFonts w:ascii="Arial" w:hAnsi="Arial" w:cs="Arial"/>
          <w:color w:val="000000"/>
          <w:sz w:val="20"/>
          <w:szCs w:val="20"/>
          <w:vertAlign w:val="subscript"/>
        </w:rPr>
        <w:t xml:space="preserve"> </w:t>
      </w:r>
      <w:r w:rsidR="00705A10" w:rsidRPr="001C08EE">
        <w:rPr>
          <w:rFonts w:ascii="Arial" w:hAnsi="Arial" w:cs="Arial"/>
          <w:color w:val="000000"/>
          <w:sz w:val="20"/>
          <w:szCs w:val="20"/>
        </w:rPr>
        <w:t>(</w:t>
      </w:r>
      <w:r w:rsidR="00705A10" w:rsidRPr="00F47570">
        <w:rPr>
          <w:rFonts w:ascii="Arial" w:hAnsi="Arial" w:cs="Arial"/>
          <w:color w:val="000000"/>
          <w:sz w:val="20"/>
          <w:szCs w:val="20"/>
        </w:rPr>
        <w:t>Δ</w:t>
      </w:r>
      <w:r w:rsidR="00705A10" w:rsidRPr="00F47570">
        <w:rPr>
          <w:rFonts w:ascii="Arial" w:hAnsi="Arial" w:cs="Arial"/>
          <w:i/>
          <w:iCs/>
          <w:color w:val="000000"/>
          <w:sz w:val="20"/>
          <w:szCs w:val="20"/>
        </w:rPr>
        <w:t>r</w:t>
      </w:r>
      <w:r w:rsidR="00705A10" w:rsidRPr="00F47570">
        <w:rPr>
          <w:rFonts w:ascii="Arial" w:hAnsi="Arial" w:cs="Arial"/>
          <w:color w:val="000000"/>
          <w:sz w:val="20"/>
          <w:szCs w:val="20"/>
          <w:vertAlign w:val="superscript"/>
        </w:rPr>
        <w:t>2</w:t>
      </w:r>
      <w:r w:rsidR="00705A10">
        <w:rPr>
          <w:rFonts w:ascii="Arial" w:hAnsi="Arial" w:cs="Arial"/>
          <w:color w:val="000000"/>
          <w:sz w:val="20"/>
          <w:szCs w:val="20"/>
        </w:rPr>
        <w:t xml:space="preserve"> &lt; 0.01)</w:t>
      </w:r>
      <w:r w:rsidR="00FE7FE5" w:rsidRPr="00FE7FE5">
        <w:rPr>
          <w:rFonts w:ascii="Arial" w:hAnsi="Arial" w:cs="Arial"/>
          <w:color w:val="000000"/>
          <w:sz w:val="20"/>
          <w:szCs w:val="20"/>
        </w:rPr>
        <w:t xml:space="preserve">. </w:t>
      </w:r>
      <w:r w:rsidR="009E079E">
        <w:rPr>
          <w:rFonts w:ascii="Arial" w:hAnsi="Arial" w:cs="Arial"/>
          <w:color w:val="000000"/>
          <w:sz w:val="20"/>
          <w:szCs w:val="20"/>
        </w:rPr>
        <w:t>This general pattern holds o</w:t>
      </w:r>
      <w:r w:rsidR="00C606B8">
        <w:rPr>
          <w:rFonts w:ascii="Arial" w:hAnsi="Arial" w:cs="Arial"/>
          <w:color w:val="000000"/>
          <w:sz w:val="20"/>
          <w:szCs w:val="20"/>
        </w:rPr>
        <w:t>n</w:t>
      </w:r>
      <w:r w:rsidR="009E079E">
        <w:rPr>
          <w:rFonts w:ascii="Arial" w:hAnsi="Arial" w:cs="Arial"/>
          <w:color w:val="000000"/>
          <w:sz w:val="20"/>
          <w:szCs w:val="20"/>
        </w:rPr>
        <w:t xml:space="preserve"> smaller scales; the correlation coefficient </w:t>
      </w:r>
      <w:r w:rsidR="00A55381">
        <w:rPr>
          <w:rFonts w:ascii="Arial" w:hAnsi="Arial" w:cs="Arial"/>
          <w:color w:val="000000"/>
          <w:sz w:val="20"/>
          <w:szCs w:val="20"/>
        </w:rPr>
        <w:t>between the sum of the O(</w:t>
      </w:r>
      <w:r w:rsidR="00A55381" w:rsidRPr="009108F6">
        <w:rPr>
          <w:rFonts w:ascii="Arial" w:hAnsi="Arial" w:cs="Arial"/>
          <w:color w:val="000000"/>
          <w:sz w:val="20"/>
          <w:szCs w:val="20"/>
          <w:vertAlign w:val="superscript"/>
        </w:rPr>
        <w:t>1</w:t>
      </w:r>
      <w:r w:rsidR="00A55381">
        <w:rPr>
          <w:rFonts w:ascii="Arial" w:hAnsi="Arial" w:cs="Arial"/>
          <w:color w:val="000000"/>
          <w:sz w:val="20"/>
          <w:szCs w:val="20"/>
        </w:rPr>
        <w:t>D) + H</w:t>
      </w:r>
      <w:r w:rsidR="00A55381" w:rsidRPr="00F47570">
        <w:rPr>
          <w:rFonts w:ascii="Arial" w:hAnsi="Arial" w:cs="Arial"/>
          <w:color w:val="000000"/>
          <w:sz w:val="20"/>
          <w:szCs w:val="20"/>
          <w:vertAlign w:val="subscript"/>
        </w:rPr>
        <w:t>2</w:t>
      </w:r>
      <w:r w:rsidR="00A55381">
        <w:rPr>
          <w:rFonts w:ascii="Arial" w:hAnsi="Arial" w:cs="Arial"/>
          <w:color w:val="000000"/>
          <w:sz w:val="20"/>
          <w:szCs w:val="20"/>
        </w:rPr>
        <w:t>O and HO</w:t>
      </w:r>
      <w:r w:rsidR="00A55381" w:rsidRPr="00F47570">
        <w:rPr>
          <w:rFonts w:ascii="Arial" w:hAnsi="Arial" w:cs="Arial"/>
          <w:color w:val="000000"/>
          <w:sz w:val="20"/>
          <w:szCs w:val="20"/>
          <w:vertAlign w:val="subscript"/>
        </w:rPr>
        <w:t>2</w:t>
      </w:r>
      <w:r w:rsidR="00A55381">
        <w:rPr>
          <w:rFonts w:ascii="Arial" w:hAnsi="Arial" w:cs="Arial"/>
          <w:color w:val="000000"/>
          <w:sz w:val="20"/>
          <w:szCs w:val="20"/>
        </w:rPr>
        <w:t xml:space="preserve"> + NO with </w:t>
      </w:r>
      <w:r w:rsidR="00A55381" w:rsidRPr="00FE7FE5">
        <w:rPr>
          <w:rFonts w:ascii="Arial" w:hAnsi="Arial" w:cs="Arial"/>
          <w:color w:val="000000"/>
          <w:sz w:val="20"/>
          <w:szCs w:val="20"/>
        </w:rPr>
        <w:t>∑P</w:t>
      </w:r>
      <w:r w:rsidR="00A55381" w:rsidRPr="00FE7FE5">
        <w:rPr>
          <w:rFonts w:ascii="Arial" w:hAnsi="Arial" w:cs="Arial"/>
          <w:i/>
          <w:iCs/>
          <w:color w:val="000000"/>
          <w:sz w:val="20"/>
          <w:szCs w:val="20"/>
          <w:vertAlign w:val="subscript"/>
        </w:rPr>
        <w:t>OH</w:t>
      </w:r>
      <w:r w:rsidR="00A55381">
        <w:rPr>
          <w:rFonts w:ascii="Arial" w:hAnsi="Arial" w:cs="Arial"/>
          <w:color w:val="000000"/>
          <w:sz w:val="20"/>
          <w:szCs w:val="20"/>
        </w:rPr>
        <w:t xml:space="preserve"> </w:t>
      </w:r>
      <w:r w:rsidR="009E079E" w:rsidRPr="00A55381">
        <w:rPr>
          <w:rFonts w:ascii="Arial" w:hAnsi="Arial" w:cs="Arial"/>
          <w:color w:val="000000"/>
          <w:sz w:val="20"/>
          <w:szCs w:val="20"/>
        </w:rPr>
        <w:t xml:space="preserve">is </w:t>
      </w:r>
      <w:r w:rsidR="009E079E" w:rsidRPr="00F47570">
        <w:rPr>
          <w:rFonts w:ascii="Arial" w:hAnsi="Arial" w:cs="Arial"/>
          <w:i/>
          <w:iCs/>
          <w:color w:val="000000"/>
          <w:sz w:val="20"/>
          <w:szCs w:val="20"/>
        </w:rPr>
        <w:t>r</w:t>
      </w:r>
      <w:r w:rsidR="009E079E" w:rsidRPr="00F47570">
        <w:rPr>
          <w:rFonts w:ascii="Arial" w:hAnsi="Arial" w:cs="Arial"/>
          <w:color w:val="000000"/>
          <w:sz w:val="20"/>
          <w:szCs w:val="20"/>
          <w:vertAlign w:val="superscript"/>
        </w:rPr>
        <w:t>2</w:t>
      </w:r>
      <w:r w:rsidR="009E079E" w:rsidRPr="00C87FAC">
        <w:rPr>
          <w:rFonts w:ascii="Arial" w:hAnsi="Arial" w:cs="Arial"/>
          <w:color w:val="000000"/>
          <w:sz w:val="20"/>
          <w:szCs w:val="20"/>
        </w:rPr>
        <w:t xml:space="preserve"> </w:t>
      </w:r>
      <w:r w:rsidR="009E079E" w:rsidRPr="00F47570">
        <w:rPr>
          <w:rFonts w:ascii="Arial" w:hAnsi="Arial" w:cs="Arial"/>
          <w:color w:val="000000"/>
          <w:sz w:val="20"/>
          <w:szCs w:val="20"/>
        </w:rPr>
        <w:t>= {</w:t>
      </w:r>
      <w:r w:rsidR="00A55381" w:rsidRPr="00F47570">
        <w:rPr>
          <w:rFonts w:ascii="Arial" w:hAnsi="Arial" w:cs="Arial"/>
          <w:color w:val="000000"/>
          <w:sz w:val="20"/>
          <w:szCs w:val="20"/>
        </w:rPr>
        <w:t>0.97</w:t>
      </w:r>
      <w:r w:rsidR="009E079E" w:rsidRPr="00F47570">
        <w:rPr>
          <w:rFonts w:ascii="Arial" w:hAnsi="Arial" w:cs="Arial"/>
          <w:color w:val="000000"/>
          <w:sz w:val="20"/>
          <w:szCs w:val="20"/>
        </w:rPr>
        <w:t xml:space="preserve">, </w:t>
      </w:r>
      <w:r w:rsidR="00A55381" w:rsidRPr="00F47570">
        <w:rPr>
          <w:rFonts w:ascii="Arial" w:hAnsi="Arial" w:cs="Arial"/>
          <w:color w:val="000000"/>
          <w:sz w:val="20"/>
          <w:szCs w:val="20"/>
        </w:rPr>
        <w:t>0.98</w:t>
      </w:r>
      <w:r w:rsidR="009E079E" w:rsidRPr="00F47570">
        <w:rPr>
          <w:rFonts w:ascii="Arial" w:hAnsi="Arial" w:cs="Arial"/>
          <w:color w:val="000000"/>
          <w:sz w:val="20"/>
          <w:szCs w:val="20"/>
        </w:rPr>
        <w:t>}</w:t>
      </w:r>
      <w:r w:rsidR="009E079E">
        <w:rPr>
          <w:rFonts w:ascii="Arial" w:hAnsi="Arial" w:cs="Arial"/>
          <w:color w:val="000000"/>
          <w:sz w:val="20"/>
          <w:szCs w:val="20"/>
        </w:rPr>
        <w:t xml:space="preserve"> over the Pacific or Atlantic, respectively, and</w:t>
      </w:r>
      <w:r w:rsidR="00ED1221">
        <w:rPr>
          <w:rFonts w:ascii="Arial" w:hAnsi="Arial" w:cs="Arial"/>
          <w:color w:val="000000"/>
          <w:sz w:val="20"/>
          <w:szCs w:val="20"/>
        </w:rPr>
        <w:t xml:space="preserve"> the median </w:t>
      </w:r>
      <w:r w:rsidR="00ED1221">
        <w:rPr>
          <w:rFonts w:ascii="Arial" w:eastAsiaTheme="minorEastAsia" w:hAnsi="Arial" w:cs="Arial"/>
          <w:color w:val="000000"/>
          <w:sz w:val="20"/>
          <w:szCs w:val="20"/>
        </w:rPr>
        <w:t>(</w:t>
      </w:r>
      <m:oMath>
        <m:sSubSup>
          <m:sSubSupPr>
            <m:ctrlPr>
              <w:rPr>
                <w:rFonts w:ascii="Cambria Math" w:hAnsi="Cambria Math" w:cs="Arial"/>
                <w:i/>
                <w:color w:val="000000"/>
                <w:sz w:val="20"/>
                <w:szCs w:val="20"/>
              </w:rPr>
            </m:ctrlPr>
          </m:sSubSupPr>
          <m:e>
            <m:r>
              <w:rPr>
                <w:rFonts w:ascii="Cambria Math" w:hAnsi="Cambria Math" w:cs="Arial"/>
                <w:color w:val="000000"/>
                <w:sz w:val="20"/>
                <w:szCs w:val="20"/>
              </w:rPr>
              <m:t>r</m:t>
            </m:r>
          </m:e>
          <m:sub>
            <m:r>
              <w:rPr>
                <w:rFonts w:ascii="Cambria Math" w:hAnsi="Cambria Math" w:cs="Arial"/>
                <w:color w:val="000000"/>
                <w:sz w:val="20"/>
                <w:szCs w:val="20"/>
              </w:rPr>
              <m:t>Mdn</m:t>
            </m:r>
          </m:sub>
          <m:sup>
            <m:r>
              <w:rPr>
                <w:rFonts w:ascii="Cambria Math" w:hAnsi="Cambria Math" w:cs="Arial"/>
                <w:color w:val="000000"/>
                <w:sz w:val="20"/>
                <w:szCs w:val="20"/>
              </w:rPr>
              <m:t>2</m:t>
            </m:r>
          </m:sup>
        </m:sSubSup>
      </m:oMath>
      <w:r w:rsidR="00ED1221">
        <w:rPr>
          <w:rFonts w:ascii="Arial" w:eastAsiaTheme="minorEastAsia" w:hAnsi="Arial" w:cs="Arial"/>
          <w:color w:val="000000"/>
          <w:sz w:val="20"/>
          <w:szCs w:val="20"/>
        </w:rPr>
        <w:t>)</w:t>
      </w:r>
      <w:r w:rsidR="00ED1221">
        <w:rPr>
          <w:rFonts w:ascii="Arial" w:hAnsi="Arial" w:cs="Arial"/>
          <w:color w:val="000000"/>
          <w:sz w:val="20"/>
          <w:szCs w:val="20"/>
        </w:rPr>
        <w:t xml:space="preserve"> </w:t>
      </w:r>
      <w:r w:rsidR="00834CCF">
        <w:rPr>
          <w:rFonts w:ascii="Arial" w:hAnsi="Arial" w:cs="Arial"/>
          <w:color w:val="000000"/>
          <w:sz w:val="20"/>
          <w:szCs w:val="20"/>
        </w:rPr>
        <w:t xml:space="preserve">is 0.98 </w:t>
      </w:r>
      <w:r w:rsidR="00ED1221">
        <w:rPr>
          <w:rFonts w:ascii="Arial" w:hAnsi="Arial" w:cs="Arial"/>
          <w:color w:val="000000"/>
          <w:sz w:val="20"/>
          <w:szCs w:val="20"/>
        </w:rPr>
        <w:t xml:space="preserve">across </w:t>
      </w:r>
      <w:r w:rsidR="00834CCF">
        <w:rPr>
          <w:rFonts w:ascii="Arial" w:hAnsi="Arial" w:cs="Arial"/>
          <w:color w:val="000000"/>
          <w:sz w:val="20"/>
          <w:szCs w:val="20"/>
        </w:rPr>
        <w:t>smaller regional domain</w:t>
      </w:r>
      <w:r w:rsidR="00A77A87">
        <w:rPr>
          <w:rFonts w:ascii="Arial" w:hAnsi="Arial" w:cs="Arial"/>
          <w:color w:val="000000"/>
          <w:sz w:val="20"/>
          <w:szCs w:val="20"/>
        </w:rPr>
        <w:t>s</w:t>
      </w:r>
      <w:r w:rsidR="00834CCF">
        <w:rPr>
          <w:rFonts w:ascii="Arial" w:hAnsi="Arial" w:cs="Arial"/>
          <w:color w:val="000000"/>
          <w:sz w:val="20"/>
          <w:szCs w:val="20"/>
        </w:rPr>
        <w:t xml:space="preserve"> of</w:t>
      </w:r>
      <w:r w:rsidR="00ED1221">
        <w:rPr>
          <w:rFonts w:ascii="Arial" w:hAnsi="Arial" w:cs="Arial"/>
          <w:color w:val="000000"/>
          <w:sz w:val="20"/>
          <w:szCs w:val="20"/>
        </w:rPr>
        <w:t xml:space="preserve"> 2 km by 20° latitudinal bins</w:t>
      </w:r>
      <w:r w:rsidR="009E079E">
        <w:rPr>
          <w:rFonts w:ascii="Arial" w:hAnsi="Arial" w:cs="Arial"/>
          <w:color w:val="000000"/>
          <w:sz w:val="20"/>
          <w:szCs w:val="20"/>
        </w:rPr>
        <w:t xml:space="preserve"> </w:t>
      </w:r>
      <w:r w:rsidR="00834CCF">
        <w:rPr>
          <w:rFonts w:ascii="Arial" w:hAnsi="Arial" w:cs="Arial"/>
          <w:color w:val="000000"/>
          <w:sz w:val="20"/>
          <w:szCs w:val="20"/>
        </w:rPr>
        <w:t xml:space="preserve">(Methods </w:t>
      </w:r>
      <w:r w:rsidR="00A42EF2">
        <w:rPr>
          <w:rFonts w:ascii="Arial" w:hAnsi="Arial" w:cs="Arial"/>
          <w:color w:val="000000"/>
          <w:sz w:val="20"/>
          <w:szCs w:val="20"/>
        </w:rPr>
        <w:t>8</w:t>
      </w:r>
      <w:r w:rsidR="00834CCF">
        <w:rPr>
          <w:rFonts w:ascii="Arial" w:hAnsi="Arial" w:cs="Arial"/>
          <w:color w:val="000000"/>
          <w:sz w:val="20"/>
          <w:szCs w:val="20"/>
        </w:rPr>
        <w:t>.1.3)</w:t>
      </w:r>
      <w:r w:rsidR="009E079E">
        <w:rPr>
          <w:rFonts w:ascii="Arial" w:hAnsi="Arial" w:cs="Arial"/>
          <w:color w:val="000000"/>
          <w:sz w:val="20"/>
          <w:szCs w:val="20"/>
        </w:rPr>
        <w:t xml:space="preserve">. </w:t>
      </w:r>
      <w:r w:rsidR="00561D7B">
        <w:rPr>
          <w:rFonts w:ascii="Arial" w:hAnsi="Arial" w:cs="Arial"/>
          <w:color w:val="000000"/>
          <w:sz w:val="20"/>
          <w:szCs w:val="20"/>
        </w:rPr>
        <w:t xml:space="preserve">The composition of </w:t>
      </w:r>
      <w:r w:rsidR="00561D7B" w:rsidRPr="007B13CB">
        <w:rPr>
          <w:rFonts w:ascii="Arial" w:hAnsi="Arial" w:cs="Arial"/>
          <w:color w:val="000000"/>
          <w:sz w:val="20"/>
          <w:szCs w:val="20"/>
        </w:rPr>
        <w:t>∑P</w:t>
      </w:r>
      <w:r w:rsidR="00561D7B" w:rsidRPr="007B13CB">
        <w:rPr>
          <w:rFonts w:ascii="Arial" w:hAnsi="Arial" w:cs="Arial"/>
          <w:i/>
          <w:iCs/>
          <w:color w:val="000000"/>
          <w:sz w:val="20"/>
          <w:szCs w:val="20"/>
          <w:vertAlign w:val="subscript"/>
        </w:rPr>
        <w:t>OH</w:t>
      </w:r>
      <w:r w:rsidR="00561D7B">
        <w:rPr>
          <w:rFonts w:ascii="Arial" w:hAnsi="Arial" w:cs="Arial"/>
          <w:color w:val="000000"/>
          <w:sz w:val="20"/>
          <w:szCs w:val="20"/>
        </w:rPr>
        <w:t xml:space="preserve"> also generally holds over smaller scales (Figure S1)</w:t>
      </w:r>
      <w:r w:rsidR="00561D7B" w:rsidRPr="00B96CFF">
        <w:rPr>
          <w:rFonts w:ascii="Arial" w:hAnsi="Arial" w:cs="Arial"/>
          <w:color w:val="000000"/>
          <w:sz w:val="20"/>
          <w:szCs w:val="20"/>
        </w:rPr>
        <w:t xml:space="preserve">. </w:t>
      </w:r>
      <w:r w:rsidR="00FE7FE5" w:rsidRPr="00FE7FE5">
        <w:rPr>
          <w:rFonts w:ascii="Arial" w:hAnsi="Arial" w:cs="Arial"/>
          <w:color w:val="000000"/>
          <w:sz w:val="20"/>
          <w:szCs w:val="20"/>
        </w:rPr>
        <w:t>Thus, we adopt a simplified proxy representation of OH production that includes only the O(</w:t>
      </w:r>
      <w:r w:rsidR="00FE7FE5" w:rsidRPr="00FE7FE5">
        <w:rPr>
          <w:rFonts w:ascii="Arial" w:hAnsi="Arial" w:cs="Arial"/>
          <w:color w:val="000000"/>
          <w:sz w:val="20"/>
          <w:szCs w:val="20"/>
          <w:vertAlign w:val="superscript"/>
        </w:rPr>
        <w:t>1</w:t>
      </w:r>
      <w:r w:rsidR="00FE7FE5" w:rsidRPr="00FE7FE5">
        <w:rPr>
          <w:rFonts w:ascii="Arial" w:hAnsi="Arial" w:cs="Arial"/>
          <w:color w:val="000000"/>
          <w:sz w:val="20"/>
          <w:szCs w:val="20"/>
        </w:rPr>
        <w:t>D) + H</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O and HO</w:t>
      </w:r>
      <w:r w:rsidR="00FE7FE5" w:rsidRPr="00FE7FE5">
        <w:rPr>
          <w:rFonts w:ascii="Arial" w:hAnsi="Arial" w:cs="Arial"/>
          <w:color w:val="000000"/>
          <w:sz w:val="20"/>
          <w:szCs w:val="20"/>
          <w:vertAlign w:val="subscript"/>
        </w:rPr>
        <w:t>2</w:t>
      </w:r>
      <w:r w:rsidR="00FE7FE5" w:rsidRPr="00FE7FE5">
        <w:rPr>
          <w:rFonts w:ascii="Arial" w:hAnsi="Arial" w:cs="Arial"/>
          <w:color w:val="000000"/>
          <w:sz w:val="20"/>
          <w:szCs w:val="20"/>
        </w:rPr>
        <w:t xml:space="preserve"> + NO reactions (Equation </w:t>
      </w:r>
      <w:r w:rsidR="00126272">
        <w:rPr>
          <w:rFonts w:ascii="Arial" w:hAnsi="Arial" w:cs="Arial"/>
          <w:color w:val="000000"/>
          <w:sz w:val="20"/>
          <w:szCs w:val="20"/>
        </w:rPr>
        <w:t>1</w:t>
      </w:r>
      <w:r w:rsidR="00FE7FE5" w:rsidRPr="00FE7FE5">
        <w:rPr>
          <w:rFonts w:ascii="Arial" w:hAnsi="Arial" w:cs="Arial"/>
          <w:color w:val="000000"/>
          <w:sz w:val="20"/>
          <w:szCs w:val="20"/>
        </w:rPr>
        <w:t>).</w:t>
      </w:r>
      <w:r w:rsidR="007D17FB">
        <w:rPr>
          <w:rFonts w:ascii="Arial" w:hAnsi="Arial" w:cs="Arial"/>
          <w:color w:val="000000"/>
          <w:sz w:val="20"/>
          <w:szCs w:val="20"/>
        </w:rPr>
        <w:t xml:space="preserve"> </w:t>
      </w:r>
      <w:bookmarkStart w:id="5" w:name="_Hlk137121972"/>
      <w:r w:rsidR="007D17FB">
        <w:rPr>
          <w:rFonts w:ascii="Arial" w:hAnsi="Arial" w:cs="Arial"/>
          <w:color w:val="000000"/>
          <w:sz w:val="20"/>
          <w:szCs w:val="20"/>
        </w:rPr>
        <w:t>Note that this formulation does not rely on the relatively uncertain NO</w:t>
      </w:r>
      <w:r w:rsidR="007D17FB" w:rsidRPr="00391EE5">
        <w:rPr>
          <w:rFonts w:ascii="Arial" w:hAnsi="Arial" w:cs="Arial"/>
          <w:color w:val="000000"/>
          <w:sz w:val="20"/>
          <w:szCs w:val="20"/>
          <w:vertAlign w:val="subscript"/>
        </w:rPr>
        <w:t>2</w:t>
      </w:r>
      <w:r w:rsidR="007D17FB">
        <w:rPr>
          <w:rFonts w:ascii="Arial" w:hAnsi="Arial" w:cs="Arial"/>
          <w:color w:val="000000"/>
          <w:sz w:val="20"/>
          <w:szCs w:val="20"/>
        </w:rPr>
        <w:t xml:space="preserve"> measurement </w:t>
      </w:r>
      <w:r w:rsidR="007D17FB">
        <w:rPr>
          <w:rFonts w:ascii="Arial" w:hAnsi="Arial" w:cs="Arial"/>
          <w:color w:val="000000"/>
          <w:sz w:val="20"/>
          <w:szCs w:val="20"/>
        </w:rPr>
        <w:fldChar w:fldCharType="begin"/>
      </w:r>
      <w:r w:rsidR="007D17FB">
        <w:rPr>
          <w:rFonts w:ascii="Arial" w:hAnsi="Arial" w:cs="Arial"/>
          <w:color w:val="000000"/>
          <w:sz w:val="20"/>
          <w:szCs w:val="20"/>
        </w:rPr>
        <w:instrText xml:space="preserve"> ADDIN ZOTERO_ITEM CSL_CITATION {"citationID":"CgRmr00q","properties":{"formattedCitation":"(36)","plainCitation":"(36)","noteIndex":0},"citationItems":[{"id":"DwRQ5GGE/75XDi7ql","uris":["http://zotero.org/users/9309103/items/3C7AJ3RY"],"itemData":{"id":"DwRQ5GGE/75XDi7ql","type":"article-journal","abstract":"Abstract. The NASA Atmospheric Tomography (ATom) mission built a\nphotochemical climatology of air parcels based on in situ measurements with\nthe NASA DC-8 aircraft along objectively planned profiling transects through\nthe middle of the Pacific and Atlantic oceans. In this paper we present and\nanalyze a data set of 10 s (2 km) merged and gap-filled observations of the\nkey reactive species driving the chemical budgets of O3 and CH4\n(O3, CH4, CO, H2O, HCHO, H2O2, CH3OOH,\nC2H6, higher alkanes, alkenes, aromatics, NOx, HNO3,\nHNO4, peroxyacetyl nitrate, and other organic nitrates), consisting of\n146 494 distinct air parcels from ATom deployments 1 through 4. Six models\ncalculated the O3 and CH4 photochemical tendencies from this\nmodeling data stream for ATom 1. We find that 80 %–90 % of the\ntotal reactivity lies in the top 50 % of the parcels and 25 %–35 % in the top 10 %, supporting previous model-only studies that\ntropospheric chemistry is driven by a fraction of all the air. Surprisingly,\nthe probability densities of species and reactivities averaged on a model\nscale (100 km) differ only slightly from the 2 km ATom 10 s data, indicating\nthat much of the heterogeneity in tropospheric chemistry can be captured\nwith current global chemistry models. Comparing the ATom reactivities over\nthe tropical oceans with climatological statistics from six global chemistry\nmodels, we find generally good agreement with the reactivity rates for\nO3 and CH4. Models distinctly underestimate O3 production\nbelow 2 km relative to the mid-troposphere, and this can be traced to lower\nNOx levels than observed. Attaching photochemical reactivities to\nmeasurements of chemical species allows for a richer, yet more\nconstrained-to-what-matters, set of metrics for model evaluation. This paper\npresents a corrected version of the paper published under the same authors\nand title (sans “corrected”) as https://doi.org/10.5194/acp-21-13729-2021.","container-title":"Atmospheric Chemistry and Physics","DOI":"10.5194/acp-23-99-2023","ISSN":"1680-7324","issue":"1","journalAbbreviation":"Atmos. Chem. Phys.","language":"en","page":"99-117","source":"DOI.org (Crossref)","title":"Heterogeneity and chemical reactivity of the remote troposphere defined by aircraft measurements – corrected","volume":"23","author":[{"family":"Guo","given":"Hao"},{"family":"Flynn","given":"Clare M."},{"family":"Prather","given":"Michael J."},{"family":"Strode","given":"Sarah A."},{"family":"Steenrod","given":"Stephen D."},{"family":"Emmons","given":"Louisa"},{"family":"Lacey","given":"Forrest"},{"family":"Lamarque","given":"Jean-Francois"},{"family":"Fiore","given":"Arlene M."},{"family":"Correa","given":"Gus"},{"family":"Murray","given":"Lee T."},{"family":"Wolfe","given":"Glenn M."},{"family":"St. Clair","given":"Jason M."},{"family":"Kim","given":"Michelle"},{"family":"Crounse","given":"John"},{"family":"Diskin","given":"Glenn"},{"family":"DiGangi","given":"Joshua"},{"family":"Daube","given":"Bruce C."},{"family":"Commane","given":"Roisin"},{"family":"McKain","given":"Kathryn"},{"family":"Peischl","given":"Jeff"},{"family":"Ryerson","given":"Thomas B."},{"family":"Thompson","given":"Chelsea"},{"family":"Hanisco","given":"Thomas F."},{"family":"Blake","given":"Donald"},{"family":"Blake","given":"Nicola J."},{"family":"Apel","given":"Eric C."},{"family":"Hornbrook","given":"Rebecca S."},{"family":"Elkins","given":"James W."},{"family":"Hintsa","given":"Eric J."},{"family":"Moore","given":"Fred L."},{"family":"Wofsy","given":"Steven C."}],"issued":{"date-parts":[["2023",1,4]]}}}],"schema":"https://github.com/citation-style-language/schema/raw/master/csl-citation.json"} </w:instrText>
      </w:r>
      <w:r w:rsidR="007D17FB">
        <w:rPr>
          <w:rFonts w:ascii="Arial" w:hAnsi="Arial" w:cs="Arial"/>
          <w:color w:val="000000"/>
          <w:sz w:val="20"/>
          <w:szCs w:val="20"/>
        </w:rPr>
        <w:fldChar w:fldCharType="separate"/>
      </w:r>
      <w:r w:rsidR="007D17FB" w:rsidRPr="007D17FB">
        <w:rPr>
          <w:rFonts w:ascii="Arial" w:hAnsi="Arial" w:cs="Arial"/>
          <w:sz w:val="20"/>
        </w:rPr>
        <w:t>(36)</w:t>
      </w:r>
      <w:r w:rsidR="007D17FB">
        <w:rPr>
          <w:rFonts w:ascii="Arial" w:hAnsi="Arial" w:cs="Arial"/>
          <w:color w:val="000000"/>
          <w:sz w:val="20"/>
          <w:szCs w:val="20"/>
        </w:rPr>
        <w:fldChar w:fldCharType="end"/>
      </w:r>
      <w:r w:rsidR="007D17FB">
        <w:rPr>
          <w:rFonts w:ascii="Arial" w:hAnsi="Arial" w:cs="Arial"/>
          <w:color w:val="000000"/>
          <w:sz w:val="20"/>
          <w:szCs w:val="20"/>
        </w:rPr>
        <w:t xml:space="preserve">. </w:t>
      </w:r>
      <w:bookmarkEnd w:id="5"/>
    </w:p>
    <w:p w14:paraId="7319A807"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lang w:val="it-IT"/>
        </w:rPr>
      </w:pPr>
    </w:p>
    <w:p w14:paraId="19885785" w14:textId="703C70A6" w:rsidR="00FE7FE5" w:rsidRP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lang w:val="it-IT"/>
        </w:rPr>
      </w:pPr>
      <w:r w:rsidRPr="00FE7FE5">
        <w:rPr>
          <w:rFonts w:ascii="Arial" w:hAnsi="Arial" w:cs="Arial"/>
          <w:color w:val="000000"/>
          <w:sz w:val="20"/>
          <w:szCs w:val="20"/>
          <w:lang w:val="it-IT"/>
        </w:rPr>
        <w:t>P</w:t>
      </w:r>
      <w:r w:rsidRPr="00FE7FE5">
        <w:rPr>
          <w:rFonts w:ascii="Arial" w:hAnsi="Arial" w:cs="Arial"/>
          <w:i/>
          <w:iCs/>
          <w:color w:val="000000"/>
          <w:sz w:val="20"/>
          <w:szCs w:val="20"/>
          <w:vertAlign w:val="subscript"/>
          <w:lang w:val="it-IT"/>
        </w:rPr>
        <w:t>OH</w:t>
      </w:r>
      <w:r w:rsidRPr="00FE7FE5">
        <w:rPr>
          <w:rFonts w:ascii="Arial" w:hAnsi="Arial" w:cs="Arial"/>
          <w:color w:val="000000"/>
          <w:sz w:val="20"/>
          <w:szCs w:val="20"/>
          <w:lang w:val="it-IT"/>
        </w:rPr>
        <w:t xml:space="preserve"> = </w:t>
      </w:r>
      <m:oMath>
        <m:f>
          <m:fPr>
            <m:ctrlPr>
              <w:rPr>
                <w:rFonts w:ascii="Cambria Math" w:hAnsi="Cambria Math" w:cs="Arial"/>
                <w:i/>
                <w:iCs/>
                <w:color w:val="000000"/>
                <w:sz w:val="20"/>
                <w:szCs w:val="20"/>
              </w:rPr>
            </m:ctrlPr>
          </m:fPr>
          <m:num>
            <m:sSub>
              <m:sSubPr>
                <m:ctrlPr>
                  <w:rPr>
                    <w:rFonts w:ascii="Cambria Math" w:hAnsi="Cambria Math" w:cs="Arial"/>
                    <w:i/>
                    <w:iCs/>
                    <w:color w:val="000000"/>
                    <w:sz w:val="20"/>
                    <w:szCs w:val="20"/>
                  </w:rPr>
                </m:ctrlPr>
              </m:sSubPr>
              <m:e>
                <m:r>
                  <w:rPr>
                    <w:rFonts w:ascii="Cambria Math" w:hAnsi="Cambria Math" w:cs="Arial"/>
                    <w:color w:val="000000"/>
                    <w:sz w:val="20"/>
                    <w:szCs w:val="20"/>
                    <w:lang w:val="it-IT"/>
                  </w:rPr>
                  <m:t>2</m:t>
                </m:r>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iCs/>
                        <w:color w:val="000000"/>
                        <w:sz w:val="20"/>
                        <w:szCs w:val="20"/>
                      </w:rPr>
                    </m:ctrlPr>
                  </m:sSupPr>
                  <m:e>
                    <m:r>
                      <w:rPr>
                        <w:rFonts w:ascii="Cambria Math" w:hAnsi="Cambria Math" w:cs="Arial"/>
                        <w:color w:val="000000"/>
                        <w:sz w:val="20"/>
                        <w:szCs w:val="20"/>
                        <w:lang w:val="it-IT"/>
                      </w:rPr>
                      <m:t>(</m:t>
                    </m:r>
                  </m:e>
                  <m:sup>
                    <m:r>
                      <w:rPr>
                        <w:rFonts w:ascii="Cambria Math" w:hAnsi="Cambria Math" w:cs="Arial"/>
                        <w:color w:val="000000"/>
                        <w:sz w:val="20"/>
                        <w:szCs w:val="20"/>
                        <w:lang w:val="it-IT"/>
                      </w:rPr>
                      <m:t>1</m:t>
                    </m:r>
                  </m:sup>
                </m:sSup>
                <m:r>
                  <w:rPr>
                    <w:rFonts w:ascii="Cambria Math" w:hAnsi="Cambria Math" w:cs="Arial"/>
                    <w:color w:val="000000"/>
                    <w:sz w:val="20"/>
                    <w:szCs w:val="20"/>
                  </w:rPr>
                  <m:t>D</m:t>
                </m:r>
                <m:r>
                  <w:rPr>
                    <w:rFonts w:ascii="Cambria Math" w:hAnsi="Cambria Math" w:cs="Arial"/>
                    <w:color w:val="000000"/>
                    <w:sz w:val="20"/>
                    <w:szCs w:val="20"/>
                    <w:lang w:val="it-IT"/>
                  </w:rPr>
                  <m:t>)</m:t>
                </m:r>
              </m:sub>
            </m:sSub>
            <m:sSub>
              <m:sSubPr>
                <m:ctrlPr>
                  <w:rPr>
                    <w:rFonts w:ascii="Cambria Math" w:hAnsi="Cambria Math" w:cs="Arial"/>
                    <w:i/>
                    <w:iCs/>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O</m:t>
                </m:r>
                <m:sSup>
                  <m:sSupPr>
                    <m:ctrlPr>
                      <w:rPr>
                        <w:rFonts w:ascii="Cambria Math" w:hAnsi="Cambria Math" w:cs="Arial"/>
                        <w:i/>
                        <w:iCs/>
                        <w:color w:val="000000"/>
                        <w:sz w:val="20"/>
                        <w:szCs w:val="20"/>
                      </w:rPr>
                    </m:ctrlPr>
                  </m:sSupPr>
                  <m:e>
                    <m:r>
                      <w:rPr>
                        <w:rFonts w:ascii="Cambria Math" w:hAnsi="Cambria Math" w:cs="Arial"/>
                        <w:color w:val="000000"/>
                        <w:sz w:val="20"/>
                        <w:szCs w:val="20"/>
                        <w:lang w:val="it-IT"/>
                      </w:rPr>
                      <m:t>(</m:t>
                    </m:r>
                  </m:e>
                  <m:sup>
                    <m:r>
                      <w:rPr>
                        <w:rFonts w:ascii="Cambria Math" w:hAnsi="Cambria Math" w:cs="Arial"/>
                        <w:color w:val="000000"/>
                        <w:sz w:val="20"/>
                        <w:szCs w:val="20"/>
                        <w:lang w:val="it-IT"/>
                      </w:rPr>
                      <m:t>1</m:t>
                    </m:r>
                  </m:sup>
                </m:sSup>
                <m:r>
                  <w:rPr>
                    <w:rFonts w:ascii="Cambria Math" w:hAnsi="Cambria Math" w:cs="Arial"/>
                    <w:color w:val="000000"/>
                    <w:sz w:val="20"/>
                    <w:szCs w:val="20"/>
                  </w:rPr>
                  <m:t>D</m:t>
                </m:r>
                <m:r>
                  <w:rPr>
                    <w:rFonts w:ascii="Cambria Math" w:hAnsi="Cambria Math" w:cs="Arial"/>
                    <w:color w:val="000000"/>
                    <w:sz w:val="20"/>
                    <w:szCs w:val="20"/>
                    <w:lang w:val="it-IT"/>
                  </w:rPr>
                  <m:t>)+</m:t>
                </m:r>
                <m:sSub>
                  <m:sSubPr>
                    <m:ctrlPr>
                      <w:rPr>
                        <w:rFonts w:ascii="Cambria Math" w:hAnsi="Cambria Math" w:cs="Arial"/>
                        <w:i/>
                        <w:iCs/>
                        <w:color w:val="000000"/>
                        <w:sz w:val="20"/>
                        <w:szCs w:val="20"/>
                      </w:rPr>
                    </m:ctrlPr>
                  </m:sSubPr>
                  <m:e>
                    <m:r>
                      <w:rPr>
                        <w:rFonts w:ascii="Cambria Math" w:hAnsi="Cambria Math" w:cs="Arial"/>
                        <w:color w:val="000000"/>
                        <w:sz w:val="20"/>
                        <w:szCs w:val="20"/>
                      </w:rPr>
                      <m:t>H</m:t>
                    </m:r>
                  </m:e>
                  <m:sub>
                    <m:r>
                      <w:rPr>
                        <w:rFonts w:ascii="Cambria Math" w:hAnsi="Cambria Math" w:cs="Arial"/>
                        <w:color w:val="000000"/>
                        <w:sz w:val="20"/>
                        <w:szCs w:val="20"/>
                        <w:lang w:val="it-IT"/>
                      </w:rPr>
                      <m:t>2</m:t>
                    </m:r>
                  </m:sub>
                </m:sSub>
                <m:r>
                  <w:rPr>
                    <w:rFonts w:ascii="Cambria Math" w:hAnsi="Cambria Math" w:cs="Arial"/>
                    <w:color w:val="000000"/>
                    <w:sz w:val="20"/>
                    <w:szCs w:val="20"/>
                  </w:rPr>
                  <m:t>O</m:t>
                </m:r>
              </m:sub>
            </m:sSub>
            <m:d>
              <m:dPr>
                <m:begChr m:val="["/>
                <m:endChr m:val="]"/>
                <m:ctrlPr>
                  <w:rPr>
                    <w:rFonts w:ascii="Cambria Math" w:hAnsi="Cambria Math" w:cs="Arial"/>
                    <w:i/>
                    <w:iCs/>
                    <w:color w:val="000000"/>
                    <w:sz w:val="20"/>
                    <w:szCs w:val="20"/>
                  </w:rPr>
                </m:ctrlPr>
              </m:dPr>
              <m:e>
                <m:sSub>
                  <m:sSubPr>
                    <m:ctrlPr>
                      <w:rPr>
                        <w:rFonts w:ascii="Cambria Math" w:hAnsi="Cambria Math" w:cs="Arial"/>
                        <w:i/>
                        <w:iCs/>
                        <w:color w:val="000000"/>
                        <w:sz w:val="20"/>
                        <w:szCs w:val="20"/>
                      </w:rPr>
                    </m:ctrlPr>
                  </m:sSubPr>
                  <m:e>
                    <m:r>
                      <w:rPr>
                        <w:rFonts w:ascii="Cambria Math" w:hAnsi="Cambria Math" w:cs="Arial"/>
                        <w:color w:val="000000"/>
                        <w:sz w:val="20"/>
                        <w:szCs w:val="20"/>
                      </w:rPr>
                      <m:t>O</m:t>
                    </m:r>
                  </m:e>
                  <m:sub>
                    <m:r>
                      <w:rPr>
                        <w:rFonts w:ascii="Cambria Math" w:hAnsi="Cambria Math" w:cs="Arial"/>
                        <w:color w:val="000000"/>
                        <w:sz w:val="20"/>
                        <w:szCs w:val="20"/>
                        <w:lang w:val="it-IT"/>
                      </w:rPr>
                      <m:t>3</m:t>
                    </m:r>
                  </m:sub>
                </m:sSub>
              </m:e>
            </m:d>
            <m:d>
              <m:dPr>
                <m:begChr m:val="["/>
                <m:endChr m:val="]"/>
                <m:ctrlPr>
                  <w:rPr>
                    <w:rFonts w:ascii="Cambria Math" w:hAnsi="Cambria Math" w:cs="Arial"/>
                    <w:i/>
                    <w:iCs/>
                    <w:color w:val="000000"/>
                    <w:sz w:val="20"/>
                    <w:szCs w:val="20"/>
                  </w:rPr>
                </m:ctrlPr>
              </m:dPr>
              <m:e>
                <m:sSub>
                  <m:sSubPr>
                    <m:ctrlPr>
                      <w:rPr>
                        <w:rFonts w:ascii="Cambria Math" w:hAnsi="Cambria Math" w:cs="Arial"/>
                        <w:i/>
                        <w:iCs/>
                        <w:color w:val="000000"/>
                        <w:sz w:val="20"/>
                        <w:szCs w:val="20"/>
                      </w:rPr>
                    </m:ctrlPr>
                  </m:sSubPr>
                  <m:e>
                    <m:r>
                      <w:rPr>
                        <w:rFonts w:ascii="Cambria Math" w:hAnsi="Cambria Math" w:cs="Arial"/>
                        <w:color w:val="000000"/>
                        <w:sz w:val="20"/>
                        <w:szCs w:val="20"/>
                      </w:rPr>
                      <m:t>H</m:t>
                    </m:r>
                  </m:e>
                  <m:sub>
                    <m:r>
                      <w:rPr>
                        <w:rFonts w:ascii="Cambria Math" w:hAnsi="Cambria Math" w:cs="Arial"/>
                        <w:color w:val="000000"/>
                        <w:sz w:val="20"/>
                        <w:szCs w:val="20"/>
                        <w:lang w:val="it-IT"/>
                      </w:rPr>
                      <m:t>2</m:t>
                    </m:r>
                  </m:sub>
                </m:sSub>
                <m:r>
                  <w:rPr>
                    <w:rFonts w:ascii="Cambria Math" w:hAnsi="Cambria Math" w:cs="Arial"/>
                    <w:color w:val="000000"/>
                    <w:sz w:val="20"/>
                    <w:szCs w:val="20"/>
                  </w:rPr>
                  <m:t>O</m:t>
                </m:r>
              </m:e>
            </m:d>
          </m:num>
          <m:den>
            <m:sSub>
              <m:sSubPr>
                <m:ctrlPr>
                  <w:rPr>
                    <w:rFonts w:ascii="Cambria Math" w:hAnsi="Cambria Math" w:cs="Arial"/>
                    <w:i/>
                    <w:iCs/>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O</m:t>
                </m:r>
                <m:sSup>
                  <m:sSupPr>
                    <m:ctrlPr>
                      <w:rPr>
                        <w:rFonts w:ascii="Cambria Math" w:hAnsi="Cambria Math" w:cs="Arial"/>
                        <w:i/>
                        <w:iCs/>
                        <w:color w:val="000000"/>
                        <w:sz w:val="20"/>
                        <w:szCs w:val="20"/>
                      </w:rPr>
                    </m:ctrlPr>
                  </m:sSupPr>
                  <m:e>
                    <m:r>
                      <w:rPr>
                        <w:rFonts w:ascii="Cambria Math" w:hAnsi="Cambria Math" w:cs="Arial"/>
                        <w:color w:val="000000"/>
                        <w:sz w:val="20"/>
                        <w:szCs w:val="20"/>
                        <w:lang w:val="it-IT"/>
                      </w:rPr>
                      <m:t>(</m:t>
                    </m:r>
                  </m:e>
                  <m:sup>
                    <m:r>
                      <w:rPr>
                        <w:rFonts w:ascii="Cambria Math" w:hAnsi="Cambria Math" w:cs="Arial"/>
                        <w:color w:val="000000"/>
                        <w:sz w:val="20"/>
                        <w:szCs w:val="20"/>
                        <w:lang w:val="it-IT"/>
                      </w:rPr>
                      <m:t>1</m:t>
                    </m:r>
                  </m:sup>
                </m:sSup>
                <m:r>
                  <w:rPr>
                    <w:rFonts w:ascii="Cambria Math" w:hAnsi="Cambria Math" w:cs="Arial"/>
                    <w:color w:val="000000"/>
                    <w:sz w:val="20"/>
                    <w:szCs w:val="20"/>
                  </w:rPr>
                  <m:t>D</m:t>
                </m:r>
                <m:r>
                  <w:rPr>
                    <w:rFonts w:ascii="Cambria Math" w:hAnsi="Cambria Math" w:cs="Arial"/>
                    <w:color w:val="000000"/>
                    <w:sz w:val="20"/>
                    <w:szCs w:val="20"/>
                    <w:lang w:val="it-IT"/>
                  </w:rPr>
                  <m:t>)+</m:t>
                </m:r>
                <m:r>
                  <w:rPr>
                    <w:rFonts w:ascii="Cambria Math" w:hAnsi="Cambria Math" w:cs="Arial"/>
                    <w:color w:val="000000"/>
                    <w:sz w:val="20"/>
                    <w:szCs w:val="20"/>
                  </w:rPr>
                  <m:t>M</m:t>
                </m:r>
              </m:sub>
            </m:sSub>
            <m:d>
              <m:dPr>
                <m:begChr m:val="["/>
                <m:endChr m:val="]"/>
                <m:ctrlPr>
                  <w:rPr>
                    <w:rFonts w:ascii="Cambria Math" w:hAnsi="Cambria Math" w:cs="Arial"/>
                    <w:i/>
                    <w:color w:val="000000"/>
                    <w:sz w:val="20"/>
                    <w:szCs w:val="20"/>
                  </w:rPr>
                </m:ctrlPr>
              </m:dPr>
              <m:e>
                <m:r>
                  <w:rPr>
                    <w:rFonts w:ascii="Cambria Math" w:hAnsi="Cambria Math" w:cs="Arial"/>
                    <w:color w:val="000000"/>
                    <w:sz w:val="20"/>
                    <w:szCs w:val="20"/>
                  </w:rPr>
                  <m:t>M</m:t>
                </m:r>
              </m:e>
            </m:d>
            <m:r>
              <w:rPr>
                <w:rFonts w:ascii="Cambria Math" w:hAnsi="Cambria Math" w:cs="Arial"/>
                <w:color w:val="000000"/>
                <w:sz w:val="20"/>
                <w:szCs w:val="20"/>
                <w:lang w:val="it-IT"/>
              </w:rPr>
              <m:t xml:space="preserve"> + </m:t>
            </m:r>
            <m:sSub>
              <m:sSubPr>
                <m:ctrlPr>
                  <w:rPr>
                    <w:rFonts w:ascii="Cambria Math" w:hAnsi="Cambria Math" w:cs="Arial"/>
                    <w:i/>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O</m:t>
                </m:r>
                <m:sSup>
                  <m:sSupPr>
                    <m:ctrlPr>
                      <w:rPr>
                        <w:rFonts w:ascii="Cambria Math" w:hAnsi="Cambria Math" w:cs="Arial"/>
                        <w:i/>
                        <w:color w:val="000000"/>
                        <w:sz w:val="20"/>
                        <w:szCs w:val="20"/>
                      </w:rPr>
                    </m:ctrlPr>
                  </m:sSupPr>
                  <m:e>
                    <m:r>
                      <w:rPr>
                        <w:rFonts w:ascii="Cambria Math" w:hAnsi="Cambria Math" w:cs="Arial"/>
                        <w:color w:val="000000"/>
                        <w:sz w:val="20"/>
                        <w:szCs w:val="20"/>
                        <w:lang w:val="it-IT"/>
                      </w:rPr>
                      <m:t>(</m:t>
                    </m:r>
                  </m:e>
                  <m:sup>
                    <m:r>
                      <w:rPr>
                        <w:rFonts w:ascii="Cambria Math" w:hAnsi="Cambria Math" w:cs="Arial"/>
                        <w:color w:val="000000"/>
                        <w:sz w:val="20"/>
                        <w:szCs w:val="20"/>
                        <w:lang w:val="it-IT"/>
                      </w:rPr>
                      <m:t>1</m:t>
                    </m:r>
                  </m:sup>
                </m:sSup>
                <m:r>
                  <w:rPr>
                    <w:rFonts w:ascii="Cambria Math" w:hAnsi="Cambria Math" w:cs="Arial"/>
                    <w:color w:val="000000"/>
                    <w:sz w:val="20"/>
                    <w:szCs w:val="20"/>
                  </w:rPr>
                  <m:t>D</m:t>
                </m:r>
                <m:r>
                  <w:rPr>
                    <w:rFonts w:ascii="Cambria Math" w:hAnsi="Cambria Math" w:cs="Arial"/>
                    <w:color w:val="000000"/>
                    <w:sz w:val="20"/>
                    <w:szCs w:val="20"/>
                    <w:lang w:val="it-IT"/>
                  </w:rPr>
                  <m:t>)+</m:t>
                </m:r>
                <m:sSub>
                  <m:sSubPr>
                    <m:ctrlPr>
                      <w:rPr>
                        <w:rFonts w:ascii="Cambria Math" w:hAnsi="Cambria Math" w:cs="Arial"/>
                        <w:i/>
                        <w:color w:val="000000"/>
                        <w:sz w:val="20"/>
                        <w:szCs w:val="20"/>
                      </w:rPr>
                    </m:ctrlPr>
                  </m:sSubPr>
                  <m:e>
                    <m:r>
                      <w:rPr>
                        <w:rFonts w:ascii="Cambria Math" w:hAnsi="Cambria Math" w:cs="Arial"/>
                        <w:color w:val="000000"/>
                        <w:sz w:val="20"/>
                        <w:szCs w:val="20"/>
                      </w:rPr>
                      <m:t>H</m:t>
                    </m:r>
                  </m:e>
                  <m:sub>
                    <m:r>
                      <w:rPr>
                        <w:rFonts w:ascii="Cambria Math" w:hAnsi="Cambria Math" w:cs="Arial"/>
                        <w:color w:val="000000"/>
                        <w:sz w:val="20"/>
                        <w:szCs w:val="20"/>
                        <w:lang w:val="it-IT"/>
                      </w:rPr>
                      <m:t>2</m:t>
                    </m:r>
                  </m:sub>
                </m:sSub>
                <m:r>
                  <w:rPr>
                    <w:rFonts w:ascii="Cambria Math" w:hAnsi="Cambria Math" w:cs="Arial"/>
                    <w:color w:val="000000"/>
                    <w:sz w:val="20"/>
                    <w:szCs w:val="20"/>
                  </w:rPr>
                  <m:t>O</m:t>
                </m:r>
              </m:sub>
            </m:sSub>
            <m:r>
              <w:rPr>
                <w:rFonts w:ascii="Cambria Math" w:hAnsi="Cambria Math" w:cs="Arial"/>
                <w:color w:val="000000"/>
                <w:sz w:val="20"/>
                <w:szCs w:val="20"/>
                <w:lang w:val="it-IT"/>
              </w:rPr>
              <m:t>[</m:t>
            </m:r>
            <m:sSub>
              <m:sSubPr>
                <m:ctrlPr>
                  <w:rPr>
                    <w:rFonts w:ascii="Cambria Math" w:hAnsi="Cambria Math" w:cs="Arial"/>
                    <w:i/>
                    <w:color w:val="000000"/>
                    <w:sz w:val="20"/>
                    <w:szCs w:val="20"/>
                  </w:rPr>
                </m:ctrlPr>
              </m:sSubPr>
              <m:e>
                <m:r>
                  <w:rPr>
                    <w:rFonts w:ascii="Cambria Math" w:hAnsi="Cambria Math" w:cs="Arial"/>
                    <w:color w:val="000000"/>
                    <w:sz w:val="20"/>
                    <w:szCs w:val="20"/>
                  </w:rPr>
                  <m:t>H</m:t>
                </m:r>
              </m:e>
              <m:sub>
                <m:r>
                  <w:rPr>
                    <w:rFonts w:ascii="Cambria Math" w:hAnsi="Cambria Math" w:cs="Arial"/>
                    <w:color w:val="000000"/>
                    <w:sz w:val="20"/>
                    <w:szCs w:val="20"/>
                    <w:lang w:val="it-IT"/>
                  </w:rPr>
                  <m:t>2</m:t>
                </m:r>
              </m:sub>
            </m:sSub>
            <m:r>
              <w:rPr>
                <w:rFonts w:ascii="Cambria Math" w:hAnsi="Cambria Math" w:cs="Arial"/>
                <w:color w:val="000000"/>
                <w:sz w:val="20"/>
                <w:szCs w:val="20"/>
              </w:rPr>
              <m:t>O</m:t>
            </m:r>
            <m:r>
              <w:rPr>
                <w:rFonts w:ascii="Cambria Math" w:hAnsi="Cambria Math" w:cs="Arial"/>
                <w:color w:val="000000"/>
                <w:sz w:val="20"/>
                <w:szCs w:val="20"/>
                <w:lang w:val="it-IT"/>
              </w:rPr>
              <m:t>]</m:t>
            </m:r>
          </m:den>
        </m:f>
        <m:r>
          <w:rPr>
            <w:rFonts w:ascii="Cambria Math" w:hAnsi="Cambria Math" w:cs="Arial"/>
            <w:color w:val="000000"/>
            <w:sz w:val="20"/>
            <w:szCs w:val="20"/>
            <w:lang w:val="it-IT"/>
          </w:rPr>
          <m:t> </m:t>
        </m:r>
      </m:oMath>
      <w:r w:rsidRPr="00FE7FE5">
        <w:rPr>
          <w:rFonts w:ascii="Arial" w:hAnsi="Arial" w:cs="Arial"/>
          <w:color w:val="000000"/>
          <w:sz w:val="20"/>
          <w:szCs w:val="20"/>
          <w:lang w:val="it-IT"/>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H</m:t>
            </m:r>
            <m:sSub>
              <m:sSubPr>
                <m:ctrlPr>
                  <w:rPr>
                    <w:rFonts w:ascii="Cambria Math" w:hAnsi="Cambria Math" w:cs="Arial"/>
                    <w:i/>
                    <w:color w:val="000000"/>
                    <w:sz w:val="20"/>
                    <w:szCs w:val="20"/>
                  </w:rPr>
                </m:ctrlPr>
              </m:sSubPr>
              <m:e>
                <m:r>
                  <w:rPr>
                    <w:rFonts w:ascii="Cambria Math" w:hAnsi="Cambria Math" w:cs="Arial"/>
                    <w:color w:val="000000"/>
                    <w:sz w:val="20"/>
                    <w:szCs w:val="20"/>
                  </w:rPr>
                  <m:t>O</m:t>
                </m:r>
              </m:e>
              <m:sub>
                <m:r>
                  <w:rPr>
                    <w:rFonts w:ascii="Cambria Math" w:hAnsi="Cambria Math" w:cs="Arial"/>
                    <w:color w:val="000000"/>
                    <w:sz w:val="20"/>
                    <w:szCs w:val="20"/>
                    <w:lang w:val="it-IT"/>
                  </w:rPr>
                  <m:t>2</m:t>
                </m:r>
              </m:sub>
            </m:sSub>
            <m:r>
              <w:rPr>
                <w:rFonts w:ascii="Cambria Math" w:hAnsi="Cambria Math" w:cs="Arial"/>
                <w:color w:val="000000"/>
                <w:sz w:val="20"/>
                <w:szCs w:val="20"/>
                <w:lang w:val="it-IT"/>
              </w:rPr>
              <m:t>+</m:t>
            </m:r>
            <m:r>
              <w:rPr>
                <w:rFonts w:ascii="Cambria Math" w:hAnsi="Cambria Math" w:cs="Arial"/>
                <w:color w:val="000000"/>
                <w:sz w:val="20"/>
                <w:szCs w:val="20"/>
              </w:rPr>
              <m:t>NO</m:t>
            </m:r>
          </m:sub>
        </m:sSub>
      </m:oMath>
      <w:r w:rsidRPr="00FE7FE5">
        <w:rPr>
          <w:rFonts w:ascii="Arial" w:hAnsi="Arial" w:cs="Arial"/>
          <w:color w:val="000000"/>
          <w:sz w:val="20"/>
          <w:szCs w:val="20"/>
          <w:lang w:val="it-IT"/>
        </w:rPr>
        <w:t>[HO</w:t>
      </w:r>
      <w:r w:rsidRPr="00FE7FE5">
        <w:rPr>
          <w:rFonts w:ascii="Arial" w:hAnsi="Arial" w:cs="Arial"/>
          <w:color w:val="000000"/>
          <w:sz w:val="20"/>
          <w:szCs w:val="20"/>
          <w:vertAlign w:val="subscript"/>
          <w:lang w:val="it-IT"/>
        </w:rPr>
        <w:t>2</w:t>
      </w:r>
      <w:r w:rsidRPr="00FE7FE5">
        <w:rPr>
          <w:rFonts w:ascii="Arial" w:hAnsi="Arial" w:cs="Arial"/>
          <w:color w:val="000000"/>
          <w:sz w:val="20"/>
          <w:szCs w:val="20"/>
          <w:lang w:val="it-IT"/>
        </w:rPr>
        <w:t xml:space="preserve">][NO] </w:t>
      </w:r>
      <w:r w:rsidRPr="00FE7FE5">
        <w:rPr>
          <w:rFonts w:ascii="Arial" w:hAnsi="Arial" w:cs="Arial"/>
          <w:color w:val="000000"/>
          <w:sz w:val="20"/>
          <w:szCs w:val="20"/>
          <w:lang w:val="it-IT"/>
        </w:rPr>
        <w:tab/>
      </w:r>
      <w:r w:rsidRPr="00FE7FE5">
        <w:rPr>
          <w:rFonts w:ascii="Arial" w:hAnsi="Arial" w:cs="Arial"/>
          <w:color w:val="000000"/>
          <w:sz w:val="20"/>
          <w:szCs w:val="20"/>
          <w:lang w:val="it-IT"/>
        </w:rPr>
        <w:tab/>
      </w:r>
      <w:r w:rsidRPr="00FE7FE5">
        <w:rPr>
          <w:rFonts w:ascii="Arial" w:hAnsi="Arial" w:cs="Arial"/>
          <w:color w:val="000000"/>
          <w:sz w:val="20"/>
          <w:szCs w:val="20"/>
          <w:lang w:val="it-IT"/>
        </w:rPr>
        <w:tab/>
      </w:r>
      <w:r w:rsidRPr="00FE7FE5">
        <w:rPr>
          <w:rFonts w:ascii="Arial" w:hAnsi="Arial" w:cs="Arial"/>
          <w:color w:val="000000"/>
          <w:sz w:val="20"/>
          <w:szCs w:val="20"/>
          <w:lang w:val="it-IT"/>
        </w:rPr>
        <w:tab/>
      </w:r>
      <w:r w:rsidRPr="00FE7FE5">
        <w:rPr>
          <w:rFonts w:ascii="Arial" w:hAnsi="Arial" w:cs="Arial"/>
          <w:color w:val="000000"/>
          <w:sz w:val="20"/>
          <w:szCs w:val="20"/>
          <w:lang w:val="it-IT"/>
        </w:rPr>
        <w:tab/>
        <w:t>[</w:t>
      </w:r>
      <w:r w:rsidR="00126272">
        <w:rPr>
          <w:rFonts w:ascii="Arial" w:hAnsi="Arial" w:cs="Arial"/>
          <w:color w:val="000000"/>
          <w:sz w:val="20"/>
          <w:szCs w:val="20"/>
          <w:lang w:val="it-IT"/>
        </w:rPr>
        <w:t>1</w:t>
      </w:r>
      <w:r w:rsidRPr="00FE7FE5">
        <w:rPr>
          <w:rFonts w:ascii="Arial" w:hAnsi="Arial" w:cs="Arial"/>
          <w:color w:val="000000"/>
          <w:sz w:val="20"/>
          <w:szCs w:val="20"/>
          <w:lang w:val="it-IT"/>
        </w:rPr>
        <w:t>]</w:t>
      </w:r>
    </w:p>
    <w:p w14:paraId="29F71AA4"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1DBF83D0" w14:textId="3ADA1F2E" w:rsidR="0069330D"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sidRPr="00FE7FE5">
        <w:rPr>
          <w:rFonts w:ascii="Arial" w:hAnsi="Arial" w:cs="Arial"/>
          <w:color w:val="000000"/>
          <w:sz w:val="20"/>
          <w:szCs w:val="20"/>
        </w:rPr>
        <w:t xml:space="preserve">The OH sink </w:t>
      </w:r>
      <w:r w:rsidR="007650EB">
        <w:rPr>
          <w:rFonts w:ascii="Arial" w:hAnsi="Arial" w:cs="Arial"/>
          <w:color w:val="000000"/>
          <w:sz w:val="20"/>
          <w:szCs w:val="20"/>
        </w:rPr>
        <w:t xml:space="preserve">terms also </w:t>
      </w:r>
      <w:r w:rsidRPr="00FE7FE5">
        <w:rPr>
          <w:rFonts w:ascii="Arial" w:hAnsi="Arial" w:cs="Arial"/>
          <w:color w:val="000000"/>
          <w:sz w:val="20"/>
          <w:szCs w:val="20"/>
        </w:rPr>
        <w:t xml:space="preserve">range </w:t>
      </w:r>
      <w:r w:rsidR="007650EB">
        <w:rPr>
          <w:rFonts w:ascii="Arial" w:hAnsi="Arial" w:cs="Arial"/>
          <w:color w:val="000000"/>
          <w:sz w:val="20"/>
          <w:szCs w:val="20"/>
        </w:rPr>
        <w:t>in</w:t>
      </w:r>
      <w:r w:rsidR="007650EB" w:rsidRPr="00FE7FE5">
        <w:rPr>
          <w:rFonts w:ascii="Arial" w:hAnsi="Arial" w:cs="Arial"/>
          <w:color w:val="000000"/>
          <w:sz w:val="20"/>
          <w:szCs w:val="20"/>
        </w:rPr>
        <w:t xml:space="preserve"> </w:t>
      </w:r>
      <w:r w:rsidRPr="00FE7FE5">
        <w:rPr>
          <w:rFonts w:ascii="Arial" w:hAnsi="Arial" w:cs="Arial"/>
          <w:color w:val="000000"/>
          <w:sz w:val="20"/>
          <w:szCs w:val="20"/>
        </w:rPr>
        <w:t xml:space="preserve">integration timescales. </w:t>
      </w:r>
      <w:r w:rsidR="007650EB">
        <w:rPr>
          <w:rFonts w:ascii="Arial" w:hAnsi="Arial" w:cs="Arial"/>
          <w:color w:val="000000"/>
          <w:sz w:val="20"/>
          <w:szCs w:val="20"/>
        </w:rPr>
        <w:t xml:space="preserve">Within a parcel, </w:t>
      </w:r>
      <w:r w:rsidRPr="00FE7FE5">
        <w:rPr>
          <w:rFonts w:ascii="Arial" w:hAnsi="Arial" w:cs="Arial"/>
          <w:color w:val="000000"/>
          <w:sz w:val="20"/>
          <w:szCs w:val="20"/>
        </w:rPr>
        <w:t xml:space="preserve">OH loss to more reactive chemical species can fluctuate rapidly, on the order of minutes </w:t>
      </w:r>
      <w:r w:rsidR="000519D5">
        <w:rPr>
          <w:rFonts w:ascii="Arial" w:hAnsi="Arial" w:cs="Arial"/>
          <w:color w:val="000000"/>
          <w:sz w:val="20"/>
          <w:szCs w:val="20"/>
        </w:rPr>
        <w:t>(</w:t>
      </w:r>
      <w:r w:rsidR="000519D5" w:rsidRPr="00F47570">
        <w:rPr>
          <w:rFonts w:ascii="Arial" w:hAnsi="Arial" w:cs="Arial"/>
          <w:i/>
          <w:iCs/>
          <w:color w:val="000000"/>
          <w:sz w:val="20"/>
          <w:szCs w:val="20"/>
        </w:rPr>
        <w:t>e.g.</w:t>
      </w:r>
      <w:r w:rsidR="000519D5">
        <w:rPr>
          <w:rFonts w:ascii="Arial" w:hAnsi="Arial" w:cs="Arial"/>
          <w:color w:val="000000"/>
          <w:sz w:val="20"/>
          <w:szCs w:val="20"/>
        </w:rPr>
        <w:t>, OH + HO</w:t>
      </w:r>
      <w:r w:rsidR="000519D5" w:rsidRPr="00F47570">
        <w:rPr>
          <w:rFonts w:ascii="Arial" w:hAnsi="Arial" w:cs="Arial"/>
          <w:color w:val="000000"/>
          <w:sz w:val="20"/>
          <w:szCs w:val="20"/>
          <w:vertAlign w:val="subscript"/>
        </w:rPr>
        <w:t>2</w:t>
      </w:r>
      <w:r w:rsidR="000519D5">
        <w:rPr>
          <w:rFonts w:ascii="Arial" w:hAnsi="Arial" w:cs="Arial"/>
          <w:color w:val="000000"/>
          <w:sz w:val="20"/>
          <w:szCs w:val="20"/>
        </w:rPr>
        <w:t xml:space="preserve">) </w:t>
      </w:r>
      <w:r w:rsidRPr="00FE7FE5">
        <w:rPr>
          <w:rFonts w:ascii="Arial" w:hAnsi="Arial" w:cs="Arial"/>
          <w:color w:val="000000"/>
          <w:sz w:val="20"/>
          <w:szCs w:val="20"/>
        </w:rPr>
        <w:t>to hours (</w:t>
      </w:r>
      <w:r w:rsidRPr="00FE7FE5">
        <w:rPr>
          <w:rFonts w:ascii="Arial" w:hAnsi="Arial" w:cs="Arial"/>
          <w:i/>
          <w:iCs/>
          <w:color w:val="000000"/>
          <w:sz w:val="20"/>
          <w:szCs w:val="20"/>
        </w:rPr>
        <w:t>e.g.</w:t>
      </w:r>
      <w:r w:rsidRPr="00FE7FE5">
        <w:rPr>
          <w:rFonts w:ascii="Arial" w:hAnsi="Arial" w:cs="Arial"/>
          <w:color w:val="000000"/>
          <w:sz w:val="20"/>
          <w:szCs w:val="20"/>
        </w:rPr>
        <w:t xml:space="preserve">, </w:t>
      </w:r>
      <w:r w:rsidR="000519D5">
        <w:rPr>
          <w:rFonts w:ascii="Arial" w:hAnsi="Arial" w:cs="Arial"/>
          <w:color w:val="000000"/>
          <w:sz w:val="20"/>
          <w:szCs w:val="20"/>
        </w:rPr>
        <w:t>OH +</w:t>
      </w:r>
      <w:r w:rsidRPr="00FE7FE5">
        <w:rPr>
          <w:rFonts w:ascii="Arial" w:hAnsi="Arial" w:cs="Arial"/>
          <w:color w:val="000000"/>
          <w:sz w:val="20"/>
          <w:szCs w:val="20"/>
        </w:rPr>
        <w:t xml:space="preserve"> isoprene). </w:t>
      </w:r>
      <w:r w:rsidR="000519D5">
        <w:rPr>
          <w:rFonts w:ascii="Arial" w:hAnsi="Arial" w:cs="Arial"/>
          <w:color w:val="000000"/>
          <w:sz w:val="20"/>
          <w:szCs w:val="20"/>
        </w:rPr>
        <w:t>CO or methane, t</w:t>
      </w:r>
      <w:r w:rsidRPr="00FE7FE5">
        <w:rPr>
          <w:rFonts w:ascii="Arial" w:hAnsi="Arial" w:cs="Arial"/>
          <w:color w:val="000000"/>
          <w:sz w:val="20"/>
          <w:szCs w:val="20"/>
        </w:rPr>
        <w:t xml:space="preserve">he dominant OH sinks over the remote troposphere, </w:t>
      </w:r>
      <w:r w:rsidR="000519D5">
        <w:rPr>
          <w:rFonts w:ascii="Arial" w:hAnsi="Arial" w:cs="Arial"/>
          <w:color w:val="000000"/>
          <w:sz w:val="20"/>
          <w:szCs w:val="20"/>
        </w:rPr>
        <w:t xml:space="preserve">may not vary within a parcel because their lifetimes range </w:t>
      </w:r>
      <w:r w:rsidRPr="00FE7FE5">
        <w:rPr>
          <w:rFonts w:ascii="Arial" w:hAnsi="Arial" w:cs="Arial"/>
          <w:color w:val="000000"/>
          <w:sz w:val="20"/>
          <w:szCs w:val="20"/>
        </w:rPr>
        <w:t xml:space="preserve">from </w:t>
      </w:r>
      <w:r w:rsidR="00CC7560">
        <w:rPr>
          <w:rFonts w:ascii="Arial" w:hAnsi="Arial" w:cs="Arial"/>
          <w:color w:val="000000"/>
          <w:sz w:val="20"/>
          <w:szCs w:val="20"/>
        </w:rPr>
        <w:t>months</w:t>
      </w:r>
      <w:r w:rsidR="00CC7560" w:rsidRPr="00FE7FE5">
        <w:rPr>
          <w:rFonts w:ascii="Arial" w:hAnsi="Arial" w:cs="Arial"/>
          <w:color w:val="000000"/>
          <w:sz w:val="20"/>
          <w:szCs w:val="20"/>
        </w:rPr>
        <w:t xml:space="preserve"> </w:t>
      </w:r>
      <w:r w:rsidRPr="00FE7FE5">
        <w:rPr>
          <w:rFonts w:ascii="Arial" w:hAnsi="Arial" w:cs="Arial"/>
          <w:color w:val="000000"/>
          <w:sz w:val="20"/>
          <w:szCs w:val="20"/>
        </w:rPr>
        <w:t>to years</w:t>
      </w:r>
      <w:r w:rsidR="00561D7B">
        <w:rPr>
          <w:rFonts w:ascii="Arial" w:hAnsi="Arial" w:cs="Arial"/>
          <w:color w:val="000000"/>
          <w:sz w:val="20"/>
          <w:szCs w:val="20"/>
        </w:rPr>
        <w:t xml:space="preserve">, though transport can produce sharp gradients across </w:t>
      </w:r>
      <w:r w:rsidR="00CC7560">
        <w:rPr>
          <w:rFonts w:ascii="Arial" w:hAnsi="Arial" w:cs="Arial"/>
          <w:color w:val="000000"/>
          <w:sz w:val="20"/>
          <w:szCs w:val="20"/>
        </w:rPr>
        <w:t xml:space="preserve">neighboring </w:t>
      </w:r>
      <w:r w:rsidR="00561D7B">
        <w:rPr>
          <w:rFonts w:ascii="Arial" w:hAnsi="Arial" w:cs="Arial"/>
          <w:color w:val="000000"/>
          <w:sz w:val="20"/>
          <w:szCs w:val="20"/>
        </w:rPr>
        <w:t>air parcels</w:t>
      </w:r>
      <w:r w:rsidRPr="00FE7FE5">
        <w:rPr>
          <w:rFonts w:ascii="Arial" w:hAnsi="Arial" w:cs="Arial"/>
          <w:color w:val="000000"/>
          <w:sz w:val="20"/>
          <w:szCs w:val="20"/>
        </w:rPr>
        <w:t>. The most appropriate terms to represent OH loss will thus vary with the local chemical regime and spatiotemporal scale under consideration.</w:t>
      </w:r>
      <w:r w:rsidR="00813150">
        <w:rPr>
          <w:rFonts w:ascii="Arial" w:hAnsi="Arial" w:cs="Arial"/>
          <w:color w:val="000000"/>
          <w:sz w:val="20"/>
          <w:szCs w:val="20"/>
        </w:rPr>
        <w:t xml:space="preserve"> </w:t>
      </w:r>
    </w:p>
    <w:p w14:paraId="0A363FB3" w14:textId="77777777" w:rsidR="009108F6" w:rsidRDefault="009108F6"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54CC5475" w14:textId="6359553D" w:rsidR="000519D5" w:rsidRPr="00747228" w:rsidRDefault="00691911"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Pr>
          <w:rFonts w:ascii="Arial" w:hAnsi="Arial" w:cs="Arial"/>
          <w:color w:val="000000"/>
          <w:sz w:val="20"/>
          <w:szCs w:val="20"/>
        </w:rPr>
        <w:t xml:space="preserve">To determine which loss pathways to include in the proxy, we consider the component of OH loss that is independent of its concentration, the ‘OH reactivity’, denoted </w:t>
      </w:r>
      <w:r w:rsidRPr="00E41AB5">
        <w:rPr>
          <w:rFonts w:ascii="Arial" w:hAnsi="Arial" w:cs="Arial"/>
          <w:i/>
          <w:iCs/>
          <w:color w:val="000000"/>
          <w:sz w:val="20"/>
          <w:szCs w:val="20"/>
        </w:rPr>
        <w:t>k</w:t>
      </w:r>
      <w:r w:rsidRPr="00E41AB5">
        <w:rPr>
          <w:rFonts w:ascii="Arial" w:hAnsi="Arial" w:cs="Arial"/>
          <w:color w:val="000000"/>
          <w:sz w:val="20"/>
          <w:szCs w:val="20"/>
        </w:rPr>
        <w:t>’</w:t>
      </w:r>
      <w:r w:rsidRPr="00E41AB5">
        <w:rPr>
          <w:rFonts w:ascii="Arial" w:hAnsi="Arial" w:cs="Arial"/>
          <w:i/>
          <w:iCs/>
          <w:color w:val="000000"/>
          <w:sz w:val="20"/>
          <w:szCs w:val="20"/>
          <w:vertAlign w:val="subscript"/>
        </w:rPr>
        <w:t>OH</w:t>
      </w:r>
      <w:r>
        <w:rPr>
          <w:rFonts w:ascii="Arial" w:hAnsi="Arial" w:cs="Arial"/>
          <w:i/>
          <w:iCs/>
          <w:color w:val="000000"/>
          <w:sz w:val="20"/>
          <w:szCs w:val="20"/>
          <w:vertAlign w:val="subscript"/>
        </w:rPr>
        <w:t>.</w:t>
      </w:r>
      <w:r>
        <w:rPr>
          <w:rFonts w:ascii="Arial" w:hAnsi="Arial" w:cs="Arial"/>
          <w:color w:val="000000"/>
          <w:sz w:val="20"/>
          <w:szCs w:val="20"/>
        </w:rPr>
        <w:t>.</w:t>
      </w:r>
      <w:r w:rsidR="00747228">
        <w:rPr>
          <w:rFonts w:ascii="Arial" w:hAnsi="Arial" w:cs="Arial"/>
          <w:color w:val="000000"/>
          <w:sz w:val="20"/>
          <w:szCs w:val="20"/>
        </w:rPr>
        <w:t xml:space="preserve"> We </w:t>
      </w:r>
      <w:r w:rsidR="00CC7560">
        <w:rPr>
          <w:rFonts w:ascii="Arial" w:hAnsi="Arial" w:cs="Arial"/>
          <w:color w:val="000000"/>
          <w:sz w:val="20"/>
          <w:szCs w:val="20"/>
        </w:rPr>
        <w:t xml:space="preserve">focus on </w:t>
      </w:r>
      <w:r w:rsidR="00747228">
        <w:rPr>
          <w:rFonts w:ascii="Arial" w:hAnsi="Arial" w:cs="Arial"/>
          <w:color w:val="000000"/>
          <w:sz w:val="20"/>
          <w:szCs w:val="20"/>
        </w:rPr>
        <w:t xml:space="preserve">the </w:t>
      </w:r>
      <w:r w:rsidR="00747228" w:rsidRPr="005C0D6E">
        <w:rPr>
          <w:rFonts w:ascii="Arial" w:hAnsi="Arial" w:cs="Arial"/>
          <w:color w:val="000000"/>
          <w:sz w:val="20"/>
          <w:szCs w:val="20"/>
        </w:rPr>
        <w:t xml:space="preserve">2 km altitude by 20° latitudinal </w:t>
      </w:r>
      <w:r w:rsidR="00747228">
        <w:rPr>
          <w:rFonts w:ascii="Arial" w:hAnsi="Arial" w:cs="Arial"/>
          <w:color w:val="000000"/>
          <w:sz w:val="20"/>
          <w:szCs w:val="20"/>
        </w:rPr>
        <w:t xml:space="preserve">regional </w:t>
      </w:r>
      <w:r w:rsidR="00CC7560">
        <w:rPr>
          <w:rFonts w:ascii="Arial" w:hAnsi="Arial" w:cs="Arial"/>
          <w:color w:val="000000"/>
          <w:sz w:val="20"/>
          <w:szCs w:val="20"/>
        </w:rPr>
        <w:t xml:space="preserve">bins </w:t>
      </w:r>
      <w:r w:rsidR="00747228">
        <w:rPr>
          <w:rFonts w:ascii="Arial" w:hAnsi="Arial" w:cs="Arial"/>
          <w:color w:val="000000"/>
          <w:sz w:val="20"/>
          <w:szCs w:val="20"/>
        </w:rPr>
        <w:t>before considering oceanic scales or all ATom observations together.</w:t>
      </w:r>
      <w:r>
        <w:rPr>
          <w:rFonts w:ascii="Arial" w:hAnsi="Arial" w:cs="Arial"/>
          <w:color w:val="000000"/>
          <w:sz w:val="20"/>
          <w:szCs w:val="20"/>
        </w:rPr>
        <w:t xml:space="preserve">  </w:t>
      </w:r>
      <w:r w:rsidR="00561D7B">
        <w:rPr>
          <w:rFonts w:ascii="Arial" w:hAnsi="Arial" w:cs="Arial"/>
          <w:color w:val="000000"/>
          <w:sz w:val="20"/>
          <w:szCs w:val="20"/>
        </w:rPr>
        <w:t>Within</w:t>
      </w:r>
      <w:r w:rsidR="005B0E36" w:rsidRPr="00E15AA0">
        <w:rPr>
          <w:rFonts w:ascii="Arial" w:hAnsi="Arial" w:cs="Arial"/>
          <w:color w:val="000000"/>
          <w:sz w:val="20"/>
          <w:szCs w:val="20"/>
        </w:rPr>
        <w:t xml:space="preserve"> </w:t>
      </w:r>
      <w:r w:rsidR="005B0E36">
        <w:rPr>
          <w:rFonts w:ascii="Arial" w:hAnsi="Arial" w:cs="Arial"/>
          <w:color w:val="000000"/>
          <w:sz w:val="20"/>
          <w:szCs w:val="20"/>
        </w:rPr>
        <w:t xml:space="preserve">the </w:t>
      </w:r>
      <w:r w:rsidR="00747228">
        <w:rPr>
          <w:rFonts w:ascii="Arial" w:hAnsi="Arial" w:cs="Arial"/>
          <w:color w:val="000000"/>
          <w:sz w:val="20"/>
          <w:szCs w:val="20"/>
        </w:rPr>
        <w:t xml:space="preserve">regional </w:t>
      </w:r>
      <w:r w:rsidR="005B0E36">
        <w:rPr>
          <w:rFonts w:ascii="Arial" w:hAnsi="Arial" w:cs="Arial"/>
          <w:color w:val="000000"/>
          <w:sz w:val="20"/>
          <w:szCs w:val="20"/>
        </w:rPr>
        <w:t>bins,</w:t>
      </w:r>
      <w:r w:rsidR="005B0E36" w:rsidRPr="005C0D6E">
        <w:rPr>
          <w:rFonts w:ascii="Arial" w:hAnsi="Arial" w:cs="Arial"/>
          <w:color w:val="000000"/>
          <w:sz w:val="20"/>
          <w:szCs w:val="20"/>
        </w:rPr>
        <w:t xml:space="preserve"> </w:t>
      </w:r>
      <w:r w:rsidR="005B0E36">
        <w:rPr>
          <w:rFonts w:ascii="Arial" w:hAnsi="Arial" w:cs="Arial"/>
          <w:color w:val="000000"/>
          <w:sz w:val="20"/>
          <w:szCs w:val="20"/>
        </w:rPr>
        <w:t xml:space="preserve">F0AM indicates that </w:t>
      </w:r>
      <w:r w:rsidR="005B0E36">
        <w:rPr>
          <w:rFonts w:ascii="Arial" w:eastAsiaTheme="minorEastAsia" w:hAnsi="Arial" w:cs="Arial"/>
          <w:bCs/>
          <w:color w:val="000000"/>
          <w:sz w:val="20"/>
          <w:szCs w:val="20"/>
        </w:rPr>
        <w:t xml:space="preserve">CO is </w:t>
      </w:r>
      <w:r w:rsidR="005B0E36" w:rsidRPr="00BA6F35">
        <w:rPr>
          <w:rFonts w:ascii="Arial" w:eastAsiaTheme="minorEastAsia" w:hAnsi="Arial" w:cs="Arial"/>
          <w:bCs/>
          <w:color w:val="000000"/>
          <w:sz w:val="20"/>
          <w:szCs w:val="20"/>
        </w:rPr>
        <w:t xml:space="preserve">the largest contributor to </w:t>
      </w:r>
      <w:r w:rsidR="00747228">
        <w:rPr>
          <w:rFonts w:ascii="Arial" w:eastAsiaTheme="minorEastAsia" w:hAnsi="Arial" w:cs="Arial"/>
          <w:bCs/>
          <w:color w:val="000000"/>
          <w:sz w:val="20"/>
          <w:szCs w:val="20"/>
        </w:rPr>
        <w:t xml:space="preserve">the magnitude of </w:t>
      </w:r>
      <w:r w:rsidR="005B0E36" w:rsidRPr="00BA6F35">
        <w:rPr>
          <w:rFonts w:ascii="Arial" w:hAnsi="Arial" w:cs="Arial"/>
          <w:color w:val="000000"/>
          <w:sz w:val="20"/>
          <w:szCs w:val="20"/>
        </w:rPr>
        <w:t>∑</w:t>
      </w:r>
      <w:r w:rsidR="005B0E36" w:rsidRPr="00BA6F35">
        <w:rPr>
          <w:rFonts w:ascii="Arial" w:hAnsi="Arial" w:cs="Arial"/>
          <w:i/>
          <w:iCs/>
          <w:color w:val="000000"/>
          <w:sz w:val="20"/>
          <w:szCs w:val="20"/>
        </w:rPr>
        <w:t>k</w:t>
      </w:r>
      <w:r w:rsidR="005B0E36" w:rsidRPr="00BA6F35">
        <w:rPr>
          <w:rFonts w:ascii="Arial" w:hAnsi="Arial" w:cs="Arial"/>
          <w:color w:val="000000"/>
          <w:sz w:val="20"/>
          <w:szCs w:val="20"/>
        </w:rPr>
        <w:t>’</w:t>
      </w:r>
      <w:r w:rsidR="005B0E36" w:rsidRPr="00BA6F35">
        <w:rPr>
          <w:rFonts w:ascii="Arial" w:hAnsi="Arial" w:cs="Arial"/>
          <w:i/>
          <w:iCs/>
          <w:color w:val="000000"/>
          <w:sz w:val="20"/>
          <w:szCs w:val="20"/>
          <w:vertAlign w:val="subscript"/>
        </w:rPr>
        <w:t>OH</w:t>
      </w:r>
      <w:r w:rsidR="005B0E36" w:rsidRPr="00BA6F35">
        <w:rPr>
          <w:rFonts w:ascii="Arial" w:hAnsi="Arial" w:cs="Arial"/>
          <w:color w:val="000000"/>
          <w:sz w:val="20"/>
          <w:szCs w:val="20"/>
        </w:rPr>
        <w:t xml:space="preserve"> in each bin (22-53%), followed by CH</w:t>
      </w:r>
      <w:r w:rsidR="005B0E36" w:rsidRPr="00BA6F35">
        <w:rPr>
          <w:rFonts w:ascii="Arial" w:hAnsi="Arial" w:cs="Arial"/>
          <w:color w:val="000000"/>
          <w:sz w:val="20"/>
          <w:szCs w:val="20"/>
          <w:vertAlign w:val="subscript"/>
        </w:rPr>
        <w:t>4</w:t>
      </w:r>
      <w:r w:rsidR="005B0E36" w:rsidRPr="00BA6F35">
        <w:rPr>
          <w:rFonts w:ascii="Arial" w:hAnsi="Arial" w:cs="Arial"/>
          <w:color w:val="000000"/>
          <w:sz w:val="20"/>
          <w:szCs w:val="20"/>
        </w:rPr>
        <w:t xml:space="preserve"> (</w:t>
      </w:r>
      <w:r w:rsidR="00BA6F35" w:rsidRPr="00BA6F35">
        <w:rPr>
          <w:rFonts w:ascii="Arial" w:hAnsi="Arial" w:cs="Arial"/>
          <w:color w:val="000000"/>
          <w:sz w:val="20"/>
          <w:szCs w:val="20"/>
        </w:rPr>
        <w:t>9-22</w:t>
      </w:r>
      <w:r w:rsidR="005B0E36" w:rsidRPr="00BA6F35">
        <w:rPr>
          <w:rFonts w:ascii="Arial" w:hAnsi="Arial" w:cs="Arial"/>
          <w:color w:val="000000"/>
          <w:sz w:val="20"/>
          <w:szCs w:val="20"/>
        </w:rPr>
        <w:t>%)</w:t>
      </w:r>
      <w:r w:rsidR="00CC7560">
        <w:rPr>
          <w:rFonts w:ascii="Arial" w:hAnsi="Arial" w:cs="Arial"/>
          <w:color w:val="000000"/>
          <w:sz w:val="20"/>
          <w:szCs w:val="20"/>
        </w:rPr>
        <w:t>. This holds</w:t>
      </w:r>
      <w:r w:rsidR="005B0E36" w:rsidRPr="00BA6F35">
        <w:rPr>
          <w:rFonts w:ascii="Arial" w:hAnsi="Arial" w:cs="Arial"/>
          <w:color w:val="000000"/>
          <w:sz w:val="20"/>
          <w:szCs w:val="20"/>
        </w:rPr>
        <w:t xml:space="preserve"> everywhere except the southern tropical lower troposphere</w:t>
      </w:r>
      <w:r w:rsidR="00C76531">
        <w:rPr>
          <w:rFonts w:ascii="Arial" w:hAnsi="Arial" w:cs="Arial"/>
          <w:color w:val="000000"/>
          <w:sz w:val="20"/>
          <w:szCs w:val="20"/>
        </w:rPr>
        <w:t>,</w:t>
      </w:r>
      <w:r w:rsidR="005B0E36" w:rsidRPr="00BA6F35">
        <w:rPr>
          <w:rFonts w:ascii="Arial" w:hAnsi="Arial" w:cs="Arial"/>
          <w:color w:val="000000"/>
          <w:sz w:val="20"/>
          <w:szCs w:val="20"/>
        </w:rPr>
        <w:t xml:space="preserve"> where CH</w:t>
      </w:r>
      <w:r w:rsidR="005B0E36" w:rsidRPr="00BA6F35">
        <w:rPr>
          <w:rFonts w:ascii="Arial" w:hAnsi="Arial" w:cs="Arial"/>
          <w:color w:val="000000"/>
          <w:sz w:val="20"/>
          <w:szCs w:val="20"/>
          <w:vertAlign w:val="subscript"/>
        </w:rPr>
        <w:t>3</w:t>
      </w:r>
      <w:r w:rsidR="005B0E36" w:rsidRPr="00BA6F35">
        <w:rPr>
          <w:rFonts w:ascii="Arial" w:hAnsi="Arial" w:cs="Arial"/>
          <w:color w:val="000000"/>
          <w:sz w:val="20"/>
          <w:szCs w:val="20"/>
        </w:rPr>
        <w:t xml:space="preserve">OOH reactivity is maximum at </w:t>
      </w:r>
      <w:r w:rsidR="00BA6F35" w:rsidRPr="00BA6F35">
        <w:rPr>
          <w:rFonts w:ascii="Arial" w:hAnsi="Arial" w:cs="Arial"/>
          <w:color w:val="000000"/>
          <w:sz w:val="20"/>
          <w:szCs w:val="20"/>
        </w:rPr>
        <w:t>20</w:t>
      </w:r>
      <w:r w:rsidR="005B0E36" w:rsidRPr="00BA6F35">
        <w:rPr>
          <w:rFonts w:ascii="Arial" w:hAnsi="Arial" w:cs="Arial"/>
          <w:color w:val="000000"/>
          <w:sz w:val="20"/>
          <w:szCs w:val="20"/>
        </w:rPr>
        <w:t>% (Figure S</w:t>
      </w:r>
      <w:r w:rsidR="00BA6F35" w:rsidRPr="00BA6F35">
        <w:rPr>
          <w:rFonts w:ascii="Arial" w:hAnsi="Arial" w:cs="Arial"/>
          <w:color w:val="000000"/>
          <w:sz w:val="20"/>
          <w:szCs w:val="20"/>
        </w:rPr>
        <w:t>2</w:t>
      </w:r>
      <w:r w:rsidR="005B0E36" w:rsidRPr="00BA6F35">
        <w:rPr>
          <w:rFonts w:ascii="Arial" w:hAnsi="Arial" w:cs="Arial"/>
          <w:color w:val="000000"/>
          <w:sz w:val="20"/>
          <w:szCs w:val="20"/>
        </w:rPr>
        <w:t xml:space="preserve">). </w:t>
      </w:r>
      <w:r w:rsidR="000519D5">
        <w:rPr>
          <w:rFonts w:ascii="Arial" w:hAnsi="Arial" w:cs="Arial"/>
          <w:color w:val="000000"/>
          <w:sz w:val="20"/>
          <w:szCs w:val="20"/>
        </w:rPr>
        <w:t xml:space="preserve">CO </w:t>
      </w:r>
      <w:r w:rsidR="005B0E36" w:rsidRPr="00BA6F35">
        <w:rPr>
          <w:rFonts w:ascii="Arial" w:hAnsi="Arial" w:cs="Arial"/>
          <w:color w:val="000000"/>
          <w:sz w:val="20"/>
          <w:szCs w:val="20"/>
        </w:rPr>
        <w:t xml:space="preserve">reactivity </w:t>
      </w:r>
      <w:r w:rsidR="00B663D5">
        <w:rPr>
          <w:rFonts w:ascii="Arial" w:hAnsi="Arial" w:cs="Arial"/>
          <w:color w:val="000000"/>
          <w:sz w:val="20"/>
          <w:szCs w:val="20"/>
        </w:rPr>
        <w:t>spatially covaries</w:t>
      </w:r>
      <w:r w:rsidR="005B0E36" w:rsidRPr="00BA6F35">
        <w:rPr>
          <w:rFonts w:ascii="Arial" w:hAnsi="Arial" w:cs="Arial"/>
          <w:color w:val="000000"/>
          <w:sz w:val="20"/>
          <w:szCs w:val="20"/>
        </w:rPr>
        <w:t xml:space="preserve"> with ∑</w:t>
      </w:r>
      <w:r w:rsidR="005B0E36" w:rsidRPr="00BA6F35">
        <w:rPr>
          <w:rFonts w:ascii="Arial" w:hAnsi="Arial" w:cs="Arial"/>
          <w:i/>
          <w:iCs/>
          <w:color w:val="000000"/>
          <w:sz w:val="20"/>
          <w:szCs w:val="20"/>
        </w:rPr>
        <w:t>k</w:t>
      </w:r>
      <w:r w:rsidR="005B0E36" w:rsidRPr="00BA6F35">
        <w:rPr>
          <w:rFonts w:ascii="Arial" w:hAnsi="Arial" w:cs="Arial"/>
          <w:color w:val="000000"/>
          <w:sz w:val="20"/>
          <w:szCs w:val="20"/>
        </w:rPr>
        <w:t>’</w:t>
      </w:r>
      <w:r w:rsidR="005B0E36" w:rsidRPr="00BA6F35">
        <w:rPr>
          <w:rFonts w:ascii="Arial" w:hAnsi="Arial" w:cs="Arial"/>
          <w:i/>
          <w:iCs/>
          <w:color w:val="000000"/>
          <w:sz w:val="20"/>
          <w:szCs w:val="20"/>
          <w:vertAlign w:val="subscript"/>
        </w:rPr>
        <w:t xml:space="preserve">OH </w:t>
      </w:r>
      <w:r w:rsidR="005B0E36" w:rsidRPr="00BA6F35">
        <w:rPr>
          <w:rFonts w:ascii="Arial" w:hAnsi="Arial" w:cs="Arial"/>
          <w:color w:val="000000"/>
          <w:sz w:val="20"/>
          <w:szCs w:val="20"/>
        </w:rPr>
        <w:t>(</w:t>
      </w:r>
      <m:oMath>
        <m:sSubSup>
          <m:sSubSupPr>
            <m:ctrlPr>
              <w:rPr>
                <w:rFonts w:ascii="Cambria Math" w:eastAsiaTheme="minorEastAsia" w:hAnsi="Cambria Math" w:cs="Arial"/>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005B0E36" w:rsidRPr="00BA6F35">
        <w:rPr>
          <w:rFonts w:ascii="Arial" w:eastAsiaTheme="minorEastAsia" w:hAnsi="Arial" w:cs="Arial"/>
          <w:bCs/>
          <w:color w:val="000000"/>
          <w:sz w:val="20"/>
          <w:szCs w:val="20"/>
        </w:rPr>
        <w:t xml:space="preserve"> = 0.45)</w:t>
      </w:r>
      <w:r w:rsidR="005B0E36" w:rsidRPr="00BA6F35">
        <w:rPr>
          <w:rFonts w:ascii="Arial" w:hAnsi="Arial" w:cs="Arial"/>
          <w:color w:val="000000"/>
          <w:sz w:val="20"/>
          <w:szCs w:val="20"/>
        </w:rPr>
        <w:t xml:space="preserve"> </w:t>
      </w:r>
      <w:r w:rsidR="00CC7560">
        <w:rPr>
          <w:rFonts w:ascii="Arial" w:hAnsi="Arial" w:cs="Arial"/>
          <w:color w:val="000000"/>
          <w:sz w:val="20"/>
          <w:szCs w:val="20"/>
        </w:rPr>
        <w:t xml:space="preserve">within the </w:t>
      </w:r>
      <w:r w:rsidR="00CC52C6">
        <w:rPr>
          <w:rFonts w:ascii="Arial" w:eastAsiaTheme="minorEastAsia" w:hAnsi="Arial" w:cs="Arial"/>
          <w:bCs/>
          <w:color w:val="000000"/>
          <w:sz w:val="20"/>
          <w:szCs w:val="20"/>
        </w:rPr>
        <w:t xml:space="preserve">2 km altitude by 20° latitudinal </w:t>
      </w:r>
      <w:r w:rsidR="00CC7560">
        <w:rPr>
          <w:rFonts w:ascii="Arial" w:hAnsi="Arial" w:cs="Arial"/>
          <w:color w:val="000000"/>
          <w:sz w:val="20"/>
          <w:szCs w:val="20"/>
        </w:rPr>
        <w:t xml:space="preserve">bins </w:t>
      </w:r>
      <w:r w:rsidR="00B663D5">
        <w:rPr>
          <w:rFonts w:ascii="Arial" w:hAnsi="Arial" w:cs="Arial"/>
          <w:color w:val="000000"/>
          <w:sz w:val="20"/>
          <w:szCs w:val="20"/>
        </w:rPr>
        <w:t xml:space="preserve">more </w:t>
      </w:r>
      <w:r w:rsidR="005B0E36" w:rsidRPr="00BA6F35">
        <w:rPr>
          <w:rFonts w:ascii="Arial" w:hAnsi="Arial" w:cs="Arial"/>
          <w:color w:val="000000"/>
          <w:sz w:val="20"/>
          <w:szCs w:val="20"/>
        </w:rPr>
        <w:t xml:space="preserve">than </w:t>
      </w:r>
      <w:r w:rsidR="00836024">
        <w:rPr>
          <w:rFonts w:ascii="Arial" w:hAnsi="Arial" w:cs="Arial"/>
          <w:color w:val="000000"/>
          <w:sz w:val="20"/>
          <w:szCs w:val="20"/>
        </w:rPr>
        <w:t>does</w:t>
      </w:r>
      <w:r w:rsidR="005B0E36" w:rsidRPr="00BA6F35">
        <w:rPr>
          <w:rFonts w:ascii="Arial" w:hAnsi="Arial" w:cs="Arial"/>
          <w:color w:val="000000"/>
          <w:sz w:val="20"/>
          <w:szCs w:val="20"/>
        </w:rPr>
        <w:t xml:space="preserve"> methane reactivity (</w:t>
      </w:r>
      <m:oMath>
        <m:sSubSup>
          <m:sSubSupPr>
            <m:ctrlPr>
              <w:rPr>
                <w:rFonts w:ascii="Cambria Math" w:eastAsiaTheme="minorEastAsia" w:hAnsi="Cambria Math" w:cs="Arial"/>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005B0E36" w:rsidRPr="001B7313">
        <w:rPr>
          <w:rFonts w:ascii="Arial" w:eastAsiaTheme="minorEastAsia" w:hAnsi="Arial" w:cs="Arial"/>
          <w:bCs/>
          <w:color w:val="000000"/>
          <w:sz w:val="20"/>
          <w:szCs w:val="20"/>
        </w:rPr>
        <w:t xml:space="preserve"> = 0.</w:t>
      </w:r>
      <w:r w:rsidR="005B0E36">
        <w:rPr>
          <w:rFonts w:ascii="Arial" w:eastAsiaTheme="minorEastAsia" w:hAnsi="Arial" w:cs="Arial"/>
          <w:bCs/>
          <w:color w:val="000000"/>
          <w:sz w:val="20"/>
          <w:szCs w:val="20"/>
        </w:rPr>
        <w:t>22)</w:t>
      </w:r>
      <w:r w:rsidR="005B0E36" w:rsidRPr="00C87FAC">
        <w:rPr>
          <w:rFonts w:ascii="Arial" w:hAnsi="Arial" w:cs="Arial"/>
          <w:color w:val="000000"/>
          <w:sz w:val="20"/>
          <w:szCs w:val="20"/>
        </w:rPr>
        <w:t>.</w:t>
      </w:r>
      <w:r w:rsidR="00747228">
        <w:rPr>
          <w:rFonts w:ascii="Arial" w:hAnsi="Arial" w:cs="Arial"/>
          <w:color w:val="000000"/>
          <w:sz w:val="20"/>
          <w:szCs w:val="20"/>
        </w:rPr>
        <w:t xml:space="preserve"> </w:t>
      </w:r>
      <w:r w:rsidR="00690364">
        <w:rPr>
          <w:rFonts w:ascii="Arial" w:hAnsi="Arial" w:cs="Arial"/>
          <w:color w:val="000000"/>
          <w:sz w:val="20"/>
          <w:szCs w:val="20"/>
        </w:rPr>
        <w:t>T</w:t>
      </w:r>
      <w:r w:rsidR="00E15AA0">
        <w:rPr>
          <w:rFonts w:ascii="Arial" w:hAnsi="Arial" w:cs="Arial"/>
          <w:color w:val="000000"/>
          <w:sz w:val="20"/>
          <w:szCs w:val="20"/>
        </w:rPr>
        <w:t xml:space="preserve">he </w:t>
      </w:r>
      <w:r w:rsidR="00D37CE7" w:rsidRPr="00E15AA0">
        <w:rPr>
          <w:rFonts w:ascii="Arial" w:hAnsi="Arial" w:cs="Arial"/>
          <w:color w:val="000000"/>
          <w:sz w:val="20"/>
          <w:szCs w:val="20"/>
        </w:rPr>
        <w:t>reactivities</w:t>
      </w:r>
      <w:r w:rsidR="00D37CE7">
        <w:rPr>
          <w:rFonts w:ascii="Arial" w:hAnsi="Arial" w:cs="Arial"/>
          <w:color w:val="000000"/>
          <w:sz w:val="20"/>
          <w:szCs w:val="20"/>
        </w:rPr>
        <w:t xml:space="preserve"> </w:t>
      </w:r>
      <w:r w:rsidR="00223DC2">
        <w:rPr>
          <w:rFonts w:ascii="Arial" w:hAnsi="Arial" w:cs="Arial"/>
          <w:color w:val="000000"/>
          <w:sz w:val="20"/>
          <w:szCs w:val="20"/>
        </w:rPr>
        <w:t xml:space="preserve">of </w:t>
      </w:r>
      <w:r w:rsidR="00C606B8">
        <w:rPr>
          <w:rFonts w:ascii="Arial" w:hAnsi="Arial" w:cs="Arial"/>
          <w:color w:val="000000"/>
          <w:sz w:val="20"/>
          <w:szCs w:val="20"/>
        </w:rPr>
        <w:t>HO</w:t>
      </w:r>
      <w:r w:rsidR="00C606B8" w:rsidRPr="00F47570">
        <w:rPr>
          <w:rFonts w:ascii="Arial" w:hAnsi="Arial" w:cs="Arial"/>
          <w:color w:val="000000"/>
          <w:sz w:val="20"/>
          <w:szCs w:val="20"/>
          <w:vertAlign w:val="subscript"/>
        </w:rPr>
        <w:t>2</w:t>
      </w:r>
      <w:r w:rsidR="00C606B8">
        <w:rPr>
          <w:rFonts w:ascii="Arial" w:hAnsi="Arial" w:cs="Arial"/>
          <w:color w:val="000000"/>
          <w:sz w:val="20"/>
          <w:szCs w:val="20"/>
        </w:rPr>
        <w:t>, H</w:t>
      </w:r>
      <w:r w:rsidR="00C606B8" w:rsidRPr="00F47570">
        <w:rPr>
          <w:rFonts w:ascii="Arial" w:hAnsi="Arial" w:cs="Arial"/>
          <w:color w:val="000000"/>
          <w:sz w:val="20"/>
          <w:szCs w:val="20"/>
          <w:vertAlign w:val="subscript"/>
        </w:rPr>
        <w:t>2</w:t>
      </w:r>
      <w:r w:rsidR="00C606B8">
        <w:rPr>
          <w:rFonts w:ascii="Arial" w:hAnsi="Arial" w:cs="Arial"/>
          <w:color w:val="000000"/>
          <w:sz w:val="20"/>
          <w:szCs w:val="20"/>
        </w:rPr>
        <w:t>O</w:t>
      </w:r>
      <w:r w:rsidR="00C606B8" w:rsidRPr="00F47570">
        <w:rPr>
          <w:rFonts w:ascii="Arial" w:hAnsi="Arial" w:cs="Arial"/>
          <w:color w:val="000000"/>
          <w:sz w:val="20"/>
          <w:szCs w:val="20"/>
          <w:vertAlign w:val="subscript"/>
        </w:rPr>
        <w:t>2</w:t>
      </w:r>
      <w:r w:rsidR="00C606B8">
        <w:rPr>
          <w:rFonts w:ascii="Arial" w:hAnsi="Arial" w:cs="Arial"/>
          <w:color w:val="000000"/>
          <w:sz w:val="20"/>
          <w:szCs w:val="20"/>
        </w:rPr>
        <w:t xml:space="preserve"> and small</w:t>
      </w:r>
      <w:r w:rsidR="00561D7B">
        <w:rPr>
          <w:rFonts w:ascii="Arial" w:hAnsi="Arial" w:cs="Arial"/>
          <w:color w:val="000000"/>
          <w:sz w:val="20"/>
          <w:szCs w:val="20"/>
        </w:rPr>
        <w:t>, shorter-lived</w:t>
      </w:r>
      <w:r w:rsidR="00C606B8">
        <w:rPr>
          <w:rFonts w:ascii="Arial" w:hAnsi="Arial" w:cs="Arial"/>
          <w:color w:val="000000"/>
          <w:sz w:val="20"/>
          <w:szCs w:val="20"/>
        </w:rPr>
        <w:t xml:space="preserve"> VOCs like formaldehyde (HCHO)</w:t>
      </w:r>
      <w:r w:rsidR="00CB566F">
        <w:rPr>
          <w:rFonts w:ascii="Arial" w:hAnsi="Arial" w:cs="Arial"/>
          <w:color w:val="000000"/>
          <w:sz w:val="20"/>
          <w:szCs w:val="20"/>
        </w:rPr>
        <w:t>, CH</w:t>
      </w:r>
      <w:r w:rsidR="00CB566F" w:rsidRPr="00F47570">
        <w:rPr>
          <w:rFonts w:ascii="Arial" w:hAnsi="Arial" w:cs="Arial"/>
          <w:color w:val="000000"/>
          <w:sz w:val="20"/>
          <w:szCs w:val="20"/>
          <w:vertAlign w:val="subscript"/>
        </w:rPr>
        <w:t>3</w:t>
      </w:r>
      <w:r w:rsidR="00CB566F">
        <w:rPr>
          <w:rFonts w:ascii="Arial" w:hAnsi="Arial" w:cs="Arial"/>
          <w:color w:val="000000"/>
          <w:sz w:val="20"/>
          <w:szCs w:val="20"/>
        </w:rPr>
        <w:t>OOH</w:t>
      </w:r>
      <w:r w:rsidR="00C606B8">
        <w:rPr>
          <w:rFonts w:ascii="Arial" w:hAnsi="Arial" w:cs="Arial"/>
          <w:color w:val="000000"/>
          <w:sz w:val="20"/>
          <w:szCs w:val="20"/>
        </w:rPr>
        <w:t xml:space="preserve"> or methanol</w:t>
      </w:r>
      <w:r w:rsidR="00223DC2">
        <w:rPr>
          <w:rFonts w:ascii="Arial" w:hAnsi="Arial" w:cs="Arial"/>
          <w:color w:val="000000"/>
          <w:sz w:val="20"/>
          <w:szCs w:val="20"/>
        </w:rPr>
        <w:t xml:space="preserve"> </w:t>
      </w:r>
      <w:r w:rsidR="00C606B8">
        <w:rPr>
          <w:rFonts w:ascii="Arial" w:hAnsi="Arial" w:cs="Arial"/>
          <w:color w:val="000000"/>
          <w:sz w:val="20"/>
          <w:szCs w:val="20"/>
        </w:rPr>
        <w:t>(CH</w:t>
      </w:r>
      <w:r w:rsidR="00C606B8" w:rsidRPr="00F47570">
        <w:rPr>
          <w:rFonts w:ascii="Arial" w:hAnsi="Arial" w:cs="Arial"/>
          <w:color w:val="000000"/>
          <w:sz w:val="20"/>
          <w:szCs w:val="20"/>
          <w:vertAlign w:val="subscript"/>
        </w:rPr>
        <w:t>3</w:t>
      </w:r>
      <w:r w:rsidR="00C606B8">
        <w:rPr>
          <w:rFonts w:ascii="Arial" w:hAnsi="Arial" w:cs="Arial"/>
          <w:color w:val="000000"/>
          <w:sz w:val="20"/>
          <w:szCs w:val="20"/>
        </w:rPr>
        <w:t>OH)</w:t>
      </w:r>
      <w:r w:rsidR="00747228">
        <w:rPr>
          <w:rFonts w:ascii="Arial" w:hAnsi="Arial" w:cs="Arial"/>
          <w:color w:val="000000"/>
          <w:sz w:val="20"/>
          <w:szCs w:val="20"/>
        </w:rPr>
        <w:t xml:space="preserve"> </w:t>
      </w:r>
      <w:r w:rsidR="00223DC2">
        <w:rPr>
          <w:rFonts w:ascii="Arial" w:hAnsi="Arial" w:cs="Arial"/>
          <w:color w:val="000000"/>
          <w:sz w:val="20"/>
          <w:szCs w:val="20"/>
        </w:rPr>
        <w:t xml:space="preserve">frequently </w:t>
      </w:r>
      <w:r w:rsidR="00561D7B">
        <w:rPr>
          <w:rFonts w:ascii="Arial" w:hAnsi="Arial" w:cs="Arial"/>
          <w:color w:val="000000"/>
          <w:sz w:val="20"/>
          <w:szCs w:val="20"/>
        </w:rPr>
        <w:t>correlate most strongly with</w:t>
      </w:r>
      <w:r w:rsidR="00223DC2">
        <w:rPr>
          <w:rFonts w:ascii="Arial" w:hAnsi="Arial" w:cs="Arial"/>
          <w:color w:val="000000"/>
          <w:sz w:val="20"/>
          <w:szCs w:val="20"/>
        </w:rPr>
        <w:t xml:space="preserve"> ∑</w:t>
      </w:r>
      <w:r w:rsidR="00223DC2" w:rsidRPr="00E41AB5">
        <w:rPr>
          <w:rFonts w:ascii="Arial" w:hAnsi="Arial" w:cs="Arial"/>
          <w:i/>
          <w:iCs/>
          <w:color w:val="000000"/>
          <w:sz w:val="20"/>
          <w:szCs w:val="20"/>
        </w:rPr>
        <w:t>k</w:t>
      </w:r>
      <w:r w:rsidR="00223DC2" w:rsidRPr="00E41AB5">
        <w:rPr>
          <w:rFonts w:ascii="Arial" w:hAnsi="Arial" w:cs="Arial"/>
          <w:color w:val="000000"/>
          <w:sz w:val="20"/>
          <w:szCs w:val="20"/>
        </w:rPr>
        <w:t>’</w:t>
      </w:r>
      <w:r w:rsidR="00223DC2" w:rsidRPr="00E41AB5">
        <w:rPr>
          <w:rFonts w:ascii="Arial" w:hAnsi="Arial" w:cs="Arial"/>
          <w:i/>
          <w:iCs/>
          <w:color w:val="000000"/>
          <w:sz w:val="20"/>
          <w:szCs w:val="20"/>
          <w:vertAlign w:val="subscript"/>
        </w:rPr>
        <w:t>OH</w:t>
      </w:r>
      <w:r w:rsidR="00223DC2">
        <w:rPr>
          <w:rFonts w:ascii="Arial" w:hAnsi="Arial" w:cs="Arial"/>
          <w:color w:val="000000"/>
          <w:sz w:val="20"/>
          <w:szCs w:val="20"/>
        </w:rPr>
        <w:t xml:space="preserve"> </w:t>
      </w:r>
      <w:r w:rsidR="00C606B8">
        <w:rPr>
          <w:rFonts w:ascii="Arial" w:hAnsi="Arial" w:cs="Arial"/>
          <w:color w:val="000000"/>
          <w:sz w:val="20"/>
          <w:szCs w:val="20"/>
        </w:rPr>
        <w:t>over this regional scale (Figure S</w:t>
      </w:r>
      <w:r w:rsidR="00747228">
        <w:rPr>
          <w:rFonts w:ascii="Arial" w:hAnsi="Arial" w:cs="Arial"/>
          <w:color w:val="000000"/>
          <w:sz w:val="20"/>
          <w:szCs w:val="20"/>
        </w:rPr>
        <w:t>3</w:t>
      </w:r>
      <w:r w:rsidR="00C606B8">
        <w:rPr>
          <w:rFonts w:ascii="Arial" w:hAnsi="Arial" w:cs="Arial"/>
          <w:color w:val="000000"/>
          <w:sz w:val="20"/>
          <w:szCs w:val="20"/>
        </w:rPr>
        <w:t>)</w:t>
      </w:r>
      <w:r w:rsidR="005B0E36">
        <w:rPr>
          <w:rFonts w:ascii="Arial" w:hAnsi="Arial" w:cs="Arial"/>
          <w:color w:val="000000"/>
          <w:sz w:val="20"/>
          <w:szCs w:val="20"/>
        </w:rPr>
        <w:t xml:space="preserve">. </w:t>
      </w:r>
      <w:r w:rsidR="00747228">
        <w:rPr>
          <w:rFonts w:ascii="Arial" w:hAnsi="Arial" w:cs="Arial"/>
          <w:color w:val="000000"/>
          <w:sz w:val="20"/>
          <w:szCs w:val="20"/>
        </w:rPr>
        <w:t>However, t</w:t>
      </w:r>
      <w:r w:rsidR="00223DC2">
        <w:rPr>
          <w:rFonts w:ascii="Arial" w:hAnsi="Arial" w:cs="Arial"/>
          <w:color w:val="000000"/>
          <w:sz w:val="20"/>
          <w:szCs w:val="20"/>
        </w:rPr>
        <w:t xml:space="preserve">hey also </w:t>
      </w:r>
      <w:r w:rsidR="00D37CE7">
        <w:rPr>
          <w:rFonts w:ascii="Arial" w:hAnsi="Arial" w:cs="Arial"/>
          <w:color w:val="000000"/>
          <w:sz w:val="20"/>
          <w:szCs w:val="20"/>
        </w:rPr>
        <w:t>moderate</w:t>
      </w:r>
      <w:r w:rsidR="00223DC2">
        <w:rPr>
          <w:rFonts w:ascii="Arial" w:hAnsi="Arial" w:cs="Arial"/>
          <w:color w:val="000000"/>
          <w:sz w:val="20"/>
          <w:szCs w:val="20"/>
        </w:rPr>
        <w:t>ly</w:t>
      </w:r>
      <w:r w:rsidR="00D37CE7">
        <w:rPr>
          <w:rFonts w:ascii="Arial" w:hAnsi="Arial" w:cs="Arial"/>
          <w:color w:val="000000"/>
          <w:sz w:val="20"/>
          <w:szCs w:val="20"/>
        </w:rPr>
        <w:t xml:space="preserve"> cor</w:t>
      </w:r>
      <w:r w:rsidR="00D37CE7" w:rsidRPr="003339F5">
        <w:rPr>
          <w:rFonts w:ascii="Arial" w:hAnsi="Arial" w:cs="Arial"/>
          <w:color w:val="000000"/>
          <w:sz w:val="20"/>
          <w:szCs w:val="20"/>
        </w:rPr>
        <w:t>relat</w:t>
      </w:r>
      <w:r w:rsidR="00223DC2" w:rsidRPr="00ED1221">
        <w:rPr>
          <w:rFonts w:ascii="Arial" w:hAnsi="Arial" w:cs="Arial"/>
          <w:color w:val="000000"/>
          <w:sz w:val="20"/>
          <w:szCs w:val="20"/>
        </w:rPr>
        <w:t>e</w:t>
      </w:r>
      <w:r w:rsidR="00D37CE7" w:rsidRPr="00ED1221">
        <w:rPr>
          <w:rFonts w:ascii="Arial" w:hAnsi="Arial" w:cs="Arial"/>
          <w:color w:val="000000"/>
          <w:sz w:val="20"/>
          <w:szCs w:val="20"/>
        </w:rPr>
        <w:t xml:space="preserve"> with CO</w:t>
      </w:r>
      <w:r w:rsidR="00D37CE7" w:rsidRPr="00823989">
        <w:rPr>
          <w:rFonts w:ascii="Arial" w:hAnsi="Arial" w:cs="Arial"/>
          <w:color w:val="000000"/>
          <w:sz w:val="20"/>
          <w:szCs w:val="20"/>
        </w:rPr>
        <w:t xml:space="preserve"> in a</w:t>
      </w:r>
      <w:r w:rsidR="0078341D">
        <w:rPr>
          <w:rFonts w:ascii="Arial" w:hAnsi="Arial" w:cs="Arial"/>
          <w:color w:val="000000"/>
          <w:sz w:val="20"/>
          <w:szCs w:val="20"/>
        </w:rPr>
        <w:t>ny</w:t>
      </w:r>
      <w:r w:rsidR="00D37CE7" w:rsidRPr="00823989">
        <w:rPr>
          <w:rFonts w:ascii="Arial" w:hAnsi="Arial" w:cs="Arial"/>
          <w:color w:val="000000"/>
          <w:sz w:val="20"/>
          <w:szCs w:val="20"/>
        </w:rPr>
        <w:t xml:space="preserve"> given </w:t>
      </w:r>
      <w:r w:rsidR="00C606B8">
        <w:rPr>
          <w:rFonts w:ascii="Arial" w:hAnsi="Arial" w:cs="Arial"/>
          <w:color w:val="000000"/>
          <w:sz w:val="20"/>
          <w:szCs w:val="20"/>
        </w:rPr>
        <w:t xml:space="preserve">regional </w:t>
      </w:r>
      <w:r w:rsidR="00D37CE7" w:rsidRPr="00823989">
        <w:rPr>
          <w:rFonts w:ascii="Arial" w:hAnsi="Arial" w:cs="Arial"/>
          <w:color w:val="000000"/>
          <w:sz w:val="20"/>
          <w:szCs w:val="20"/>
        </w:rPr>
        <w:t>bin</w:t>
      </w:r>
      <w:r w:rsidR="003339F5" w:rsidRPr="00823989">
        <w:rPr>
          <w:rFonts w:ascii="Arial" w:hAnsi="Arial" w:cs="Arial"/>
          <w:color w:val="000000"/>
          <w:sz w:val="20"/>
          <w:szCs w:val="20"/>
        </w:rPr>
        <w:t xml:space="preserve"> (</w:t>
      </w:r>
      <w:r w:rsidR="003339F5" w:rsidRPr="00823989">
        <w:rPr>
          <w:rFonts w:ascii="Arial" w:hAnsi="Arial" w:cs="Arial"/>
          <w:i/>
          <w:iCs/>
          <w:color w:val="000000"/>
          <w:sz w:val="20"/>
          <w:szCs w:val="20"/>
        </w:rPr>
        <w:t>r</w:t>
      </w:r>
      <w:r w:rsidR="003339F5" w:rsidRPr="00823989">
        <w:rPr>
          <w:rFonts w:ascii="Arial" w:hAnsi="Arial" w:cs="Arial"/>
          <w:color w:val="000000"/>
          <w:sz w:val="20"/>
          <w:szCs w:val="20"/>
          <w:vertAlign w:val="superscript"/>
        </w:rPr>
        <w:t>2</w:t>
      </w:r>
      <w:r w:rsidR="003339F5" w:rsidRPr="009170F0">
        <w:rPr>
          <w:rFonts w:ascii="Arial" w:hAnsi="Arial" w:cs="Arial"/>
          <w:color w:val="000000"/>
          <w:sz w:val="20"/>
          <w:szCs w:val="20"/>
        </w:rPr>
        <w:t xml:space="preserve"> of approximately </w:t>
      </w:r>
      <w:r w:rsidR="003339F5" w:rsidRPr="00F47570">
        <w:rPr>
          <w:rFonts w:ascii="Arial" w:hAnsi="Arial" w:cs="Arial"/>
          <w:color w:val="000000"/>
          <w:sz w:val="20"/>
          <w:szCs w:val="20"/>
        </w:rPr>
        <w:t>0.3 – 0.5</w:t>
      </w:r>
      <w:r w:rsidR="00C606B8">
        <w:rPr>
          <w:rFonts w:ascii="Arial" w:hAnsi="Arial" w:cs="Arial"/>
          <w:color w:val="000000"/>
          <w:sz w:val="20"/>
          <w:szCs w:val="20"/>
        </w:rPr>
        <w:t>; Figure S</w:t>
      </w:r>
      <w:r w:rsidR="00E16789">
        <w:rPr>
          <w:rFonts w:ascii="Arial" w:hAnsi="Arial" w:cs="Arial"/>
          <w:color w:val="000000"/>
          <w:sz w:val="20"/>
          <w:szCs w:val="20"/>
        </w:rPr>
        <w:t>4</w:t>
      </w:r>
      <w:r w:rsidR="003339F5" w:rsidRPr="003339F5">
        <w:rPr>
          <w:rFonts w:ascii="Arial" w:hAnsi="Arial" w:cs="Arial"/>
          <w:color w:val="000000"/>
          <w:sz w:val="20"/>
          <w:szCs w:val="20"/>
        </w:rPr>
        <w:t>)</w:t>
      </w:r>
      <w:r w:rsidR="00223DC2" w:rsidRPr="00ED1221">
        <w:rPr>
          <w:rFonts w:ascii="Arial" w:hAnsi="Arial" w:cs="Arial"/>
          <w:color w:val="000000"/>
          <w:sz w:val="20"/>
          <w:szCs w:val="20"/>
        </w:rPr>
        <w:t>.</w:t>
      </w:r>
      <w:r w:rsidR="00747228">
        <w:rPr>
          <w:rFonts w:ascii="Arial" w:hAnsi="Arial" w:cs="Arial"/>
          <w:color w:val="000000"/>
          <w:sz w:val="20"/>
          <w:szCs w:val="20"/>
        </w:rPr>
        <w:t xml:space="preserve"> Thus the regional analysis suggests that, among all OH sink terms, CO contribut</w:t>
      </w:r>
      <w:r w:rsidR="00561D7B">
        <w:rPr>
          <w:rFonts w:ascii="Arial" w:hAnsi="Arial" w:cs="Arial"/>
          <w:color w:val="000000"/>
          <w:sz w:val="20"/>
          <w:szCs w:val="20"/>
        </w:rPr>
        <w:t>es most</w:t>
      </w:r>
      <w:r w:rsidR="00747228">
        <w:rPr>
          <w:rFonts w:ascii="Arial" w:hAnsi="Arial" w:cs="Arial"/>
          <w:color w:val="000000"/>
          <w:sz w:val="20"/>
          <w:szCs w:val="20"/>
        </w:rPr>
        <w:t xml:space="preserve"> to both the </w:t>
      </w:r>
      <w:r w:rsidR="00747228">
        <w:rPr>
          <w:rFonts w:ascii="Arial" w:hAnsi="Arial" w:cs="Arial"/>
          <w:color w:val="000000"/>
          <w:sz w:val="20"/>
          <w:szCs w:val="20"/>
        </w:rPr>
        <w:lastRenderedPageBreak/>
        <w:t xml:space="preserve">magnitude and spatial variations of </w:t>
      </w:r>
      <w:r w:rsidR="00747228" w:rsidRPr="00BA6F35">
        <w:rPr>
          <w:rFonts w:ascii="Arial" w:hAnsi="Arial" w:cs="Arial"/>
          <w:color w:val="000000"/>
          <w:sz w:val="20"/>
          <w:szCs w:val="20"/>
        </w:rPr>
        <w:t>∑</w:t>
      </w:r>
      <w:r w:rsidR="00747228" w:rsidRPr="00BA6F35">
        <w:rPr>
          <w:rFonts w:ascii="Arial" w:hAnsi="Arial" w:cs="Arial"/>
          <w:i/>
          <w:iCs/>
          <w:color w:val="000000"/>
          <w:sz w:val="20"/>
          <w:szCs w:val="20"/>
        </w:rPr>
        <w:t>k</w:t>
      </w:r>
      <w:r w:rsidR="00747228" w:rsidRPr="00BA6F35">
        <w:rPr>
          <w:rFonts w:ascii="Arial" w:hAnsi="Arial" w:cs="Arial"/>
          <w:color w:val="000000"/>
          <w:sz w:val="20"/>
          <w:szCs w:val="20"/>
        </w:rPr>
        <w:t>’</w:t>
      </w:r>
      <w:r w:rsidR="00747228" w:rsidRPr="00BA6F35">
        <w:rPr>
          <w:rFonts w:ascii="Arial" w:hAnsi="Arial" w:cs="Arial"/>
          <w:i/>
          <w:iCs/>
          <w:color w:val="000000"/>
          <w:sz w:val="20"/>
          <w:szCs w:val="20"/>
          <w:vertAlign w:val="subscript"/>
        </w:rPr>
        <w:t>OH</w:t>
      </w:r>
      <w:r w:rsidR="00747228">
        <w:rPr>
          <w:rFonts w:ascii="Arial" w:hAnsi="Arial" w:cs="Arial"/>
          <w:color w:val="000000"/>
          <w:sz w:val="20"/>
          <w:szCs w:val="20"/>
        </w:rPr>
        <w:t xml:space="preserve"> across the remote marine troposphere</w:t>
      </w:r>
      <w:r w:rsidR="00561D7B">
        <w:rPr>
          <w:rFonts w:ascii="Arial" w:hAnsi="Arial" w:cs="Arial"/>
          <w:color w:val="000000"/>
          <w:sz w:val="20"/>
          <w:szCs w:val="20"/>
        </w:rPr>
        <w:t>, as it</w:t>
      </w:r>
      <w:r w:rsidR="00747228">
        <w:rPr>
          <w:rFonts w:ascii="Arial" w:hAnsi="Arial" w:cs="Arial"/>
          <w:color w:val="000000"/>
          <w:sz w:val="20"/>
          <w:szCs w:val="20"/>
        </w:rPr>
        <w:t xml:space="preserve"> often covar</w:t>
      </w:r>
      <w:r w:rsidR="00561D7B">
        <w:rPr>
          <w:rFonts w:ascii="Arial" w:hAnsi="Arial" w:cs="Arial"/>
          <w:color w:val="000000"/>
          <w:sz w:val="20"/>
          <w:szCs w:val="20"/>
        </w:rPr>
        <w:t>ies</w:t>
      </w:r>
      <w:r w:rsidR="00747228">
        <w:rPr>
          <w:rFonts w:ascii="Arial" w:hAnsi="Arial" w:cs="Arial"/>
          <w:color w:val="000000"/>
          <w:sz w:val="20"/>
          <w:szCs w:val="20"/>
        </w:rPr>
        <w:t xml:space="preserve"> with </w:t>
      </w:r>
      <w:r w:rsidR="00561D7B">
        <w:rPr>
          <w:rFonts w:ascii="Arial" w:hAnsi="Arial" w:cs="Arial"/>
          <w:color w:val="000000"/>
          <w:sz w:val="20"/>
          <w:szCs w:val="20"/>
        </w:rPr>
        <w:t xml:space="preserve">other OH </w:t>
      </w:r>
      <w:r w:rsidR="00747228">
        <w:rPr>
          <w:rFonts w:ascii="Arial" w:hAnsi="Arial" w:cs="Arial"/>
          <w:color w:val="000000"/>
          <w:sz w:val="20"/>
          <w:szCs w:val="20"/>
        </w:rPr>
        <w:t>sink</w:t>
      </w:r>
      <w:r w:rsidR="00561D7B">
        <w:rPr>
          <w:rFonts w:ascii="Arial" w:hAnsi="Arial" w:cs="Arial"/>
          <w:color w:val="000000"/>
          <w:sz w:val="20"/>
          <w:szCs w:val="20"/>
        </w:rPr>
        <w:t>s</w:t>
      </w:r>
      <w:r w:rsidR="00747228">
        <w:rPr>
          <w:rFonts w:ascii="Arial" w:hAnsi="Arial" w:cs="Arial"/>
          <w:color w:val="000000"/>
          <w:sz w:val="20"/>
          <w:szCs w:val="20"/>
        </w:rPr>
        <w:t xml:space="preserve">. </w:t>
      </w:r>
    </w:p>
    <w:p w14:paraId="2E21B7E7" w14:textId="77777777" w:rsidR="000519D5" w:rsidRDefault="000519D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1E923A06" w14:textId="087FC424" w:rsidR="00FE7FE5" w:rsidRPr="00FE7FE5" w:rsidRDefault="000519D5"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Pr>
          <w:rFonts w:ascii="Arial" w:eastAsiaTheme="minorEastAsia" w:hAnsi="Arial" w:cs="Arial"/>
          <w:color w:val="000000"/>
          <w:sz w:val="20"/>
          <w:szCs w:val="20"/>
        </w:rPr>
        <w:t>W</w:t>
      </w:r>
      <w:r w:rsidRPr="00BA6F35">
        <w:rPr>
          <w:rFonts w:ascii="Arial" w:eastAsiaTheme="minorEastAsia" w:hAnsi="Arial" w:cs="Arial"/>
          <w:color w:val="000000"/>
          <w:sz w:val="20"/>
          <w:szCs w:val="20"/>
        </w:rPr>
        <w:t>hen considering all ATom observations together</w:t>
      </w:r>
      <w:r>
        <w:rPr>
          <w:rFonts w:ascii="Arial" w:eastAsiaTheme="minorEastAsia" w:hAnsi="Arial" w:cs="Arial"/>
          <w:color w:val="000000"/>
          <w:sz w:val="20"/>
          <w:szCs w:val="20"/>
        </w:rPr>
        <w:t xml:space="preserve"> or when</w:t>
      </w:r>
      <w:r>
        <w:rPr>
          <w:rFonts w:ascii="Arial" w:hAnsi="Arial" w:cs="Arial"/>
          <w:color w:val="000000"/>
          <w:sz w:val="20"/>
          <w:szCs w:val="20"/>
        </w:rPr>
        <w:t xml:space="preserve"> subsetting for the </w:t>
      </w:r>
      <w:r w:rsidRPr="00ED2E29">
        <w:rPr>
          <w:rFonts w:ascii="Arial" w:hAnsi="Arial" w:cs="Arial"/>
          <w:color w:val="000000"/>
          <w:sz w:val="20"/>
          <w:szCs w:val="20"/>
        </w:rPr>
        <w:t>Pacific</w:t>
      </w:r>
      <w:r w:rsidRPr="00BA6F35">
        <w:rPr>
          <w:rFonts w:ascii="Arial" w:hAnsi="Arial" w:cs="Arial"/>
          <w:color w:val="000000"/>
          <w:sz w:val="20"/>
          <w:szCs w:val="20"/>
        </w:rPr>
        <w:t xml:space="preserve">, methane reactivity </w:t>
      </w:r>
      <w:r w:rsidR="00747228">
        <w:rPr>
          <w:rFonts w:ascii="Arial" w:hAnsi="Arial" w:cs="Arial"/>
          <w:color w:val="000000"/>
          <w:sz w:val="20"/>
          <w:szCs w:val="20"/>
        </w:rPr>
        <w:t>emerges as</w:t>
      </w:r>
      <w:r w:rsidRPr="00BA6F35">
        <w:rPr>
          <w:rFonts w:ascii="Arial" w:hAnsi="Arial" w:cs="Arial"/>
          <w:color w:val="000000"/>
          <w:sz w:val="20"/>
          <w:szCs w:val="20"/>
        </w:rPr>
        <w:t xml:space="preserve"> a better predictor of ∑</w:t>
      </w:r>
      <w:r w:rsidRPr="00BA6F35">
        <w:rPr>
          <w:rFonts w:ascii="Arial" w:hAnsi="Arial" w:cs="Arial"/>
          <w:i/>
          <w:iCs/>
          <w:color w:val="000000"/>
          <w:sz w:val="20"/>
          <w:szCs w:val="20"/>
        </w:rPr>
        <w:t>k</w:t>
      </w:r>
      <w:r w:rsidRPr="00BA6F35">
        <w:rPr>
          <w:rFonts w:ascii="Arial" w:hAnsi="Arial" w:cs="Arial"/>
          <w:color w:val="000000"/>
          <w:sz w:val="20"/>
          <w:szCs w:val="20"/>
        </w:rPr>
        <w:t>’</w:t>
      </w:r>
      <w:r w:rsidRPr="00BA6F35">
        <w:rPr>
          <w:rFonts w:ascii="Arial" w:hAnsi="Arial" w:cs="Arial"/>
          <w:i/>
          <w:iCs/>
          <w:color w:val="000000"/>
          <w:sz w:val="20"/>
          <w:szCs w:val="20"/>
          <w:vertAlign w:val="subscript"/>
        </w:rPr>
        <w:t>OH</w:t>
      </w:r>
      <w:r w:rsidRPr="00BA6F35">
        <w:rPr>
          <w:rFonts w:ascii="Arial" w:hAnsi="Arial" w:cs="Arial"/>
          <w:color w:val="000000"/>
          <w:sz w:val="20"/>
          <w:szCs w:val="20"/>
        </w:rPr>
        <w:t xml:space="preserve"> </w:t>
      </w:r>
      <w:r>
        <w:rPr>
          <w:rFonts w:ascii="Arial" w:hAnsi="Arial" w:cs="Arial"/>
          <w:color w:val="000000"/>
          <w:sz w:val="20"/>
          <w:szCs w:val="20"/>
        </w:rPr>
        <w:t>variations than other sinks, including CO</w:t>
      </w:r>
      <w:r w:rsidR="00E16789" w:rsidRPr="005C2F9F">
        <w:rPr>
          <w:rFonts w:ascii="Arial" w:hAnsi="Arial" w:cs="Arial"/>
          <w:color w:val="000000"/>
          <w:sz w:val="20"/>
          <w:szCs w:val="20"/>
        </w:rPr>
        <w:t xml:space="preserve"> (</w:t>
      </w:r>
      <w:r w:rsidR="00E16789" w:rsidRPr="00BA6F35">
        <w:rPr>
          <w:rFonts w:ascii="Arial" w:hAnsi="Arial" w:cs="Arial"/>
          <w:color w:val="000000"/>
          <w:sz w:val="20"/>
          <w:szCs w:val="20"/>
        </w:rPr>
        <w:t>Figure S</w:t>
      </w:r>
      <w:r w:rsidR="00E16789">
        <w:rPr>
          <w:rFonts w:ascii="Arial" w:hAnsi="Arial" w:cs="Arial"/>
          <w:color w:val="000000"/>
          <w:sz w:val="20"/>
          <w:szCs w:val="20"/>
        </w:rPr>
        <w:t>5</w:t>
      </w:r>
      <w:r w:rsidR="00E16789" w:rsidRPr="00BA6F35">
        <w:rPr>
          <w:rFonts w:ascii="Arial" w:hAnsi="Arial" w:cs="Arial"/>
          <w:color w:val="000000"/>
          <w:sz w:val="20"/>
          <w:szCs w:val="20"/>
        </w:rPr>
        <w:t>)</w:t>
      </w:r>
      <w:r>
        <w:rPr>
          <w:rFonts w:ascii="Arial" w:hAnsi="Arial" w:cs="Arial"/>
          <w:color w:val="000000"/>
          <w:sz w:val="20"/>
          <w:szCs w:val="20"/>
        </w:rPr>
        <w:t xml:space="preserve">. </w:t>
      </w:r>
      <w:r w:rsidR="00561D7B">
        <w:rPr>
          <w:rFonts w:ascii="Arial" w:hAnsi="Arial" w:cs="Arial"/>
          <w:color w:val="000000"/>
          <w:sz w:val="20"/>
          <w:szCs w:val="20"/>
        </w:rPr>
        <w:t>T</w:t>
      </w:r>
      <w:r w:rsidR="005B0E36" w:rsidRPr="00C87FAC">
        <w:rPr>
          <w:rFonts w:ascii="Arial" w:hAnsi="Arial" w:cs="Arial"/>
          <w:color w:val="000000"/>
          <w:sz w:val="20"/>
          <w:szCs w:val="20"/>
        </w:rPr>
        <w:t xml:space="preserve">he methane and CO reactivities </w:t>
      </w:r>
      <w:r w:rsidR="005B0E36" w:rsidRPr="00C87FAC">
        <w:rPr>
          <w:rFonts w:ascii="Arial" w:eastAsiaTheme="minorEastAsia" w:hAnsi="Arial" w:cs="Arial"/>
          <w:color w:val="000000"/>
          <w:sz w:val="20"/>
          <w:szCs w:val="20"/>
        </w:rPr>
        <w:t xml:space="preserve">correlate </w:t>
      </w:r>
      <w:r w:rsidR="005B0E36">
        <w:rPr>
          <w:rFonts w:ascii="Arial" w:eastAsiaTheme="minorEastAsia" w:hAnsi="Arial" w:cs="Arial"/>
          <w:color w:val="000000"/>
          <w:sz w:val="20"/>
          <w:szCs w:val="20"/>
        </w:rPr>
        <w:t xml:space="preserve">across the full ATom dataset </w:t>
      </w:r>
      <w:r w:rsidR="005B0E36" w:rsidRPr="00C87FAC">
        <w:rPr>
          <w:rFonts w:ascii="Arial" w:eastAsiaTheme="minorEastAsia" w:hAnsi="Arial" w:cs="Arial"/>
          <w:color w:val="000000"/>
          <w:sz w:val="20"/>
          <w:szCs w:val="20"/>
        </w:rPr>
        <w:t>(</w:t>
      </w:r>
      <w:r w:rsidR="005B0E36" w:rsidRPr="00220090">
        <w:rPr>
          <w:rFonts w:ascii="Arial" w:eastAsiaTheme="minorEastAsia" w:hAnsi="Arial" w:cs="Arial"/>
          <w:i/>
          <w:iCs/>
          <w:color w:val="000000"/>
          <w:sz w:val="20"/>
          <w:szCs w:val="20"/>
        </w:rPr>
        <w:t>r</w:t>
      </w:r>
      <w:r w:rsidR="005B0E36" w:rsidRPr="00220090">
        <w:rPr>
          <w:rFonts w:ascii="Arial" w:eastAsiaTheme="minorEastAsia" w:hAnsi="Arial" w:cs="Arial"/>
          <w:color w:val="000000"/>
          <w:sz w:val="20"/>
          <w:szCs w:val="20"/>
          <w:vertAlign w:val="superscript"/>
        </w:rPr>
        <w:t>2</w:t>
      </w:r>
      <w:r w:rsidR="005B0E36" w:rsidRPr="00220090">
        <w:rPr>
          <w:rFonts w:ascii="Arial" w:eastAsiaTheme="minorEastAsia" w:hAnsi="Arial" w:cs="Arial"/>
          <w:color w:val="000000"/>
          <w:sz w:val="20"/>
          <w:szCs w:val="20"/>
        </w:rPr>
        <w:t xml:space="preserve"> = 0.5</w:t>
      </w:r>
      <w:r w:rsidR="005B0E36" w:rsidRPr="00ED2E29">
        <w:rPr>
          <w:rFonts w:ascii="Arial" w:eastAsiaTheme="minorEastAsia" w:hAnsi="Arial" w:cs="Arial"/>
          <w:color w:val="000000"/>
          <w:sz w:val="20"/>
          <w:szCs w:val="20"/>
        </w:rPr>
        <w:t>8</w:t>
      </w:r>
      <w:r w:rsidR="005B0E36">
        <w:rPr>
          <w:rFonts w:ascii="Arial" w:eastAsiaTheme="minorEastAsia" w:hAnsi="Arial" w:cs="Arial"/>
          <w:color w:val="000000"/>
          <w:sz w:val="20"/>
          <w:szCs w:val="20"/>
        </w:rPr>
        <w:t>)</w:t>
      </w:r>
      <w:r w:rsidR="00836024">
        <w:rPr>
          <w:rFonts w:ascii="Arial" w:eastAsiaTheme="minorEastAsia" w:hAnsi="Arial" w:cs="Arial"/>
          <w:color w:val="000000"/>
          <w:sz w:val="20"/>
          <w:szCs w:val="20"/>
        </w:rPr>
        <w:t>. Although</w:t>
      </w:r>
      <w:r w:rsidR="005B0E36" w:rsidRPr="005C2F9F">
        <w:rPr>
          <w:rFonts w:ascii="Arial" w:eastAsiaTheme="minorEastAsia" w:hAnsi="Arial" w:cs="Arial"/>
          <w:color w:val="000000"/>
          <w:sz w:val="20"/>
          <w:szCs w:val="20"/>
        </w:rPr>
        <w:t xml:space="preserve"> </w:t>
      </w:r>
      <w:r w:rsidR="00836024">
        <w:rPr>
          <w:rFonts w:ascii="Arial" w:hAnsi="Arial" w:cs="Arial"/>
          <w:color w:val="000000"/>
          <w:sz w:val="20"/>
          <w:szCs w:val="20"/>
        </w:rPr>
        <w:t>using</w:t>
      </w:r>
      <w:r w:rsidR="005B0E36" w:rsidRPr="00E15AA0">
        <w:rPr>
          <w:rFonts w:ascii="Arial" w:hAnsi="Arial" w:cs="Arial"/>
          <w:color w:val="000000"/>
          <w:sz w:val="20"/>
          <w:szCs w:val="20"/>
        </w:rPr>
        <w:t xml:space="preserve"> both CO and methane reactivity </w:t>
      </w:r>
      <w:r w:rsidR="00836024">
        <w:rPr>
          <w:rFonts w:ascii="Arial" w:hAnsi="Arial" w:cs="Arial"/>
          <w:color w:val="000000"/>
          <w:sz w:val="20"/>
          <w:szCs w:val="20"/>
        </w:rPr>
        <w:t>slightly improves the slope of the regression with ∑</w:t>
      </w:r>
      <w:r w:rsidR="00836024" w:rsidRPr="00E41AB5">
        <w:rPr>
          <w:rFonts w:ascii="Arial" w:hAnsi="Arial" w:cs="Arial"/>
          <w:i/>
          <w:iCs/>
          <w:color w:val="000000"/>
          <w:sz w:val="20"/>
          <w:szCs w:val="20"/>
        </w:rPr>
        <w:t>k</w:t>
      </w:r>
      <w:r w:rsidR="00836024" w:rsidRPr="00E41AB5">
        <w:rPr>
          <w:rFonts w:ascii="Arial" w:hAnsi="Arial" w:cs="Arial"/>
          <w:color w:val="000000"/>
          <w:sz w:val="20"/>
          <w:szCs w:val="20"/>
        </w:rPr>
        <w:t>’</w:t>
      </w:r>
      <w:r w:rsidR="00836024" w:rsidRPr="00E41AB5">
        <w:rPr>
          <w:rFonts w:ascii="Arial" w:hAnsi="Arial" w:cs="Arial"/>
          <w:i/>
          <w:iCs/>
          <w:color w:val="000000"/>
          <w:sz w:val="20"/>
          <w:szCs w:val="20"/>
          <w:vertAlign w:val="subscript"/>
        </w:rPr>
        <w:t>OH</w:t>
      </w:r>
      <w:r w:rsidR="00836024">
        <w:rPr>
          <w:rFonts w:ascii="Arial" w:hAnsi="Arial" w:cs="Arial"/>
          <w:color w:val="000000"/>
          <w:sz w:val="20"/>
          <w:szCs w:val="20"/>
        </w:rPr>
        <w:t xml:space="preserve"> (with CO reactivity alone, m = 0.24; when summing CO and methane reactivities, m = 0.37), it </w:t>
      </w:r>
      <w:r w:rsidR="005B0E36" w:rsidRPr="00E15AA0">
        <w:rPr>
          <w:rFonts w:ascii="Arial" w:hAnsi="Arial" w:cs="Arial"/>
          <w:color w:val="000000"/>
          <w:sz w:val="20"/>
          <w:szCs w:val="20"/>
        </w:rPr>
        <w:t xml:space="preserve">does not substantially improve the correlation either over the full dataset or </w:t>
      </w:r>
      <w:r w:rsidR="005B0E36">
        <w:rPr>
          <w:rFonts w:ascii="Arial" w:hAnsi="Arial" w:cs="Arial"/>
          <w:color w:val="000000"/>
          <w:sz w:val="20"/>
          <w:szCs w:val="20"/>
        </w:rPr>
        <w:t xml:space="preserve">within </w:t>
      </w:r>
      <w:r w:rsidR="005B0E36" w:rsidRPr="00E15AA0">
        <w:rPr>
          <w:rFonts w:ascii="Arial" w:hAnsi="Arial" w:cs="Arial"/>
          <w:color w:val="000000"/>
          <w:sz w:val="20"/>
          <w:szCs w:val="20"/>
        </w:rPr>
        <w:t>a given oceanic basin (</w:t>
      </w:r>
      <w:r w:rsidR="005B0E36" w:rsidRPr="00220090">
        <w:rPr>
          <w:rFonts w:ascii="Arial" w:hAnsi="Arial" w:cs="Arial"/>
          <w:color w:val="000000"/>
          <w:sz w:val="20"/>
          <w:szCs w:val="20"/>
        </w:rPr>
        <w:t>Δ</w:t>
      </w:r>
      <w:r w:rsidR="005B0E36" w:rsidRPr="00220090">
        <w:rPr>
          <w:rFonts w:ascii="Arial" w:hAnsi="Arial" w:cs="Arial"/>
          <w:i/>
          <w:iCs/>
          <w:color w:val="000000"/>
          <w:sz w:val="20"/>
          <w:szCs w:val="20"/>
        </w:rPr>
        <w:t>r</w:t>
      </w:r>
      <w:r w:rsidR="005B0E36" w:rsidRPr="00220090">
        <w:rPr>
          <w:rFonts w:ascii="Arial" w:hAnsi="Arial" w:cs="Arial"/>
          <w:color w:val="000000"/>
          <w:sz w:val="20"/>
          <w:szCs w:val="20"/>
          <w:vertAlign w:val="superscript"/>
        </w:rPr>
        <w:t>2</w:t>
      </w:r>
      <w:r w:rsidR="005B0E36" w:rsidRPr="00220090">
        <w:rPr>
          <w:rFonts w:ascii="Arial" w:hAnsi="Arial" w:cs="Arial"/>
          <w:color w:val="000000"/>
          <w:sz w:val="20"/>
          <w:szCs w:val="20"/>
        </w:rPr>
        <w:t xml:space="preserve"> ≤ 0.05</w:t>
      </w:r>
      <w:r w:rsidR="005B0E36" w:rsidRPr="00E15AA0">
        <w:rPr>
          <w:rFonts w:ascii="Arial" w:hAnsi="Arial" w:cs="Arial"/>
          <w:color w:val="000000"/>
          <w:sz w:val="20"/>
          <w:szCs w:val="20"/>
        </w:rPr>
        <w:t xml:space="preserve">). </w:t>
      </w:r>
      <w:r w:rsidR="00223DC2">
        <w:rPr>
          <w:rFonts w:ascii="Arial" w:hAnsi="Arial" w:cs="Arial"/>
          <w:color w:val="000000"/>
          <w:sz w:val="20"/>
          <w:szCs w:val="20"/>
        </w:rPr>
        <w:t>W</w:t>
      </w:r>
      <w:r w:rsidR="00FE7FE5" w:rsidRPr="00FE7FE5">
        <w:rPr>
          <w:rFonts w:ascii="Arial" w:hAnsi="Arial" w:cs="Arial"/>
          <w:color w:val="000000"/>
          <w:sz w:val="20"/>
          <w:szCs w:val="20"/>
        </w:rPr>
        <w:t xml:space="preserve">e </w:t>
      </w:r>
      <w:r w:rsidR="00223DC2">
        <w:rPr>
          <w:rFonts w:ascii="Arial" w:hAnsi="Arial" w:cs="Arial"/>
          <w:color w:val="000000"/>
          <w:sz w:val="20"/>
          <w:szCs w:val="20"/>
        </w:rPr>
        <w:t xml:space="preserve">therefore </w:t>
      </w:r>
      <w:r w:rsidR="005B0E36">
        <w:rPr>
          <w:rFonts w:ascii="Arial" w:hAnsi="Arial" w:cs="Arial"/>
          <w:color w:val="000000"/>
          <w:sz w:val="20"/>
          <w:szCs w:val="20"/>
        </w:rPr>
        <w:t xml:space="preserve">opt for simplicity and </w:t>
      </w:r>
      <w:r w:rsidR="00FE7FE5" w:rsidRPr="00FE7FE5">
        <w:rPr>
          <w:rFonts w:ascii="Arial" w:hAnsi="Arial" w:cs="Arial"/>
          <w:color w:val="000000"/>
          <w:sz w:val="20"/>
          <w:szCs w:val="20"/>
        </w:rPr>
        <w:t xml:space="preserve">represent the OH sink term using </w:t>
      </w:r>
      <w:r w:rsidR="0079556C">
        <w:rPr>
          <w:rFonts w:ascii="Arial" w:hAnsi="Arial" w:cs="Arial"/>
          <w:color w:val="000000"/>
          <w:sz w:val="20"/>
          <w:szCs w:val="20"/>
        </w:rPr>
        <w:t>only</w:t>
      </w:r>
      <w:r w:rsidR="00993547">
        <w:rPr>
          <w:rFonts w:ascii="Arial" w:hAnsi="Arial" w:cs="Arial"/>
          <w:color w:val="000000"/>
          <w:sz w:val="20"/>
          <w:szCs w:val="20"/>
        </w:rPr>
        <w:t xml:space="preserve"> </w:t>
      </w:r>
      <w:r w:rsidR="00FE7FE5" w:rsidRPr="00FE7FE5">
        <w:rPr>
          <w:rFonts w:ascii="Arial" w:hAnsi="Arial" w:cs="Arial"/>
          <w:color w:val="000000"/>
          <w:sz w:val="20"/>
          <w:szCs w:val="20"/>
        </w:rPr>
        <w:t>the</w:t>
      </w:r>
      <w:r w:rsidR="000A1915">
        <w:rPr>
          <w:rFonts w:ascii="Arial" w:hAnsi="Arial" w:cs="Arial"/>
          <w:color w:val="000000"/>
          <w:sz w:val="20"/>
          <w:szCs w:val="20"/>
        </w:rPr>
        <w:t xml:space="preserve"> CO reactivity, </w:t>
      </w:r>
      <w:r w:rsidR="00993547">
        <w:rPr>
          <w:rFonts w:ascii="Arial" w:hAnsi="Arial" w:cs="Arial"/>
          <w:color w:val="000000"/>
          <w:sz w:val="20"/>
          <w:szCs w:val="20"/>
        </w:rPr>
        <w:t xml:space="preserve">or equivalently, </w:t>
      </w:r>
      <w:r w:rsidR="000A1915">
        <w:rPr>
          <w:rFonts w:ascii="Arial" w:hAnsi="Arial" w:cs="Arial"/>
          <w:color w:val="000000"/>
          <w:sz w:val="20"/>
          <w:szCs w:val="20"/>
        </w:rPr>
        <w:t>the</w:t>
      </w:r>
      <w:r w:rsidR="00FE7FE5" w:rsidRPr="00FE7FE5">
        <w:rPr>
          <w:rFonts w:ascii="Arial" w:hAnsi="Arial" w:cs="Arial"/>
          <w:color w:val="000000"/>
          <w:sz w:val="20"/>
          <w:szCs w:val="20"/>
        </w:rPr>
        <w:t xml:space="preserve"> lifetime of OH against its reaction with CO (</w:t>
      </w:r>
      <w:r w:rsidR="00993547">
        <w:rPr>
          <w:rFonts w:ascii="Arial" w:hAnsi="Arial" w:cs="Arial"/>
          <w:color w:val="000000"/>
          <w:sz w:val="20"/>
          <w:szCs w:val="20"/>
        </w:rPr>
        <w:t xml:space="preserve">denoted </w:t>
      </w:r>
      <w:r w:rsidR="00993547" w:rsidRPr="00F47570">
        <w:rPr>
          <w:rFonts w:ascii="Symbol" w:hAnsi="Symbol" w:cs="Arial"/>
          <w:color w:val="000000"/>
        </w:rPr>
        <w:t>t</w:t>
      </w:r>
      <w:r w:rsidR="00FE7FE5" w:rsidRPr="00FE7FE5">
        <w:rPr>
          <w:rFonts w:ascii="Arial" w:hAnsi="Arial" w:cs="Arial"/>
          <w:i/>
          <w:iCs/>
          <w:color w:val="000000"/>
          <w:sz w:val="20"/>
          <w:szCs w:val="20"/>
          <w:vertAlign w:val="subscript"/>
        </w:rPr>
        <w:t>OH,CO</w:t>
      </w:r>
      <w:r w:rsidR="00FE7FE5" w:rsidRPr="00FE7FE5">
        <w:rPr>
          <w:rFonts w:ascii="Arial" w:hAnsi="Arial" w:cs="Arial"/>
          <w:color w:val="000000"/>
          <w:sz w:val="20"/>
          <w:szCs w:val="20"/>
        </w:rPr>
        <w:t xml:space="preserve">, Equation </w:t>
      </w:r>
      <w:r w:rsidR="00126272">
        <w:rPr>
          <w:rFonts w:ascii="Arial" w:hAnsi="Arial" w:cs="Arial"/>
          <w:color w:val="000000"/>
          <w:sz w:val="20"/>
          <w:szCs w:val="20"/>
        </w:rPr>
        <w:t>2</w:t>
      </w:r>
      <w:r w:rsidR="00FE7FE5" w:rsidRPr="00FE7FE5">
        <w:rPr>
          <w:rFonts w:ascii="Arial" w:hAnsi="Arial" w:cs="Arial"/>
          <w:color w:val="000000"/>
          <w:sz w:val="20"/>
          <w:szCs w:val="20"/>
        </w:rPr>
        <w:t>)</w:t>
      </w:r>
      <w:r w:rsidR="005B0E36">
        <w:rPr>
          <w:rFonts w:ascii="Arial" w:hAnsi="Arial" w:cs="Arial"/>
          <w:color w:val="000000"/>
          <w:sz w:val="20"/>
          <w:szCs w:val="20"/>
        </w:rPr>
        <w:t>.</w:t>
      </w:r>
    </w:p>
    <w:p w14:paraId="49336A6B"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2863CB8C" w14:textId="2785E012" w:rsidR="0050723D" w:rsidRPr="00FE7FE5" w:rsidRDefault="00993547"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sidRPr="001B7313">
        <w:rPr>
          <w:rFonts w:ascii="Symbol" w:hAnsi="Symbol" w:cs="Arial"/>
          <w:color w:val="000000"/>
        </w:rPr>
        <w:t>t</w:t>
      </w:r>
      <w:r w:rsidR="00FE7FE5" w:rsidRPr="00FE7FE5">
        <w:rPr>
          <w:rFonts w:ascii="Arial" w:hAnsi="Arial" w:cs="Arial"/>
          <w:i/>
          <w:iCs/>
          <w:color w:val="000000"/>
          <w:sz w:val="20"/>
          <w:szCs w:val="20"/>
          <w:vertAlign w:val="subscript"/>
        </w:rPr>
        <w:t>OH,CO</w:t>
      </w:r>
      <w:r w:rsidR="00FE7FE5" w:rsidRPr="00FE7FE5">
        <w:rPr>
          <w:rFonts w:ascii="Arial" w:hAnsi="Arial" w:cs="Arial"/>
          <w:color w:val="000000"/>
          <w:sz w:val="20"/>
          <w:szCs w:val="20"/>
        </w:rPr>
        <w:t xml:space="preserve"> = </w:t>
      </w:r>
      <m:oMath>
        <m:f>
          <m:fPr>
            <m:ctrlPr>
              <w:rPr>
                <w:rFonts w:ascii="Cambria Math" w:hAnsi="Cambria Math" w:cs="Arial"/>
                <w:i/>
                <w:color w:val="000000"/>
                <w:sz w:val="20"/>
                <w:szCs w:val="20"/>
              </w:rPr>
            </m:ctrlPr>
          </m:fPr>
          <m:num>
            <m:d>
              <m:dPr>
                <m:begChr m:val="["/>
                <m:endChr m:val="]"/>
                <m:ctrlPr>
                  <w:rPr>
                    <w:rFonts w:ascii="Cambria Math" w:hAnsi="Cambria Math" w:cs="Arial"/>
                    <w:i/>
                    <w:color w:val="000000"/>
                    <w:sz w:val="20"/>
                    <w:szCs w:val="20"/>
                  </w:rPr>
                </m:ctrlPr>
              </m:dPr>
              <m:e>
                <m:r>
                  <w:rPr>
                    <w:rFonts w:ascii="Cambria Math" w:hAnsi="Cambria Math" w:cs="Arial"/>
                    <w:color w:val="000000"/>
                    <w:sz w:val="20"/>
                    <w:szCs w:val="20"/>
                  </w:rPr>
                  <m:t>OH</m:t>
                </m:r>
              </m:e>
            </m:d>
          </m:num>
          <m:den>
            <m:sSub>
              <m:sSubPr>
                <m:ctrlPr>
                  <w:rPr>
                    <w:rFonts w:ascii="Cambria Math" w:hAnsi="Cambria Math" w:cs="Arial"/>
                    <w:i/>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CO+OH</m:t>
                </m:r>
              </m:sub>
            </m:sSub>
            <m:d>
              <m:dPr>
                <m:begChr m:val="["/>
                <m:endChr m:val="]"/>
                <m:ctrlPr>
                  <w:rPr>
                    <w:rFonts w:ascii="Cambria Math" w:hAnsi="Cambria Math" w:cs="Arial"/>
                    <w:i/>
                    <w:color w:val="000000"/>
                    <w:sz w:val="20"/>
                    <w:szCs w:val="20"/>
                  </w:rPr>
                </m:ctrlPr>
              </m:dPr>
              <m:e>
                <m:r>
                  <w:rPr>
                    <w:rFonts w:ascii="Cambria Math" w:hAnsi="Cambria Math" w:cs="Arial"/>
                    <w:color w:val="000000"/>
                    <w:sz w:val="20"/>
                    <w:szCs w:val="20"/>
                  </w:rPr>
                  <m:t>CO</m:t>
                </m:r>
              </m:e>
            </m:d>
            <m:d>
              <m:dPr>
                <m:begChr m:val="["/>
                <m:endChr m:val="]"/>
                <m:ctrlPr>
                  <w:rPr>
                    <w:rFonts w:ascii="Cambria Math" w:hAnsi="Cambria Math" w:cs="Arial"/>
                    <w:i/>
                    <w:color w:val="000000"/>
                    <w:sz w:val="20"/>
                    <w:szCs w:val="20"/>
                  </w:rPr>
                </m:ctrlPr>
              </m:dPr>
              <m:e>
                <m:r>
                  <w:rPr>
                    <w:rFonts w:ascii="Cambria Math" w:hAnsi="Cambria Math" w:cs="Arial"/>
                    <w:color w:val="000000"/>
                    <w:sz w:val="20"/>
                    <w:szCs w:val="20"/>
                  </w:rPr>
                  <m:t>OH</m:t>
                </m:r>
              </m:e>
            </m:d>
          </m:den>
        </m:f>
      </m:oMath>
      <w:r w:rsidR="00FE7FE5" w:rsidRPr="00FE7FE5">
        <w:rPr>
          <w:rFonts w:ascii="Arial" w:hAnsi="Arial" w:cs="Arial"/>
          <w:color w:val="000000"/>
          <w:sz w:val="20"/>
          <w:szCs w:val="20"/>
        </w:rPr>
        <w:t xml:space="preserve"> = (</w:t>
      </w:r>
      <m:oMath>
        <m:sSub>
          <m:sSubPr>
            <m:ctrlPr>
              <w:rPr>
                <w:rFonts w:ascii="Cambria Math" w:hAnsi="Cambria Math" w:cs="Arial"/>
                <w:i/>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CO+OH</m:t>
            </m:r>
          </m:sub>
        </m:sSub>
      </m:oMath>
      <w:r w:rsidR="00FE7FE5" w:rsidRPr="00FE7FE5">
        <w:rPr>
          <w:rFonts w:ascii="Arial" w:hAnsi="Arial" w:cs="Arial"/>
          <w:color w:val="000000"/>
          <w:sz w:val="20"/>
          <w:szCs w:val="20"/>
        </w:rPr>
        <w:t>[CO])</w:t>
      </w:r>
      <w:r w:rsidR="00FE7FE5" w:rsidRPr="00FE7FE5">
        <w:rPr>
          <w:rFonts w:ascii="Arial" w:hAnsi="Arial" w:cs="Arial"/>
          <w:color w:val="000000"/>
          <w:sz w:val="20"/>
          <w:szCs w:val="20"/>
          <w:vertAlign w:val="superscript"/>
        </w:rPr>
        <w:t>-1</w:t>
      </w:r>
      <w:r w:rsidR="00FE7FE5" w:rsidRPr="00FE7FE5">
        <w:rPr>
          <w:rFonts w:ascii="Arial" w:hAnsi="Arial" w:cs="Arial"/>
          <w:color w:val="000000"/>
          <w:sz w:val="20"/>
          <w:szCs w:val="20"/>
        </w:rPr>
        <w:t xml:space="preserve"> </w:t>
      </w:r>
      <w:r w:rsidR="00FE7FE5" w:rsidRPr="00FE7FE5">
        <w:rPr>
          <w:rFonts w:ascii="Arial" w:hAnsi="Arial" w:cs="Arial"/>
          <w:color w:val="000000"/>
          <w:sz w:val="20"/>
          <w:szCs w:val="20"/>
        </w:rPr>
        <w:tab/>
      </w:r>
      <w:r w:rsidR="00FE7FE5" w:rsidRPr="00FE7FE5">
        <w:rPr>
          <w:rFonts w:ascii="Arial" w:hAnsi="Arial" w:cs="Arial"/>
          <w:color w:val="000000"/>
          <w:sz w:val="20"/>
          <w:szCs w:val="20"/>
        </w:rPr>
        <w:tab/>
      </w:r>
      <w:r w:rsidR="00FE7FE5" w:rsidRPr="00FE7FE5">
        <w:rPr>
          <w:rFonts w:ascii="Arial" w:hAnsi="Arial" w:cs="Arial"/>
          <w:color w:val="000000"/>
          <w:sz w:val="20"/>
          <w:szCs w:val="20"/>
        </w:rPr>
        <w:tab/>
      </w:r>
      <w:r w:rsidR="00C76531">
        <w:rPr>
          <w:rFonts w:ascii="Arial" w:hAnsi="Arial" w:cs="Arial"/>
          <w:color w:val="000000"/>
          <w:sz w:val="20"/>
          <w:szCs w:val="20"/>
        </w:rPr>
        <w:tab/>
      </w:r>
      <w:r w:rsidR="00C76531">
        <w:rPr>
          <w:rFonts w:ascii="Arial" w:hAnsi="Arial" w:cs="Arial"/>
          <w:color w:val="000000"/>
          <w:sz w:val="20"/>
          <w:szCs w:val="20"/>
        </w:rPr>
        <w:tab/>
      </w:r>
      <w:r w:rsidR="00C76531">
        <w:rPr>
          <w:rFonts w:ascii="Arial" w:hAnsi="Arial" w:cs="Arial"/>
          <w:color w:val="000000"/>
          <w:sz w:val="20"/>
          <w:szCs w:val="20"/>
        </w:rPr>
        <w:tab/>
      </w:r>
      <w:r w:rsidR="00FE7FE5" w:rsidRPr="00FE7FE5">
        <w:rPr>
          <w:rFonts w:ascii="Arial" w:hAnsi="Arial" w:cs="Arial"/>
          <w:color w:val="000000"/>
          <w:sz w:val="20"/>
          <w:szCs w:val="20"/>
        </w:rPr>
        <w:tab/>
        <w:t>[</w:t>
      </w:r>
      <w:r w:rsidR="00126272">
        <w:rPr>
          <w:rFonts w:ascii="Arial" w:hAnsi="Arial" w:cs="Arial"/>
          <w:color w:val="000000"/>
          <w:sz w:val="20"/>
          <w:szCs w:val="20"/>
        </w:rPr>
        <w:t>2</w:t>
      </w:r>
      <w:r w:rsidR="00FE7FE5" w:rsidRPr="00FE7FE5">
        <w:rPr>
          <w:rFonts w:ascii="Arial" w:hAnsi="Arial" w:cs="Arial"/>
          <w:color w:val="000000"/>
          <w:sz w:val="20"/>
          <w:szCs w:val="20"/>
        </w:rPr>
        <w:t>]</w:t>
      </w:r>
    </w:p>
    <w:p w14:paraId="0FD8160C" w14:textId="77777777" w:rsidR="00DA685A" w:rsidRDefault="00DA685A"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2FCFD94F" w14:textId="0B505BBA" w:rsidR="00FE7FE5" w:rsidRP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sidRPr="00FE7FE5">
        <w:rPr>
          <w:rFonts w:ascii="Arial" w:hAnsi="Arial" w:cs="Arial"/>
          <w:color w:val="000000"/>
          <w:sz w:val="20"/>
          <w:szCs w:val="20"/>
        </w:rPr>
        <w:t>As a simplified version of OH steady-state chemistry in the remote</w:t>
      </w:r>
      <w:r w:rsidR="00813150">
        <w:rPr>
          <w:rFonts w:ascii="Arial" w:hAnsi="Arial" w:cs="Arial"/>
          <w:color w:val="000000"/>
          <w:sz w:val="20"/>
          <w:szCs w:val="20"/>
        </w:rPr>
        <w:t xml:space="preserve"> marine</w:t>
      </w:r>
      <w:r w:rsidRPr="00FE7FE5">
        <w:rPr>
          <w:rFonts w:ascii="Arial" w:hAnsi="Arial" w:cs="Arial"/>
          <w:color w:val="000000"/>
          <w:sz w:val="20"/>
          <w:szCs w:val="20"/>
        </w:rPr>
        <w:t xml:space="preserve"> troposphere, 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is a reduced-form model for OH comprising the sum of the O(</w:t>
      </w:r>
      <w:r w:rsidRPr="00FE7FE5">
        <w:rPr>
          <w:rFonts w:ascii="Arial" w:hAnsi="Arial" w:cs="Arial"/>
          <w:color w:val="000000"/>
          <w:sz w:val="20"/>
          <w:szCs w:val="20"/>
          <w:vertAlign w:val="superscript"/>
        </w:rPr>
        <w:t>1</w:t>
      </w:r>
      <w:r w:rsidRPr="00FE7FE5">
        <w:rPr>
          <w:rFonts w:ascii="Arial" w:hAnsi="Arial" w:cs="Arial"/>
          <w:color w:val="000000"/>
          <w:sz w:val="20"/>
          <w:szCs w:val="20"/>
        </w:rPr>
        <w:t>D) + H</w:t>
      </w:r>
      <w:r w:rsidRPr="00FE7FE5">
        <w:rPr>
          <w:rFonts w:ascii="Arial" w:hAnsi="Arial" w:cs="Arial"/>
          <w:color w:val="000000"/>
          <w:sz w:val="20"/>
          <w:szCs w:val="20"/>
          <w:vertAlign w:val="subscript"/>
        </w:rPr>
        <w:t>2</w:t>
      </w:r>
      <w:r w:rsidRPr="00FE7FE5">
        <w:rPr>
          <w:rFonts w:ascii="Arial" w:hAnsi="Arial" w:cs="Arial"/>
          <w:color w:val="000000"/>
          <w:sz w:val="20"/>
          <w:szCs w:val="20"/>
        </w:rPr>
        <w:t>O and HO</w:t>
      </w:r>
      <w:r w:rsidRPr="00FE7FE5">
        <w:rPr>
          <w:rFonts w:ascii="Arial" w:hAnsi="Arial" w:cs="Arial"/>
          <w:color w:val="000000"/>
          <w:sz w:val="20"/>
          <w:szCs w:val="20"/>
          <w:vertAlign w:val="subscript"/>
        </w:rPr>
        <w:t>2</w:t>
      </w:r>
      <w:r w:rsidRPr="00FE7FE5">
        <w:rPr>
          <w:rFonts w:ascii="Arial" w:hAnsi="Arial" w:cs="Arial"/>
          <w:color w:val="000000"/>
          <w:sz w:val="20"/>
          <w:szCs w:val="20"/>
        </w:rPr>
        <w:t xml:space="preserve"> + NO reactions scaled by </w:t>
      </w:r>
      <w:r w:rsidR="005F5261" w:rsidRPr="005F5261">
        <w:rPr>
          <w:rFonts w:ascii="Symbol" w:hAnsi="Symbol" w:cs="Arial"/>
          <w:color w:val="000000"/>
          <w:sz w:val="20"/>
          <w:szCs w:val="20"/>
        </w:rPr>
        <w:t>t</w:t>
      </w:r>
      <w:r w:rsidRPr="00FE7FE5">
        <w:rPr>
          <w:rFonts w:ascii="Arial" w:hAnsi="Arial" w:cs="Arial"/>
          <w:i/>
          <w:iCs/>
          <w:color w:val="000000"/>
          <w:sz w:val="20"/>
          <w:szCs w:val="20"/>
          <w:vertAlign w:val="subscript"/>
        </w:rPr>
        <w:t>OH,CO</w:t>
      </w:r>
      <w:r w:rsidRPr="00FE7FE5">
        <w:rPr>
          <w:rFonts w:ascii="Arial" w:hAnsi="Arial" w:cs="Arial"/>
          <w:color w:val="000000"/>
          <w:sz w:val="20"/>
          <w:szCs w:val="20"/>
        </w:rPr>
        <w:t xml:space="preserve"> (Equation </w:t>
      </w:r>
      <w:r w:rsidR="00126272">
        <w:rPr>
          <w:rFonts w:ascii="Arial" w:hAnsi="Arial" w:cs="Arial"/>
          <w:color w:val="000000"/>
          <w:sz w:val="20"/>
          <w:szCs w:val="20"/>
        </w:rPr>
        <w:t>3</w:t>
      </w:r>
      <w:r w:rsidRPr="00FE7FE5">
        <w:rPr>
          <w:rFonts w:ascii="Arial" w:hAnsi="Arial" w:cs="Arial"/>
          <w:color w:val="000000"/>
          <w:sz w:val="20"/>
          <w:szCs w:val="20"/>
        </w:rPr>
        <w:t>).</w:t>
      </w:r>
      <w:r w:rsidR="00223DC2">
        <w:rPr>
          <w:rFonts w:ascii="Arial" w:hAnsi="Arial" w:cs="Arial"/>
          <w:color w:val="000000"/>
          <w:sz w:val="20"/>
          <w:szCs w:val="20"/>
        </w:rPr>
        <w:t xml:space="preserve"> </w:t>
      </w:r>
    </w:p>
    <w:p w14:paraId="42BBAE87"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53D06C10" w14:textId="198E1067" w:rsidR="00FE7FE5" w:rsidRP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r w:rsidRPr="00FE7FE5">
        <w:rPr>
          <w:rFonts w:ascii="Arial" w:hAnsi="Arial" w:cs="Arial"/>
          <w:color w:val="000000"/>
          <w:sz w:val="20"/>
          <w:szCs w:val="20"/>
        </w:rPr>
        <w:t>Proxy</w:t>
      </w:r>
      <w:r w:rsidRPr="00FE7FE5">
        <w:rPr>
          <w:rFonts w:ascii="Arial" w:hAnsi="Arial" w:cs="Arial"/>
          <w:i/>
          <w:iCs/>
          <w:color w:val="000000"/>
          <w:sz w:val="20"/>
          <w:szCs w:val="20"/>
          <w:vertAlign w:val="subscript"/>
        </w:rPr>
        <w:t>OH</w:t>
      </w:r>
      <w:r w:rsidRPr="00FE7FE5">
        <w:rPr>
          <w:rFonts w:ascii="Arial" w:hAnsi="Arial" w:cs="Arial"/>
          <w:color w:val="000000"/>
          <w:sz w:val="20"/>
          <w:szCs w:val="20"/>
        </w:rPr>
        <w:t xml:space="preserve"> = P</w:t>
      </w:r>
      <w:r w:rsidRPr="00FE7FE5">
        <w:rPr>
          <w:rFonts w:ascii="Arial" w:hAnsi="Arial" w:cs="Arial"/>
          <w:i/>
          <w:iCs/>
          <w:color w:val="000000"/>
          <w:sz w:val="20"/>
          <w:szCs w:val="20"/>
          <w:vertAlign w:val="subscript"/>
        </w:rPr>
        <w:t>OH</w:t>
      </w:r>
      <w:r w:rsidR="005F5261" w:rsidRPr="00F47570">
        <w:rPr>
          <w:rFonts w:ascii="Symbol" w:hAnsi="Symbol" w:cs="Arial"/>
          <w:color w:val="000000"/>
          <w:sz w:val="20"/>
          <w:szCs w:val="20"/>
        </w:rPr>
        <w:t>t</w:t>
      </w:r>
      <w:r w:rsidRPr="00FE7FE5">
        <w:rPr>
          <w:rFonts w:ascii="Arial" w:hAnsi="Arial" w:cs="Arial"/>
          <w:i/>
          <w:iCs/>
          <w:color w:val="000000"/>
          <w:sz w:val="20"/>
          <w:szCs w:val="20"/>
          <w:vertAlign w:val="subscript"/>
        </w:rPr>
        <w:t>OH,CO</w:t>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r>
      <w:r w:rsidRPr="00FE7FE5">
        <w:rPr>
          <w:rFonts w:ascii="Arial" w:hAnsi="Arial" w:cs="Arial"/>
          <w:color w:val="000000"/>
          <w:sz w:val="20"/>
          <w:szCs w:val="20"/>
        </w:rPr>
        <w:tab/>
        <w:t>[</w:t>
      </w:r>
      <w:r w:rsidR="00126272">
        <w:rPr>
          <w:rFonts w:ascii="Arial" w:hAnsi="Arial" w:cs="Arial"/>
          <w:color w:val="000000"/>
          <w:sz w:val="20"/>
          <w:szCs w:val="20"/>
        </w:rPr>
        <w:t>3</w:t>
      </w:r>
      <w:r w:rsidRPr="00FE7FE5">
        <w:rPr>
          <w:rFonts w:ascii="Arial" w:hAnsi="Arial" w:cs="Arial"/>
          <w:color w:val="000000"/>
          <w:sz w:val="20"/>
          <w:szCs w:val="20"/>
        </w:rPr>
        <w:t>]</w:t>
      </w:r>
    </w:p>
    <w:p w14:paraId="275E21DE"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52B4E9C0" w14:textId="23019A0E" w:rsidR="00980C22" w:rsidRPr="00344DD9" w:rsidRDefault="00561D7B" w:rsidP="00FE7FE5">
      <w:pPr>
        <w:keepNext/>
        <w:pBdr>
          <w:top w:val="nil"/>
          <w:left w:val="nil"/>
          <w:bottom w:val="nil"/>
          <w:right w:val="nil"/>
          <w:between w:val="nil"/>
        </w:pBdr>
        <w:spacing w:before="240" w:after="60"/>
        <w:contextualSpacing/>
        <w:jc w:val="both"/>
        <w:rPr>
          <w:rFonts w:ascii="Arial" w:hAnsi="Arial" w:cs="Arial"/>
          <w:bCs/>
          <w:color w:val="000000"/>
          <w:sz w:val="20"/>
          <w:szCs w:val="20"/>
        </w:rPr>
      </w:pPr>
      <w:r>
        <w:rPr>
          <w:rFonts w:ascii="Arial" w:hAnsi="Arial" w:cs="Arial"/>
          <w:color w:val="000000"/>
          <w:sz w:val="20"/>
          <w:szCs w:val="20"/>
        </w:rPr>
        <w:t>Combin</w:t>
      </w:r>
      <w:r w:rsidR="00344DD9">
        <w:rPr>
          <w:rFonts w:ascii="Arial" w:hAnsi="Arial" w:cs="Arial"/>
          <w:color w:val="000000"/>
          <w:sz w:val="20"/>
          <w:szCs w:val="20"/>
        </w:rPr>
        <w:t xml:space="preserve">ing the ATom observations directly </w:t>
      </w:r>
      <w:r>
        <w:rPr>
          <w:rFonts w:ascii="Arial" w:hAnsi="Arial" w:cs="Arial"/>
          <w:color w:val="000000"/>
          <w:sz w:val="20"/>
          <w:szCs w:val="20"/>
        </w:rPr>
        <w:t xml:space="preserve">with reaction rate coefficients </w:t>
      </w:r>
      <w:r>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{"citationID":"4bm4zIaB","properties":{"formattedCitation":"(35)","plainCitation":"(35)","noteIndex":0},"citationItems":[{"id":539,"uris":["http://zotero.org/users/9309103/items/22EDA6KP"],"itemData":{"id":539,"type":"document","publisher":"JPL Publication 15-10, Jet Propulsion Laboratory, Pasadena","title":"Chemical Kinetics and Photochemical Data for Use in Atmospheric Studies, Evaluation No. 18","URL":"http://jpldataeval.jpl.nasa.gov","author":[{"family":"Burkholder","given":"J. B."},{"family":"Sander","given":"S. P."},{"family":"Abbatt","given":"J."},{"family":"Barker","given":"J. R."},{"family":"Huie","given":"R. E."},{"family":"Kolb","given":"C. E."},{"family":"Kurylo","given":"M. J."},{"family":"Orkin","given":"V. L."},{"family":"Wilmouth","given":"D. M."},{"family":"Wine","given":"P. H."}],"issued":{"date-parts":[["2015"]]}}}],"schema":"https://github.com/citation-style-language/schema/raw/master/csl-citation.json"} </w:instrText>
      </w:r>
      <w:r>
        <w:rPr>
          <w:rFonts w:ascii="Arial" w:hAnsi="Arial" w:cs="Arial"/>
          <w:color w:val="000000"/>
          <w:sz w:val="20"/>
          <w:szCs w:val="20"/>
        </w:rPr>
        <w:fldChar w:fldCharType="separate"/>
      </w:r>
      <w:r w:rsidR="00CC64F9" w:rsidRPr="00CC64F9">
        <w:rPr>
          <w:rFonts w:ascii="Arial" w:hAnsi="Arial" w:cs="Arial"/>
          <w:sz w:val="20"/>
        </w:rPr>
        <w:t>(35)</w:t>
      </w:r>
      <w:r>
        <w:rPr>
          <w:rFonts w:ascii="Arial" w:hAnsi="Arial" w:cs="Arial"/>
          <w:color w:val="000000"/>
          <w:sz w:val="20"/>
          <w:szCs w:val="20"/>
        </w:rPr>
        <w:fldChar w:fldCharType="end"/>
      </w:r>
      <w:r>
        <w:rPr>
          <w:rFonts w:ascii="Arial" w:hAnsi="Arial" w:cs="Arial"/>
          <w:color w:val="000000"/>
          <w:sz w:val="20"/>
          <w:szCs w:val="20"/>
        </w:rPr>
        <w:t xml:space="preserve">, we </w:t>
      </w:r>
      <w:r w:rsidR="00344DD9">
        <w:rPr>
          <w:rFonts w:ascii="Arial" w:hAnsi="Arial" w:cs="Arial"/>
          <w:color w:val="000000"/>
          <w:sz w:val="20"/>
          <w:szCs w:val="20"/>
        </w:rPr>
        <w:t xml:space="preserve">demonstrate that alternative proxy formulations do not improve upon </w:t>
      </w:r>
      <w:r w:rsidR="00344DD9" w:rsidRPr="00393142">
        <w:rPr>
          <w:rFonts w:ascii="Arial" w:hAnsi="Arial" w:cs="Arial"/>
          <w:color w:val="000000"/>
          <w:sz w:val="20"/>
          <w:szCs w:val="20"/>
        </w:rPr>
        <w:t xml:space="preserve">the </w:t>
      </w:r>
      <w:r w:rsidR="00344DD9" w:rsidRPr="00C86A3E">
        <w:rPr>
          <w:rFonts w:ascii="Arial" w:hAnsi="Arial" w:cs="Arial"/>
          <w:color w:val="000000"/>
          <w:sz w:val="20"/>
          <w:szCs w:val="20"/>
        </w:rPr>
        <w:t>Proxy</w:t>
      </w:r>
      <w:r w:rsidR="00344DD9" w:rsidRPr="00000DA1">
        <w:rPr>
          <w:rFonts w:ascii="Arial" w:hAnsi="Arial" w:cs="Arial"/>
          <w:i/>
          <w:iCs/>
          <w:color w:val="000000"/>
          <w:sz w:val="20"/>
          <w:szCs w:val="20"/>
          <w:vertAlign w:val="subscript"/>
        </w:rPr>
        <w:t>OH</w:t>
      </w:r>
      <w:r w:rsidR="00344DD9" w:rsidRPr="00000DA1">
        <w:rPr>
          <w:rFonts w:ascii="Arial" w:hAnsi="Arial" w:cs="Arial"/>
          <w:color w:val="000000"/>
          <w:sz w:val="20"/>
          <w:szCs w:val="20"/>
        </w:rPr>
        <w:t xml:space="preserve"> </w:t>
      </w:r>
      <w:r w:rsidR="006976B9" w:rsidRPr="001C08EE">
        <w:rPr>
          <w:rFonts w:ascii="Arial" w:hAnsi="Arial" w:cs="Arial"/>
          <w:color w:val="000000"/>
          <w:sz w:val="20"/>
          <w:szCs w:val="20"/>
        </w:rPr>
        <w:t>fit</w:t>
      </w:r>
      <w:r w:rsidR="006976B9" w:rsidRPr="00393142">
        <w:rPr>
          <w:rFonts w:ascii="Arial" w:hAnsi="Arial" w:cs="Arial"/>
          <w:color w:val="000000"/>
          <w:sz w:val="20"/>
          <w:szCs w:val="20"/>
        </w:rPr>
        <w:t xml:space="preserve"> </w:t>
      </w:r>
      <w:r w:rsidR="00344DD9" w:rsidRPr="00C86A3E">
        <w:rPr>
          <w:rFonts w:ascii="Arial" w:hAnsi="Arial" w:cs="Arial"/>
          <w:color w:val="000000"/>
          <w:sz w:val="20"/>
          <w:szCs w:val="20"/>
        </w:rPr>
        <w:t xml:space="preserve">with </w:t>
      </w:r>
      <w:r w:rsidR="006976B9" w:rsidRPr="001C08EE">
        <w:rPr>
          <w:rFonts w:ascii="Arial" w:hAnsi="Arial" w:cs="Arial"/>
          <w:color w:val="000000"/>
          <w:sz w:val="20"/>
          <w:szCs w:val="20"/>
        </w:rPr>
        <w:t>measured</w:t>
      </w:r>
      <w:r w:rsidR="00344DD9" w:rsidRPr="00393142">
        <w:rPr>
          <w:rFonts w:ascii="Arial" w:hAnsi="Arial" w:cs="Arial"/>
          <w:color w:val="000000"/>
          <w:sz w:val="20"/>
          <w:szCs w:val="20"/>
        </w:rPr>
        <w:t xml:space="preserve"> OH </w:t>
      </w:r>
      <w:r w:rsidR="006976B9" w:rsidRPr="001C08EE">
        <w:rPr>
          <w:rFonts w:ascii="Arial" w:hAnsi="Arial" w:cs="Arial"/>
          <w:color w:val="000000"/>
          <w:sz w:val="20"/>
          <w:szCs w:val="20"/>
        </w:rPr>
        <w:t>spatial variations</w:t>
      </w:r>
      <w:r w:rsidR="006976B9" w:rsidRPr="00393142">
        <w:rPr>
          <w:rFonts w:ascii="Arial" w:hAnsi="Arial" w:cs="Arial"/>
          <w:color w:val="000000"/>
          <w:sz w:val="20"/>
          <w:szCs w:val="20"/>
        </w:rPr>
        <w:t xml:space="preserve"> </w:t>
      </w:r>
      <w:r w:rsidR="00344DD9" w:rsidRPr="00C86A3E">
        <w:rPr>
          <w:rFonts w:ascii="Arial" w:hAnsi="Arial" w:cs="Arial"/>
          <w:color w:val="000000"/>
          <w:sz w:val="20"/>
          <w:szCs w:val="20"/>
        </w:rPr>
        <w:t>(section 3</w:t>
      </w:r>
      <w:r w:rsidR="00344DD9" w:rsidRPr="00393142">
        <w:rPr>
          <w:rFonts w:ascii="Arial" w:hAnsi="Arial" w:cs="Arial"/>
          <w:color w:val="000000"/>
          <w:sz w:val="20"/>
          <w:szCs w:val="20"/>
        </w:rPr>
        <w:t>)</w:t>
      </w:r>
      <w:r w:rsidR="006976B9" w:rsidRPr="001C08EE">
        <w:rPr>
          <w:rFonts w:ascii="Arial" w:hAnsi="Arial" w:cs="Arial"/>
          <w:color w:val="000000"/>
          <w:sz w:val="20"/>
          <w:szCs w:val="20"/>
        </w:rPr>
        <w:t xml:space="preserve">, though </w:t>
      </w:r>
      <w:r w:rsidR="00393142" w:rsidRPr="001C08EE">
        <w:rPr>
          <w:rFonts w:ascii="Arial" w:hAnsi="Arial" w:cs="Arial"/>
          <w:color w:val="000000"/>
          <w:sz w:val="20"/>
          <w:szCs w:val="20"/>
        </w:rPr>
        <w:t>some</w:t>
      </w:r>
      <w:r w:rsidR="006976B9" w:rsidRPr="001C08EE">
        <w:rPr>
          <w:rFonts w:ascii="Arial" w:hAnsi="Arial" w:cs="Arial"/>
          <w:color w:val="000000"/>
          <w:sz w:val="20"/>
          <w:szCs w:val="20"/>
        </w:rPr>
        <w:t xml:space="preserve"> formulations </w:t>
      </w:r>
      <w:r w:rsidR="00393142" w:rsidRPr="001C08EE">
        <w:rPr>
          <w:rFonts w:ascii="Arial" w:hAnsi="Arial" w:cs="Arial"/>
          <w:color w:val="000000"/>
          <w:sz w:val="20"/>
          <w:szCs w:val="20"/>
        </w:rPr>
        <w:t xml:space="preserve">provide more comprehensive insight into </w:t>
      </w:r>
      <w:r w:rsidR="006976B9" w:rsidRPr="001C08EE">
        <w:rPr>
          <w:rFonts w:ascii="Arial" w:hAnsi="Arial" w:cs="Arial"/>
          <w:color w:val="000000"/>
          <w:sz w:val="20"/>
          <w:szCs w:val="20"/>
        </w:rPr>
        <w:t>the observed OH magnitude</w:t>
      </w:r>
      <w:r w:rsidR="00393142">
        <w:rPr>
          <w:rFonts w:ascii="Arial" w:hAnsi="Arial" w:cs="Arial"/>
          <w:color w:val="000000"/>
          <w:sz w:val="20"/>
          <w:szCs w:val="20"/>
        </w:rPr>
        <w:t xml:space="preserve"> (section 4)</w:t>
      </w:r>
      <w:r w:rsidR="00344DD9" w:rsidRPr="00393142">
        <w:rPr>
          <w:rFonts w:ascii="Arial" w:hAnsi="Arial" w:cs="Arial"/>
          <w:color w:val="000000"/>
          <w:sz w:val="20"/>
          <w:szCs w:val="20"/>
        </w:rPr>
        <w:t>.</w:t>
      </w:r>
      <w:r w:rsidR="00344DD9">
        <w:rPr>
          <w:rFonts w:ascii="Arial" w:hAnsi="Arial" w:cs="Arial"/>
          <w:color w:val="000000"/>
          <w:sz w:val="20"/>
          <w:szCs w:val="20"/>
        </w:rPr>
        <w:t xml:space="preserve"> </w:t>
      </w:r>
      <w:r w:rsidR="00FE7FE5" w:rsidRPr="00FE7FE5">
        <w:rPr>
          <w:rFonts w:ascii="Arial" w:hAnsi="Arial" w:cs="Arial"/>
          <w:color w:val="000000"/>
          <w:sz w:val="20"/>
          <w:szCs w:val="20"/>
        </w:rPr>
        <w:t>The remainder of this manuscript uses the ATom measurements directly (in other words, the F0AM box model is not used).</w:t>
      </w:r>
    </w:p>
    <w:p w14:paraId="584ECAF4" w14:textId="77777777" w:rsidR="00FE7FE5" w:rsidRDefault="00FE7FE5" w:rsidP="00FE7FE5">
      <w:pPr>
        <w:keepNext/>
        <w:pBdr>
          <w:top w:val="nil"/>
          <w:left w:val="nil"/>
          <w:bottom w:val="nil"/>
          <w:right w:val="nil"/>
          <w:between w:val="nil"/>
        </w:pBdr>
        <w:spacing w:before="240" w:after="60"/>
        <w:contextualSpacing/>
        <w:jc w:val="both"/>
        <w:rPr>
          <w:rFonts w:ascii="Arial" w:hAnsi="Arial" w:cs="Arial"/>
          <w:color w:val="000000"/>
          <w:sz w:val="20"/>
          <w:szCs w:val="20"/>
        </w:rPr>
      </w:pPr>
    </w:p>
    <w:p w14:paraId="394D3789" w14:textId="7A180BD7" w:rsidR="00FE7FE5" w:rsidRDefault="007F380D" w:rsidP="00FE7FE5">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color w:val="000000"/>
          <w:sz w:val="20"/>
          <w:szCs w:val="20"/>
        </w:rPr>
        <w:t xml:space="preserve">3. </w:t>
      </w:r>
      <w:r w:rsidRPr="007F380D">
        <w:rPr>
          <w:rFonts w:ascii="Arial" w:hAnsi="Arial" w:cs="Arial"/>
          <w:b/>
          <w:color w:val="000000"/>
          <w:sz w:val="20"/>
          <w:szCs w:val="20"/>
        </w:rPr>
        <w:t>Proxy</w:t>
      </w:r>
      <w:r w:rsidRPr="007F380D">
        <w:rPr>
          <w:rFonts w:ascii="Arial" w:hAnsi="Arial" w:cs="Arial"/>
          <w:b/>
          <w:i/>
          <w:iCs/>
          <w:color w:val="000000"/>
          <w:sz w:val="20"/>
          <w:szCs w:val="20"/>
          <w:vertAlign w:val="subscript"/>
        </w:rPr>
        <w:t>OH</w:t>
      </w:r>
      <w:r w:rsidRPr="007F380D">
        <w:rPr>
          <w:rFonts w:ascii="Arial" w:hAnsi="Arial" w:cs="Arial"/>
          <w:b/>
          <w:color w:val="000000"/>
          <w:sz w:val="20"/>
          <w:szCs w:val="20"/>
        </w:rPr>
        <w:t xml:space="preserve"> captures much of the </w:t>
      </w:r>
      <w:r w:rsidR="00993547">
        <w:rPr>
          <w:rFonts w:ascii="Arial" w:hAnsi="Arial" w:cs="Arial"/>
          <w:b/>
          <w:color w:val="000000"/>
          <w:sz w:val="20"/>
          <w:szCs w:val="20"/>
        </w:rPr>
        <w:t>ATom-</w:t>
      </w:r>
      <w:r w:rsidRPr="007F380D">
        <w:rPr>
          <w:rFonts w:ascii="Arial" w:hAnsi="Arial" w:cs="Arial"/>
          <w:b/>
          <w:color w:val="000000"/>
          <w:sz w:val="20"/>
          <w:szCs w:val="20"/>
        </w:rPr>
        <w:t xml:space="preserve">observed </w:t>
      </w:r>
      <w:r w:rsidR="00567367" w:rsidRPr="007F380D">
        <w:rPr>
          <w:rFonts w:ascii="Arial" w:hAnsi="Arial" w:cs="Arial"/>
          <w:b/>
          <w:color w:val="000000"/>
          <w:sz w:val="20"/>
          <w:szCs w:val="20"/>
        </w:rPr>
        <w:t>varia</w:t>
      </w:r>
      <w:r w:rsidR="00567367">
        <w:rPr>
          <w:rFonts w:ascii="Arial" w:hAnsi="Arial" w:cs="Arial"/>
          <w:b/>
          <w:color w:val="000000"/>
          <w:sz w:val="20"/>
          <w:szCs w:val="20"/>
        </w:rPr>
        <w:t>tions</w:t>
      </w:r>
      <w:r w:rsidR="00567367" w:rsidRPr="007F380D">
        <w:rPr>
          <w:rFonts w:ascii="Arial" w:hAnsi="Arial" w:cs="Arial"/>
          <w:b/>
          <w:color w:val="000000"/>
          <w:sz w:val="20"/>
          <w:szCs w:val="20"/>
        </w:rPr>
        <w:t xml:space="preserve"> </w:t>
      </w:r>
      <w:r w:rsidRPr="007F380D">
        <w:rPr>
          <w:rFonts w:ascii="Arial" w:hAnsi="Arial" w:cs="Arial"/>
          <w:b/>
          <w:color w:val="000000"/>
          <w:sz w:val="20"/>
          <w:szCs w:val="20"/>
        </w:rPr>
        <w:t>in OH</w:t>
      </w:r>
    </w:p>
    <w:p w14:paraId="687F6A81" w14:textId="77777777" w:rsidR="00567367" w:rsidRDefault="00567367" w:rsidP="007F380D">
      <w:pPr>
        <w:keepNext/>
        <w:pBdr>
          <w:top w:val="nil"/>
          <w:left w:val="nil"/>
          <w:bottom w:val="nil"/>
          <w:right w:val="nil"/>
          <w:between w:val="nil"/>
        </w:pBdr>
        <w:spacing w:before="240" w:after="60"/>
        <w:contextualSpacing/>
        <w:rPr>
          <w:rFonts w:ascii="Arial" w:hAnsi="Arial" w:cs="Arial"/>
          <w:bCs/>
          <w:color w:val="000000"/>
          <w:sz w:val="20"/>
          <w:szCs w:val="20"/>
        </w:rPr>
      </w:pPr>
    </w:p>
    <w:p w14:paraId="7809112B" w14:textId="6C39F329" w:rsidR="00567367" w:rsidRDefault="007F380D" w:rsidP="007F380D">
      <w:pPr>
        <w:keepNext/>
        <w:pBdr>
          <w:top w:val="nil"/>
          <w:left w:val="nil"/>
          <w:bottom w:val="nil"/>
          <w:right w:val="nil"/>
          <w:between w:val="nil"/>
        </w:pBdr>
        <w:spacing w:before="240" w:after="60"/>
        <w:contextualSpacing/>
        <w:rPr>
          <w:rFonts w:ascii="Arial" w:hAnsi="Arial" w:cs="Arial"/>
          <w:bCs/>
          <w:color w:val="000000"/>
          <w:sz w:val="20"/>
          <w:szCs w:val="20"/>
        </w:rPr>
      </w:pPr>
      <w:r w:rsidRPr="007F380D">
        <w:rPr>
          <w:rFonts w:ascii="Arial" w:hAnsi="Arial" w:cs="Arial"/>
          <w:bCs/>
          <w:color w:val="000000"/>
          <w:sz w:val="20"/>
          <w:szCs w:val="20"/>
        </w:rPr>
        <w:t>We assess the skill of Proxy</w:t>
      </w:r>
      <w:r w:rsidRPr="007F380D">
        <w:rPr>
          <w:rFonts w:ascii="Arial" w:hAnsi="Arial" w:cs="Arial"/>
          <w:bCs/>
          <w:i/>
          <w:iCs/>
          <w:color w:val="000000"/>
          <w:sz w:val="20"/>
          <w:szCs w:val="20"/>
          <w:vertAlign w:val="subscript"/>
        </w:rPr>
        <w:t>OH</w:t>
      </w:r>
      <w:r w:rsidRPr="007F380D">
        <w:rPr>
          <w:rFonts w:ascii="Arial" w:hAnsi="Arial" w:cs="Arial"/>
          <w:bCs/>
          <w:color w:val="000000"/>
          <w:sz w:val="20"/>
          <w:szCs w:val="20"/>
        </w:rPr>
        <w:t xml:space="preserve">, calculated </w:t>
      </w:r>
      <w:r w:rsidR="00611E86">
        <w:rPr>
          <w:rFonts w:ascii="Arial" w:hAnsi="Arial" w:cs="Arial"/>
          <w:bCs/>
          <w:color w:val="000000"/>
          <w:sz w:val="20"/>
          <w:szCs w:val="20"/>
        </w:rPr>
        <w:t xml:space="preserve">directly </w:t>
      </w:r>
      <w:r w:rsidRPr="007F380D">
        <w:rPr>
          <w:rFonts w:ascii="Arial" w:hAnsi="Arial" w:cs="Arial"/>
          <w:bCs/>
          <w:color w:val="000000"/>
          <w:sz w:val="20"/>
          <w:szCs w:val="20"/>
        </w:rPr>
        <w:t xml:space="preserve">from the ATom observations, </w:t>
      </w:r>
      <w:r w:rsidR="00C75638">
        <w:rPr>
          <w:rFonts w:ascii="Arial" w:hAnsi="Arial" w:cs="Arial"/>
          <w:bCs/>
          <w:color w:val="000000"/>
          <w:sz w:val="20"/>
          <w:szCs w:val="20"/>
        </w:rPr>
        <w:t xml:space="preserve">in predicting </w:t>
      </w:r>
      <w:r w:rsidRPr="007F380D">
        <w:rPr>
          <w:rFonts w:ascii="Arial" w:hAnsi="Arial" w:cs="Arial"/>
          <w:bCs/>
          <w:color w:val="000000"/>
          <w:sz w:val="20"/>
          <w:szCs w:val="20"/>
        </w:rPr>
        <w:t>measure</w:t>
      </w:r>
      <w:r w:rsidR="00C75638">
        <w:rPr>
          <w:rFonts w:ascii="Arial" w:hAnsi="Arial" w:cs="Arial"/>
          <w:bCs/>
          <w:color w:val="000000"/>
          <w:sz w:val="20"/>
          <w:szCs w:val="20"/>
        </w:rPr>
        <w:t xml:space="preserve">d OH variations </w:t>
      </w:r>
      <w:r w:rsidRPr="007F380D">
        <w:rPr>
          <w:rFonts w:ascii="Arial" w:hAnsi="Arial" w:cs="Arial"/>
          <w:bCs/>
          <w:color w:val="000000"/>
          <w:sz w:val="20"/>
          <w:szCs w:val="20"/>
        </w:rPr>
        <w:t xml:space="preserve">within each bin of our </w:t>
      </w:r>
      <w:r w:rsidR="001D3FF7">
        <w:rPr>
          <w:rFonts w:ascii="Arial" w:hAnsi="Arial" w:cs="Arial"/>
          <w:bCs/>
          <w:color w:val="000000"/>
          <w:sz w:val="20"/>
          <w:szCs w:val="20"/>
        </w:rPr>
        <w:t xml:space="preserve">regional </w:t>
      </w:r>
      <w:r w:rsidRPr="007F380D">
        <w:rPr>
          <w:rFonts w:ascii="Arial" w:hAnsi="Arial" w:cs="Arial"/>
          <w:bCs/>
          <w:color w:val="000000"/>
          <w:sz w:val="20"/>
          <w:szCs w:val="20"/>
        </w:rPr>
        <w:t xml:space="preserve">domain (Figure 1; </w:t>
      </w:r>
      <w:r w:rsidR="00AA7045">
        <w:rPr>
          <w:rFonts w:ascii="Arial" w:hAnsi="Arial" w:cs="Arial"/>
          <w:bCs/>
          <w:color w:val="000000"/>
          <w:sz w:val="20"/>
          <w:szCs w:val="20"/>
        </w:rPr>
        <w:t xml:space="preserve">Methods </w:t>
      </w:r>
      <w:r w:rsidR="00A42EF2">
        <w:rPr>
          <w:rFonts w:ascii="Arial" w:hAnsi="Arial" w:cs="Arial"/>
          <w:bCs/>
          <w:color w:val="000000"/>
          <w:sz w:val="20"/>
          <w:szCs w:val="20"/>
        </w:rPr>
        <w:t>8</w:t>
      </w:r>
      <w:r w:rsidR="00AA7045">
        <w:rPr>
          <w:rFonts w:ascii="Arial" w:hAnsi="Arial" w:cs="Arial"/>
          <w:bCs/>
          <w:color w:val="000000"/>
          <w:sz w:val="20"/>
          <w:szCs w:val="20"/>
        </w:rPr>
        <w:t>.</w:t>
      </w:r>
      <w:r w:rsidRPr="007F380D">
        <w:rPr>
          <w:rFonts w:ascii="Arial" w:hAnsi="Arial" w:cs="Arial"/>
          <w:bCs/>
          <w:color w:val="000000"/>
          <w:sz w:val="20"/>
          <w:szCs w:val="20"/>
        </w:rPr>
        <w:t xml:space="preserve">1.1, </w:t>
      </w:r>
      <w:r w:rsidR="00A42EF2">
        <w:rPr>
          <w:rFonts w:ascii="Arial" w:hAnsi="Arial" w:cs="Arial"/>
          <w:bCs/>
          <w:color w:val="000000"/>
          <w:sz w:val="20"/>
          <w:szCs w:val="20"/>
        </w:rPr>
        <w:t>8</w:t>
      </w:r>
      <w:r w:rsidRPr="007F380D">
        <w:rPr>
          <w:rFonts w:ascii="Arial" w:hAnsi="Arial" w:cs="Arial"/>
          <w:bCs/>
          <w:color w:val="000000"/>
          <w:sz w:val="20"/>
          <w:szCs w:val="20"/>
        </w:rPr>
        <w:t xml:space="preserve">.1.3). We </w:t>
      </w:r>
      <w:r w:rsidR="00C75638">
        <w:rPr>
          <w:rFonts w:ascii="Arial" w:hAnsi="Arial" w:cs="Arial"/>
          <w:bCs/>
          <w:color w:val="000000"/>
          <w:sz w:val="20"/>
          <w:szCs w:val="20"/>
        </w:rPr>
        <w:t>fit the Proxy</w:t>
      </w:r>
      <w:r w:rsidR="00C75638" w:rsidRPr="00F47570">
        <w:rPr>
          <w:rFonts w:ascii="Arial" w:hAnsi="Arial" w:cs="Arial"/>
          <w:bCs/>
          <w:i/>
          <w:iCs/>
          <w:color w:val="000000"/>
          <w:sz w:val="20"/>
          <w:szCs w:val="20"/>
          <w:vertAlign w:val="subscript"/>
        </w:rPr>
        <w:t>OH</w:t>
      </w:r>
      <w:r w:rsidR="00C75638">
        <w:rPr>
          <w:rFonts w:ascii="Arial" w:hAnsi="Arial" w:cs="Arial"/>
          <w:bCs/>
          <w:color w:val="000000"/>
          <w:sz w:val="20"/>
          <w:szCs w:val="20"/>
        </w:rPr>
        <w:t>-</w:t>
      </w:r>
      <w:r w:rsidR="00DA685A">
        <w:rPr>
          <w:rFonts w:ascii="Arial" w:hAnsi="Arial" w:cs="Arial"/>
          <w:bCs/>
          <w:color w:val="000000"/>
          <w:sz w:val="20"/>
          <w:szCs w:val="20"/>
        </w:rPr>
        <w:t>[</w:t>
      </w:r>
      <w:r w:rsidR="00C75638">
        <w:rPr>
          <w:rFonts w:ascii="Arial" w:hAnsi="Arial" w:cs="Arial"/>
          <w:bCs/>
          <w:color w:val="000000"/>
          <w:sz w:val="20"/>
          <w:szCs w:val="20"/>
        </w:rPr>
        <w:t>OH</w:t>
      </w:r>
      <w:r w:rsidR="00DA685A">
        <w:rPr>
          <w:rFonts w:ascii="Arial" w:hAnsi="Arial" w:cs="Arial"/>
          <w:bCs/>
          <w:color w:val="000000"/>
          <w:sz w:val="20"/>
          <w:szCs w:val="20"/>
        </w:rPr>
        <w:t>]</w:t>
      </w:r>
      <w:r w:rsidR="00C75638">
        <w:rPr>
          <w:rFonts w:ascii="Arial" w:hAnsi="Arial" w:cs="Arial"/>
          <w:bCs/>
          <w:color w:val="000000"/>
          <w:sz w:val="20"/>
          <w:szCs w:val="20"/>
        </w:rPr>
        <w:t xml:space="preserve"> regression slope and intercept within each bin </w:t>
      </w:r>
      <w:r w:rsidRPr="007F380D">
        <w:rPr>
          <w:rFonts w:ascii="Arial" w:hAnsi="Arial" w:cs="Arial"/>
          <w:bCs/>
          <w:color w:val="000000"/>
          <w:sz w:val="20"/>
          <w:szCs w:val="20"/>
        </w:rPr>
        <w:t>us</w:t>
      </w:r>
      <w:r w:rsidR="00C75638">
        <w:rPr>
          <w:rFonts w:ascii="Arial" w:hAnsi="Arial" w:cs="Arial"/>
          <w:bCs/>
          <w:color w:val="000000"/>
          <w:sz w:val="20"/>
          <w:szCs w:val="20"/>
        </w:rPr>
        <w:t>ing</w:t>
      </w:r>
      <w:r w:rsidRPr="007F380D">
        <w:rPr>
          <w:rFonts w:ascii="Arial" w:hAnsi="Arial" w:cs="Arial"/>
          <w:bCs/>
          <w:color w:val="000000"/>
          <w:sz w:val="20"/>
          <w:szCs w:val="20"/>
        </w:rPr>
        <w:t xml:space="preserve"> a Bayesian </w:t>
      </w:r>
      <w:r w:rsidR="001007BA">
        <w:rPr>
          <w:rFonts w:ascii="Arial" w:hAnsi="Arial" w:cs="Arial"/>
          <w:bCs/>
          <w:color w:val="000000"/>
          <w:sz w:val="20"/>
          <w:szCs w:val="20"/>
        </w:rPr>
        <w:t>mixed-effects model</w:t>
      </w:r>
      <w:r w:rsidR="00C75638">
        <w:rPr>
          <w:rFonts w:ascii="Arial" w:hAnsi="Arial" w:cs="Arial"/>
          <w:bCs/>
          <w:color w:val="000000"/>
          <w:sz w:val="20"/>
          <w:szCs w:val="20"/>
        </w:rPr>
        <w:t xml:space="preserve"> </w:t>
      </w:r>
      <w:r w:rsidRPr="007F380D">
        <w:rPr>
          <w:rFonts w:ascii="Arial" w:hAnsi="Arial" w:cs="Arial"/>
          <w:bCs/>
          <w:color w:val="000000"/>
          <w:sz w:val="20"/>
          <w:szCs w:val="20"/>
        </w:rPr>
        <w:t>implemented with Markov Chain Monte Carlo (MCMC) simulations</w:t>
      </w:r>
      <w:r w:rsidR="00B9575B">
        <w:rPr>
          <w:rFonts w:ascii="Arial" w:hAnsi="Arial" w:cs="Arial"/>
          <w:bCs/>
          <w:color w:val="000000"/>
          <w:sz w:val="20"/>
          <w:szCs w:val="20"/>
        </w:rPr>
        <w:t xml:space="preserve"> (Methods </w:t>
      </w:r>
      <w:r w:rsidR="00A42EF2">
        <w:rPr>
          <w:rFonts w:ascii="Arial" w:hAnsi="Arial" w:cs="Arial"/>
          <w:bCs/>
          <w:color w:val="000000"/>
          <w:sz w:val="20"/>
          <w:szCs w:val="20"/>
        </w:rPr>
        <w:t>8</w:t>
      </w:r>
      <w:r w:rsidR="00B9575B">
        <w:rPr>
          <w:rFonts w:ascii="Arial" w:hAnsi="Arial" w:cs="Arial"/>
          <w:bCs/>
          <w:color w:val="000000"/>
          <w:sz w:val="20"/>
          <w:szCs w:val="20"/>
        </w:rPr>
        <w:t>.2)</w:t>
      </w:r>
      <w:r w:rsidR="00C75638">
        <w:rPr>
          <w:rFonts w:ascii="Arial" w:hAnsi="Arial" w:cs="Arial"/>
          <w:bCs/>
          <w:color w:val="000000"/>
          <w:sz w:val="20"/>
          <w:szCs w:val="20"/>
        </w:rPr>
        <w:t>. The altitude and latitude are random effects in this mixed-effects model.</w:t>
      </w:r>
      <w:r w:rsidR="00C75638" w:rsidRPr="007F380D">
        <w:rPr>
          <w:rFonts w:ascii="Arial" w:hAnsi="Arial" w:cs="Arial"/>
          <w:bCs/>
          <w:color w:val="000000"/>
          <w:sz w:val="20"/>
          <w:szCs w:val="20"/>
        </w:rPr>
        <w:t xml:space="preserve"> </w:t>
      </w:r>
      <w:r w:rsidR="00B9575B">
        <w:rPr>
          <w:rFonts w:ascii="Arial" w:hAnsi="Arial" w:cs="Arial"/>
          <w:bCs/>
          <w:color w:val="000000"/>
          <w:sz w:val="20"/>
          <w:szCs w:val="20"/>
        </w:rPr>
        <w:t>The Bayesian approach offers an advantage over a frequentist method (</w:t>
      </w:r>
      <w:r w:rsidR="00B9575B" w:rsidRPr="00F47570">
        <w:rPr>
          <w:rFonts w:ascii="Arial" w:hAnsi="Arial" w:cs="Arial"/>
          <w:bCs/>
          <w:i/>
          <w:iCs/>
          <w:color w:val="000000"/>
          <w:sz w:val="20"/>
          <w:szCs w:val="20"/>
        </w:rPr>
        <w:t>e.g.</w:t>
      </w:r>
      <w:r w:rsidR="00B9575B">
        <w:rPr>
          <w:rFonts w:ascii="Arial" w:hAnsi="Arial" w:cs="Arial"/>
          <w:bCs/>
          <w:color w:val="000000"/>
          <w:sz w:val="20"/>
          <w:szCs w:val="20"/>
        </w:rPr>
        <w:t xml:space="preserve">, </w:t>
      </w:r>
      <w:r w:rsidR="0078341D">
        <w:rPr>
          <w:rFonts w:ascii="Arial" w:hAnsi="Arial" w:cs="Arial"/>
          <w:bCs/>
          <w:color w:val="000000"/>
          <w:sz w:val="20"/>
          <w:szCs w:val="20"/>
        </w:rPr>
        <w:t>ordinary least square regression, among other maximum likelihood approaches</w:t>
      </w:r>
      <w:r w:rsidR="00B9575B">
        <w:rPr>
          <w:rFonts w:ascii="Arial" w:hAnsi="Arial" w:cs="Arial"/>
          <w:bCs/>
          <w:color w:val="000000"/>
          <w:sz w:val="20"/>
          <w:szCs w:val="20"/>
        </w:rPr>
        <w:t>)</w:t>
      </w:r>
      <w:r w:rsidRPr="007F380D">
        <w:rPr>
          <w:rFonts w:ascii="Arial" w:hAnsi="Arial" w:cs="Arial"/>
          <w:bCs/>
          <w:color w:val="000000"/>
          <w:sz w:val="20"/>
          <w:szCs w:val="20"/>
        </w:rPr>
        <w:t xml:space="preserve"> </w:t>
      </w:r>
      <w:r w:rsidR="00B9575B">
        <w:rPr>
          <w:rFonts w:ascii="Arial" w:hAnsi="Arial" w:cs="Arial"/>
          <w:bCs/>
          <w:color w:val="000000"/>
          <w:sz w:val="20"/>
          <w:szCs w:val="20"/>
        </w:rPr>
        <w:t>because it evaluates</w:t>
      </w:r>
      <w:r w:rsidR="00B9575B" w:rsidRPr="007F380D">
        <w:rPr>
          <w:rFonts w:ascii="Arial" w:hAnsi="Arial" w:cs="Arial"/>
          <w:bCs/>
          <w:color w:val="000000"/>
          <w:sz w:val="20"/>
          <w:szCs w:val="20"/>
        </w:rPr>
        <w:t xml:space="preserve"> </w:t>
      </w:r>
      <w:r w:rsidR="00B9575B">
        <w:rPr>
          <w:rFonts w:ascii="Arial" w:hAnsi="Arial" w:cs="Arial"/>
          <w:bCs/>
          <w:color w:val="000000"/>
          <w:sz w:val="20"/>
          <w:szCs w:val="20"/>
        </w:rPr>
        <w:t>distributions of Proxy</w:t>
      </w:r>
      <w:r w:rsidR="00B9575B" w:rsidRPr="00F47570">
        <w:rPr>
          <w:rFonts w:ascii="Arial" w:hAnsi="Arial" w:cs="Arial"/>
          <w:bCs/>
          <w:i/>
          <w:iCs/>
          <w:color w:val="000000"/>
          <w:sz w:val="20"/>
          <w:szCs w:val="20"/>
          <w:vertAlign w:val="subscript"/>
        </w:rPr>
        <w:t>OH</w:t>
      </w:r>
      <w:r w:rsidR="00B9575B">
        <w:rPr>
          <w:rFonts w:ascii="Arial" w:hAnsi="Arial" w:cs="Arial"/>
          <w:bCs/>
          <w:color w:val="000000"/>
          <w:sz w:val="20"/>
          <w:szCs w:val="20"/>
        </w:rPr>
        <w:t xml:space="preserve"> and [OH] that </w:t>
      </w:r>
      <w:r w:rsidRPr="007F380D">
        <w:rPr>
          <w:rFonts w:ascii="Arial" w:hAnsi="Arial" w:cs="Arial"/>
          <w:bCs/>
          <w:color w:val="000000"/>
          <w:sz w:val="20"/>
          <w:szCs w:val="20"/>
        </w:rPr>
        <w:t xml:space="preserve">account for </w:t>
      </w:r>
      <w:r w:rsidR="00B9575B">
        <w:rPr>
          <w:rFonts w:ascii="Arial" w:hAnsi="Arial" w:cs="Arial"/>
          <w:bCs/>
          <w:color w:val="000000"/>
          <w:sz w:val="20"/>
          <w:szCs w:val="20"/>
        </w:rPr>
        <w:t xml:space="preserve">the instruments’ </w:t>
      </w:r>
      <w:r w:rsidRPr="007F380D">
        <w:rPr>
          <w:rFonts w:ascii="Arial" w:hAnsi="Arial" w:cs="Arial"/>
          <w:bCs/>
          <w:color w:val="000000"/>
          <w:sz w:val="20"/>
          <w:szCs w:val="20"/>
        </w:rPr>
        <w:t>uncertaint</w:t>
      </w:r>
      <w:r w:rsidR="00B9575B">
        <w:rPr>
          <w:rFonts w:ascii="Arial" w:hAnsi="Arial" w:cs="Arial"/>
          <w:bCs/>
          <w:color w:val="000000"/>
          <w:sz w:val="20"/>
          <w:szCs w:val="20"/>
        </w:rPr>
        <w:t>ies</w:t>
      </w:r>
      <w:r w:rsidRPr="007F380D">
        <w:rPr>
          <w:rFonts w:ascii="Arial" w:hAnsi="Arial" w:cs="Arial"/>
          <w:bCs/>
          <w:color w:val="000000"/>
          <w:sz w:val="20"/>
          <w:szCs w:val="20"/>
        </w:rPr>
        <w:t xml:space="preserve">. </w:t>
      </w:r>
      <w:r w:rsidR="00C75638">
        <w:rPr>
          <w:rFonts w:ascii="Arial" w:hAnsi="Arial" w:cs="Arial"/>
          <w:bCs/>
          <w:color w:val="000000"/>
          <w:sz w:val="20"/>
          <w:szCs w:val="20"/>
        </w:rPr>
        <w:t xml:space="preserve">‘True’ values for OH and the proxy terms (i.e., </w:t>
      </w:r>
      <m:oMath>
        <m:sSub>
          <m:sSubPr>
            <m:ctrlPr>
              <w:rPr>
                <w:rFonts w:ascii="Cambria Math" w:hAnsi="Cambria Math" w:cs="Arial"/>
                <w:bCs/>
                <w:i/>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bCs/>
                    <w:i/>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C75638">
        <w:rPr>
          <w:rFonts w:ascii="Arial" w:eastAsiaTheme="minorEastAsia" w:hAnsi="Arial" w:cs="Arial"/>
          <w:bCs/>
          <w:color w:val="000000"/>
          <w:sz w:val="20"/>
          <w:szCs w:val="20"/>
        </w:rPr>
        <w:t xml:space="preserve"> and the </w:t>
      </w:r>
      <w:r w:rsidR="00C75638">
        <w:rPr>
          <w:rFonts w:ascii="Arial" w:hAnsi="Arial" w:cs="Arial"/>
          <w:bCs/>
          <w:color w:val="000000"/>
          <w:sz w:val="20"/>
          <w:szCs w:val="20"/>
        </w:rPr>
        <w:t>concentrations of H</w:t>
      </w:r>
      <w:r w:rsidR="00C75638" w:rsidRPr="00F47570">
        <w:rPr>
          <w:rFonts w:ascii="Arial" w:hAnsi="Arial" w:cs="Arial"/>
          <w:bCs/>
          <w:color w:val="000000"/>
          <w:sz w:val="20"/>
          <w:szCs w:val="20"/>
          <w:vertAlign w:val="subscript"/>
        </w:rPr>
        <w:t>2</w:t>
      </w:r>
      <w:r w:rsidR="00C75638">
        <w:rPr>
          <w:rFonts w:ascii="Arial" w:hAnsi="Arial" w:cs="Arial"/>
          <w:bCs/>
          <w:color w:val="000000"/>
          <w:sz w:val="20"/>
          <w:szCs w:val="20"/>
        </w:rPr>
        <w:t>O, HO</w:t>
      </w:r>
      <w:r w:rsidR="00C75638" w:rsidRPr="00F47570">
        <w:rPr>
          <w:rFonts w:ascii="Arial" w:hAnsi="Arial" w:cs="Arial"/>
          <w:bCs/>
          <w:color w:val="000000"/>
          <w:sz w:val="20"/>
          <w:szCs w:val="20"/>
          <w:vertAlign w:val="subscript"/>
        </w:rPr>
        <w:t>2</w:t>
      </w:r>
      <w:r w:rsidR="00C75638">
        <w:rPr>
          <w:rFonts w:ascii="Arial" w:hAnsi="Arial" w:cs="Arial"/>
          <w:bCs/>
          <w:color w:val="000000"/>
          <w:sz w:val="20"/>
          <w:szCs w:val="20"/>
        </w:rPr>
        <w:t xml:space="preserve">, NO, etc.) are drawn from normal distributions with mean and variance defined by the measured concentration and error, respectively. </w:t>
      </w:r>
      <w:r w:rsidRPr="007F380D">
        <w:rPr>
          <w:rFonts w:ascii="Arial" w:hAnsi="Arial" w:cs="Arial"/>
          <w:bCs/>
          <w:color w:val="000000"/>
          <w:sz w:val="20"/>
          <w:szCs w:val="20"/>
        </w:rPr>
        <w:t xml:space="preserve">The </w:t>
      </w:r>
      <w:r w:rsidR="001007BA">
        <w:rPr>
          <w:rFonts w:ascii="Arial" w:hAnsi="Arial" w:cs="Arial"/>
          <w:bCs/>
          <w:color w:val="000000"/>
          <w:sz w:val="20"/>
          <w:szCs w:val="20"/>
        </w:rPr>
        <w:t>posterior</w:t>
      </w:r>
      <w:r w:rsidR="00B9575B">
        <w:rPr>
          <w:rFonts w:ascii="Arial" w:hAnsi="Arial" w:cs="Arial"/>
          <w:bCs/>
          <w:color w:val="000000"/>
          <w:sz w:val="20"/>
          <w:szCs w:val="20"/>
        </w:rPr>
        <w:t xml:space="preserve"> distributions</w:t>
      </w:r>
      <w:r w:rsidRPr="007F380D">
        <w:rPr>
          <w:rFonts w:ascii="Arial" w:hAnsi="Arial" w:cs="Arial"/>
          <w:bCs/>
          <w:color w:val="000000"/>
          <w:sz w:val="20"/>
          <w:szCs w:val="20"/>
        </w:rPr>
        <w:t>, Proxy</w:t>
      </w:r>
      <w:r w:rsidRPr="007F380D">
        <w:rPr>
          <w:rFonts w:ascii="Arial" w:hAnsi="Arial" w:cs="Arial"/>
          <w:bCs/>
          <w:i/>
          <w:iCs/>
          <w:color w:val="000000"/>
          <w:sz w:val="20"/>
          <w:szCs w:val="20"/>
          <w:vertAlign w:val="subscript"/>
        </w:rPr>
        <w:t>OH,true</w:t>
      </w:r>
      <w:r w:rsidRPr="007F380D">
        <w:rPr>
          <w:rFonts w:ascii="Arial" w:hAnsi="Arial" w:cs="Arial"/>
          <w:bCs/>
          <w:color w:val="000000"/>
          <w:sz w:val="20"/>
          <w:szCs w:val="20"/>
        </w:rPr>
        <w:t xml:space="preserve"> and [OH]</w:t>
      </w:r>
      <w:r w:rsidRPr="007F380D">
        <w:rPr>
          <w:rFonts w:ascii="Arial" w:hAnsi="Arial" w:cs="Arial"/>
          <w:bCs/>
          <w:i/>
          <w:iCs/>
          <w:color w:val="000000"/>
          <w:sz w:val="20"/>
          <w:szCs w:val="20"/>
          <w:vertAlign w:val="subscript"/>
        </w:rPr>
        <w:t>true</w:t>
      </w:r>
      <w:r w:rsidRPr="007F380D">
        <w:rPr>
          <w:rFonts w:ascii="Arial" w:hAnsi="Arial" w:cs="Arial"/>
          <w:bCs/>
          <w:color w:val="000000"/>
          <w:sz w:val="20"/>
          <w:szCs w:val="20"/>
        </w:rPr>
        <w:t>)</w:t>
      </w:r>
      <w:r w:rsidR="0078341D">
        <w:rPr>
          <w:rFonts w:ascii="Arial" w:hAnsi="Arial" w:cs="Arial"/>
          <w:bCs/>
          <w:color w:val="000000"/>
          <w:sz w:val="20"/>
          <w:szCs w:val="20"/>
        </w:rPr>
        <w:t>,</w:t>
      </w:r>
      <w:r w:rsidRPr="007F380D">
        <w:rPr>
          <w:rFonts w:ascii="Arial" w:hAnsi="Arial" w:cs="Arial"/>
          <w:bCs/>
          <w:color w:val="000000"/>
          <w:sz w:val="20"/>
          <w:szCs w:val="20"/>
        </w:rPr>
        <w:t xml:space="preserve"> are used to </w:t>
      </w:r>
      <w:r w:rsidR="001007BA">
        <w:rPr>
          <w:rFonts w:ascii="Arial" w:hAnsi="Arial" w:cs="Arial"/>
          <w:bCs/>
          <w:color w:val="000000"/>
          <w:sz w:val="20"/>
          <w:szCs w:val="20"/>
        </w:rPr>
        <w:t xml:space="preserve">assess the </w:t>
      </w:r>
      <w:r w:rsidRPr="007F380D">
        <w:rPr>
          <w:rFonts w:ascii="Arial" w:hAnsi="Arial" w:cs="Arial"/>
          <w:bCs/>
          <w:color w:val="000000"/>
          <w:sz w:val="20"/>
          <w:szCs w:val="20"/>
        </w:rPr>
        <w:t>Proxy</w:t>
      </w:r>
      <w:r w:rsidRPr="007F380D">
        <w:rPr>
          <w:rFonts w:ascii="Arial" w:hAnsi="Arial" w:cs="Arial"/>
          <w:bCs/>
          <w:i/>
          <w:iCs/>
          <w:color w:val="000000"/>
          <w:sz w:val="20"/>
          <w:szCs w:val="20"/>
          <w:vertAlign w:val="subscript"/>
        </w:rPr>
        <w:t>OH</w:t>
      </w:r>
      <w:r w:rsidRPr="007F380D">
        <w:rPr>
          <w:rFonts w:ascii="Arial" w:hAnsi="Arial" w:cs="Arial"/>
          <w:bCs/>
          <w:color w:val="000000"/>
          <w:sz w:val="20"/>
          <w:szCs w:val="20"/>
        </w:rPr>
        <w:t xml:space="preserve"> </w:t>
      </w:r>
      <w:r w:rsidR="001007BA">
        <w:rPr>
          <w:rFonts w:ascii="Arial" w:hAnsi="Arial" w:cs="Arial"/>
          <w:bCs/>
          <w:color w:val="000000"/>
          <w:sz w:val="20"/>
          <w:szCs w:val="20"/>
        </w:rPr>
        <w:t xml:space="preserve">predictive skill </w:t>
      </w:r>
      <w:r w:rsidR="0078341D">
        <w:rPr>
          <w:rFonts w:ascii="Arial" w:hAnsi="Arial" w:cs="Arial"/>
          <w:bCs/>
          <w:color w:val="000000"/>
          <w:sz w:val="20"/>
          <w:szCs w:val="20"/>
        </w:rPr>
        <w:t>quantified by</w:t>
      </w:r>
      <w:r w:rsidR="001007BA">
        <w:rPr>
          <w:rFonts w:ascii="Arial" w:hAnsi="Arial" w:cs="Arial"/>
          <w:bCs/>
          <w:color w:val="000000"/>
          <w:sz w:val="20"/>
          <w:szCs w:val="20"/>
        </w:rPr>
        <w:t xml:space="preserve"> the coefficient of determination </w:t>
      </w:r>
      <w:r w:rsidRPr="007F380D">
        <w:rPr>
          <w:rFonts w:ascii="Arial" w:hAnsi="Arial" w:cs="Arial"/>
          <w:bCs/>
          <w:color w:val="000000"/>
          <w:sz w:val="20"/>
          <w:szCs w:val="20"/>
        </w:rPr>
        <w:t xml:space="preserve">and </w:t>
      </w:r>
      <w:r w:rsidR="001007BA">
        <w:rPr>
          <w:rFonts w:ascii="Arial" w:hAnsi="Arial" w:cs="Arial"/>
          <w:bCs/>
          <w:color w:val="000000"/>
          <w:sz w:val="20"/>
          <w:szCs w:val="20"/>
        </w:rPr>
        <w:t xml:space="preserve">slope and intercept </w:t>
      </w:r>
      <w:r w:rsidRPr="007F380D">
        <w:rPr>
          <w:rFonts w:ascii="Arial" w:hAnsi="Arial" w:cs="Arial"/>
          <w:bCs/>
          <w:color w:val="000000"/>
          <w:sz w:val="20"/>
          <w:szCs w:val="20"/>
        </w:rPr>
        <w:t xml:space="preserve">regression parameters. </w:t>
      </w:r>
      <w:r w:rsidR="00455579">
        <w:rPr>
          <w:rFonts w:ascii="Arial" w:hAnsi="Arial" w:cs="Arial"/>
          <w:bCs/>
          <w:color w:val="000000"/>
          <w:sz w:val="20"/>
          <w:szCs w:val="20"/>
        </w:rPr>
        <w:t xml:space="preserve">For comparison, </w:t>
      </w:r>
      <w:r w:rsidR="00AA7045">
        <w:rPr>
          <w:rFonts w:ascii="Arial" w:hAnsi="Arial" w:cs="Arial"/>
          <w:bCs/>
          <w:color w:val="000000"/>
          <w:sz w:val="20"/>
          <w:szCs w:val="20"/>
        </w:rPr>
        <w:t>Figure S</w:t>
      </w:r>
      <w:r w:rsidR="0055402E">
        <w:rPr>
          <w:rFonts w:ascii="Arial" w:hAnsi="Arial" w:cs="Arial"/>
          <w:bCs/>
          <w:color w:val="000000"/>
          <w:sz w:val="20"/>
          <w:szCs w:val="20"/>
        </w:rPr>
        <w:t>6</w:t>
      </w:r>
      <w:r w:rsidR="00AA7045">
        <w:rPr>
          <w:rFonts w:ascii="Arial" w:hAnsi="Arial" w:cs="Arial"/>
          <w:bCs/>
          <w:color w:val="000000"/>
          <w:sz w:val="20"/>
          <w:szCs w:val="20"/>
        </w:rPr>
        <w:t xml:space="preserve"> </w:t>
      </w:r>
      <w:r w:rsidR="00604832">
        <w:rPr>
          <w:rFonts w:ascii="Arial" w:hAnsi="Arial" w:cs="Arial"/>
          <w:bCs/>
          <w:color w:val="000000"/>
          <w:sz w:val="20"/>
          <w:szCs w:val="20"/>
        </w:rPr>
        <w:t xml:space="preserve">shows these parameters when derived by </w:t>
      </w:r>
      <w:r w:rsidR="00B9575B">
        <w:rPr>
          <w:rFonts w:ascii="Arial" w:hAnsi="Arial" w:cs="Arial"/>
          <w:bCs/>
          <w:color w:val="000000"/>
          <w:sz w:val="20"/>
          <w:szCs w:val="20"/>
        </w:rPr>
        <w:t xml:space="preserve">an ordinary least squares </w:t>
      </w:r>
      <w:r w:rsidR="00604832">
        <w:rPr>
          <w:rFonts w:ascii="Arial" w:hAnsi="Arial" w:cs="Arial"/>
          <w:bCs/>
          <w:color w:val="000000"/>
          <w:sz w:val="20"/>
          <w:szCs w:val="20"/>
        </w:rPr>
        <w:t>regression,</w:t>
      </w:r>
      <w:r w:rsidR="00455579">
        <w:rPr>
          <w:rFonts w:ascii="Arial" w:hAnsi="Arial" w:cs="Arial"/>
          <w:bCs/>
          <w:color w:val="000000"/>
          <w:sz w:val="20"/>
          <w:szCs w:val="20"/>
        </w:rPr>
        <w:t xml:space="preserve"> </w:t>
      </w:r>
      <w:r w:rsidR="00604832">
        <w:rPr>
          <w:rFonts w:ascii="Arial" w:hAnsi="Arial" w:cs="Arial"/>
          <w:bCs/>
          <w:color w:val="000000"/>
          <w:sz w:val="20"/>
          <w:szCs w:val="20"/>
        </w:rPr>
        <w:t xml:space="preserve">without </w:t>
      </w:r>
      <w:r w:rsidR="00455579">
        <w:rPr>
          <w:rFonts w:ascii="Arial" w:hAnsi="Arial" w:cs="Arial"/>
          <w:bCs/>
          <w:color w:val="000000"/>
          <w:sz w:val="20"/>
          <w:szCs w:val="20"/>
        </w:rPr>
        <w:t>account</w:t>
      </w:r>
      <w:r w:rsidR="00604832">
        <w:rPr>
          <w:rFonts w:ascii="Arial" w:hAnsi="Arial" w:cs="Arial"/>
          <w:bCs/>
          <w:color w:val="000000"/>
          <w:sz w:val="20"/>
          <w:szCs w:val="20"/>
        </w:rPr>
        <w:t>ing</w:t>
      </w:r>
      <w:r w:rsidR="00455579">
        <w:rPr>
          <w:rFonts w:ascii="Arial" w:hAnsi="Arial" w:cs="Arial"/>
          <w:bCs/>
          <w:color w:val="000000"/>
          <w:sz w:val="20"/>
          <w:szCs w:val="20"/>
        </w:rPr>
        <w:t xml:space="preserve"> for measurement uncertainty</w:t>
      </w:r>
      <w:r w:rsidR="00AA7045">
        <w:rPr>
          <w:rFonts w:ascii="Arial" w:hAnsi="Arial" w:cs="Arial"/>
          <w:bCs/>
          <w:color w:val="000000"/>
          <w:sz w:val="20"/>
          <w:szCs w:val="20"/>
        </w:rPr>
        <w:t>,</w:t>
      </w:r>
      <w:r w:rsidRPr="007F380D">
        <w:rPr>
          <w:rFonts w:ascii="Arial" w:hAnsi="Arial" w:cs="Arial"/>
          <w:bCs/>
          <w:color w:val="000000"/>
          <w:sz w:val="20"/>
          <w:szCs w:val="20"/>
        </w:rPr>
        <w:t xml:space="preserve"> </w:t>
      </w:r>
      <w:r w:rsidR="00455579">
        <w:rPr>
          <w:rFonts w:ascii="Arial" w:hAnsi="Arial" w:cs="Arial"/>
          <w:bCs/>
          <w:color w:val="000000"/>
          <w:sz w:val="20"/>
          <w:szCs w:val="20"/>
        </w:rPr>
        <w:t xml:space="preserve">and </w:t>
      </w:r>
      <w:r w:rsidR="00AA7045">
        <w:rPr>
          <w:rFonts w:ascii="Arial" w:hAnsi="Arial" w:cs="Arial"/>
          <w:bCs/>
          <w:color w:val="000000"/>
          <w:sz w:val="20"/>
          <w:szCs w:val="20"/>
        </w:rPr>
        <w:t>the sample size and Proxy</w:t>
      </w:r>
      <w:r w:rsidR="00AA7045" w:rsidRPr="00AA7045">
        <w:rPr>
          <w:rFonts w:ascii="Arial" w:hAnsi="Arial" w:cs="Arial"/>
          <w:bCs/>
          <w:i/>
          <w:iCs/>
          <w:color w:val="000000"/>
          <w:sz w:val="20"/>
          <w:szCs w:val="20"/>
          <w:vertAlign w:val="subscript"/>
        </w:rPr>
        <w:t>OH</w:t>
      </w:r>
      <w:r w:rsidR="00AA7045">
        <w:rPr>
          <w:rFonts w:ascii="Arial" w:hAnsi="Arial" w:cs="Arial"/>
          <w:bCs/>
          <w:color w:val="000000"/>
          <w:sz w:val="20"/>
          <w:szCs w:val="20"/>
        </w:rPr>
        <w:t xml:space="preserve"> and [OH] </w:t>
      </w:r>
      <w:r w:rsidR="00455579">
        <w:rPr>
          <w:rFonts w:ascii="Arial" w:hAnsi="Arial" w:cs="Arial"/>
          <w:bCs/>
          <w:color w:val="000000"/>
          <w:sz w:val="20"/>
          <w:szCs w:val="20"/>
        </w:rPr>
        <w:t xml:space="preserve">value </w:t>
      </w:r>
      <w:r w:rsidR="00AA7045">
        <w:rPr>
          <w:rFonts w:ascii="Arial" w:hAnsi="Arial" w:cs="Arial"/>
          <w:bCs/>
          <w:color w:val="000000"/>
          <w:sz w:val="20"/>
          <w:szCs w:val="20"/>
        </w:rPr>
        <w:t>range</w:t>
      </w:r>
      <w:r w:rsidR="00455579">
        <w:rPr>
          <w:rFonts w:ascii="Arial" w:hAnsi="Arial" w:cs="Arial"/>
          <w:bCs/>
          <w:color w:val="000000"/>
          <w:sz w:val="20"/>
          <w:szCs w:val="20"/>
        </w:rPr>
        <w:t>s</w:t>
      </w:r>
      <w:r w:rsidR="00AA7045">
        <w:rPr>
          <w:rFonts w:ascii="Arial" w:hAnsi="Arial" w:cs="Arial"/>
          <w:bCs/>
          <w:color w:val="000000"/>
          <w:sz w:val="20"/>
          <w:szCs w:val="20"/>
        </w:rPr>
        <w:t xml:space="preserve"> </w:t>
      </w:r>
      <w:r w:rsidR="00455579">
        <w:rPr>
          <w:rFonts w:ascii="Arial" w:hAnsi="Arial" w:cs="Arial"/>
          <w:bCs/>
          <w:color w:val="000000"/>
          <w:sz w:val="20"/>
          <w:szCs w:val="20"/>
        </w:rPr>
        <w:t xml:space="preserve">within </w:t>
      </w:r>
      <w:r w:rsidR="00AA7045">
        <w:rPr>
          <w:rFonts w:ascii="Arial" w:hAnsi="Arial" w:cs="Arial"/>
          <w:bCs/>
          <w:color w:val="000000"/>
          <w:sz w:val="20"/>
          <w:szCs w:val="20"/>
        </w:rPr>
        <w:t>each spatial bin (the subplot axes in Figure S</w:t>
      </w:r>
      <w:r w:rsidR="0055402E">
        <w:rPr>
          <w:rFonts w:ascii="Arial" w:hAnsi="Arial" w:cs="Arial"/>
          <w:bCs/>
          <w:color w:val="000000"/>
          <w:sz w:val="20"/>
          <w:szCs w:val="20"/>
        </w:rPr>
        <w:t>6</w:t>
      </w:r>
      <w:r w:rsidR="00AA7045">
        <w:rPr>
          <w:rFonts w:ascii="Arial" w:hAnsi="Arial" w:cs="Arial"/>
          <w:bCs/>
          <w:color w:val="000000"/>
          <w:sz w:val="20"/>
          <w:szCs w:val="20"/>
        </w:rPr>
        <w:t xml:space="preserve"> are the same as in Figure 1)</w:t>
      </w:r>
      <w:r w:rsidRPr="007F380D">
        <w:rPr>
          <w:rFonts w:ascii="Arial" w:hAnsi="Arial" w:cs="Arial"/>
          <w:bCs/>
          <w:color w:val="000000"/>
          <w:sz w:val="20"/>
          <w:szCs w:val="20"/>
        </w:rPr>
        <w:t xml:space="preserve">. </w:t>
      </w:r>
      <w:bookmarkStart w:id="6" w:name="_Hlk117761535"/>
      <w:r w:rsidR="00235DF2">
        <w:rPr>
          <w:rFonts w:ascii="Arial" w:hAnsi="Arial" w:cs="Arial"/>
          <w:bCs/>
          <w:color w:val="000000"/>
          <w:sz w:val="20"/>
          <w:szCs w:val="20"/>
        </w:rPr>
        <w:t>A comparison of the coefficient of determination (subplot background colors) in Figures 1 and S4 demonstrates that the Bayesian mixed-effect approach (Figure 1a) places less emphasis than</w:t>
      </w:r>
      <w:r w:rsidR="007F1EC3">
        <w:rPr>
          <w:rFonts w:ascii="Arial" w:hAnsi="Arial" w:cs="Arial"/>
          <w:bCs/>
          <w:color w:val="000000"/>
          <w:sz w:val="20"/>
          <w:szCs w:val="20"/>
        </w:rPr>
        <w:t xml:space="preserve"> ordinary least square regressions</w:t>
      </w:r>
      <w:r w:rsidR="00235DF2">
        <w:rPr>
          <w:rFonts w:ascii="Arial" w:hAnsi="Arial" w:cs="Arial"/>
          <w:bCs/>
          <w:color w:val="000000"/>
          <w:sz w:val="20"/>
          <w:szCs w:val="20"/>
        </w:rPr>
        <w:t xml:space="preserve"> (Figure S</w:t>
      </w:r>
      <w:r w:rsidR="0055402E">
        <w:rPr>
          <w:rFonts w:ascii="Arial" w:hAnsi="Arial" w:cs="Arial"/>
          <w:bCs/>
          <w:color w:val="000000"/>
          <w:sz w:val="20"/>
          <w:szCs w:val="20"/>
        </w:rPr>
        <w:t>6</w:t>
      </w:r>
      <w:r w:rsidR="00235DF2">
        <w:rPr>
          <w:rFonts w:ascii="Arial" w:hAnsi="Arial" w:cs="Arial"/>
          <w:bCs/>
          <w:color w:val="000000"/>
          <w:sz w:val="20"/>
          <w:szCs w:val="20"/>
        </w:rPr>
        <w:t>a)</w:t>
      </w:r>
      <w:r w:rsidR="007F1EC3">
        <w:rPr>
          <w:rFonts w:ascii="Arial" w:hAnsi="Arial" w:cs="Arial"/>
          <w:bCs/>
          <w:color w:val="000000"/>
          <w:sz w:val="20"/>
          <w:szCs w:val="20"/>
        </w:rPr>
        <w:t xml:space="preserve"> on few</w:t>
      </w:r>
      <w:r w:rsidR="00235DF2">
        <w:rPr>
          <w:rFonts w:ascii="Arial" w:hAnsi="Arial" w:cs="Arial"/>
          <w:bCs/>
          <w:color w:val="000000"/>
          <w:sz w:val="20"/>
          <w:szCs w:val="20"/>
        </w:rPr>
        <w:t xml:space="preserve"> points distant from the data’s primary mode of variation (for example, in subplots over the Pacific between -60° to -40°N and above 2 km).</w:t>
      </w:r>
      <w:bookmarkEnd w:id="6"/>
    </w:p>
    <w:p w14:paraId="45A10C16" w14:textId="77777777" w:rsidR="00AA7045" w:rsidRDefault="00AA7045" w:rsidP="007F380D">
      <w:pPr>
        <w:keepNext/>
        <w:pBdr>
          <w:top w:val="nil"/>
          <w:left w:val="nil"/>
          <w:bottom w:val="nil"/>
          <w:right w:val="nil"/>
          <w:between w:val="nil"/>
        </w:pBdr>
        <w:spacing w:before="240" w:after="60"/>
        <w:contextualSpacing/>
        <w:rPr>
          <w:rFonts w:ascii="Arial" w:hAnsi="Arial" w:cs="Arial"/>
          <w:bCs/>
          <w:color w:val="000000"/>
          <w:sz w:val="20"/>
          <w:szCs w:val="20"/>
        </w:rPr>
      </w:pPr>
    </w:p>
    <w:p w14:paraId="32522044" w14:textId="704E6D6C" w:rsidR="007F380D" w:rsidRDefault="00AA7045" w:rsidP="007F380D">
      <w:pPr>
        <w:keepNext/>
        <w:pBdr>
          <w:top w:val="nil"/>
          <w:left w:val="nil"/>
          <w:bottom w:val="nil"/>
          <w:right w:val="nil"/>
          <w:between w:val="nil"/>
        </w:pBdr>
        <w:spacing w:before="240" w:after="60"/>
        <w:contextualSpacing/>
        <w:rPr>
          <w:rFonts w:ascii="Arial" w:hAnsi="Arial" w:cs="Arial"/>
          <w:bCs/>
          <w:color w:val="000000"/>
          <w:sz w:val="20"/>
          <w:szCs w:val="20"/>
        </w:rPr>
      </w:pPr>
      <w:r>
        <w:rPr>
          <w:rFonts w:ascii="Arial" w:hAnsi="Arial" w:cs="Arial"/>
          <w:bCs/>
          <w:color w:val="000000"/>
          <w:sz w:val="20"/>
          <w:szCs w:val="20"/>
        </w:rPr>
        <w:t>T</w:t>
      </w:r>
      <w:r w:rsidR="007F380D" w:rsidRPr="007F380D">
        <w:rPr>
          <w:rFonts w:ascii="Arial" w:hAnsi="Arial" w:cs="Arial"/>
          <w:bCs/>
          <w:color w:val="000000"/>
          <w:sz w:val="20"/>
          <w:szCs w:val="20"/>
        </w:rPr>
        <w:t>he Proxy</w:t>
      </w:r>
      <w:r w:rsidR="007F380D" w:rsidRPr="007F380D">
        <w:rPr>
          <w:rFonts w:ascii="Arial" w:hAnsi="Arial" w:cs="Arial"/>
          <w:bCs/>
          <w:i/>
          <w:iCs/>
          <w:color w:val="000000"/>
          <w:sz w:val="20"/>
          <w:szCs w:val="20"/>
          <w:vertAlign w:val="subscript"/>
        </w:rPr>
        <w:t>OH</w:t>
      </w:r>
      <w:r w:rsidR="007F380D" w:rsidRPr="007F380D">
        <w:rPr>
          <w:rFonts w:ascii="Arial" w:hAnsi="Arial" w:cs="Arial"/>
          <w:bCs/>
          <w:color w:val="000000"/>
          <w:sz w:val="20"/>
          <w:szCs w:val="20"/>
        </w:rPr>
        <w:t xml:space="preserve">-[OH] </w:t>
      </w:r>
      <w:r w:rsidR="00C86A3E">
        <w:rPr>
          <w:rFonts w:ascii="Arial" w:hAnsi="Arial" w:cs="Arial"/>
          <w:bCs/>
          <w:color w:val="000000"/>
          <w:sz w:val="20"/>
          <w:szCs w:val="20"/>
        </w:rPr>
        <w:t xml:space="preserve">within-bin </w:t>
      </w:r>
      <w:r w:rsidR="00CC7560">
        <w:rPr>
          <w:rFonts w:ascii="Arial" w:hAnsi="Arial" w:cs="Arial"/>
          <w:bCs/>
          <w:color w:val="000000"/>
          <w:sz w:val="20"/>
          <w:szCs w:val="20"/>
        </w:rPr>
        <w:t>covariation</w:t>
      </w:r>
      <w:r w:rsidR="00CC7560" w:rsidRPr="004D4394">
        <w:rPr>
          <w:rFonts w:ascii="Arial" w:hAnsi="Arial" w:cs="Arial"/>
          <w:bCs/>
          <w:color w:val="000000"/>
          <w:sz w:val="20"/>
          <w:szCs w:val="20"/>
        </w:rPr>
        <w:t xml:space="preserve"> </w:t>
      </w:r>
      <w:r w:rsidR="007F380D" w:rsidRPr="004D4394">
        <w:rPr>
          <w:rFonts w:ascii="Arial" w:hAnsi="Arial" w:cs="Arial"/>
          <w:bCs/>
          <w:color w:val="000000"/>
          <w:sz w:val="20"/>
          <w:szCs w:val="20"/>
        </w:rPr>
        <w:t>is generally robust, with a me</w:t>
      </w:r>
      <w:r w:rsidR="006A0A47" w:rsidRPr="004D4394">
        <w:rPr>
          <w:rFonts w:ascii="Arial" w:hAnsi="Arial" w:cs="Arial"/>
          <w:bCs/>
          <w:color w:val="000000"/>
          <w:sz w:val="20"/>
          <w:szCs w:val="20"/>
        </w:rPr>
        <w:t>di</w:t>
      </w:r>
      <w:r w:rsidR="007F380D" w:rsidRPr="004D4394">
        <w:rPr>
          <w:rFonts w:ascii="Arial" w:hAnsi="Arial" w:cs="Arial"/>
          <w:bCs/>
          <w:color w:val="000000"/>
          <w:sz w:val="20"/>
          <w:szCs w:val="20"/>
        </w:rPr>
        <w:t xml:space="preserve">an coefficient </w:t>
      </w:r>
      <w:r w:rsidR="001007BA">
        <w:rPr>
          <w:rFonts w:ascii="Arial" w:hAnsi="Arial" w:cs="Arial"/>
          <w:bCs/>
          <w:color w:val="000000"/>
          <w:sz w:val="20"/>
          <w:szCs w:val="20"/>
        </w:rPr>
        <w:t xml:space="preserve">of determination </w:t>
      </w:r>
      <w:r w:rsidR="007F380D" w:rsidRPr="004D4394">
        <w:rPr>
          <w:rFonts w:ascii="Arial" w:hAnsi="Arial" w:cs="Arial"/>
          <w:bCs/>
          <w:color w:val="000000"/>
          <w:sz w:val="20"/>
          <w:szCs w:val="20"/>
        </w:rPr>
        <w:t>(</w:t>
      </w:r>
      <m:oMath>
        <m:sSubSup>
          <m:sSubSupPr>
            <m:ctrlPr>
              <w:rPr>
                <w:rFonts w:ascii="Cambria Math" w:eastAsiaTheme="minorEastAsia" w:hAnsi="Cambria Math" w:cs="Arial"/>
                <w:bCs/>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007F380D" w:rsidRPr="004D4394">
        <w:rPr>
          <w:rFonts w:ascii="Arial" w:hAnsi="Arial" w:cs="Arial"/>
          <w:bCs/>
          <w:color w:val="000000"/>
          <w:sz w:val="20"/>
          <w:szCs w:val="20"/>
        </w:rPr>
        <w:t>) across all spatial bins of 0.</w:t>
      </w:r>
      <w:r w:rsidR="00CE383B">
        <w:rPr>
          <w:rFonts w:ascii="Arial" w:hAnsi="Arial" w:cs="Arial"/>
          <w:bCs/>
          <w:color w:val="000000"/>
          <w:sz w:val="20"/>
          <w:szCs w:val="20"/>
        </w:rPr>
        <w:t>90</w:t>
      </w:r>
      <w:r w:rsidR="007F380D" w:rsidRPr="004D4394">
        <w:rPr>
          <w:rFonts w:ascii="Arial" w:hAnsi="Arial" w:cs="Arial"/>
          <w:bCs/>
          <w:color w:val="000000"/>
          <w:sz w:val="20"/>
          <w:szCs w:val="20"/>
        </w:rPr>
        <w:t xml:space="preserve"> </w:t>
      </w:r>
      <w:r w:rsidR="00C809B1" w:rsidRPr="004D4394">
        <w:rPr>
          <w:rFonts w:ascii="Arial" w:hAnsi="Arial" w:cs="Arial"/>
          <w:bCs/>
          <w:color w:val="000000"/>
          <w:sz w:val="20"/>
          <w:szCs w:val="20"/>
        </w:rPr>
        <w:t>(IQR = 0.</w:t>
      </w:r>
      <w:r w:rsidR="00CE383B">
        <w:rPr>
          <w:rFonts w:ascii="Arial" w:hAnsi="Arial" w:cs="Arial"/>
          <w:bCs/>
          <w:color w:val="000000"/>
          <w:sz w:val="20"/>
          <w:szCs w:val="20"/>
        </w:rPr>
        <w:t>80</w:t>
      </w:r>
      <w:r w:rsidR="00C809B1" w:rsidRPr="004D4394">
        <w:rPr>
          <w:rFonts w:ascii="Arial" w:hAnsi="Arial" w:cs="Arial"/>
          <w:bCs/>
          <w:color w:val="000000"/>
          <w:sz w:val="20"/>
          <w:szCs w:val="20"/>
        </w:rPr>
        <w:t xml:space="preserve"> - 0.94)</w:t>
      </w:r>
      <w:r w:rsidR="007F380D" w:rsidRPr="004D4394">
        <w:rPr>
          <w:rFonts w:ascii="Arial" w:hAnsi="Arial" w:cs="Arial"/>
          <w:bCs/>
          <w:color w:val="000000"/>
          <w:sz w:val="20"/>
          <w:szCs w:val="20"/>
        </w:rPr>
        <w:t>. It is highest between 2 to 8 km altitude (</w:t>
      </w:r>
      <m:oMath>
        <m:sSubSup>
          <m:sSubSupPr>
            <m:ctrlPr>
              <w:rPr>
                <w:rFonts w:ascii="Cambria Math" w:eastAsiaTheme="minorEastAsia" w:hAnsi="Cambria Math" w:cs="Arial"/>
                <w:bCs/>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007F380D" w:rsidRPr="004D4394">
        <w:rPr>
          <w:rFonts w:ascii="Arial" w:hAnsi="Arial" w:cs="Arial"/>
          <w:bCs/>
          <w:color w:val="000000"/>
          <w:sz w:val="20"/>
          <w:szCs w:val="20"/>
        </w:rPr>
        <w:t>= 0.</w:t>
      </w:r>
      <w:r w:rsidR="00C809B1" w:rsidRPr="004D4394">
        <w:rPr>
          <w:rFonts w:ascii="Arial" w:hAnsi="Arial" w:cs="Arial"/>
          <w:bCs/>
          <w:color w:val="000000"/>
          <w:sz w:val="20"/>
          <w:szCs w:val="20"/>
        </w:rPr>
        <w:t>9</w:t>
      </w:r>
      <w:r w:rsidR="00CE383B">
        <w:rPr>
          <w:rFonts w:ascii="Arial" w:hAnsi="Arial" w:cs="Arial"/>
          <w:bCs/>
          <w:color w:val="000000"/>
          <w:sz w:val="20"/>
          <w:szCs w:val="20"/>
        </w:rPr>
        <w:t>3</w:t>
      </w:r>
      <w:r w:rsidR="006A0A47" w:rsidRPr="004D4394">
        <w:rPr>
          <w:rFonts w:ascii="Arial" w:hAnsi="Arial" w:cs="Arial"/>
          <w:bCs/>
          <w:color w:val="000000"/>
          <w:sz w:val="20"/>
          <w:szCs w:val="20"/>
        </w:rPr>
        <w:t>, IQR = 0.</w:t>
      </w:r>
      <w:r w:rsidR="00CE383B">
        <w:rPr>
          <w:rFonts w:ascii="Arial" w:hAnsi="Arial" w:cs="Arial"/>
          <w:bCs/>
          <w:color w:val="000000"/>
          <w:sz w:val="20"/>
          <w:szCs w:val="20"/>
        </w:rPr>
        <w:t>87</w:t>
      </w:r>
      <w:r w:rsidR="006A0A47" w:rsidRPr="004D4394">
        <w:rPr>
          <w:rFonts w:ascii="Arial" w:hAnsi="Arial" w:cs="Arial"/>
          <w:bCs/>
          <w:color w:val="000000"/>
          <w:sz w:val="20"/>
          <w:szCs w:val="20"/>
        </w:rPr>
        <w:t xml:space="preserve"> </w:t>
      </w:r>
      <w:r w:rsidR="00690364" w:rsidRPr="004D4394">
        <w:rPr>
          <w:rFonts w:ascii="Arial" w:hAnsi="Arial" w:cs="Arial"/>
          <w:bCs/>
          <w:color w:val="000000"/>
          <w:sz w:val="20"/>
          <w:szCs w:val="20"/>
        </w:rPr>
        <w:t>-</w:t>
      </w:r>
      <w:r w:rsidR="006A0A47" w:rsidRPr="004D4394">
        <w:rPr>
          <w:rFonts w:ascii="Arial" w:hAnsi="Arial" w:cs="Arial"/>
          <w:bCs/>
          <w:color w:val="000000"/>
          <w:sz w:val="20"/>
          <w:szCs w:val="20"/>
        </w:rPr>
        <w:t xml:space="preserve"> 0.95</w:t>
      </w:r>
      <w:r w:rsidR="007F380D" w:rsidRPr="004D4394">
        <w:rPr>
          <w:rFonts w:ascii="Arial" w:hAnsi="Arial" w:cs="Arial"/>
          <w:bCs/>
          <w:color w:val="000000"/>
          <w:sz w:val="20"/>
          <w:szCs w:val="20"/>
        </w:rPr>
        <w:t>) and over the Northern Hemisphere (</w:t>
      </w:r>
      <m:oMath>
        <m:sSubSup>
          <m:sSubSupPr>
            <m:ctrlPr>
              <w:rPr>
                <w:rFonts w:ascii="Cambria Math" w:eastAsiaTheme="minorEastAsia" w:hAnsi="Cambria Math" w:cs="Arial"/>
                <w:bCs/>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007F380D" w:rsidRPr="004D4394">
        <w:rPr>
          <w:rFonts w:ascii="Arial" w:hAnsi="Arial" w:cs="Arial"/>
          <w:bCs/>
          <w:color w:val="000000"/>
          <w:sz w:val="20"/>
          <w:szCs w:val="20"/>
        </w:rPr>
        <w:t>= 0.</w:t>
      </w:r>
      <w:r w:rsidR="006A0A47" w:rsidRPr="004D4394">
        <w:rPr>
          <w:rFonts w:ascii="Arial" w:hAnsi="Arial" w:cs="Arial"/>
          <w:bCs/>
          <w:color w:val="000000"/>
          <w:sz w:val="20"/>
          <w:szCs w:val="20"/>
        </w:rPr>
        <w:t>9</w:t>
      </w:r>
      <w:r w:rsidR="00CE383B">
        <w:rPr>
          <w:rFonts w:ascii="Arial" w:hAnsi="Arial" w:cs="Arial"/>
          <w:bCs/>
          <w:color w:val="000000"/>
          <w:sz w:val="20"/>
          <w:szCs w:val="20"/>
        </w:rPr>
        <w:t>3</w:t>
      </w:r>
      <w:r w:rsidR="006A0A47" w:rsidRPr="004D4394">
        <w:rPr>
          <w:rFonts w:ascii="Arial" w:hAnsi="Arial" w:cs="Arial"/>
          <w:bCs/>
          <w:color w:val="000000"/>
          <w:sz w:val="20"/>
          <w:szCs w:val="20"/>
        </w:rPr>
        <w:t>, IQR = 0.</w:t>
      </w:r>
      <w:r w:rsidR="00CE383B">
        <w:rPr>
          <w:rFonts w:ascii="Arial" w:hAnsi="Arial" w:cs="Arial"/>
          <w:bCs/>
          <w:color w:val="000000"/>
          <w:sz w:val="20"/>
          <w:szCs w:val="20"/>
        </w:rPr>
        <w:t>88</w:t>
      </w:r>
      <w:r w:rsidR="006A0A47" w:rsidRPr="004D4394">
        <w:rPr>
          <w:rFonts w:ascii="Arial" w:hAnsi="Arial" w:cs="Arial"/>
          <w:bCs/>
          <w:color w:val="000000"/>
          <w:sz w:val="20"/>
          <w:szCs w:val="20"/>
        </w:rPr>
        <w:t xml:space="preserve"> </w:t>
      </w:r>
      <w:r w:rsidR="00690364" w:rsidRPr="004D4394">
        <w:rPr>
          <w:rFonts w:ascii="Arial" w:hAnsi="Arial" w:cs="Arial"/>
          <w:bCs/>
          <w:color w:val="000000"/>
          <w:sz w:val="20"/>
          <w:szCs w:val="20"/>
        </w:rPr>
        <w:t>-</w:t>
      </w:r>
      <w:r w:rsidR="006A0A47" w:rsidRPr="004D4394">
        <w:rPr>
          <w:rFonts w:ascii="Arial" w:hAnsi="Arial" w:cs="Arial"/>
          <w:bCs/>
          <w:color w:val="000000"/>
          <w:sz w:val="20"/>
          <w:szCs w:val="20"/>
        </w:rPr>
        <w:t xml:space="preserve"> 0.95</w:t>
      </w:r>
      <w:r w:rsidR="007F380D" w:rsidRPr="004D4394">
        <w:rPr>
          <w:rFonts w:ascii="Arial" w:hAnsi="Arial" w:cs="Arial"/>
          <w:bCs/>
          <w:color w:val="000000"/>
          <w:sz w:val="20"/>
          <w:szCs w:val="20"/>
        </w:rPr>
        <w:t xml:space="preserve">). </w:t>
      </w:r>
      <w:r w:rsidRPr="004D4394">
        <w:rPr>
          <w:rFonts w:ascii="Arial" w:hAnsi="Arial" w:cs="Arial"/>
          <w:bCs/>
          <w:color w:val="000000"/>
          <w:sz w:val="20"/>
          <w:szCs w:val="20"/>
        </w:rPr>
        <w:t xml:space="preserve">The proxy skill </w:t>
      </w:r>
      <w:r w:rsidR="00455579">
        <w:rPr>
          <w:rFonts w:ascii="Arial" w:hAnsi="Arial" w:cs="Arial"/>
          <w:bCs/>
          <w:color w:val="000000"/>
          <w:sz w:val="20"/>
          <w:szCs w:val="20"/>
        </w:rPr>
        <w:t>is expected to</w:t>
      </w:r>
      <w:r w:rsidR="00455579" w:rsidRPr="004D4394">
        <w:rPr>
          <w:rFonts w:ascii="Arial" w:hAnsi="Arial" w:cs="Arial"/>
          <w:bCs/>
          <w:color w:val="000000"/>
          <w:sz w:val="20"/>
          <w:szCs w:val="20"/>
        </w:rPr>
        <w:t xml:space="preserve"> </w:t>
      </w:r>
      <w:r w:rsidRPr="004D4394">
        <w:rPr>
          <w:rFonts w:ascii="Arial" w:hAnsi="Arial" w:cs="Arial"/>
          <w:bCs/>
          <w:color w:val="000000"/>
          <w:sz w:val="20"/>
          <w:szCs w:val="20"/>
        </w:rPr>
        <w:t xml:space="preserve">degrade where processes that are not included in its </w:t>
      </w:r>
      <w:r w:rsidRPr="004D4394">
        <w:rPr>
          <w:rFonts w:ascii="Arial" w:hAnsi="Arial" w:cs="Arial"/>
          <w:bCs/>
          <w:color w:val="000000"/>
          <w:sz w:val="20"/>
          <w:szCs w:val="20"/>
        </w:rPr>
        <w:lastRenderedPageBreak/>
        <w:t xml:space="preserve">formulation affect OH </w:t>
      </w:r>
      <w:r w:rsidR="009E3FDB" w:rsidRPr="004D4394">
        <w:rPr>
          <w:rFonts w:ascii="Arial" w:hAnsi="Arial" w:cs="Arial"/>
          <w:bCs/>
          <w:color w:val="000000"/>
          <w:sz w:val="20"/>
          <w:szCs w:val="20"/>
        </w:rPr>
        <w:t>variations</w:t>
      </w:r>
      <w:r w:rsidRPr="004D4394">
        <w:rPr>
          <w:rFonts w:ascii="Arial" w:hAnsi="Arial" w:cs="Arial"/>
          <w:bCs/>
          <w:color w:val="000000"/>
          <w:sz w:val="20"/>
          <w:szCs w:val="20"/>
        </w:rPr>
        <w:t xml:space="preserve">. For example, convection may affect OH </w:t>
      </w:r>
      <w:r w:rsidR="009E3FDB" w:rsidRPr="004D4394">
        <w:rPr>
          <w:rFonts w:ascii="Arial" w:hAnsi="Arial" w:cs="Arial"/>
          <w:bCs/>
          <w:color w:val="000000"/>
          <w:sz w:val="20"/>
          <w:szCs w:val="20"/>
        </w:rPr>
        <w:t>variations</w:t>
      </w:r>
      <w:r w:rsidRPr="004D4394">
        <w:rPr>
          <w:rFonts w:ascii="Arial" w:hAnsi="Arial" w:cs="Arial"/>
          <w:bCs/>
          <w:color w:val="000000"/>
          <w:sz w:val="20"/>
          <w:szCs w:val="20"/>
        </w:rPr>
        <w:t xml:space="preserve">, potentially due to lofted peroxides </w:t>
      </w:r>
      <w:r w:rsidRPr="004D4394">
        <w:rPr>
          <w:rFonts w:ascii="Arial" w:hAnsi="Arial" w:cs="Arial"/>
          <w:bCs/>
          <w:color w:val="000000"/>
          <w:sz w:val="20"/>
          <w:szCs w:val="20"/>
        </w:rPr>
        <w:fldChar w:fldCharType="begin"/>
      </w:r>
      <w:r w:rsidR="00CC64F9">
        <w:rPr>
          <w:rFonts w:ascii="Arial" w:hAnsi="Arial" w:cs="Arial"/>
          <w:bCs/>
          <w:color w:val="000000"/>
          <w:sz w:val="20"/>
          <w:szCs w:val="20"/>
        </w:rPr>
        <w:instrText xml:space="preserve"> ADDIN ZOTERO_ITEM CSL_CITATION {"citationID":"8ZMpgui1","properties":{"formattedCitation":"(45)","plainCitation":"(45)","noteIndex":0},"citationItems":[{"id":708,"uris":["http://zotero.org/users/9309103/items/VSY5YFSZ"],"itemData":{"id":708,"type":"article-journal","abstract":"Hydrogen peroxide (H2O2) and methyl hydroperoxide (MHP, CH3OOH) serve as HOx (OH and HO2 radicals) reservoirs and therefore as useful tracers of HOx chemistry. Both hydroperoxides were measured during the 2016–2018 Atmospheric Tomography Mission as part of a global survey of the remote troposphere over the Pacific and Atlantic Ocean basins conducted using the NASA DC-8 aircraft. To assess the relative contributions of chemical and physical processes to the global hydroperoxide budget and their impact on atmospheric oxidation potential, we compare the observations with two models, a diurnal steady-state photochemical box model and the global chemical transport model Goddard Earth Observing System (GEOS)-Chem. We find that the models systematically under-predict H2O2 by 5%–20% and over-predict MHP by 40%–50% relative to measurements. In the marine boundary layer, over-predictions of H2O2 in a photochemical box model are used to estimate H2O2 boundary-layer mean deposition velocities of 1.0–1.32 cm s−1, depending on season; this process contributes to up to 5%–10% of HOx loss in this region. In the upper troposphere and lower stratosphere, MHP is under-predicted and H2O2 is over-predicted by a factor of 2–3 on average. The differences between the observations and predictions are associated with recent convection: MHP is under-estimated and H2O2 is over-estimated in air parcels that have experienced recent convective influence.","container-title":"Journal of Geophysical Research: Atmospheres","DOI":"10.1029/2021JD035702","ISSN":"2169-8996","issue":"6","language":"en","note":"_eprint: https://onlinelibrary.wiley.com/doi/pdf/10.1029/2021JD035702","page":"e2021JD035702","source":"Wiley Online Library","title":"H2O2 and CH3OOH (MHP) in the Remote Atmosphere: 2. Physical and Chemical Controls","title-short":"H2O2 and CH3OOH (MHP) in the Remote Atmosphere","volume":"127","author":[{"family":"Allen","given":"Hannah M."},{"family":"Bates","given":"Kelvin H."},{"family":"Crounse","given":"John D."},{"family":"Kim","given":"Michelle J."},{"family":"Teng","given":"Alexander P."},{"family":"Ray","given":"Eric A."},{"family":"Wennberg","given":"Paul O."}],"issued":{"date-parts":[["2022"]]}}}],"schema":"https://github.com/citation-style-language/schema/raw/master/csl-citation.json"} </w:instrText>
      </w:r>
      <w:r w:rsidRPr="004D4394">
        <w:rPr>
          <w:rFonts w:ascii="Arial" w:hAnsi="Arial" w:cs="Arial"/>
          <w:bCs/>
          <w:color w:val="000000"/>
          <w:sz w:val="20"/>
          <w:szCs w:val="20"/>
        </w:rPr>
        <w:fldChar w:fldCharType="separate"/>
      </w:r>
      <w:r w:rsidR="00CC64F9" w:rsidRPr="00CC64F9">
        <w:rPr>
          <w:rFonts w:ascii="Arial" w:hAnsi="Arial" w:cs="Arial"/>
          <w:sz w:val="20"/>
        </w:rPr>
        <w:t>(45)</w:t>
      </w:r>
      <w:r w:rsidRPr="004D4394">
        <w:rPr>
          <w:rFonts w:ascii="Arial" w:hAnsi="Arial" w:cs="Arial"/>
          <w:bCs/>
          <w:color w:val="000000"/>
          <w:sz w:val="20"/>
          <w:szCs w:val="20"/>
        </w:rPr>
        <w:fldChar w:fldCharType="end"/>
      </w:r>
      <w:r w:rsidRPr="004D4394">
        <w:rPr>
          <w:rFonts w:ascii="Arial" w:hAnsi="Arial" w:cs="Arial"/>
          <w:bCs/>
          <w:color w:val="000000"/>
          <w:sz w:val="20"/>
          <w:szCs w:val="20"/>
        </w:rPr>
        <w:t>, in some</w:t>
      </w:r>
      <w:r w:rsidRPr="007F380D">
        <w:rPr>
          <w:rFonts w:ascii="Arial" w:hAnsi="Arial" w:cs="Arial"/>
          <w:bCs/>
          <w:color w:val="000000"/>
          <w:sz w:val="20"/>
          <w:szCs w:val="20"/>
        </w:rPr>
        <w:t xml:space="preserve"> </w:t>
      </w:r>
      <w:r w:rsidR="00455579">
        <w:rPr>
          <w:rFonts w:ascii="Arial" w:hAnsi="Arial" w:cs="Arial"/>
          <w:bCs/>
          <w:color w:val="000000"/>
          <w:sz w:val="20"/>
          <w:szCs w:val="20"/>
        </w:rPr>
        <w:t xml:space="preserve">mid-latitude </w:t>
      </w:r>
      <w:r w:rsidRPr="007F380D">
        <w:rPr>
          <w:rFonts w:ascii="Arial" w:hAnsi="Arial" w:cs="Arial"/>
          <w:bCs/>
          <w:color w:val="000000"/>
          <w:sz w:val="20"/>
          <w:szCs w:val="20"/>
        </w:rPr>
        <w:t>plumes above 4 km (Figure S</w:t>
      </w:r>
      <w:r w:rsidR="0055402E">
        <w:rPr>
          <w:rFonts w:ascii="Arial" w:hAnsi="Arial" w:cs="Arial"/>
          <w:bCs/>
          <w:color w:val="000000"/>
          <w:sz w:val="20"/>
          <w:szCs w:val="20"/>
        </w:rPr>
        <w:t>7</w:t>
      </w:r>
      <w:r w:rsidRPr="007F380D">
        <w:rPr>
          <w:rFonts w:ascii="Arial" w:hAnsi="Arial" w:cs="Arial"/>
          <w:bCs/>
          <w:color w:val="000000"/>
          <w:sz w:val="20"/>
          <w:szCs w:val="20"/>
        </w:rPr>
        <w:t xml:space="preserve">). </w:t>
      </w:r>
      <w:r w:rsidR="00A46D82">
        <w:rPr>
          <w:rFonts w:ascii="Arial" w:hAnsi="Arial" w:cs="Arial"/>
          <w:bCs/>
          <w:color w:val="000000"/>
          <w:sz w:val="20"/>
          <w:szCs w:val="20"/>
        </w:rPr>
        <w:t>The</w:t>
      </w:r>
      <w:r w:rsidR="007E1C26">
        <w:rPr>
          <w:rFonts w:ascii="Arial" w:hAnsi="Arial" w:cs="Arial"/>
          <w:bCs/>
          <w:color w:val="000000"/>
          <w:sz w:val="20"/>
          <w:szCs w:val="20"/>
        </w:rPr>
        <w:t xml:space="preserve"> comparably weaker</w:t>
      </w:r>
      <w:r w:rsidR="00A46D82">
        <w:rPr>
          <w:rFonts w:ascii="Arial" w:hAnsi="Arial" w:cs="Arial"/>
          <w:bCs/>
          <w:color w:val="000000"/>
          <w:sz w:val="20"/>
          <w:szCs w:val="20"/>
        </w:rPr>
        <w:t xml:space="preserve"> fit in the lower troposphere may stem from marine-emitted halogens affecting the oxidation regime </w:t>
      </w:r>
      <w:r w:rsidR="00603CA3">
        <w:rPr>
          <w:rFonts w:ascii="Arial" w:hAnsi="Arial" w:cs="Arial"/>
          <w:bCs/>
          <w:color w:val="000000"/>
          <w:sz w:val="20"/>
          <w:szCs w:val="20"/>
        </w:rPr>
        <w:fldChar w:fldCharType="begin"/>
      </w:r>
      <w:r w:rsidR="00CC64F9">
        <w:rPr>
          <w:rFonts w:ascii="Arial" w:hAnsi="Arial" w:cs="Arial"/>
          <w:bCs/>
          <w:color w:val="000000"/>
          <w:sz w:val="20"/>
          <w:szCs w:val="20"/>
        </w:rPr>
        <w:instrText xml:space="preserve"> ADDIN ZOTERO_ITEM CSL_CITATION {"citationID":"VTBLjD7d","properties":{"formattedCitation":"(46\\uc0\\u8211{}48)","plainCitation":"(46–48)","noteIndex":0},"citationItems":[{"id":2211,"uris":["http://zotero.org/users/9309103/items/F7UBP4CR"],"itemData":{"id":2211,"type":"article-journal","container-title":"Journal of Atmospheric Chemistry","DOI":"10.1007/BF00053287","ISSN":"0167-7764, 1573-0662","issue":"1","journalAbbreviation":"J Atmos Chem","language":"en","page":"97-113","source":"DOI.org (Crossref)","title":"Estimation of hydroxyl radical concentrations in the marine atmospheric boundary layer using a reactive atmospheric tracer","volume":"25","author":[{"family":"Cooper","given":"David J."}],"issued":{"date-parts":[["1996",9]]}}},{"id":2212,"uris":["http://zotero.org/users/9309103/items/WQ3PTLBU"],"itemData":{"id":2212,"type":"article-journal","abstract":"Abstract. Although tropospheric reactive halogen chemistry is well studied in coastal and polar environments, the presence of halogens over the open ocean environment has not been widely reported. The impacts of halogens on the tropical open ocean marine boundary layer (MBL), in particular, are not well characterised. This paper describes observations of iodine monoxide (IO) and bromine oxide (BrO) over eight months in the tropical open ocean MBL, on the north-eastern side of São Vicente (Cape Verde Islands, 16.85° N, 24.87° W). The highest BrO mixing ratio observed was 5.6±1 pmol mol−1, while the maximum observed IO mixing ratio was 3.1±0.4 pmol mol−1. The average values seen between 09:00–17:00 GMT were ~2.8 pmol mol−1 for BrO and ~1.5 pmol mol−1 for IO; these averages showed little variability over the entire campaign from November 2006 to June 2007. A 1-dimensional chemistry and transport model is used to study the evolution of iodine species and quantify the combined impact of iodine and bromine chemistry on the oxidising capacity of the MBL. It appears that the measured fluxes of iodocarbons are insufficient to account for the observed levels of IO, and that an additional I atom source is required, possibly caused by the deposition of O3 onto the ocean surface in the presence of solar radiation. Modelling results also show that the O3 depletion observed at Cape Verde cannot be explained in the absence of halogen chemistry, which contributes ~45% of the observed O3 depletion at the height of measurements (10 m) during summer. The model also predicts that halogens decrease the hydroperoxy radical (HO2) concentration by ~14% and increase the hydroxyl radical (OH) concentration by ~13% near the ocean surface. The oxidation of dimethyl sulphide (DMS) by BrO takes place at a comparable rate to oxidation by OH in this environment. Finally, the potential of iodine chemistry to form new particles is explored and conditions under which particle formation could be important in the remote MBL are discussed.","container-title":"Atmospheric Chemistry and Physics","DOI":"10.5194/acp-10-4611-2010","ISSN":"1680-7324","issue":"10","journalAbbreviation":"Atmos. Chem. Phys.","language":"en","page":"4611-4624","source":"DOI.org (Crossref)","title":"Measurement and modelling of tropospheric reactive halogen species over the tropical Atlantic Ocean","volume":"10","author":[{"family":"Mahajan","given":"A. S."},{"family":"Plane","given":"J. M. C."},{"family":"Oetjen","given":"H."},{"family":"Mendes","given":"L."},{"family":"Saunders","given":"R. W."},{"family":"Saiz-Lopez","given":"A."},{"family":"Jones","given":"C. E."},{"family":"Carpenter","given":"L. J."},{"family":"McFiggans","given":"G. B."}],"issued":{"date-parts":[["2010",5,19]]}}},{"id":2209,"uris":["http://zotero.org/users/9309103/items/7M8YCDAY"],"itemData":{"id":2209,"type":"article-journal","abstract":"Abstract. This study investigates the impact of reactive halogen species (RHS,\ncontaining chlorine (Cl), bromine (Br) or iodine (I)) on atmospheric\nchemistry in the tropical troposphere and explores the sensitivity to\nuncertainties in the fluxes of RHS to the atmosphere and their chemical\nprocessing. To do this, the regional chemistry transport model WRF-Chem has\nbeen extended to include Br and I, as well as Cl chemistry for the first\ntime, including heterogeneous recycling reactions involving sea-salt aerosol\nand other particles, reactions of Br and Cl with volatile organic compounds\n(VOCs), along with oceanic emissions of halocarbons, VOCs and inorganic\niodine. The study focuses on the tropical east Pacific using field\nobservations from the Tropical Ocean tRoposphere Exchange of Reactive halogen\nspecies and Oxygenated VOC (TORERO) campaign (January–February 2012) to\nevaluate the model performance. Including all the new processes, the model does a reasonable job reproducing\nthe observed mixing ratios of bromine oxide (BrO) and iodine oxide (IO),\nalbeit with some discrepancies, some of which can be attributed to\ndifficulties in the model's ability to reproduce the observed halocarbons.\nThis is somewhat expected given the large uncertainties in the air–sea\nfluxes of the halocarbons in a region where there are few observations of\ntheir seawater concentrations. We see a considerable impact on the inorganic bromine (Bry)\npartitioning when heterogeneous chemistry is included, with a greater\nproportion of the Bry in active forms such as BrO, HOBr and\ndihalogens. Including debromination of sea salt increases BrO slightly\nthroughout the free troposphere, but in the tropical marine boundary layer,\nwhere the sea-salt particles are plentiful and relatively acidic,\ndebromination leads to overestimation of the observed BrO. However, it should\nbe noted that the modelled BrO was extremely sensitive to the inclusion of\nreactions between Br and the oxygenated VOCs (OVOCs), which convert Br to\nHBr, a far less reactive form of Bry. Excluding these\nreactions leads to modelled BrO mixing ratios greater than observed. The\nreactions between Br and aldehydes were found to be particularly important,\ndespite the model underestimating the amount of aldehydes observed in the\natmosphere. There are only small changes to the inorganic iodine\n(Iy) partitioning and IO when the heterogeneous reactions,\nprimarily on sea salt, are included. Our model results show that tropospheric Ox loss due to\nhalogens ranges between 25 % and 60 %. Uncertainties in the\nheterogeneous chemistry accounted for a small proportion of this range\n(25 % to 31 %). This range is in good agreement with other estimates\nfrom state-of-the-art atmospheric chemistry models. The upper bound is found\nwhen reactions between Br and Cl with VOCs are not included and,\nconsequently, Ox loss by BrOx,\nClOx and IOx cycles is high (60 %).\nWith the inclusion of halogens in the troposphere, O3 is reduced by\n7 ppbv on average. However, when reactions between Br and Cl with VOCs are\nnot included, O3 is much lower than observed. Therefore, the\ntropospheric Ox budget is highly sensitive to the inclusion\nof halogen reactions with VOCs and to the uncertainties in current\nunderstanding of these reactions and the abundance of VOCs in the remote\nmarine atmosphere.","container-title":"Atmospheric Chemistry and Physics","DOI":"10.5194/acp-19-3161-2019","ISSN":"1680-7324","issue":"5","journalAbbreviation":"Atmos. Chem. Phys.","language":"en","page":"3161-3189","source":"DOI.org (Crossref)","title":"Importance of reactive halogens in the tropical marine atmosphere: a regional modelling study using WRF-Chem","title-short":"Importance of reactive halogens in the tropical marine atmosphere","volume":"19","author":[{"family":"Badia","given":"Alba"},{"family":"Reeves","given":"Claire E."},{"family":"Baker","given":"Alex R."},{"family":"Saiz-Lopez","given":"Alfonso"},{"family":"Volkamer","given":"Rainer"},{"family":"Koenig","given":"Theodore K."},{"family":"Apel","given":"Eric C."},{"family":"Hornbrook","given":"Rebecca S."},{"family":"Carpenter","given":"Lucy J."},{"family":"Andrews","given":"Stephen J."},{"family":"Sherwen","given":"Tomás"},{"family":"Glasow","given":"Roland","non-dropping-particle":"von"}],"issued":{"date-parts":[["2019",3,12]]}}}],"schema":"https://github.com/citation-style-language/schema/raw/master/csl-citation.json"} </w:instrText>
      </w:r>
      <w:r w:rsidR="00603CA3">
        <w:rPr>
          <w:rFonts w:ascii="Arial" w:hAnsi="Arial" w:cs="Arial"/>
          <w:bCs/>
          <w:color w:val="000000"/>
          <w:sz w:val="20"/>
          <w:szCs w:val="20"/>
        </w:rPr>
        <w:fldChar w:fldCharType="separate"/>
      </w:r>
      <w:r w:rsidR="00CC64F9" w:rsidRPr="00CC64F9">
        <w:rPr>
          <w:rFonts w:ascii="Arial" w:hAnsi="Arial" w:cs="Arial"/>
          <w:sz w:val="20"/>
          <w:szCs w:val="24"/>
        </w:rPr>
        <w:t>(46–48)</w:t>
      </w:r>
      <w:r w:rsidR="00603CA3">
        <w:rPr>
          <w:rFonts w:ascii="Arial" w:hAnsi="Arial" w:cs="Arial"/>
          <w:bCs/>
          <w:color w:val="000000"/>
          <w:sz w:val="20"/>
          <w:szCs w:val="20"/>
        </w:rPr>
        <w:fldChar w:fldCharType="end"/>
      </w:r>
      <w:r w:rsidR="00A46D82">
        <w:rPr>
          <w:rFonts w:ascii="Arial" w:hAnsi="Arial" w:cs="Arial"/>
          <w:bCs/>
          <w:color w:val="000000"/>
          <w:sz w:val="20"/>
          <w:szCs w:val="20"/>
        </w:rPr>
        <w:t xml:space="preserve">. </w:t>
      </w:r>
      <w:bookmarkStart w:id="7" w:name="_Hlk137124396"/>
      <w:r w:rsidR="00F8252C">
        <w:rPr>
          <w:rFonts w:ascii="Arial" w:hAnsi="Arial" w:cs="Arial"/>
          <w:bCs/>
          <w:color w:val="000000"/>
          <w:sz w:val="20"/>
          <w:szCs w:val="20"/>
        </w:rPr>
        <w:t>However, the residuals of the Proxy</w:t>
      </w:r>
      <w:r w:rsidR="00F8252C" w:rsidRPr="00A5723F">
        <w:rPr>
          <w:rFonts w:ascii="Arial" w:hAnsi="Arial" w:cs="Arial"/>
          <w:bCs/>
          <w:i/>
          <w:iCs/>
          <w:color w:val="000000"/>
          <w:sz w:val="20"/>
          <w:szCs w:val="20"/>
          <w:vertAlign w:val="subscript"/>
        </w:rPr>
        <w:t>OH</w:t>
      </w:r>
      <w:r w:rsidR="00F8252C">
        <w:rPr>
          <w:rFonts w:ascii="Arial" w:hAnsi="Arial" w:cs="Arial"/>
          <w:bCs/>
          <w:color w:val="000000"/>
          <w:sz w:val="20"/>
          <w:szCs w:val="20"/>
        </w:rPr>
        <w:t xml:space="preserve">-[OH] regression do not show a systematic relationship (spatial median </w:t>
      </w:r>
      <w:r w:rsidR="00F8252C" w:rsidRPr="00A5723F">
        <w:rPr>
          <w:rFonts w:ascii="Arial" w:hAnsi="Arial" w:cs="Arial"/>
          <w:bCs/>
          <w:i/>
          <w:iCs/>
          <w:color w:val="000000"/>
          <w:sz w:val="20"/>
          <w:szCs w:val="20"/>
        </w:rPr>
        <w:t>r</w:t>
      </w:r>
      <w:r w:rsidR="00F8252C" w:rsidRPr="00A5723F">
        <w:rPr>
          <w:rFonts w:ascii="Arial" w:hAnsi="Arial" w:cs="Arial"/>
          <w:bCs/>
          <w:color w:val="000000"/>
          <w:sz w:val="20"/>
          <w:szCs w:val="20"/>
          <w:vertAlign w:val="superscript"/>
        </w:rPr>
        <w:t>2</w:t>
      </w:r>
      <w:r w:rsidR="00F8252C">
        <w:rPr>
          <w:rFonts w:ascii="Arial" w:hAnsi="Arial" w:cs="Arial"/>
          <w:bCs/>
          <w:color w:val="000000"/>
          <w:sz w:val="20"/>
          <w:szCs w:val="20"/>
        </w:rPr>
        <w:t xml:space="preserve"> ≤ 0.03) with other variables that affect oxidation (</w:t>
      </w:r>
      <w:r w:rsidR="00F8252C" w:rsidRPr="00A5723F">
        <w:rPr>
          <w:rFonts w:ascii="Arial" w:hAnsi="Arial" w:cs="Arial"/>
          <w:bCs/>
          <w:i/>
          <w:iCs/>
          <w:color w:val="000000"/>
          <w:sz w:val="20"/>
          <w:szCs w:val="20"/>
        </w:rPr>
        <w:t>e.g.</w:t>
      </w:r>
      <w:r w:rsidR="00F8252C">
        <w:rPr>
          <w:rFonts w:ascii="Arial" w:hAnsi="Arial" w:cs="Arial"/>
          <w:bCs/>
          <w:color w:val="000000"/>
          <w:sz w:val="20"/>
          <w:szCs w:val="20"/>
        </w:rPr>
        <w:t>, particle number concentration, halogens, convection; Table S</w:t>
      </w:r>
      <w:r w:rsidR="00B201B5">
        <w:rPr>
          <w:rFonts w:ascii="Arial" w:hAnsi="Arial" w:cs="Arial"/>
          <w:bCs/>
          <w:color w:val="000000"/>
          <w:sz w:val="20"/>
          <w:szCs w:val="20"/>
        </w:rPr>
        <w:t>2</w:t>
      </w:r>
      <w:r w:rsidR="00F8252C">
        <w:rPr>
          <w:rFonts w:ascii="Arial" w:hAnsi="Arial" w:cs="Arial"/>
          <w:bCs/>
          <w:color w:val="000000"/>
          <w:sz w:val="20"/>
          <w:szCs w:val="20"/>
        </w:rPr>
        <w:t xml:space="preserve">). </w:t>
      </w:r>
      <w:bookmarkEnd w:id="7"/>
      <w:r w:rsidR="007F380D" w:rsidRPr="007F380D">
        <w:rPr>
          <w:rFonts w:ascii="Arial" w:hAnsi="Arial" w:cs="Arial"/>
          <w:bCs/>
          <w:color w:val="000000"/>
          <w:sz w:val="20"/>
          <w:szCs w:val="20"/>
        </w:rPr>
        <w:t>Overall, the aircraft observations suggest that Proxy</w:t>
      </w:r>
      <w:r w:rsidR="007F380D" w:rsidRPr="007F380D">
        <w:rPr>
          <w:rFonts w:ascii="Arial" w:hAnsi="Arial" w:cs="Arial"/>
          <w:bCs/>
          <w:i/>
          <w:iCs/>
          <w:color w:val="000000"/>
          <w:sz w:val="20"/>
          <w:szCs w:val="20"/>
          <w:vertAlign w:val="subscript"/>
        </w:rPr>
        <w:t>OH</w:t>
      </w:r>
      <w:r w:rsidR="007F380D" w:rsidRPr="007F380D">
        <w:rPr>
          <w:rFonts w:ascii="Arial" w:hAnsi="Arial" w:cs="Arial"/>
          <w:bCs/>
          <w:color w:val="000000"/>
          <w:sz w:val="20"/>
          <w:szCs w:val="20"/>
        </w:rPr>
        <w:t xml:space="preserve"> reflects observed OH </w:t>
      </w:r>
      <w:r w:rsidR="00CC7560">
        <w:rPr>
          <w:rFonts w:ascii="Arial" w:hAnsi="Arial" w:cs="Arial"/>
          <w:bCs/>
          <w:color w:val="000000"/>
          <w:sz w:val="20"/>
          <w:szCs w:val="20"/>
        </w:rPr>
        <w:t xml:space="preserve">spatial variations </w:t>
      </w:r>
      <w:r w:rsidR="007F380D" w:rsidRPr="007F380D">
        <w:rPr>
          <w:rFonts w:ascii="Arial" w:hAnsi="Arial" w:cs="Arial"/>
          <w:bCs/>
          <w:color w:val="000000"/>
          <w:sz w:val="20"/>
          <w:szCs w:val="20"/>
        </w:rPr>
        <w:t xml:space="preserve">on smaller scales than has previously been possible to discern using existing, globally well-mixed proxies.  </w:t>
      </w:r>
    </w:p>
    <w:p w14:paraId="58A5FB8A" w14:textId="50969BF0" w:rsidR="008B3B48" w:rsidRDefault="008B3B48" w:rsidP="007F380D">
      <w:pPr>
        <w:keepNext/>
        <w:pBdr>
          <w:top w:val="nil"/>
          <w:left w:val="nil"/>
          <w:bottom w:val="nil"/>
          <w:right w:val="nil"/>
          <w:between w:val="nil"/>
        </w:pBdr>
        <w:spacing w:before="240" w:after="60"/>
        <w:contextualSpacing/>
        <w:rPr>
          <w:rFonts w:ascii="Arial" w:hAnsi="Arial" w:cs="Arial"/>
          <w:bCs/>
          <w:color w:val="000000"/>
          <w:sz w:val="20"/>
          <w:szCs w:val="20"/>
        </w:rPr>
      </w:pPr>
    </w:p>
    <w:p w14:paraId="44F0EDE4" w14:textId="1F1E5028" w:rsidR="004D4394" w:rsidRDefault="00223DC2" w:rsidP="007F380D">
      <w:pPr>
        <w:keepNext/>
        <w:pBdr>
          <w:top w:val="nil"/>
          <w:left w:val="nil"/>
          <w:bottom w:val="nil"/>
          <w:right w:val="nil"/>
          <w:between w:val="nil"/>
        </w:pBdr>
        <w:spacing w:before="240" w:after="60"/>
        <w:contextualSpacing/>
        <w:rPr>
          <w:rFonts w:ascii="Arial" w:hAnsi="Arial" w:cs="Arial"/>
          <w:bCs/>
          <w:color w:val="000000"/>
          <w:sz w:val="20"/>
          <w:szCs w:val="20"/>
        </w:rPr>
      </w:pPr>
      <w:r>
        <w:rPr>
          <w:rFonts w:ascii="Arial" w:hAnsi="Arial" w:cs="Arial"/>
          <w:bCs/>
          <w:color w:val="000000"/>
          <w:sz w:val="20"/>
          <w:szCs w:val="20"/>
        </w:rPr>
        <w:t>In section 2, t</w:t>
      </w:r>
      <w:r w:rsidR="005C67E9">
        <w:rPr>
          <w:rFonts w:ascii="Arial" w:hAnsi="Arial" w:cs="Arial"/>
          <w:bCs/>
          <w:color w:val="000000"/>
          <w:sz w:val="20"/>
          <w:szCs w:val="20"/>
        </w:rPr>
        <w:t>he F0AM simulations indicate</w:t>
      </w:r>
      <w:r>
        <w:rPr>
          <w:rFonts w:ascii="Arial" w:hAnsi="Arial" w:cs="Arial"/>
          <w:bCs/>
          <w:color w:val="000000"/>
          <w:sz w:val="20"/>
          <w:szCs w:val="20"/>
        </w:rPr>
        <w:t>d</w:t>
      </w:r>
      <w:r w:rsidR="005C67E9">
        <w:rPr>
          <w:rFonts w:ascii="Arial" w:hAnsi="Arial" w:cs="Arial"/>
          <w:bCs/>
          <w:color w:val="000000"/>
          <w:sz w:val="20"/>
          <w:szCs w:val="20"/>
        </w:rPr>
        <w:t xml:space="preserve"> that alterna</w:t>
      </w:r>
      <w:r w:rsidR="007B13CB">
        <w:rPr>
          <w:rFonts w:ascii="Arial" w:hAnsi="Arial" w:cs="Arial"/>
          <w:bCs/>
          <w:color w:val="000000"/>
          <w:sz w:val="20"/>
          <w:szCs w:val="20"/>
        </w:rPr>
        <w:t>te</w:t>
      </w:r>
      <w:r w:rsidR="005C67E9">
        <w:rPr>
          <w:rFonts w:ascii="Arial" w:hAnsi="Arial" w:cs="Arial"/>
          <w:bCs/>
          <w:color w:val="000000"/>
          <w:sz w:val="20"/>
          <w:szCs w:val="20"/>
        </w:rPr>
        <w:t xml:space="preserve"> form</w:t>
      </w:r>
      <w:r>
        <w:rPr>
          <w:rFonts w:ascii="Arial" w:hAnsi="Arial" w:cs="Arial"/>
          <w:bCs/>
          <w:color w:val="000000"/>
          <w:sz w:val="20"/>
          <w:szCs w:val="20"/>
        </w:rPr>
        <w:t>s</w:t>
      </w:r>
      <w:r w:rsidR="005C67E9">
        <w:rPr>
          <w:rFonts w:ascii="Arial" w:hAnsi="Arial" w:cs="Arial"/>
          <w:bCs/>
          <w:color w:val="000000"/>
          <w:sz w:val="20"/>
          <w:szCs w:val="20"/>
        </w:rPr>
        <w:t xml:space="preserve"> </w:t>
      </w:r>
      <w:r>
        <w:rPr>
          <w:rFonts w:ascii="Arial" w:hAnsi="Arial" w:cs="Arial"/>
          <w:bCs/>
          <w:color w:val="000000"/>
          <w:sz w:val="20"/>
          <w:szCs w:val="20"/>
        </w:rPr>
        <w:t>of</w:t>
      </w:r>
      <w:r w:rsidR="005C67E9">
        <w:rPr>
          <w:rFonts w:ascii="Arial" w:hAnsi="Arial" w:cs="Arial"/>
          <w:bCs/>
          <w:color w:val="000000"/>
          <w:sz w:val="20"/>
          <w:szCs w:val="20"/>
        </w:rPr>
        <w:t xml:space="preserve"> </w:t>
      </w:r>
      <w:r>
        <w:rPr>
          <w:rFonts w:ascii="Arial" w:hAnsi="Arial" w:cs="Arial"/>
          <w:bCs/>
          <w:color w:val="000000"/>
          <w:sz w:val="20"/>
          <w:szCs w:val="20"/>
        </w:rPr>
        <w:t xml:space="preserve">a steady-state </w:t>
      </w:r>
      <w:r w:rsidR="005C67E9">
        <w:rPr>
          <w:rFonts w:ascii="Arial" w:hAnsi="Arial" w:cs="Arial"/>
          <w:bCs/>
          <w:color w:val="000000"/>
          <w:sz w:val="20"/>
          <w:szCs w:val="20"/>
        </w:rPr>
        <w:t xml:space="preserve">proxy </w:t>
      </w:r>
      <w:r>
        <w:rPr>
          <w:rFonts w:ascii="Arial" w:hAnsi="Arial" w:cs="Arial"/>
          <w:bCs/>
          <w:color w:val="000000"/>
          <w:sz w:val="20"/>
          <w:szCs w:val="20"/>
        </w:rPr>
        <w:t>over</w:t>
      </w:r>
      <w:r w:rsidR="005C67E9">
        <w:rPr>
          <w:rFonts w:ascii="Arial" w:hAnsi="Arial" w:cs="Arial"/>
          <w:bCs/>
          <w:color w:val="000000"/>
          <w:sz w:val="20"/>
          <w:szCs w:val="20"/>
        </w:rPr>
        <w:t xml:space="preserve"> </w:t>
      </w:r>
      <w:r w:rsidR="00455579">
        <w:rPr>
          <w:rFonts w:ascii="Arial" w:hAnsi="Arial" w:cs="Arial"/>
          <w:bCs/>
          <w:color w:val="000000"/>
          <w:sz w:val="20"/>
          <w:szCs w:val="20"/>
        </w:rPr>
        <w:t xml:space="preserve">the 2 km altitude by 20° latitude bins </w:t>
      </w:r>
      <w:r w:rsidR="005C67E9">
        <w:rPr>
          <w:rFonts w:ascii="Arial" w:hAnsi="Arial" w:cs="Arial"/>
          <w:bCs/>
          <w:color w:val="000000"/>
          <w:sz w:val="20"/>
          <w:szCs w:val="20"/>
        </w:rPr>
        <w:t xml:space="preserve">could employ the OH lifetime against </w:t>
      </w:r>
      <w:r>
        <w:rPr>
          <w:rFonts w:ascii="Arial" w:hAnsi="Arial" w:cs="Arial"/>
          <w:bCs/>
          <w:color w:val="000000"/>
          <w:sz w:val="20"/>
          <w:szCs w:val="20"/>
        </w:rPr>
        <w:t xml:space="preserve">small </w:t>
      </w:r>
      <w:r w:rsidR="00B9460F">
        <w:rPr>
          <w:rFonts w:ascii="Arial" w:hAnsi="Arial" w:cs="Arial"/>
          <w:bCs/>
          <w:color w:val="000000"/>
          <w:sz w:val="20"/>
          <w:szCs w:val="20"/>
        </w:rPr>
        <w:t>oxidized carbon compounds</w:t>
      </w:r>
      <w:r>
        <w:rPr>
          <w:rFonts w:ascii="Arial" w:hAnsi="Arial" w:cs="Arial"/>
          <w:bCs/>
          <w:color w:val="000000"/>
          <w:sz w:val="20"/>
          <w:szCs w:val="20"/>
        </w:rPr>
        <w:t xml:space="preserve"> (</w:t>
      </w:r>
      <w:r w:rsidRPr="00F47570">
        <w:rPr>
          <w:rFonts w:ascii="Arial" w:hAnsi="Arial" w:cs="Arial"/>
          <w:bCs/>
          <w:i/>
          <w:iCs/>
          <w:color w:val="000000"/>
          <w:sz w:val="20"/>
          <w:szCs w:val="20"/>
        </w:rPr>
        <w:t>e.g.</w:t>
      </w:r>
      <w:r>
        <w:rPr>
          <w:rFonts w:ascii="Arial" w:hAnsi="Arial" w:cs="Arial"/>
          <w:bCs/>
          <w:color w:val="000000"/>
          <w:sz w:val="20"/>
          <w:szCs w:val="20"/>
        </w:rPr>
        <w:t xml:space="preserve">, </w:t>
      </w:r>
      <w:r w:rsidR="005C67E9">
        <w:rPr>
          <w:rFonts w:ascii="Arial" w:hAnsi="Arial" w:cs="Arial"/>
          <w:bCs/>
          <w:color w:val="000000"/>
          <w:sz w:val="20"/>
          <w:szCs w:val="20"/>
        </w:rPr>
        <w:t>HCHO</w:t>
      </w:r>
      <w:r>
        <w:rPr>
          <w:rFonts w:ascii="Arial" w:hAnsi="Arial" w:cs="Arial"/>
          <w:bCs/>
          <w:color w:val="000000"/>
          <w:sz w:val="20"/>
          <w:szCs w:val="20"/>
        </w:rPr>
        <w:t xml:space="preserve"> and</w:t>
      </w:r>
      <w:r w:rsidR="005C67E9">
        <w:rPr>
          <w:rFonts w:ascii="Arial" w:hAnsi="Arial" w:cs="Arial"/>
          <w:bCs/>
          <w:color w:val="000000"/>
          <w:sz w:val="20"/>
          <w:szCs w:val="20"/>
        </w:rPr>
        <w:t xml:space="preserve"> CH</w:t>
      </w:r>
      <w:r w:rsidR="005C67E9" w:rsidRPr="00F47570">
        <w:rPr>
          <w:rFonts w:ascii="Arial" w:hAnsi="Arial" w:cs="Arial"/>
          <w:bCs/>
          <w:color w:val="000000"/>
          <w:sz w:val="20"/>
          <w:szCs w:val="20"/>
          <w:vertAlign w:val="subscript"/>
        </w:rPr>
        <w:t>3</w:t>
      </w:r>
      <w:r w:rsidR="005C67E9">
        <w:rPr>
          <w:rFonts w:ascii="Arial" w:hAnsi="Arial" w:cs="Arial"/>
          <w:bCs/>
          <w:color w:val="000000"/>
          <w:sz w:val="20"/>
          <w:szCs w:val="20"/>
        </w:rPr>
        <w:t>OOH,</w:t>
      </w:r>
      <w:r>
        <w:rPr>
          <w:rFonts w:ascii="Arial" w:hAnsi="Arial" w:cs="Arial"/>
          <w:bCs/>
          <w:color w:val="000000"/>
          <w:sz w:val="20"/>
          <w:szCs w:val="20"/>
        </w:rPr>
        <w:t xml:space="preserve"> which are </w:t>
      </w:r>
      <w:r w:rsidRPr="009C1B9E">
        <w:rPr>
          <w:rFonts w:ascii="Arial" w:hAnsi="Arial" w:cs="Arial"/>
          <w:bCs/>
          <w:color w:val="000000"/>
          <w:sz w:val="20"/>
          <w:szCs w:val="20"/>
        </w:rPr>
        <w:t>included in the 10 s ATom observations</w:t>
      </w:r>
      <w:r w:rsidR="00A513A2">
        <w:rPr>
          <w:rFonts w:ascii="Arial" w:hAnsi="Arial" w:cs="Arial"/>
          <w:bCs/>
          <w:color w:val="000000"/>
          <w:sz w:val="20"/>
          <w:szCs w:val="20"/>
        </w:rPr>
        <w:t>; Figures S</w:t>
      </w:r>
      <w:r w:rsidR="00315746">
        <w:rPr>
          <w:rFonts w:ascii="Arial" w:hAnsi="Arial" w:cs="Arial"/>
          <w:bCs/>
          <w:color w:val="000000"/>
          <w:sz w:val="20"/>
          <w:szCs w:val="20"/>
        </w:rPr>
        <w:t>2</w:t>
      </w:r>
      <w:r w:rsidR="00A513A2">
        <w:rPr>
          <w:rFonts w:ascii="Arial" w:hAnsi="Arial" w:cs="Arial"/>
          <w:bCs/>
          <w:color w:val="000000"/>
          <w:sz w:val="20"/>
          <w:szCs w:val="20"/>
        </w:rPr>
        <w:t xml:space="preserve"> and S</w:t>
      </w:r>
      <w:r w:rsidR="00B568C5">
        <w:rPr>
          <w:rFonts w:ascii="Arial" w:hAnsi="Arial" w:cs="Arial"/>
          <w:bCs/>
          <w:color w:val="000000"/>
          <w:sz w:val="20"/>
          <w:szCs w:val="20"/>
        </w:rPr>
        <w:t>3</w:t>
      </w:r>
      <w:r w:rsidRPr="009C1B9E">
        <w:rPr>
          <w:rFonts w:ascii="Arial" w:hAnsi="Arial" w:cs="Arial"/>
          <w:bCs/>
          <w:color w:val="000000"/>
          <w:sz w:val="20"/>
          <w:szCs w:val="20"/>
        </w:rPr>
        <w:t>)</w:t>
      </w:r>
      <w:r w:rsidR="005C67E9" w:rsidRPr="009C1B9E">
        <w:rPr>
          <w:rFonts w:ascii="Arial" w:hAnsi="Arial" w:cs="Arial"/>
          <w:bCs/>
          <w:color w:val="000000"/>
          <w:sz w:val="20"/>
          <w:szCs w:val="20"/>
        </w:rPr>
        <w:t xml:space="preserve"> </w:t>
      </w:r>
      <w:r w:rsidRPr="009C1B9E">
        <w:rPr>
          <w:rFonts w:ascii="Arial" w:hAnsi="Arial" w:cs="Arial"/>
          <w:bCs/>
          <w:color w:val="000000"/>
          <w:sz w:val="20"/>
          <w:szCs w:val="20"/>
        </w:rPr>
        <w:t>in place of, or in combination with</w:t>
      </w:r>
      <w:r w:rsidR="007B13CB">
        <w:rPr>
          <w:rFonts w:ascii="Arial" w:hAnsi="Arial" w:cs="Arial"/>
          <w:bCs/>
          <w:color w:val="000000"/>
          <w:sz w:val="20"/>
          <w:szCs w:val="20"/>
        </w:rPr>
        <w:t>,</w:t>
      </w:r>
      <w:r w:rsidRPr="009C1B9E">
        <w:rPr>
          <w:rFonts w:ascii="Arial" w:hAnsi="Arial" w:cs="Arial"/>
          <w:bCs/>
          <w:color w:val="000000"/>
          <w:sz w:val="20"/>
          <w:szCs w:val="20"/>
        </w:rPr>
        <w:t xml:space="preserve"> </w:t>
      </w:r>
      <w:r w:rsidR="005F5261">
        <w:rPr>
          <w:rFonts w:ascii="Symbol" w:hAnsi="Symbol" w:cs="Arial"/>
          <w:color w:val="000000"/>
          <w:sz w:val="20"/>
          <w:szCs w:val="20"/>
        </w:rPr>
        <w:t>t</w:t>
      </w:r>
      <w:r w:rsidRPr="009C1B9E">
        <w:rPr>
          <w:rFonts w:ascii="Arial" w:hAnsi="Arial" w:cs="Arial"/>
          <w:i/>
          <w:iCs/>
          <w:color w:val="000000"/>
          <w:sz w:val="20"/>
          <w:szCs w:val="20"/>
          <w:vertAlign w:val="subscript"/>
        </w:rPr>
        <w:t>OH,CO</w:t>
      </w:r>
      <w:r w:rsidR="005C67E9" w:rsidRPr="009C1B9E">
        <w:rPr>
          <w:rFonts w:ascii="Arial" w:hAnsi="Arial" w:cs="Arial"/>
          <w:bCs/>
          <w:color w:val="000000"/>
          <w:sz w:val="20"/>
          <w:szCs w:val="20"/>
        </w:rPr>
        <w:t xml:space="preserve">. However, using the ATom observations directly to </w:t>
      </w:r>
      <w:r w:rsidR="00C50632">
        <w:rPr>
          <w:rFonts w:ascii="Arial" w:hAnsi="Arial" w:cs="Arial"/>
          <w:bCs/>
          <w:color w:val="000000"/>
          <w:sz w:val="20"/>
          <w:szCs w:val="20"/>
        </w:rPr>
        <w:t xml:space="preserve">assess alternative proxy formulations that use </w:t>
      </w:r>
      <w:r w:rsidR="00DE5DF9">
        <w:rPr>
          <w:rFonts w:ascii="Arial" w:hAnsi="Arial" w:cs="Arial"/>
          <w:bCs/>
          <w:color w:val="000000"/>
          <w:sz w:val="20"/>
          <w:szCs w:val="20"/>
        </w:rPr>
        <w:t xml:space="preserve">these variables </w:t>
      </w:r>
      <w:r w:rsidR="005C67E9" w:rsidRPr="009C1B9E">
        <w:rPr>
          <w:rFonts w:ascii="Arial" w:hAnsi="Arial" w:cs="Arial"/>
          <w:bCs/>
          <w:color w:val="000000"/>
          <w:sz w:val="20"/>
          <w:szCs w:val="20"/>
        </w:rPr>
        <w:t>indicates that the simplest proxy formulation, using only CO as in Figure 1, best reflects OH variations over</w:t>
      </w:r>
      <w:r w:rsidR="00455579">
        <w:rPr>
          <w:rFonts w:ascii="Arial" w:hAnsi="Arial" w:cs="Arial"/>
          <w:bCs/>
          <w:color w:val="000000"/>
          <w:sz w:val="20"/>
          <w:szCs w:val="20"/>
        </w:rPr>
        <w:t xml:space="preserve"> the regional domain</w:t>
      </w:r>
      <w:r w:rsidR="00DE5DF9">
        <w:rPr>
          <w:rFonts w:ascii="Arial" w:hAnsi="Arial" w:cs="Arial"/>
          <w:bCs/>
          <w:color w:val="000000"/>
          <w:sz w:val="20"/>
          <w:szCs w:val="20"/>
        </w:rPr>
        <w:t xml:space="preserve"> </w:t>
      </w:r>
      <w:r w:rsidR="00DE5DF9" w:rsidRPr="009C1B9E">
        <w:rPr>
          <w:rFonts w:ascii="Arial" w:hAnsi="Arial" w:cs="Arial"/>
          <w:bCs/>
          <w:color w:val="000000"/>
          <w:sz w:val="20"/>
          <w:szCs w:val="20"/>
        </w:rPr>
        <w:t>(Table S</w:t>
      </w:r>
      <w:r w:rsidR="00B201B5">
        <w:rPr>
          <w:rFonts w:ascii="Arial" w:hAnsi="Arial" w:cs="Arial"/>
          <w:bCs/>
          <w:color w:val="000000"/>
          <w:sz w:val="20"/>
          <w:szCs w:val="20"/>
        </w:rPr>
        <w:t>3</w:t>
      </w:r>
      <w:r w:rsidR="00DE5DF9" w:rsidRPr="009C1B9E">
        <w:rPr>
          <w:rFonts w:ascii="Arial" w:hAnsi="Arial" w:cs="Arial"/>
          <w:bCs/>
          <w:color w:val="000000"/>
          <w:sz w:val="20"/>
          <w:szCs w:val="20"/>
        </w:rPr>
        <w:t>)</w:t>
      </w:r>
      <w:r w:rsidR="005C67E9">
        <w:rPr>
          <w:rFonts w:ascii="Arial" w:hAnsi="Arial" w:cs="Arial"/>
          <w:bCs/>
          <w:color w:val="000000"/>
          <w:sz w:val="20"/>
          <w:szCs w:val="20"/>
        </w:rPr>
        <w:t xml:space="preserve">. </w:t>
      </w:r>
    </w:p>
    <w:p w14:paraId="4F02BC23" w14:textId="77777777" w:rsidR="004D4394" w:rsidRDefault="004D4394" w:rsidP="007F380D">
      <w:pPr>
        <w:keepNext/>
        <w:pBdr>
          <w:top w:val="nil"/>
          <w:left w:val="nil"/>
          <w:bottom w:val="nil"/>
          <w:right w:val="nil"/>
          <w:between w:val="nil"/>
        </w:pBdr>
        <w:spacing w:before="240" w:after="60"/>
        <w:contextualSpacing/>
        <w:rPr>
          <w:rFonts w:ascii="Arial" w:hAnsi="Arial" w:cs="Arial"/>
          <w:bCs/>
          <w:color w:val="000000"/>
          <w:sz w:val="20"/>
          <w:szCs w:val="20"/>
        </w:rPr>
      </w:pPr>
    </w:p>
    <w:p w14:paraId="35C8B4AB" w14:textId="33EA3712" w:rsidR="008B3B48" w:rsidRDefault="008B3B48" w:rsidP="007F380D">
      <w:pPr>
        <w:keepNext/>
        <w:pBdr>
          <w:top w:val="nil"/>
          <w:left w:val="nil"/>
          <w:bottom w:val="nil"/>
          <w:right w:val="nil"/>
          <w:between w:val="nil"/>
        </w:pBdr>
        <w:spacing w:before="240" w:after="60"/>
        <w:contextualSpacing/>
        <w:rPr>
          <w:rFonts w:ascii="Arial" w:hAnsi="Arial" w:cs="Arial"/>
          <w:bCs/>
          <w:color w:val="000000"/>
          <w:sz w:val="20"/>
          <w:szCs w:val="20"/>
        </w:rPr>
      </w:pPr>
      <w:r>
        <w:rPr>
          <w:rFonts w:ascii="Arial" w:hAnsi="Arial" w:cs="Arial"/>
          <w:bCs/>
          <w:color w:val="000000"/>
          <w:sz w:val="20"/>
          <w:szCs w:val="20"/>
        </w:rPr>
        <w:t>On larger</w:t>
      </w:r>
      <w:r w:rsidR="009A3A93">
        <w:rPr>
          <w:rFonts w:ascii="Arial" w:hAnsi="Arial" w:cs="Arial"/>
          <w:bCs/>
          <w:color w:val="000000"/>
          <w:sz w:val="20"/>
          <w:szCs w:val="20"/>
        </w:rPr>
        <w:t xml:space="preserve"> scales, </w:t>
      </w:r>
      <w:r w:rsidR="009A3A93" w:rsidRPr="00E320E7">
        <w:rPr>
          <w:rFonts w:ascii="Arial" w:hAnsi="Arial" w:cs="Arial"/>
          <w:bCs/>
          <w:color w:val="000000"/>
          <w:sz w:val="20"/>
          <w:szCs w:val="20"/>
        </w:rPr>
        <w:t>Proxy</w:t>
      </w:r>
      <w:r w:rsidR="009A3A93" w:rsidRPr="00F47570">
        <w:rPr>
          <w:rFonts w:ascii="Arial" w:hAnsi="Arial" w:cs="Arial"/>
          <w:bCs/>
          <w:i/>
          <w:iCs/>
          <w:color w:val="000000"/>
          <w:sz w:val="20"/>
          <w:szCs w:val="20"/>
          <w:vertAlign w:val="subscript"/>
        </w:rPr>
        <w:t>OH</w:t>
      </w:r>
      <w:r w:rsidR="009A3A93" w:rsidRPr="00E320E7">
        <w:rPr>
          <w:rFonts w:ascii="Arial" w:hAnsi="Arial" w:cs="Arial"/>
          <w:bCs/>
          <w:color w:val="000000"/>
          <w:sz w:val="20"/>
          <w:szCs w:val="20"/>
        </w:rPr>
        <w:t xml:space="preserve"> demonstrates similar </w:t>
      </w:r>
      <w:r w:rsidR="009A3A93" w:rsidRPr="009C1B9E">
        <w:rPr>
          <w:rFonts w:ascii="Arial" w:hAnsi="Arial" w:cs="Arial"/>
          <w:bCs/>
          <w:color w:val="000000"/>
          <w:sz w:val="20"/>
          <w:szCs w:val="20"/>
        </w:rPr>
        <w:t xml:space="preserve">predictive skill </w:t>
      </w:r>
      <w:r w:rsidR="009A3A93" w:rsidRPr="00E320E7">
        <w:rPr>
          <w:rFonts w:ascii="Arial" w:hAnsi="Arial" w:cs="Arial"/>
          <w:bCs/>
          <w:color w:val="000000"/>
          <w:sz w:val="20"/>
          <w:szCs w:val="20"/>
        </w:rPr>
        <w:t>in reflecting OH variations</w:t>
      </w:r>
      <w:r w:rsidR="004D4394" w:rsidRPr="00E320E7">
        <w:rPr>
          <w:rFonts w:ascii="Arial" w:hAnsi="Arial" w:cs="Arial"/>
          <w:bCs/>
          <w:color w:val="000000"/>
          <w:sz w:val="20"/>
          <w:szCs w:val="20"/>
        </w:rPr>
        <w:t xml:space="preserve"> when all observations in the domain are considered together</w:t>
      </w:r>
      <w:r w:rsidR="009A3A93" w:rsidRPr="00E320E7">
        <w:rPr>
          <w:rFonts w:ascii="Arial" w:hAnsi="Arial" w:cs="Arial"/>
          <w:bCs/>
          <w:color w:val="000000"/>
          <w:sz w:val="20"/>
          <w:szCs w:val="20"/>
        </w:rPr>
        <w:t xml:space="preserve"> </w:t>
      </w:r>
      <w:r w:rsidR="004D4394" w:rsidRPr="00F47570">
        <w:rPr>
          <w:rFonts w:ascii="Arial" w:hAnsi="Arial" w:cs="Arial"/>
          <w:bCs/>
          <w:color w:val="000000"/>
          <w:sz w:val="20"/>
          <w:szCs w:val="20"/>
        </w:rPr>
        <w:t>(</w:t>
      </w:r>
      <w:r w:rsidR="00705A10">
        <w:rPr>
          <w:rFonts w:ascii="Arial" w:hAnsi="Arial" w:cs="Arial"/>
          <w:bCs/>
          <w:color w:val="000000"/>
          <w:sz w:val="20"/>
          <w:szCs w:val="20"/>
        </w:rPr>
        <w:t>ordinary least squares</w:t>
      </w:r>
      <w:r w:rsidR="00E320E7" w:rsidRPr="00F47570">
        <w:rPr>
          <w:rFonts w:ascii="Arial" w:hAnsi="Arial" w:cs="Arial"/>
          <w:bCs/>
          <w:color w:val="000000"/>
          <w:sz w:val="20"/>
          <w:szCs w:val="20"/>
        </w:rPr>
        <w:t xml:space="preserve"> </w:t>
      </w:r>
      <w:r w:rsidR="009A3A93" w:rsidRPr="00F47570">
        <w:rPr>
          <w:rFonts w:ascii="Arial" w:hAnsi="Arial" w:cs="Arial"/>
          <w:bCs/>
          <w:i/>
          <w:iCs/>
          <w:color w:val="000000"/>
          <w:sz w:val="20"/>
          <w:szCs w:val="20"/>
        </w:rPr>
        <w:t>r</w:t>
      </w:r>
      <w:r w:rsidR="009A3A93" w:rsidRPr="00F47570">
        <w:rPr>
          <w:rFonts w:ascii="Arial" w:hAnsi="Arial" w:cs="Arial"/>
          <w:bCs/>
          <w:color w:val="000000"/>
          <w:sz w:val="20"/>
          <w:szCs w:val="20"/>
          <w:vertAlign w:val="superscript"/>
        </w:rPr>
        <w:t>2</w:t>
      </w:r>
      <w:r w:rsidR="009A3A93" w:rsidRPr="00E320E7">
        <w:rPr>
          <w:rFonts w:ascii="Arial" w:hAnsi="Arial" w:cs="Arial"/>
          <w:bCs/>
          <w:color w:val="000000"/>
          <w:sz w:val="20"/>
          <w:szCs w:val="20"/>
        </w:rPr>
        <w:t xml:space="preserve"> = </w:t>
      </w:r>
      <w:r w:rsidR="00E320E7" w:rsidRPr="00F47570">
        <w:rPr>
          <w:rFonts w:ascii="Arial" w:hAnsi="Arial" w:cs="Arial"/>
          <w:bCs/>
          <w:color w:val="000000"/>
          <w:sz w:val="20"/>
          <w:szCs w:val="20"/>
        </w:rPr>
        <w:t>0.5</w:t>
      </w:r>
      <w:r w:rsidR="008D105E">
        <w:rPr>
          <w:rFonts w:ascii="Arial" w:hAnsi="Arial" w:cs="Arial"/>
          <w:bCs/>
          <w:color w:val="000000"/>
          <w:sz w:val="20"/>
          <w:szCs w:val="20"/>
        </w:rPr>
        <w:t>2</w:t>
      </w:r>
      <w:r w:rsidR="004D4394" w:rsidRPr="00F47570">
        <w:rPr>
          <w:rFonts w:ascii="Arial" w:hAnsi="Arial" w:cs="Arial"/>
          <w:bCs/>
          <w:color w:val="000000"/>
          <w:sz w:val="20"/>
          <w:szCs w:val="20"/>
        </w:rPr>
        <w:t>)</w:t>
      </w:r>
      <w:r w:rsidR="009A3A93" w:rsidRPr="00E320E7">
        <w:rPr>
          <w:rFonts w:ascii="Arial" w:hAnsi="Arial" w:cs="Arial"/>
          <w:bCs/>
          <w:color w:val="000000"/>
          <w:sz w:val="20"/>
          <w:szCs w:val="20"/>
        </w:rPr>
        <w:t xml:space="preserve"> </w:t>
      </w:r>
      <w:r w:rsidR="00C86A3E">
        <w:rPr>
          <w:rFonts w:ascii="Arial" w:hAnsi="Arial" w:cs="Arial"/>
          <w:bCs/>
          <w:color w:val="000000"/>
          <w:sz w:val="20"/>
          <w:szCs w:val="20"/>
        </w:rPr>
        <w:t>as</w:t>
      </w:r>
      <w:r w:rsidR="004D4394" w:rsidRPr="00F47570">
        <w:rPr>
          <w:rFonts w:ascii="Arial" w:hAnsi="Arial" w:cs="Arial"/>
          <w:bCs/>
          <w:color w:val="000000"/>
          <w:sz w:val="20"/>
          <w:szCs w:val="20"/>
        </w:rPr>
        <w:t xml:space="preserve"> when subsetting for </w:t>
      </w:r>
      <w:r w:rsidR="009A3A93" w:rsidRPr="00E320E7">
        <w:rPr>
          <w:rFonts w:ascii="Arial" w:hAnsi="Arial" w:cs="Arial"/>
          <w:bCs/>
          <w:color w:val="000000"/>
          <w:sz w:val="20"/>
          <w:szCs w:val="20"/>
        </w:rPr>
        <w:t>the Pacific or Atlantic</w:t>
      </w:r>
      <w:r w:rsidR="009A3A93" w:rsidRPr="009C1B9E">
        <w:rPr>
          <w:rFonts w:ascii="Arial" w:hAnsi="Arial" w:cs="Arial"/>
          <w:bCs/>
          <w:color w:val="000000"/>
          <w:sz w:val="20"/>
          <w:szCs w:val="20"/>
        </w:rPr>
        <w:t xml:space="preserve"> </w:t>
      </w:r>
      <w:r w:rsidR="004D4394" w:rsidRPr="00F47570">
        <w:rPr>
          <w:rFonts w:ascii="Arial" w:hAnsi="Arial" w:cs="Arial"/>
          <w:bCs/>
          <w:color w:val="000000"/>
          <w:sz w:val="20"/>
          <w:szCs w:val="20"/>
        </w:rPr>
        <w:t>(</w:t>
      </w:r>
      <w:r w:rsidR="009A3A93" w:rsidRPr="00F47570">
        <w:rPr>
          <w:rFonts w:ascii="Arial" w:hAnsi="Arial" w:cs="Arial"/>
          <w:bCs/>
          <w:i/>
          <w:iCs/>
          <w:color w:val="000000"/>
          <w:sz w:val="20"/>
          <w:szCs w:val="20"/>
        </w:rPr>
        <w:t>r</w:t>
      </w:r>
      <w:r w:rsidR="009A3A93" w:rsidRPr="00F47570">
        <w:rPr>
          <w:rFonts w:ascii="Arial" w:hAnsi="Arial" w:cs="Arial"/>
          <w:bCs/>
          <w:color w:val="000000"/>
          <w:sz w:val="20"/>
          <w:szCs w:val="20"/>
          <w:vertAlign w:val="superscript"/>
        </w:rPr>
        <w:t>2</w:t>
      </w:r>
      <w:r w:rsidR="009A3A93" w:rsidRPr="00E320E7">
        <w:rPr>
          <w:rFonts w:ascii="Arial" w:hAnsi="Arial" w:cs="Arial"/>
          <w:bCs/>
          <w:color w:val="000000"/>
          <w:sz w:val="20"/>
          <w:szCs w:val="20"/>
        </w:rPr>
        <w:t xml:space="preserve"> = </w:t>
      </w:r>
      <w:r w:rsidR="00E320E7" w:rsidRPr="00F47570">
        <w:rPr>
          <w:rFonts w:ascii="Arial" w:hAnsi="Arial" w:cs="Arial"/>
          <w:bCs/>
          <w:color w:val="000000"/>
          <w:sz w:val="20"/>
          <w:szCs w:val="20"/>
        </w:rPr>
        <w:t>0.4</w:t>
      </w:r>
      <w:r w:rsidR="008D105E">
        <w:rPr>
          <w:rFonts w:ascii="Arial" w:hAnsi="Arial" w:cs="Arial"/>
          <w:bCs/>
          <w:color w:val="000000"/>
          <w:sz w:val="20"/>
          <w:szCs w:val="20"/>
        </w:rPr>
        <w:t>9</w:t>
      </w:r>
      <w:r w:rsidR="00E320E7" w:rsidRPr="00F47570">
        <w:rPr>
          <w:rFonts w:ascii="Arial" w:hAnsi="Arial" w:cs="Arial"/>
          <w:bCs/>
          <w:color w:val="000000"/>
          <w:sz w:val="20"/>
          <w:szCs w:val="20"/>
        </w:rPr>
        <w:t xml:space="preserve"> </w:t>
      </w:r>
      <w:r w:rsidR="004D4394" w:rsidRPr="00F47570">
        <w:rPr>
          <w:rFonts w:ascii="Arial" w:hAnsi="Arial" w:cs="Arial"/>
          <w:bCs/>
          <w:color w:val="000000"/>
          <w:sz w:val="20"/>
          <w:szCs w:val="20"/>
        </w:rPr>
        <w:t xml:space="preserve">or </w:t>
      </w:r>
      <w:r w:rsidR="00E320E7" w:rsidRPr="00F47570">
        <w:rPr>
          <w:rFonts w:ascii="Arial" w:hAnsi="Arial" w:cs="Arial"/>
          <w:bCs/>
          <w:color w:val="000000"/>
          <w:sz w:val="20"/>
          <w:szCs w:val="20"/>
        </w:rPr>
        <w:t>0.6</w:t>
      </w:r>
      <w:r w:rsidR="008D105E">
        <w:rPr>
          <w:rFonts w:ascii="Arial" w:hAnsi="Arial" w:cs="Arial"/>
          <w:bCs/>
          <w:color w:val="000000"/>
          <w:sz w:val="20"/>
          <w:szCs w:val="20"/>
        </w:rPr>
        <w:t>0</w:t>
      </w:r>
      <w:r w:rsidR="009A3A93" w:rsidRPr="00E320E7">
        <w:rPr>
          <w:rFonts w:ascii="Arial" w:hAnsi="Arial" w:cs="Arial"/>
          <w:bCs/>
          <w:color w:val="000000"/>
          <w:sz w:val="20"/>
          <w:szCs w:val="20"/>
        </w:rPr>
        <w:t>, respectively</w:t>
      </w:r>
      <w:r w:rsidR="00E320E7" w:rsidRPr="009C1B9E">
        <w:rPr>
          <w:rFonts w:ascii="Arial" w:hAnsi="Arial" w:cs="Arial"/>
          <w:bCs/>
          <w:color w:val="000000"/>
          <w:sz w:val="20"/>
          <w:szCs w:val="20"/>
        </w:rPr>
        <w:t>)</w:t>
      </w:r>
      <w:r w:rsidR="00E320E7" w:rsidRPr="00E320E7">
        <w:rPr>
          <w:rFonts w:ascii="Arial" w:hAnsi="Arial" w:cs="Arial"/>
          <w:bCs/>
          <w:color w:val="000000"/>
          <w:sz w:val="20"/>
          <w:szCs w:val="20"/>
        </w:rPr>
        <w:t>. R</w:t>
      </w:r>
      <w:r w:rsidR="00223DC2" w:rsidRPr="00E320E7">
        <w:rPr>
          <w:rFonts w:ascii="Arial" w:hAnsi="Arial" w:cs="Arial"/>
          <w:bCs/>
          <w:color w:val="000000"/>
          <w:sz w:val="20"/>
          <w:szCs w:val="20"/>
        </w:rPr>
        <w:t>eplacing</w:t>
      </w:r>
      <w:r w:rsidR="009A3A93" w:rsidRPr="00E320E7">
        <w:rPr>
          <w:rFonts w:ascii="Arial" w:hAnsi="Arial" w:cs="Arial"/>
          <w:bCs/>
          <w:color w:val="000000"/>
          <w:sz w:val="20"/>
          <w:szCs w:val="20"/>
        </w:rPr>
        <w:t xml:space="preserve"> </w:t>
      </w:r>
      <w:r w:rsidR="005F5261">
        <w:rPr>
          <w:rFonts w:ascii="Symbol" w:hAnsi="Symbol" w:cs="Arial"/>
          <w:color w:val="000000"/>
          <w:sz w:val="20"/>
          <w:szCs w:val="20"/>
        </w:rPr>
        <w:t>t</w:t>
      </w:r>
      <w:r w:rsidR="00223DC2" w:rsidRPr="00E320E7">
        <w:rPr>
          <w:rFonts w:ascii="Arial" w:hAnsi="Arial" w:cs="Arial"/>
          <w:i/>
          <w:iCs/>
          <w:color w:val="000000"/>
          <w:sz w:val="20"/>
          <w:szCs w:val="20"/>
          <w:vertAlign w:val="subscript"/>
        </w:rPr>
        <w:t>OH,CO</w:t>
      </w:r>
      <w:r w:rsidR="00223DC2" w:rsidRPr="00E320E7">
        <w:rPr>
          <w:rFonts w:ascii="Arial" w:hAnsi="Arial" w:cs="Arial"/>
          <w:color w:val="000000"/>
          <w:sz w:val="20"/>
          <w:szCs w:val="20"/>
        </w:rPr>
        <w:t xml:space="preserve"> in Equation 3 with </w:t>
      </w:r>
      <w:r w:rsidR="009A3A93" w:rsidRPr="00E320E7">
        <w:rPr>
          <w:rFonts w:ascii="Arial" w:hAnsi="Arial" w:cs="Arial"/>
          <w:bCs/>
          <w:color w:val="000000"/>
          <w:sz w:val="20"/>
          <w:szCs w:val="20"/>
        </w:rPr>
        <w:t xml:space="preserve">the OH lifetime </w:t>
      </w:r>
      <w:r w:rsidR="009A3A93" w:rsidRPr="00BB19CB">
        <w:rPr>
          <w:rFonts w:ascii="Arial" w:hAnsi="Arial" w:cs="Arial"/>
          <w:bCs/>
          <w:color w:val="000000"/>
          <w:sz w:val="20"/>
          <w:szCs w:val="20"/>
        </w:rPr>
        <w:t xml:space="preserve">against methane </w:t>
      </w:r>
      <w:r w:rsidR="00223DC2" w:rsidRPr="00BB19CB">
        <w:rPr>
          <w:rFonts w:ascii="Arial" w:hAnsi="Arial" w:cs="Arial"/>
          <w:bCs/>
          <w:color w:val="000000"/>
          <w:sz w:val="20"/>
          <w:szCs w:val="20"/>
        </w:rPr>
        <w:t xml:space="preserve">(= </w:t>
      </w:r>
      <w:r w:rsidR="00223DC2" w:rsidRPr="00BB19CB">
        <w:rPr>
          <w:rFonts w:ascii="Arial" w:hAnsi="Arial" w:cs="Arial"/>
          <w:color w:val="000000"/>
          <w:sz w:val="20"/>
          <w:szCs w:val="20"/>
        </w:rPr>
        <w:t>(</w:t>
      </w:r>
      <m:oMath>
        <m:sSub>
          <m:sSubPr>
            <m:ctrlPr>
              <w:rPr>
                <w:rFonts w:ascii="Cambria Math" w:hAnsi="Cambria Math" w:cs="Arial"/>
                <w:i/>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C</m:t>
            </m:r>
            <m:sSub>
              <m:sSubPr>
                <m:ctrlPr>
                  <w:rPr>
                    <w:rFonts w:ascii="Cambria Math" w:hAnsi="Cambria Math" w:cs="Arial"/>
                    <w:i/>
                    <w:color w:val="000000"/>
                    <w:sz w:val="20"/>
                    <w:szCs w:val="20"/>
                  </w:rPr>
                </m:ctrlPr>
              </m:sSubPr>
              <m:e>
                <m:r>
                  <w:rPr>
                    <w:rFonts w:ascii="Cambria Math" w:hAnsi="Cambria Math" w:cs="Arial"/>
                    <w:color w:val="000000"/>
                    <w:sz w:val="20"/>
                    <w:szCs w:val="20"/>
                  </w:rPr>
                  <m:t>H</m:t>
                </m:r>
              </m:e>
              <m:sub>
                <m:r>
                  <w:rPr>
                    <w:rFonts w:ascii="Cambria Math" w:hAnsi="Cambria Math" w:cs="Arial"/>
                    <w:color w:val="000000"/>
                    <w:sz w:val="20"/>
                    <w:szCs w:val="20"/>
                  </w:rPr>
                  <m:t>4</m:t>
                </m:r>
              </m:sub>
            </m:sSub>
            <m:r>
              <w:rPr>
                <w:rFonts w:ascii="Cambria Math" w:hAnsi="Cambria Math" w:cs="Arial"/>
                <w:color w:val="000000"/>
                <w:sz w:val="20"/>
                <w:szCs w:val="20"/>
              </w:rPr>
              <m:t>+OH</m:t>
            </m:r>
          </m:sub>
        </m:sSub>
      </m:oMath>
      <w:r w:rsidR="00223DC2" w:rsidRPr="00BB19CB">
        <w:rPr>
          <w:rFonts w:ascii="Arial" w:hAnsi="Arial" w:cs="Arial"/>
          <w:color w:val="000000"/>
          <w:sz w:val="20"/>
          <w:szCs w:val="20"/>
        </w:rPr>
        <w:t>[CH</w:t>
      </w:r>
      <w:r w:rsidR="00223DC2" w:rsidRPr="00F47570">
        <w:rPr>
          <w:rFonts w:ascii="Arial" w:hAnsi="Arial" w:cs="Arial"/>
          <w:color w:val="000000"/>
          <w:sz w:val="20"/>
          <w:szCs w:val="20"/>
          <w:vertAlign w:val="subscript"/>
        </w:rPr>
        <w:t>4</w:t>
      </w:r>
      <w:r w:rsidR="00223DC2" w:rsidRPr="00BB19CB">
        <w:rPr>
          <w:rFonts w:ascii="Arial" w:hAnsi="Arial" w:cs="Arial"/>
          <w:color w:val="000000"/>
          <w:sz w:val="20"/>
          <w:szCs w:val="20"/>
        </w:rPr>
        <w:t>])</w:t>
      </w:r>
      <w:r w:rsidR="00223DC2" w:rsidRPr="00BB19CB">
        <w:rPr>
          <w:rFonts w:ascii="Arial" w:hAnsi="Arial" w:cs="Arial"/>
          <w:color w:val="000000"/>
          <w:sz w:val="20"/>
          <w:szCs w:val="20"/>
          <w:vertAlign w:val="superscript"/>
        </w:rPr>
        <w:t>-1</w:t>
      </w:r>
      <w:r w:rsidR="00223DC2" w:rsidRPr="00BB19CB">
        <w:rPr>
          <w:rFonts w:ascii="Arial" w:hAnsi="Arial" w:cs="Arial"/>
          <w:color w:val="000000"/>
          <w:sz w:val="20"/>
          <w:szCs w:val="20"/>
        </w:rPr>
        <w:t xml:space="preserve">) </w:t>
      </w:r>
      <w:r w:rsidR="00223DC2" w:rsidRPr="00BB19CB">
        <w:rPr>
          <w:rFonts w:ascii="Arial" w:hAnsi="Arial" w:cs="Arial"/>
          <w:bCs/>
          <w:color w:val="000000"/>
          <w:sz w:val="20"/>
          <w:szCs w:val="20"/>
        </w:rPr>
        <w:t xml:space="preserve">does </w:t>
      </w:r>
      <w:r w:rsidR="009A3A93" w:rsidRPr="00BB19CB">
        <w:rPr>
          <w:rFonts w:ascii="Arial" w:hAnsi="Arial" w:cs="Arial"/>
          <w:bCs/>
          <w:color w:val="000000"/>
          <w:sz w:val="20"/>
          <w:szCs w:val="20"/>
        </w:rPr>
        <w:t>not improve the correlation</w:t>
      </w:r>
      <w:r w:rsidR="00E320E7" w:rsidRPr="00BB19CB">
        <w:rPr>
          <w:rFonts w:ascii="Arial" w:hAnsi="Arial" w:cs="Arial"/>
          <w:bCs/>
          <w:color w:val="000000"/>
          <w:sz w:val="20"/>
          <w:szCs w:val="20"/>
        </w:rPr>
        <w:t xml:space="preserve"> across all flight tracks (</w:t>
      </w:r>
      <w:r w:rsidR="00E320E7" w:rsidRPr="00F47570">
        <w:rPr>
          <w:rFonts w:ascii="Arial" w:hAnsi="Arial" w:cs="Arial"/>
          <w:bCs/>
          <w:i/>
          <w:iCs/>
          <w:color w:val="000000"/>
          <w:sz w:val="20"/>
          <w:szCs w:val="20"/>
        </w:rPr>
        <w:t>r</w:t>
      </w:r>
      <w:r w:rsidR="00E320E7" w:rsidRPr="00F47570">
        <w:rPr>
          <w:rFonts w:ascii="Arial" w:hAnsi="Arial" w:cs="Arial"/>
          <w:bCs/>
          <w:color w:val="000000"/>
          <w:sz w:val="20"/>
          <w:szCs w:val="20"/>
          <w:vertAlign w:val="superscript"/>
        </w:rPr>
        <w:t>2</w:t>
      </w:r>
      <w:r w:rsidR="00E320E7" w:rsidRPr="00BB19CB">
        <w:rPr>
          <w:rFonts w:ascii="Arial" w:hAnsi="Arial" w:cs="Arial"/>
          <w:bCs/>
          <w:color w:val="000000"/>
          <w:sz w:val="20"/>
          <w:szCs w:val="20"/>
        </w:rPr>
        <w:t xml:space="preserve"> = 0.</w:t>
      </w:r>
      <w:r w:rsidR="008D105E">
        <w:rPr>
          <w:rFonts w:ascii="Arial" w:hAnsi="Arial" w:cs="Arial"/>
          <w:bCs/>
          <w:color w:val="000000"/>
          <w:sz w:val="20"/>
          <w:szCs w:val="20"/>
        </w:rPr>
        <w:t>44</w:t>
      </w:r>
      <w:r w:rsidR="00E320E7" w:rsidRPr="00BB19CB">
        <w:rPr>
          <w:rFonts w:ascii="Arial" w:hAnsi="Arial" w:cs="Arial"/>
          <w:bCs/>
          <w:color w:val="000000"/>
          <w:sz w:val="20"/>
          <w:szCs w:val="20"/>
        </w:rPr>
        <w:t>),</w:t>
      </w:r>
      <w:r w:rsidR="00455579" w:rsidRPr="00BB19CB">
        <w:rPr>
          <w:rFonts w:ascii="Arial" w:hAnsi="Arial" w:cs="Arial"/>
          <w:bCs/>
          <w:color w:val="000000"/>
          <w:sz w:val="20"/>
          <w:szCs w:val="20"/>
        </w:rPr>
        <w:t xml:space="preserve"> even when </w:t>
      </w:r>
      <w:r w:rsidR="005F5261" w:rsidRPr="00F47570">
        <w:rPr>
          <w:rFonts w:ascii="Arial" w:hAnsi="Arial" w:cs="Arial"/>
          <w:bCs/>
          <w:color w:val="000000"/>
          <w:sz w:val="20"/>
          <w:szCs w:val="20"/>
        </w:rPr>
        <w:t xml:space="preserve">representing the OH sink in the proxy denominator as the </w:t>
      </w:r>
      <w:r w:rsidR="00455579" w:rsidRPr="00BB19CB">
        <w:rPr>
          <w:rFonts w:ascii="Arial" w:hAnsi="Arial" w:cs="Arial"/>
          <w:bCs/>
          <w:color w:val="000000"/>
          <w:sz w:val="20"/>
          <w:szCs w:val="20"/>
        </w:rPr>
        <w:t>sum</w:t>
      </w:r>
      <w:r w:rsidR="005F5261" w:rsidRPr="00F47570">
        <w:rPr>
          <w:rFonts w:ascii="Arial" w:hAnsi="Arial" w:cs="Arial"/>
          <w:bCs/>
          <w:color w:val="000000"/>
          <w:sz w:val="20"/>
          <w:szCs w:val="20"/>
        </w:rPr>
        <w:t xml:space="preserve"> of</w:t>
      </w:r>
      <w:r w:rsidR="00455579" w:rsidRPr="00BB19CB">
        <w:rPr>
          <w:rFonts w:ascii="Arial" w:hAnsi="Arial" w:cs="Arial"/>
          <w:bCs/>
          <w:color w:val="000000"/>
          <w:sz w:val="20"/>
          <w:szCs w:val="20"/>
        </w:rPr>
        <w:t xml:space="preserve"> both rates (</w:t>
      </w:r>
      <w:r w:rsidR="00455579" w:rsidRPr="00F47570">
        <w:rPr>
          <w:rFonts w:ascii="Arial" w:hAnsi="Arial" w:cs="Arial"/>
          <w:bCs/>
          <w:i/>
          <w:iCs/>
          <w:color w:val="000000"/>
          <w:sz w:val="20"/>
          <w:szCs w:val="20"/>
        </w:rPr>
        <w:t>r</w:t>
      </w:r>
      <w:r w:rsidR="00455579" w:rsidRPr="00F47570">
        <w:rPr>
          <w:rFonts w:ascii="Arial" w:hAnsi="Arial" w:cs="Arial"/>
          <w:bCs/>
          <w:color w:val="000000"/>
          <w:sz w:val="20"/>
          <w:szCs w:val="20"/>
          <w:vertAlign w:val="superscript"/>
        </w:rPr>
        <w:t>2</w:t>
      </w:r>
      <w:r w:rsidR="00455579" w:rsidRPr="00BB19CB">
        <w:rPr>
          <w:rFonts w:ascii="Arial" w:hAnsi="Arial" w:cs="Arial"/>
          <w:bCs/>
          <w:color w:val="000000"/>
          <w:sz w:val="20"/>
          <w:szCs w:val="20"/>
        </w:rPr>
        <w:t xml:space="preserve"> = </w:t>
      </w:r>
      <w:r w:rsidR="00BB19CB" w:rsidRPr="00F47570">
        <w:rPr>
          <w:rFonts w:ascii="Arial" w:hAnsi="Arial" w:cs="Arial"/>
          <w:bCs/>
          <w:color w:val="000000"/>
          <w:sz w:val="20"/>
          <w:szCs w:val="20"/>
        </w:rPr>
        <w:t>0.</w:t>
      </w:r>
      <w:r w:rsidR="008D105E">
        <w:rPr>
          <w:rFonts w:ascii="Arial" w:hAnsi="Arial" w:cs="Arial"/>
          <w:bCs/>
          <w:color w:val="000000"/>
          <w:sz w:val="20"/>
          <w:szCs w:val="20"/>
        </w:rPr>
        <w:t>51</w:t>
      </w:r>
      <w:r w:rsidR="00455579" w:rsidRPr="00BB19CB">
        <w:rPr>
          <w:rFonts w:ascii="Arial" w:hAnsi="Arial" w:cs="Arial"/>
          <w:bCs/>
          <w:color w:val="000000"/>
          <w:sz w:val="20"/>
          <w:szCs w:val="20"/>
        </w:rPr>
        <w:t>).</w:t>
      </w:r>
      <w:r w:rsidR="00E320E7" w:rsidRPr="00BB19CB">
        <w:rPr>
          <w:rFonts w:ascii="Arial" w:hAnsi="Arial" w:cs="Arial"/>
          <w:bCs/>
          <w:color w:val="000000"/>
          <w:sz w:val="20"/>
          <w:szCs w:val="20"/>
        </w:rPr>
        <w:t xml:space="preserve"> </w:t>
      </w:r>
      <w:r w:rsidR="00EE12F6" w:rsidRPr="00BB19CB">
        <w:rPr>
          <w:rFonts w:ascii="Arial" w:hAnsi="Arial" w:cs="Arial"/>
          <w:bCs/>
          <w:color w:val="000000"/>
          <w:sz w:val="20"/>
          <w:szCs w:val="20"/>
        </w:rPr>
        <w:t>Despite</w:t>
      </w:r>
      <w:r w:rsidR="00EE12F6" w:rsidRPr="00CC690A">
        <w:rPr>
          <w:rFonts w:ascii="Arial" w:hAnsi="Arial" w:cs="Arial"/>
          <w:bCs/>
          <w:color w:val="000000"/>
          <w:sz w:val="20"/>
          <w:szCs w:val="20"/>
        </w:rPr>
        <w:t xml:space="preserve"> </w:t>
      </w:r>
      <w:r w:rsidR="007B21CF" w:rsidRPr="00CC690A">
        <w:rPr>
          <w:rFonts w:ascii="Arial" w:hAnsi="Arial" w:cs="Arial"/>
          <w:bCs/>
          <w:color w:val="000000"/>
          <w:sz w:val="20"/>
          <w:szCs w:val="20"/>
        </w:rPr>
        <w:t xml:space="preserve">the role of </w:t>
      </w:r>
      <w:r w:rsidR="003F0174" w:rsidRPr="00CC690A">
        <w:rPr>
          <w:rFonts w:ascii="Arial" w:hAnsi="Arial" w:cs="Arial"/>
          <w:bCs/>
          <w:color w:val="000000"/>
          <w:sz w:val="20"/>
          <w:szCs w:val="20"/>
        </w:rPr>
        <w:t>methane</w:t>
      </w:r>
      <w:r w:rsidR="007B21CF" w:rsidRPr="00CC690A">
        <w:rPr>
          <w:rFonts w:ascii="Arial" w:hAnsi="Arial" w:cs="Arial"/>
          <w:bCs/>
          <w:color w:val="000000"/>
          <w:sz w:val="20"/>
          <w:szCs w:val="20"/>
        </w:rPr>
        <w:t xml:space="preserve"> </w:t>
      </w:r>
      <w:r w:rsidR="00EE12F6" w:rsidRPr="00CC690A">
        <w:rPr>
          <w:rFonts w:ascii="Arial" w:hAnsi="Arial" w:cs="Arial"/>
          <w:bCs/>
          <w:color w:val="000000"/>
          <w:sz w:val="20"/>
          <w:szCs w:val="20"/>
        </w:rPr>
        <w:t xml:space="preserve">in modulating the </w:t>
      </w:r>
      <w:r w:rsidR="003F0174" w:rsidRPr="00CC690A">
        <w:rPr>
          <w:rFonts w:ascii="Arial" w:hAnsi="Arial" w:cs="Arial"/>
          <w:bCs/>
          <w:color w:val="000000"/>
          <w:sz w:val="20"/>
          <w:szCs w:val="20"/>
        </w:rPr>
        <w:t xml:space="preserve">global </w:t>
      </w:r>
      <w:r w:rsidR="00EE12F6" w:rsidRPr="00CC690A">
        <w:rPr>
          <w:rFonts w:ascii="Arial" w:hAnsi="Arial" w:cs="Arial"/>
          <w:bCs/>
          <w:color w:val="000000"/>
          <w:sz w:val="20"/>
          <w:szCs w:val="20"/>
        </w:rPr>
        <w:t>OH abundance, i</w:t>
      </w:r>
      <w:r w:rsidR="00A276D7" w:rsidRPr="00CC690A">
        <w:rPr>
          <w:rFonts w:ascii="Arial" w:hAnsi="Arial" w:cs="Arial"/>
          <w:bCs/>
          <w:color w:val="000000"/>
          <w:sz w:val="20"/>
          <w:szCs w:val="20"/>
        </w:rPr>
        <w:t xml:space="preserve">ncluding </w:t>
      </w:r>
      <w:r w:rsidR="003F0174" w:rsidRPr="00CC690A">
        <w:rPr>
          <w:rFonts w:ascii="Arial" w:hAnsi="Arial" w:cs="Arial"/>
          <w:bCs/>
          <w:color w:val="000000"/>
          <w:sz w:val="20"/>
          <w:szCs w:val="20"/>
        </w:rPr>
        <w:t>it in Proxy</w:t>
      </w:r>
      <w:r w:rsidR="003F0174" w:rsidRPr="00F47570">
        <w:rPr>
          <w:rFonts w:ascii="Arial" w:hAnsi="Arial" w:cs="Arial"/>
          <w:bCs/>
          <w:i/>
          <w:iCs/>
          <w:color w:val="000000"/>
          <w:sz w:val="20"/>
          <w:szCs w:val="20"/>
          <w:vertAlign w:val="subscript"/>
        </w:rPr>
        <w:t>OH</w:t>
      </w:r>
      <w:r w:rsidR="00A276D7" w:rsidRPr="00CC690A">
        <w:rPr>
          <w:rFonts w:ascii="Arial" w:hAnsi="Arial" w:cs="Arial"/>
          <w:bCs/>
          <w:color w:val="000000"/>
          <w:sz w:val="20"/>
          <w:szCs w:val="20"/>
        </w:rPr>
        <w:t xml:space="preserve"> </w:t>
      </w:r>
      <w:r w:rsidR="00DF4191">
        <w:rPr>
          <w:rFonts w:ascii="Arial" w:hAnsi="Arial" w:cs="Arial"/>
          <w:bCs/>
          <w:color w:val="000000"/>
          <w:sz w:val="20"/>
          <w:szCs w:val="20"/>
        </w:rPr>
        <w:t>does not improve the</w:t>
      </w:r>
      <w:r w:rsidR="00A276D7">
        <w:rPr>
          <w:rFonts w:ascii="Arial" w:hAnsi="Arial" w:cs="Arial"/>
          <w:bCs/>
          <w:color w:val="000000"/>
          <w:sz w:val="20"/>
          <w:szCs w:val="20"/>
        </w:rPr>
        <w:t xml:space="preserve"> fit with </w:t>
      </w:r>
      <w:r w:rsidR="007B21CF">
        <w:rPr>
          <w:rFonts w:ascii="Arial" w:hAnsi="Arial" w:cs="Arial"/>
          <w:bCs/>
          <w:color w:val="000000"/>
          <w:sz w:val="20"/>
          <w:szCs w:val="20"/>
        </w:rPr>
        <w:t xml:space="preserve">observed </w:t>
      </w:r>
      <w:r w:rsidR="00A276D7">
        <w:rPr>
          <w:rFonts w:ascii="Arial" w:hAnsi="Arial" w:cs="Arial"/>
          <w:bCs/>
          <w:color w:val="000000"/>
          <w:sz w:val="20"/>
          <w:szCs w:val="20"/>
        </w:rPr>
        <w:t xml:space="preserve">OH because </w:t>
      </w:r>
      <w:r w:rsidR="00C86A3E">
        <w:rPr>
          <w:rFonts w:ascii="Arial" w:hAnsi="Arial" w:cs="Arial"/>
          <w:bCs/>
          <w:color w:val="000000"/>
          <w:sz w:val="20"/>
          <w:szCs w:val="20"/>
        </w:rPr>
        <w:t xml:space="preserve">methane reactivity does </w:t>
      </w:r>
      <w:r w:rsidR="00A276D7">
        <w:rPr>
          <w:rFonts w:ascii="Arial" w:hAnsi="Arial" w:cs="Arial"/>
          <w:bCs/>
          <w:color w:val="000000"/>
          <w:sz w:val="20"/>
          <w:szCs w:val="20"/>
        </w:rPr>
        <w:t>not</w:t>
      </w:r>
      <w:r w:rsidR="009A3A93">
        <w:rPr>
          <w:rFonts w:ascii="Arial" w:hAnsi="Arial" w:cs="Arial"/>
          <w:bCs/>
          <w:color w:val="000000"/>
          <w:sz w:val="20"/>
          <w:szCs w:val="20"/>
        </w:rPr>
        <w:t xml:space="preserve"> </w:t>
      </w:r>
      <w:r w:rsidR="00C86A3E">
        <w:rPr>
          <w:rFonts w:ascii="Arial" w:hAnsi="Arial" w:cs="Arial"/>
          <w:bCs/>
          <w:color w:val="000000"/>
          <w:sz w:val="20"/>
          <w:szCs w:val="20"/>
        </w:rPr>
        <w:t xml:space="preserve">spatially </w:t>
      </w:r>
      <w:r w:rsidR="00B568C5">
        <w:rPr>
          <w:rFonts w:ascii="Arial" w:hAnsi="Arial" w:cs="Arial"/>
          <w:bCs/>
          <w:color w:val="000000"/>
          <w:sz w:val="20"/>
          <w:szCs w:val="20"/>
        </w:rPr>
        <w:t xml:space="preserve">covary with </w:t>
      </w:r>
      <w:r w:rsidR="00455579">
        <w:rPr>
          <w:rFonts w:ascii="Arial" w:hAnsi="Arial" w:cs="Arial"/>
          <w:bCs/>
          <w:color w:val="000000"/>
          <w:sz w:val="20"/>
          <w:szCs w:val="20"/>
        </w:rPr>
        <w:t xml:space="preserve">the </w:t>
      </w:r>
      <w:r w:rsidR="00B568C5">
        <w:rPr>
          <w:rFonts w:ascii="Arial" w:hAnsi="Arial" w:cs="Arial"/>
          <w:bCs/>
          <w:color w:val="000000"/>
          <w:sz w:val="20"/>
          <w:szCs w:val="20"/>
        </w:rPr>
        <w:t xml:space="preserve">total </w:t>
      </w:r>
      <w:r w:rsidR="003F0174">
        <w:rPr>
          <w:rFonts w:ascii="Arial" w:hAnsi="Arial" w:cs="Arial"/>
          <w:bCs/>
          <w:color w:val="000000"/>
          <w:sz w:val="20"/>
          <w:szCs w:val="20"/>
        </w:rPr>
        <w:t>OH sink</w:t>
      </w:r>
      <w:r w:rsidR="009A3A93">
        <w:rPr>
          <w:rFonts w:ascii="Arial" w:hAnsi="Arial" w:cs="Arial"/>
          <w:bCs/>
          <w:color w:val="000000"/>
          <w:sz w:val="20"/>
          <w:szCs w:val="20"/>
        </w:rPr>
        <w:t>.</w:t>
      </w:r>
    </w:p>
    <w:p w14:paraId="770238B6" w14:textId="3DFF4BB9" w:rsidR="00567367" w:rsidRDefault="00567367" w:rsidP="007F380D">
      <w:pPr>
        <w:keepNext/>
        <w:pBdr>
          <w:top w:val="nil"/>
          <w:left w:val="nil"/>
          <w:bottom w:val="nil"/>
          <w:right w:val="nil"/>
          <w:between w:val="nil"/>
        </w:pBdr>
        <w:spacing w:before="240" w:after="60"/>
        <w:contextualSpacing/>
        <w:rPr>
          <w:rFonts w:ascii="Arial" w:hAnsi="Arial" w:cs="Arial"/>
          <w:bCs/>
          <w:color w:val="000000"/>
          <w:sz w:val="20"/>
          <w:szCs w:val="20"/>
        </w:rPr>
      </w:pPr>
    </w:p>
    <w:p w14:paraId="0608BAF9" w14:textId="713381CA" w:rsidR="00567367" w:rsidRPr="001C08EE" w:rsidRDefault="00690364" w:rsidP="007F380D">
      <w:pPr>
        <w:keepNext/>
        <w:pBdr>
          <w:top w:val="nil"/>
          <w:left w:val="nil"/>
          <w:bottom w:val="nil"/>
          <w:right w:val="nil"/>
          <w:between w:val="nil"/>
        </w:pBdr>
        <w:spacing w:before="240" w:after="60"/>
        <w:contextualSpacing/>
        <w:rPr>
          <w:rFonts w:ascii="Arial" w:hAnsi="Arial" w:cs="Arial"/>
          <w:b/>
          <w:color w:val="000000"/>
          <w:sz w:val="20"/>
          <w:szCs w:val="20"/>
        </w:rPr>
      </w:pPr>
      <w:r w:rsidRPr="001C08EE">
        <w:rPr>
          <w:rFonts w:ascii="Arial" w:hAnsi="Arial" w:cs="Arial"/>
          <w:b/>
          <w:color w:val="000000"/>
          <w:sz w:val="20"/>
          <w:szCs w:val="20"/>
        </w:rPr>
        <w:t>4.</w:t>
      </w:r>
      <w:r w:rsidR="00567367" w:rsidRPr="001C08EE">
        <w:rPr>
          <w:rFonts w:ascii="Arial" w:hAnsi="Arial" w:cs="Arial"/>
          <w:b/>
          <w:color w:val="000000"/>
          <w:sz w:val="20"/>
          <w:szCs w:val="20"/>
        </w:rPr>
        <w:t xml:space="preserve"> Inferring </w:t>
      </w:r>
      <w:r w:rsidR="00D57574" w:rsidRPr="001C08EE">
        <w:rPr>
          <w:rFonts w:ascii="Arial" w:hAnsi="Arial" w:cs="Arial"/>
          <w:b/>
          <w:color w:val="000000"/>
          <w:sz w:val="20"/>
          <w:szCs w:val="20"/>
        </w:rPr>
        <w:t xml:space="preserve">the ATom-observed </w:t>
      </w:r>
      <w:r w:rsidR="00567367" w:rsidRPr="001C08EE">
        <w:rPr>
          <w:rFonts w:ascii="Arial" w:hAnsi="Arial" w:cs="Arial"/>
          <w:b/>
          <w:color w:val="000000"/>
          <w:sz w:val="20"/>
          <w:szCs w:val="20"/>
        </w:rPr>
        <w:t>OH abundance</w:t>
      </w:r>
    </w:p>
    <w:p w14:paraId="734504BD" w14:textId="1DE1F9A7" w:rsidR="007F380D" w:rsidRDefault="007F380D" w:rsidP="00FE7FE5">
      <w:pPr>
        <w:keepNext/>
        <w:pBdr>
          <w:top w:val="nil"/>
          <w:left w:val="nil"/>
          <w:bottom w:val="nil"/>
          <w:right w:val="nil"/>
          <w:between w:val="nil"/>
        </w:pBdr>
        <w:spacing w:before="240" w:after="60"/>
        <w:contextualSpacing/>
        <w:rPr>
          <w:rFonts w:ascii="Arial" w:hAnsi="Arial" w:cs="Arial"/>
          <w:bCs/>
          <w:color w:val="000000"/>
          <w:sz w:val="20"/>
          <w:szCs w:val="20"/>
        </w:rPr>
      </w:pPr>
    </w:p>
    <w:p w14:paraId="6A42EC79" w14:textId="10248840" w:rsidR="00EA0F55" w:rsidRDefault="007F380D" w:rsidP="00FE7FE5">
      <w:pPr>
        <w:keepNext/>
        <w:pBdr>
          <w:top w:val="nil"/>
          <w:left w:val="nil"/>
          <w:bottom w:val="nil"/>
          <w:right w:val="nil"/>
          <w:between w:val="nil"/>
        </w:pBdr>
        <w:spacing w:before="240" w:after="60"/>
        <w:contextualSpacing/>
        <w:rPr>
          <w:rFonts w:ascii="Arial" w:hAnsi="Arial" w:cs="Arial"/>
          <w:bCs/>
          <w:color w:val="000000"/>
          <w:sz w:val="20"/>
          <w:szCs w:val="20"/>
        </w:rPr>
      </w:pPr>
      <w:r w:rsidRPr="007F380D">
        <w:rPr>
          <w:rFonts w:ascii="Arial" w:hAnsi="Arial" w:cs="Arial"/>
          <w:bCs/>
          <w:color w:val="000000"/>
          <w:sz w:val="20"/>
          <w:szCs w:val="20"/>
        </w:rPr>
        <w:t xml:space="preserve">While the </w:t>
      </w:r>
      <w:r w:rsidR="001007BA">
        <w:rPr>
          <w:rFonts w:ascii="Arial" w:hAnsi="Arial" w:cs="Arial"/>
          <w:bCs/>
          <w:color w:val="000000"/>
          <w:sz w:val="20"/>
          <w:szCs w:val="20"/>
        </w:rPr>
        <w:t>coefficient of determination</w:t>
      </w:r>
      <w:r w:rsidR="001007BA" w:rsidRPr="007F380D">
        <w:rPr>
          <w:rFonts w:ascii="Arial" w:hAnsi="Arial" w:cs="Arial"/>
          <w:bCs/>
          <w:color w:val="000000"/>
          <w:sz w:val="20"/>
          <w:szCs w:val="20"/>
        </w:rPr>
        <w:t xml:space="preserve"> </w:t>
      </w:r>
      <w:r w:rsidRPr="007F380D">
        <w:rPr>
          <w:rFonts w:ascii="Arial" w:hAnsi="Arial" w:cs="Arial"/>
          <w:bCs/>
          <w:color w:val="000000"/>
          <w:sz w:val="20"/>
          <w:szCs w:val="20"/>
        </w:rPr>
        <w:t xml:space="preserve">describes the extent to which the proxy fits the observed </w:t>
      </w:r>
      <w:r w:rsidR="009E3FDB">
        <w:rPr>
          <w:rFonts w:ascii="Arial" w:hAnsi="Arial" w:cs="Arial"/>
          <w:bCs/>
          <w:i/>
          <w:iCs/>
          <w:color w:val="000000"/>
          <w:sz w:val="20"/>
          <w:szCs w:val="20"/>
        </w:rPr>
        <w:t>variations</w:t>
      </w:r>
      <w:r w:rsidRPr="007F380D">
        <w:rPr>
          <w:rFonts w:ascii="Arial" w:hAnsi="Arial" w:cs="Arial"/>
          <w:bCs/>
          <w:i/>
          <w:iCs/>
          <w:color w:val="000000"/>
          <w:sz w:val="20"/>
          <w:szCs w:val="20"/>
        </w:rPr>
        <w:t xml:space="preserve"> </w:t>
      </w:r>
      <w:r w:rsidRPr="007F380D">
        <w:rPr>
          <w:rFonts w:ascii="Arial" w:hAnsi="Arial" w:cs="Arial"/>
          <w:bCs/>
          <w:color w:val="000000"/>
          <w:sz w:val="20"/>
          <w:szCs w:val="20"/>
        </w:rPr>
        <w:t xml:space="preserve">in ATom [OH], the intercept </w:t>
      </w:r>
      <w:r w:rsidR="008D7A0A">
        <w:rPr>
          <w:rFonts w:ascii="Arial" w:hAnsi="Arial" w:cs="Arial"/>
          <w:bCs/>
          <w:color w:val="000000"/>
          <w:sz w:val="20"/>
          <w:szCs w:val="20"/>
        </w:rPr>
        <w:t xml:space="preserve">and slope </w:t>
      </w:r>
      <w:r w:rsidR="00690364">
        <w:rPr>
          <w:rFonts w:ascii="Arial" w:hAnsi="Arial" w:cs="Arial"/>
          <w:bCs/>
          <w:color w:val="000000"/>
          <w:sz w:val="20"/>
          <w:szCs w:val="20"/>
        </w:rPr>
        <w:t>infer</w:t>
      </w:r>
      <w:r w:rsidR="00690364" w:rsidRPr="007F380D">
        <w:rPr>
          <w:rFonts w:ascii="Arial" w:hAnsi="Arial" w:cs="Arial"/>
          <w:bCs/>
          <w:color w:val="000000"/>
          <w:sz w:val="20"/>
          <w:szCs w:val="20"/>
        </w:rPr>
        <w:t xml:space="preserve"> </w:t>
      </w:r>
      <w:r w:rsidRPr="007F380D">
        <w:rPr>
          <w:rFonts w:ascii="Arial" w:hAnsi="Arial" w:cs="Arial"/>
          <w:bCs/>
          <w:color w:val="000000"/>
          <w:sz w:val="20"/>
          <w:szCs w:val="20"/>
        </w:rPr>
        <w:t xml:space="preserve">the </w:t>
      </w:r>
      <w:r w:rsidRPr="007F380D">
        <w:rPr>
          <w:rFonts w:ascii="Arial" w:hAnsi="Arial" w:cs="Arial"/>
          <w:bCs/>
          <w:i/>
          <w:iCs/>
          <w:color w:val="000000"/>
          <w:sz w:val="20"/>
          <w:szCs w:val="20"/>
        </w:rPr>
        <w:t>magnitude</w:t>
      </w:r>
      <w:r w:rsidRPr="007F380D">
        <w:rPr>
          <w:rFonts w:ascii="Arial" w:hAnsi="Arial" w:cs="Arial"/>
          <w:bCs/>
          <w:color w:val="000000"/>
          <w:sz w:val="20"/>
          <w:szCs w:val="20"/>
        </w:rPr>
        <w:t xml:space="preserve"> of the </w:t>
      </w:r>
      <w:r w:rsidRPr="009D3418">
        <w:rPr>
          <w:rFonts w:ascii="Arial" w:hAnsi="Arial" w:cs="Arial"/>
          <w:bCs/>
          <w:color w:val="000000"/>
          <w:sz w:val="20"/>
          <w:szCs w:val="20"/>
        </w:rPr>
        <w:t xml:space="preserve">proxy in comparison with [OH]. </w:t>
      </w:r>
      <w:r w:rsidR="0019315D">
        <w:rPr>
          <w:rFonts w:ascii="Arial" w:hAnsi="Arial" w:cs="Arial"/>
          <w:bCs/>
          <w:color w:val="000000"/>
          <w:sz w:val="20"/>
          <w:szCs w:val="20"/>
        </w:rPr>
        <w:t>When considering all data together, t</w:t>
      </w:r>
      <w:r w:rsidRPr="009D3418">
        <w:rPr>
          <w:rFonts w:ascii="Arial" w:hAnsi="Arial" w:cs="Arial"/>
          <w:bCs/>
          <w:color w:val="000000"/>
          <w:sz w:val="20"/>
          <w:szCs w:val="20"/>
        </w:rPr>
        <w:t>he Proxy</w:t>
      </w:r>
      <w:r w:rsidRPr="009D3418">
        <w:rPr>
          <w:rFonts w:ascii="Arial" w:hAnsi="Arial" w:cs="Arial"/>
          <w:bCs/>
          <w:i/>
          <w:iCs/>
          <w:color w:val="000000"/>
          <w:sz w:val="20"/>
          <w:szCs w:val="20"/>
          <w:vertAlign w:val="subscript"/>
        </w:rPr>
        <w:t>OH</w:t>
      </w:r>
      <w:r w:rsidRPr="009D3418">
        <w:rPr>
          <w:rFonts w:ascii="Arial" w:hAnsi="Arial" w:cs="Arial"/>
          <w:bCs/>
          <w:color w:val="000000"/>
          <w:sz w:val="20"/>
          <w:szCs w:val="20"/>
        </w:rPr>
        <w:t xml:space="preserve">-[OH] intercept </w:t>
      </w:r>
      <w:r w:rsidR="0019315D">
        <w:rPr>
          <w:rFonts w:ascii="Arial" w:hAnsi="Arial" w:cs="Arial"/>
          <w:bCs/>
          <w:color w:val="000000"/>
          <w:sz w:val="20"/>
          <w:szCs w:val="20"/>
        </w:rPr>
        <w:t xml:space="preserve">overlaps </w:t>
      </w:r>
      <w:r w:rsidRPr="009D3418">
        <w:rPr>
          <w:rFonts w:ascii="Arial" w:hAnsi="Arial" w:cs="Arial"/>
          <w:bCs/>
          <w:color w:val="000000"/>
          <w:sz w:val="20"/>
          <w:szCs w:val="20"/>
        </w:rPr>
        <w:t>zero, averaging 0.0</w:t>
      </w:r>
      <w:r w:rsidR="00C51CF0">
        <w:rPr>
          <w:rFonts w:ascii="Arial" w:hAnsi="Arial" w:cs="Arial"/>
          <w:bCs/>
          <w:color w:val="000000"/>
          <w:sz w:val="20"/>
          <w:szCs w:val="20"/>
        </w:rPr>
        <w:t>5</w:t>
      </w:r>
      <w:r w:rsidRPr="009D3418">
        <w:rPr>
          <w:rFonts w:ascii="Arial" w:hAnsi="Arial" w:cs="Arial"/>
          <w:bCs/>
          <w:color w:val="000000"/>
          <w:sz w:val="20"/>
          <w:szCs w:val="20"/>
        </w:rPr>
        <w:t xml:space="preserve"> ± 0.0</w:t>
      </w:r>
      <w:r w:rsidR="00C51CF0">
        <w:rPr>
          <w:rFonts w:ascii="Arial" w:hAnsi="Arial" w:cs="Arial"/>
          <w:bCs/>
          <w:color w:val="000000"/>
          <w:sz w:val="20"/>
          <w:szCs w:val="20"/>
        </w:rPr>
        <w:t>5</w:t>
      </w:r>
      <w:r w:rsidRPr="009D3418">
        <w:rPr>
          <w:rFonts w:ascii="Arial" w:hAnsi="Arial" w:cs="Arial"/>
          <w:bCs/>
          <w:color w:val="000000"/>
          <w:sz w:val="20"/>
          <w:szCs w:val="20"/>
        </w:rPr>
        <w:t xml:space="preserve"> ppt (μ ± 95% CI), though the intercept is </w:t>
      </w:r>
      <w:r w:rsidR="0019315D">
        <w:rPr>
          <w:rFonts w:ascii="Arial" w:hAnsi="Arial" w:cs="Arial"/>
          <w:bCs/>
          <w:color w:val="000000"/>
          <w:sz w:val="20"/>
          <w:szCs w:val="20"/>
        </w:rPr>
        <w:t>generally</w:t>
      </w:r>
      <w:r w:rsidR="0019315D" w:rsidRPr="009D3418">
        <w:rPr>
          <w:rFonts w:ascii="Arial" w:hAnsi="Arial" w:cs="Arial"/>
          <w:bCs/>
          <w:color w:val="000000"/>
          <w:sz w:val="20"/>
          <w:szCs w:val="20"/>
        </w:rPr>
        <w:t xml:space="preserve"> </w:t>
      </w:r>
      <w:r w:rsidRPr="009D3418">
        <w:rPr>
          <w:rFonts w:ascii="Arial" w:hAnsi="Arial" w:cs="Arial"/>
          <w:bCs/>
          <w:color w:val="000000"/>
          <w:sz w:val="20"/>
          <w:szCs w:val="20"/>
        </w:rPr>
        <w:t xml:space="preserve">positive within a given bin (Figure 2a,b). </w:t>
      </w:r>
      <w:bookmarkStart w:id="8" w:name="_Hlk137124379"/>
      <w:r w:rsidRPr="009D3418">
        <w:rPr>
          <w:rFonts w:ascii="Arial" w:hAnsi="Arial" w:cs="Arial"/>
          <w:bCs/>
          <w:color w:val="000000"/>
          <w:sz w:val="20"/>
          <w:szCs w:val="20"/>
        </w:rPr>
        <w:t>A positive intercept indicate</w:t>
      </w:r>
      <w:r w:rsidR="0063552C">
        <w:rPr>
          <w:rFonts w:ascii="Arial" w:hAnsi="Arial" w:cs="Arial"/>
          <w:bCs/>
          <w:color w:val="000000"/>
          <w:sz w:val="20"/>
          <w:szCs w:val="20"/>
        </w:rPr>
        <w:t>s</w:t>
      </w:r>
      <w:r w:rsidRPr="009D3418">
        <w:rPr>
          <w:rFonts w:ascii="Arial" w:hAnsi="Arial" w:cs="Arial"/>
          <w:bCs/>
          <w:color w:val="000000"/>
          <w:sz w:val="20"/>
          <w:szCs w:val="20"/>
        </w:rPr>
        <w:t xml:space="preserve"> a small missing background source or underestimated sink</w:t>
      </w:r>
      <w:r w:rsidR="0019315D">
        <w:rPr>
          <w:rFonts w:ascii="Arial" w:hAnsi="Arial" w:cs="Arial"/>
          <w:bCs/>
          <w:color w:val="000000"/>
          <w:sz w:val="20"/>
          <w:szCs w:val="20"/>
        </w:rPr>
        <w:t xml:space="preserve">, though the </w:t>
      </w:r>
      <w:r w:rsidR="00690364">
        <w:rPr>
          <w:rFonts w:ascii="Arial" w:hAnsi="Arial" w:cs="Arial"/>
          <w:bCs/>
          <w:color w:val="000000"/>
          <w:sz w:val="20"/>
          <w:szCs w:val="20"/>
        </w:rPr>
        <w:t xml:space="preserve">within-bin </w:t>
      </w:r>
      <w:r w:rsidR="00E37493">
        <w:rPr>
          <w:rFonts w:ascii="Arial" w:hAnsi="Arial" w:cs="Arial"/>
          <w:bCs/>
          <w:color w:val="000000"/>
          <w:sz w:val="20"/>
          <w:szCs w:val="20"/>
        </w:rPr>
        <w:t xml:space="preserve">MCMC </w:t>
      </w:r>
      <w:r w:rsidR="0019315D">
        <w:rPr>
          <w:rFonts w:ascii="Arial" w:hAnsi="Arial" w:cs="Arial"/>
          <w:bCs/>
          <w:color w:val="000000"/>
          <w:sz w:val="20"/>
          <w:szCs w:val="20"/>
        </w:rPr>
        <w:t xml:space="preserve">mean intercept does not correlate with the mean of the processes considered for the residual analysis (across bins, </w:t>
      </w:r>
      <w:r w:rsidR="0019315D" w:rsidRPr="0048064A">
        <w:rPr>
          <w:rFonts w:ascii="Arial" w:hAnsi="Arial" w:cs="Arial"/>
          <w:bCs/>
          <w:i/>
          <w:iCs/>
          <w:color w:val="000000"/>
          <w:sz w:val="20"/>
          <w:szCs w:val="20"/>
        </w:rPr>
        <w:t>r</w:t>
      </w:r>
      <w:r w:rsidR="0019315D" w:rsidRPr="0048064A">
        <w:rPr>
          <w:rFonts w:ascii="Arial" w:hAnsi="Arial" w:cs="Arial"/>
          <w:bCs/>
          <w:color w:val="000000"/>
          <w:sz w:val="20"/>
          <w:szCs w:val="20"/>
          <w:vertAlign w:val="superscript"/>
        </w:rPr>
        <w:t>2</w:t>
      </w:r>
      <w:r w:rsidR="0019315D">
        <w:rPr>
          <w:rFonts w:ascii="Arial" w:hAnsi="Arial" w:cs="Arial"/>
          <w:bCs/>
          <w:color w:val="000000"/>
          <w:sz w:val="20"/>
          <w:szCs w:val="20"/>
        </w:rPr>
        <w:t xml:space="preserve"> ≤ 0.</w:t>
      </w:r>
      <w:r w:rsidR="00C51CF0">
        <w:rPr>
          <w:rFonts w:ascii="Arial" w:hAnsi="Arial" w:cs="Arial"/>
          <w:bCs/>
          <w:color w:val="000000"/>
          <w:sz w:val="20"/>
          <w:szCs w:val="20"/>
        </w:rPr>
        <w:t>14</w:t>
      </w:r>
      <w:r w:rsidR="0019315D">
        <w:rPr>
          <w:rFonts w:ascii="Arial" w:hAnsi="Arial" w:cs="Arial"/>
          <w:bCs/>
          <w:color w:val="000000"/>
          <w:sz w:val="20"/>
          <w:szCs w:val="20"/>
        </w:rPr>
        <w:t>; Table S</w:t>
      </w:r>
      <w:r w:rsidR="00B568C5">
        <w:rPr>
          <w:rFonts w:ascii="Arial" w:hAnsi="Arial" w:cs="Arial"/>
          <w:bCs/>
          <w:color w:val="000000"/>
          <w:sz w:val="20"/>
          <w:szCs w:val="20"/>
        </w:rPr>
        <w:t>2</w:t>
      </w:r>
      <w:r w:rsidR="0019315D">
        <w:rPr>
          <w:rFonts w:ascii="Arial" w:hAnsi="Arial" w:cs="Arial"/>
          <w:bCs/>
          <w:color w:val="000000"/>
          <w:sz w:val="20"/>
          <w:szCs w:val="20"/>
        </w:rPr>
        <w:t xml:space="preserve">). </w:t>
      </w:r>
      <w:r w:rsidR="005249B1">
        <w:rPr>
          <w:rFonts w:ascii="Arial" w:hAnsi="Arial" w:cs="Arial"/>
          <w:bCs/>
          <w:color w:val="000000"/>
          <w:sz w:val="20"/>
          <w:szCs w:val="20"/>
        </w:rPr>
        <w:t xml:space="preserve">The strongest </w:t>
      </w:r>
      <w:r w:rsidR="00690364">
        <w:rPr>
          <w:rFonts w:ascii="Arial" w:hAnsi="Arial" w:cs="Arial"/>
          <w:bCs/>
          <w:color w:val="000000"/>
          <w:sz w:val="20"/>
          <w:szCs w:val="20"/>
        </w:rPr>
        <w:t xml:space="preserve">residual </w:t>
      </w:r>
      <w:r w:rsidR="005249B1">
        <w:rPr>
          <w:rFonts w:ascii="Arial" w:hAnsi="Arial" w:cs="Arial"/>
          <w:bCs/>
          <w:color w:val="000000"/>
          <w:sz w:val="20"/>
          <w:szCs w:val="20"/>
        </w:rPr>
        <w:t xml:space="preserve">relationship is shown with </w:t>
      </w:r>
      <w:r w:rsidR="00F302DB">
        <w:rPr>
          <w:rFonts w:ascii="Arial" w:hAnsi="Arial" w:cs="Arial"/>
          <w:bCs/>
          <w:color w:val="000000"/>
          <w:sz w:val="20"/>
          <w:szCs w:val="20"/>
        </w:rPr>
        <w:t>CH</w:t>
      </w:r>
      <w:r w:rsidR="00F302DB" w:rsidRPr="00391EE5">
        <w:rPr>
          <w:rFonts w:ascii="Arial" w:hAnsi="Arial" w:cs="Arial"/>
          <w:bCs/>
          <w:color w:val="000000"/>
          <w:sz w:val="20"/>
          <w:szCs w:val="20"/>
          <w:vertAlign w:val="subscript"/>
        </w:rPr>
        <w:t>3</w:t>
      </w:r>
      <w:r w:rsidR="00F302DB">
        <w:rPr>
          <w:rFonts w:ascii="Arial" w:hAnsi="Arial" w:cs="Arial"/>
          <w:bCs/>
          <w:color w:val="000000"/>
          <w:sz w:val="20"/>
          <w:szCs w:val="20"/>
        </w:rPr>
        <w:t>OOH</w:t>
      </w:r>
      <w:r w:rsidR="005249B1">
        <w:rPr>
          <w:rFonts w:ascii="Arial" w:hAnsi="Arial" w:cs="Arial"/>
          <w:bCs/>
          <w:color w:val="000000"/>
          <w:sz w:val="20"/>
          <w:szCs w:val="20"/>
        </w:rPr>
        <w:t xml:space="preserve">, </w:t>
      </w:r>
      <w:r w:rsidR="00F302DB">
        <w:rPr>
          <w:rFonts w:ascii="Arial" w:hAnsi="Arial" w:cs="Arial"/>
          <w:bCs/>
          <w:color w:val="000000"/>
          <w:sz w:val="20"/>
          <w:szCs w:val="20"/>
        </w:rPr>
        <w:t xml:space="preserve">the probability of convective influence, and solar zenith angle. This </w:t>
      </w:r>
      <w:r w:rsidR="005249B1">
        <w:rPr>
          <w:rFonts w:ascii="Arial" w:hAnsi="Arial" w:cs="Arial"/>
          <w:bCs/>
          <w:color w:val="000000"/>
          <w:sz w:val="20"/>
          <w:szCs w:val="20"/>
        </w:rPr>
        <w:t>suggest</w:t>
      </w:r>
      <w:r w:rsidR="00F302DB">
        <w:rPr>
          <w:rFonts w:ascii="Arial" w:hAnsi="Arial" w:cs="Arial"/>
          <w:bCs/>
          <w:color w:val="000000"/>
          <w:sz w:val="20"/>
          <w:szCs w:val="20"/>
        </w:rPr>
        <w:t>s</w:t>
      </w:r>
      <w:r w:rsidR="005249B1">
        <w:rPr>
          <w:rFonts w:ascii="Arial" w:hAnsi="Arial" w:cs="Arial"/>
          <w:bCs/>
          <w:color w:val="000000"/>
          <w:sz w:val="20"/>
          <w:szCs w:val="20"/>
        </w:rPr>
        <w:t xml:space="preserve"> that Proxy</w:t>
      </w:r>
      <w:r w:rsidR="005249B1" w:rsidRPr="00F47570">
        <w:rPr>
          <w:rFonts w:ascii="Arial" w:hAnsi="Arial" w:cs="Arial"/>
          <w:bCs/>
          <w:i/>
          <w:iCs/>
          <w:color w:val="000000"/>
          <w:sz w:val="20"/>
          <w:szCs w:val="20"/>
          <w:vertAlign w:val="subscript"/>
        </w:rPr>
        <w:t>OH</w:t>
      </w:r>
      <w:r w:rsidR="005249B1">
        <w:rPr>
          <w:rFonts w:ascii="Arial" w:hAnsi="Arial" w:cs="Arial"/>
          <w:bCs/>
          <w:color w:val="000000"/>
          <w:sz w:val="20"/>
          <w:szCs w:val="20"/>
        </w:rPr>
        <w:t xml:space="preserve"> </w:t>
      </w:r>
      <w:r w:rsidR="00F302DB">
        <w:rPr>
          <w:rFonts w:ascii="Arial" w:hAnsi="Arial" w:cs="Arial"/>
          <w:bCs/>
          <w:color w:val="000000"/>
          <w:sz w:val="20"/>
          <w:szCs w:val="20"/>
        </w:rPr>
        <w:t xml:space="preserve">could potentially be refined to reduce the regression intercept </w:t>
      </w:r>
      <w:r w:rsidR="005249B1">
        <w:rPr>
          <w:rFonts w:ascii="Arial" w:hAnsi="Arial" w:cs="Arial"/>
          <w:bCs/>
          <w:color w:val="000000"/>
          <w:sz w:val="20"/>
          <w:szCs w:val="20"/>
        </w:rPr>
        <w:t xml:space="preserve">by </w:t>
      </w:r>
      <w:r w:rsidR="00F302DB">
        <w:rPr>
          <w:rFonts w:ascii="Arial" w:hAnsi="Arial" w:cs="Arial"/>
          <w:bCs/>
          <w:color w:val="000000"/>
          <w:sz w:val="20"/>
          <w:szCs w:val="20"/>
        </w:rPr>
        <w:t xml:space="preserve">accounting for the lofting and photolysis of </w:t>
      </w:r>
      <w:r w:rsidR="00595738">
        <w:rPr>
          <w:rFonts w:ascii="Arial" w:hAnsi="Arial" w:cs="Arial"/>
          <w:bCs/>
          <w:color w:val="000000"/>
          <w:sz w:val="20"/>
          <w:szCs w:val="20"/>
        </w:rPr>
        <w:t>CH</w:t>
      </w:r>
      <w:r w:rsidR="00595738" w:rsidRPr="00391EE5">
        <w:rPr>
          <w:rFonts w:ascii="Arial" w:hAnsi="Arial" w:cs="Arial"/>
          <w:bCs/>
          <w:color w:val="000000"/>
          <w:sz w:val="20"/>
          <w:szCs w:val="20"/>
          <w:vertAlign w:val="subscript"/>
        </w:rPr>
        <w:t>3</w:t>
      </w:r>
      <w:r w:rsidR="00595738">
        <w:rPr>
          <w:rFonts w:ascii="Arial" w:hAnsi="Arial" w:cs="Arial"/>
          <w:bCs/>
          <w:color w:val="000000"/>
          <w:sz w:val="20"/>
          <w:szCs w:val="20"/>
        </w:rPr>
        <w:t>OOH</w:t>
      </w:r>
      <w:r w:rsidR="005249B1">
        <w:rPr>
          <w:rFonts w:ascii="Arial" w:hAnsi="Arial" w:cs="Arial"/>
          <w:bCs/>
          <w:color w:val="000000"/>
          <w:sz w:val="20"/>
          <w:szCs w:val="20"/>
        </w:rPr>
        <w:t xml:space="preserve">. </w:t>
      </w:r>
      <w:bookmarkEnd w:id="8"/>
    </w:p>
    <w:p w14:paraId="3693DAF5" w14:textId="77777777" w:rsidR="00EA0F55" w:rsidRDefault="00EA0F55" w:rsidP="00EA0F55">
      <w:pPr>
        <w:keepNext/>
        <w:pBdr>
          <w:top w:val="nil"/>
          <w:left w:val="nil"/>
          <w:bottom w:val="nil"/>
          <w:right w:val="nil"/>
          <w:between w:val="nil"/>
        </w:pBdr>
        <w:spacing w:before="240" w:after="60"/>
        <w:contextualSpacing/>
        <w:rPr>
          <w:rFonts w:ascii="Arial" w:hAnsi="Arial" w:cs="Arial"/>
          <w:bCs/>
          <w:color w:val="000000"/>
          <w:sz w:val="20"/>
          <w:szCs w:val="20"/>
        </w:rPr>
      </w:pPr>
    </w:p>
    <w:p w14:paraId="78276BE5" w14:textId="6B6B018C" w:rsidR="0035154D" w:rsidRDefault="007F380D" w:rsidP="00D16294">
      <w:pPr>
        <w:keepNext/>
        <w:pBdr>
          <w:top w:val="nil"/>
          <w:left w:val="nil"/>
          <w:bottom w:val="nil"/>
          <w:right w:val="nil"/>
          <w:between w:val="nil"/>
        </w:pBdr>
        <w:spacing w:before="240" w:after="60"/>
        <w:contextualSpacing/>
        <w:rPr>
          <w:rFonts w:ascii="Arial" w:hAnsi="Arial" w:cs="Arial"/>
          <w:bCs/>
          <w:color w:val="000000"/>
          <w:sz w:val="20"/>
          <w:szCs w:val="20"/>
        </w:rPr>
      </w:pPr>
      <w:bookmarkStart w:id="9" w:name="_Hlk131417155"/>
      <w:r w:rsidRPr="009D3418">
        <w:rPr>
          <w:rFonts w:ascii="Arial" w:hAnsi="Arial" w:cs="Arial"/>
          <w:bCs/>
          <w:color w:val="000000"/>
          <w:sz w:val="20"/>
          <w:szCs w:val="20"/>
        </w:rPr>
        <w:t>The Proxy</w:t>
      </w:r>
      <w:r w:rsidRPr="009D3418">
        <w:rPr>
          <w:rFonts w:ascii="Arial" w:hAnsi="Arial" w:cs="Arial"/>
          <w:bCs/>
          <w:i/>
          <w:iCs/>
          <w:color w:val="000000"/>
          <w:sz w:val="20"/>
          <w:szCs w:val="20"/>
          <w:vertAlign w:val="subscript"/>
        </w:rPr>
        <w:t>OH</w:t>
      </w:r>
      <w:r w:rsidRPr="009D3418">
        <w:rPr>
          <w:rFonts w:ascii="Arial" w:hAnsi="Arial" w:cs="Arial"/>
          <w:bCs/>
          <w:color w:val="000000"/>
          <w:sz w:val="20"/>
          <w:szCs w:val="20"/>
        </w:rPr>
        <w:t>-[OH] slope overall averages to 0.</w:t>
      </w:r>
      <w:r w:rsidR="00166212" w:rsidRPr="009D3418">
        <w:rPr>
          <w:rFonts w:ascii="Arial" w:hAnsi="Arial" w:cs="Arial"/>
          <w:bCs/>
          <w:color w:val="000000"/>
          <w:sz w:val="20"/>
          <w:szCs w:val="20"/>
        </w:rPr>
        <w:t>3</w:t>
      </w:r>
      <w:r w:rsidR="00C51CF0">
        <w:rPr>
          <w:rFonts w:ascii="Arial" w:hAnsi="Arial" w:cs="Arial"/>
          <w:bCs/>
          <w:color w:val="000000"/>
          <w:sz w:val="20"/>
          <w:szCs w:val="20"/>
        </w:rPr>
        <w:t>9</w:t>
      </w:r>
      <w:r w:rsidRPr="009D3418">
        <w:rPr>
          <w:rFonts w:ascii="Arial" w:hAnsi="Arial" w:cs="Arial"/>
          <w:bCs/>
          <w:color w:val="000000"/>
          <w:sz w:val="20"/>
          <w:szCs w:val="20"/>
        </w:rPr>
        <w:t xml:space="preserve"> ± 0.2</w:t>
      </w:r>
      <w:r w:rsidR="00C51CF0">
        <w:rPr>
          <w:rFonts w:ascii="Arial" w:hAnsi="Arial" w:cs="Arial"/>
          <w:bCs/>
          <w:color w:val="000000"/>
          <w:sz w:val="20"/>
          <w:szCs w:val="20"/>
        </w:rPr>
        <w:t>5</w:t>
      </w:r>
      <w:r w:rsidR="0035154D">
        <w:rPr>
          <w:rFonts w:ascii="Arial" w:hAnsi="Arial" w:cs="Arial"/>
          <w:bCs/>
          <w:color w:val="000000"/>
          <w:sz w:val="20"/>
          <w:szCs w:val="20"/>
        </w:rPr>
        <w:t xml:space="preserve">. </w:t>
      </w:r>
      <w:bookmarkStart w:id="10" w:name="_Hlk130397055"/>
      <w:r w:rsidR="0035154D">
        <w:rPr>
          <w:rFonts w:ascii="Arial" w:hAnsi="Arial" w:cs="Arial"/>
          <w:bCs/>
          <w:color w:val="000000"/>
          <w:sz w:val="20"/>
          <w:szCs w:val="20"/>
        </w:rPr>
        <w:t>It generally maximizes below 4 km and at higher latitudes, particularly in the northern hemisphere, and minimizes in the upper troposphere</w:t>
      </w:r>
      <w:r w:rsidRPr="009D3418">
        <w:rPr>
          <w:rFonts w:ascii="Arial" w:hAnsi="Arial" w:cs="Arial"/>
          <w:bCs/>
          <w:color w:val="000000"/>
          <w:sz w:val="20"/>
          <w:szCs w:val="20"/>
        </w:rPr>
        <w:t xml:space="preserve"> (Figure 2c,d</w:t>
      </w:r>
      <w:r w:rsidR="001015DF">
        <w:rPr>
          <w:rFonts w:ascii="Arial" w:hAnsi="Arial" w:cs="Arial"/>
          <w:bCs/>
          <w:color w:val="000000"/>
          <w:sz w:val="20"/>
          <w:szCs w:val="20"/>
        </w:rPr>
        <w:t>; Figure S9</w:t>
      </w:r>
      <w:r w:rsidRPr="009D3418">
        <w:rPr>
          <w:rFonts w:ascii="Arial" w:hAnsi="Arial" w:cs="Arial"/>
          <w:bCs/>
          <w:color w:val="000000"/>
          <w:sz w:val="20"/>
          <w:szCs w:val="20"/>
        </w:rPr>
        <w:t xml:space="preserve">). </w:t>
      </w:r>
      <w:bookmarkEnd w:id="10"/>
      <w:bookmarkEnd w:id="9"/>
      <w:r w:rsidRPr="009D3418">
        <w:rPr>
          <w:rFonts w:ascii="Arial" w:hAnsi="Arial" w:cs="Arial"/>
          <w:bCs/>
          <w:color w:val="000000"/>
          <w:sz w:val="20"/>
          <w:szCs w:val="20"/>
        </w:rPr>
        <w:t>The slope reflects the relative contribution of Proxy</w:t>
      </w:r>
      <w:r w:rsidRPr="009D3418">
        <w:rPr>
          <w:rFonts w:ascii="Arial" w:hAnsi="Arial" w:cs="Arial"/>
          <w:bCs/>
          <w:i/>
          <w:iCs/>
          <w:color w:val="000000"/>
          <w:sz w:val="20"/>
          <w:szCs w:val="20"/>
          <w:vertAlign w:val="subscript"/>
        </w:rPr>
        <w:t>OH</w:t>
      </w:r>
      <w:r w:rsidRPr="009D3418">
        <w:rPr>
          <w:rFonts w:ascii="Arial" w:hAnsi="Arial" w:cs="Arial"/>
          <w:bCs/>
          <w:color w:val="000000"/>
          <w:sz w:val="20"/>
          <w:szCs w:val="20"/>
        </w:rPr>
        <w:t xml:space="preserve"> terms to total OH production and loss</w:t>
      </w:r>
      <w:r w:rsidR="00C64D3E">
        <w:rPr>
          <w:rFonts w:ascii="Arial" w:hAnsi="Arial" w:cs="Arial"/>
          <w:bCs/>
          <w:color w:val="000000"/>
          <w:sz w:val="20"/>
          <w:szCs w:val="20"/>
        </w:rPr>
        <w:t xml:space="preserve"> (Figure S</w:t>
      </w:r>
      <w:r w:rsidR="0055402E">
        <w:rPr>
          <w:rFonts w:ascii="Arial" w:hAnsi="Arial" w:cs="Arial"/>
          <w:bCs/>
          <w:color w:val="000000"/>
          <w:sz w:val="20"/>
          <w:szCs w:val="20"/>
        </w:rPr>
        <w:t>8</w:t>
      </w:r>
      <w:r w:rsidR="00C64D3E">
        <w:rPr>
          <w:rFonts w:ascii="Arial" w:hAnsi="Arial" w:cs="Arial"/>
          <w:bCs/>
          <w:color w:val="000000"/>
          <w:sz w:val="20"/>
          <w:szCs w:val="20"/>
        </w:rPr>
        <w:t>)</w:t>
      </w:r>
      <w:r w:rsidRPr="009D3418">
        <w:rPr>
          <w:rFonts w:ascii="Arial" w:hAnsi="Arial" w:cs="Arial"/>
          <w:bCs/>
          <w:color w:val="000000"/>
          <w:sz w:val="20"/>
          <w:szCs w:val="20"/>
        </w:rPr>
        <w:t>. For example, a larger slope could indicate that the Proxy</w:t>
      </w:r>
      <w:r w:rsidRPr="009D3418">
        <w:rPr>
          <w:rFonts w:ascii="Arial" w:hAnsi="Arial" w:cs="Arial"/>
          <w:bCs/>
          <w:i/>
          <w:iCs/>
          <w:color w:val="000000"/>
          <w:sz w:val="20"/>
          <w:szCs w:val="20"/>
          <w:vertAlign w:val="subscript"/>
        </w:rPr>
        <w:t>OH</w:t>
      </w:r>
      <w:r w:rsidRPr="009D3418">
        <w:rPr>
          <w:rFonts w:ascii="Arial" w:hAnsi="Arial" w:cs="Arial"/>
          <w:bCs/>
          <w:color w:val="000000"/>
          <w:sz w:val="20"/>
          <w:szCs w:val="20"/>
        </w:rPr>
        <w:t xml:space="preserve"> production terms encompass more of the total OH production; alternatively, but not exclusively, it could suggest that the Proxy</w:t>
      </w:r>
      <w:r w:rsidRPr="009D3418">
        <w:rPr>
          <w:rFonts w:ascii="Arial" w:hAnsi="Arial" w:cs="Arial"/>
          <w:bCs/>
          <w:i/>
          <w:iCs/>
          <w:color w:val="000000"/>
          <w:sz w:val="20"/>
          <w:szCs w:val="20"/>
          <w:vertAlign w:val="subscript"/>
        </w:rPr>
        <w:t>OH</w:t>
      </w:r>
      <w:r w:rsidRPr="009D3418">
        <w:rPr>
          <w:rFonts w:ascii="Arial" w:hAnsi="Arial" w:cs="Arial"/>
          <w:bCs/>
          <w:color w:val="000000"/>
          <w:sz w:val="20"/>
          <w:szCs w:val="20"/>
        </w:rPr>
        <w:t xml:space="preserve"> loss terms encompass less of the total OH loss</w:t>
      </w:r>
      <w:r w:rsidR="00632436">
        <w:rPr>
          <w:rFonts w:ascii="Arial" w:hAnsi="Arial" w:cs="Arial"/>
          <w:bCs/>
          <w:color w:val="000000"/>
          <w:sz w:val="20"/>
          <w:szCs w:val="20"/>
        </w:rPr>
        <w:t xml:space="preserve"> (refer to section 2, Figures S1, S2)</w:t>
      </w:r>
      <w:r w:rsidRPr="009D3418">
        <w:rPr>
          <w:rFonts w:ascii="Arial" w:hAnsi="Arial" w:cs="Arial"/>
          <w:bCs/>
          <w:color w:val="000000"/>
          <w:sz w:val="20"/>
          <w:szCs w:val="20"/>
        </w:rPr>
        <w:t xml:space="preserve">. </w:t>
      </w:r>
      <w:r w:rsidR="00C64D3E">
        <w:rPr>
          <w:rFonts w:ascii="Arial" w:hAnsi="Arial" w:cs="Arial"/>
          <w:bCs/>
          <w:color w:val="000000"/>
          <w:sz w:val="20"/>
          <w:szCs w:val="20"/>
        </w:rPr>
        <w:t xml:space="preserve">While the </w:t>
      </w:r>
      <w:r w:rsidR="00D16294">
        <w:rPr>
          <w:rFonts w:ascii="Arial" w:hAnsi="Arial" w:cs="Arial"/>
          <w:bCs/>
          <w:color w:val="000000"/>
          <w:sz w:val="20"/>
          <w:szCs w:val="20"/>
        </w:rPr>
        <w:t>Proxy</w:t>
      </w:r>
      <w:r w:rsidR="00D16294" w:rsidRPr="00F47570">
        <w:rPr>
          <w:rFonts w:ascii="Arial" w:hAnsi="Arial" w:cs="Arial"/>
          <w:bCs/>
          <w:i/>
          <w:iCs/>
          <w:color w:val="000000"/>
          <w:sz w:val="20"/>
          <w:szCs w:val="20"/>
          <w:vertAlign w:val="subscript"/>
        </w:rPr>
        <w:t>OH</w:t>
      </w:r>
      <w:r w:rsidR="00D16294">
        <w:rPr>
          <w:rFonts w:ascii="Arial" w:hAnsi="Arial" w:cs="Arial"/>
          <w:bCs/>
          <w:color w:val="000000"/>
          <w:sz w:val="20"/>
          <w:szCs w:val="20"/>
        </w:rPr>
        <w:t xml:space="preserve"> representation of the magnitude of both OH </w:t>
      </w:r>
      <w:r w:rsidR="00C64D3E">
        <w:rPr>
          <w:rFonts w:ascii="Arial" w:hAnsi="Arial" w:cs="Arial"/>
          <w:bCs/>
          <w:color w:val="000000"/>
          <w:sz w:val="20"/>
          <w:szCs w:val="20"/>
        </w:rPr>
        <w:t xml:space="preserve">production and </w:t>
      </w:r>
      <w:r w:rsidR="00D16294">
        <w:rPr>
          <w:rFonts w:ascii="Arial" w:hAnsi="Arial" w:cs="Arial"/>
          <w:bCs/>
          <w:color w:val="000000"/>
          <w:sz w:val="20"/>
          <w:szCs w:val="20"/>
        </w:rPr>
        <w:t xml:space="preserve">loss influence </w:t>
      </w:r>
      <w:r w:rsidR="00C64D3E">
        <w:rPr>
          <w:rFonts w:ascii="Arial" w:hAnsi="Arial" w:cs="Arial"/>
          <w:bCs/>
          <w:color w:val="000000"/>
          <w:sz w:val="20"/>
          <w:szCs w:val="20"/>
        </w:rPr>
        <w:t xml:space="preserve">the </w:t>
      </w:r>
      <w:r w:rsidR="00D16294">
        <w:rPr>
          <w:rFonts w:ascii="Arial" w:hAnsi="Arial" w:cs="Arial"/>
          <w:bCs/>
          <w:color w:val="000000"/>
          <w:sz w:val="20"/>
          <w:szCs w:val="20"/>
        </w:rPr>
        <w:t xml:space="preserve">regression </w:t>
      </w:r>
      <w:r w:rsidR="00C64D3E">
        <w:rPr>
          <w:rFonts w:ascii="Arial" w:hAnsi="Arial" w:cs="Arial"/>
          <w:bCs/>
          <w:color w:val="000000"/>
          <w:sz w:val="20"/>
          <w:szCs w:val="20"/>
        </w:rPr>
        <w:t xml:space="preserve">slope, </w:t>
      </w:r>
      <w:r w:rsidR="00D16294">
        <w:rPr>
          <w:rFonts w:ascii="Arial" w:hAnsi="Arial" w:cs="Arial"/>
          <w:bCs/>
          <w:color w:val="000000"/>
          <w:sz w:val="20"/>
          <w:szCs w:val="20"/>
        </w:rPr>
        <w:t xml:space="preserve">the slope </w:t>
      </w:r>
      <w:r w:rsidR="00C64D3E">
        <w:rPr>
          <w:rFonts w:ascii="Arial" w:hAnsi="Arial" w:cs="Arial"/>
          <w:bCs/>
          <w:color w:val="000000"/>
          <w:sz w:val="20"/>
          <w:szCs w:val="20"/>
        </w:rPr>
        <w:t xml:space="preserve">is more tightly coupled with the </w:t>
      </w:r>
      <w:r w:rsidR="00D16294">
        <w:rPr>
          <w:rFonts w:ascii="Arial" w:hAnsi="Arial" w:cs="Arial"/>
          <w:bCs/>
          <w:color w:val="000000"/>
          <w:sz w:val="20"/>
          <w:szCs w:val="20"/>
        </w:rPr>
        <w:t>contribution of CO to the total OH loss</w:t>
      </w:r>
      <w:r w:rsidR="00C64D3E">
        <w:rPr>
          <w:rFonts w:ascii="Arial" w:hAnsi="Arial" w:cs="Arial"/>
          <w:bCs/>
          <w:color w:val="000000"/>
          <w:sz w:val="20"/>
          <w:szCs w:val="20"/>
        </w:rPr>
        <w:t xml:space="preserve"> (compare Figure </w:t>
      </w:r>
      <w:r w:rsidR="004647E2">
        <w:rPr>
          <w:rFonts w:ascii="Arial" w:hAnsi="Arial" w:cs="Arial"/>
          <w:bCs/>
          <w:color w:val="000000"/>
          <w:sz w:val="20"/>
          <w:szCs w:val="20"/>
        </w:rPr>
        <w:t>S8</w:t>
      </w:r>
      <w:r w:rsidR="00C64D3E">
        <w:rPr>
          <w:rFonts w:ascii="Arial" w:hAnsi="Arial" w:cs="Arial"/>
          <w:bCs/>
          <w:color w:val="000000"/>
          <w:sz w:val="20"/>
          <w:szCs w:val="20"/>
        </w:rPr>
        <w:t xml:space="preserve">b and </w:t>
      </w:r>
      <w:r w:rsidR="004647E2">
        <w:rPr>
          <w:rFonts w:ascii="Arial" w:hAnsi="Arial" w:cs="Arial"/>
          <w:bCs/>
          <w:color w:val="000000"/>
          <w:sz w:val="20"/>
          <w:szCs w:val="20"/>
        </w:rPr>
        <w:t>8</w:t>
      </w:r>
      <w:r w:rsidR="00C64D3E">
        <w:rPr>
          <w:rFonts w:ascii="Arial" w:hAnsi="Arial" w:cs="Arial"/>
          <w:bCs/>
          <w:color w:val="000000"/>
          <w:sz w:val="20"/>
          <w:szCs w:val="20"/>
        </w:rPr>
        <w:t>c)</w:t>
      </w:r>
      <w:r w:rsidR="004647E2">
        <w:rPr>
          <w:rFonts w:ascii="Arial" w:hAnsi="Arial" w:cs="Arial"/>
          <w:bCs/>
          <w:color w:val="000000"/>
          <w:sz w:val="20"/>
          <w:szCs w:val="20"/>
        </w:rPr>
        <w:t>,</w:t>
      </w:r>
      <w:r w:rsidR="00C64D3E">
        <w:rPr>
          <w:rFonts w:ascii="Arial" w:hAnsi="Arial" w:cs="Arial"/>
          <w:bCs/>
          <w:color w:val="000000"/>
          <w:sz w:val="20"/>
          <w:szCs w:val="20"/>
        </w:rPr>
        <w:t xml:space="preserve"> </w:t>
      </w:r>
      <w:r w:rsidR="00D16294">
        <w:rPr>
          <w:rFonts w:ascii="Arial" w:hAnsi="Arial" w:cs="Arial"/>
          <w:bCs/>
          <w:color w:val="000000"/>
          <w:sz w:val="20"/>
          <w:szCs w:val="20"/>
        </w:rPr>
        <w:t>stem</w:t>
      </w:r>
      <w:r w:rsidR="004647E2">
        <w:rPr>
          <w:rFonts w:ascii="Arial" w:hAnsi="Arial" w:cs="Arial"/>
          <w:bCs/>
          <w:color w:val="000000"/>
          <w:sz w:val="20"/>
          <w:szCs w:val="20"/>
        </w:rPr>
        <w:t>ming</w:t>
      </w:r>
      <w:r w:rsidR="00D16294">
        <w:rPr>
          <w:rFonts w:ascii="Arial" w:hAnsi="Arial" w:cs="Arial"/>
          <w:bCs/>
          <w:color w:val="000000"/>
          <w:sz w:val="20"/>
          <w:szCs w:val="20"/>
        </w:rPr>
        <w:t xml:space="preserve"> from a larger underestimate in the OH sink than in its source</w:t>
      </w:r>
      <w:r w:rsidR="00C64D3E">
        <w:rPr>
          <w:rFonts w:ascii="Arial" w:hAnsi="Arial" w:cs="Arial"/>
          <w:bCs/>
          <w:color w:val="000000"/>
          <w:sz w:val="20"/>
          <w:szCs w:val="20"/>
        </w:rPr>
        <w:t xml:space="preserve"> </w:t>
      </w:r>
      <w:r w:rsidR="00D16294">
        <w:rPr>
          <w:rFonts w:ascii="Arial" w:hAnsi="Arial" w:cs="Arial"/>
          <w:bCs/>
          <w:color w:val="000000"/>
          <w:sz w:val="20"/>
          <w:szCs w:val="20"/>
        </w:rPr>
        <w:t xml:space="preserve">as part of the </w:t>
      </w:r>
      <w:r w:rsidR="00CB056D">
        <w:rPr>
          <w:rFonts w:ascii="Arial" w:hAnsi="Arial" w:cs="Arial"/>
          <w:bCs/>
          <w:color w:val="000000"/>
          <w:sz w:val="20"/>
          <w:szCs w:val="20"/>
        </w:rPr>
        <w:t>Proxy</w:t>
      </w:r>
      <w:r w:rsidR="00CB056D" w:rsidRPr="00F47570">
        <w:rPr>
          <w:rFonts w:ascii="Arial" w:hAnsi="Arial" w:cs="Arial"/>
          <w:bCs/>
          <w:i/>
          <w:iCs/>
          <w:color w:val="000000"/>
          <w:sz w:val="20"/>
          <w:szCs w:val="20"/>
          <w:vertAlign w:val="subscript"/>
        </w:rPr>
        <w:t>OH</w:t>
      </w:r>
      <w:r w:rsidR="00CB056D">
        <w:rPr>
          <w:rFonts w:ascii="Arial" w:hAnsi="Arial" w:cs="Arial"/>
          <w:bCs/>
          <w:color w:val="000000"/>
          <w:sz w:val="20"/>
          <w:szCs w:val="20"/>
        </w:rPr>
        <w:t xml:space="preserve"> </w:t>
      </w:r>
      <w:r w:rsidR="00D16294">
        <w:rPr>
          <w:rFonts w:ascii="Arial" w:hAnsi="Arial" w:cs="Arial"/>
          <w:bCs/>
          <w:color w:val="000000"/>
          <w:sz w:val="20"/>
          <w:szCs w:val="20"/>
        </w:rPr>
        <w:t xml:space="preserve">formulation </w:t>
      </w:r>
      <w:r w:rsidR="00CB056D">
        <w:rPr>
          <w:rFonts w:ascii="Arial" w:hAnsi="Arial" w:cs="Arial"/>
          <w:bCs/>
          <w:color w:val="000000"/>
          <w:sz w:val="20"/>
          <w:szCs w:val="20"/>
        </w:rPr>
        <w:t xml:space="preserve">(compare </w:t>
      </w:r>
      <w:r w:rsidR="00D16294">
        <w:rPr>
          <w:rFonts w:ascii="Arial" w:hAnsi="Arial" w:cs="Arial"/>
          <w:bCs/>
          <w:color w:val="000000"/>
          <w:sz w:val="20"/>
          <w:szCs w:val="20"/>
        </w:rPr>
        <w:t xml:space="preserve">F0AM-simulated </w:t>
      </w:r>
      <w:r w:rsidR="00CB056D">
        <w:rPr>
          <w:rFonts w:ascii="Arial" w:hAnsi="Arial" w:cs="Arial"/>
          <w:bCs/>
          <w:color w:val="000000"/>
          <w:sz w:val="20"/>
          <w:szCs w:val="20"/>
        </w:rPr>
        <w:t>percent contributions in Figure S</w:t>
      </w:r>
      <w:r w:rsidR="00604832">
        <w:rPr>
          <w:rFonts w:ascii="Arial" w:hAnsi="Arial" w:cs="Arial"/>
          <w:bCs/>
          <w:color w:val="000000"/>
          <w:sz w:val="20"/>
          <w:szCs w:val="20"/>
        </w:rPr>
        <w:t>1</w:t>
      </w:r>
      <w:r w:rsidR="00CB056D">
        <w:rPr>
          <w:rFonts w:ascii="Arial" w:hAnsi="Arial" w:cs="Arial"/>
          <w:bCs/>
          <w:color w:val="000000"/>
          <w:sz w:val="20"/>
          <w:szCs w:val="20"/>
        </w:rPr>
        <w:t xml:space="preserve"> with S</w:t>
      </w:r>
      <w:r w:rsidR="00315746">
        <w:rPr>
          <w:rFonts w:ascii="Arial" w:hAnsi="Arial" w:cs="Arial"/>
          <w:bCs/>
          <w:color w:val="000000"/>
          <w:sz w:val="20"/>
          <w:szCs w:val="20"/>
        </w:rPr>
        <w:t>2</w:t>
      </w:r>
      <w:r w:rsidR="00CB056D">
        <w:rPr>
          <w:rFonts w:ascii="Arial" w:hAnsi="Arial" w:cs="Arial"/>
          <w:bCs/>
          <w:color w:val="000000"/>
          <w:sz w:val="20"/>
          <w:szCs w:val="20"/>
        </w:rPr>
        <w:t>)</w:t>
      </w:r>
      <w:r w:rsidR="00C64D3E">
        <w:rPr>
          <w:rFonts w:ascii="Arial" w:hAnsi="Arial" w:cs="Arial"/>
          <w:bCs/>
          <w:color w:val="000000"/>
          <w:sz w:val="20"/>
          <w:szCs w:val="20"/>
        </w:rPr>
        <w:t xml:space="preserve">. </w:t>
      </w:r>
    </w:p>
    <w:p w14:paraId="62092D6A" w14:textId="77777777" w:rsidR="0035154D" w:rsidRDefault="0035154D" w:rsidP="00D16294">
      <w:pPr>
        <w:keepNext/>
        <w:pBdr>
          <w:top w:val="nil"/>
          <w:left w:val="nil"/>
          <w:bottom w:val="nil"/>
          <w:right w:val="nil"/>
          <w:between w:val="nil"/>
        </w:pBdr>
        <w:spacing w:before="240" w:after="60"/>
        <w:contextualSpacing/>
        <w:rPr>
          <w:rFonts w:ascii="Arial" w:hAnsi="Arial" w:cs="Arial"/>
          <w:bCs/>
          <w:color w:val="000000"/>
          <w:sz w:val="20"/>
          <w:szCs w:val="20"/>
        </w:rPr>
      </w:pPr>
    </w:p>
    <w:p w14:paraId="0D2BFB26" w14:textId="0B5E0DB5" w:rsidR="0021232A" w:rsidRDefault="004647E2" w:rsidP="00D16294">
      <w:pPr>
        <w:keepNext/>
        <w:pBdr>
          <w:top w:val="nil"/>
          <w:left w:val="nil"/>
          <w:bottom w:val="nil"/>
          <w:right w:val="nil"/>
          <w:between w:val="nil"/>
        </w:pBdr>
        <w:spacing w:before="240" w:after="60"/>
        <w:contextualSpacing/>
        <w:rPr>
          <w:rFonts w:ascii="Arial" w:hAnsi="Arial" w:cs="Arial"/>
          <w:bCs/>
          <w:color w:val="000000"/>
          <w:sz w:val="20"/>
          <w:szCs w:val="20"/>
        </w:rPr>
      </w:pPr>
      <w:bookmarkStart w:id="11" w:name="_Hlk137124439"/>
      <w:bookmarkStart w:id="12" w:name="_Hlk130397091"/>
      <w:r>
        <w:rPr>
          <w:rFonts w:ascii="Arial" w:hAnsi="Arial" w:cs="Arial"/>
          <w:bCs/>
          <w:color w:val="000000"/>
          <w:sz w:val="20"/>
          <w:szCs w:val="20"/>
        </w:rPr>
        <w:t>Including additional sink terms in the proxy formulation increases the slope (Table S</w:t>
      </w:r>
      <w:r w:rsidR="00B201B5">
        <w:rPr>
          <w:rFonts w:ascii="Arial" w:hAnsi="Arial" w:cs="Arial"/>
          <w:bCs/>
          <w:color w:val="000000"/>
          <w:sz w:val="20"/>
          <w:szCs w:val="20"/>
        </w:rPr>
        <w:t>3</w:t>
      </w:r>
      <w:r w:rsidR="0035154D">
        <w:rPr>
          <w:rFonts w:ascii="Arial" w:hAnsi="Arial" w:cs="Arial"/>
          <w:bCs/>
          <w:color w:val="000000"/>
          <w:sz w:val="20"/>
          <w:szCs w:val="20"/>
        </w:rPr>
        <w:t>, Figure S9</w:t>
      </w:r>
      <w:r>
        <w:rPr>
          <w:rFonts w:ascii="Arial" w:hAnsi="Arial" w:cs="Arial"/>
          <w:bCs/>
          <w:color w:val="000000"/>
          <w:sz w:val="20"/>
          <w:szCs w:val="20"/>
        </w:rPr>
        <w:t>), but as described in section 3, it does not improve the [OH] fit</w:t>
      </w:r>
      <w:r w:rsidR="00EA3486">
        <w:rPr>
          <w:rFonts w:ascii="Arial" w:hAnsi="Arial" w:cs="Arial"/>
          <w:bCs/>
          <w:color w:val="000000"/>
          <w:sz w:val="20"/>
          <w:szCs w:val="20"/>
        </w:rPr>
        <w:t xml:space="preserve"> (little change in </w:t>
      </w:r>
      <w:r w:rsidR="00EA3486" w:rsidRPr="00F47570">
        <w:rPr>
          <w:rFonts w:ascii="Arial" w:hAnsi="Arial" w:cs="Arial"/>
          <w:bCs/>
          <w:i/>
          <w:iCs/>
          <w:color w:val="000000"/>
          <w:sz w:val="20"/>
          <w:szCs w:val="20"/>
        </w:rPr>
        <w:t>r</w:t>
      </w:r>
      <w:r w:rsidR="00EA3486" w:rsidRPr="00F47570">
        <w:rPr>
          <w:rFonts w:ascii="Arial" w:hAnsi="Arial" w:cs="Arial"/>
          <w:bCs/>
          <w:color w:val="000000"/>
          <w:sz w:val="16"/>
          <w:szCs w:val="16"/>
          <w:vertAlign w:val="superscript"/>
        </w:rPr>
        <w:t>2</w:t>
      </w:r>
      <w:r w:rsidR="00EA3486">
        <w:rPr>
          <w:rFonts w:ascii="Arial" w:hAnsi="Arial" w:cs="Arial"/>
          <w:bCs/>
          <w:color w:val="000000"/>
          <w:sz w:val="20"/>
          <w:szCs w:val="20"/>
        </w:rPr>
        <w:t>)</w:t>
      </w:r>
      <w:r>
        <w:rPr>
          <w:rFonts w:ascii="Arial" w:hAnsi="Arial" w:cs="Arial"/>
          <w:bCs/>
          <w:color w:val="000000"/>
          <w:sz w:val="20"/>
          <w:szCs w:val="20"/>
        </w:rPr>
        <w:t xml:space="preserve">. </w:t>
      </w:r>
      <w:bookmarkEnd w:id="11"/>
      <w:r w:rsidR="0035154D">
        <w:rPr>
          <w:rFonts w:ascii="Arial" w:hAnsi="Arial" w:cs="Arial"/>
          <w:bCs/>
          <w:color w:val="000000"/>
          <w:sz w:val="20"/>
          <w:szCs w:val="20"/>
        </w:rPr>
        <w:t>Proxy</w:t>
      </w:r>
      <w:r w:rsidR="0035154D" w:rsidRPr="006434B3">
        <w:rPr>
          <w:rFonts w:ascii="Arial" w:hAnsi="Arial" w:cs="Arial"/>
          <w:bCs/>
          <w:i/>
          <w:iCs/>
          <w:color w:val="000000"/>
          <w:sz w:val="20"/>
          <w:szCs w:val="20"/>
          <w:vertAlign w:val="subscript"/>
        </w:rPr>
        <w:t>OH</w:t>
      </w:r>
      <w:r w:rsidR="0035154D">
        <w:rPr>
          <w:rFonts w:ascii="Arial" w:hAnsi="Arial" w:cs="Arial"/>
          <w:bCs/>
          <w:color w:val="000000"/>
          <w:sz w:val="20"/>
          <w:szCs w:val="20"/>
        </w:rPr>
        <w:t xml:space="preserve"> only </w:t>
      </w:r>
      <w:r w:rsidR="00AB6554">
        <w:rPr>
          <w:rFonts w:ascii="Arial" w:hAnsi="Arial" w:cs="Arial"/>
          <w:bCs/>
          <w:color w:val="000000"/>
          <w:sz w:val="20"/>
          <w:szCs w:val="20"/>
        </w:rPr>
        <w:t xml:space="preserve">uses </w:t>
      </w:r>
      <w:r w:rsidR="0035154D">
        <w:rPr>
          <w:rFonts w:ascii="Arial" w:hAnsi="Arial" w:cs="Arial"/>
          <w:bCs/>
          <w:color w:val="000000"/>
          <w:sz w:val="20"/>
          <w:szCs w:val="20"/>
        </w:rPr>
        <w:t>the OH lifetime against CO</w:t>
      </w:r>
      <w:r w:rsidR="001015DF">
        <w:rPr>
          <w:rFonts w:ascii="Arial" w:hAnsi="Arial" w:cs="Arial"/>
          <w:bCs/>
          <w:color w:val="000000"/>
          <w:sz w:val="20"/>
          <w:szCs w:val="20"/>
        </w:rPr>
        <w:t>.</w:t>
      </w:r>
      <w:r w:rsidR="0035154D">
        <w:rPr>
          <w:rFonts w:ascii="Arial" w:hAnsi="Arial" w:cs="Arial"/>
          <w:bCs/>
          <w:color w:val="000000"/>
          <w:sz w:val="20"/>
          <w:szCs w:val="20"/>
        </w:rPr>
        <w:t xml:space="preserve"> </w:t>
      </w:r>
      <w:r w:rsidR="001015DF">
        <w:rPr>
          <w:rFonts w:ascii="Arial" w:hAnsi="Arial" w:cs="Arial"/>
          <w:bCs/>
          <w:color w:val="000000"/>
          <w:sz w:val="20"/>
          <w:szCs w:val="20"/>
        </w:rPr>
        <w:t>Expanding to include</w:t>
      </w:r>
      <w:r w:rsidR="0035154D">
        <w:rPr>
          <w:rFonts w:ascii="Arial" w:hAnsi="Arial" w:cs="Arial"/>
          <w:bCs/>
          <w:color w:val="000000"/>
          <w:sz w:val="20"/>
          <w:szCs w:val="20"/>
        </w:rPr>
        <w:t xml:space="preserve"> </w:t>
      </w:r>
      <w:r w:rsidR="0035154D" w:rsidRPr="008538F6">
        <w:rPr>
          <w:rFonts w:ascii="Arial" w:hAnsi="Arial" w:cs="Arial"/>
          <w:bCs/>
          <w:color w:val="000000"/>
          <w:sz w:val="20"/>
          <w:szCs w:val="20"/>
        </w:rPr>
        <w:t xml:space="preserve">the OH lifetime against HCHO </w:t>
      </w:r>
      <w:r w:rsidR="0035154D" w:rsidRPr="008538F6">
        <w:rPr>
          <w:rFonts w:ascii="Arial" w:hAnsi="Arial" w:cs="Arial"/>
          <w:bCs/>
          <w:color w:val="000000"/>
          <w:sz w:val="20"/>
          <w:szCs w:val="20"/>
        </w:rPr>
        <w:lastRenderedPageBreak/>
        <w:t>(</w:t>
      </w:r>
      <w:r w:rsidR="0035154D" w:rsidRPr="008538F6">
        <w:rPr>
          <w:rFonts w:ascii="Arial" w:hAnsi="Arial" w:cs="Arial"/>
          <w:bCs/>
          <w:i/>
          <w:iCs/>
          <w:color w:val="000000"/>
          <w:sz w:val="20"/>
          <w:szCs w:val="20"/>
        </w:rPr>
        <w:t>k</w:t>
      </w:r>
      <w:r w:rsidR="0035154D" w:rsidRPr="008538F6">
        <w:rPr>
          <w:rFonts w:ascii="Arial" w:hAnsi="Arial" w:cs="Arial"/>
          <w:bCs/>
          <w:i/>
          <w:iCs/>
          <w:color w:val="000000"/>
          <w:sz w:val="20"/>
          <w:szCs w:val="20"/>
          <w:vertAlign w:val="subscript"/>
        </w:rPr>
        <w:t>HCHO+OH</w:t>
      </w:r>
      <w:r w:rsidR="0035154D" w:rsidRPr="008538F6">
        <w:rPr>
          <w:rFonts w:ascii="Arial" w:hAnsi="Arial" w:cs="Arial"/>
          <w:bCs/>
          <w:color w:val="000000"/>
          <w:sz w:val="20"/>
          <w:szCs w:val="20"/>
        </w:rPr>
        <w:t>[HCHO]) and/or CH</w:t>
      </w:r>
      <w:r w:rsidR="0035154D" w:rsidRPr="008538F6">
        <w:rPr>
          <w:rFonts w:ascii="Arial" w:hAnsi="Arial" w:cs="Arial"/>
          <w:bCs/>
          <w:color w:val="000000"/>
          <w:sz w:val="20"/>
          <w:szCs w:val="20"/>
          <w:vertAlign w:val="subscript"/>
        </w:rPr>
        <w:t>3</w:t>
      </w:r>
      <w:r w:rsidR="0035154D" w:rsidRPr="008538F6">
        <w:rPr>
          <w:rFonts w:ascii="Arial" w:hAnsi="Arial" w:cs="Arial"/>
          <w:bCs/>
          <w:color w:val="000000"/>
          <w:sz w:val="20"/>
          <w:szCs w:val="20"/>
        </w:rPr>
        <w:t>OOH (</w:t>
      </w:r>
      <w:r w:rsidR="0035154D" w:rsidRPr="008538F6">
        <w:rPr>
          <w:rFonts w:ascii="Arial" w:hAnsi="Arial" w:cs="Arial"/>
          <w:bCs/>
          <w:i/>
          <w:iCs/>
          <w:color w:val="000000"/>
          <w:sz w:val="20"/>
          <w:szCs w:val="20"/>
        </w:rPr>
        <w:t>k</w:t>
      </w:r>
      <w:r w:rsidR="0035154D" w:rsidRPr="008538F6">
        <w:rPr>
          <w:rFonts w:ascii="Arial" w:hAnsi="Arial" w:cs="Arial"/>
          <w:bCs/>
          <w:i/>
          <w:iCs/>
          <w:color w:val="000000"/>
          <w:sz w:val="20"/>
          <w:szCs w:val="20"/>
          <w:vertAlign w:val="subscript"/>
        </w:rPr>
        <w:t>CH3OOH+OH</w:t>
      </w:r>
      <w:r w:rsidR="0035154D" w:rsidRPr="008538F6">
        <w:rPr>
          <w:rFonts w:ascii="Arial" w:hAnsi="Arial" w:cs="Arial"/>
          <w:bCs/>
          <w:color w:val="000000"/>
          <w:sz w:val="20"/>
          <w:szCs w:val="20"/>
        </w:rPr>
        <w:t>[CH</w:t>
      </w:r>
      <w:r w:rsidR="0035154D" w:rsidRPr="008538F6">
        <w:rPr>
          <w:rFonts w:ascii="Arial" w:hAnsi="Arial" w:cs="Arial"/>
          <w:bCs/>
          <w:color w:val="000000"/>
          <w:sz w:val="20"/>
          <w:szCs w:val="20"/>
          <w:vertAlign w:val="subscript"/>
        </w:rPr>
        <w:t>3</w:t>
      </w:r>
      <w:r w:rsidR="0035154D" w:rsidRPr="008538F6">
        <w:rPr>
          <w:rFonts w:ascii="Arial" w:hAnsi="Arial" w:cs="Arial"/>
          <w:bCs/>
          <w:color w:val="000000"/>
          <w:sz w:val="20"/>
          <w:szCs w:val="20"/>
        </w:rPr>
        <w:t>OOH])</w:t>
      </w:r>
      <w:r w:rsidR="0035154D">
        <w:rPr>
          <w:rFonts w:ascii="Arial" w:hAnsi="Arial" w:cs="Arial"/>
          <w:bCs/>
          <w:color w:val="000000"/>
          <w:sz w:val="20"/>
          <w:szCs w:val="20"/>
        </w:rPr>
        <w:t xml:space="preserve"> </w:t>
      </w:r>
      <w:r w:rsidR="001015DF">
        <w:rPr>
          <w:rFonts w:ascii="Arial" w:hAnsi="Arial" w:cs="Arial"/>
          <w:bCs/>
          <w:color w:val="000000"/>
          <w:sz w:val="20"/>
          <w:szCs w:val="20"/>
        </w:rPr>
        <w:t>in</w:t>
      </w:r>
      <w:r w:rsidR="0035154D">
        <w:rPr>
          <w:rFonts w:ascii="Arial" w:hAnsi="Arial" w:cs="Arial"/>
          <w:bCs/>
          <w:color w:val="000000"/>
          <w:sz w:val="20"/>
          <w:szCs w:val="20"/>
        </w:rPr>
        <w:t xml:space="preserve"> the proxy sink term</w:t>
      </w:r>
      <w:r w:rsidR="0035154D" w:rsidRPr="008538F6">
        <w:rPr>
          <w:rFonts w:ascii="Arial" w:hAnsi="Arial" w:cs="Arial"/>
          <w:bCs/>
          <w:color w:val="000000"/>
          <w:sz w:val="20"/>
          <w:szCs w:val="20"/>
        </w:rPr>
        <w:t xml:space="preserve"> reduces </w:t>
      </w:r>
      <w:r w:rsidR="0035154D">
        <w:rPr>
          <w:rFonts w:ascii="Arial" w:hAnsi="Arial" w:cs="Arial"/>
          <w:bCs/>
          <w:color w:val="000000"/>
          <w:sz w:val="20"/>
          <w:szCs w:val="20"/>
        </w:rPr>
        <w:t xml:space="preserve">the </w:t>
      </w:r>
      <w:r w:rsidR="0035154D" w:rsidRPr="008538F6">
        <w:rPr>
          <w:rFonts w:ascii="Arial" w:hAnsi="Arial" w:cs="Arial"/>
          <w:bCs/>
          <w:color w:val="000000"/>
          <w:sz w:val="20"/>
          <w:szCs w:val="20"/>
        </w:rPr>
        <w:t xml:space="preserve">spatial gradients </w:t>
      </w:r>
      <w:r w:rsidR="0035154D">
        <w:rPr>
          <w:rFonts w:ascii="Arial" w:hAnsi="Arial" w:cs="Arial"/>
          <w:bCs/>
          <w:color w:val="000000"/>
          <w:sz w:val="20"/>
          <w:szCs w:val="20"/>
        </w:rPr>
        <w:t xml:space="preserve">in </w:t>
      </w:r>
      <w:r w:rsidR="0035154D" w:rsidRPr="008538F6">
        <w:rPr>
          <w:rFonts w:ascii="Arial" w:hAnsi="Arial" w:cs="Arial"/>
          <w:bCs/>
          <w:color w:val="000000"/>
          <w:sz w:val="20"/>
          <w:szCs w:val="20"/>
        </w:rPr>
        <w:t xml:space="preserve">the </w:t>
      </w:r>
      <w:r w:rsidR="0035154D">
        <w:rPr>
          <w:rFonts w:ascii="Arial" w:hAnsi="Arial" w:cs="Arial"/>
          <w:bCs/>
          <w:color w:val="000000"/>
          <w:sz w:val="20"/>
          <w:szCs w:val="20"/>
        </w:rPr>
        <w:t>MCMC</w:t>
      </w:r>
      <w:r w:rsidR="0035154D" w:rsidRPr="008538F6">
        <w:rPr>
          <w:rFonts w:ascii="Arial" w:hAnsi="Arial" w:cs="Arial"/>
          <w:bCs/>
          <w:color w:val="000000"/>
          <w:sz w:val="20"/>
          <w:szCs w:val="20"/>
        </w:rPr>
        <w:t xml:space="preserve">-simulated </w:t>
      </w:r>
      <w:r w:rsidR="0035154D">
        <w:rPr>
          <w:rFonts w:ascii="Arial" w:hAnsi="Arial" w:cs="Arial"/>
          <w:bCs/>
          <w:color w:val="000000"/>
          <w:sz w:val="20"/>
          <w:szCs w:val="20"/>
        </w:rPr>
        <w:t xml:space="preserve">slopes </w:t>
      </w:r>
      <w:r w:rsidR="0035154D" w:rsidRPr="008538F6">
        <w:rPr>
          <w:rFonts w:ascii="Arial" w:hAnsi="Arial" w:cs="Arial"/>
          <w:bCs/>
          <w:color w:val="000000"/>
          <w:sz w:val="20"/>
          <w:szCs w:val="20"/>
        </w:rPr>
        <w:t>(</w:t>
      </w:r>
      <w:r w:rsidR="0035154D">
        <w:rPr>
          <w:rFonts w:ascii="Arial" w:hAnsi="Arial" w:cs="Arial"/>
          <w:bCs/>
          <w:color w:val="000000"/>
          <w:sz w:val="20"/>
          <w:szCs w:val="20"/>
        </w:rPr>
        <w:t xml:space="preserve">compare stars and squares to circles in </w:t>
      </w:r>
      <w:r w:rsidR="0035154D" w:rsidRPr="008538F6">
        <w:rPr>
          <w:rFonts w:ascii="Arial" w:hAnsi="Arial" w:cs="Arial"/>
          <w:bCs/>
          <w:color w:val="000000"/>
          <w:sz w:val="20"/>
          <w:szCs w:val="20"/>
        </w:rPr>
        <w:t>Figure S9). The</w:t>
      </w:r>
      <w:r w:rsidR="0035154D">
        <w:rPr>
          <w:rFonts w:ascii="Arial" w:hAnsi="Arial" w:cs="Arial"/>
          <w:bCs/>
          <w:color w:val="000000"/>
          <w:sz w:val="20"/>
          <w:szCs w:val="20"/>
        </w:rPr>
        <w:t xml:space="preserve"> slope spatial gradients are smalle</w:t>
      </w:r>
      <w:r w:rsidR="001015DF">
        <w:rPr>
          <w:rFonts w:ascii="Arial" w:hAnsi="Arial" w:cs="Arial"/>
          <w:bCs/>
          <w:color w:val="000000"/>
          <w:sz w:val="20"/>
          <w:szCs w:val="20"/>
        </w:rPr>
        <w:t>st</w:t>
      </w:r>
      <w:r w:rsidR="0035154D">
        <w:rPr>
          <w:rFonts w:ascii="Arial" w:hAnsi="Arial" w:cs="Arial"/>
          <w:bCs/>
          <w:color w:val="000000"/>
          <w:sz w:val="20"/>
          <w:szCs w:val="20"/>
        </w:rPr>
        <w:t xml:space="preserve"> when including the OH lifetime against CH</w:t>
      </w:r>
      <w:r w:rsidR="0035154D" w:rsidRPr="001C08EE">
        <w:rPr>
          <w:rFonts w:ascii="Arial" w:hAnsi="Arial" w:cs="Arial"/>
          <w:bCs/>
          <w:color w:val="000000"/>
          <w:sz w:val="20"/>
          <w:szCs w:val="20"/>
          <w:vertAlign w:val="subscript"/>
        </w:rPr>
        <w:t>3</w:t>
      </w:r>
      <w:r w:rsidR="0035154D">
        <w:rPr>
          <w:rFonts w:ascii="Arial" w:hAnsi="Arial" w:cs="Arial"/>
          <w:bCs/>
          <w:color w:val="000000"/>
          <w:sz w:val="20"/>
          <w:szCs w:val="20"/>
        </w:rPr>
        <w:t>OOH (squares in Figure S9), although the spread (vertical bars) increases due to larger CH</w:t>
      </w:r>
      <w:r w:rsidR="0035154D" w:rsidRPr="001C08EE">
        <w:rPr>
          <w:rFonts w:ascii="Arial" w:hAnsi="Arial" w:cs="Arial"/>
          <w:bCs/>
          <w:color w:val="000000"/>
          <w:sz w:val="20"/>
          <w:szCs w:val="20"/>
          <w:vertAlign w:val="subscript"/>
        </w:rPr>
        <w:t>3</w:t>
      </w:r>
      <w:r w:rsidR="0035154D">
        <w:rPr>
          <w:rFonts w:ascii="Arial" w:hAnsi="Arial" w:cs="Arial"/>
          <w:bCs/>
          <w:color w:val="000000"/>
          <w:sz w:val="20"/>
          <w:szCs w:val="20"/>
        </w:rPr>
        <w:t>OOH measurement uncertainty. For all</w:t>
      </w:r>
      <w:r w:rsidR="001015DF">
        <w:rPr>
          <w:rFonts w:ascii="Arial" w:hAnsi="Arial" w:cs="Arial"/>
          <w:bCs/>
          <w:color w:val="000000"/>
          <w:sz w:val="20"/>
          <w:szCs w:val="20"/>
        </w:rPr>
        <w:t xml:space="preserve"> proxy</w:t>
      </w:r>
      <w:r w:rsidR="0035154D">
        <w:rPr>
          <w:rFonts w:ascii="Arial" w:hAnsi="Arial" w:cs="Arial"/>
          <w:bCs/>
          <w:color w:val="000000"/>
          <w:sz w:val="20"/>
          <w:szCs w:val="20"/>
        </w:rPr>
        <w:t xml:space="preserve"> formulations, the slope </w:t>
      </w:r>
      <w:r w:rsidR="001015DF">
        <w:rPr>
          <w:rFonts w:ascii="Arial" w:hAnsi="Arial" w:cs="Arial"/>
          <w:bCs/>
          <w:color w:val="000000"/>
          <w:sz w:val="20"/>
          <w:szCs w:val="20"/>
        </w:rPr>
        <w:t xml:space="preserve">is </w:t>
      </w:r>
      <w:r w:rsidR="0035154D">
        <w:rPr>
          <w:rFonts w:ascii="Arial" w:hAnsi="Arial" w:cs="Arial"/>
          <w:bCs/>
          <w:color w:val="000000"/>
          <w:sz w:val="20"/>
          <w:szCs w:val="20"/>
        </w:rPr>
        <w:t xml:space="preserve">generally </w:t>
      </w:r>
      <w:r w:rsidR="001015DF">
        <w:rPr>
          <w:rFonts w:ascii="Arial" w:hAnsi="Arial" w:cs="Arial"/>
          <w:bCs/>
          <w:color w:val="000000"/>
          <w:sz w:val="20"/>
          <w:szCs w:val="20"/>
        </w:rPr>
        <w:t xml:space="preserve">smallest </w:t>
      </w:r>
      <w:r w:rsidR="0035154D">
        <w:rPr>
          <w:rFonts w:ascii="Arial" w:hAnsi="Arial" w:cs="Arial"/>
          <w:bCs/>
          <w:color w:val="000000"/>
          <w:sz w:val="20"/>
          <w:szCs w:val="20"/>
        </w:rPr>
        <w:t>between 8 to 10 km altitude. In this vertical layer, Figure S1 indicates that H</w:t>
      </w:r>
      <w:r w:rsidR="0035154D" w:rsidRPr="001C08EE">
        <w:rPr>
          <w:rFonts w:ascii="Arial" w:hAnsi="Arial" w:cs="Arial"/>
          <w:bCs/>
          <w:color w:val="000000"/>
          <w:sz w:val="20"/>
          <w:szCs w:val="20"/>
          <w:vertAlign w:val="subscript"/>
        </w:rPr>
        <w:t>2</w:t>
      </w:r>
      <w:r w:rsidR="0035154D">
        <w:rPr>
          <w:rFonts w:ascii="Arial" w:hAnsi="Arial" w:cs="Arial"/>
          <w:bCs/>
          <w:color w:val="000000"/>
          <w:sz w:val="20"/>
          <w:szCs w:val="20"/>
        </w:rPr>
        <w:t>O</w:t>
      </w:r>
      <w:r w:rsidR="0035154D" w:rsidRPr="001C08EE">
        <w:rPr>
          <w:rFonts w:ascii="Arial" w:hAnsi="Arial" w:cs="Arial"/>
          <w:bCs/>
          <w:color w:val="000000"/>
          <w:sz w:val="20"/>
          <w:szCs w:val="20"/>
          <w:vertAlign w:val="subscript"/>
        </w:rPr>
        <w:t>2</w:t>
      </w:r>
      <w:r w:rsidR="0035154D">
        <w:rPr>
          <w:rFonts w:ascii="Arial" w:hAnsi="Arial" w:cs="Arial"/>
          <w:bCs/>
          <w:color w:val="000000"/>
          <w:sz w:val="20"/>
          <w:szCs w:val="20"/>
        </w:rPr>
        <w:t xml:space="preserve"> photolysis and the reaction of HO</w:t>
      </w:r>
      <w:r w:rsidR="0035154D" w:rsidRPr="001C08EE">
        <w:rPr>
          <w:rFonts w:ascii="Arial" w:hAnsi="Arial" w:cs="Arial"/>
          <w:bCs/>
          <w:color w:val="000000"/>
          <w:sz w:val="20"/>
          <w:szCs w:val="20"/>
          <w:vertAlign w:val="subscript"/>
        </w:rPr>
        <w:t>2</w:t>
      </w:r>
      <w:r w:rsidR="0035154D">
        <w:rPr>
          <w:rFonts w:ascii="Arial" w:hAnsi="Arial" w:cs="Arial"/>
          <w:bCs/>
          <w:color w:val="000000"/>
          <w:sz w:val="20"/>
          <w:szCs w:val="20"/>
        </w:rPr>
        <w:t xml:space="preserve"> + O</w:t>
      </w:r>
      <w:r w:rsidR="0035154D" w:rsidRPr="001C08EE">
        <w:rPr>
          <w:rFonts w:ascii="Arial" w:hAnsi="Arial" w:cs="Arial"/>
          <w:bCs/>
          <w:color w:val="000000"/>
          <w:sz w:val="20"/>
          <w:szCs w:val="20"/>
          <w:vertAlign w:val="subscript"/>
        </w:rPr>
        <w:t>3</w:t>
      </w:r>
      <w:r w:rsidR="0035154D">
        <w:rPr>
          <w:rFonts w:ascii="Arial" w:hAnsi="Arial" w:cs="Arial"/>
          <w:bCs/>
          <w:color w:val="000000"/>
          <w:sz w:val="20"/>
          <w:szCs w:val="20"/>
        </w:rPr>
        <w:t xml:space="preserve"> are often larger contributors to P</w:t>
      </w:r>
      <w:r w:rsidR="0035154D" w:rsidRPr="001C08EE">
        <w:rPr>
          <w:rFonts w:ascii="Arial" w:hAnsi="Arial" w:cs="Arial"/>
          <w:bCs/>
          <w:i/>
          <w:iCs/>
          <w:color w:val="000000"/>
          <w:sz w:val="20"/>
          <w:szCs w:val="20"/>
          <w:vertAlign w:val="subscript"/>
        </w:rPr>
        <w:t>OH</w:t>
      </w:r>
      <w:r w:rsidR="0035154D">
        <w:rPr>
          <w:rFonts w:ascii="Arial" w:hAnsi="Arial" w:cs="Arial"/>
          <w:bCs/>
          <w:color w:val="000000"/>
          <w:sz w:val="20"/>
          <w:szCs w:val="20"/>
        </w:rPr>
        <w:t xml:space="preserve"> than O(</w:t>
      </w:r>
      <w:r w:rsidR="0035154D" w:rsidRPr="001C08EE">
        <w:rPr>
          <w:rFonts w:ascii="Arial" w:hAnsi="Arial" w:cs="Arial"/>
          <w:bCs/>
          <w:color w:val="000000"/>
          <w:sz w:val="20"/>
          <w:szCs w:val="20"/>
          <w:vertAlign w:val="superscript"/>
        </w:rPr>
        <w:t>1</w:t>
      </w:r>
      <w:r w:rsidR="0035154D">
        <w:rPr>
          <w:rFonts w:ascii="Arial" w:hAnsi="Arial" w:cs="Arial"/>
          <w:bCs/>
          <w:color w:val="000000"/>
          <w:sz w:val="20"/>
          <w:szCs w:val="20"/>
        </w:rPr>
        <w:t>D) + H</w:t>
      </w:r>
      <w:r w:rsidR="0035154D" w:rsidRPr="001C08EE">
        <w:rPr>
          <w:rFonts w:ascii="Arial" w:hAnsi="Arial" w:cs="Arial"/>
          <w:bCs/>
          <w:color w:val="000000"/>
          <w:sz w:val="20"/>
          <w:szCs w:val="20"/>
          <w:vertAlign w:val="subscript"/>
        </w:rPr>
        <w:t>2</w:t>
      </w:r>
      <w:r w:rsidR="0035154D">
        <w:rPr>
          <w:rFonts w:ascii="Arial" w:hAnsi="Arial" w:cs="Arial"/>
          <w:bCs/>
          <w:color w:val="000000"/>
          <w:sz w:val="20"/>
          <w:szCs w:val="20"/>
        </w:rPr>
        <w:t xml:space="preserve">O. </w:t>
      </w:r>
      <w:bookmarkStart w:id="13" w:name="_Hlk137124495"/>
      <w:r>
        <w:rPr>
          <w:rFonts w:ascii="Arial" w:hAnsi="Arial" w:cs="Arial"/>
          <w:bCs/>
          <w:color w:val="000000"/>
          <w:sz w:val="20"/>
          <w:szCs w:val="20"/>
        </w:rPr>
        <w:t xml:space="preserve">Overall, this </w:t>
      </w:r>
      <w:r w:rsidR="0035154D">
        <w:rPr>
          <w:rFonts w:ascii="Arial" w:hAnsi="Arial" w:cs="Arial"/>
          <w:bCs/>
          <w:color w:val="000000"/>
          <w:sz w:val="20"/>
          <w:szCs w:val="20"/>
        </w:rPr>
        <w:t xml:space="preserve">analysis </w:t>
      </w:r>
      <w:r>
        <w:rPr>
          <w:rFonts w:ascii="Arial" w:hAnsi="Arial" w:cs="Arial"/>
          <w:bCs/>
          <w:color w:val="000000"/>
          <w:sz w:val="20"/>
          <w:szCs w:val="20"/>
        </w:rPr>
        <w:t>suggests that changes in the composition of k’</w:t>
      </w:r>
      <w:r w:rsidRPr="00F47570">
        <w:rPr>
          <w:rFonts w:ascii="Arial" w:hAnsi="Arial" w:cs="Arial"/>
          <w:bCs/>
          <w:i/>
          <w:iCs/>
          <w:color w:val="000000"/>
          <w:sz w:val="20"/>
          <w:szCs w:val="20"/>
          <w:vertAlign w:val="subscript"/>
        </w:rPr>
        <w:t>OH</w:t>
      </w:r>
      <w:r>
        <w:rPr>
          <w:rFonts w:ascii="Arial" w:hAnsi="Arial" w:cs="Arial"/>
          <w:bCs/>
          <w:color w:val="000000"/>
          <w:sz w:val="20"/>
          <w:szCs w:val="20"/>
        </w:rPr>
        <w:t xml:space="preserve"> </w:t>
      </w:r>
      <w:r w:rsidR="00AE2575">
        <w:rPr>
          <w:rFonts w:ascii="Arial" w:hAnsi="Arial" w:cs="Arial"/>
          <w:bCs/>
          <w:color w:val="000000"/>
          <w:sz w:val="20"/>
          <w:szCs w:val="20"/>
        </w:rPr>
        <w:t>generally</w:t>
      </w:r>
      <w:r>
        <w:rPr>
          <w:rFonts w:ascii="Arial" w:hAnsi="Arial" w:cs="Arial"/>
          <w:bCs/>
          <w:color w:val="000000"/>
          <w:sz w:val="20"/>
          <w:szCs w:val="20"/>
        </w:rPr>
        <w:t xml:space="preserve"> drive the </w:t>
      </w:r>
      <w:r w:rsidR="001015DF">
        <w:rPr>
          <w:rFonts w:ascii="Arial" w:hAnsi="Arial" w:cs="Arial"/>
          <w:bCs/>
          <w:color w:val="000000"/>
          <w:sz w:val="20"/>
          <w:szCs w:val="20"/>
        </w:rPr>
        <w:t xml:space="preserve">spatial variations in the </w:t>
      </w:r>
      <w:r>
        <w:rPr>
          <w:rFonts w:ascii="Arial" w:hAnsi="Arial" w:cs="Arial"/>
          <w:bCs/>
          <w:color w:val="000000"/>
          <w:sz w:val="20"/>
          <w:szCs w:val="20"/>
        </w:rPr>
        <w:t>slope</w:t>
      </w:r>
      <w:r w:rsidR="0035154D">
        <w:rPr>
          <w:rFonts w:ascii="Arial" w:hAnsi="Arial" w:cs="Arial"/>
          <w:bCs/>
          <w:color w:val="000000"/>
          <w:sz w:val="20"/>
          <w:szCs w:val="20"/>
        </w:rPr>
        <w:t>, while missing sources may contribute most in the upper troposphere</w:t>
      </w:r>
      <w:r>
        <w:rPr>
          <w:rFonts w:ascii="Arial" w:hAnsi="Arial" w:cs="Arial"/>
          <w:bCs/>
          <w:color w:val="000000"/>
          <w:sz w:val="20"/>
          <w:szCs w:val="20"/>
        </w:rPr>
        <w:t xml:space="preserve">. </w:t>
      </w:r>
      <w:r w:rsidR="008D7A0A" w:rsidRPr="008D7A0A">
        <w:rPr>
          <w:rFonts w:ascii="Arial" w:hAnsi="Arial" w:cs="Arial"/>
          <w:bCs/>
          <w:color w:val="000000"/>
          <w:sz w:val="20"/>
          <w:szCs w:val="20"/>
        </w:rPr>
        <w:t xml:space="preserve"> </w:t>
      </w:r>
      <w:bookmarkEnd w:id="13"/>
    </w:p>
    <w:bookmarkEnd w:id="12"/>
    <w:p w14:paraId="249CA1DE" w14:textId="77777777" w:rsidR="0021232A" w:rsidRDefault="0021232A" w:rsidP="00D16294">
      <w:pPr>
        <w:keepNext/>
        <w:pBdr>
          <w:top w:val="nil"/>
          <w:left w:val="nil"/>
          <w:bottom w:val="nil"/>
          <w:right w:val="nil"/>
          <w:between w:val="nil"/>
        </w:pBdr>
        <w:spacing w:before="240" w:after="60"/>
        <w:contextualSpacing/>
        <w:rPr>
          <w:rFonts w:ascii="Arial" w:hAnsi="Arial" w:cs="Arial"/>
          <w:bCs/>
          <w:color w:val="000000"/>
          <w:sz w:val="20"/>
          <w:szCs w:val="20"/>
        </w:rPr>
      </w:pPr>
    </w:p>
    <w:p w14:paraId="2A7225AF" w14:textId="43D8F12E" w:rsidR="007F380D" w:rsidRDefault="00704512" w:rsidP="00FE7FE5">
      <w:pPr>
        <w:keepNext/>
        <w:pBdr>
          <w:top w:val="nil"/>
          <w:left w:val="nil"/>
          <w:bottom w:val="nil"/>
          <w:right w:val="nil"/>
          <w:between w:val="nil"/>
        </w:pBdr>
        <w:spacing w:before="240" w:after="60"/>
        <w:contextualSpacing/>
        <w:rPr>
          <w:rFonts w:ascii="Arial" w:hAnsi="Arial" w:cs="Arial"/>
          <w:bCs/>
          <w:color w:val="000000"/>
          <w:sz w:val="20"/>
          <w:szCs w:val="20"/>
        </w:rPr>
      </w:pPr>
      <w:bookmarkStart w:id="14" w:name="_Hlk122611419"/>
      <w:r>
        <w:rPr>
          <w:rFonts w:ascii="Arial" w:hAnsi="Arial" w:cs="Arial"/>
          <w:bCs/>
          <w:color w:val="000000"/>
          <w:sz w:val="20"/>
          <w:szCs w:val="20"/>
        </w:rPr>
        <w:t xml:space="preserve">The </w:t>
      </w:r>
      <w:r w:rsidR="0021232A">
        <w:rPr>
          <w:rFonts w:ascii="Arial" w:hAnsi="Arial" w:cs="Arial"/>
          <w:bCs/>
          <w:color w:val="000000"/>
          <w:sz w:val="20"/>
          <w:szCs w:val="20"/>
        </w:rPr>
        <w:t>Proxy</w:t>
      </w:r>
      <w:r w:rsidR="0021232A" w:rsidRPr="00F47570">
        <w:rPr>
          <w:rFonts w:ascii="Arial" w:hAnsi="Arial" w:cs="Arial"/>
          <w:bCs/>
          <w:i/>
          <w:iCs/>
          <w:color w:val="000000"/>
          <w:sz w:val="20"/>
          <w:szCs w:val="20"/>
          <w:vertAlign w:val="subscript"/>
        </w:rPr>
        <w:t>OH</w:t>
      </w:r>
      <w:r w:rsidR="0021232A">
        <w:rPr>
          <w:rFonts w:ascii="Arial" w:hAnsi="Arial" w:cs="Arial"/>
          <w:bCs/>
          <w:color w:val="000000"/>
          <w:sz w:val="20"/>
          <w:szCs w:val="20"/>
        </w:rPr>
        <w:t xml:space="preserve"> </w:t>
      </w:r>
      <w:r>
        <w:rPr>
          <w:rFonts w:ascii="Arial" w:hAnsi="Arial" w:cs="Arial"/>
          <w:bCs/>
          <w:color w:val="000000"/>
          <w:sz w:val="20"/>
          <w:szCs w:val="20"/>
        </w:rPr>
        <w:t xml:space="preserve">underestimate </w:t>
      </w:r>
      <w:r w:rsidR="00B91A73">
        <w:rPr>
          <w:rFonts w:ascii="Arial" w:hAnsi="Arial" w:cs="Arial"/>
          <w:bCs/>
          <w:color w:val="000000"/>
          <w:sz w:val="20"/>
          <w:szCs w:val="20"/>
        </w:rPr>
        <w:t>of</w:t>
      </w:r>
      <w:r>
        <w:rPr>
          <w:rFonts w:ascii="Arial" w:hAnsi="Arial" w:cs="Arial"/>
          <w:bCs/>
          <w:color w:val="000000"/>
          <w:sz w:val="20"/>
          <w:szCs w:val="20"/>
        </w:rPr>
        <w:t xml:space="preserve"> </w:t>
      </w:r>
      <w:r w:rsidR="0021232A">
        <w:rPr>
          <w:rFonts w:ascii="Arial" w:hAnsi="Arial" w:cs="Arial"/>
          <w:bCs/>
          <w:color w:val="000000"/>
          <w:sz w:val="20"/>
          <w:szCs w:val="20"/>
        </w:rPr>
        <w:t xml:space="preserve">the total magnitude of the OH </w:t>
      </w:r>
      <w:r>
        <w:rPr>
          <w:rFonts w:ascii="Arial" w:hAnsi="Arial" w:cs="Arial"/>
          <w:bCs/>
          <w:color w:val="000000"/>
          <w:sz w:val="20"/>
          <w:szCs w:val="20"/>
        </w:rPr>
        <w:t>source and sink terms stems from its intended simplicity</w:t>
      </w:r>
      <w:r w:rsidR="0021232A">
        <w:rPr>
          <w:rFonts w:ascii="Arial" w:hAnsi="Arial" w:cs="Arial"/>
          <w:bCs/>
          <w:color w:val="000000"/>
          <w:sz w:val="20"/>
          <w:szCs w:val="20"/>
        </w:rPr>
        <w:t>, such that</w:t>
      </w:r>
      <w:r>
        <w:rPr>
          <w:rFonts w:ascii="Arial" w:hAnsi="Arial" w:cs="Arial"/>
          <w:bCs/>
          <w:color w:val="000000"/>
          <w:sz w:val="20"/>
          <w:szCs w:val="20"/>
        </w:rPr>
        <w:t xml:space="preserve"> one limitation of </w:t>
      </w:r>
      <w:r w:rsidR="00604832">
        <w:rPr>
          <w:rFonts w:ascii="Arial" w:hAnsi="Arial" w:cs="Arial"/>
          <w:bCs/>
          <w:color w:val="000000"/>
          <w:sz w:val="20"/>
          <w:szCs w:val="20"/>
        </w:rPr>
        <w:t>Proxy</w:t>
      </w:r>
      <w:r w:rsidR="00604832" w:rsidRPr="00F47570">
        <w:rPr>
          <w:rFonts w:ascii="Arial" w:hAnsi="Arial" w:cs="Arial"/>
          <w:bCs/>
          <w:i/>
          <w:iCs/>
          <w:color w:val="000000"/>
          <w:sz w:val="20"/>
          <w:szCs w:val="20"/>
          <w:vertAlign w:val="subscript"/>
        </w:rPr>
        <w:t>OH</w:t>
      </w:r>
      <w:r>
        <w:rPr>
          <w:rFonts w:ascii="Arial" w:hAnsi="Arial" w:cs="Arial"/>
          <w:bCs/>
          <w:color w:val="000000"/>
          <w:sz w:val="20"/>
          <w:szCs w:val="20"/>
        </w:rPr>
        <w:t xml:space="preserve"> is that</w:t>
      </w:r>
      <w:r w:rsidR="008D7A0A">
        <w:rPr>
          <w:rFonts w:ascii="Arial" w:hAnsi="Arial" w:cs="Arial"/>
          <w:bCs/>
          <w:color w:val="000000"/>
          <w:sz w:val="20"/>
          <w:szCs w:val="20"/>
        </w:rPr>
        <w:t xml:space="preserve"> </w:t>
      </w:r>
      <w:r w:rsidR="00604832">
        <w:rPr>
          <w:rFonts w:ascii="Arial" w:hAnsi="Arial" w:cs="Arial"/>
          <w:bCs/>
          <w:color w:val="000000"/>
          <w:sz w:val="20"/>
          <w:szCs w:val="20"/>
        </w:rPr>
        <w:t>it</w:t>
      </w:r>
      <w:r w:rsidR="00450577">
        <w:rPr>
          <w:rFonts w:ascii="Arial" w:hAnsi="Arial" w:cs="Arial"/>
          <w:bCs/>
          <w:color w:val="000000"/>
          <w:sz w:val="20"/>
          <w:szCs w:val="20"/>
        </w:rPr>
        <w:t xml:space="preserve"> </w:t>
      </w:r>
      <w:r w:rsidR="000553E1">
        <w:rPr>
          <w:rFonts w:ascii="Arial" w:hAnsi="Arial" w:cs="Arial"/>
          <w:bCs/>
          <w:color w:val="000000"/>
          <w:sz w:val="20"/>
          <w:szCs w:val="20"/>
        </w:rPr>
        <w:t xml:space="preserve">does not </w:t>
      </w:r>
      <w:r w:rsidR="00EA3486">
        <w:rPr>
          <w:rFonts w:ascii="Arial" w:hAnsi="Arial" w:cs="Arial"/>
          <w:bCs/>
          <w:color w:val="000000"/>
          <w:sz w:val="20"/>
          <w:szCs w:val="20"/>
        </w:rPr>
        <w:t>represent</w:t>
      </w:r>
      <w:r w:rsidR="00450577">
        <w:rPr>
          <w:rFonts w:ascii="Arial" w:hAnsi="Arial" w:cs="Arial"/>
          <w:bCs/>
          <w:color w:val="000000"/>
          <w:sz w:val="20"/>
          <w:szCs w:val="20"/>
        </w:rPr>
        <w:t xml:space="preserve"> the </w:t>
      </w:r>
      <w:r w:rsidR="00EA3486">
        <w:rPr>
          <w:rFonts w:ascii="Arial" w:hAnsi="Arial" w:cs="Arial"/>
          <w:bCs/>
          <w:color w:val="000000"/>
          <w:sz w:val="20"/>
          <w:szCs w:val="20"/>
        </w:rPr>
        <w:t xml:space="preserve">exact ratio </w:t>
      </w:r>
      <w:r w:rsidR="00450577">
        <w:rPr>
          <w:rFonts w:ascii="Arial" w:hAnsi="Arial" w:cs="Arial"/>
          <w:bCs/>
          <w:color w:val="000000"/>
          <w:sz w:val="20"/>
          <w:szCs w:val="20"/>
        </w:rPr>
        <w:t xml:space="preserve">of OH production </w:t>
      </w:r>
      <w:r w:rsidR="00EA3486">
        <w:rPr>
          <w:rFonts w:ascii="Arial" w:hAnsi="Arial" w:cs="Arial"/>
          <w:bCs/>
          <w:color w:val="000000"/>
          <w:sz w:val="20"/>
          <w:szCs w:val="20"/>
        </w:rPr>
        <w:t>to</w:t>
      </w:r>
      <w:r w:rsidR="00450577">
        <w:rPr>
          <w:rFonts w:ascii="Arial" w:hAnsi="Arial" w:cs="Arial"/>
          <w:bCs/>
          <w:color w:val="000000"/>
          <w:sz w:val="20"/>
          <w:szCs w:val="20"/>
        </w:rPr>
        <w:t xml:space="preserve"> loss</w:t>
      </w:r>
      <w:r>
        <w:rPr>
          <w:rFonts w:ascii="Arial" w:hAnsi="Arial" w:cs="Arial"/>
          <w:bCs/>
          <w:color w:val="000000"/>
          <w:sz w:val="20"/>
          <w:szCs w:val="20"/>
        </w:rPr>
        <w:t>.</w:t>
      </w:r>
      <w:r w:rsidR="00604832">
        <w:rPr>
          <w:rFonts w:ascii="Arial" w:hAnsi="Arial" w:cs="Arial"/>
          <w:bCs/>
          <w:color w:val="000000"/>
          <w:sz w:val="20"/>
          <w:szCs w:val="20"/>
        </w:rPr>
        <w:t xml:space="preserve"> </w:t>
      </w:r>
      <w:r w:rsidR="004647E2">
        <w:rPr>
          <w:rFonts w:ascii="Arial" w:hAnsi="Arial" w:cs="Arial"/>
          <w:bCs/>
          <w:color w:val="000000"/>
          <w:sz w:val="20"/>
          <w:szCs w:val="20"/>
        </w:rPr>
        <w:t>However</w:t>
      </w:r>
      <w:r w:rsidR="0021232A">
        <w:rPr>
          <w:rFonts w:ascii="Arial" w:hAnsi="Arial" w:cs="Arial"/>
          <w:bCs/>
          <w:color w:val="000000"/>
          <w:sz w:val="20"/>
          <w:szCs w:val="20"/>
        </w:rPr>
        <w:t xml:space="preserve">, </w:t>
      </w:r>
      <w:r w:rsidR="00450577">
        <w:rPr>
          <w:rFonts w:ascii="Arial" w:hAnsi="Arial" w:cs="Arial"/>
          <w:bCs/>
          <w:color w:val="000000"/>
          <w:sz w:val="20"/>
          <w:szCs w:val="20"/>
        </w:rPr>
        <w:t xml:space="preserve">the </w:t>
      </w:r>
      <w:r w:rsidR="00EA3486">
        <w:rPr>
          <w:rFonts w:ascii="Arial" w:hAnsi="Arial" w:cs="Arial"/>
          <w:bCs/>
          <w:color w:val="000000"/>
          <w:sz w:val="20"/>
          <w:szCs w:val="20"/>
        </w:rPr>
        <w:t>tight fit of the regression between Proxy</w:t>
      </w:r>
      <w:r w:rsidR="00EA3486" w:rsidRPr="001B7313">
        <w:rPr>
          <w:rFonts w:ascii="Arial" w:hAnsi="Arial" w:cs="Arial"/>
          <w:bCs/>
          <w:i/>
          <w:iCs/>
          <w:color w:val="000000"/>
          <w:sz w:val="20"/>
          <w:szCs w:val="20"/>
          <w:vertAlign w:val="subscript"/>
        </w:rPr>
        <w:t>OH</w:t>
      </w:r>
      <w:r w:rsidR="00EA3486">
        <w:rPr>
          <w:rFonts w:ascii="Arial" w:hAnsi="Arial" w:cs="Arial"/>
          <w:bCs/>
          <w:color w:val="000000"/>
          <w:sz w:val="20"/>
          <w:szCs w:val="20"/>
        </w:rPr>
        <w:t xml:space="preserve"> and measured [OH] implies that the </w:t>
      </w:r>
      <w:r w:rsidR="00844FE3">
        <w:rPr>
          <w:rFonts w:ascii="Arial" w:hAnsi="Arial" w:cs="Arial"/>
          <w:bCs/>
          <w:color w:val="000000"/>
          <w:sz w:val="20"/>
          <w:szCs w:val="20"/>
        </w:rPr>
        <w:t>spatial distribution of slopes and intercepts</w:t>
      </w:r>
      <w:r w:rsidR="00450577">
        <w:rPr>
          <w:rFonts w:ascii="Arial" w:hAnsi="Arial" w:cs="Arial"/>
          <w:bCs/>
          <w:color w:val="000000"/>
          <w:sz w:val="20"/>
          <w:szCs w:val="20"/>
        </w:rPr>
        <w:t xml:space="preserve"> </w:t>
      </w:r>
      <w:r w:rsidR="00EA3486">
        <w:rPr>
          <w:rFonts w:ascii="Arial" w:hAnsi="Arial" w:cs="Arial"/>
          <w:bCs/>
          <w:color w:val="000000"/>
          <w:sz w:val="20"/>
          <w:szCs w:val="20"/>
        </w:rPr>
        <w:t>derived</w:t>
      </w:r>
      <w:r w:rsidR="00844FE3">
        <w:rPr>
          <w:rFonts w:ascii="Arial" w:hAnsi="Arial" w:cs="Arial"/>
          <w:bCs/>
          <w:color w:val="000000"/>
          <w:sz w:val="20"/>
          <w:szCs w:val="20"/>
        </w:rPr>
        <w:t xml:space="preserve"> here </w:t>
      </w:r>
      <w:r w:rsidR="0082493B">
        <w:rPr>
          <w:rFonts w:ascii="Arial" w:hAnsi="Arial" w:cs="Arial"/>
          <w:bCs/>
          <w:color w:val="000000"/>
          <w:sz w:val="20"/>
          <w:szCs w:val="20"/>
        </w:rPr>
        <w:t>can</w:t>
      </w:r>
      <w:r w:rsidR="00450577">
        <w:rPr>
          <w:rFonts w:ascii="Arial" w:hAnsi="Arial" w:cs="Arial"/>
          <w:bCs/>
          <w:color w:val="000000"/>
          <w:sz w:val="20"/>
          <w:szCs w:val="20"/>
        </w:rPr>
        <w:t xml:space="preserve"> be used to infer the </w:t>
      </w:r>
      <w:r w:rsidR="00844FE3">
        <w:rPr>
          <w:rFonts w:ascii="Arial" w:hAnsi="Arial" w:cs="Arial"/>
          <w:bCs/>
          <w:color w:val="000000"/>
          <w:sz w:val="20"/>
          <w:szCs w:val="20"/>
        </w:rPr>
        <w:t xml:space="preserve">total </w:t>
      </w:r>
      <w:r w:rsidR="00450577">
        <w:rPr>
          <w:rFonts w:ascii="Arial" w:hAnsi="Arial" w:cs="Arial"/>
          <w:bCs/>
          <w:color w:val="000000"/>
          <w:sz w:val="20"/>
          <w:szCs w:val="20"/>
        </w:rPr>
        <w:t xml:space="preserve">magnitude of [OH] </w:t>
      </w:r>
      <w:r w:rsidR="00844FE3">
        <w:rPr>
          <w:rFonts w:ascii="Arial" w:hAnsi="Arial" w:cs="Arial"/>
          <w:bCs/>
          <w:color w:val="000000"/>
          <w:sz w:val="20"/>
          <w:szCs w:val="20"/>
        </w:rPr>
        <w:t>over the remote marine troposphere</w:t>
      </w:r>
      <w:r w:rsidR="00100AE0">
        <w:rPr>
          <w:rFonts w:ascii="Arial" w:hAnsi="Arial" w:cs="Arial"/>
          <w:bCs/>
          <w:color w:val="000000"/>
          <w:sz w:val="20"/>
          <w:szCs w:val="20"/>
        </w:rPr>
        <w:t xml:space="preserve"> (further discussion of the spatial variations in regression parameters is available in Text S</w:t>
      </w:r>
      <w:r w:rsidR="00241980">
        <w:rPr>
          <w:rFonts w:ascii="Arial" w:hAnsi="Arial" w:cs="Arial"/>
          <w:bCs/>
          <w:color w:val="000000"/>
          <w:sz w:val="20"/>
          <w:szCs w:val="20"/>
        </w:rPr>
        <w:t>1</w:t>
      </w:r>
      <w:r w:rsidR="00100AE0">
        <w:rPr>
          <w:rFonts w:ascii="Arial" w:hAnsi="Arial" w:cs="Arial"/>
          <w:bCs/>
          <w:color w:val="000000"/>
          <w:sz w:val="20"/>
          <w:szCs w:val="20"/>
        </w:rPr>
        <w:t>)</w:t>
      </w:r>
      <w:r w:rsidR="00450577">
        <w:rPr>
          <w:rFonts w:ascii="Arial" w:hAnsi="Arial" w:cs="Arial"/>
          <w:bCs/>
          <w:color w:val="000000"/>
          <w:sz w:val="20"/>
          <w:szCs w:val="20"/>
        </w:rPr>
        <w:t xml:space="preserve">. </w:t>
      </w:r>
    </w:p>
    <w:bookmarkEnd w:id="14"/>
    <w:p w14:paraId="7265752D" w14:textId="625843BB" w:rsidR="00FE7FE5" w:rsidRDefault="00FE7FE5" w:rsidP="00980C22">
      <w:pPr>
        <w:keepNext/>
        <w:pBdr>
          <w:top w:val="nil"/>
          <w:left w:val="nil"/>
          <w:bottom w:val="nil"/>
          <w:right w:val="nil"/>
          <w:between w:val="nil"/>
        </w:pBdr>
        <w:spacing w:before="240" w:after="60"/>
        <w:contextualSpacing/>
        <w:jc w:val="both"/>
        <w:rPr>
          <w:rFonts w:ascii="Arial" w:hAnsi="Arial" w:cs="Arial"/>
          <w:color w:val="000000"/>
          <w:sz w:val="20"/>
          <w:szCs w:val="20"/>
        </w:rPr>
      </w:pPr>
    </w:p>
    <w:p w14:paraId="334F6EA8" w14:textId="759789B1" w:rsidR="007F380D" w:rsidRPr="007F380D" w:rsidRDefault="0035154D" w:rsidP="007F380D">
      <w:pPr>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color w:val="000000"/>
          <w:sz w:val="20"/>
          <w:szCs w:val="20"/>
        </w:rPr>
        <w:t>5</w:t>
      </w:r>
      <w:r w:rsidR="007F380D">
        <w:rPr>
          <w:rFonts w:ascii="Arial" w:hAnsi="Arial" w:cs="Arial"/>
          <w:b/>
          <w:color w:val="000000"/>
          <w:sz w:val="20"/>
          <w:szCs w:val="20"/>
        </w:rPr>
        <w:t xml:space="preserve">. </w:t>
      </w:r>
      <w:r w:rsidR="007F380D" w:rsidRPr="007F380D">
        <w:rPr>
          <w:rFonts w:ascii="Arial" w:hAnsi="Arial" w:cs="Arial"/>
          <w:b/>
          <w:color w:val="000000"/>
          <w:sz w:val="20"/>
          <w:szCs w:val="20"/>
        </w:rPr>
        <w:t xml:space="preserve">Decomposing the observation-based proxy to evaluate </w:t>
      </w:r>
      <w:r w:rsidR="000A3653">
        <w:rPr>
          <w:rFonts w:ascii="Arial" w:hAnsi="Arial" w:cs="Arial"/>
          <w:b/>
          <w:color w:val="000000"/>
          <w:sz w:val="20"/>
          <w:szCs w:val="20"/>
        </w:rPr>
        <w:t>the</w:t>
      </w:r>
      <w:r w:rsidR="000A3653" w:rsidRPr="007F380D">
        <w:rPr>
          <w:rFonts w:ascii="Arial" w:hAnsi="Arial" w:cs="Arial"/>
          <w:b/>
          <w:color w:val="000000"/>
          <w:sz w:val="20"/>
          <w:szCs w:val="20"/>
        </w:rPr>
        <w:t xml:space="preserve"> </w:t>
      </w:r>
      <w:r w:rsidR="007F380D" w:rsidRPr="007F380D">
        <w:rPr>
          <w:rFonts w:ascii="Arial" w:hAnsi="Arial" w:cs="Arial"/>
          <w:b/>
          <w:color w:val="000000"/>
          <w:sz w:val="20"/>
          <w:szCs w:val="20"/>
        </w:rPr>
        <w:t>sensitivity</w:t>
      </w:r>
      <w:r w:rsidR="000A3653">
        <w:rPr>
          <w:rFonts w:ascii="Arial" w:hAnsi="Arial" w:cs="Arial"/>
          <w:b/>
          <w:color w:val="000000"/>
          <w:sz w:val="20"/>
          <w:szCs w:val="20"/>
        </w:rPr>
        <w:t xml:space="preserve"> of OH variations</w:t>
      </w:r>
    </w:p>
    <w:p w14:paraId="6F2B4947" w14:textId="3AA913C1" w:rsidR="00FE7FE5" w:rsidRDefault="00FE7FE5" w:rsidP="00980C22">
      <w:pPr>
        <w:keepNext/>
        <w:pBdr>
          <w:top w:val="nil"/>
          <w:left w:val="nil"/>
          <w:bottom w:val="nil"/>
          <w:right w:val="nil"/>
          <w:between w:val="nil"/>
        </w:pBdr>
        <w:spacing w:before="240" w:after="60"/>
        <w:contextualSpacing/>
        <w:jc w:val="both"/>
        <w:rPr>
          <w:rFonts w:ascii="Arial" w:hAnsi="Arial" w:cs="Arial"/>
          <w:color w:val="000000"/>
          <w:sz w:val="20"/>
          <w:szCs w:val="20"/>
        </w:rPr>
      </w:pPr>
    </w:p>
    <w:p w14:paraId="74716F92" w14:textId="379C4382" w:rsidR="008B3B48"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15" w:name="_Hlk113635819"/>
      <w:r w:rsidRPr="007F380D">
        <w:rPr>
          <w:rFonts w:ascii="Arial" w:hAnsi="Arial" w:cs="Arial"/>
          <w:color w:val="000000"/>
          <w:sz w:val="20"/>
          <w:szCs w:val="20"/>
        </w:rPr>
        <w:t>We decompose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8B3B48">
        <w:rPr>
          <w:rFonts w:ascii="Arial" w:hAnsi="Arial" w:cs="Arial"/>
          <w:color w:val="000000"/>
          <w:sz w:val="20"/>
          <w:szCs w:val="20"/>
        </w:rPr>
        <w:t xml:space="preserve">across all ATom observations, by oceanic basin and </w:t>
      </w:r>
      <w:r w:rsidRPr="007F380D">
        <w:rPr>
          <w:rFonts w:ascii="Arial" w:hAnsi="Arial" w:cs="Arial"/>
          <w:color w:val="000000"/>
          <w:sz w:val="20"/>
          <w:szCs w:val="20"/>
        </w:rPr>
        <w:t xml:space="preserve">within each altitude-latitude bin as a first-order estimate of the chemical sensitivity </w:t>
      </w:r>
      <w:r w:rsidR="000A3653">
        <w:rPr>
          <w:rFonts w:ascii="Arial" w:hAnsi="Arial" w:cs="Arial"/>
          <w:color w:val="000000"/>
          <w:sz w:val="20"/>
          <w:szCs w:val="20"/>
        </w:rPr>
        <w:t xml:space="preserve">of OH variations </w:t>
      </w:r>
      <w:r w:rsidRPr="007F380D">
        <w:rPr>
          <w:rFonts w:ascii="Arial" w:hAnsi="Arial" w:cs="Arial"/>
          <w:color w:val="000000"/>
          <w:sz w:val="20"/>
          <w:szCs w:val="20"/>
        </w:rPr>
        <w:t xml:space="preserve">to individual species and chemical production or loss pathways. </w:t>
      </w:r>
      <w:bookmarkEnd w:id="15"/>
      <w:r w:rsidRPr="007F380D">
        <w:rPr>
          <w:rFonts w:ascii="Arial" w:hAnsi="Arial" w:cs="Arial"/>
          <w:color w:val="000000"/>
          <w:sz w:val="20"/>
          <w:szCs w:val="20"/>
        </w:rPr>
        <w:t>This decomposition is a major advantage relative to existing OH proxies</w:t>
      </w:r>
      <w:r w:rsidR="007840F7">
        <w:rPr>
          <w:rFonts w:ascii="Arial" w:hAnsi="Arial" w:cs="Arial"/>
          <w:color w:val="000000"/>
          <w:sz w:val="20"/>
          <w:szCs w:val="20"/>
        </w:rPr>
        <w:t xml:space="preserve"> because it enables inference of the relative importance of different processes in contributing to spatial OH variations</w:t>
      </w:r>
      <w:r w:rsidRPr="007F380D">
        <w:rPr>
          <w:rFonts w:ascii="Arial" w:hAnsi="Arial" w:cs="Arial"/>
          <w:color w:val="000000"/>
          <w:sz w:val="20"/>
          <w:szCs w:val="20"/>
        </w:rPr>
        <w:t>. Specifically, we construct sensitivity versions of the proxy in which we hold a single reaction rate (</w:t>
      </w:r>
      <w:r w:rsidRPr="007F380D">
        <w:rPr>
          <w:rFonts w:ascii="Arial" w:hAnsi="Arial" w:cs="Arial"/>
          <w:i/>
          <w:iCs/>
          <w:color w:val="000000"/>
          <w:sz w:val="20"/>
          <w:szCs w:val="20"/>
        </w:rPr>
        <w:t>e.g.</w:t>
      </w:r>
      <w:r w:rsidRPr="007F380D">
        <w:rPr>
          <w:rFonts w:ascii="Arial" w:hAnsi="Arial" w:cs="Arial"/>
          <w:color w:val="000000"/>
          <w:sz w:val="20"/>
          <w:szCs w:val="20"/>
        </w:rPr>
        <w:t>, O(</w:t>
      </w:r>
      <w:r w:rsidRPr="007F380D">
        <w:rPr>
          <w:rFonts w:ascii="Arial" w:hAnsi="Arial" w:cs="Arial"/>
          <w:color w:val="000000"/>
          <w:sz w:val="20"/>
          <w:szCs w:val="20"/>
          <w:vertAlign w:val="superscript"/>
        </w:rPr>
        <w:t>1</w:t>
      </w:r>
      <w:r w:rsidRPr="007F380D">
        <w:rPr>
          <w:rFonts w:ascii="Arial" w:hAnsi="Arial" w:cs="Arial"/>
          <w:color w:val="000000"/>
          <w:sz w:val="20"/>
          <w:szCs w:val="20"/>
        </w:rPr>
        <w:t>D) + H</w:t>
      </w:r>
      <w:r w:rsidRPr="007F380D">
        <w:rPr>
          <w:rFonts w:ascii="Arial" w:hAnsi="Arial" w:cs="Arial"/>
          <w:color w:val="000000"/>
          <w:sz w:val="20"/>
          <w:szCs w:val="20"/>
          <w:vertAlign w:val="subscript"/>
        </w:rPr>
        <w:t>2</w:t>
      </w:r>
      <w:r w:rsidRPr="007F380D">
        <w:rPr>
          <w:rFonts w:ascii="Arial" w:hAnsi="Arial" w:cs="Arial"/>
          <w:color w:val="000000"/>
          <w:sz w:val="20"/>
          <w:szCs w:val="20"/>
        </w:rPr>
        <w:t>O) or term (</w:t>
      </w:r>
      <w:r w:rsidRPr="007F380D">
        <w:rPr>
          <w:rFonts w:ascii="Arial" w:hAnsi="Arial" w:cs="Arial"/>
          <w:i/>
          <w:iCs/>
          <w:color w:val="000000"/>
          <w:sz w:val="20"/>
          <w:szCs w:val="20"/>
        </w:rPr>
        <w:t>e.g.</w:t>
      </w:r>
      <w:r w:rsidRPr="007F380D">
        <w:rPr>
          <w:rFonts w:ascii="Arial" w:hAnsi="Arial" w:cs="Arial"/>
          <w:color w:val="000000"/>
          <w:sz w:val="20"/>
          <w:szCs w:val="20"/>
        </w:rPr>
        <w:t>, NO or temperature, T) constant at its mean value per 2 km by 20° zonal bin, and then calculate the coefficient of determination (</w:t>
      </w:r>
      <w:r w:rsidRPr="007F380D">
        <w:rPr>
          <w:rFonts w:ascii="Arial" w:hAnsi="Arial" w:cs="Arial"/>
          <w:i/>
          <w:iCs/>
          <w:color w:val="000000"/>
          <w:sz w:val="20"/>
          <w:szCs w:val="20"/>
        </w:rPr>
        <w:t>r</w:t>
      </w:r>
      <w:r w:rsidRPr="007F380D">
        <w:rPr>
          <w:rFonts w:ascii="Arial" w:hAnsi="Arial" w:cs="Arial"/>
          <w:color w:val="000000"/>
          <w:sz w:val="20"/>
          <w:szCs w:val="20"/>
          <w:vertAlign w:val="superscript"/>
        </w:rPr>
        <w:t>2</w:t>
      </w:r>
      <w:r w:rsidRPr="007F380D">
        <w:rPr>
          <w:rFonts w:ascii="Arial" w:hAnsi="Arial" w:cs="Arial"/>
          <w:color w:val="000000"/>
          <w:sz w:val="20"/>
          <w:szCs w:val="20"/>
        </w:rPr>
        <w:t>) between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and each sensitivity version to assess the change in fit (1 – </w:t>
      </w:r>
      <w:r w:rsidRPr="007F380D">
        <w:rPr>
          <w:rFonts w:ascii="Arial" w:hAnsi="Arial" w:cs="Arial"/>
          <w:i/>
          <w:iCs/>
          <w:color w:val="000000"/>
          <w:sz w:val="20"/>
          <w:szCs w:val="20"/>
        </w:rPr>
        <w:t>r</w:t>
      </w:r>
      <w:r w:rsidRPr="007F380D">
        <w:rPr>
          <w:rFonts w:ascii="Arial" w:hAnsi="Arial" w:cs="Arial"/>
          <w:color w:val="000000"/>
          <w:sz w:val="20"/>
          <w:szCs w:val="20"/>
          <w:vertAlign w:val="superscript"/>
        </w:rPr>
        <w:t>2</w:t>
      </w:r>
      <w:r w:rsidRPr="007F380D">
        <w:rPr>
          <w:rFonts w:ascii="Arial" w:hAnsi="Arial" w:cs="Arial"/>
          <w:color w:val="000000"/>
          <w:sz w:val="20"/>
          <w:szCs w:val="20"/>
        </w:rPr>
        <w:t>). This simple approach assumes a linear relationship between each term or rate and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Because it neglects higher order chemical processes that may lead to non-linear responses, the contributions summed across variables may not add to 100%. In addition, some of the drivers (</w:t>
      </w:r>
      <w:r w:rsidRPr="002B1F48">
        <w:rPr>
          <w:rFonts w:ascii="Arial" w:hAnsi="Arial" w:cs="Arial"/>
          <w:i/>
          <w:iCs/>
          <w:color w:val="000000"/>
          <w:sz w:val="20"/>
          <w:szCs w:val="20"/>
        </w:rPr>
        <w:t>e.g.</w:t>
      </w:r>
      <w:r w:rsidRPr="007F380D">
        <w:rPr>
          <w:rFonts w:ascii="Arial" w:hAnsi="Arial" w:cs="Arial"/>
          <w:color w:val="000000"/>
          <w:sz w:val="20"/>
          <w:szCs w:val="20"/>
        </w:rPr>
        <w:t xml:space="preserve">, NO and ozone) may be correlated. Below we display the influence of rates or terms as their contribution to the total proxy fit (1 – </w:t>
      </w:r>
      <w:r w:rsidRPr="007F380D">
        <w:rPr>
          <w:rFonts w:ascii="Arial" w:hAnsi="Arial" w:cs="Arial"/>
          <w:i/>
          <w:iCs/>
          <w:color w:val="000000"/>
          <w:sz w:val="20"/>
          <w:szCs w:val="20"/>
        </w:rPr>
        <w:t>r</w:t>
      </w:r>
      <w:r w:rsidRPr="007F380D">
        <w:rPr>
          <w:rFonts w:ascii="Arial" w:hAnsi="Arial" w:cs="Arial"/>
          <w:color w:val="000000"/>
          <w:sz w:val="20"/>
          <w:szCs w:val="20"/>
          <w:vertAlign w:val="superscript"/>
        </w:rPr>
        <w:t>2</w:t>
      </w:r>
      <w:r w:rsidRPr="007F380D">
        <w:rPr>
          <w:rFonts w:ascii="Arial" w:hAnsi="Arial" w:cs="Arial"/>
          <w:color w:val="000000"/>
          <w:sz w:val="20"/>
          <w:szCs w:val="20"/>
        </w:rPr>
        <w:t xml:space="preserve">), such that 1 – </w:t>
      </w:r>
      <w:r w:rsidRPr="007F380D">
        <w:rPr>
          <w:rFonts w:ascii="Arial" w:hAnsi="Arial" w:cs="Arial"/>
          <w:i/>
          <w:iCs/>
          <w:color w:val="000000"/>
          <w:sz w:val="20"/>
          <w:szCs w:val="20"/>
        </w:rPr>
        <w:t>r</w:t>
      </w:r>
      <w:r w:rsidRPr="007F380D">
        <w:rPr>
          <w:rFonts w:ascii="Arial" w:hAnsi="Arial" w:cs="Arial"/>
          <w:color w:val="000000"/>
          <w:sz w:val="20"/>
          <w:szCs w:val="20"/>
          <w:vertAlign w:val="superscript"/>
        </w:rPr>
        <w:t>2</w:t>
      </w:r>
      <w:r w:rsidRPr="007F380D">
        <w:rPr>
          <w:rFonts w:ascii="Arial" w:hAnsi="Arial" w:cs="Arial"/>
          <w:color w:val="000000"/>
          <w:sz w:val="20"/>
          <w:szCs w:val="20"/>
        </w:rPr>
        <w:t xml:space="preserve"> approaching 1 indicates a rate or term with a strong influence on [OH] </w:t>
      </w:r>
      <w:r w:rsidR="009E3FDB">
        <w:rPr>
          <w:rFonts w:ascii="Arial" w:hAnsi="Arial" w:cs="Arial"/>
          <w:color w:val="000000"/>
          <w:sz w:val="20"/>
          <w:szCs w:val="20"/>
        </w:rPr>
        <w:t>variations</w:t>
      </w:r>
      <w:r w:rsidRPr="007F380D">
        <w:rPr>
          <w:rFonts w:ascii="Arial" w:hAnsi="Arial" w:cs="Arial"/>
          <w:color w:val="000000"/>
          <w:sz w:val="20"/>
          <w:szCs w:val="20"/>
        </w:rPr>
        <w:t xml:space="preserve">. </w:t>
      </w:r>
    </w:p>
    <w:p w14:paraId="0367ADB5" w14:textId="4A314D5E" w:rsidR="007F380D" w:rsidRDefault="007F380D" w:rsidP="00980C22">
      <w:pPr>
        <w:keepNext/>
        <w:pBdr>
          <w:top w:val="nil"/>
          <w:left w:val="nil"/>
          <w:bottom w:val="nil"/>
          <w:right w:val="nil"/>
          <w:between w:val="nil"/>
        </w:pBdr>
        <w:spacing w:before="240" w:after="60"/>
        <w:contextualSpacing/>
        <w:jc w:val="both"/>
        <w:rPr>
          <w:rFonts w:ascii="Arial" w:hAnsi="Arial" w:cs="Arial"/>
          <w:color w:val="000000"/>
          <w:sz w:val="20"/>
          <w:szCs w:val="20"/>
        </w:rPr>
      </w:pPr>
    </w:p>
    <w:p w14:paraId="131656B2" w14:textId="26026847" w:rsidR="008B3B48"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16" w:name="_Toc77844573"/>
      <w:r w:rsidRPr="007F380D">
        <w:rPr>
          <w:rFonts w:ascii="Arial" w:hAnsi="Arial" w:cs="Arial"/>
          <w:color w:val="000000"/>
          <w:sz w:val="20"/>
          <w:szCs w:val="20"/>
        </w:rPr>
        <w:t xml:space="preserve">We </w:t>
      </w:r>
      <w:r w:rsidR="009E3FDB">
        <w:rPr>
          <w:rFonts w:ascii="Arial" w:hAnsi="Arial" w:cs="Arial"/>
          <w:color w:val="000000"/>
          <w:sz w:val="20"/>
          <w:szCs w:val="20"/>
        </w:rPr>
        <w:t xml:space="preserve">first </w:t>
      </w:r>
      <w:r w:rsidR="008B3B48">
        <w:rPr>
          <w:rFonts w:ascii="Arial" w:hAnsi="Arial" w:cs="Arial"/>
          <w:color w:val="000000"/>
          <w:sz w:val="20"/>
          <w:szCs w:val="20"/>
        </w:rPr>
        <w:t xml:space="preserve">evaluate </w:t>
      </w:r>
      <w:r w:rsidRPr="007F380D">
        <w:rPr>
          <w:rFonts w:ascii="Arial" w:hAnsi="Arial" w:cs="Arial"/>
          <w:color w:val="000000"/>
          <w:sz w:val="20"/>
          <w:szCs w:val="20"/>
        </w:rPr>
        <w:t xml:space="preserve">the </w:t>
      </w:r>
      <w:r w:rsidR="008B3B48">
        <w:rPr>
          <w:rFonts w:ascii="Arial" w:hAnsi="Arial" w:cs="Arial"/>
          <w:color w:val="000000"/>
          <w:sz w:val="20"/>
          <w:szCs w:val="20"/>
        </w:rPr>
        <w:t>role of</w:t>
      </w:r>
      <w:r w:rsidRPr="007F380D">
        <w:rPr>
          <w:rFonts w:ascii="Arial" w:hAnsi="Arial" w:cs="Arial"/>
          <w:color w:val="000000"/>
          <w:sz w:val="20"/>
          <w:szCs w:val="20"/>
        </w:rPr>
        <w:t xml:space="preserve"> individual term</w:t>
      </w:r>
      <w:r w:rsidR="00BE7158">
        <w:rPr>
          <w:rFonts w:ascii="Arial" w:hAnsi="Arial" w:cs="Arial"/>
          <w:color w:val="000000"/>
          <w:sz w:val="20"/>
          <w:szCs w:val="20"/>
        </w:rPr>
        <w:t>s</w:t>
      </w:r>
      <w:r w:rsidRPr="007F380D">
        <w:rPr>
          <w:rFonts w:ascii="Arial" w:hAnsi="Arial" w:cs="Arial"/>
          <w:color w:val="000000"/>
          <w:sz w:val="20"/>
          <w:szCs w:val="20"/>
        </w:rPr>
        <w:t xml:space="preserve"> composing Proxy</w:t>
      </w:r>
      <w:r w:rsidRPr="007F380D">
        <w:rPr>
          <w:rFonts w:ascii="Arial" w:hAnsi="Arial" w:cs="Arial"/>
          <w:i/>
          <w:iCs/>
          <w:color w:val="000000"/>
          <w:sz w:val="20"/>
          <w:szCs w:val="20"/>
          <w:vertAlign w:val="subscript"/>
        </w:rPr>
        <w:t>OH</w:t>
      </w:r>
      <w:r w:rsidR="008B3B48">
        <w:rPr>
          <w:rFonts w:ascii="Arial" w:hAnsi="Arial" w:cs="Arial"/>
          <w:color w:val="000000"/>
          <w:sz w:val="20"/>
          <w:szCs w:val="20"/>
        </w:rPr>
        <w:t xml:space="preserve"> in </w:t>
      </w:r>
      <w:r w:rsidR="00BE7158">
        <w:rPr>
          <w:rFonts w:ascii="Arial" w:hAnsi="Arial" w:cs="Arial"/>
          <w:color w:val="000000"/>
          <w:sz w:val="20"/>
          <w:szCs w:val="20"/>
        </w:rPr>
        <w:t xml:space="preserve">each of </w:t>
      </w:r>
      <w:r w:rsidR="008B3B48">
        <w:rPr>
          <w:rFonts w:ascii="Arial" w:hAnsi="Arial" w:cs="Arial"/>
          <w:color w:val="000000"/>
          <w:sz w:val="20"/>
          <w:szCs w:val="20"/>
        </w:rPr>
        <w:t xml:space="preserve">the </w:t>
      </w:r>
      <w:r w:rsidR="002C2A73">
        <w:rPr>
          <w:rFonts w:ascii="Arial" w:hAnsi="Arial" w:cs="Arial"/>
          <w:color w:val="000000"/>
          <w:sz w:val="20"/>
          <w:szCs w:val="20"/>
        </w:rPr>
        <w:t>2 km altitude by 20° latitude</w:t>
      </w:r>
      <w:r w:rsidR="00552C68">
        <w:rPr>
          <w:rFonts w:ascii="Arial" w:hAnsi="Arial" w:cs="Arial"/>
          <w:color w:val="000000"/>
          <w:sz w:val="20"/>
          <w:szCs w:val="20"/>
        </w:rPr>
        <w:t xml:space="preserve"> </w:t>
      </w:r>
      <w:r w:rsidR="00BE7158">
        <w:rPr>
          <w:rFonts w:ascii="Arial" w:hAnsi="Arial" w:cs="Arial"/>
          <w:color w:val="000000"/>
          <w:sz w:val="20"/>
          <w:szCs w:val="20"/>
        </w:rPr>
        <w:t>subsets of the</w:t>
      </w:r>
      <w:r w:rsidR="009E3FDB">
        <w:rPr>
          <w:rFonts w:ascii="Arial" w:hAnsi="Arial" w:cs="Arial"/>
          <w:color w:val="000000"/>
          <w:sz w:val="20"/>
          <w:szCs w:val="20"/>
        </w:rPr>
        <w:t xml:space="preserve"> </w:t>
      </w:r>
      <w:r w:rsidR="008B3B48">
        <w:rPr>
          <w:rFonts w:ascii="Arial" w:hAnsi="Arial" w:cs="Arial"/>
          <w:color w:val="000000"/>
          <w:sz w:val="20"/>
          <w:szCs w:val="20"/>
        </w:rPr>
        <w:t>ATom observations</w:t>
      </w:r>
      <w:r w:rsidRPr="007F380D">
        <w:rPr>
          <w:rFonts w:ascii="Arial" w:hAnsi="Arial" w:cs="Arial"/>
          <w:color w:val="000000"/>
          <w:sz w:val="20"/>
          <w:szCs w:val="20"/>
        </w:rPr>
        <w:t xml:space="preserve">. </w:t>
      </w:r>
      <w:bookmarkEnd w:id="16"/>
      <w:r w:rsidRPr="007F380D">
        <w:rPr>
          <w:rFonts w:ascii="Arial" w:hAnsi="Arial" w:cs="Arial"/>
          <w:color w:val="000000"/>
          <w:sz w:val="20"/>
          <w:szCs w:val="20"/>
        </w:rPr>
        <w:t>We find that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dominates most of the ATom-observed </w:t>
      </w:r>
      <w:r w:rsidR="00893850">
        <w:rPr>
          <w:rFonts w:ascii="Arial" w:hAnsi="Arial" w:cs="Arial"/>
          <w:color w:val="000000"/>
          <w:sz w:val="20"/>
          <w:szCs w:val="20"/>
        </w:rPr>
        <w:t>P</w:t>
      </w:r>
      <w:r w:rsidRPr="007F380D">
        <w:rPr>
          <w:rFonts w:ascii="Arial" w:hAnsi="Arial" w:cs="Arial"/>
          <w:color w:val="000000"/>
          <w:sz w:val="20"/>
          <w:szCs w:val="20"/>
        </w:rPr>
        <w:t>roxy</w:t>
      </w:r>
      <w:r w:rsidR="00893850" w:rsidRPr="001C08EE">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9E3FDB">
        <w:rPr>
          <w:rFonts w:ascii="Arial" w:hAnsi="Arial" w:cs="Arial"/>
          <w:color w:val="000000"/>
          <w:sz w:val="20"/>
          <w:szCs w:val="20"/>
        </w:rPr>
        <w:t>variations</w:t>
      </w:r>
      <w:r w:rsidRPr="007F380D">
        <w:rPr>
          <w:rFonts w:ascii="Arial" w:hAnsi="Arial" w:cs="Arial"/>
          <w:color w:val="000000"/>
          <w:sz w:val="20"/>
          <w:szCs w:val="20"/>
        </w:rPr>
        <w:t xml:space="preserve"> (Figure </w:t>
      </w:r>
      <w:r w:rsidR="00243720">
        <w:rPr>
          <w:rFonts w:ascii="Arial" w:hAnsi="Arial" w:cs="Arial"/>
          <w:color w:val="000000"/>
          <w:sz w:val="20"/>
          <w:szCs w:val="20"/>
        </w:rPr>
        <w:t>3</w:t>
      </w:r>
      <w:r w:rsidRPr="007F380D">
        <w:rPr>
          <w:rFonts w:ascii="Arial" w:hAnsi="Arial" w:cs="Arial"/>
          <w:color w:val="000000"/>
          <w:sz w:val="20"/>
          <w:szCs w:val="20"/>
        </w:rPr>
        <w:t xml:space="preserve">a), especially in the mid-troposphere. </w:t>
      </w:r>
      <w:r w:rsidR="0092631D">
        <w:rPr>
          <w:rFonts w:ascii="Arial" w:hAnsi="Arial" w:cs="Arial"/>
          <w:color w:val="000000"/>
          <w:sz w:val="20"/>
          <w:szCs w:val="20"/>
        </w:rPr>
        <w:t>This result is also robust when considering all ATom observations together or when subset</w:t>
      </w:r>
      <w:r w:rsidR="00BE7158">
        <w:rPr>
          <w:rFonts w:ascii="Arial" w:hAnsi="Arial" w:cs="Arial"/>
          <w:color w:val="000000"/>
          <w:sz w:val="20"/>
          <w:szCs w:val="20"/>
        </w:rPr>
        <w:t>ting</w:t>
      </w:r>
      <w:r w:rsidR="0092631D">
        <w:rPr>
          <w:rFonts w:ascii="Arial" w:hAnsi="Arial" w:cs="Arial"/>
          <w:color w:val="000000"/>
          <w:sz w:val="20"/>
          <w:szCs w:val="20"/>
        </w:rPr>
        <w:t xml:space="preserve"> by oceanic basin (Table S</w:t>
      </w:r>
      <w:r w:rsidR="00B201B5">
        <w:rPr>
          <w:rFonts w:ascii="Arial" w:hAnsi="Arial" w:cs="Arial"/>
          <w:color w:val="000000"/>
          <w:sz w:val="20"/>
          <w:szCs w:val="20"/>
        </w:rPr>
        <w:t>4</w:t>
      </w:r>
      <w:r w:rsidR="0092631D">
        <w:rPr>
          <w:rFonts w:ascii="Arial" w:hAnsi="Arial" w:cs="Arial"/>
          <w:color w:val="000000"/>
          <w:sz w:val="20"/>
          <w:szCs w:val="20"/>
        </w:rPr>
        <w:t xml:space="preserve">). </w:t>
      </w:r>
      <w:r w:rsidR="00BF2FEC">
        <w:rPr>
          <w:rFonts w:ascii="Arial" w:hAnsi="Arial" w:cs="Arial"/>
          <w:color w:val="000000"/>
          <w:sz w:val="20"/>
          <w:szCs w:val="20"/>
        </w:rPr>
        <w:t>Controls on proxy variations over either oceanic basin are shown in Figure S1</w:t>
      </w:r>
      <w:r w:rsidR="0035154D">
        <w:rPr>
          <w:rFonts w:ascii="Arial" w:hAnsi="Arial" w:cs="Arial"/>
          <w:color w:val="000000"/>
          <w:sz w:val="20"/>
          <w:szCs w:val="20"/>
        </w:rPr>
        <w:t>0</w:t>
      </w:r>
      <w:r w:rsidR="00BF2FEC">
        <w:rPr>
          <w:rFonts w:ascii="Arial" w:hAnsi="Arial" w:cs="Arial"/>
          <w:color w:val="000000"/>
          <w:sz w:val="20"/>
          <w:szCs w:val="20"/>
        </w:rPr>
        <w:t xml:space="preserve">. </w:t>
      </w:r>
      <w:r w:rsidR="008B3B48" w:rsidRPr="007F380D">
        <w:rPr>
          <w:rFonts w:ascii="Arial" w:hAnsi="Arial" w:cs="Arial"/>
          <w:color w:val="000000"/>
          <w:sz w:val="20"/>
          <w:szCs w:val="20"/>
        </w:rPr>
        <w:t xml:space="preserve">Our observation-based analysis affirms that, consistent with previous model-based analyses of the remote troposphere </w:t>
      </w:r>
      <w:r w:rsidR="008B3B48"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{"citationID":"unpmzhIb","properties":{"formattedCitation":"(37, 38)","plainCitation":"(37, 38)","noteIndex":0},"citationItems":[{"id":492,"uris":["http://zotero.org/users/9309103/items/3TCE49KL"],"itemData":{"id":492,"type":"article-journal","abstract":"The self-cleaning or oxidation capacity of the atmosphere is principally controlled by hydroxyl (OH) radicals in the troposphere. Hydroxyl has primary (P ) and secondary (S) sources, the former mainly through the photodissociation of ozone, the latter through OH recycling in radical reaction chains. We used the recent Mainz Organics Mechanism (MOM) to advance volatile organic carbon (VOC) chemistry in the general circulation model EMAC (ECHAM/MESSy Atmospheric Chemistry) and show that S is larger than previously assumed. By including emissions of a large number of primary VOC, and accounting for their complete breakdown and intermediate products, MOM is mass-conserving and calculates substantially higher OH reactivity from VOC oxidation compared to predecessor models. Whereas previously P and S were found to be of similar magnitude, the present work indicates that S may be twice as large, mostly due to OH recycling in the free troposphere. Further, we ﬁnd that nighttime OH formation may be signiﬁcant in the polluted subtropical boundary layer in summer. With a mean OH recycling probability of about 67 %, global OH is buffered and not sensitive to perturbations by natural or anthropogenic emission changes. Complementary primary and secondary OH formation mechanisms in pristine and polluted environments in the continental and marine troposphere, connected through long-range transport of O3, can maintain stable global OH levels.","container-title":"Atmospheric Chemistry and Physics","DOI":"10.5194/acp-16-12477-2016","ISSN":"1680-7324","issue":"19","journalAbbreviation":"Atmos. Chem. Phys.","language":"en","page":"12477-12493","source":"DOI.org (Crossref)","title":"Global tropospheric hydroxyl distribution, budget and reactivity","volume":"16","author":[{"family":"Lelieveld","given":"Jos"},{"family":"Gromov","given":"Sergey"},{"family":"Pozzer","given":"Andrea"},{"family":"Taraborrelli","given":"Domenico"}],"issued":{"date-parts":[["2016",10,5]]}}},{"id":475,"uris":["http://zotero.org/users/9309103/items/INSUM9MZ"],"itemData":{"id":475,"type":"article-journal","container-title":"Journal of Geophysical Research: Atmospheres","DOI":"10.1029/1999JD901006","ISSN":"01480227","issue":"D7","journalAbbreviation":"J. Geophys. Res.","language":"en","page":"8931-8980","source":"DOI.org (Crossref)","title":"Three-dimensional climatological distribution of tropospheric OH: Update and evaluation","title-short":"Three-dimensional climatological distribution of tropospheric OH","volume":"105","author":[{"family":"Spivakovsky","given":"C. M."},{"family":"Logan","given":"J. A."},{"family":"Montzka","given":"S. A."},{"family":"Balkanski","given":"Y. J."},{"family":"Foreman-Fowler","given":"M."},{"family":"Jones","given":"D. B. A."},{"family":"Horowitz","given":"L. W."},{"family":"Fusco","given":"A. C."},{"family":"Brenninkmeijer","given":"C. A. M."},{"family":"Prather","given":"M. J."},{"family":"Wofsy","given":"S. C."},{"family":"McElroy","given":"M. B."}],"issued":{"date-parts":[["2000",4,16]]}}}],"schema":"https://github.com/citation-style-language/schema/raw/master/csl-citation.json"} </w:instrText>
      </w:r>
      <w:r w:rsidR="008B3B48" w:rsidRPr="007F380D">
        <w:rPr>
          <w:rFonts w:ascii="Arial" w:hAnsi="Arial" w:cs="Arial"/>
          <w:color w:val="000000"/>
          <w:sz w:val="20"/>
          <w:szCs w:val="20"/>
        </w:rPr>
        <w:fldChar w:fldCharType="separate"/>
      </w:r>
      <w:r w:rsidR="00CC64F9" w:rsidRPr="00CC64F9">
        <w:rPr>
          <w:rFonts w:ascii="Arial" w:hAnsi="Arial" w:cs="Arial"/>
          <w:sz w:val="20"/>
        </w:rPr>
        <w:t>(37, 38)</w:t>
      </w:r>
      <w:r w:rsidR="008B3B48" w:rsidRPr="007F380D">
        <w:rPr>
          <w:rFonts w:ascii="Arial" w:hAnsi="Arial" w:cs="Arial"/>
          <w:color w:val="000000"/>
          <w:sz w:val="20"/>
          <w:szCs w:val="20"/>
        </w:rPr>
        <w:fldChar w:fldCharType="end"/>
      </w:r>
      <w:r w:rsidR="008B3B48" w:rsidRPr="007F380D">
        <w:rPr>
          <w:rFonts w:ascii="Arial" w:hAnsi="Arial" w:cs="Arial"/>
          <w:color w:val="000000"/>
          <w:sz w:val="20"/>
          <w:szCs w:val="20"/>
        </w:rPr>
        <w:t>, O(</w:t>
      </w:r>
      <w:r w:rsidR="008B3B48" w:rsidRPr="007F380D">
        <w:rPr>
          <w:rFonts w:ascii="Arial" w:hAnsi="Arial" w:cs="Arial"/>
          <w:color w:val="000000"/>
          <w:sz w:val="20"/>
          <w:szCs w:val="20"/>
          <w:vertAlign w:val="superscript"/>
        </w:rPr>
        <w:t>1</w:t>
      </w:r>
      <w:r w:rsidR="008B3B48" w:rsidRPr="007F380D">
        <w:rPr>
          <w:rFonts w:ascii="Arial" w:hAnsi="Arial" w:cs="Arial"/>
          <w:color w:val="000000"/>
          <w:sz w:val="20"/>
          <w:szCs w:val="20"/>
        </w:rPr>
        <w:t>D) + H</w:t>
      </w:r>
      <w:r w:rsidR="008B3B48" w:rsidRPr="007F380D">
        <w:rPr>
          <w:rFonts w:ascii="Arial" w:hAnsi="Arial" w:cs="Arial"/>
          <w:color w:val="000000"/>
          <w:sz w:val="20"/>
          <w:szCs w:val="20"/>
          <w:vertAlign w:val="subscript"/>
        </w:rPr>
        <w:t>2</w:t>
      </w:r>
      <w:r w:rsidR="008B3B48" w:rsidRPr="007F380D">
        <w:rPr>
          <w:rFonts w:ascii="Arial" w:hAnsi="Arial" w:cs="Arial"/>
          <w:color w:val="000000"/>
          <w:sz w:val="20"/>
          <w:szCs w:val="20"/>
        </w:rPr>
        <w:t>O is most influential throughout much of the free troposphere, while HO</w:t>
      </w:r>
      <w:r w:rsidR="008B3B48" w:rsidRPr="007F380D">
        <w:rPr>
          <w:rFonts w:ascii="Arial" w:hAnsi="Arial" w:cs="Arial"/>
          <w:color w:val="000000"/>
          <w:sz w:val="20"/>
          <w:szCs w:val="20"/>
          <w:vertAlign w:val="subscript"/>
        </w:rPr>
        <w:t>2</w:t>
      </w:r>
      <w:r w:rsidR="008B3B48" w:rsidRPr="007F380D">
        <w:rPr>
          <w:rFonts w:ascii="Arial" w:hAnsi="Arial" w:cs="Arial"/>
          <w:color w:val="000000"/>
          <w:sz w:val="20"/>
          <w:szCs w:val="20"/>
        </w:rPr>
        <w:t xml:space="preserve"> + NO dominates in the upper troposphere and sometimes in the more polluted lower troposphere.</w:t>
      </w:r>
      <w:r w:rsidR="008B3B48">
        <w:rPr>
          <w:rFonts w:ascii="Arial" w:hAnsi="Arial" w:cs="Arial"/>
          <w:color w:val="000000"/>
          <w:sz w:val="20"/>
          <w:szCs w:val="20"/>
        </w:rPr>
        <w:t xml:space="preserve"> In addition, o</w:t>
      </w:r>
      <w:r w:rsidRPr="007F380D">
        <w:rPr>
          <w:rFonts w:ascii="Arial" w:hAnsi="Arial" w:cs="Arial"/>
          <w:color w:val="000000"/>
          <w:sz w:val="20"/>
          <w:szCs w:val="20"/>
        </w:rPr>
        <w:t xml:space="preserve">ur </w:t>
      </w:r>
      <w:r w:rsidR="008B3B48">
        <w:rPr>
          <w:rFonts w:ascii="Arial" w:hAnsi="Arial" w:cs="Arial"/>
          <w:color w:val="000000"/>
          <w:sz w:val="20"/>
          <w:szCs w:val="20"/>
        </w:rPr>
        <w:t xml:space="preserve">results </w:t>
      </w:r>
      <w:r w:rsidRPr="007F380D">
        <w:rPr>
          <w:rFonts w:ascii="Arial" w:hAnsi="Arial" w:cs="Arial"/>
          <w:color w:val="000000"/>
          <w:sz w:val="20"/>
          <w:szCs w:val="20"/>
        </w:rPr>
        <w:t>are consistent with earlier work showing that several models constrained with ATom chemical observations attribute much of the difference in inter-model OH distributions to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discrepancies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{"citationID":"JQV4HeQu","properties":{"formattedCitation":"(27)","plainCitation":"(27)","noteIndex":0},"citationItems":[{"id":441,"uris":["http://zotero.org/users/9309103/items/9Y3LJGW3"],"itemData":{"id":441,"type":"article-journal","abstract":"Abstract. We develop a new protocol for merging in situ measurements with 3-D model\nsimulations of atmospheric chemistry with the goal of integrating these\ndata to identify the most reactive air parcels in terms of tropospheric\nproduction and loss of the greenhouse gases ozone and methane. Presupposing\nthat we can accurately measure atmospheric composition, we examine whether\nmodels constrained by such measurements agree on the chemical budgets for\nozone and methane. In applying our technique to a synthetic data stream of\n14 880 parcels along 180</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 W, we are able to isolate the performance of the\nphotochemical modules operating within their global chemistry-climate and\nchemistry-transport models, removing the effects of modules controlling\ntracer transport, emissions, and scavenging. Differences in reactivity across\nmodels are driven only by the chemical mechanism and the diurnal cycle of\nphotolysis rates, which are driven in turn by temperature, water vapor, solar\nzenith angle, clouds, and possibly aerosols and overhead ozone, which are\ncalculated in each model. We evaluate six global models and identify their\ndifferences and similarities in simulating the chemistry through a range of\ninnovative diagnostics. All models agree that the more highly reactive\nparcels dominate the chemistry (e.g., the hottest 10 % of parcels control\n25–30 % of the total reactivities), but do not fully agree on which parcels\ncomprise the top 10 %. Distinct differences in specific features occur,\nincluding the spatial regions of maximum ozone production and methane loss,\nas well as in the relationship between photolysis and these reactivities.\nUnique, possibly aberrant, features are identified for each model, providing\na benchmark for photochemical module development. Among the six models tested\nhere, three are almost indistinguishable based on the inherent variability caused\nby clouds, and thus we identify four, effectively distinct, chemical models.\nBased on this work, we suggest that water vapor differences in model\nsimulations of past and future atmospheres may be a cause of the different\nevolution of tropospheric O3 and CH4, and lead to different\nchemistry-climate feedbacks across the models.","container-title":"Atmospheric Measurement Techniques","DOI":"10.5194/amt-11-2653-2018","ISSN":"1867-8548","issue":"5","journalAbbreviation":"Atmos. Meas. Tech.","language":"en","page":"2653-2668","source":"DOI.org (Crossref)","title":"How well can global chemistry models calculate the reactivity of short-lived greenhouse gases in the remote troposphere, knowing the chemical composition","volume":"11","author":[{"family":"Prather","given":"Michael J."},{"family":"Flynn","given":"Clare M."},{"family":"Zhu","given":"Xin"},{"family":"Steenrod","given":"Stephen D."},{"family":"Strode","given":"Sarah A."},{"family":"Fiore","given":"Arlene M."},{"family":"Correa","given":"Gustavo"},{"family":"Murray","given":"Lee T."},{"family":"Lamarque","given":"Jean-Francois"}],"issued":{"date-parts":[["2018",5,7]]}}}],"schema":"https://github.com/citation-style-language/schema/raw/master/csl-citation.json"}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(27)</w:t>
      </w:r>
      <w:r w:rsidRPr="007F380D">
        <w:rPr>
          <w:rFonts w:ascii="Arial" w:hAnsi="Arial" w:cs="Arial"/>
          <w:color w:val="000000"/>
          <w:sz w:val="20"/>
          <w:szCs w:val="20"/>
        </w:rPr>
        <w:fldChar w:fldCharType="end"/>
      </w:r>
      <w:r w:rsidRPr="007F380D">
        <w:rPr>
          <w:rFonts w:ascii="Arial" w:hAnsi="Arial" w:cs="Arial"/>
          <w:color w:val="000000"/>
          <w:sz w:val="20"/>
          <w:szCs w:val="20"/>
        </w:rPr>
        <w:t>. Further, climate model intercomparisons demonstrate biases in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of ± 10% in the lower troposphere that increase to as much as ± 100% in the upper troposphere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{"citationID":"Ok8yC1OI","properties":{"formattedCitation":"(49, 50)","plainCitation":"(49, 50)","noteIndex":0},"citationItems":[{"id":717,"uris":["http://zotero.org/users/9309103/items/LUN86GYN"],"itemData":{"id":717,"type":"article-journal","abstract":"This paper documents the climatological mean features of the Atmospheric Infrared Sounder (AIRS) monthly mean tropospheric air temperature (ta, K) and specific humidity (hus, kg/kg) products as part of the Obs4MIPs project and compares them to those from NASA's Modern Era Retrospective analysis for Research and Applications (MERRA) for validation and 16 models from the fifth phase of the Coupled Model Intercomparison Project (CMIP5) for CMIP5 model evaluation. MERRA is warmer than AIRS in the free troposphere but colder in the boundary layer with differences typically less than 1 K. MERRA is also drier ( 10%) than AIRS in the tropical boundary layer but wetter ( 30%) in the tropical free troposphere and the extratropical troposphere. In particular, the large MERRA-AIRS specific humidity differences are mainly located in the deep convective cloudy regions indicating that the low sampling of AIRS in the cloudy regions may be the main reason for these differences. In comparison to AIRS and MERRA, the sixteen CMIP5 models can generally reproduce the climatological features of tropospheric air temperature and specific humidity well, but several noticeable biases exist. The models have a tropospheric cold bias (around 2 K), especially in the extratropical upper troposphere, and a double-ITCZ problem in the troposphere from 1000 hPa to 300 hPa, especially in the tropical Pacific. The upper-tropospheric cold bias exists in the most (13 of 16) models, and the double-ITCZ bias is found in all 16 CMIP5 models. Both biases are independent of the reference dataset used (AIRS or MERRA).","container-title":"Journal of Geophysical Research: Atmospheres","DOI":"10.1029/2012JD018607","ISSN":"2169-8996","issue":"1","language":"en","note":"_eprint: https://onlinelibrary.wiley.com/doi/pdf/10.1029/2012JD018607","page":"114-134","source":"Wiley Online Library","title":"Evaluating CMIP5 models using AIRS tropospheric air temperature and specific humidity climatology","volume":"118","author":[{"family":"Tian","given":"Baijun"},{"family":"Fetzer","given":"Eric J."},{"family":"Kahn","given":"Brian H."},{"family":"Teixeira","given":"Joao"},{"family":"Manning","given":"Evan"},{"family":"Hearty","given":"Thomas"}],"issued":{"date-parts":[["2013"]]}}},{"id":716,"uris":["http://zotero.org/users/9309103/items/8GY5W5T8"],"itemData":{"id":716,"type":"article-journal","abstract":"Using NASA's A-Train satellite measurements, we evaluate the accuracy of cloud water content (CWC) and water vapor mixing ratio (H2O) outputs from 19 climate models submitted to the Phase 5 of Coupled Model Intercomparison Project (CMIP5), and assess improvements relative to their counterparts for the earlier CMIP3. We find more than half of the models show improvements from CMIP3 to CMIP5 in simulating column-integrated cloud amount, while changes in water vapor simulation are insignificant. For the 19 CMIP5 models, the model spreads and their differences from the observations are larger in the upper troposphere (UT) than in the lower or middle troposphere (L/MT). The modeled mean CWCs over tropical oceans range from </w:instrText>
      </w:r>
      <w:r w:rsidR="0005501B">
        <w:rPr>
          <w:rFonts w:ascii="Cambria Math" w:hAnsi="Cambria Math" w:cs="Cambria Math"/>
          <w:color w:val="000000"/>
          <w:sz w:val="20"/>
          <w:szCs w:val="20"/>
        </w:rPr>
        <w:instrText>∼</w:instrText>
      </w:r>
      <w:r w:rsidR="0005501B">
        <w:rPr>
          <w:rFonts w:ascii="Arial" w:hAnsi="Arial" w:cs="Arial"/>
          <w:color w:val="000000"/>
          <w:sz w:val="20"/>
          <w:szCs w:val="20"/>
        </w:rPr>
        <w:instrText xml:space="preserve">3% to </w:instrText>
      </w:r>
      <w:r w:rsidR="0005501B">
        <w:rPr>
          <w:rFonts w:ascii="Cambria Math" w:hAnsi="Cambria Math" w:cs="Cambria Math"/>
          <w:color w:val="000000"/>
          <w:sz w:val="20"/>
          <w:szCs w:val="20"/>
        </w:rPr>
        <w:instrText>∼</w:instrText>
      </w:r>
      <w:r w:rsidR="0005501B">
        <w:rPr>
          <w:rFonts w:ascii="Arial" w:hAnsi="Arial" w:cs="Arial"/>
          <w:color w:val="000000"/>
          <w:sz w:val="20"/>
          <w:szCs w:val="20"/>
        </w:rPr>
        <w:instrText xml:space="preserve">15× of the observations in the UT and 40% to 2× of the observations in the L/MT. For modeled H2Os, the mean values over tropical oceans range from </w:instrText>
      </w:r>
      <w:r w:rsidR="0005501B">
        <w:rPr>
          <w:rFonts w:ascii="Cambria Math" w:hAnsi="Cambria Math" w:cs="Cambria Math"/>
          <w:color w:val="000000"/>
          <w:sz w:val="20"/>
          <w:szCs w:val="20"/>
        </w:rPr>
        <w:instrText>∼</w:instrText>
      </w:r>
      <w:r w:rsidR="0005501B">
        <w:rPr>
          <w:rFonts w:ascii="Arial" w:hAnsi="Arial" w:cs="Arial"/>
          <w:color w:val="000000"/>
          <w:sz w:val="20"/>
          <w:szCs w:val="20"/>
        </w:rPr>
        <w:instrText xml:space="preserve">1% to 2× of the observations in the UT and within 10% of the observations in the L/MT. The spatial distributions of clouds at 215 hPa are relatively well-correlated with observations, noticeably better than those for the L/MT clouds. Although both water vapor and clouds are better simulated in the L/MT than in the UT, there is no apparent correlation between the model biases in clouds and water vapor. Numerical scores are used to compare different model performances in regards to spatial mean, variance and distribution of CWC and H2O over tropical oceans. Model performances at each pressure level are ranked according to the average of all the relevant scores for that level.","container-title":"Journal of Geophysical Research: Atmospheres","DOI":"10.1029/2011JD017237","ISSN":"2156-2202","issue":"D14","language":"en","note":"_eprint: https://onlinelibrary.wiley.com/doi/pdf/10.1029/2011JD017237","source":"Wiley Online Library","title":"Evaluation of cloud and water vapor simulations in CMIP5 climate models using NASA “A-Train” satellite observations","URL":"https://onlinelibrary.wiley.com/doi/abs/10.1029/2011JD017237","volume":"117","author":[{"family":"Jiang","given":"Jonathan H."},{"family":"Su","given":"Hui"},{"family":"Zhai","given":"Chengxing"},{"family":"Perun","given":"Vincent S."},{"family":"Del Genio","given":"Anthony"},{"family":"Nazarenko","given":"Larissa S."},{"family":"Donner","given":"Leo J."},{"family":"Horowitz","given":"Larry"},{"family":"Seman","given":"Charles"},{"family":"Cole","given":"Jason"},{"family":"Gettelman","given":"Andrew"},{"family":"Ringer","given":"Mark A."},{"family":"Rotstayn","given":"Leon"},{"family":"Jeffrey","given":"Stephen"},{"family":"Wu","given":"Tongwen"},{"family":"Brient","given":"Florent"},{"family":"Dufresne","given":"Jean-Louis"},{"family":"Kawai","given":"Hideaki"},{"family":"Koshiro","given":"Tsuyoshi"},{"family":"Watanabe","given":"Masahiro"},{"family":"LÉcuyer","given":"Tristan S."},{"family":"Volodin","given":"Evgeny M."},{"family":"Iversen","given":"Trond"},{"family":"Drange","given":"Helge"},{"family":"Mesquita","given":"Michel D. S."},{"family":"Read","given":"William G."},{"family":"Waters","given":"Joe W."},{"family":"Tian","given":"Baijun"},{"family":"Teixeira","given":"Joao"},{"family":"Stephens","given":"Graeme L."}],"accessed":{"date-parts":[["2022",6,3]]},"issued":{"date-parts":[["2012"]]}}}],"schema":"https://github.com/citation-style-language/schema/raw/master/csl-citation.json"} </w:instrText>
      </w:r>
      <w:r w:rsidRPr="007F380D">
        <w:rPr>
          <w:rFonts w:ascii="Arial" w:hAnsi="Arial" w:cs="Arial"/>
          <w:color w:val="000000"/>
          <w:sz w:val="20"/>
          <w:szCs w:val="20"/>
        </w:rPr>
        <w:fldChar w:fldCharType="separate"/>
      </w:r>
      <w:r w:rsidR="0005501B" w:rsidRPr="0005501B">
        <w:rPr>
          <w:rFonts w:ascii="Arial" w:hAnsi="Arial" w:cs="Arial"/>
          <w:sz w:val="20"/>
        </w:rPr>
        <w:t>(49, 50)</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Convection and cloud microphysics have long challenged accurate simulations of water vapor vertical profiles </w:t>
      </w:r>
      <w:r w:rsidR="0005501B">
        <w:rPr>
          <w:rFonts w:ascii="Arial" w:hAnsi="Arial" w:cs="Arial"/>
          <w:color w:val="000000"/>
          <w:sz w:val="20"/>
          <w:szCs w:val="20"/>
        </w:rPr>
        <w:t>(</w:t>
      </w:r>
      <w:r w:rsidRPr="007F380D">
        <w:rPr>
          <w:rFonts w:ascii="Arial" w:hAnsi="Arial" w:cs="Arial"/>
          <w:i/>
          <w:iCs/>
          <w:color w:val="000000"/>
          <w:sz w:val="20"/>
          <w:szCs w:val="20"/>
        </w:rPr>
        <w:t>e.g.</w:t>
      </w:r>
      <w:r w:rsidRPr="007F380D">
        <w:rPr>
          <w:rFonts w:ascii="Arial" w:hAnsi="Arial" w:cs="Arial"/>
          <w:color w:val="000000"/>
          <w:sz w:val="20"/>
          <w:szCs w:val="20"/>
        </w:rPr>
        <w:t xml:space="preserve">,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{"citationID":"z7eb7Msu","properties":{"formattedCitation":"(51\\uc0\\u8211{}55)","plainCitation":"(51–55)","noteIndex":0},"citationItems":[{"id":711,"uris":["http://zotero.org/users/9309103/items/TLZLYXDC"],"itemData":{"id":711,"type":"document","note":"1535 pp.","publisher":"[Stocker, T.F., D. Qin, G.-K. Plattner, M. Tignor, S.K. Allen, J. Boschung, A. Nauels, Y. Xia, V. Bex and P.M. Midgley (eds.)]. Cambridge University Press, Cambridge, United Kingdom and New York, NY, USA","title":"Climate Change 2013: The Physical Science Basis. Contribution of Working Group I to the Fifth Assessment Report of the Intergovernmental Panel on Climate Change","URL":"https://www.ipcc.ch/site/assets/uploads/2018/02/WG1AR5_all_final.pdf","author":[{"family":"IPCC","given":""}],"issued":{"date-parts":[["2013"]]}}},{"id":714,"uris":["http://zotero.org/users/9309103/items/LZCVG9K2"],"itemData":{"id":714,"type":"article-journal","abstract":"A comparison of AIRS and reanalysis temperature and humidity profiles to those simulated from climate models reveals large biases. The model simulated temperatures are systematically colder by 1–4 K throughout the troposphere. On average, current models also simulate a large moist bias in the free troposphere (more than 100%) but a dry bias in the boundary layer (up to 25%). While the overall pattern of biases is fairly common from model to model, the magnitude of these biases is not. In particular, the free tropospheric cold and moist bias varies significantly from one model to the next. In contrast, the response of water vapor and tropospheric temperature to a surface warming is shown to be remarkably consistent across models and uncorrelated to the bias in the mean state. We further show that these biases, while significant, have little direct impact on the models' simulation of water vapor and lapse-rate feedbacks.","container-title":"Geophysical Research Letters","DOI":"10.1029/2007GL030429","ISSN":"1944-8007","issue":"18","language":"en","note":"_eprint: https://onlinelibrary.wiley.com/doi/pdf/10.1029/2007GL030429","source":"Wiley Online Library","title":"Temperature and humidity biases in global climate models and their impact on climate feedbacks","URL":"https://onlinelibrary.wiley.com/doi/abs/10.1029/2007GL030429","volume":"34","author":[{"family":"John","given":"V. O."},{"family":"Soden","given":"B. J."}],"accessed":{"date-parts":[["2022",6,3]]},"issued":{"date-parts":[["2007"]]}}},{"id":715,"uris":["http://zotero.org/users/9309103/items/S989T8DK"],"itemData":{"id":715,"type":"article-journal","abstract":"The relationships of upper tropospheric water vapor (UTWV), cloud ice and sea surface temperature (SST) are examined in the annual cycles of ECMWF analyses and simulations from 15 atmosphere-ocean coupled models which were contributed to the IPCC AR4. The results are compared with the observed relationships based on UTWV and cloud ice measurements from MLS on Aura. It is shown that the ECMWF analyses produce positive correlations between UTWV, cloud ice and SST, similar to the MLS data. The rate of the increase of cloud ice and UTWV with SST is about 30% larger than that for MLS. For the IPCC simulations, the relationships between UTWV, cloud ice and SST are qualitatively captured. However, the magnitudes of the simulated cloud ice show a considerable disagreement between models, by nearly a factor of 10. The amplitudes of the approximate linear relations between UTWV, cloud ice and SST vary by a factor up to 4.","container-title":"Geophysical Research Letters","DOI":"10.1029/2006GL027582","ISSN":"1944-8007","issue":"22","language":"en","note":"_eprint: https://onlinelibrary.wiley.com/doi/pdf/10.1029/2006GL027582","source":"Wiley Online Library","title":"Relationships of upper tropospheric water vapor, clouds and SST: MLS observations, ECMWF analyses and GCM simulations","title-short":"Relationships of upper tropospheric water vapor, clouds and SST","URL":"https://onlinelibrary.wiley.com/doi/abs/10.1029/2006GL027582","volume":"33","author":[{"family":"Su","given":"Hui"},{"family":"Waliser","given":"Duane E."},{"family":"Jiang","given":"Jonathan H."},{"family":"Li","given":"Jui-lin"},{"family":"Read","given":"William G."},{"family":"Waters","given":"Joe W."},{"family":"Tompkins","given":"Adrian M."}],"accessed":{"date-parts":[["2022",6,3]]},"issued":{"date-parts":[["2006"]]}}},{"id":712,"uris":["http://zotero.org/users/9309103/items/CS4IV3CY"],"itemData":{"id":712,"type":"article-journal","abstract":"Six years ago, we compared the climate sensitivity of 19 atmospheric general circulation models and found a roughly threefold variation among the models; most of this variation was attributed to differences in the models' depictions of cloud feedback. In an update of this comparison, current models showed considerably smaller differences in net cloud feedback, with most producing modest values. There are, however, substantial differences in the feedback components, indicating that the models still have physical disagreements.","container-title":"Journal of Geophysical Research: Atmospheres","DOI":"10.1029/96JD00822","ISSN":"2156-2202","issue":"D8","language":"en","note":"_eprint: https://onlinelibrary.wiley.com/doi/pdf/10.1029/96JD00822","page":"12791-12794","source":"Wiley Online Library","title":"Cloud feedback in atmospheric general circulation models: An update","title-short":"Cloud feedback in atmospheric general circulation models","volume":"101","author":[{"family":"Cess","given":"R. D."},{"family":"Zhang","given":"M. H."},{"family":"Ingram","given":"W. J."},{"family":"Potter","given":"G. L."},{"family":"Alekseev","given":"V."},{"family":"Barker","given":"H. W."},{"family":"Cohen-Solal","given":"E."},{"family":"Colman","given":"R. A."},{"family":"Dazlich","given":"D. A."},{"family":"Del Genio","given":"A. D."},{"family":"Dix","given":"M. R."},{"family":"Dymnikov","given":"V."},{"family":"Esch","given":"M."},{"family":"Fowler","given":"L. D."},{"family":"Fraser","given":"J. R."},{"family":"Galin","given":"V."},{"family":"Gates","given":"W. L."},{"family":"Hack","given":"J. J."},{"family":"Kiehl","given":"J. T."},{"family":"Le Treut","given":"H."},{"family":"Lo","given":"K. K.-W."},{"family":"McAvaney","given":"B. J."},{"family":"Meleshko","given":"V. P."},{"family":"Morcrette","given":"J.-J."},{"family":"Randall","given":"D. A."},{"family":"Roeckner","given":"E."},{"family":"Royer","given":"J.-F."},{"family":"Schlesinger","given":"M. E."},{"family":"Sporyshev","given":"P. V."},{"family":"Timbal","given":"B."},{"family":"Volodin","given":"E. M."},{"family":"Taylor","given":"K. E."},{"family":"Wang","given":"W."},{"family":"Wetherald","given":"R. T."}],"issued":{"date-parts":[["1996"]]}}},{"id":713,"uris":["http://zotero.org/users/9309103/items/ZPAZXL8J"],"itemData":{"id":713,"type":"article-journal","abstract":"Abstract The climate feedbacks in coupled ocean–atmosphere models are compared using a coordinated set of twenty-first-century climate change experiments. Water vapor is found to provide the largest positive feedback in all models and its strength is consistent with that expected from constant relative humidity changes in the water vapor mixing ratio. The feedbacks from clouds and surface albedo are also found to be positive in all models, while the only stabilizing (negative) feedback comes from the temperature response. Large intermodel differences in the lapse rate feedback are observed and shown to be associated with differing regional patterns of surface warming. Consistent with previous studies, it is found that the vertical changes in temperature and water vapor are tightly coupled in all models and, importantly, demonstrate that intermodel differences in the sum of lapse rate and water vapor feedbacks are small. In contrast, intermodel differences in cloud feedback are found to provide the largest source of uncertainty in current predictions of climate sensitivity.","container-title":"Journal of Climate","DOI":"10.1175/JCLI3799.1","ISSN":"0894-8755, 1520-0442","issue":"14","language":"EN","note":"publisher: American Meteorological Society\nsection: Journal of Climate","page":"3354-3360","source":"journals.ametsoc.org","title":"An Assessment of Climate Feedbacks in Coupled Ocean–Atmosphere Models","volume":"19","author":[{"family":"Soden","given":"Brian J."},{"family":"Held","given":"Isaac M."}],"issued":{"date-parts":[["2006",7,15]]}}}],"schema":"https://github.com/citation-style-language/schema/raw/master/csl-citation.json"}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szCs w:val="24"/>
        </w:rPr>
        <w:t>(51–55)</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Our results reinforce that </w:t>
      </w:r>
      <w:r w:rsidR="009E3FDB">
        <w:rPr>
          <w:rFonts w:ascii="Arial" w:hAnsi="Arial" w:cs="Arial"/>
          <w:color w:val="000000"/>
          <w:sz w:val="20"/>
          <w:szCs w:val="20"/>
        </w:rPr>
        <w:t>variations</w:t>
      </w:r>
      <w:r w:rsidRPr="007F380D">
        <w:rPr>
          <w:rFonts w:ascii="Arial" w:hAnsi="Arial" w:cs="Arial"/>
          <w:color w:val="000000"/>
          <w:sz w:val="20"/>
          <w:szCs w:val="20"/>
        </w:rPr>
        <w:t xml:space="preserve"> in OH </w:t>
      </w:r>
      <w:r w:rsidR="009E3FDB">
        <w:rPr>
          <w:rFonts w:ascii="Arial" w:hAnsi="Arial" w:cs="Arial"/>
          <w:color w:val="000000"/>
          <w:sz w:val="20"/>
          <w:szCs w:val="20"/>
        </w:rPr>
        <w:t>are</w:t>
      </w:r>
      <w:r w:rsidRPr="007F380D">
        <w:rPr>
          <w:rFonts w:ascii="Arial" w:hAnsi="Arial" w:cs="Arial"/>
          <w:color w:val="000000"/>
          <w:sz w:val="20"/>
          <w:szCs w:val="20"/>
        </w:rPr>
        <w:t xml:space="preserve"> heavily tied to water vapor. Improving the accuracy of atmospheric hydrologic processes in chemistry-climate models should thus improve OH trend simulations, as well as those for methane, CO, and other trace gases whose primary sink is reaction with OH.  </w:t>
      </w:r>
    </w:p>
    <w:p w14:paraId="59704EC1" w14:textId="77777777" w:rsid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p>
    <w:p w14:paraId="708DABEA" w14:textId="6A7F6238" w:rsidR="007F380D"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17" w:name="_Hlk113956743"/>
      <w:r w:rsidRPr="007F380D">
        <w:rPr>
          <w:rFonts w:ascii="Arial" w:hAnsi="Arial" w:cs="Arial"/>
          <w:color w:val="000000"/>
          <w:sz w:val="20"/>
          <w:szCs w:val="20"/>
        </w:rPr>
        <w:t xml:space="preserve">The water vapor feedback due to anthropogenic climate change could </w:t>
      </w:r>
      <w:r w:rsidR="006A2907">
        <w:rPr>
          <w:rFonts w:ascii="Arial" w:hAnsi="Arial" w:cs="Arial"/>
          <w:color w:val="000000"/>
          <w:sz w:val="20"/>
          <w:szCs w:val="20"/>
        </w:rPr>
        <w:t xml:space="preserve">increase </w:t>
      </w:r>
      <w:r w:rsidRPr="007F380D">
        <w:rPr>
          <w:rFonts w:ascii="Arial" w:hAnsi="Arial" w:cs="Arial"/>
          <w:color w:val="000000"/>
          <w:sz w:val="20"/>
          <w:szCs w:val="20"/>
        </w:rPr>
        <w:t xml:space="preserve">methane </w:t>
      </w:r>
      <w:r w:rsidR="006A2907">
        <w:rPr>
          <w:rFonts w:ascii="Arial" w:hAnsi="Arial" w:cs="Arial"/>
          <w:color w:val="000000"/>
          <w:sz w:val="20"/>
          <w:szCs w:val="20"/>
        </w:rPr>
        <w:t xml:space="preserve">destruction </w:t>
      </w:r>
      <w:r w:rsidRPr="007F380D">
        <w:rPr>
          <w:rFonts w:ascii="Arial" w:hAnsi="Arial" w:cs="Arial"/>
          <w:color w:val="000000"/>
          <w:sz w:val="20"/>
          <w:szCs w:val="20"/>
        </w:rPr>
        <w:t xml:space="preserve">by </w:t>
      </w:r>
      <w:r w:rsidR="006A2907">
        <w:rPr>
          <w:rFonts w:ascii="Arial" w:hAnsi="Arial" w:cs="Arial"/>
          <w:color w:val="000000"/>
          <w:sz w:val="20"/>
          <w:szCs w:val="20"/>
        </w:rPr>
        <w:t xml:space="preserve">accelerating </w:t>
      </w:r>
      <w:r w:rsidRPr="007F380D">
        <w:rPr>
          <w:rFonts w:ascii="Arial" w:hAnsi="Arial" w:cs="Arial"/>
          <w:color w:val="000000"/>
          <w:sz w:val="20"/>
          <w:szCs w:val="20"/>
        </w:rPr>
        <w:t xml:space="preserve">its loss through reaction with tropospheric OH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{"citationID":"1wjyIu9T","properties":{"formattedCitation":"(39)","plainCitation":"(39)","noteIndex":0},"citationItems":[{"id":501,"uris":["http://zotero.org/users/9309103/items/UQUA52QI"],"itemData":{"id":501,"type":"article-journal","abstract":"Accurate prediction of future methane abundances following a climate scenario requires understanding the lifetime changes driven by anthropogenic emissions, meteorological factors, and chemistry-climate feedbacks. Uncertainty in any of these inﬂuences or the underlying processes implies uncertainty in future abundance and radiative forcing. We simulate methane lifetime in three chemical transport models (CTMs) – UCI CTM, GEOS-Chem, and Oslo CTM3 – over the period 1997–2009 and compare the models’ year-to-year variability against constraints from global methyl chloroform observations. Using sensitivity tests, we ﬁnd that temperature, water vapor, stratospheric ozone column, biomass burning and lightning NOx are the dominant sources of interannual changes in methane lifetime in all three models. We also evaluate each model’s response to forcings that have impacts on decadal time scales, such as methane feedback, and anthropogenic emissions. In general, these different CTMs show similar sensitivities to the driving variables. We construct a parametric model that reproduces most of the interannual variability of each CTM and use it to predict methane lifetime from 1980 through 2100 following a speciﬁed emissions and climate scenario (RCP 8.5). The parametric model propagates uncertainties through all steps and provides a foundation for predicting methane abundances in any climate scenario. Our sensitivity tests also enable a new estimate of the methane global warming potential (GWP), accounting for stratospheric ozone effects, including those mediated by water vapor. We estimate the 100-yr GWP to be 32, which is 25 % larger than past assessments.","container-title":"Atmospheric Chemistry and Physics","DOI":"10.5194/acp-13-285-2013","ISSN":"1680-7324","issue":"1","journalAbbreviation":"Atmos. Chem. Phys.","language":"en","page":"285-302","source":"DOI.org (Crossref)","title":"Future methane, hydroxyl, and their uncertainties: key climate and emission parameters for future predictions","title-short":"Future methane, hydroxyl, and their uncertainties","volume":"13","author":[{"family":"Holmes","given":"C. D."},{"family":"Prather","given":"M. J."},{"family":"Søvde","given":"O. A."},{"family":"Myhre","given":"G."}],"issued":{"date-parts":[["2013",1,11]]}}}],"schema":"https://github.com/citation-style-language/schema/raw/master/csl-citation.json"}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(39)</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Global average OH </w:t>
      </w:r>
      <w:r w:rsidRPr="007F380D">
        <w:rPr>
          <w:rFonts w:ascii="Arial" w:hAnsi="Arial" w:cs="Arial"/>
          <w:color w:val="000000"/>
          <w:sz w:val="20"/>
          <w:szCs w:val="20"/>
        </w:rPr>
        <w:lastRenderedPageBreak/>
        <w:t xml:space="preserve">has historically been well buffered </w:t>
      </w:r>
      <w:r w:rsidRPr="007F380D">
        <w:rPr>
          <w:rFonts w:ascii="Arial" w:hAnsi="Arial" w:cs="Arial"/>
          <w:color w:val="000000"/>
          <w:sz w:val="20"/>
          <w:szCs w:val="20"/>
        </w:rPr>
        <w:fldChar w:fldCharType="begin"/>
      </w:r>
      <w:r w:rsidR="00390F9C">
        <w:rPr>
          <w:rFonts w:ascii="Arial" w:hAnsi="Arial" w:cs="Arial"/>
          <w:color w:val="000000"/>
          <w:sz w:val="20"/>
          <w:szCs w:val="20"/>
        </w:rPr>
        <w:instrText xml:space="preserve"> ADDIN ZOTERO_ITEM CSL_CITATION {"citationID":"rxbgTCeb","properties":{"formattedCitation":"(18)","plainCitation":"(18)","noteIndex":0},"citationItems":[{"id":490,"uris":["http://zotero.org/users/9309103/items/DW352YL7"],"itemData":{"id":490,"type":"article-journal","container-title":"Science","DOI":"10.1126/science.1197640","ISSN":"0036-8075, 1095-9203","issue":"6013","journalAbbreviation":"Science","language":"en","page":"67-69","source":"DOI.org (Crossref)","title":"Small Interannual Variability of Global Atmospheric Hydroxyl","volume":"331","author":[{"family":"Montzka","given":"S. A."},{"family":"Krol","given":"M."},{"family":"Dlugokencky","given":"E."},{"family":"Hall","given":"B."},{"family":"Jockel","given":"P."},{"family":"Lelieveld","given":"J."}],"issued":{"date-parts":[["2011",1,7]]}}}],"schema":"https://github.com/citation-style-language/schema/raw/master/csl-citation.json"} </w:instrText>
      </w:r>
      <w:r w:rsidRPr="007F380D">
        <w:rPr>
          <w:rFonts w:ascii="Arial" w:hAnsi="Arial" w:cs="Arial"/>
          <w:color w:val="000000"/>
          <w:sz w:val="20"/>
          <w:szCs w:val="20"/>
        </w:rPr>
        <w:fldChar w:fldCharType="separate"/>
      </w:r>
      <w:r w:rsidR="00390F9C" w:rsidRPr="00390F9C">
        <w:rPr>
          <w:rFonts w:ascii="Arial" w:hAnsi="Arial" w:cs="Arial"/>
          <w:sz w:val="20"/>
        </w:rPr>
        <w:t>(18)</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because its variability was dominated by anthropogenic combustion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{"citationID":"Zl2RBvHY","properties":{"formattedCitation":"(41)","plainCitation":"(41)","noteIndex":0},"citationItems":[{"id":238,"uris":["http://zotero.org/users/9309103/items/TYAXRMVL"],"itemData":{"id":238,"type":"article-journal","abstract":"A globalthree-dimensionaml odelof tropospherichemistryis usedto investigate thechangesin tropospheric03 andOH sincepreindustriatlimesasa resultof fuel combustion andindustry,biomassburning,andgrowthin atmosphericCH4. Model resultsindicatea 63% increaseof theglobaltropospheric03 burdenfrom preindustriatlimesto present(80% and50% in thenorthernandsouthernhemispheresr,espectively)A. nthropogenicemissions of NOx andof CO andhydrocarbonms akecomparablecontributionsto the global03 increase(60% and40% respectively)e, venthoughthelocalrateof tropospheric03 productionis generallyNOx limited.The risein 03 productionparallelscloselytherisein the emissionsof CO andhydrocarbonbecausethe03 yieldpermoleof CO or hydrocarbonoxidizedhasremainedconstantat 0.7-0.8 mol/mol sincepreindustriatlimes.In contrast,the 03 productionefficiencypermoleof NOxemittedhasdecreasedgloballyby a factorof 2. We find a 9% decreasein theglobalmeanOH concentration(mass-weighteds) incepreindustrial times.A linearrelationshipis foundin themodelbetweentheglobalmeanOH concentration andtheSN/S3c/2ratio,whereS•vandScarethesourceosfNOxandofCO andhydrocarbons, respectivelyT. he relativeconstancyof theglobalmeanOH concentrationsincepreindustrial timesreflectstheconservatioonftheSN/S3c/2ratiodespitelargeincreaseins bothS•vandSc. Comparisonsof modelresultswith reconstructendineteenthcenturyobservationsof 03 at continentasl itesindicatea systematicoverestimateof about5 ppbv.Correctingthisoverestimatewouldrequireeithera largemissingchemicalsinkfor 03 or a downwardrevisionof the naturaNl Oxsourcferomlightning(3 TgN yr-1in ourmodel)T. henineteentchenturyobservationsof 03 overFranceshownoverticalgradientbetweentheboundarylayerandthefree tropospherew,hichis inconsistenwtith ourcurrentunderstandinogf tropospheri0c3. The modelunderestimatepsreindustriaCl O concentrationdserivedfrompolaricecores;these measurementasredifficult to reconcilewith anyreasonableCO emissioninventories.","container-title":"Journal of Geophysical Research: Atmospheres","DOI":"10.1029/1998JD100004","ISSN":"01480227","issue":"D23","journalAbbreviation":"J. Geophys. Res.","language":"en","page":"31123-31135","source":"DOI.org (Crossref)","title":"Anthropogenic forcing on tropospheric ozone and OH since preindustrial times","volume":"103","author":[{"family":"Wang","given":"Yuhang"},{"family":"Jacob","given":"Daniel J."}],"issued":{"date-parts":[["1998",12,20]]}}}],"schema":"https://github.com/citation-style-language/schema/raw/master/csl-citation.json"}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(41)</w:t>
      </w:r>
      <w:r w:rsidRPr="007F380D">
        <w:rPr>
          <w:rFonts w:ascii="Arial" w:hAnsi="Arial" w:cs="Arial"/>
          <w:color w:val="000000"/>
          <w:sz w:val="20"/>
          <w:szCs w:val="20"/>
        </w:rPr>
        <w:fldChar w:fldCharType="end"/>
      </w:r>
      <w:r w:rsidRPr="007F380D">
        <w:rPr>
          <w:rFonts w:ascii="Arial" w:hAnsi="Arial" w:cs="Arial"/>
          <w:color w:val="000000"/>
          <w:sz w:val="20"/>
          <w:szCs w:val="20"/>
        </w:rPr>
        <w:t>, which affects both its production (via NO and O</w:t>
      </w:r>
      <w:r w:rsidRPr="007F380D">
        <w:rPr>
          <w:rFonts w:ascii="Arial" w:hAnsi="Arial" w:cs="Arial"/>
          <w:color w:val="000000"/>
          <w:sz w:val="20"/>
          <w:szCs w:val="20"/>
          <w:vertAlign w:val="subscript"/>
        </w:rPr>
        <w:t>3</w:t>
      </w:r>
      <w:r w:rsidRPr="007F380D">
        <w:rPr>
          <w:rFonts w:ascii="Arial" w:hAnsi="Arial" w:cs="Arial"/>
          <w:color w:val="000000"/>
          <w:sz w:val="20"/>
          <w:szCs w:val="20"/>
        </w:rPr>
        <w:t xml:space="preserve">) and loss (via CO and </w:t>
      </w:r>
      <w:r w:rsidR="00893850">
        <w:rPr>
          <w:rFonts w:ascii="Arial" w:hAnsi="Arial" w:cs="Arial"/>
          <w:color w:val="000000"/>
          <w:sz w:val="20"/>
          <w:szCs w:val="20"/>
        </w:rPr>
        <w:t xml:space="preserve">other forms of reactive </w:t>
      </w:r>
      <w:r w:rsidR="00893850" w:rsidRPr="007F380D">
        <w:rPr>
          <w:rFonts w:ascii="Arial" w:hAnsi="Arial" w:cs="Arial"/>
          <w:color w:val="000000"/>
          <w:sz w:val="20"/>
          <w:szCs w:val="20"/>
        </w:rPr>
        <w:t>carbon</w:t>
      </w:r>
      <w:r w:rsidRPr="007F380D">
        <w:rPr>
          <w:rFonts w:ascii="Arial" w:hAnsi="Arial" w:cs="Arial"/>
          <w:color w:val="000000"/>
          <w:sz w:val="20"/>
          <w:szCs w:val="20"/>
        </w:rPr>
        <w:t>). However, rising atmospheric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only </w:t>
      </w:r>
      <w:r w:rsidR="0035154D">
        <w:rPr>
          <w:rFonts w:ascii="Arial" w:hAnsi="Arial" w:cs="Arial"/>
          <w:color w:val="000000"/>
          <w:sz w:val="20"/>
          <w:szCs w:val="20"/>
        </w:rPr>
        <w:t xml:space="preserve">directly </w:t>
      </w:r>
      <w:r w:rsidRPr="007F380D">
        <w:rPr>
          <w:rFonts w:ascii="Arial" w:hAnsi="Arial" w:cs="Arial"/>
          <w:color w:val="000000"/>
          <w:sz w:val="20"/>
          <w:szCs w:val="20"/>
        </w:rPr>
        <w:t xml:space="preserve">affects OH production, </w:t>
      </w:r>
      <w:r w:rsidR="00FA0E68">
        <w:rPr>
          <w:rFonts w:ascii="Arial" w:hAnsi="Arial" w:cs="Arial"/>
          <w:color w:val="000000"/>
          <w:sz w:val="20"/>
          <w:szCs w:val="20"/>
        </w:rPr>
        <w:t xml:space="preserve">in the absence of a </w:t>
      </w:r>
      <w:r w:rsidRPr="007F380D">
        <w:rPr>
          <w:rFonts w:ascii="Arial" w:hAnsi="Arial" w:cs="Arial"/>
          <w:color w:val="000000"/>
          <w:sz w:val="20"/>
          <w:szCs w:val="20"/>
        </w:rPr>
        <w:t xml:space="preserve">compensating increase in the OH sink. </w:t>
      </w:r>
      <w:r w:rsidR="00113920">
        <w:rPr>
          <w:rFonts w:ascii="Arial" w:hAnsi="Arial" w:cs="Arial"/>
          <w:color w:val="000000"/>
          <w:sz w:val="20"/>
          <w:szCs w:val="20"/>
        </w:rPr>
        <w:t xml:space="preserve">A coupled chemical model would be necessary to account for the full effect of climate change on atmospheric oxidation, for example, due to </w:t>
      </w:r>
      <w:r w:rsidR="00B568C5">
        <w:rPr>
          <w:rFonts w:ascii="Arial" w:hAnsi="Arial" w:cs="Arial"/>
          <w:color w:val="000000"/>
          <w:sz w:val="20"/>
          <w:szCs w:val="20"/>
        </w:rPr>
        <w:t>offsetting feedbacks</w:t>
      </w:r>
      <w:r w:rsidR="0035154D">
        <w:rPr>
          <w:rFonts w:ascii="Arial" w:hAnsi="Arial" w:cs="Arial"/>
          <w:color w:val="000000"/>
          <w:sz w:val="20"/>
          <w:szCs w:val="20"/>
        </w:rPr>
        <w:t>, like an increase in H</w:t>
      </w:r>
      <w:r w:rsidR="0035154D" w:rsidRPr="001C08EE">
        <w:rPr>
          <w:rFonts w:ascii="Arial" w:hAnsi="Arial" w:cs="Arial"/>
          <w:color w:val="000000"/>
          <w:sz w:val="20"/>
          <w:szCs w:val="20"/>
          <w:vertAlign w:val="subscript"/>
        </w:rPr>
        <w:t>2</w:t>
      </w:r>
      <w:r w:rsidR="0035154D">
        <w:rPr>
          <w:rFonts w:ascii="Arial" w:hAnsi="Arial" w:cs="Arial"/>
          <w:color w:val="000000"/>
          <w:sz w:val="20"/>
          <w:szCs w:val="20"/>
        </w:rPr>
        <w:t>O</w:t>
      </w:r>
      <w:r w:rsidR="0035154D" w:rsidRPr="001C08EE">
        <w:rPr>
          <w:rFonts w:ascii="Arial" w:hAnsi="Arial" w:cs="Arial"/>
          <w:color w:val="000000"/>
          <w:sz w:val="20"/>
          <w:szCs w:val="20"/>
          <w:vertAlign w:val="subscript"/>
        </w:rPr>
        <w:t>2</w:t>
      </w:r>
      <w:r w:rsidR="0035154D">
        <w:rPr>
          <w:rFonts w:ascii="Arial" w:hAnsi="Arial" w:cs="Arial"/>
          <w:color w:val="000000"/>
          <w:sz w:val="20"/>
          <w:szCs w:val="20"/>
        </w:rPr>
        <w:t xml:space="preserve"> production followed by deposition</w:t>
      </w:r>
      <w:r w:rsidR="00B568C5">
        <w:rPr>
          <w:rFonts w:ascii="Arial" w:hAnsi="Arial" w:cs="Arial"/>
          <w:color w:val="000000"/>
          <w:sz w:val="20"/>
          <w:szCs w:val="20"/>
        </w:rPr>
        <w:t xml:space="preserve"> or weather-sensitive emissions such as methane from wetlands</w:t>
      </w:r>
      <w:r w:rsidR="00113920">
        <w:rPr>
          <w:rFonts w:ascii="Arial" w:hAnsi="Arial" w:cs="Arial"/>
          <w:color w:val="000000"/>
          <w:sz w:val="20"/>
          <w:szCs w:val="20"/>
        </w:rPr>
        <w:t xml:space="preserve">. </w:t>
      </w:r>
      <w:r w:rsidRPr="007F380D">
        <w:rPr>
          <w:rFonts w:ascii="Arial" w:hAnsi="Arial" w:cs="Arial"/>
          <w:color w:val="000000"/>
          <w:sz w:val="20"/>
          <w:szCs w:val="20"/>
        </w:rPr>
        <w:t>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897D26">
        <w:rPr>
          <w:rFonts w:ascii="Arial" w:hAnsi="Arial" w:cs="Arial"/>
          <w:color w:val="000000"/>
          <w:sz w:val="20"/>
          <w:szCs w:val="20"/>
        </w:rPr>
        <w:t>instead offers</w:t>
      </w:r>
      <w:r w:rsidR="00897D26" w:rsidRPr="007F380D">
        <w:rPr>
          <w:rFonts w:ascii="Arial" w:hAnsi="Arial" w:cs="Arial"/>
          <w:color w:val="000000"/>
          <w:sz w:val="20"/>
          <w:szCs w:val="20"/>
        </w:rPr>
        <w:t xml:space="preserve"> </w:t>
      </w:r>
      <w:r w:rsidRPr="007F380D">
        <w:rPr>
          <w:rFonts w:ascii="Arial" w:hAnsi="Arial" w:cs="Arial"/>
          <w:color w:val="000000"/>
          <w:sz w:val="20"/>
          <w:szCs w:val="20"/>
        </w:rPr>
        <w:t>a simple</w:t>
      </w:r>
      <w:r w:rsidR="00113920">
        <w:rPr>
          <w:rFonts w:ascii="Arial" w:hAnsi="Arial" w:cs="Arial"/>
          <w:color w:val="000000"/>
          <w:sz w:val="20"/>
          <w:szCs w:val="20"/>
        </w:rPr>
        <w:t>, first-order</w:t>
      </w:r>
      <w:r w:rsidRPr="007F380D">
        <w:rPr>
          <w:rFonts w:ascii="Arial" w:hAnsi="Arial" w:cs="Arial"/>
          <w:color w:val="000000"/>
          <w:sz w:val="20"/>
          <w:szCs w:val="20"/>
        </w:rPr>
        <w:t xml:space="preserve"> projection of how OH </w:t>
      </w:r>
      <w:r w:rsidR="00C80E6B">
        <w:rPr>
          <w:rFonts w:ascii="Arial" w:hAnsi="Arial" w:cs="Arial"/>
          <w:color w:val="000000"/>
          <w:sz w:val="20"/>
          <w:szCs w:val="20"/>
        </w:rPr>
        <w:t>might</w:t>
      </w:r>
      <w:r w:rsidR="00897D26" w:rsidRPr="007F380D">
        <w:rPr>
          <w:rFonts w:ascii="Arial" w:hAnsi="Arial" w:cs="Arial"/>
          <w:color w:val="000000"/>
          <w:sz w:val="20"/>
          <w:szCs w:val="20"/>
        </w:rPr>
        <w:t xml:space="preserve"> </w:t>
      </w:r>
      <w:r w:rsidRPr="007F380D">
        <w:rPr>
          <w:rFonts w:ascii="Arial" w:hAnsi="Arial" w:cs="Arial"/>
          <w:color w:val="000000"/>
          <w:sz w:val="20"/>
          <w:szCs w:val="20"/>
        </w:rPr>
        <w:t xml:space="preserve">respond to the expected rise in atmospheric water vapor abundances with future climate change. </w:t>
      </w:r>
      <w:r w:rsidR="00BE7158">
        <w:rPr>
          <w:rFonts w:ascii="Arial" w:hAnsi="Arial" w:cs="Arial"/>
          <w:color w:val="000000"/>
          <w:sz w:val="20"/>
          <w:szCs w:val="20"/>
        </w:rPr>
        <w:t>Applying</w:t>
      </w:r>
      <w:r w:rsidRPr="007F380D">
        <w:rPr>
          <w:rFonts w:ascii="Arial" w:hAnsi="Arial" w:cs="Arial"/>
          <w:color w:val="000000"/>
          <w:sz w:val="20"/>
          <w:szCs w:val="20"/>
        </w:rPr>
        <w:t xml:space="preserve"> the mean increase in water vapor between 2</w:t>
      </w:r>
      <w:r w:rsidR="0028237B">
        <w:rPr>
          <w:rFonts w:ascii="Arial" w:hAnsi="Arial" w:cs="Arial"/>
          <w:color w:val="000000"/>
          <w:sz w:val="20"/>
          <w:szCs w:val="20"/>
        </w:rPr>
        <w:t>01</w:t>
      </w:r>
      <w:r w:rsidRPr="007F380D">
        <w:rPr>
          <w:rFonts w:ascii="Arial" w:hAnsi="Arial" w:cs="Arial"/>
          <w:color w:val="000000"/>
          <w:sz w:val="20"/>
          <w:szCs w:val="20"/>
        </w:rPr>
        <w:t>0 and 2</w:t>
      </w:r>
      <w:r w:rsidR="0028237B">
        <w:rPr>
          <w:rFonts w:ascii="Arial" w:hAnsi="Arial" w:cs="Arial"/>
          <w:color w:val="000000"/>
          <w:sz w:val="20"/>
          <w:szCs w:val="20"/>
        </w:rPr>
        <w:t>1</w:t>
      </w:r>
      <w:r w:rsidRPr="007F380D">
        <w:rPr>
          <w:rFonts w:ascii="Arial" w:hAnsi="Arial" w:cs="Arial"/>
          <w:color w:val="000000"/>
          <w:sz w:val="20"/>
          <w:szCs w:val="20"/>
        </w:rPr>
        <w:t xml:space="preserve">00 from RCP 8.5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{"citationID":"MLKnXYpn","properties":{"formattedCitation":"(56)","plainCitation":"(56)","noteIndex":0},"citationItems":[{"id":272,"uris":["http://zotero.org/users/9309103/items/GN8RGEZ9"],"itemData":{"id":272,"type":"article-journal","abstract":"This paper summarizes the main characteristics of the RCP8.5 scenario. The RCP8.5 combines assumptions about high population and relatively slow income growth with modest rates of technological change and energy intensity improvements, leading in the long term to high energy demand and GHG emissions in absence of climate change policies. Compared to the total set of Representative Concentration Pathways (RCPs), RCP8.5 thus corresponds to the pathway with the highest greenhouse gas emissions. Using the IIASA Integrated Assessment Framework and the MESSAGE model for the development of the RCP8.5, we focus in this paper on two important extensions compared to earlier scenarios: 1) the development of spatially explicit air pollution projections, and 2) enhancements in the land-use and land-cover change projections. In addition, we explore scenario variants that use RCP8.5 as a baseline, and assume different degrees of greenhouse gas mitigation policies to reduce radiative forcing. Based on our modeling framework, we find it technically possible to limit forcing from RCP8.5 to lower levels comparable to the other RCPs (2.6 to 6 W/m2). Our scenario analysis further indicates that climate policyinduced changes of global energy supply and demand may lead to significant co-benefits for other policy priorities, such as local air pollution.","container-title":"Climatic Change","DOI":"10.1007/s10584-011-0149-y","ISSN":"0165-0009, 1573-1480","issue":"1-2","journalAbbreviation":"Climatic Change","language":"en","page":"33-57","source":"DOI.org (Crossref)","title":"RCP 8.5—A scenario of comparatively high greenhouse gas emissions","volume":"109","author":[{"family":"Riahi","given":"Keywan"},{"family":"Rao","given":"Shilpa"},{"family":"Krey","given":"Volker"},{"family":"Cho","given":"Cheolhung"},{"family":"Chirkov","given":"Vadim"},{"family":"Fischer","given":"Guenther"},{"family":"Kindermann","given":"Georg"},{"family":"Nakicenovic","given":"Nebojsa"},{"family":"Rafaj","given":"Peter"}],"issued":{"date-parts":[["2011",11]]}}}],"schema":"https://github.com/citation-style-language/schema/raw/master/csl-citation.json"} </w:instrText>
      </w:r>
      <w:r w:rsidRPr="007F380D">
        <w:rPr>
          <w:rFonts w:ascii="Arial" w:hAnsi="Arial" w:cs="Arial"/>
          <w:color w:val="000000"/>
          <w:sz w:val="20"/>
          <w:szCs w:val="20"/>
        </w:rPr>
        <w:fldChar w:fldCharType="separate"/>
      </w:r>
      <w:r w:rsidR="0005501B" w:rsidRPr="0005501B">
        <w:rPr>
          <w:rFonts w:ascii="Arial" w:hAnsi="Arial" w:cs="Arial"/>
          <w:sz w:val="20"/>
        </w:rPr>
        <w:t>(56)</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t>
      </w:r>
      <w:r w:rsidR="00BE7158">
        <w:rPr>
          <w:rFonts w:ascii="Arial" w:hAnsi="Arial" w:cs="Arial"/>
          <w:color w:val="000000"/>
          <w:sz w:val="20"/>
          <w:szCs w:val="20"/>
        </w:rPr>
        <w:t>used by</w:t>
      </w:r>
      <w:r w:rsidRPr="007F380D">
        <w:rPr>
          <w:rFonts w:ascii="Arial" w:hAnsi="Arial" w:cs="Arial"/>
          <w:color w:val="000000"/>
          <w:sz w:val="20"/>
          <w:szCs w:val="20"/>
        </w:rPr>
        <w:t xml:space="preserve"> Holmes et al.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{"citationID":"ecUlVHFV","properties":{"formattedCitation":"(39)","plainCitation":"(39)","noteIndex":0},"citationItems":[{"id":501,"uris":["http://zotero.org/users/9309103/items/UQUA52QI"],"itemData":{"id":501,"type":"article-journal","abstract":"Accurate prediction of future methane abundances following a climate scenario requires understanding the lifetime changes driven by anthropogenic emissions, meteorological factors, and chemistry-climate feedbacks. Uncertainty in any of these inﬂuences or the underlying processes implies uncertainty in future abundance and radiative forcing. We simulate methane lifetime in three chemical transport models (CTMs) – UCI CTM, GEOS-Chem, and Oslo CTM3 – over the period 1997–2009 and compare the models’ year-to-year variability against constraints from global methyl chloroform observations. Using sensitivity tests, we ﬁnd that temperature, water vapor, stratospheric ozone column, biomass burning and lightning NOx are the dominant sources of interannual changes in methane lifetime in all three models. We also evaluate each model’s response to forcings that have impacts on decadal time scales, such as methane feedback, and anthropogenic emissions. In general, these different CTMs show similar sensitivities to the driving variables. We construct a parametric model that reproduces most of the interannual variability of each CTM and use it to predict methane lifetime from 1980 through 2100 following a speciﬁed emissions and climate scenario (RCP 8.5). The parametric model propagates uncertainties through all steps and provides a foundation for predicting methane abundances in any climate scenario. Our sensitivity tests also enable a new estimate of the methane global warming potential (GWP), accounting for stratospheric ozone effects, including those mediated by water vapor. We estimate the 100-yr GWP to be 32, which is 25 % larger than past assessments.","container-title":"Atmospheric Chemistry and Physics","DOI":"10.5194/acp-13-285-2013","ISSN":"1680-7324","issue":"1","journalAbbreviation":"Atmos. Chem. Phys.","language":"en","page":"285-302","source":"DOI.org (Crossref)","title":"Future methane, hydroxyl, and their uncertainties: key climate and emission parameters for future predictions","title-short":"Future methane, hydroxyl, and their uncertainties","volume":"13","author":[{"family":"Holmes","given":"C. D."},{"family":"Prather","given":"M. J."},{"family":"Søvde","given":"O. A."},{"family":"Myhre","given":"G."}],"issued":{"date-parts":[["2013",1,11]]}}}],"schema":"https://github.com/citation-style-language/schema/raw/master/csl-citation.json"}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(39)</w:t>
      </w:r>
      <w:r w:rsidRPr="007F380D">
        <w:rPr>
          <w:rFonts w:ascii="Arial" w:hAnsi="Arial" w:cs="Arial"/>
          <w:color w:val="000000"/>
          <w:sz w:val="20"/>
          <w:szCs w:val="20"/>
        </w:rPr>
        <w:fldChar w:fldCharType="end"/>
      </w:r>
      <w:r w:rsidR="00BE7158">
        <w:rPr>
          <w:rFonts w:ascii="Arial" w:hAnsi="Arial" w:cs="Arial"/>
          <w:color w:val="000000"/>
          <w:sz w:val="20"/>
          <w:szCs w:val="20"/>
        </w:rPr>
        <w:t>,</w:t>
      </w:r>
      <w:r w:rsidRPr="007F380D">
        <w:rPr>
          <w:rFonts w:ascii="Arial" w:hAnsi="Arial" w:cs="Arial"/>
          <w:color w:val="000000"/>
          <w:sz w:val="20"/>
          <w:szCs w:val="20"/>
        </w:rPr>
        <w:t xml:space="preserve"> we infer</w:t>
      </w:r>
      <w:r w:rsidR="00BE7158">
        <w:rPr>
          <w:rFonts w:ascii="Arial" w:hAnsi="Arial" w:cs="Arial"/>
          <w:color w:val="000000"/>
          <w:sz w:val="20"/>
          <w:szCs w:val="20"/>
        </w:rPr>
        <w:t xml:space="preserve"> from Proxy</w:t>
      </w:r>
      <w:r w:rsidR="00BE7158" w:rsidRPr="00F47570">
        <w:rPr>
          <w:rFonts w:ascii="Arial" w:hAnsi="Arial" w:cs="Arial"/>
          <w:i/>
          <w:iCs/>
          <w:color w:val="000000"/>
          <w:sz w:val="20"/>
          <w:szCs w:val="20"/>
          <w:vertAlign w:val="subscript"/>
        </w:rPr>
        <w:t>OH</w:t>
      </w:r>
      <w:r w:rsidRPr="007F380D">
        <w:rPr>
          <w:rFonts w:ascii="Arial" w:hAnsi="Arial" w:cs="Arial"/>
          <w:color w:val="000000"/>
          <w:sz w:val="20"/>
          <w:szCs w:val="20"/>
        </w:rPr>
        <w:t xml:space="preserve"> that the projected magnitude of change in [H</w:t>
      </w:r>
      <w:r w:rsidRPr="007F380D">
        <w:rPr>
          <w:rFonts w:ascii="Arial" w:hAnsi="Arial" w:cs="Arial"/>
          <w:color w:val="000000"/>
          <w:sz w:val="20"/>
          <w:szCs w:val="20"/>
          <w:vertAlign w:val="subscript"/>
        </w:rPr>
        <w:t>2</w:t>
      </w:r>
      <w:r w:rsidRPr="007F380D">
        <w:rPr>
          <w:rFonts w:ascii="Arial" w:hAnsi="Arial" w:cs="Arial"/>
          <w:color w:val="000000"/>
          <w:sz w:val="20"/>
          <w:szCs w:val="20"/>
        </w:rPr>
        <w:t>O] (42.3%) along the ATom flight tracks where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dominates the OH sensitivity (between 2 and 8 km altitude) </w:t>
      </w:r>
      <w:r w:rsidR="00BE7158">
        <w:rPr>
          <w:rFonts w:ascii="Arial" w:hAnsi="Arial" w:cs="Arial"/>
          <w:color w:val="000000"/>
          <w:sz w:val="20"/>
          <w:szCs w:val="20"/>
        </w:rPr>
        <w:t>c</w:t>
      </w:r>
      <w:r w:rsidRPr="007F380D">
        <w:rPr>
          <w:rFonts w:ascii="Arial" w:hAnsi="Arial" w:cs="Arial"/>
          <w:color w:val="000000"/>
          <w:sz w:val="20"/>
          <w:szCs w:val="20"/>
        </w:rPr>
        <w:t xml:space="preserve">ould increase regional average [OH] by </w:t>
      </w:r>
      <w:r w:rsidR="00424C92">
        <w:rPr>
          <w:rFonts w:ascii="Arial" w:hAnsi="Arial" w:cs="Arial"/>
          <w:color w:val="000000"/>
          <w:sz w:val="20"/>
          <w:szCs w:val="20"/>
        </w:rPr>
        <w:t>19</w:t>
      </w:r>
      <w:r w:rsidRPr="007F380D">
        <w:rPr>
          <w:rFonts w:ascii="Arial" w:hAnsi="Arial" w:cs="Arial"/>
          <w:color w:val="000000"/>
          <w:sz w:val="20"/>
          <w:szCs w:val="20"/>
        </w:rPr>
        <w:t xml:space="preserve">%. </w:t>
      </w:r>
      <w:r w:rsidR="00BE7158">
        <w:rPr>
          <w:rFonts w:ascii="Arial" w:hAnsi="Arial" w:cs="Arial"/>
          <w:color w:val="000000"/>
          <w:sz w:val="20"/>
          <w:szCs w:val="20"/>
        </w:rPr>
        <w:t>This estimate indicates the potential for a large</w:t>
      </w:r>
      <w:r w:rsidR="00B568C5">
        <w:rPr>
          <w:rFonts w:ascii="Arial" w:hAnsi="Arial" w:cs="Arial"/>
          <w:color w:val="000000"/>
          <w:sz w:val="20"/>
          <w:szCs w:val="20"/>
        </w:rPr>
        <w:t>,</w:t>
      </w:r>
      <w:r w:rsidR="00BE7158">
        <w:rPr>
          <w:rFonts w:ascii="Arial" w:hAnsi="Arial" w:cs="Arial"/>
          <w:color w:val="000000"/>
          <w:sz w:val="20"/>
          <w:szCs w:val="20"/>
        </w:rPr>
        <w:t xml:space="preserve"> negative feedback to climate change by increasing the methane sink. However, this sensitivity </w:t>
      </w:r>
      <w:r w:rsidR="00113920">
        <w:rPr>
          <w:rFonts w:ascii="Arial" w:hAnsi="Arial" w:cs="Arial"/>
          <w:color w:val="000000"/>
          <w:sz w:val="20"/>
          <w:szCs w:val="20"/>
        </w:rPr>
        <w:t xml:space="preserve">was derived from short-term, regional observations, and </w:t>
      </w:r>
      <w:r w:rsidR="00BE7158">
        <w:rPr>
          <w:rFonts w:ascii="Arial" w:hAnsi="Arial" w:cs="Arial"/>
          <w:color w:val="000000"/>
          <w:sz w:val="20"/>
          <w:szCs w:val="20"/>
        </w:rPr>
        <w:t>need</w:t>
      </w:r>
      <w:r w:rsidR="0021232A">
        <w:rPr>
          <w:rFonts w:ascii="Arial" w:hAnsi="Arial" w:cs="Arial"/>
          <w:color w:val="000000"/>
          <w:sz w:val="20"/>
          <w:szCs w:val="20"/>
        </w:rPr>
        <w:t>s</w:t>
      </w:r>
      <w:r w:rsidR="00BE7158">
        <w:rPr>
          <w:rFonts w:ascii="Arial" w:hAnsi="Arial" w:cs="Arial"/>
          <w:color w:val="000000"/>
          <w:sz w:val="20"/>
          <w:szCs w:val="20"/>
        </w:rPr>
        <w:t xml:space="preserve"> </w:t>
      </w:r>
      <w:r w:rsidR="0021232A">
        <w:rPr>
          <w:rFonts w:ascii="Arial" w:hAnsi="Arial" w:cs="Arial"/>
          <w:color w:val="000000"/>
          <w:sz w:val="20"/>
          <w:szCs w:val="20"/>
        </w:rPr>
        <w:t xml:space="preserve">further study into the connection to </w:t>
      </w:r>
      <w:r w:rsidR="00BE7158">
        <w:rPr>
          <w:rFonts w:ascii="Arial" w:hAnsi="Arial" w:cs="Arial"/>
          <w:color w:val="000000"/>
          <w:sz w:val="20"/>
          <w:szCs w:val="20"/>
        </w:rPr>
        <w:t>long-term global trends. This approach also neglects</w:t>
      </w:r>
      <w:r w:rsidR="00113920">
        <w:rPr>
          <w:rFonts w:ascii="Arial" w:hAnsi="Arial" w:cs="Arial"/>
          <w:color w:val="000000"/>
          <w:sz w:val="20"/>
          <w:szCs w:val="20"/>
        </w:rPr>
        <w:t xml:space="preserve"> non-linear chemical feedbacks </w:t>
      </w:r>
      <w:r w:rsidR="00BE7158">
        <w:rPr>
          <w:rFonts w:ascii="Arial" w:hAnsi="Arial" w:cs="Arial"/>
          <w:color w:val="000000"/>
          <w:sz w:val="20"/>
          <w:szCs w:val="20"/>
        </w:rPr>
        <w:t>and</w:t>
      </w:r>
      <w:r w:rsidR="00113920">
        <w:rPr>
          <w:rFonts w:ascii="Arial" w:hAnsi="Arial" w:cs="Arial"/>
          <w:color w:val="000000"/>
          <w:sz w:val="20"/>
          <w:szCs w:val="20"/>
        </w:rPr>
        <w:t xml:space="preserve"> potential</w:t>
      </w:r>
      <w:r w:rsidR="006A2907">
        <w:rPr>
          <w:rFonts w:ascii="Arial" w:hAnsi="Arial" w:cs="Arial"/>
          <w:color w:val="000000"/>
          <w:sz w:val="20"/>
          <w:szCs w:val="20"/>
        </w:rPr>
        <w:t xml:space="preserve"> simultaneous offsetting processes </w:t>
      </w:r>
      <w:r w:rsidRPr="007F380D">
        <w:rPr>
          <w:rFonts w:ascii="Arial" w:hAnsi="Arial" w:cs="Arial"/>
          <w:color w:val="000000"/>
          <w:sz w:val="20"/>
          <w:szCs w:val="20"/>
        </w:rPr>
        <w:t>(</w:t>
      </w:r>
      <w:r w:rsidRPr="007F380D">
        <w:rPr>
          <w:rFonts w:ascii="Arial" w:hAnsi="Arial" w:cs="Arial"/>
          <w:i/>
          <w:iCs/>
          <w:color w:val="000000"/>
          <w:sz w:val="20"/>
          <w:szCs w:val="20"/>
        </w:rPr>
        <w:t>e.g</w:t>
      </w:r>
      <w:r w:rsidRPr="007F380D">
        <w:rPr>
          <w:rFonts w:ascii="Arial" w:hAnsi="Arial" w:cs="Arial"/>
          <w:color w:val="000000"/>
          <w:sz w:val="20"/>
          <w:szCs w:val="20"/>
        </w:rPr>
        <w:t>., an increase in methane)</w:t>
      </w:r>
      <w:r w:rsidR="006A2907">
        <w:rPr>
          <w:rFonts w:ascii="Arial" w:hAnsi="Arial" w:cs="Arial"/>
          <w:color w:val="000000"/>
          <w:sz w:val="20"/>
          <w:szCs w:val="20"/>
        </w:rPr>
        <w:t>.</w:t>
      </w:r>
      <w:r w:rsidRPr="007F380D">
        <w:rPr>
          <w:rFonts w:ascii="Arial" w:hAnsi="Arial" w:cs="Arial"/>
          <w:color w:val="000000"/>
          <w:sz w:val="20"/>
          <w:szCs w:val="20"/>
        </w:rPr>
        <w:t xml:space="preserve"> </w:t>
      </w:r>
      <w:r w:rsidR="006A2907">
        <w:rPr>
          <w:rFonts w:ascii="Arial" w:hAnsi="Arial" w:cs="Arial"/>
          <w:color w:val="000000"/>
          <w:sz w:val="20"/>
          <w:szCs w:val="20"/>
        </w:rPr>
        <w:t xml:space="preserve">While additional work employing a more complex model is needed, </w:t>
      </w:r>
      <w:r w:rsidR="00897D26">
        <w:rPr>
          <w:rFonts w:ascii="Arial" w:hAnsi="Arial" w:cs="Arial"/>
          <w:color w:val="000000"/>
          <w:sz w:val="20"/>
          <w:szCs w:val="20"/>
        </w:rPr>
        <w:t>this</w:t>
      </w:r>
      <w:r w:rsidR="006A2907">
        <w:rPr>
          <w:rFonts w:ascii="Arial" w:hAnsi="Arial" w:cs="Arial"/>
          <w:color w:val="000000"/>
          <w:sz w:val="20"/>
          <w:szCs w:val="20"/>
        </w:rPr>
        <w:t xml:space="preserve"> first-order estimate suggests that </w:t>
      </w:r>
      <w:r w:rsidRPr="007F380D">
        <w:rPr>
          <w:rFonts w:ascii="Arial" w:hAnsi="Arial" w:cs="Arial"/>
          <w:color w:val="000000"/>
          <w:sz w:val="20"/>
          <w:szCs w:val="20"/>
        </w:rPr>
        <w:t xml:space="preserve">higher water vapor associated with anthropogenic climate change </w:t>
      </w:r>
      <w:r w:rsidR="006A2907">
        <w:rPr>
          <w:rFonts w:ascii="Arial" w:hAnsi="Arial" w:cs="Arial"/>
          <w:color w:val="000000"/>
          <w:sz w:val="20"/>
          <w:szCs w:val="20"/>
        </w:rPr>
        <w:t xml:space="preserve">could </w:t>
      </w:r>
      <w:r w:rsidR="00BE7158">
        <w:rPr>
          <w:rFonts w:ascii="Arial" w:hAnsi="Arial" w:cs="Arial"/>
          <w:color w:val="000000"/>
          <w:sz w:val="20"/>
          <w:szCs w:val="20"/>
        </w:rPr>
        <w:t>cause</w:t>
      </w:r>
      <w:r w:rsidRPr="007F380D">
        <w:rPr>
          <w:rFonts w:ascii="Arial" w:hAnsi="Arial" w:cs="Arial"/>
          <w:color w:val="000000"/>
          <w:sz w:val="20"/>
          <w:szCs w:val="20"/>
        </w:rPr>
        <w:t xml:space="preserve"> a departure from the recent era</w:t>
      </w:r>
      <w:r w:rsidR="006A2907">
        <w:rPr>
          <w:rFonts w:ascii="Arial" w:hAnsi="Arial" w:cs="Arial"/>
          <w:color w:val="000000"/>
          <w:sz w:val="20"/>
          <w:szCs w:val="20"/>
        </w:rPr>
        <w:t>,</w:t>
      </w:r>
      <w:r w:rsidRPr="007F380D">
        <w:rPr>
          <w:rFonts w:ascii="Arial" w:hAnsi="Arial" w:cs="Arial"/>
          <w:color w:val="000000"/>
          <w:sz w:val="20"/>
          <w:szCs w:val="20"/>
        </w:rPr>
        <w:t xml:space="preserve"> in which OH </w:t>
      </w:r>
      <w:r w:rsidR="0021232A">
        <w:rPr>
          <w:rFonts w:ascii="Arial" w:hAnsi="Arial" w:cs="Arial"/>
          <w:color w:val="000000"/>
          <w:sz w:val="20"/>
          <w:szCs w:val="20"/>
        </w:rPr>
        <w:t xml:space="preserve">derived from globally well-mixed proxies </w:t>
      </w:r>
      <w:r w:rsidRPr="007F380D">
        <w:rPr>
          <w:rFonts w:ascii="Arial" w:hAnsi="Arial" w:cs="Arial"/>
          <w:color w:val="000000"/>
          <w:sz w:val="20"/>
          <w:szCs w:val="20"/>
        </w:rPr>
        <w:t xml:space="preserve">has not shown a substantial trend since the start of the methyl chloroform record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{"citationID":"gffvgB2Z","properties":{"formattedCitation":"(18, 19, 57)","plainCitation":"(18, 19, 57)","noteIndex":0},"citationItems":[{"id":490,"uris":["http://zotero.org/users/9309103/items/DW352YL7"],"itemData":{"id":490,"type":"article-journal","container-title":"Science","DOI":"10.1126/science.1197640","ISSN":"0036-8075, 1095-9203","issue":"6013","journalAbbreviation":"Science","language":"en","page":"67-69","source":"DOI.org (Crossref)","title":"Small Interannual Variability of Global Atmospheric Hydroxyl","volume":"331","author":[{"family":"Montzka","given":"S. A."},{"family":"Krol","given":"M."},{"family":"Dlugokencky","given":"E."},{"family":"Hall","given":"B."},{"family":"Jockel","given":"P."},{"family":"Lelieveld","given":"J."}],"issued":{"date-parts":[["2011",1,7]]}}},{"id":59,"uris":["http://zotero.org/users/9309103/items/AVYESUHN"],"itemData":{"id":59,"type":"article-journal","abstract":"Trends and variability in tropospheric hydroxyl (OH) radicals influence budgets of many greenhouse gases, air pollutant species, and ozone depleting substances. Estimations of tropospheric OH trends and variability based on budget analysis of methyl chloroform (CH3CCl3) and process-based chemistry transport models often produce conflicting results. Here we use a previously tested transport model to simulate atmospheric CH3CCl3 for the period 1985–2018. Based on mismatches between model output and observations, we derive consistent anomalies in the inverse lifetime of CH3CCl3 (KG) using measurements from two independent observational networks (National Oceanic and Atmospheric Administration and Advanced Global Atmospheric Gases Experiment). Our method allows a separation between “physical” (transport, temperature) and “chemical” (i.e., abundance) influences on OH + CH3CCl3 reaction rate in the atmosphere. Small increases in KG due to “physical” influences are mostly driven by increases in the temperature-dependent reaction between OH and CH3CCl3 and resulted in a smoothly varying increase of 0.80% decade−1. Chemical effects on KG, linked to global changes in OH sources and sinks, show larger year-to-year variations (</w:instrText>
      </w:r>
      <w:r w:rsidR="0005501B">
        <w:rPr>
          <w:rFonts w:ascii="Cambria Math" w:hAnsi="Cambria Math" w:cs="Cambria Math"/>
          <w:color w:val="000000"/>
          <w:sz w:val="20"/>
          <w:szCs w:val="20"/>
        </w:rPr>
        <w:instrText>∼</w:instrText>
      </w:r>
      <w:r w:rsidR="0005501B">
        <w:rPr>
          <w:rFonts w:ascii="Arial" w:hAnsi="Arial" w:cs="Arial"/>
          <w:color w:val="000000"/>
          <w:sz w:val="20"/>
          <w:szCs w:val="20"/>
        </w:rPr>
        <w:instrText>2%–3%), and have a negative correlation with the El Niño Southern Oscillation. A significant positive trend in KG can be derived after 2001, but it persists only through 2015 and only if we assume that CH3CCl3 emissions decayed more slowly over time than our best estimate suggests. If global CH3CCl3 emissions dropped below 3 Gg year−1 after 2015, recent CH3CCl3 measurements indicate that the 2015–2018 loss rate of CH3CCl3 due to reaction with OH is comparable to its value 2 decades ago.","container-title":"Journal of Geophysical Research: Atmospheres","DOI":"10.1029/2020JD033862","ISSN":"2169-8996","issue":"4","language":"en","note":"_eprint: https://agupubs.onlinelibrary.wiley.com/doi/pdf/10.1029/2020JD033862","page":"e2020JD033862","source":"Wiley Online Library","title":"Methyl Chloroform Continues to Constrain the Hydroxyl (OH) Variability in the Troposphere","volume":"126","author":[{"family":"Patra","given":"P. K."},{"family":"Krol","given":"M. C."},{"family":"Prinn","given":"R. G."},{"family":"Takigawa","given":"M."},{"family":"Mühle","given":"J."},{"family":"Montzka","given":"S. A."},{"family":"Lal","given":"S."},{"family":"Yamashita","given":"Y."},{"family":"Naus","given":"S."},{"family":"Chandra","given":"N."},{"family":"Weiss","given":"R. F."},{"family":"Krummel","given":"P. B."},{"family":"Fraser","given":"P. J."},{"family":"O'Doherty","given":"S."},{"family":"Elkins","given":"J. W."}],"issued":{"date-parts":[["2021"]]}}},{"id":587,"uris":["http://zotero.org/users/9309103/items/JZS9VEHJ"],"itemData":{"id":587,"type":"article-journal","abstract":"&lt;p&gt;&lt;strong&gt;Abstract.&lt;/strong&gt; The hydroxyl radical (OH) is the main atmospheric oxidant and the primary sink of the greenhouse gas &lt;span class=\"inline-formula\"&gt;CH&lt;sub&gt;4&lt;/sub&gt;&lt;/span&gt;. In an attempt to constrain atmospheric levels of OH, two recent studies combined a tropospheric two-box model with hemispheric-mean observations of methyl chloroform (MCF) and &lt;span class=\"inline-formula\"&gt;CH&lt;sub&gt;4&lt;/sub&gt;&lt;/span&gt;. These studies reached different conclusions concerning the most likely explanation of the renewed &lt;span class=\"inline-formula\"&gt;CH&lt;sub&gt;4&lt;/sub&gt;&lt;/span&gt; growth rate, which reflects the uncertain and underdetermined nature of the problem. Here, we investigated how the use of a tropospheric two-box model can affect the derived constraints on &lt;span class=\"inline-formula\"&gt;OH&lt;/span&gt; due to simplifying assumptions inherent to a two-box model. To this end, we derived species- and time-dependent quantities from a full 3-D transport model to drive two-box model simulations. Furthermore, we quantified differences between the 3-D simulated tropospheric burden and the burden seen by the surface measurement network of the National Oceanic and Atmospheric Administration (NOAA). Compared to commonly used parameters in two-box models, we found significant deviations in the magnitude and time-dependence of the interhemispheric exchange rate, exposure to OH, and stratospheric loss rate. For MCF these deviations can be large due to changes in the balance of its sources and sinks over time. We also found that changes in the yearly averaged tropospheric burden of &lt;span class=\"inline-formula\"&gt;CH&lt;sub&gt;4&lt;/sub&gt;&lt;/span&gt; and MCF can be obtained within 0.96&amp;thinsp;ppb&amp;thinsp;yr&lt;span class=\"inline-formula\"&gt;&lt;sup&gt;−1&lt;/sup&gt;&lt;/span&gt; and 0.14&amp;thinsp;%&amp;thinsp;yr&lt;span class=\"inline-formula\"&gt;&lt;sup&gt;−1&lt;/sup&gt;&lt;/span&gt; by the NOAA surface network, but that substantial systematic biases exist in the interhemispheric mixing ratio gradients that are input to two-box model inversions.&lt;/p&gt; &lt;p&gt;To investigate the impact of the identified biases on constraints on OH, we accounted for these biases in a two-box model inversion of MCF and &lt;span class=\"inline-formula\"&gt;CH&lt;sub&gt;4&lt;/sub&gt;&lt;/span&gt;. We found that the sensitivity of interannual &lt;span class=\"inline-formula\"&gt;OH&lt;/span&gt; anomalies to the biases is modest (1&amp;thinsp;%–2&amp;thinsp;%), relative to the uncertainties on derived OH (3&amp;thinsp;%–4&amp;thinsp;%). However, in an inversion where we implemented all four bias corrections simultaneously, we found a shift to a positive trend in OH concentrations over the 1994–2015 period, compared to the standard inversion. Moreover, the absolute magnitude of derived global mean &lt;span class=\"inline-formula\"&gt;OH&lt;/span&gt;, and by extent, that of global &lt;span class=\"inline-formula\"&gt;CH&lt;sub&gt;4&lt;/sub&gt;&lt;/span&gt; emissions, was affected much more strongly by the bias corrections than their anomalies (&lt;span class=\"inline-formula\"&gt;</w:instrText>
      </w:r>
      <w:r w:rsidR="0005501B">
        <w:rPr>
          <w:rFonts w:ascii="Cambria Math" w:hAnsi="Cambria Math" w:cs="Cambria Math"/>
          <w:color w:val="000000"/>
          <w:sz w:val="20"/>
          <w:szCs w:val="20"/>
        </w:rPr>
        <w:instrText>∼</w:instrText>
      </w:r>
      <w:r w:rsidR="0005501B">
        <w:rPr>
          <w:rFonts w:ascii="Arial" w:hAnsi="Arial" w:cs="Arial"/>
          <w:color w:val="000000"/>
          <w:sz w:val="20"/>
          <w:szCs w:val="20"/>
        </w:rPr>
        <w:instrText xml:space="preserve">10&lt;/span&gt;&amp;thinsp;%). Through our analysis, we identified and quantified limitations in the two-box model approach as well as an opportunity for full 3-D simulations to address these limitations. However, we also found that this derivation is an extensive and species-dependent exercise and that the biases were not always entirely resolvable. In future attempts to improve constraints on the atmospheric oxidative capacity through the use of simple models, a crucial first step is to consider and account for biases similar to those we have identified for the two-box model.&lt;/p&gt;","container-title":"Atmospheric Chemistry and Physics","DOI":"https://doi.org/10.5194/acp-19-407-2019","ISSN":"1680-7316","issue":"1","language":"English","note":"publisher: Copernicus GmbH","page":"407-424","source":"www.atmos-chem-phys.net","title":"Constraints and biases in a tropospheric two-box model of OH","volume":"19","author":[{"family":"Naus","given":"Stijn"},{"family":"Montzka","given":"Stephen A."},{"family":"Pandey","given":"Sudhanshu"},{"family":"Basu","given":"Sourish"},{"family":"Dlugokencky","given":"Ed J."},{"family":"Krol","given":"Maarten"}],"issued":{"date-parts":[["2019",1,11]]}}}],"schema":"https://github.com/citation-style-language/schema/raw/master/csl-citation.json"} </w:instrText>
      </w:r>
      <w:r w:rsidRPr="007F380D">
        <w:rPr>
          <w:rFonts w:ascii="Arial" w:hAnsi="Arial" w:cs="Arial"/>
          <w:color w:val="000000"/>
          <w:sz w:val="20"/>
          <w:szCs w:val="20"/>
        </w:rPr>
        <w:fldChar w:fldCharType="separate"/>
      </w:r>
      <w:r w:rsidR="0005501B" w:rsidRPr="0005501B">
        <w:rPr>
          <w:rFonts w:ascii="Arial" w:hAnsi="Arial" w:cs="Arial"/>
          <w:sz w:val="20"/>
        </w:rPr>
        <w:t>(18, 19, 57)</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t>
      </w:r>
    </w:p>
    <w:bookmarkEnd w:id="17"/>
    <w:p w14:paraId="6071E34B" w14:textId="77ACEDA0" w:rsidR="007F380D" w:rsidRDefault="007F380D" w:rsidP="00980C22">
      <w:pPr>
        <w:keepNext/>
        <w:pBdr>
          <w:top w:val="nil"/>
          <w:left w:val="nil"/>
          <w:bottom w:val="nil"/>
          <w:right w:val="nil"/>
          <w:between w:val="nil"/>
        </w:pBdr>
        <w:spacing w:before="240" w:after="60"/>
        <w:contextualSpacing/>
        <w:jc w:val="both"/>
        <w:rPr>
          <w:rFonts w:ascii="Arial" w:hAnsi="Arial" w:cs="Arial"/>
          <w:color w:val="000000"/>
          <w:sz w:val="20"/>
          <w:szCs w:val="20"/>
        </w:rPr>
      </w:pPr>
    </w:p>
    <w:p w14:paraId="70664DD6" w14:textId="6CE87DD5" w:rsidR="00F47570" w:rsidRDefault="007F380D" w:rsidP="00F47570">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18" w:name="_Hlk131588192"/>
      <w:r w:rsidRPr="007F380D">
        <w:rPr>
          <w:rFonts w:ascii="Arial" w:hAnsi="Arial" w:cs="Arial"/>
          <w:color w:val="000000"/>
          <w:sz w:val="20"/>
          <w:szCs w:val="20"/>
        </w:rPr>
        <w:t xml:space="preserve">NO is the second-largest </w:t>
      </w:r>
      <w:r w:rsidR="003200E0">
        <w:rPr>
          <w:rFonts w:ascii="Arial" w:hAnsi="Arial" w:cs="Arial"/>
          <w:color w:val="000000"/>
          <w:sz w:val="20"/>
          <w:szCs w:val="20"/>
        </w:rPr>
        <w:t>driver of within-bin</w:t>
      </w:r>
      <w:r w:rsidRPr="007F380D">
        <w:rPr>
          <w:rFonts w:ascii="Arial" w:hAnsi="Arial" w:cs="Arial"/>
          <w:color w:val="000000"/>
          <w:sz w:val="20"/>
          <w:szCs w:val="20"/>
        </w:rPr>
        <w:t xml:space="preserve">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3200E0">
        <w:rPr>
          <w:rFonts w:ascii="Arial" w:hAnsi="Arial" w:cs="Arial"/>
          <w:color w:val="000000"/>
          <w:sz w:val="20"/>
          <w:szCs w:val="20"/>
        </w:rPr>
        <w:t xml:space="preserve">spatial </w:t>
      </w:r>
      <w:r w:rsidR="009E3FDB">
        <w:rPr>
          <w:rFonts w:ascii="Arial" w:hAnsi="Arial" w:cs="Arial"/>
          <w:color w:val="000000"/>
          <w:sz w:val="20"/>
          <w:szCs w:val="20"/>
        </w:rPr>
        <w:t>variations</w:t>
      </w:r>
      <w:r w:rsidR="003200E0">
        <w:rPr>
          <w:rFonts w:ascii="Arial" w:hAnsi="Arial" w:cs="Arial"/>
          <w:color w:val="000000"/>
          <w:sz w:val="20"/>
          <w:szCs w:val="20"/>
        </w:rPr>
        <w:t xml:space="preserve"> based on </w:t>
      </w:r>
      <w:r w:rsidR="00893850">
        <w:rPr>
          <w:rFonts w:ascii="Arial" w:hAnsi="Arial" w:cs="Arial"/>
          <w:color w:val="000000"/>
          <w:sz w:val="20"/>
          <w:szCs w:val="20"/>
        </w:rPr>
        <w:t xml:space="preserve">our </w:t>
      </w:r>
      <w:r w:rsidR="003200E0">
        <w:rPr>
          <w:rFonts w:ascii="Arial" w:hAnsi="Arial" w:cs="Arial"/>
          <w:color w:val="000000"/>
          <w:sz w:val="20"/>
          <w:szCs w:val="20"/>
        </w:rPr>
        <w:t>analysis of the ATom observations over</w:t>
      </w:r>
      <w:r w:rsidRPr="007F380D">
        <w:rPr>
          <w:rFonts w:ascii="Arial" w:hAnsi="Arial" w:cs="Arial"/>
          <w:color w:val="000000"/>
          <w:sz w:val="20"/>
          <w:szCs w:val="20"/>
        </w:rPr>
        <w:t xml:space="preserve"> the remote </w:t>
      </w:r>
      <w:r w:rsidR="003200E0">
        <w:rPr>
          <w:rFonts w:ascii="Arial" w:hAnsi="Arial" w:cs="Arial"/>
          <w:color w:val="000000"/>
          <w:sz w:val="20"/>
          <w:szCs w:val="20"/>
        </w:rPr>
        <w:t xml:space="preserve">marine </w:t>
      </w:r>
      <w:r w:rsidRPr="009170F0">
        <w:rPr>
          <w:rFonts w:ascii="Arial" w:hAnsi="Arial" w:cs="Arial"/>
          <w:color w:val="000000"/>
          <w:sz w:val="20"/>
          <w:szCs w:val="20"/>
        </w:rPr>
        <w:t xml:space="preserve">troposphere (Figure </w:t>
      </w:r>
      <w:r w:rsidR="00823989" w:rsidRPr="00497F48">
        <w:rPr>
          <w:rFonts w:ascii="Arial" w:hAnsi="Arial" w:cs="Arial"/>
          <w:color w:val="000000"/>
          <w:sz w:val="20"/>
          <w:szCs w:val="20"/>
        </w:rPr>
        <w:t>3</w:t>
      </w:r>
      <w:r w:rsidRPr="00CC7560">
        <w:rPr>
          <w:rFonts w:ascii="Arial" w:hAnsi="Arial" w:cs="Arial"/>
          <w:color w:val="000000"/>
          <w:sz w:val="20"/>
          <w:szCs w:val="20"/>
        </w:rPr>
        <w:t>a</w:t>
      </w:r>
      <w:r w:rsidR="00FA0E68">
        <w:rPr>
          <w:rFonts w:ascii="Arial" w:hAnsi="Arial" w:cs="Arial"/>
          <w:color w:val="000000"/>
          <w:sz w:val="20"/>
          <w:szCs w:val="20"/>
        </w:rPr>
        <w:t>, S10</w:t>
      </w:r>
      <w:r w:rsidRPr="00CC7560">
        <w:rPr>
          <w:rFonts w:ascii="Arial" w:hAnsi="Arial" w:cs="Arial"/>
          <w:color w:val="000000"/>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J</m:t>
            </m:r>
          </m:e>
          <m:sub>
            <m:sSup>
              <m:sSupPr>
                <m:ctrlPr>
                  <w:rPr>
                    <w:rFonts w:ascii="Cambria Math" w:hAnsi="Cambria Math" w:cs="Arial"/>
                    <w:i/>
                    <w:color w:val="000000"/>
                    <w:sz w:val="20"/>
                    <w:szCs w:val="20"/>
                  </w:rPr>
                </m:ctrlPr>
              </m:sSupPr>
              <m:e>
                <m:r>
                  <w:rPr>
                    <w:rFonts w:ascii="Cambria Math" w:hAnsi="Cambria Math" w:cs="Arial"/>
                    <w:color w:val="000000"/>
                    <w:sz w:val="20"/>
                    <w:szCs w:val="20"/>
                  </w:rPr>
                  <m:t>O(</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BF2FEC" w:rsidRPr="00497F48">
        <w:rPr>
          <w:rFonts w:ascii="Arial" w:hAnsi="Arial" w:cs="Arial"/>
          <w:color w:val="000000"/>
          <w:sz w:val="20"/>
          <w:szCs w:val="20"/>
        </w:rPr>
        <w:t xml:space="preserve"> sometimes dominates over midlatitude</w:t>
      </w:r>
      <w:r w:rsidR="00BF2FEC" w:rsidRPr="00CC7560">
        <w:rPr>
          <w:rFonts w:ascii="Arial" w:hAnsi="Arial" w:cs="Arial"/>
          <w:color w:val="000000"/>
          <w:sz w:val="20"/>
          <w:szCs w:val="20"/>
        </w:rPr>
        <w:t>, lower tropospheric regions</w:t>
      </w:r>
      <w:r w:rsidR="00BF2FEC" w:rsidRPr="00855C75">
        <w:rPr>
          <w:rFonts w:ascii="Arial" w:hAnsi="Arial" w:cs="Arial"/>
          <w:color w:val="000000"/>
          <w:sz w:val="20"/>
          <w:szCs w:val="20"/>
        </w:rPr>
        <w:t xml:space="preserve"> in the Southern Hemisphere</w:t>
      </w:r>
      <w:r w:rsidR="00BF2FEC" w:rsidRPr="00D85382">
        <w:rPr>
          <w:rFonts w:ascii="Arial" w:hAnsi="Arial" w:cs="Arial"/>
          <w:color w:val="000000"/>
          <w:sz w:val="20"/>
          <w:szCs w:val="20"/>
        </w:rPr>
        <w:t>.</w:t>
      </w:r>
      <w:r w:rsidR="00BF2FEC" w:rsidRPr="00FA7CF5">
        <w:rPr>
          <w:rFonts w:ascii="Arial" w:hAnsi="Arial" w:cs="Arial"/>
          <w:color w:val="000000"/>
          <w:sz w:val="20"/>
          <w:szCs w:val="20"/>
        </w:rPr>
        <w:t xml:space="preserve"> </w:t>
      </w:r>
      <w:r w:rsidR="00BF2FEC" w:rsidRPr="00497F48">
        <w:rPr>
          <w:rFonts w:ascii="Arial" w:hAnsi="Arial" w:cs="Arial"/>
          <w:color w:val="000000"/>
          <w:sz w:val="20"/>
          <w:szCs w:val="20"/>
        </w:rPr>
        <w:t>HO</w:t>
      </w:r>
      <w:r w:rsidR="00BF2FEC" w:rsidRPr="00497F48">
        <w:rPr>
          <w:rFonts w:ascii="Arial" w:hAnsi="Arial" w:cs="Arial"/>
          <w:color w:val="000000"/>
          <w:sz w:val="20"/>
          <w:szCs w:val="20"/>
          <w:vertAlign w:val="subscript"/>
        </w:rPr>
        <w:t>2</w:t>
      </w:r>
      <w:r w:rsidR="00BF2FEC" w:rsidRPr="00497F48">
        <w:rPr>
          <w:rFonts w:ascii="Arial" w:hAnsi="Arial" w:cs="Arial"/>
          <w:color w:val="000000"/>
          <w:sz w:val="20"/>
          <w:szCs w:val="20"/>
        </w:rPr>
        <w:t xml:space="preserve"> </w:t>
      </w:r>
      <w:r w:rsidRPr="00497F48">
        <w:rPr>
          <w:rFonts w:ascii="Arial" w:hAnsi="Arial" w:cs="Arial"/>
          <w:color w:val="000000"/>
          <w:sz w:val="20"/>
          <w:szCs w:val="20"/>
        </w:rPr>
        <w:t>emerge</w:t>
      </w:r>
      <w:r w:rsidR="00497F48" w:rsidRPr="001C08EE">
        <w:rPr>
          <w:rFonts w:ascii="Arial" w:hAnsi="Arial" w:cs="Arial"/>
          <w:color w:val="000000"/>
          <w:sz w:val="20"/>
          <w:szCs w:val="20"/>
        </w:rPr>
        <w:t>s</w:t>
      </w:r>
      <w:r w:rsidRPr="00497F48">
        <w:rPr>
          <w:rFonts w:ascii="Arial" w:hAnsi="Arial" w:cs="Arial"/>
          <w:color w:val="000000"/>
          <w:sz w:val="20"/>
          <w:szCs w:val="20"/>
        </w:rPr>
        <w:t xml:space="preserve"> as influential in some regions</w:t>
      </w:r>
      <w:r w:rsidR="00497F48" w:rsidRPr="001C08EE">
        <w:rPr>
          <w:rFonts w:ascii="Arial" w:hAnsi="Arial" w:cs="Arial"/>
          <w:color w:val="000000"/>
          <w:sz w:val="20"/>
          <w:szCs w:val="20"/>
        </w:rPr>
        <w:t>, in particular when separating the data by oceanic basin (Figure S10a,c). Ozone also affects the Proxy</w:t>
      </w:r>
      <w:r w:rsidR="00497F48" w:rsidRPr="001C08EE">
        <w:rPr>
          <w:rFonts w:ascii="Arial" w:hAnsi="Arial" w:cs="Arial"/>
          <w:i/>
          <w:iCs/>
          <w:color w:val="000000"/>
          <w:sz w:val="20"/>
          <w:szCs w:val="20"/>
          <w:vertAlign w:val="subscript"/>
        </w:rPr>
        <w:t>OH</w:t>
      </w:r>
      <w:r w:rsidR="00497F48" w:rsidRPr="001C08EE">
        <w:rPr>
          <w:rFonts w:ascii="Arial" w:hAnsi="Arial" w:cs="Arial"/>
          <w:color w:val="000000"/>
          <w:sz w:val="20"/>
          <w:szCs w:val="20"/>
        </w:rPr>
        <w:t xml:space="preserve"> spatial variations in several bins,</w:t>
      </w:r>
      <w:r w:rsidRPr="00497F48">
        <w:rPr>
          <w:rFonts w:ascii="Arial" w:hAnsi="Arial" w:cs="Arial"/>
          <w:color w:val="000000"/>
          <w:sz w:val="20"/>
          <w:szCs w:val="20"/>
        </w:rPr>
        <w:t xml:space="preserve"> </w:t>
      </w:r>
      <w:r w:rsidR="00497F48" w:rsidRPr="001C08EE">
        <w:rPr>
          <w:rFonts w:ascii="Arial" w:hAnsi="Arial" w:cs="Arial"/>
          <w:color w:val="000000"/>
          <w:sz w:val="20"/>
          <w:szCs w:val="20"/>
        </w:rPr>
        <w:t>though</w:t>
      </w:r>
      <w:r w:rsidR="00497F48" w:rsidRPr="00497F48">
        <w:rPr>
          <w:rFonts w:ascii="Arial" w:hAnsi="Arial" w:cs="Arial"/>
          <w:color w:val="000000"/>
          <w:sz w:val="20"/>
          <w:szCs w:val="20"/>
        </w:rPr>
        <w:t xml:space="preserve"> </w:t>
      </w:r>
      <w:r w:rsidRPr="00CC7560">
        <w:rPr>
          <w:rFonts w:ascii="Arial" w:hAnsi="Arial" w:cs="Arial"/>
          <w:color w:val="000000"/>
          <w:sz w:val="20"/>
          <w:szCs w:val="20"/>
        </w:rPr>
        <w:t>not substantially more (</w:t>
      </w:r>
      <w:r w:rsidR="00BE7158" w:rsidRPr="00CC7560">
        <w:rPr>
          <w:rFonts w:ascii="Arial" w:hAnsi="Arial" w:cs="Arial"/>
          <w:color w:val="000000"/>
          <w:sz w:val="20"/>
          <w:szCs w:val="20"/>
        </w:rPr>
        <w:t>Δ</w:t>
      </w:r>
      <w:r w:rsidR="00BE7158" w:rsidRPr="00855C75">
        <w:rPr>
          <w:rFonts w:ascii="Arial" w:hAnsi="Arial" w:cs="Arial"/>
          <w:i/>
          <w:iCs/>
          <w:color w:val="000000"/>
          <w:sz w:val="20"/>
          <w:szCs w:val="20"/>
        </w:rPr>
        <w:t>r</w:t>
      </w:r>
      <w:r w:rsidR="00BE7158" w:rsidRPr="00D85382">
        <w:rPr>
          <w:rFonts w:ascii="Arial" w:hAnsi="Arial" w:cs="Arial"/>
          <w:color w:val="000000"/>
          <w:sz w:val="20"/>
          <w:szCs w:val="20"/>
          <w:vertAlign w:val="superscript"/>
        </w:rPr>
        <w:t>2</w:t>
      </w:r>
      <w:r w:rsidR="00BE7158" w:rsidRPr="00FA7CF5">
        <w:rPr>
          <w:rFonts w:ascii="Arial" w:hAnsi="Arial" w:cs="Arial"/>
          <w:color w:val="000000"/>
          <w:sz w:val="20"/>
          <w:szCs w:val="20"/>
        </w:rPr>
        <w:t xml:space="preserve"> </w:t>
      </w:r>
      <w:r w:rsidRPr="00FA7CF5">
        <w:rPr>
          <w:rFonts w:ascii="Arial" w:hAnsi="Arial" w:cs="Arial"/>
          <w:color w:val="000000"/>
          <w:sz w:val="20"/>
          <w:szCs w:val="20"/>
        </w:rPr>
        <w:t xml:space="preserve">&lt; </w:t>
      </w:r>
      <w:r w:rsidR="00BE7158" w:rsidRPr="00FA7CF5">
        <w:rPr>
          <w:rFonts w:ascii="Arial" w:hAnsi="Arial" w:cs="Arial"/>
          <w:color w:val="000000"/>
          <w:sz w:val="20"/>
          <w:szCs w:val="20"/>
        </w:rPr>
        <w:t>0.</w:t>
      </w:r>
      <w:r w:rsidRPr="00632436">
        <w:rPr>
          <w:rFonts w:ascii="Arial" w:hAnsi="Arial" w:cs="Arial"/>
          <w:color w:val="000000"/>
          <w:sz w:val="20"/>
          <w:szCs w:val="20"/>
        </w:rPr>
        <w:t>2) than the next-most influential term</w:t>
      </w:r>
      <w:r w:rsidR="003200E0" w:rsidRPr="00497F48">
        <w:rPr>
          <w:rFonts w:ascii="Arial" w:hAnsi="Arial" w:cs="Arial"/>
          <w:color w:val="000000"/>
          <w:sz w:val="20"/>
          <w:szCs w:val="20"/>
        </w:rPr>
        <w:t xml:space="preserve"> (Figures 3a)</w:t>
      </w:r>
      <w:r w:rsidR="008777B1" w:rsidRPr="00497F48">
        <w:rPr>
          <w:rFonts w:ascii="Arial" w:hAnsi="Arial" w:cs="Arial"/>
          <w:color w:val="000000"/>
          <w:sz w:val="20"/>
          <w:szCs w:val="20"/>
        </w:rPr>
        <w:t xml:space="preserve">. On larger scales, ozone is </w:t>
      </w:r>
      <w:r w:rsidR="00343EF0" w:rsidRPr="00497F48">
        <w:rPr>
          <w:rFonts w:ascii="Arial" w:hAnsi="Arial" w:cs="Arial"/>
          <w:color w:val="000000"/>
          <w:sz w:val="20"/>
          <w:szCs w:val="20"/>
        </w:rPr>
        <w:t xml:space="preserve">generally </w:t>
      </w:r>
      <w:r w:rsidR="008777B1" w:rsidRPr="00497F48">
        <w:rPr>
          <w:rFonts w:ascii="Arial" w:hAnsi="Arial" w:cs="Arial"/>
          <w:color w:val="000000"/>
          <w:sz w:val="20"/>
          <w:szCs w:val="20"/>
        </w:rPr>
        <w:t>a stronger driver of Proxy</w:t>
      </w:r>
      <w:r w:rsidR="008777B1" w:rsidRPr="001C08EE">
        <w:rPr>
          <w:rFonts w:ascii="Arial" w:hAnsi="Arial" w:cs="Arial"/>
          <w:i/>
          <w:iCs/>
          <w:color w:val="000000"/>
          <w:sz w:val="20"/>
          <w:szCs w:val="20"/>
          <w:vertAlign w:val="subscript"/>
        </w:rPr>
        <w:t>OH</w:t>
      </w:r>
      <w:r w:rsidR="008777B1" w:rsidRPr="00497F48">
        <w:rPr>
          <w:rFonts w:ascii="Arial" w:hAnsi="Arial" w:cs="Arial"/>
          <w:color w:val="000000"/>
          <w:sz w:val="20"/>
          <w:szCs w:val="20"/>
        </w:rPr>
        <w:t xml:space="preserve"> spatial variations</w:t>
      </w:r>
      <w:r w:rsidR="00343EF0">
        <w:rPr>
          <w:rFonts w:ascii="Arial" w:hAnsi="Arial" w:cs="Arial"/>
          <w:color w:val="000000"/>
          <w:sz w:val="20"/>
          <w:szCs w:val="20"/>
        </w:rPr>
        <w:t xml:space="preserve"> than NO, </w:t>
      </w:r>
      <m:oMath>
        <m:sSub>
          <m:sSubPr>
            <m:ctrlPr>
              <w:rPr>
                <w:rFonts w:ascii="Cambria Math" w:hAnsi="Cambria Math" w:cs="Arial"/>
                <w:i/>
                <w:color w:val="000000"/>
                <w:sz w:val="20"/>
                <w:szCs w:val="20"/>
              </w:rPr>
            </m:ctrlPr>
          </m:sSubPr>
          <m:e>
            <m:r>
              <w:rPr>
                <w:rFonts w:ascii="Cambria Math" w:hAnsi="Cambria Math" w:cs="Arial"/>
                <w:color w:val="000000"/>
                <w:sz w:val="20"/>
                <w:szCs w:val="20"/>
              </w:rPr>
              <m:t>J</m:t>
            </m:r>
          </m:e>
          <m:sub>
            <m:sSup>
              <m:sSupPr>
                <m:ctrlPr>
                  <w:rPr>
                    <w:rFonts w:ascii="Cambria Math" w:hAnsi="Cambria Math" w:cs="Arial"/>
                    <w:i/>
                    <w:color w:val="000000"/>
                    <w:sz w:val="20"/>
                    <w:szCs w:val="20"/>
                  </w:rPr>
                </m:ctrlPr>
              </m:sSupPr>
              <m:e>
                <m:r>
                  <w:rPr>
                    <w:rFonts w:ascii="Cambria Math" w:hAnsi="Cambria Math" w:cs="Arial"/>
                    <w:color w:val="000000"/>
                    <w:sz w:val="20"/>
                    <w:szCs w:val="20"/>
                  </w:rPr>
                  <m:t>O(</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4872E2">
        <w:rPr>
          <w:rFonts w:ascii="Arial" w:eastAsiaTheme="minorEastAsia" w:hAnsi="Arial" w:cs="Arial"/>
          <w:color w:val="000000"/>
          <w:sz w:val="20"/>
          <w:szCs w:val="20"/>
        </w:rPr>
        <w:t xml:space="preserve"> or </w:t>
      </w:r>
      <w:r w:rsidR="004872E2">
        <w:rPr>
          <w:rFonts w:ascii="Arial" w:hAnsi="Arial" w:cs="Arial"/>
          <w:color w:val="000000"/>
          <w:sz w:val="20"/>
          <w:szCs w:val="20"/>
        </w:rPr>
        <w:t>HO</w:t>
      </w:r>
      <w:r w:rsidR="004872E2" w:rsidRPr="00FA22CA">
        <w:rPr>
          <w:rFonts w:ascii="Arial" w:hAnsi="Arial" w:cs="Arial"/>
          <w:color w:val="000000"/>
          <w:sz w:val="20"/>
          <w:szCs w:val="20"/>
          <w:vertAlign w:val="subscript"/>
        </w:rPr>
        <w:t>2</w:t>
      </w:r>
      <w:r w:rsidR="008777B1">
        <w:rPr>
          <w:rFonts w:ascii="Arial" w:hAnsi="Arial" w:cs="Arial"/>
          <w:color w:val="000000"/>
          <w:sz w:val="20"/>
          <w:szCs w:val="20"/>
        </w:rPr>
        <w:t xml:space="preserve">, </w:t>
      </w:r>
      <w:r w:rsidR="00343EF0">
        <w:rPr>
          <w:rFonts w:ascii="Arial" w:hAnsi="Arial" w:cs="Arial"/>
          <w:color w:val="000000"/>
          <w:sz w:val="20"/>
          <w:szCs w:val="20"/>
        </w:rPr>
        <w:t xml:space="preserve">while </w:t>
      </w:r>
      <w:r w:rsidR="008777B1">
        <w:rPr>
          <w:rFonts w:ascii="Arial" w:hAnsi="Arial" w:cs="Arial"/>
          <w:color w:val="000000"/>
          <w:sz w:val="20"/>
          <w:szCs w:val="20"/>
        </w:rPr>
        <w:t>H</w:t>
      </w:r>
      <w:r w:rsidR="008777B1" w:rsidRPr="001C08EE">
        <w:rPr>
          <w:rFonts w:ascii="Arial" w:hAnsi="Arial" w:cs="Arial"/>
          <w:color w:val="000000"/>
          <w:sz w:val="20"/>
          <w:szCs w:val="20"/>
          <w:vertAlign w:val="subscript"/>
        </w:rPr>
        <w:t>2</w:t>
      </w:r>
      <w:r w:rsidR="008777B1">
        <w:rPr>
          <w:rFonts w:ascii="Arial" w:hAnsi="Arial" w:cs="Arial"/>
          <w:color w:val="000000"/>
          <w:sz w:val="20"/>
          <w:szCs w:val="20"/>
        </w:rPr>
        <w:t xml:space="preserve">O </w:t>
      </w:r>
      <w:r w:rsidR="00343EF0">
        <w:rPr>
          <w:rFonts w:ascii="Arial" w:hAnsi="Arial" w:cs="Arial"/>
          <w:color w:val="000000"/>
          <w:sz w:val="20"/>
          <w:szCs w:val="20"/>
        </w:rPr>
        <w:t xml:space="preserve">still dominates </w:t>
      </w:r>
      <w:r w:rsidR="008777B1">
        <w:rPr>
          <w:rFonts w:ascii="Arial" w:hAnsi="Arial" w:cs="Arial"/>
          <w:color w:val="000000"/>
          <w:sz w:val="20"/>
          <w:szCs w:val="20"/>
        </w:rPr>
        <w:t>(Table S4)</w:t>
      </w:r>
      <w:r w:rsidRPr="009170F0">
        <w:rPr>
          <w:rFonts w:ascii="Arial" w:hAnsi="Arial" w:cs="Arial"/>
          <w:color w:val="000000"/>
          <w:sz w:val="20"/>
          <w:szCs w:val="20"/>
        </w:rPr>
        <w:t>.</w:t>
      </w:r>
      <w:r w:rsidR="00424C92">
        <w:rPr>
          <w:rFonts w:ascii="Arial" w:hAnsi="Arial" w:cs="Arial"/>
          <w:color w:val="000000"/>
          <w:sz w:val="20"/>
          <w:szCs w:val="20"/>
        </w:rPr>
        <w:t xml:space="preserve"> </w:t>
      </w:r>
      <w:r w:rsidR="00243720" w:rsidRPr="007F380D" w:rsidDel="009E3FDB">
        <w:rPr>
          <w:rFonts w:ascii="Arial" w:hAnsi="Arial" w:cs="Arial"/>
          <w:color w:val="000000"/>
          <w:sz w:val="20"/>
          <w:szCs w:val="20"/>
        </w:rPr>
        <w:t>The OH lifetime against CO</w:t>
      </w:r>
      <w:r w:rsidR="00243720" w:rsidRPr="007F380D" w:rsidDel="009E3FDB">
        <w:rPr>
          <w:rFonts w:ascii="Arial" w:hAnsi="Arial" w:cs="Arial"/>
          <w:i/>
          <w:iCs/>
          <w:color w:val="000000"/>
          <w:sz w:val="20"/>
          <w:szCs w:val="20"/>
          <w:vertAlign w:val="subscript"/>
        </w:rPr>
        <w:t xml:space="preserve"> </w:t>
      </w:r>
      <w:r w:rsidR="00243720" w:rsidRPr="007F380D" w:rsidDel="009E3FDB">
        <w:rPr>
          <w:rFonts w:ascii="Arial" w:hAnsi="Arial" w:cs="Arial"/>
          <w:color w:val="000000"/>
          <w:sz w:val="20"/>
          <w:szCs w:val="20"/>
        </w:rPr>
        <w:t xml:space="preserve">does not dominate </w:t>
      </w:r>
      <w:r w:rsidR="00243720">
        <w:rPr>
          <w:rFonts w:ascii="Arial" w:hAnsi="Arial" w:cs="Arial"/>
          <w:color w:val="000000"/>
          <w:sz w:val="20"/>
          <w:szCs w:val="20"/>
        </w:rPr>
        <w:t xml:space="preserve">in any of the 2 km by 20° latitudinal bins </w:t>
      </w:r>
      <w:r w:rsidR="0092631D">
        <w:rPr>
          <w:rFonts w:ascii="Arial" w:hAnsi="Arial" w:cs="Arial"/>
          <w:color w:val="000000"/>
          <w:sz w:val="20"/>
          <w:szCs w:val="20"/>
        </w:rPr>
        <w:t>or over larger spatial scales (Table S</w:t>
      </w:r>
      <w:r w:rsidR="00B568C5">
        <w:rPr>
          <w:rFonts w:ascii="Arial" w:hAnsi="Arial" w:cs="Arial"/>
          <w:color w:val="000000"/>
          <w:sz w:val="20"/>
          <w:szCs w:val="20"/>
        </w:rPr>
        <w:t>4</w:t>
      </w:r>
      <w:r w:rsidR="0092631D">
        <w:rPr>
          <w:rFonts w:ascii="Arial" w:hAnsi="Arial" w:cs="Arial"/>
          <w:color w:val="000000"/>
          <w:sz w:val="20"/>
          <w:szCs w:val="20"/>
        </w:rPr>
        <w:t xml:space="preserve">) </w:t>
      </w:r>
      <w:r w:rsidR="007E1C26">
        <w:rPr>
          <w:rFonts w:ascii="Arial" w:hAnsi="Arial" w:cs="Arial"/>
          <w:color w:val="000000"/>
          <w:sz w:val="20"/>
          <w:szCs w:val="20"/>
        </w:rPr>
        <w:t xml:space="preserve">likely </w:t>
      </w:r>
      <w:r w:rsidR="00243720">
        <w:rPr>
          <w:rFonts w:ascii="Arial" w:hAnsi="Arial" w:cs="Arial"/>
          <w:color w:val="000000"/>
          <w:sz w:val="20"/>
          <w:szCs w:val="20"/>
        </w:rPr>
        <w:t>due to</w:t>
      </w:r>
      <w:r w:rsidR="00243720" w:rsidRPr="007F380D" w:rsidDel="008B3B48">
        <w:rPr>
          <w:rFonts w:ascii="Arial" w:hAnsi="Arial" w:cs="Arial"/>
          <w:color w:val="000000"/>
          <w:sz w:val="20"/>
          <w:szCs w:val="20"/>
        </w:rPr>
        <w:t xml:space="preserve"> </w:t>
      </w:r>
      <w:r w:rsidR="00243720" w:rsidRPr="007F380D" w:rsidDel="009E3FDB">
        <w:rPr>
          <w:rFonts w:ascii="Arial" w:hAnsi="Arial" w:cs="Arial"/>
          <w:color w:val="000000"/>
          <w:sz w:val="20"/>
          <w:szCs w:val="20"/>
        </w:rPr>
        <w:t>the relatively long lifetime of CO</w:t>
      </w:r>
      <w:r w:rsidR="0092631D">
        <w:rPr>
          <w:rFonts w:ascii="Arial" w:hAnsi="Arial" w:cs="Arial"/>
          <w:color w:val="000000"/>
          <w:sz w:val="20"/>
          <w:szCs w:val="20"/>
        </w:rPr>
        <w:t>.</w:t>
      </w:r>
      <w:r w:rsidR="00243720" w:rsidRPr="007F380D" w:rsidDel="009E3FDB">
        <w:rPr>
          <w:rFonts w:ascii="Arial" w:hAnsi="Arial" w:cs="Arial"/>
          <w:color w:val="000000"/>
          <w:sz w:val="20"/>
          <w:szCs w:val="20"/>
        </w:rPr>
        <w:t xml:space="preserve"> </w:t>
      </w:r>
      <w:r w:rsidR="0092631D">
        <w:rPr>
          <w:rFonts w:ascii="Arial" w:hAnsi="Arial" w:cs="Arial"/>
          <w:color w:val="000000"/>
          <w:sz w:val="20"/>
          <w:szCs w:val="20"/>
        </w:rPr>
        <w:t>However, t</w:t>
      </w:r>
      <w:r w:rsidR="00243720" w:rsidRPr="007F380D" w:rsidDel="009E3FDB">
        <w:rPr>
          <w:rFonts w:ascii="Arial" w:hAnsi="Arial" w:cs="Arial"/>
          <w:color w:val="000000"/>
          <w:sz w:val="20"/>
          <w:szCs w:val="20"/>
        </w:rPr>
        <w:t xml:space="preserve">rends in CO sources </w:t>
      </w:r>
      <w:r w:rsidR="0092631D">
        <w:rPr>
          <w:rFonts w:ascii="Arial" w:hAnsi="Arial" w:cs="Arial"/>
          <w:color w:val="000000"/>
          <w:sz w:val="20"/>
          <w:szCs w:val="20"/>
        </w:rPr>
        <w:t>may</w:t>
      </w:r>
      <w:r w:rsidR="00243720" w:rsidRPr="007F380D" w:rsidDel="009E3FDB">
        <w:rPr>
          <w:rFonts w:ascii="Arial" w:hAnsi="Arial" w:cs="Arial"/>
          <w:color w:val="000000"/>
          <w:sz w:val="20"/>
          <w:szCs w:val="20"/>
        </w:rPr>
        <w:t xml:space="preserve"> affect the OH sensitivity over longer timescales, for example, due to climate-driven changes in biomass burning emissions </w:t>
      </w:r>
      <w:r w:rsidR="00243720" w:rsidRPr="007F380D" w:rsidDel="009E3FDB">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{"citationID":"X6xNHMEs","properties":{"formattedCitation":"(58)","plainCitation":"(58)","noteIndex":0},"citationItems":[{"id":722,"uris":["http://zotero.org/users/9309103/items/55D4C38V"],"itemData":{"id":722,"type":"article-journal","abstract":"In the Southern Hemisphere and tropics, the main contribution to carbon monoxide (CO) variability is from fire emissions, which are connected to climate through the availability, type, and dryness of fuel. Here we assess the data-driven relationships between CO and climate, aiming to predict atmospheric loading during fire seasons. Observations of total column CO from the Measurements Of Pollution In The Troposphere satellite instrument are used to build a record of monthly anomalies between 2001 and 2016, focusing on seven biomass burning regions of the Southern Hemisphere and tropics. With the exception of 2015, the range of absolute variability in CO is similar between regions. We model CO anomalies in each of the regions using climate indices for the climate modes: El Niño–Southern Oscillation, Indian Ocean Dipole, Tropical South Atlantic, and Antarctic Oscillation. Stepwise forward and backward variable selection is used to choose from statistical regression models that use combinations of climate indices, at lag times between 1 and 8 months relative to CO anomalies. The Bayesian information criterion selects models with the best predictive power. We find that all climate mode indices are required to model CO in each region, generally explaining over 50% of the variability and over 70% for tropical regions. First-order interaction terms of the climate modes are necessary, producing greatly improved explanation of CO variability over single terms. Predictive capability is assessed for the Maritime Southeast Asia and the predicted peak CO anomaly in 2015 is within 20% of the measurements.","container-title":"Journal of Geophysical Research: Atmospheres","DOI":"10.1029/2018JD028438","ISSN":"2169-8996","issue":"17","language":"en","note":"_eprint: https://onlinelibrary.wiley.com/doi/pdf/10.1029/2018JD028438","page":"9786-9800","source":"Wiley Online Library","title":"Links Between Carbon Monoxide and Climate Indices for the Southern Hemisphere and Tropical Fire Regions","volume":"123","author":[{"family":"Buchholz","given":"R. R."},{"family":"Hammerling","given":"D."},{"family":"Worden","given":"H. M."},{"family":"Deeter","given":"M. N."},{"family":"Emmons","given":"L. K."},{"family":"Edwards","given":"D. P."},{"family":"Monks","given":"S. A."}],"issued":{"date-parts":[["2018"]]}}}],"schema":"https://github.com/citation-style-language/schema/raw/master/csl-citation.json"} </w:instrText>
      </w:r>
      <w:r w:rsidR="00243720" w:rsidRPr="007F380D" w:rsidDel="009E3FDB">
        <w:rPr>
          <w:rFonts w:ascii="Arial" w:hAnsi="Arial" w:cs="Arial"/>
          <w:color w:val="000000"/>
          <w:sz w:val="20"/>
          <w:szCs w:val="20"/>
        </w:rPr>
        <w:fldChar w:fldCharType="separate"/>
      </w:r>
      <w:r w:rsidR="0005501B" w:rsidRPr="0005501B">
        <w:rPr>
          <w:rFonts w:ascii="Arial" w:hAnsi="Arial" w:cs="Arial"/>
          <w:sz w:val="20"/>
        </w:rPr>
        <w:t>(58)</w:t>
      </w:r>
      <w:r w:rsidR="00243720" w:rsidRPr="007F380D" w:rsidDel="009E3FDB">
        <w:rPr>
          <w:rFonts w:ascii="Arial" w:hAnsi="Arial" w:cs="Arial"/>
          <w:color w:val="000000"/>
          <w:sz w:val="20"/>
          <w:szCs w:val="20"/>
        </w:rPr>
        <w:fldChar w:fldCharType="end"/>
      </w:r>
      <w:r w:rsidR="00243720" w:rsidRPr="007F380D" w:rsidDel="009E3FDB">
        <w:rPr>
          <w:rFonts w:ascii="Arial" w:hAnsi="Arial" w:cs="Arial"/>
          <w:color w:val="000000"/>
          <w:sz w:val="20"/>
          <w:szCs w:val="20"/>
        </w:rPr>
        <w:t>.</w:t>
      </w:r>
    </w:p>
    <w:bookmarkEnd w:id="18"/>
    <w:p w14:paraId="15FC4405" w14:textId="0F7FD482" w:rsidR="00F12C16" w:rsidRDefault="00F12C16" w:rsidP="00F47570">
      <w:pPr>
        <w:keepNext/>
        <w:pBdr>
          <w:top w:val="nil"/>
          <w:left w:val="nil"/>
          <w:bottom w:val="nil"/>
          <w:right w:val="nil"/>
          <w:between w:val="nil"/>
        </w:pBdr>
        <w:spacing w:before="240" w:after="60"/>
        <w:contextualSpacing/>
        <w:jc w:val="both"/>
        <w:rPr>
          <w:rFonts w:ascii="Arial" w:hAnsi="Arial" w:cs="Arial"/>
          <w:color w:val="000000"/>
          <w:sz w:val="20"/>
          <w:szCs w:val="20"/>
        </w:rPr>
      </w:pPr>
    </w:p>
    <w:p w14:paraId="5B42663E" w14:textId="7068A28A" w:rsidR="00F12C16" w:rsidRDefault="00F12C16" w:rsidP="00F12C16">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19" w:name="_Hlk130397154"/>
      <w:r w:rsidRPr="00F12C16">
        <w:rPr>
          <w:rFonts w:ascii="Arial" w:hAnsi="Arial" w:cs="Arial"/>
          <w:color w:val="000000"/>
          <w:sz w:val="20"/>
          <w:szCs w:val="20"/>
        </w:rPr>
        <w:t xml:space="preserve">We compare </w:t>
      </w:r>
      <w:r w:rsidR="00893850" w:rsidRPr="00F12C16">
        <w:rPr>
          <w:rFonts w:ascii="Arial" w:hAnsi="Arial" w:cs="Arial"/>
          <w:color w:val="000000"/>
          <w:sz w:val="20"/>
          <w:szCs w:val="20"/>
        </w:rPr>
        <w:t xml:space="preserve">a </w:t>
      </w:r>
      <w:r w:rsidR="00893850">
        <w:rPr>
          <w:rFonts w:ascii="Arial" w:hAnsi="Arial" w:cs="Arial"/>
          <w:color w:val="000000"/>
          <w:sz w:val="20"/>
          <w:szCs w:val="20"/>
        </w:rPr>
        <w:t xml:space="preserve">parallel decomposition of a </w:t>
      </w:r>
      <w:r w:rsidR="00893850" w:rsidRPr="00F12C16">
        <w:rPr>
          <w:rFonts w:ascii="Arial" w:hAnsi="Arial" w:cs="Arial"/>
          <w:color w:val="000000"/>
          <w:sz w:val="20"/>
          <w:szCs w:val="20"/>
        </w:rPr>
        <w:t xml:space="preserve">more comprehensive </w:t>
      </w:r>
      <w:r w:rsidR="00893850">
        <w:rPr>
          <w:rFonts w:ascii="Arial" w:hAnsi="Arial" w:cs="Arial"/>
          <w:color w:val="000000"/>
          <w:sz w:val="20"/>
          <w:szCs w:val="20"/>
        </w:rPr>
        <w:t xml:space="preserve">proxy </w:t>
      </w:r>
      <w:r w:rsidR="00893850" w:rsidRPr="00F12C16">
        <w:rPr>
          <w:rFonts w:ascii="Arial" w:hAnsi="Arial" w:cs="Arial"/>
          <w:color w:val="000000"/>
          <w:sz w:val="20"/>
          <w:szCs w:val="20"/>
        </w:rPr>
        <w:t xml:space="preserve">version </w:t>
      </w:r>
      <w:r w:rsidR="00893850">
        <w:rPr>
          <w:rFonts w:ascii="Arial" w:hAnsi="Arial" w:cs="Arial"/>
          <w:color w:val="000000"/>
          <w:sz w:val="20"/>
          <w:szCs w:val="20"/>
        </w:rPr>
        <w:t xml:space="preserve">with </w:t>
      </w:r>
      <w:r w:rsidRPr="00F12C16">
        <w:rPr>
          <w:rFonts w:ascii="Arial" w:hAnsi="Arial" w:cs="Arial"/>
          <w:color w:val="000000"/>
          <w:sz w:val="20"/>
          <w:szCs w:val="20"/>
        </w:rPr>
        <w:t xml:space="preserve">the </w:t>
      </w:r>
      <w:r w:rsidR="00AB6554" w:rsidRPr="00AB6554">
        <w:rPr>
          <w:rFonts w:ascii="Arial" w:hAnsi="Arial" w:cs="Arial"/>
          <w:color w:val="000000"/>
          <w:sz w:val="20"/>
          <w:szCs w:val="20"/>
        </w:rPr>
        <w:t xml:space="preserve">terms </w:t>
      </w:r>
      <w:r w:rsidR="00831927">
        <w:rPr>
          <w:rFonts w:ascii="Arial" w:hAnsi="Arial" w:cs="Arial"/>
          <w:color w:val="000000"/>
          <w:sz w:val="20"/>
          <w:szCs w:val="20"/>
        </w:rPr>
        <w:t xml:space="preserve">that </w:t>
      </w:r>
      <w:r w:rsidR="00AB6554" w:rsidRPr="00AB6554">
        <w:rPr>
          <w:rFonts w:ascii="Arial" w:hAnsi="Arial" w:cs="Arial"/>
          <w:color w:val="000000"/>
          <w:sz w:val="20"/>
          <w:szCs w:val="20"/>
        </w:rPr>
        <w:t xml:space="preserve">covary most strongly with </w:t>
      </w:r>
      <w:r w:rsidR="00893850">
        <w:rPr>
          <w:rFonts w:ascii="Arial" w:hAnsi="Arial" w:cs="Arial"/>
          <w:color w:val="000000"/>
          <w:sz w:val="20"/>
          <w:szCs w:val="20"/>
        </w:rPr>
        <w:t>Proxy</w:t>
      </w:r>
      <w:r w:rsidR="00893850" w:rsidRPr="001C08EE">
        <w:rPr>
          <w:rFonts w:ascii="Arial" w:hAnsi="Arial" w:cs="Arial"/>
          <w:i/>
          <w:iCs/>
          <w:color w:val="000000"/>
          <w:sz w:val="20"/>
          <w:szCs w:val="20"/>
          <w:vertAlign w:val="subscript"/>
        </w:rPr>
        <w:t>OH</w:t>
      </w:r>
      <w:r w:rsidR="00831927">
        <w:rPr>
          <w:rFonts w:ascii="Arial" w:hAnsi="Arial" w:cs="Arial"/>
          <w:color w:val="000000"/>
          <w:sz w:val="20"/>
          <w:szCs w:val="20"/>
        </w:rPr>
        <w:t xml:space="preserve"> (</w:t>
      </w:r>
      <w:r w:rsidR="00FA0E68">
        <w:rPr>
          <w:rFonts w:ascii="Arial" w:hAnsi="Arial" w:cs="Arial"/>
          <w:color w:val="000000"/>
          <w:sz w:val="20"/>
          <w:szCs w:val="20"/>
        </w:rPr>
        <w:t xml:space="preserve">compare </w:t>
      </w:r>
      <w:r w:rsidR="00831927">
        <w:rPr>
          <w:rFonts w:ascii="Arial" w:hAnsi="Arial" w:cs="Arial"/>
          <w:color w:val="000000"/>
          <w:sz w:val="20"/>
          <w:szCs w:val="20"/>
        </w:rPr>
        <w:t>Figure</w:t>
      </w:r>
      <w:r w:rsidR="00FA0E68">
        <w:rPr>
          <w:rFonts w:ascii="Arial" w:hAnsi="Arial" w:cs="Arial"/>
          <w:color w:val="000000"/>
          <w:sz w:val="20"/>
          <w:szCs w:val="20"/>
        </w:rPr>
        <w:t>s</w:t>
      </w:r>
      <w:r w:rsidR="00831927">
        <w:rPr>
          <w:rFonts w:ascii="Arial" w:hAnsi="Arial" w:cs="Arial"/>
          <w:color w:val="000000"/>
          <w:sz w:val="20"/>
          <w:szCs w:val="20"/>
        </w:rPr>
        <w:t xml:space="preserve"> 3</w:t>
      </w:r>
      <w:r w:rsidR="00FA0E68">
        <w:rPr>
          <w:rFonts w:ascii="Arial" w:hAnsi="Arial" w:cs="Arial"/>
          <w:color w:val="000000"/>
          <w:sz w:val="20"/>
          <w:szCs w:val="20"/>
        </w:rPr>
        <w:t xml:space="preserve"> and S11</w:t>
      </w:r>
      <w:r w:rsidR="00831927">
        <w:rPr>
          <w:rFonts w:ascii="Arial" w:hAnsi="Arial" w:cs="Arial"/>
          <w:color w:val="000000"/>
          <w:sz w:val="20"/>
          <w:szCs w:val="20"/>
        </w:rPr>
        <w:t>)</w:t>
      </w:r>
      <w:r w:rsidR="00AB6554">
        <w:rPr>
          <w:rFonts w:ascii="Arial" w:hAnsi="Arial" w:cs="Arial"/>
          <w:color w:val="000000"/>
          <w:sz w:val="20"/>
          <w:szCs w:val="20"/>
        </w:rPr>
        <w:t xml:space="preserve">. The expanded proxy </w:t>
      </w:r>
      <w:r w:rsidRPr="00F12C16">
        <w:rPr>
          <w:rFonts w:ascii="Arial" w:hAnsi="Arial" w:cs="Arial"/>
          <w:color w:val="000000"/>
          <w:sz w:val="20"/>
          <w:szCs w:val="20"/>
        </w:rPr>
        <w:t xml:space="preserve">includes additional terms affecting </w:t>
      </w:r>
      <w:r w:rsidR="00AB6554">
        <w:rPr>
          <w:rFonts w:ascii="Arial" w:hAnsi="Arial" w:cs="Arial"/>
          <w:color w:val="000000"/>
          <w:sz w:val="20"/>
          <w:szCs w:val="20"/>
        </w:rPr>
        <w:t>[</w:t>
      </w:r>
      <w:r w:rsidRPr="00F12C16">
        <w:rPr>
          <w:rFonts w:ascii="Arial" w:hAnsi="Arial" w:cs="Arial"/>
          <w:color w:val="000000"/>
          <w:sz w:val="20"/>
          <w:szCs w:val="20"/>
        </w:rPr>
        <w:t>OH</w:t>
      </w:r>
      <w:r w:rsidR="00AB6554">
        <w:rPr>
          <w:rFonts w:ascii="Arial" w:hAnsi="Arial" w:cs="Arial"/>
          <w:color w:val="000000"/>
          <w:sz w:val="20"/>
          <w:szCs w:val="20"/>
        </w:rPr>
        <w:t>]</w:t>
      </w:r>
      <w:r w:rsidRPr="00F12C16">
        <w:rPr>
          <w:rFonts w:ascii="Arial" w:hAnsi="Arial" w:cs="Arial"/>
          <w:color w:val="000000"/>
          <w:sz w:val="20"/>
          <w:szCs w:val="20"/>
        </w:rPr>
        <w:t xml:space="preserve"> </w:t>
      </w:r>
      <w:r>
        <w:rPr>
          <w:rFonts w:ascii="Arial" w:hAnsi="Arial" w:cs="Arial"/>
          <w:color w:val="000000"/>
          <w:sz w:val="20"/>
          <w:szCs w:val="20"/>
        </w:rPr>
        <w:t xml:space="preserve">that were </w:t>
      </w:r>
      <w:r w:rsidRPr="00F12C16">
        <w:rPr>
          <w:rFonts w:ascii="Arial" w:hAnsi="Arial" w:cs="Arial"/>
          <w:color w:val="000000"/>
          <w:sz w:val="20"/>
          <w:szCs w:val="20"/>
        </w:rPr>
        <w:t xml:space="preserve">identified </w:t>
      </w:r>
      <w:r w:rsidR="00AB6554">
        <w:rPr>
          <w:rFonts w:ascii="Arial" w:hAnsi="Arial" w:cs="Arial"/>
          <w:color w:val="000000"/>
          <w:sz w:val="20"/>
          <w:szCs w:val="20"/>
        </w:rPr>
        <w:t xml:space="preserve">in previous sections </w:t>
      </w:r>
      <w:r w:rsidRPr="00F12C16">
        <w:rPr>
          <w:rFonts w:ascii="Arial" w:hAnsi="Arial" w:cs="Arial"/>
          <w:color w:val="000000"/>
          <w:sz w:val="20"/>
          <w:szCs w:val="20"/>
        </w:rPr>
        <w:t xml:space="preserve">as important </w:t>
      </w:r>
      <w:r>
        <w:rPr>
          <w:rFonts w:ascii="Arial" w:hAnsi="Arial" w:cs="Arial"/>
          <w:color w:val="000000"/>
          <w:sz w:val="20"/>
          <w:szCs w:val="20"/>
        </w:rPr>
        <w:t xml:space="preserve">for </w:t>
      </w:r>
      <w:r w:rsidRPr="00F12C16">
        <w:rPr>
          <w:rFonts w:ascii="Arial" w:hAnsi="Arial" w:cs="Arial"/>
          <w:color w:val="000000"/>
          <w:sz w:val="20"/>
          <w:szCs w:val="20"/>
        </w:rPr>
        <w:t>reconstructing the total OH abundance</w:t>
      </w:r>
      <w:r w:rsidR="00AB6554">
        <w:rPr>
          <w:rFonts w:ascii="Arial" w:hAnsi="Arial" w:cs="Arial"/>
          <w:color w:val="000000"/>
          <w:sz w:val="20"/>
          <w:szCs w:val="20"/>
        </w:rPr>
        <w:t xml:space="preserve"> based on their contribution to the total OH source or sink</w:t>
      </w:r>
      <w:r w:rsidRPr="00F12C16">
        <w:rPr>
          <w:rFonts w:ascii="Arial" w:hAnsi="Arial" w:cs="Arial"/>
          <w:color w:val="000000"/>
          <w:sz w:val="20"/>
          <w:szCs w:val="20"/>
        </w:rPr>
        <w:t xml:space="preserve"> (Figures S1, S2</w:t>
      </w:r>
      <w:r w:rsidR="00AB6554">
        <w:rPr>
          <w:rFonts w:ascii="Arial" w:hAnsi="Arial" w:cs="Arial"/>
          <w:color w:val="000000"/>
          <w:sz w:val="20"/>
          <w:szCs w:val="20"/>
        </w:rPr>
        <w:t xml:space="preserve">; Table S1) or an increased slope of the proxy-[OH] fit (Figure </w:t>
      </w:r>
      <w:r w:rsidRPr="00F12C16">
        <w:rPr>
          <w:rFonts w:ascii="Arial" w:hAnsi="Arial" w:cs="Arial"/>
          <w:color w:val="000000"/>
          <w:sz w:val="20"/>
          <w:szCs w:val="20"/>
        </w:rPr>
        <w:t xml:space="preserve">S9; </w:t>
      </w:r>
      <w:r w:rsidR="00AB6554">
        <w:rPr>
          <w:rFonts w:ascii="Arial" w:hAnsi="Arial" w:cs="Arial"/>
          <w:color w:val="000000"/>
          <w:sz w:val="20"/>
          <w:szCs w:val="20"/>
        </w:rPr>
        <w:t xml:space="preserve">Table </w:t>
      </w:r>
      <w:r w:rsidRPr="00F12C16">
        <w:rPr>
          <w:rFonts w:ascii="Arial" w:hAnsi="Arial" w:cs="Arial"/>
          <w:color w:val="000000"/>
          <w:sz w:val="20"/>
          <w:szCs w:val="20"/>
        </w:rPr>
        <w:t xml:space="preserve">S3). Additional </w:t>
      </w:r>
      <w:r w:rsidR="00AB6554">
        <w:rPr>
          <w:rFonts w:ascii="Arial" w:hAnsi="Arial" w:cs="Arial"/>
          <w:color w:val="000000"/>
          <w:sz w:val="20"/>
          <w:szCs w:val="20"/>
        </w:rPr>
        <w:t xml:space="preserve">OH production </w:t>
      </w:r>
      <w:r w:rsidRPr="00F12C16">
        <w:rPr>
          <w:rFonts w:ascii="Arial" w:hAnsi="Arial" w:cs="Arial"/>
          <w:color w:val="000000"/>
          <w:sz w:val="20"/>
          <w:szCs w:val="20"/>
        </w:rPr>
        <w:t>terms are H</w:t>
      </w:r>
      <w:r w:rsidRPr="00F12C16">
        <w:rPr>
          <w:rFonts w:ascii="Arial" w:hAnsi="Arial" w:cs="Arial"/>
          <w:color w:val="000000"/>
          <w:sz w:val="20"/>
          <w:szCs w:val="20"/>
          <w:vertAlign w:val="subscript"/>
        </w:rPr>
        <w:t>2</w:t>
      </w:r>
      <w:r w:rsidRPr="00F12C16">
        <w:rPr>
          <w:rFonts w:ascii="Arial" w:hAnsi="Arial" w:cs="Arial"/>
          <w:color w:val="000000"/>
          <w:sz w:val="20"/>
          <w:szCs w:val="20"/>
        </w:rPr>
        <w:t>O</w:t>
      </w:r>
      <w:r w:rsidRPr="00F12C16">
        <w:rPr>
          <w:rFonts w:ascii="Arial" w:hAnsi="Arial" w:cs="Arial"/>
          <w:color w:val="000000"/>
          <w:sz w:val="20"/>
          <w:szCs w:val="20"/>
          <w:vertAlign w:val="subscript"/>
        </w:rPr>
        <w:t>2</w:t>
      </w:r>
      <w:r w:rsidRPr="00F12C16">
        <w:rPr>
          <w:rFonts w:ascii="Arial" w:hAnsi="Arial" w:cs="Arial"/>
          <w:color w:val="000000"/>
          <w:sz w:val="20"/>
          <w:szCs w:val="20"/>
        </w:rPr>
        <w:t xml:space="preserve"> photolysis and the reaction of HO</w:t>
      </w:r>
      <w:r w:rsidRPr="00F12C16">
        <w:rPr>
          <w:rFonts w:ascii="Arial" w:hAnsi="Arial" w:cs="Arial"/>
          <w:color w:val="000000"/>
          <w:sz w:val="20"/>
          <w:szCs w:val="20"/>
          <w:vertAlign w:val="subscript"/>
        </w:rPr>
        <w:t>2</w:t>
      </w:r>
      <w:r w:rsidRPr="00F12C16">
        <w:rPr>
          <w:rFonts w:ascii="Arial" w:hAnsi="Arial" w:cs="Arial"/>
          <w:color w:val="000000"/>
          <w:sz w:val="20"/>
          <w:szCs w:val="20"/>
        </w:rPr>
        <w:t xml:space="preserve"> </w:t>
      </w:r>
      <w:r w:rsidR="00E37493">
        <w:rPr>
          <w:rFonts w:ascii="Arial" w:hAnsi="Arial" w:cs="Arial"/>
          <w:color w:val="000000"/>
          <w:sz w:val="20"/>
          <w:szCs w:val="20"/>
        </w:rPr>
        <w:t>with</w:t>
      </w:r>
      <w:r w:rsidR="00E37493" w:rsidRPr="00F12C16">
        <w:rPr>
          <w:rFonts w:ascii="Arial" w:hAnsi="Arial" w:cs="Arial"/>
          <w:color w:val="000000"/>
          <w:sz w:val="20"/>
          <w:szCs w:val="20"/>
        </w:rPr>
        <w:t xml:space="preserve"> </w:t>
      </w:r>
      <w:r w:rsidRPr="00F12C16">
        <w:rPr>
          <w:rFonts w:ascii="Arial" w:hAnsi="Arial" w:cs="Arial"/>
          <w:color w:val="000000"/>
          <w:sz w:val="20"/>
          <w:szCs w:val="20"/>
        </w:rPr>
        <w:t>O</w:t>
      </w:r>
      <w:r w:rsidRPr="00F12C16">
        <w:rPr>
          <w:rFonts w:ascii="Arial" w:hAnsi="Arial" w:cs="Arial"/>
          <w:color w:val="000000"/>
          <w:sz w:val="20"/>
          <w:szCs w:val="20"/>
          <w:vertAlign w:val="subscript"/>
        </w:rPr>
        <w:t>3</w:t>
      </w:r>
      <w:r w:rsidR="00E37493">
        <w:rPr>
          <w:rFonts w:ascii="Arial" w:hAnsi="Arial" w:cs="Arial"/>
          <w:color w:val="000000"/>
          <w:sz w:val="20"/>
          <w:szCs w:val="20"/>
        </w:rPr>
        <w:t>;</w:t>
      </w:r>
      <w:r w:rsidRPr="00F12C16">
        <w:rPr>
          <w:rFonts w:ascii="Arial" w:hAnsi="Arial" w:cs="Arial"/>
          <w:color w:val="000000"/>
          <w:sz w:val="20"/>
          <w:szCs w:val="20"/>
        </w:rPr>
        <w:t xml:space="preserve"> </w:t>
      </w:r>
      <w:r w:rsidR="00AB6554">
        <w:rPr>
          <w:rFonts w:ascii="Arial" w:hAnsi="Arial" w:cs="Arial"/>
          <w:color w:val="000000"/>
          <w:sz w:val="20"/>
          <w:szCs w:val="20"/>
        </w:rPr>
        <w:t xml:space="preserve">OH </w:t>
      </w:r>
      <w:r w:rsidRPr="00F12C16">
        <w:rPr>
          <w:rFonts w:ascii="Arial" w:hAnsi="Arial" w:cs="Arial"/>
          <w:color w:val="000000"/>
          <w:sz w:val="20"/>
          <w:szCs w:val="20"/>
        </w:rPr>
        <w:t xml:space="preserve">sink </w:t>
      </w:r>
      <w:r w:rsidR="00AB6554">
        <w:rPr>
          <w:rFonts w:ascii="Arial" w:hAnsi="Arial" w:cs="Arial"/>
          <w:color w:val="000000"/>
          <w:sz w:val="20"/>
          <w:szCs w:val="20"/>
        </w:rPr>
        <w:t xml:space="preserve">terms </w:t>
      </w:r>
      <w:r w:rsidRPr="00F12C16">
        <w:rPr>
          <w:rFonts w:ascii="Arial" w:hAnsi="Arial" w:cs="Arial"/>
          <w:color w:val="000000"/>
          <w:sz w:val="20"/>
          <w:szCs w:val="20"/>
        </w:rPr>
        <w:t xml:space="preserve">are </w:t>
      </w:r>
      <w:r w:rsidR="00AB6554">
        <w:rPr>
          <w:rFonts w:ascii="Arial" w:hAnsi="Arial" w:cs="Arial"/>
          <w:color w:val="000000"/>
          <w:sz w:val="20"/>
          <w:szCs w:val="20"/>
        </w:rPr>
        <w:t xml:space="preserve">its reaction with </w:t>
      </w:r>
      <w:r w:rsidRPr="00F12C16">
        <w:rPr>
          <w:rFonts w:ascii="Arial" w:hAnsi="Arial" w:cs="Arial"/>
          <w:color w:val="000000"/>
          <w:sz w:val="20"/>
          <w:szCs w:val="20"/>
        </w:rPr>
        <w:t>methane, formaldehyde and methyl hydroperoxide. Conducting the same sensitivity analysis,</w:t>
      </w:r>
      <w:r w:rsidR="00AB6554">
        <w:rPr>
          <w:rFonts w:ascii="Arial" w:hAnsi="Arial" w:cs="Arial"/>
          <w:color w:val="000000"/>
          <w:sz w:val="20"/>
          <w:szCs w:val="20"/>
        </w:rPr>
        <w:t xml:space="preserve"> as in Figure 3a,</w:t>
      </w:r>
      <w:r w:rsidRPr="00F12C16">
        <w:rPr>
          <w:rFonts w:ascii="Arial" w:hAnsi="Arial" w:cs="Arial"/>
          <w:color w:val="000000"/>
          <w:sz w:val="20"/>
          <w:szCs w:val="20"/>
        </w:rPr>
        <w:t xml:space="preserve"> the same terms dominate the base and expanded proxy sensitivity analysis (Figure S11)</w:t>
      </w:r>
      <w:r w:rsidR="00AB6554">
        <w:rPr>
          <w:rFonts w:ascii="Arial" w:hAnsi="Arial" w:cs="Arial"/>
          <w:color w:val="000000"/>
          <w:sz w:val="20"/>
          <w:szCs w:val="20"/>
        </w:rPr>
        <w:t>. We conclude</w:t>
      </w:r>
      <w:r w:rsidRPr="00F12C16">
        <w:rPr>
          <w:rFonts w:ascii="Arial" w:hAnsi="Arial" w:cs="Arial"/>
          <w:color w:val="000000"/>
          <w:sz w:val="20"/>
          <w:szCs w:val="20"/>
        </w:rPr>
        <w:t xml:space="preserve"> that the base Proxy</w:t>
      </w:r>
      <w:r w:rsidRPr="00F12C16">
        <w:rPr>
          <w:rFonts w:ascii="Arial" w:hAnsi="Arial" w:cs="Arial"/>
          <w:i/>
          <w:iCs/>
          <w:color w:val="000000"/>
          <w:sz w:val="20"/>
          <w:szCs w:val="20"/>
          <w:vertAlign w:val="subscript"/>
        </w:rPr>
        <w:t>OH</w:t>
      </w:r>
      <w:r w:rsidRPr="00F12C16">
        <w:rPr>
          <w:rFonts w:ascii="Arial" w:hAnsi="Arial" w:cs="Arial"/>
          <w:color w:val="000000"/>
          <w:sz w:val="20"/>
          <w:szCs w:val="20"/>
        </w:rPr>
        <w:t xml:space="preserve"> captures key terms for </w:t>
      </w:r>
      <w:r w:rsidR="00AB6554">
        <w:rPr>
          <w:rFonts w:ascii="Arial" w:hAnsi="Arial" w:cs="Arial"/>
          <w:color w:val="000000"/>
          <w:sz w:val="20"/>
          <w:szCs w:val="20"/>
        </w:rPr>
        <w:t xml:space="preserve">inferring </w:t>
      </w:r>
      <w:r w:rsidRPr="00F12C16">
        <w:rPr>
          <w:rFonts w:ascii="Arial" w:hAnsi="Arial" w:cs="Arial"/>
          <w:color w:val="000000"/>
          <w:sz w:val="20"/>
          <w:szCs w:val="20"/>
        </w:rPr>
        <w:t xml:space="preserve">within-bin OH spatial variations (compare </w:t>
      </w:r>
      <w:r>
        <w:rPr>
          <w:rFonts w:ascii="Arial" w:hAnsi="Arial" w:cs="Arial"/>
          <w:color w:val="000000"/>
          <w:sz w:val="20"/>
          <w:szCs w:val="20"/>
        </w:rPr>
        <w:t xml:space="preserve">bins with asterisks in </w:t>
      </w:r>
      <w:r w:rsidRPr="00F12C16">
        <w:rPr>
          <w:rFonts w:ascii="Arial" w:hAnsi="Arial" w:cs="Arial"/>
          <w:color w:val="000000"/>
          <w:sz w:val="20"/>
          <w:szCs w:val="20"/>
        </w:rPr>
        <w:t>Figures 3 and S11). This sensitivity analysis indicates that</w:t>
      </w:r>
      <w:r w:rsidR="00AB6554">
        <w:rPr>
          <w:rFonts w:ascii="Arial" w:hAnsi="Arial" w:cs="Arial"/>
          <w:color w:val="000000"/>
          <w:sz w:val="20"/>
          <w:szCs w:val="20"/>
        </w:rPr>
        <w:t>, even though</w:t>
      </w:r>
      <w:r w:rsidRPr="00F12C16">
        <w:rPr>
          <w:rFonts w:ascii="Arial" w:hAnsi="Arial" w:cs="Arial"/>
          <w:color w:val="000000"/>
          <w:sz w:val="20"/>
          <w:szCs w:val="20"/>
        </w:rPr>
        <w:t xml:space="preserve"> some </w:t>
      </w:r>
      <w:r w:rsidR="00AB6554">
        <w:rPr>
          <w:rFonts w:ascii="Arial" w:hAnsi="Arial" w:cs="Arial"/>
          <w:color w:val="000000"/>
          <w:sz w:val="20"/>
          <w:szCs w:val="20"/>
        </w:rPr>
        <w:t>of the expanded proxy terms</w:t>
      </w:r>
      <w:r w:rsidRPr="00F12C16">
        <w:rPr>
          <w:rFonts w:ascii="Arial" w:hAnsi="Arial" w:cs="Arial"/>
          <w:color w:val="000000"/>
          <w:sz w:val="20"/>
          <w:szCs w:val="20"/>
        </w:rPr>
        <w:t xml:space="preserve"> affect the magnitude of OH</w:t>
      </w:r>
      <w:r w:rsidR="00AB6554">
        <w:rPr>
          <w:rFonts w:ascii="Arial" w:hAnsi="Arial" w:cs="Arial"/>
          <w:color w:val="000000"/>
          <w:sz w:val="20"/>
          <w:szCs w:val="20"/>
        </w:rPr>
        <w:t xml:space="preserve"> </w:t>
      </w:r>
      <w:r w:rsidR="00AB6554" w:rsidRPr="00F12C16">
        <w:rPr>
          <w:rFonts w:ascii="Arial" w:hAnsi="Arial" w:cs="Arial"/>
          <w:color w:val="000000"/>
          <w:sz w:val="20"/>
          <w:szCs w:val="20"/>
        </w:rPr>
        <w:t>(</w:t>
      </w:r>
      <w:r w:rsidR="00AB6554" w:rsidRPr="00F12C16">
        <w:rPr>
          <w:rFonts w:ascii="Arial" w:hAnsi="Arial" w:cs="Arial"/>
          <w:i/>
          <w:iCs/>
          <w:color w:val="000000"/>
          <w:sz w:val="20"/>
          <w:szCs w:val="20"/>
        </w:rPr>
        <w:t>e.g</w:t>
      </w:r>
      <w:r w:rsidR="00AB6554" w:rsidRPr="00F12C16">
        <w:rPr>
          <w:rFonts w:ascii="Arial" w:hAnsi="Arial" w:cs="Arial"/>
          <w:color w:val="000000"/>
          <w:sz w:val="20"/>
          <w:szCs w:val="20"/>
        </w:rPr>
        <w:t>., CH</w:t>
      </w:r>
      <w:r w:rsidR="00AB6554" w:rsidRPr="00F12C16">
        <w:rPr>
          <w:rFonts w:ascii="Arial" w:hAnsi="Arial" w:cs="Arial"/>
          <w:color w:val="000000"/>
          <w:sz w:val="20"/>
          <w:szCs w:val="20"/>
          <w:vertAlign w:val="subscript"/>
        </w:rPr>
        <w:t>3</w:t>
      </w:r>
      <w:r w:rsidR="00AB6554" w:rsidRPr="00F12C16">
        <w:rPr>
          <w:rFonts w:ascii="Arial" w:hAnsi="Arial" w:cs="Arial"/>
          <w:color w:val="000000"/>
          <w:sz w:val="20"/>
          <w:szCs w:val="20"/>
        </w:rPr>
        <w:t>OOH; see Figure S9)</w:t>
      </w:r>
      <w:r w:rsidR="00AB6554">
        <w:rPr>
          <w:rFonts w:ascii="Arial" w:hAnsi="Arial" w:cs="Arial"/>
          <w:color w:val="000000"/>
          <w:sz w:val="20"/>
          <w:szCs w:val="20"/>
        </w:rPr>
        <w:t>, they</w:t>
      </w:r>
      <w:r w:rsidRPr="00F12C16">
        <w:rPr>
          <w:rFonts w:ascii="Arial" w:hAnsi="Arial" w:cs="Arial"/>
          <w:color w:val="000000"/>
          <w:sz w:val="20"/>
          <w:szCs w:val="20"/>
        </w:rPr>
        <w:t xml:space="preserve"> are not as influential over OH spatial variations on these scales.</w:t>
      </w:r>
    </w:p>
    <w:bookmarkEnd w:id="19"/>
    <w:p w14:paraId="3B91502D" w14:textId="77777777" w:rsidR="00831927" w:rsidRDefault="00831927" w:rsidP="00F47570">
      <w:pPr>
        <w:keepNext/>
        <w:pBdr>
          <w:top w:val="nil"/>
          <w:left w:val="nil"/>
          <w:bottom w:val="nil"/>
          <w:right w:val="nil"/>
          <w:between w:val="nil"/>
        </w:pBdr>
        <w:spacing w:before="240" w:after="60"/>
        <w:contextualSpacing/>
        <w:jc w:val="both"/>
        <w:rPr>
          <w:rFonts w:ascii="Arial" w:hAnsi="Arial" w:cs="Arial"/>
          <w:color w:val="000000"/>
          <w:sz w:val="20"/>
          <w:szCs w:val="20"/>
        </w:rPr>
      </w:pPr>
    </w:p>
    <w:p w14:paraId="2724524A" w14:textId="667FDF7B" w:rsidR="00F47570" w:rsidRDefault="003200E0" w:rsidP="00F47570">
      <w:pPr>
        <w:keepNext/>
        <w:pBdr>
          <w:top w:val="nil"/>
          <w:left w:val="nil"/>
          <w:bottom w:val="nil"/>
          <w:right w:val="nil"/>
          <w:between w:val="nil"/>
        </w:pBdr>
        <w:spacing w:before="240" w:after="60"/>
        <w:contextualSpacing/>
        <w:jc w:val="both"/>
        <w:rPr>
          <w:rFonts w:ascii="Arial" w:hAnsi="Arial" w:cs="Arial"/>
          <w:b/>
          <w:color w:val="000000"/>
          <w:sz w:val="20"/>
          <w:szCs w:val="20"/>
        </w:rPr>
      </w:pPr>
      <w:r>
        <w:rPr>
          <w:rFonts w:ascii="Arial" w:hAnsi="Arial" w:cs="Arial"/>
          <w:b/>
          <w:color w:val="000000"/>
          <w:sz w:val="20"/>
          <w:szCs w:val="20"/>
        </w:rPr>
        <w:t>6</w:t>
      </w:r>
      <w:r w:rsidR="007F380D">
        <w:rPr>
          <w:rFonts w:ascii="Arial" w:hAnsi="Arial" w:cs="Arial"/>
          <w:b/>
          <w:color w:val="000000"/>
          <w:sz w:val="20"/>
          <w:szCs w:val="20"/>
        </w:rPr>
        <w:t xml:space="preserve">. </w:t>
      </w:r>
      <w:r w:rsidR="007F380D" w:rsidRPr="007F380D">
        <w:rPr>
          <w:rFonts w:ascii="Arial" w:hAnsi="Arial" w:cs="Arial"/>
          <w:b/>
          <w:color w:val="000000"/>
          <w:sz w:val="20"/>
          <w:szCs w:val="20"/>
        </w:rPr>
        <w:t>Evaluating a chemistry-climate model using Proxy</w:t>
      </w:r>
      <w:r w:rsidR="007F380D" w:rsidRPr="007F380D">
        <w:rPr>
          <w:rFonts w:ascii="Arial" w:hAnsi="Arial" w:cs="Arial"/>
          <w:b/>
          <w:i/>
          <w:iCs/>
          <w:color w:val="000000"/>
          <w:sz w:val="20"/>
          <w:szCs w:val="20"/>
          <w:vertAlign w:val="subscript"/>
        </w:rPr>
        <w:t>OH</w:t>
      </w:r>
      <w:r w:rsidR="007F380D" w:rsidRPr="007F380D">
        <w:rPr>
          <w:rFonts w:ascii="Arial" w:hAnsi="Arial" w:cs="Arial"/>
          <w:b/>
          <w:color w:val="000000"/>
          <w:sz w:val="20"/>
          <w:szCs w:val="20"/>
        </w:rPr>
        <w:t xml:space="preserve"> </w:t>
      </w:r>
    </w:p>
    <w:p w14:paraId="47E12D75" w14:textId="77777777" w:rsidR="00F47570" w:rsidRDefault="00F47570" w:rsidP="00F47570">
      <w:pPr>
        <w:pBdr>
          <w:top w:val="nil"/>
          <w:left w:val="nil"/>
          <w:bottom w:val="nil"/>
          <w:right w:val="nil"/>
          <w:between w:val="nil"/>
        </w:pBdr>
        <w:spacing w:before="240" w:after="60"/>
        <w:contextualSpacing/>
        <w:rPr>
          <w:rFonts w:ascii="Arial" w:hAnsi="Arial" w:cs="Arial"/>
          <w:b/>
          <w:color w:val="000000"/>
          <w:sz w:val="20"/>
          <w:szCs w:val="20"/>
        </w:rPr>
      </w:pPr>
    </w:p>
    <w:p w14:paraId="3AD2C509" w14:textId="5FE066B3" w:rsidR="00EE5334" w:rsidRPr="00F47570" w:rsidRDefault="007F380D" w:rsidP="00F47570">
      <w:pPr>
        <w:pBdr>
          <w:top w:val="nil"/>
          <w:left w:val="nil"/>
          <w:bottom w:val="nil"/>
          <w:right w:val="nil"/>
          <w:between w:val="nil"/>
        </w:pBdr>
        <w:spacing w:before="240" w:after="60"/>
        <w:contextualSpacing/>
        <w:rPr>
          <w:rFonts w:ascii="Arial" w:hAnsi="Arial" w:cs="Arial"/>
          <w:b/>
          <w:color w:val="000000"/>
          <w:sz w:val="20"/>
          <w:szCs w:val="20"/>
        </w:rPr>
      </w:pPr>
      <w:r w:rsidRPr="007F380D">
        <w:rPr>
          <w:rFonts w:ascii="Arial" w:hAnsi="Arial" w:cs="Arial"/>
          <w:color w:val="000000"/>
          <w:sz w:val="20"/>
          <w:szCs w:val="20"/>
        </w:rPr>
        <w:t>We illustrate how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can be used to evaluate the processes that control </w:t>
      </w:r>
      <w:r w:rsidR="000215C3">
        <w:rPr>
          <w:rFonts w:ascii="Arial" w:hAnsi="Arial" w:cs="Arial"/>
          <w:color w:val="000000"/>
          <w:sz w:val="20"/>
          <w:szCs w:val="20"/>
        </w:rPr>
        <w:t xml:space="preserve">spatial </w:t>
      </w:r>
      <w:r w:rsidRPr="007F380D">
        <w:rPr>
          <w:rFonts w:ascii="Arial" w:hAnsi="Arial" w:cs="Arial"/>
          <w:color w:val="000000"/>
          <w:sz w:val="20"/>
          <w:szCs w:val="20"/>
        </w:rPr>
        <w:t xml:space="preserve">OH </w:t>
      </w:r>
      <w:r w:rsidR="009E3FDB">
        <w:rPr>
          <w:rFonts w:ascii="Arial" w:hAnsi="Arial" w:cs="Arial"/>
          <w:color w:val="000000"/>
          <w:sz w:val="20"/>
          <w:szCs w:val="20"/>
        </w:rPr>
        <w:t>variations</w:t>
      </w:r>
      <w:r w:rsidRPr="007F380D">
        <w:rPr>
          <w:rFonts w:ascii="Arial" w:hAnsi="Arial" w:cs="Arial"/>
          <w:color w:val="000000"/>
          <w:sz w:val="20"/>
          <w:szCs w:val="20"/>
        </w:rPr>
        <w:t xml:space="preserve"> in a chemistry-climate model. </w:t>
      </w:r>
      <w:r w:rsidR="004C61E8">
        <w:rPr>
          <w:rFonts w:ascii="Arial" w:hAnsi="Arial" w:cs="Arial"/>
          <w:color w:val="000000"/>
          <w:sz w:val="20"/>
          <w:szCs w:val="20"/>
        </w:rPr>
        <w:t>Paralleling</w:t>
      </w:r>
      <w:r w:rsidRPr="007F380D">
        <w:rPr>
          <w:rFonts w:ascii="Arial" w:hAnsi="Arial" w:cs="Arial"/>
          <w:color w:val="000000"/>
          <w:sz w:val="20"/>
          <w:szCs w:val="20"/>
        </w:rPr>
        <w:t xml:space="preserve"> our observation-based analysis, we construct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from hourly fields archived from the GFDL </w:t>
      </w:r>
      <w:r w:rsidRPr="00695C57">
        <w:rPr>
          <w:rFonts w:ascii="Arial" w:hAnsi="Arial" w:cs="Arial"/>
          <w:color w:val="000000"/>
          <w:sz w:val="20"/>
          <w:szCs w:val="20"/>
        </w:rPr>
        <w:t xml:space="preserve">AM3 chemistry-climate model </w:t>
      </w:r>
      <w:r w:rsidR="004C61E8">
        <w:rPr>
          <w:rFonts w:ascii="Arial" w:hAnsi="Arial" w:cs="Arial"/>
          <w:color w:val="000000"/>
          <w:sz w:val="20"/>
          <w:szCs w:val="20"/>
        </w:rPr>
        <w:t>for comparison with</w:t>
      </w:r>
      <w:r w:rsidR="004C61E8" w:rsidRPr="00695C57">
        <w:rPr>
          <w:rFonts w:ascii="Arial" w:hAnsi="Arial" w:cs="Arial"/>
          <w:color w:val="000000"/>
          <w:sz w:val="20"/>
          <w:szCs w:val="20"/>
        </w:rPr>
        <w:t xml:space="preserve"> </w:t>
      </w:r>
      <w:r w:rsidRPr="00695C57">
        <w:rPr>
          <w:rFonts w:ascii="Arial" w:hAnsi="Arial" w:cs="Arial"/>
          <w:color w:val="000000"/>
          <w:sz w:val="20"/>
          <w:szCs w:val="20"/>
        </w:rPr>
        <w:t>AM3-simulated OH (</w:t>
      </w:r>
      <w:r w:rsidR="00AA7045" w:rsidRPr="00695C57">
        <w:rPr>
          <w:rFonts w:ascii="Arial" w:hAnsi="Arial" w:cs="Arial"/>
          <w:color w:val="000000"/>
          <w:sz w:val="20"/>
          <w:szCs w:val="20"/>
        </w:rPr>
        <w:t xml:space="preserve">Methods </w:t>
      </w:r>
      <w:r w:rsidR="00A42EF2">
        <w:rPr>
          <w:rFonts w:ascii="Arial" w:hAnsi="Arial" w:cs="Arial"/>
          <w:color w:val="000000"/>
          <w:sz w:val="20"/>
          <w:szCs w:val="20"/>
        </w:rPr>
        <w:t>8</w:t>
      </w:r>
      <w:r w:rsidR="00AA7045" w:rsidRPr="00695C57">
        <w:rPr>
          <w:rFonts w:ascii="Arial" w:hAnsi="Arial" w:cs="Arial"/>
          <w:color w:val="000000"/>
          <w:sz w:val="20"/>
          <w:szCs w:val="20"/>
        </w:rPr>
        <w:t>.</w:t>
      </w:r>
      <w:r w:rsidRPr="00695C57">
        <w:rPr>
          <w:rFonts w:ascii="Arial" w:hAnsi="Arial" w:cs="Arial"/>
          <w:color w:val="000000"/>
          <w:sz w:val="20"/>
          <w:szCs w:val="20"/>
        </w:rPr>
        <w:t>1.4). Proxy</w:t>
      </w:r>
      <w:r w:rsidRPr="00695C57">
        <w:rPr>
          <w:rFonts w:ascii="Arial" w:hAnsi="Arial" w:cs="Arial"/>
          <w:i/>
          <w:iCs/>
          <w:color w:val="000000"/>
          <w:sz w:val="20"/>
          <w:szCs w:val="20"/>
          <w:vertAlign w:val="subscript"/>
        </w:rPr>
        <w:t>OH</w:t>
      </w:r>
      <w:r w:rsidRPr="00695C57">
        <w:rPr>
          <w:rFonts w:ascii="Arial" w:hAnsi="Arial" w:cs="Arial"/>
          <w:color w:val="000000"/>
          <w:sz w:val="20"/>
          <w:szCs w:val="20"/>
        </w:rPr>
        <w:t>-[OH] correlations in the global AM3 model sampled along the ATom flight tracks (orange points and line in Figure 1) have a spatial me</w:t>
      </w:r>
      <w:r w:rsidR="004C61E8">
        <w:rPr>
          <w:rFonts w:ascii="Arial" w:hAnsi="Arial" w:cs="Arial"/>
          <w:color w:val="000000"/>
          <w:sz w:val="20"/>
          <w:szCs w:val="20"/>
        </w:rPr>
        <w:t>di</w:t>
      </w:r>
      <w:r w:rsidRPr="00695C57">
        <w:rPr>
          <w:rFonts w:ascii="Arial" w:hAnsi="Arial" w:cs="Arial"/>
          <w:color w:val="000000"/>
          <w:sz w:val="20"/>
          <w:szCs w:val="20"/>
        </w:rPr>
        <w:t xml:space="preserve">an </w:t>
      </w:r>
      <m:oMath>
        <m:sSubSup>
          <m:sSubSupPr>
            <m:ctrlPr>
              <w:rPr>
                <w:rFonts w:ascii="Cambria Math" w:eastAsiaTheme="minorEastAsia" w:hAnsi="Cambria Math" w:cs="Arial"/>
                <w:i/>
                <w:color w:val="000000"/>
                <w:sz w:val="20"/>
                <w:szCs w:val="20"/>
              </w:rPr>
            </m:ctrlPr>
          </m:sSubSupPr>
          <m:e>
            <m:r>
              <w:rPr>
                <w:rFonts w:ascii="Cambria Math" w:eastAsiaTheme="minorEastAsia" w:hAnsi="Cambria Math" w:cs="Arial"/>
                <w:color w:val="000000"/>
                <w:sz w:val="20"/>
                <w:szCs w:val="20"/>
              </w:rPr>
              <m:t>r</m:t>
            </m:r>
          </m:e>
          <m:sub>
            <m:r>
              <w:rPr>
                <w:rFonts w:ascii="Cambria Math" w:eastAsiaTheme="minorEastAsia" w:hAnsi="Cambria Math" w:cs="Arial"/>
                <w:color w:val="000000"/>
                <w:sz w:val="20"/>
                <w:szCs w:val="20"/>
              </w:rPr>
              <m:t>Mdn</m:t>
            </m:r>
          </m:sub>
          <m:sup>
            <m:r>
              <w:rPr>
                <w:rFonts w:ascii="Cambria Math" w:eastAsiaTheme="minorEastAsia" w:hAnsi="Cambria Math" w:cs="Arial"/>
                <w:color w:val="000000"/>
                <w:sz w:val="20"/>
                <w:szCs w:val="20"/>
              </w:rPr>
              <m:t>2</m:t>
            </m:r>
          </m:sup>
        </m:sSubSup>
      </m:oMath>
      <w:r w:rsidRPr="00695C57">
        <w:rPr>
          <w:rFonts w:ascii="Arial" w:hAnsi="Arial" w:cs="Arial"/>
          <w:color w:val="000000"/>
          <w:sz w:val="20"/>
          <w:szCs w:val="20"/>
        </w:rPr>
        <w:t xml:space="preserve"> = 0.</w:t>
      </w:r>
      <w:r w:rsidR="005E041C" w:rsidRPr="00695C57">
        <w:rPr>
          <w:rFonts w:ascii="Arial" w:hAnsi="Arial" w:cs="Arial"/>
          <w:color w:val="000000"/>
          <w:sz w:val="20"/>
          <w:szCs w:val="20"/>
        </w:rPr>
        <w:t>95</w:t>
      </w:r>
      <w:r w:rsidRPr="00695C57">
        <w:rPr>
          <w:rFonts w:ascii="Arial" w:hAnsi="Arial" w:cs="Arial"/>
          <w:color w:val="000000"/>
          <w:sz w:val="20"/>
          <w:szCs w:val="20"/>
        </w:rPr>
        <w:t xml:space="preserve">, </w:t>
      </w:r>
      <w:r w:rsidR="005E041C" w:rsidRPr="00695C57">
        <w:rPr>
          <w:rFonts w:ascii="Arial" w:hAnsi="Arial" w:cs="Arial"/>
          <w:color w:val="000000"/>
          <w:sz w:val="20"/>
          <w:szCs w:val="20"/>
        </w:rPr>
        <w:t xml:space="preserve">just above </w:t>
      </w:r>
      <w:r w:rsidRPr="00695C57">
        <w:rPr>
          <w:rFonts w:ascii="Arial" w:hAnsi="Arial" w:cs="Arial"/>
          <w:color w:val="000000"/>
          <w:sz w:val="20"/>
          <w:szCs w:val="20"/>
        </w:rPr>
        <w:t xml:space="preserve">the </w:t>
      </w:r>
      <w:r w:rsidR="00AC637C" w:rsidRPr="00695C57">
        <w:rPr>
          <w:rFonts w:ascii="Arial" w:hAnsi="Arial" w:cs="Arial"/>
          <w:color w:val="000000"/>
          <w:sz w:val="20"/>
          <w:szCs w:val="20"/>
        </w:rPr>
        <w:t xml:space="preserve">interquartile range </w:t>
      </w:r>
      <w:r w:rsidRPr="00695C57">
        <w:rPr>
          <w:rFonts w:ascii="Arial" w:hAnsi="Arial" w:cs="Arial"/>
          <w:color w:val="000000"/>
          <w:sz w:val="20"/>
          <w:szCs w:val="20"/>
        </w:rPr>
        <w:t>of the observationally</w:t>
      </w:r>
      <w:r w:rsidRPr="007F380D">
        <w:rPr>
          <w:rFonts w:ascii="Arial" w:hAnsi="Arial" w:cs="Arial"/>
          <w:color w:val="000000"/>
          <w:sz w:val="20"/>
          <w:szCs w:val="20"/>
        </w:rPr>
        <w:t xml:space="preserve"> derived</w:t>
      </w:r>
      <w:r w:rsidR="00AC637C">
        <w:rPr>
          <w:rFonts w:ascii="Arial" w:hAnsi="Arial" w:cs="Arial"/>
          <w:color w:val="000000"/>
          <w:sz w:val="20"/>
          <w:szCs w:val="20"/>
        </w:rPr>
        <w:t xml:space="preserve"> </w:t>
      </w:r>
      <m:oMath>
        <m:sSubSup>
          <m:sSubSupPr>
            <m:ctrlPr>
              <w:rPr>
                <w:rFonts w:ascii="Cambria Math" w:hAnsi="Cambria Math" w:cs="Arial"/>
                <w:i/>
                <w:color w:val="000000"/>
                <w:sz w:val="20"/>
                <w:szCs w:val="20"/>
              </w:rPr>
            </m:ctrlPr>
          </m:sSubSupPr>
          <m:e>
            <m:r>
              <w:rPr>
                <w:rFonts w:ascii="Cambria Math" w:hAnsi="Cambria Math" w:cs="Arial"/>
                <w:color w:val="000000"/>
                <w:sz w:val="20"/>
                <w:szCs w:val="20"/>
              </w:rPr>
              <m:t>r</m:t>
            </m:r>
          </m:e>
          <m:sub>
            <m:r>
              <w:rPr>
                <w:rFonts w:ascii="Cambria Math" w:hAnsi="Cambria Math" w:cs="Arial"/>
                <w:color w:val="000000"/>
                <w:sz w:val="20"/>
                <w:szCs w:val="20"/>
              </w:rPr>
              <m:t>Mdn</m:t>
            </m:r>
          </m:sub>
          <m:sup>
            <m:r>
              <w:rPr>
                <w:rFonts w:ascii="Cambria Math" w:hAnsi="Cambria Math" w:cs="Arial"/>
                <w:color w:val="000000"/>
                <w:sz w:val="20"/>
                <w:szCs w:val="20"/>
              </w:rPr>
              <m:t>2</m:t>
            </m:r>
          </m:sup>
        </m:sSubSup>
      </m:oMath>
      <w:r w:rsidR="00AC637C">
        <w:rPr>
          <w:rFonts w:ascii="Arial" w:eastAsiaTheme="minorEastAsia" w:hAnsi="Arial" w:cs="Arial"/>
          <w:color w:val="000000"/>
          <w:sz w:val="20"/>
          <w:szCs w:val="20"/>
        </w:rPr>
        <w:t xml:space="preserve"> (</w:t>
      </w:r>
      <w:r w:rsidR="00AC637C" w:rsidRPr="004D4394">
        <w:rPr>
          <w:rFonts w:ascii="Arial" w:hAnsi="Arial" w:cs="Arial"/>
          <w:bCs/>
          <w:color w:val="000000"/>
          <w:sz w:val="20"/>
          <w:szCs w:val="20"/>
        </w:rPr>
        <w:t>0.</w:t>
      </w:r>
      <w:r w:rsidR="00620DA9">
        <w:rPr>
          <w:rFonts w:ascii="Arial" w:hAnsi="Arial" w:cs="Arial"/>
          <w:bCs/>
          <w:color w:val="000000"/>
          <w:sz w:val="20"/>
          <w:szCs w:val="20"/>
        </w:rPr>
        <w:t>90</w:t>
      </w:r>
      <w:r w:rsidR="00AC637C">
        <w:rPr>
          <w:rFonts w:ascii="Arial" w:hAnsi="Arial" w:cs="Arial"/>
          <w:bCs/>
          <w:color w:val="000000"/>
          <w:sz w:val="20"/>
          <w:szCs w:val="20"/>
        </w:rPr>
        <w:t>,</w:t>
      </w:r>
      <w:r w:rsidR="00AC637C" w:rsidRPr="004D4394">
        <w:rPr>
          <w:rFonts w:ascii="Arial" w:hAnsi="Arial" w:cs="Arial"/>
          <w:bCs/>
          <w:color w:val="000000"/>
          <w:sz w:val="20"/>
          <w:szCs w:val="20"/>
        </w:rPr>
        <w:t xml:space="preserve"> IQR = 0.</w:t>
      </w:r>
      <w:r w:rsidR="00620DA9">
        <w:rPr>
          <w:rFonts w:ascii="Arial" w:hAnsi="Arial" w:cs="Arial"/>
          <w:bCs/>
          <w:color w:val="000000"/>
          <w:sz w:val="20"/>
          <w:szCs w:val="20"/>
        </w:rPr>
        <w:t>80</w:t>
      </w:r>
      <w:r w:rsidR="00AC637C" w:rsidRPr="004D4394">
        <w:rPr>
          <w:rFonts w:ascii="Arial" w:hAnsi="Arial" w:cs="Arial"/>
          <w:bCs/>
          <w:color w:val="000000"/>
          <w:sz w:val="20"/>
          <w:szCs w:val="20"/>
        </w:rPr>
        <w:t xml:space="preserve"> - 0.94)</w:t>
      </w:r>
      <w:r w:rsidRPr="007F380D">
        <w:rPr>
          <w:rFonts w:ascii="Arial" w:hAnsi="Arial" w:cs="Arial"/>
          <w:color w:val="000000"/>
          <w:sz w:val="20"/>
          <w:szCs w:val="20"/>
        </w:rPr>
        <w:t xml:space="preserve">. The slightly tighter modeled relationship may reflect the different spatiotemporal coverage of the two </w:t>
      </w:r>
      <w:r w:rsidRPr="00E11A4E">
        <w:rPr>
          <w:rFonts w:ascii="Arial" w:hAnsi="Arial" w:cs="Arial"/>
          <w:color w:val="000000"/>
          <w:sz w:val="20"/>
          <w:szCs w:val="20"/>
        </w:rPr>
        <w:t xml:space="preserve">datasets, or it could indicate a model underestimate in  OH </w:t>
      </w:r>
      <w:r w:rsidR="004C61E8">
        <w:rPr>
          <w:rFonts w:ascii="Arial" w:hAnsi="Arial" w:cs="Arial"/>
          <w:color w:val="000000"/>
          <w:sz w:val="20"/>
          <w:szCs w:val="20"/>
        </w:rPr>
        <w:t>sink variations</w:t>
      </w:r>
      <w:r w:rsidR="004C61E8" w:rsidRPr="00E11A4E">
        <w:rPr>
          <w:rFonts w:ascii="Arial" w:hAnsi="Arial" w:cs="Arial"/>
          <w:color w:val="000000"/>
          <w:sz w:val="20"/>
          <w:szCs w:val="20"/>
        </w:rPr>
        <w:t xml:space="preserve"> </w:t>
      </w:r>
      <w:r w:rsidRPr="00E11A4E">
        <w:rPr>
          <w:rFonts w:ascii="Arial" w:hAnsi="Arial" w:cs="Arial"/>
          <w:color w:val="000000"/>
          <w:sz w:val="20"/>
          <w:szCs w:val="20"/>
        </w:rPr>
        <w:fldChar w:fldCharType="begin"/>
      </w:r>
      <w:r w:rsidR="00556E00">
        <w:rPr>
          <w:rFonts w:ascii="Arial" w:hAnsi="Arial" w:cs="Arial"/>
          <w:color w:val="000000"/>
          <w:sz w:val="20"/>
          <w:szCs w:val="20"/>
        </w:rPr>
        <w:instrText xml:space="preserve"> ADDIN ZOTERO_ITEM CSL_CITATION {"citationID":"h18zJoLO","properties":{"formattedCitation":"(59, 60)","plainCitation":"(59, 60)","noteIndex":0},"citationItems":[{"id":803,"uris":["http://zotero.org/users/9309103/items/ZKYBBHHV"],"itemData":{"id":803,"type":"article-journal","abstract":"&lt;p&gt;&lt;strong class=\"journal-contentHeaderColor\"&gt;Abstract.&lt;/strong&gt; The hydroxyl radical (OH) reacts with thousands of chemical species in the atmosphere, initiating their removal and the chemical reaction sequences that produce ozone, secondary aerosols, and gas-phase acids. OH reactivity, which is the inverse of OH lifetime, influences the OH abundance and the ability of OH to cleanse the atmosphere. The NASA Atmospheric Tomography (ATom) campaign used instruments on the NASA DC-8 aircraft to measure OH reactivity and more than 100 trace chemical species. ATom presented a unique opportunity to test the completeness of the OH reactivity calculated from the chemical species measurements by comparing it to the measured OH reactivity over two oceans across four seasons. Although the calculated OH reactivity was below the limit of detection for the ATom instrument used to measure OH reactivity throughout much of the free troposphere, the instrument was able to measure the OH reactivity in and just above the marine boundary layer. The mean measured value of OH reactivity in the marine boundary layer across all latitudes and all ATom deployments was 1.9&amp;thinsp;s&lt;span class=\"inline-formula\"&gt;&lt;sup&gt;−1&lt;/sup&gt;&lt;/span&gt;, which is 0.5&amp;thinsp;s&lt;span class=\"inline-formula\"&gt;&lt;sup&gt;−1&lt;/sup&gt;&lt;/span&gt; larger than the mean calculated OH reactivity. The missing OH reactivity, the difference between the measured and calculated OH reactivity, varied between 0 and 3.5&amp;thinsp;s&lt;span class=\"inline-formula\"&gt;&lt;sup&gt;−1&lt;/sup&gt;&lt;/span&gt;, with the highest values over the Northern Hemisphere Pacific Ocean. Correlations of missing OH reactivity with formaldehyde, dimethyl sulfide, butanal, and sea surface temperature&lt;span id=\"page4014\"/&gt; suggest the presence of unmeasured or unknown volatile organic compounds or oxygenated volatile organic compounds associated with ocean emissions.&lt;/p&gt;","container-title":"Atmospheric Chemistry and Physics","DOI":"10.5194/acp-20-4013-2020","ISSN":"1680-7316","issue":"6","language":"English","note":"publisher: Copernicus GmbH","page":"4013-4029","source":"acp.copernicus.org","title":"Missing OH reactivity in the global marine boundary layer","volume":"20","author":[{"family":"Thames","given":"Alexander B."},{"family":"Brune","given":"William H."},{"family":"Miller","given":"David O."},{"family":"Allen","given":"Hannah M."},{"family":"Apel","given":"Eric C."},{"family":"Blake","given":"Donald R."},{"family":"Bui","given":"T. Paul"},{"family":"Commane","given":"Roisin"},{"family":"Crounse","given":"John D."},{"family":"Daube","given":"Bruce C."},{"family":"Diskin","given":"Glenn S."},{"family":"DiGangi","given":"Joshua P."},{"family":"Elkins","given":"James W."},{"family":"Hall","given":"Samuel R."},{"family":"Hanisco","given":"Thomas F."},{"family":"Hannun","given":"Reem A."},{"family":"Hintsa","given":"Eric"},{"family":"Hornbrook","given":"Rebecca S."},{"family":"Kim","given":"Michelle J."},{"family":"McKain","given":"Kathryn"},{"family":"Moore","given":"Fred L."},{"family":"Nicely","given":"Julie M."},{"family":"Peischl","given":"Jeffrey"},{"family":"Ryerson","given":"Thomas B."},{"family":"St. Clair","given":"Jason M."},{"family":"Sweeney","given":"Colm"},{"family":"Teng","given":"Alex"},{"family":"Thompson","given":"Chelsea R."},{"family":"Ullmann","given":"Kirk"},{"family":"Wennberg","given":"Paul O."},{"family":"Wolfe","given":"Glenn M."}],"issued":{"date-parts":[["2020",4,2]]}}},{"id":581,"uris":["http://zotero.org/users/9309103/items/6ILF3FRJ"],"itemData":{"id":581,"type":"article-journal","abstract":"Abstract. The global oxidation capacity, defined as the tropospheric mean concentration\nof the hydroxyl radical (OH), controls the lifetime of reactive trace gases\nin the atmosphere such as methane and carbon monoxide (CO). Models tend to\nunderestimate the methane lifetime and CO concentrations throughout the\ntroposphere, which is consistent with excessive OH. Approximately half of the\noxidation of methane and non-methane volatile organic compounds (VOCs) is\nthought to occur over the oceans where oxidant chemistry has received little validation due to a lack of observational constraints. We use observations\nfrom the first two deployments of the NASA ATom aircraft campaign during\nJuly–August 2016 and January–February 2017 to evaluate the oxidation\ncapacity over the remote oceans and its representation by the GEOS-Chem\nchemical transport model. The model successfully simulates the magnitude and\nvertical profile of remote OH within the measurement uncertainties.\nComparisons against the drivers of OH production (water vapor, ozone, and\nNOy concentrations, ozone photolysis frequencies) also show\nminimal bias, with the exception of wintertime NOy. The severe model overestimate of NOy during this period may\nindicate insufficient wet scavenging and/or missing loss on sea-salt\naerosols. Large uncertainties in these processes require further study to\nimprove simulated NOy partitioning and removal in the\ntroposphere, but preliminary tests suggest that their overall impact could marginally reduce the model bias in tropospheric OH. During the ATom-1\ndeployment, OH reactivity (OHR) below 3 km is significantly enhanced, and\nthis is not captured by the sum of its measured components\n(cOHRobs) or by the model (cOHRmod). This enhancement\ncould suggest missing reactive VOCs but cannot be explained by a\ncomprehensive simulation of both biotic and abiotic ocean sources of VOCs.\nAdditional sources of VOC reactivity in this region are difficult to\nreconcile with the full suite of ATom measurement constraints. The model\ngenerally reproduces the magnitude and seasonality of cOHRobs but\nunderestimates the contribution of oxygenated VOCs, mainly acetaldehyde,\nwhich is severely underestimated throughout the troposphere despite its\ncalculated lifetime of less than a day. Missing model acetaldehyde in\nprevious studies was attributed to measurement uncertainties that have been\nlargely resolved. Observations of peroxyacetic acid (PAA) provide new support\nfor remote levels of acetaldehyde. The underestimate in both model\nacetaldehyde and PAA is present throughout the year in both hemispheres and\npeaks during Northern Hemisphere summer. The addition of ocean sources of\nVOCs in the model increases cOHRmod by 3 % to 9 % and\nimproves model–measurement agreement for acetaldehyde, particularly in winter, but cannot resolve the model summertime bias. Doing so would require\n100 Tg yr−1 of a long-lived unknown precursor throughout the year with\nsignificant additional emissions in the Northern Hemisphere summer. Improving\nthe model bias for remote acetaldehyde and PAA is unlikely to fully resolve\npreviously reported model global biases in OH and methane lifetime, suggesting that future work should examine the sources and sinks of OH over land.","container-title":"Atmospheric Chemistry and Physics","DOI":"10.5194/acp-20-7753-2020","ISSN":"1680-7324","issue":"13","journalAbbreviation":"Atmos. Chem. Phys.","language":"en","page":"7753-7781","source":"DOI.org (Crossref)","title":"Constraining remote oxidation capacity with ATom observations","volume":"20","author":[{"family":"Travis","given":"Katherine R."},{"family":"Heald","given":"Colette L."},{"family":"Allen","given":"Hannah M."},{"family":"Apel","given":"Eric C."},{"family":"Arnold","given":"Stephen R."},{"family":"Blake","given":"Donald R."},{"family":"Brune","given":"William H."},{"family":"Chen","given":"Xin"},{"family":"Commane","given":"Róisín"},{"family":"Crounse","given":"John D."},{"family":"Daube","given":"Bruce C."},{"family":"Diskin","given":"Glenn S."},{"family":"Elkins","given":"James W."},{"family":"Evans","given":"Mathew J."},{"family":"Hall","given":"Samuel R."},{"family":"Hintsa","given":"Eric J."},{"family":"Hornbrook","given":"Rebecca S."},{"family":"Kasibhatla","given":"Prasad S."},{"family":"Kim","given":"Michelle J."},{"family":"Luo","given":"Gan"},{"family":"McKain","given":"Kathryn"},{"family":"Millet","given":"Dylan B."},{"family":"Moore","given":"Fred L."},{"family":"Peischl","given":"Jeffrey"},{"family":"Ryerson","given":"Thomas B."},{"family":"Sherwen","given":"Tomás"},{"family":"Thames","given":"Alexander B."},{"family":"Ullmann","given":"Kirk"},{"family":"Wang","given":"Xuan"},{"family":"Wennberg","given":"Paul O."},{"family":"Wolfe","given":"Glenn M."},{"family":"Yu","given":"Fangqun"}],"issued":{"date-parts":[["2020",7,3]]}}}],"schema":"https://github.com/citation-style-language/schema/raw/master/csl-citation.json"} </w:instrText>
      </w:r>
      <w:r w:rsidRPr="00E11A4E">
        <w:rPr>
          <w:rFonts w:ascii="Arial" w:hAnsi="Arial" w:cs="Arial"/>
          <w:color w:val="000000"/>
          <w:sz w:val="20"/>
          <w:szCs w:val="20"/>
        </w:rPr>
        <w:fldChar w:fldCharType="separate"/>
      </w:r>
      <w:r w:rsidR="00556E00" w:rsidRPr="00556E00">
        <w:rPr>
          <w:rFonts w:ascii="Arial" w:hAnsi="Arial" w:cs="Arial"/>
          <w:sz w:val="20"/>
        </w:rPr>
        <w:t>(59, 60)</w:t>
      </w:r>
      <w:r w:rsidRPr="00E11A4E">
        <w:rPr>
          <w:rFonts w:ascii="Arial" w:hAnsi="Arial" w:cs="Arial"/>
          <w:color w:val="000000"/>
          <w:sz w:val="20"/>
          <w:szCs w:val="20"/>
        </w:rPr>
        <w:fldChar w:fldCharType="end"/>
      </w:r>
      <w:r w:rsidRPr="00E11A4E">
        <w:rPr>
          <w:rFonts w:ascii="Arial" w:hAnsi="Arial" w:cs="Arial"/>
          <w:color w:val="000000"/>
          <w:sz w:val="20"/>
          <w:szCs w:val="20"/>
        </w:rPr>
        <w:t xml:space="preserve">. </w:t>
      </w:r>
      <w:r w:rsidR="00EE5334" w:rsidRPr="00E11A4E">
        <w:rPr>
          <w:rFonts w:ascii="Arial" w:hAnsi="Arial" w:cs="Arial"/>
          <w:color w:val="000000"/>
          <w:sz w:val="20"/>
          <w:szCs w:val="20"/>
        </w:rPr>
        <w:t>On larger spatial scales</w:t>
      </w:r>
      <w:r w:rsidR="005B1A2E">
        <w:rPr>
          <w:rFonts w:ascii="Arial" w:hAnsi="Arial" w:cs="Arial"/>
          <w:color w:val="000000"/>
          <w:sz w:val="20"/>
          <w:szCs w:val="20"/>
        </w:rPr>
        <w:t xml:space="preserve"> (</w:t>
      </w:r>
      <w:r w:rsidR="005B1A2E" w:rsidRPr="001C08EE">
        <w:rPr>
          <w:rFonts w:ascii="Arial" w:hAnsi="Arial" w:cs="Arial"/>
          <w:color w:val="000000"/>
          <w:sz w:val="20"/>
          <w:szCs w:val="20"/>
        </w:rPr>
        <w:t>here, considering</w:t>
      </w:r>
      <w:r w:rsidR="005B1A2E">
        <w:rPr>
          <w:rFonts w:ascii="Arial" w:hAnsi="Arial" w:cs="Arial"/>
          <w:color w:val="000000"/>
          <w:sz w:val="20"/>
          <w:szCs w:val="20"/>
        </w:rPr>
        <w:t xml:space="preserve"> the full ATom dataset)</w:t>
      </w:r>
      <w:r w:rsidR="00EE5334" w:rsidRPr="00E11A4E">
        <w:rPr>
          <w:rFonts w:ascii="Arial" w:hAnsi="Arial" w:cs="Arial"/>
          <w:color w:val="000000"/>
          <w:sz w:val="20"/>
          <w:szCs w:val="20"/>
        </w:rPr>
        <w:t xml:space="preserve">, AM3 </w:t>
      </w:r>
      <w:r w:rsidR="00E11A4E" w:rsidRPr="00E11A4E">
        <w:rPr>
          <w:rFonts w:ascii="Arial" w:hAnsi="Arial" w:cs="Arial"/>
          <w:color w:val="000000"/>
          <w:sz w:val="20"/>
          <w:szCs w:val="20"/>
        </w:rPr>
        <w:t>indicates the strength of relationship would be similar if</w:t>
      </w:r>
      <w:r w:rsidR="00EE5334" w:rsidRPr="00E11A4E">
        <w:rPr>
          <w:rFonts w:ascii="Arial" w:hAnsi="Arial" w:cs="Arial"/>
          <w:color w:val="000000"/>
          <w:sz w:val="20"/>
          <w:szCs w:val="20"/>
        </w:rPr>
        <w:t xml:space="preserve"> the OH sink </w:t>
      </w:r>
      <w:r w:rsidR="00E11A4E" w:rsidRPr="00E11A4E">
        <w:rPr>
          <w:rFonts w:ascii="Arial" w:hAnsi="Arial" w:cs="Arial"/>
          <w:color w:val="000000"/>
          <w:sz w:val="20"/>
          <w:szCs w:val="20"/>
        </w:rPr>
        <w:t xml:space="preserve">were </w:t>
      </w:r>
      <w:r w:rsidR="00EE5334" w:rsidRPr="00E11A4E">
        <w:rPr>
          <w:rFonts w:ascii="Arial" w:hAnsi="Arial" w:cs="Arial"/>
          <w:color w:val="000000"/>
          <w:sz w:val="20"/>
          <w:szCs w:val="20"/>
        </w:rPr>
        <w:t>represented through methane (</w:t>
      </w:r>
      <w:r w:rsidR="00EE5334" w:rsidRPr="00F47570">
        <w:rPr>
          <w:rFonts w:ascii="Arial" w:hAnsi="Arial" w:cs="Arial"/>
          <w:i/>
          <w:iCs/>
          <w:color w:val="000000"/>
          <w:sz w:val="20"/>
          <w:szCs w:val="20"/>
        </w:rPr>
        <w:t>r</w:t>
      </w:r>
      <w:r w:rsidR="00EE5334" w:rsidRPr="00F47570">
        <w:rPr>
          <w:rFonts w:ascii="Arial" w:hAnsi="Arial" w:cs="Arial"/>
          <w:color w:val="000000"/>
          <w:sz w:val="20"/>
          <w:szCs w:val="20"/>
          <w:vertAlign w:val="superscript"/>
        </w:rPr>
        <w:t>2</w:t>
      </w:r>
      <w:r w:rsidR="00EE5334" w:rsidRPr="00E11A4E">
        <w:rPr>
          <w:rFonts w:ascii="Arial" w:hAnsi="Arial" w:cs="Arial"/>
          <w:color w:val="000000"/>
          <w:sz w:val="20"/>
          <w:szCs w:val="20"/>
        </w:rPr>
        <w:t xml:space="preserve"> </w:t>
      </w:r>
      <w:r w:rsidR="00695C57" w:rsidRPr="00E11A4E">
        <w:rPr>
          <w:rFonts w:ascii="Arial" w:hAnsi="Arial" w:cs="Arial"/>
          <w:color w:val="000000"/>
          <w:sz w:val="20"/>
          <w:szCs w:val="20"/>
        </w:rPr>
        <w:t>= 0.6</w:t>
      </w:r>
      <w:r w:rsidR="00DD4B65">
        <w:rPr>
          <w:rFonts w:ascii="Arial" w:hAnsi="Arial" w:cs="Arial"/>
          <w:color w:val="000000"/>
          <w:sz w:val="20"/>
          <w:szCs w:val="20"/>
        </w:rPr>
        <w:t>7</w:t>
      </w:r>
      <w:r w:rsidR="00695C57" w:rsidRPr="00E11A4E">
        <w:rPr>
          <w:rFonts w:ascii="Arial" w:hAnsi="Arial" w:cs="Arial"/>
          <w:color w:val="000000"/>
          <w:sz w:val="20"/>
          <w:szCs w:val="20"/>
        </w:rPr>
        <w:t xml:space="preserve"> </w:t>
      </w:r>
      <w:r w:rsidR="00EE5334" w:rsidRPr="00E11A4E">
        <w:rPr>
          <w:rFonts w:ascii="Arial" w:hAnsi="Arial" w:cs="Arial"/>
          <w:color w:val="000000"/>
          <w:sz w:val="20"/>
          <w:szCs w:val="20"/>
        </w:rPr>
        <w:t xml:space="preserve">for all ATom; </w:t>
      </w:r>
      <w:r w:rsidR="00EE5334" w:rsidRPr="00F47570">
        <w:rPr>
          <w:rFonts w:ascii="Arial" w:hAnsi="Arial" w:cs="Arial"/>
          <w:i/>
          <w:iCs/>
          <w:color w:val="000000"/>
          <w:sz w:val="20"/>
          <w:szCs w:val="20"/>
        </w:rPr>
        <w:t>r</w:t>
      </w:r>
      <w:r w:rsidR="00EE5334" w:rsidRPr="00F47570">
        <w:rPr>
          <w:rFonts w:ascii="Arial" w:hAnsi="Arial" w:cs="Arial"/>
          <w:color w:val="000000"/>
          <w:sz w:val="20"/>
          <w:szCs w:val="20"/>
          <w:vertAlign w:val="superscript"/>
        </w:rPr>
        <w:t>2</w:t>
      </w:r>
      <w:r w:rsidR="00EE5334" w:rsidRPr="00E11A4E">
        <w:rPr>
          <w:rFonts w:ascii="Arial" w:hAnsi="Arial" w:cs="Arial"/>
          <w:color w:val="000000"/>
          <w:sz w:val="20"/>
          <w:szCs w:val="20"/>
        </w:rPr>
        <w:t xml:space="preserve"> = </w:t>
      </w:r>
      <w:r w:rsidR="00E11A4E" w:rsidRPr="00E11A4E">
        <w:rPr>
          <w:rFonts w:ascii="Arial" w:hAnsi="Arial" w:cs="Arial"/>
          <w:color w:val="000000"/>
          <w:sz w:val="20"/>
          <w:szCs w:val="20"/>
        </w:rPr>
        <w:t>0.6</w:t>
      </w:r>
      <w:r w:rsidR="00DD4B65">
        <w:rPr>
          <w:rFonts w:ascii="Arial" w:hAnsi="Arial" w:cs="Arial"/>
          <w:color w:val="000000"/>
          <w:sz w:val="20"/>
          <w:szCs w:val="20"/>
        </w:rPr>
        <w:t>3</w:t>
      </w:r>
      <w:r w:rsidR="00695C57" w:rsidRPr="00E11A4E">
        <w:rPr>
          <w:rFonts w:ascii="Arial" w:hAnsi="Arial" w:cs="Arial"/>
          <w:color w:val="000000"/>
          <w:sz w:val="20"/>
          <w:szCs w:val="20"/>
        </w:rPr>
        <w:t xml:space="preserve"> or </w:t>
      </w:r>
      <w:r w:rsidR="00E11A4E" w:rsidRPr="00E11A4E">
        <w:rPr>
          <w:rFonts w:ascii="Arial" w:hAnsi="Arial" w:cs="Arial"/>
          <w:color w:val="000000"/>
          <w:sz w:val="20"/>
          <w:szCs w:val="20"/>
        </w:rPr>
        <w:t>0.7</w:t>
      </w:r>
      <w:r w:rsidR="00DD4B65">
        <w:rPr>
          <w:rFonts w:ascii="Arial" w:hAnsi="Arial" w:cs="Arial"/>
          <w:color w:val="000000"/>
          <w:sz w:val="20"/>
          <w:szCs w:val="20"/>
        </w:rPr>
        <w:t>1</w:t>
      </w:r>
      <w:r w:rsidR="00EE5334" w:rsidRPr="00E11A4E">
        <w:rPr>
          <w:rFonts w:ascii="Arial" w:hAnsi="Arial" w:cs="Arial"/>
          <w:color w:val="000000"/>
          <w:sz w:val="20"/>
          <w:szCs w:val="20"/>
        </w:rPr>
        <w:t xml:space="preserve"> over the Pacific or Atlantic, respectively) </w:t>
      </w:r>
      <w:r w:rsidR="00E11A4E" w:rsidRPr="00E11A4E">
        <w:rPr>
          <w:rFonts w:ascii="Arial" w:hAnsi="Arial" w:cs="Arial"/>
          <w:color w:val="000000"/>
          <w:sz w:val="20"/>
          <w:szCs w:val="20"/>
        </w:rPr>
        <w:t xml:space="preserve">instead of </w:t>
      </w:r>
      <w:r w:rsidR="00EE5334" w:rsidRPr="00E11A4E">
        <w:rPr>
          <w:rFonts w:ascii="Arial" w:hAnsi="Arial" w:cs="Arial"/>
          <w:color w:val="000000"/>
          <w:sz w:val="20"/>
          <w:szCs w:val="20"/>
        </w:rPr>
        <w:t>CO (</w:t>
      </w:r>
      <w:r w:rsidR="00695C57" w:rsidRPr="00F47570">
        <w:rPr>
          <w:rFonts w:ascii="Arial" w:hAnsi="Arial" w:cs="Arial"/>
          <w:i/>
          <w:iCs/>
          <w:color w:val="000000"/>
          <w:sz w:val="20"/>
          <w:szCs w:val="20"/>
        </w:rPr>
        <w:t>r</w:t>
      </w:r>
      <w:r w:rsidR="00695C57" w:rsidRPr="00F47570">
        <w:rPr>
          <w:rFonts w:ascii="Arial" w:hAnsi="Arial" w:cs="Arial"/>
          <w:color w:val="000000"/>
          <w:sz w:val="20"/>
          <w:szCs w:val="20"/>
          <w:vertAlign w:val="superscript"/>
        </w:rPr>
        <w:t>2</w:t>
      </w:r>
      <w:r w:rsidR="00695C57" w:rsidRPr="00E11A4E">
        <w:rPr>
          <w:rFonts w:ascii="Arial" w:hAnsi="Arial" w:cs="Arial"/>
          <w:color w:val="000000"/>
          <w:sz w:val="20"/>
          <w:szCs w:val="20"/>
        </w:rPr>
        <w:t xml:space="preserve"> = 0.6</w:t>
      </w:r>
      <w:r w:rsidR="00DD4B65">
        <w:rPr>
          <w:rFonts w:ascii="Arial" w:hAnsi="Arial" w:cs="Arial"/>
          <w:color w:val="000000"/>
          <w:sz w:val="20"/>
          <w:szCs w:val="20"/>
        </w:rPr>
        <w:t>5</w:t>
      </w:r>
      <w:r w:rsidR="00695C57" w:rsidRPr="00E11A4E">
        <w:rPr>
          <w:rFonts w:ascii="Arial" w:hAnsi="Arial" w:cs="Arial"/>
          <w:color w:val="000000"/>
          <w:sz w:val="20"/>
          <w:szCs w:val="20"/>
        </w:rPr>
        <w:t xml:space="preserve">, </w:t>
      </w:r>
      <w:r w:rsidR="00E11A4E" w:rsidRPr="00E11A4E">
        <w:rPr>
          <w:rFonts w:ascii="Arial" w:hAnsi="Arial" w:cs="Arial"/>
          <w:color w:val="000000"/>
          <w:sz w:val="20"/>
          <w:szCs w:val="20"/>
        </w:rPr>
        <w:t>6</w:t>
      </w:r>
      <w:r w:rsidR="00DD4B65">
        <w:rPr>
          <w:rFonts w:ascii="Arial" w:hAnsi="Arial" w:cs="Arial"/>
          <w:color w:val="000000"/>
          <w:sz w:val="20"/>
          <w:szCs w:val="20"/>
        </w:rPr>
        <w:t>3</w:t>
      </w:r>
      <w:r w:rsidR="00695C57" w:rsidRPr="00E11A4E">
        <w:rPr>
          <w:rFonts w:ascii="Arial" w:hAnsi="Arial" w:cs="Arial"/>
          <w:color w:val="000000"/>
          <w:sz w:val="20"/>
          <w:szCs w:val="20"/>
        </w:rPr>
        <w:t xml:space="preserve">, or </w:t>
      </w:r>
      <w:r w:rsidR="00E11A4E" w:rsidRPr="00E11A4E">
        <w:rPr>
          <w:rFonts w:ascii="Arial" w:hAnsi="Arial" w:cs="Arial"/>
          <w:color w:val="000000"/>
          <w:sz w:val="20"/>
          <w:szCs w:val="20"/>
        </w:rPr>
        <w:t>0.7</w:t>
      </w:r>
      <w:r w:rsidR="00DD4B65">
        <w:rPr>
          <w:rFonts w:ascii="Arial" w:hAnsi="Arial" w:cs="Arial"/>
          <w:color w:val="000000"/>
          <w:sz w:val="20"/>
          <w:szCs w:val="20"/>
        </w:rPr>
        <w:t>5</w:t>
      </w:r>
      <w:r w:rsidR="00E11A4E" w:rsidRPr="00E11A4E">
        <w:rPr>
          <w:rFonts w:ascii="Arial" w:hAnsi="Arial" w:cs="Arial"/>
          <w:color w:val="000000"/>
          <w:sz w:val="20"/>
          <w:szCs w:val="20"/>
        </w:rPr>
        <w:t>, respectively</w:t>
      </w:r>
      <w:r w:rsidR="00EE5334" w:rsidRPr="00E11A4E">
        <w:rPr>
          <w:rFonts w:ascii="Arial" w:hAnsi="Arial" w:cs="Arial"/>
          <w:color w:val="000000"/>
          <w:sz w:val="20"/>
          <w:szCs w:val="20"/>
        </w:rPr>
        <w:t>).</w:t>
      </w:r>
      <w:r w:rsidR="00EA45E1">
        <w:rPr>
          <w:rFonts w:ascii="Arial" w:hAnsi="Arial" w:cs="Arial"/>
          <w:color w:val="000000"/>
          <w:sz w:val="20"/>
          <w:szCs w:val="20"/>
        </w:rPr>
        <w:t xml:space="preserve"> Overall,</w:t>
      </w:r>
      <w:r w:rsidR="00EE5334" w:rsidRPr="00E11A4E">
        <w:rPr>
          <w:rFonts w:ascii="Arial" w:hAnsi="Arial" w:cs="Arial"/>
          <w:color w:val="000000"/>
          <w:sz w:val="20"/>
          <w:szCs w:val="20"/>
        </w:rPr>
        <w:t xml:space="preserve"> we conclude </w:t>
      </w:r>
      <w:r w:rsidRPr="00E11A4E">
        <w:rPr>
          <w:rFonts w:ascii="Arial" w:hAnsi="Arial" w:cs="Arial"/>
          <w:color w:val="000000"/>
          <w:sz w:val="20"/>
          <w:szCs w:val="20"/>
        </w:rPr>
        <w:t xml:space="preserve">that the link </w:t>
      </w:r>
      <w:r w:rsidR="004C61E8">
        <w:rPr>
          <w:rFonts w:ascii="Arial" w:hAnsi="Arial" w:cs="Arial"/>
          <w:color w:val="000000"/>
          <w:sz w:val="20"/>
          <w:szCs w:val="20"/>
        </w:rPr>
        <w:t xml:space="preserve">between </w:t>
      </w:r>
      <w:r w:rsidRPr="00E11A4E">
        <w:rPr>
          <w:rFonts w:ascii="Arial" w:hAnsi="Arial" w:cs="Arial"/>
          <w:color w:val="000000"/>
          <w:sz w:val="20"/>
          <w:szCs w:val="20"/>
        </w:rPr>
        <w:t xml:space="preserve">OH production and [OH] </w:t>
      </w:r>
      <w:r w:rsidR="004C61E8">
        <w:rPr>
          <w:rFonts w:ascii="Arial" w:hAnsi="Arial" w:cs="Arial"/>
          <w:color w:val="000000"/>
          <w:sz w:val="20"/>
          <w:szCs w:val="20"/>
        </w:rPr>
        <w:t xml:space="preserve">is tighter in </w:t>
      </w:r>
      <w:r w:rsidR="00F8252C">
        <w:rPr>
          <w:rFonts w:ascii="Arial" w:hAnsi="Arial" w:cs="Arial"/>
          <w:color w:val="000000"/>
          <w:sz w:val="20"/>
          <w:szCs w:val="20"/>
        </w:rPr>
        <w:t>AM3</w:t>
      </w:r>
      <w:r w:rsidR="000215C3">
        <w:rPr>
          <w:rFonts w:ascii="Arial" w:hAnsi="Arial" w:cs="Arial"/>
          <w:color w:val="000000"/>
          <w:sz w:val="20"/>
          <w:szCs w:val="20"/>
        </w:rPr>
        <w:t xml:space="preserve">, </w:t>
      </w:r>
      <w:r w:rsidR="00456932">
        <w:rPr>
          <w:rFonts w:ascii="Arial" w:hAnsi="Arial" w:cs="Arial"/>
          <w:color w:val="000000"/>
          <w:sz w:val="20"/>
          <w:szCs w:val="20"/>
        </w:rPr>
        <w:t>and</w:t>
      </w:r>
      <w:r w:rsidR="000215C3">
        <w:rPr>
          <w:rFonts w:ascii="Arial" w:hAnsi="Arial" w:cs="Arial"/>
          <w:color w:val="000000"/>
          <w:sz w:val="20"/>
          <w:szCs w:val="20"/>
        </w:rPr>
        <w:t xml:space="preserve"> in</w:t>
      </w:r>
      <w:r w:rsidR="00F8252C">
        <w:rPr>
          <w:rFonts w:ascii="Arial" w:hAnsi="Arial" w:cs="Arial"/>
          <w:color w:val="000000"/>
          <w:sz w:val="20"/>
          <w:szCs w:val="20"/>
        </w:rPr>
        <w:t xml:space="preserve"> F0AM</w:t>
      </w:r>
      <w:r w:rsidR="005B1A2E">
        <w:rPr>
          <w:rFonts w:ascii="Arial" w:hAnsi="Arial" w:cs="Arial"/>
          <w:color w:val="000000"/>
          <w:sz w:val="20"/>
          <w:szCs w:val="20"/>
        </w:rPr>
        <w:t xml:space="preserve"> (refer to Figure S5)</w:t>
      </w:r>
      <w:r w:rsidR="00F8252C">
        <w:rPr>
          <w:rFonts w:ascii="Arial" w:hAnsi="Arial" w:cs="Arial"/>
          <w:color w:val="000000"/>
          <w:sz w:val="20"/>
          <w:szCs w:val="20"/>
        </w:rPr>
        <w:t xml:space="preserve">, </w:t>
      </w:r>
      <w:r w:rsidR="004C61E8">
        <w:rPr>
          <w:rFonts w:ascii="Arial" w:hAnsi="Arial" w:cs="Arial"/>
          <w:color w:val="000000"/>
          <w:sz w:val="20"/>
          <w:szCs w:val="20"/>
        </w:rPr>
        <w:t xml:space="preserve">than in the observations </w:t>
      </w:r>
      <w:r w:rsidRPr="007F380D">
        <w:rPr>
          <w:rFonts w:ascii="Arial" w:hAnsi="Arial" w:cs="Arial"/>
          <w:color w:val="000000"/>
          <w:sz w:val="20"/>
          <w:szCs w:val="20"/>
        </w:rPr>
        <w:t xml:space="preserve">due to </w:t>
      </w:r>
      <w:r w:rsidR="00F8252C">
        <w:rPr>
          <w:rFonts w:ascii="Arial" w:hAnsi="Arial" w:cs="Arial"/>
          <w:color w:val="000000"/>
          <w:sz w:val="20"/>
          <w:szCs w:val="20"/>
        </w:rPr>
        <w:t xml:space="preserve">an underestimate in </w:t>
      </w:r>
      <w:r w:rsidR="00D97241">
        <w:rPr>
          <w:rFonts w:ascii="Arial" w:hAnsi="Arial" w:cs="Arial"/>
          <w:color w:val="000000"/>
          <w:sz w:val="20"/>
          <w:szCs w:val="20"/>
        </w:rPr>
        <w:t xml:space="preserve">the variability </w:t>
      </w:r>
      <w:r w:rsidR="00F8252C">
        <w:rPr>
          <w:rFonts w:ascii="Arial" w:hAnsi="Arial" w:cs="Arial"/>
          <w:color w:val="000000"/>
          <w:sz w:val="20"/>
          <w:szCs w:val="20"/>
        </w:rPr>
        <w:t xml:space="preserve">of OH reactivity, potentially due to </w:t>
      </w:r>
      <w:r w:rsidR="004C61E8">
        <w:rPr>
          <w:rFonts w:ascii="Arial" w:hAnsi="Arial" w:cs="Arial"/>
          <w:color w:val="000000"/>
          <w:sz w:val="20"/>
          <w:szCs w:val="20"/>
        </w:rPr>
        <w:t xml:space="preserve">missing </w:t>
      </w:r>
      <w:r w:rsidRPr="007F380D">
        <w:rPr>
          <w:rFonts w:ascii="Arial" w:hAnsi="Arial" w:cs="Arial"/>
          <w:color w:val="000000"/>
          <w:sz w:val="20"/>
          <w:szCs w:val="20"/>
        </w:rPr>
        <w:t>OH loss processes</w:t>
      </w:r>
      <w:r w:rsidR="00F8252C">
        <w:rPr>
          <w:rFonts w:ascii="Arial" w:hAnsi="Arial" w:cs="Arial"/>
          <w:color w:val="000000"/>
          <w:sz w:val="20"/>
          <w:szCs w:val="20"/>
        </w:rPr>
        <w:t xml:space="preserve"> (Figure </w:t>
      </w:r>
      <w:r w:rsidR="0055402E">
        <w:rPr>
          <w:rFonts w:ascii="Arial" w:hAnsi="Arial" w:cs="Arial"/>
          <w:color w:val="000000"/>
          <w:sz w:val="20"/>
          <w:szCs w:val="20"/>
        </w:rPr>
        <w:t>S1</w:t>
      </w:r>
      <w:r w:rsidR="00F12C16">
        <w:rPr>
          <w:rFonts w:ascii="Arial" w:hAnsi="Arial" w:cs="Arial"/>
          <w:color w:val="000000"/>
          <w:sz w:val="20"/>
          <w:szCs w:val="20"/>
        </w:rPr>
        <w:t>2</w:t>
      </w:r>
      <w:r w:rsidR="00F8252C">
        <w:rPr>
          <w:rFonts w:ascii="Arial" w:hAnsi="Arial" w:cs="Arial"/>
          <w:color w:val="000000"/>
          <w:sz w:val="20"/>
          <w:szCs w:val="20"/>
        </w:rPr>
        <w:t>)</w:t>
      </w:r>
      <w:r w:rsidR="004C61E8">
        <w:rPr>
          <w:rFonts w:ascii="Arial" w:hAnsi="Arial" w:cs="Arial"/>
          <w:color w:val="000000"/>
          <w:sz w:val="20"/>
          <w:szCs w:val="20"/>
        </w:rPr>
        <w:t>.</w:t>
      </w:r>
      <w:r w:rsidRPr="007F380D">
        <w:rPr>
          <w:rFonts w:ascii="Arial" w:hAnsi="Arial" w:cs="Arial"/>
          <w:color w:val="000000"/>
          <w:sz w:val="20"/>
          <w:szCs w:val="20"/>
        </w:rPr>
        <w:t xml:space="preserve"> </w:t>
      </w:r>
    </w:p>
    <w:p w14:paraId="488A32C2" w14:textId="77777777" w:rsid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p>
    <w:p w14:paraId="058B7BC5" w14:textId="4310C0C1" w:rsidR="007F380D"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r w:rsidRPr="007F380D">
        <w:rPr>
          <w:rFonts w:ascii="Arial" w:hAnsi="Arial" w:cs="Arial"/>
          <w:color w:val="000000"/>
          <w:sz w:val="20"/>
          <w:szCs w:val="20"/>
        </w:rPr>
        <w:t>Decomposing the modeled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2C2A73">
        <w:rPr>
          <w:rFonts w:ascii="Arial" w:hAnsi="Arial" w:cs="Arial"/>
          <w:color w:val="000000"/>
          <w:sz w:val="20"/>
          <w:szCs w:val="20"/>
        </w:rPr>
        <w:t xml:space="preserve">variations </w:t>
      </w:r>
      <w:r w:rsidRPr="007F380D">
        <w:rPr>
          <w:rFonts w:ascii="Arial" w:hAnsi="Arial" w:cs="Arial"/>
          <w:color w:val="000000"/>
          <w:sz w:val="20"/>
          <w:szCs w:val="20"/>
        </w:rPr>
        <w:t>by individual terms, we fi</w:t>
      </w:r>
      <w:r w:rsidRPr="00301EC9">
        <w:rPr>
          <w:rFonts w:ascii="Arial" w:hAnsi="Arial" w:cs="Arial"/>
          <w:color w:val="000000"/>
          <w:sz w:val="20"/>
          <w:szCs w:val="20"/>
        </w:rPr>
        <w:t xml:space="preserve">nd similar spatial patterns </w:t>
      </w:r>
      <w:r w:rsidR="005B1A2E">
        <w:rPr>
          <w:rFonts w:ascii="Arial" w:hAnsi="Arial" w:cs="Arial"/>
          <w:color w:val="000000"/>
          <w:sz w:val="20"/>
          <w:szCs w:val="20"/>
        </w:rPr>
        <w:t xml:space="preserve">for within-bin relationships </w:t>
      </w:r>
      <w:r w:rsidRPr="00301EC9">
        <w:rPr>
          <w:rFonts w:ascii="Arial" w:hAnsi="Arial" w:cs="Arial"/>
          <w:color w:val="000000"/>
          <w:sz w:val="20"/>
          <w:szCs w:val="20"/>
        </w:rPr>
        <w:t xml:space="preserve">as in the observations, with some exceptions (Figure </w:t>
      </w:r>
      <w:r w:rsidR="00AC637C" w:rsidRPr="00301EC9">
        <w:rPr>
          <w:rFonts w:ascii="Arial" w:hAnsi="Arial" w:cs="Arial"/>
          <w:color w:val="000000"/>
          <w:sz w:val="20"/>
          <w:szCs w:val="20"/>
        </w:rPr>
        <w:t>3</w:t>
      </w:r>
      <w:r w:rsidRPr="00301EC9">
        <w:rPr>
          <w:rFonts w:ascii="Arial" w:hAnsi="Arial" w:cs="Arial"/>
          <w:color w:val="000000"/>
          <w:sz w:val="20"/>
          <w:szCs w:val="20"/>
        </w:rPr>
        <w:t xml:space="preserve">b versus </w:t>
      </w:r>
      <w:r w:rsidR="00AC637C" w:rsidRPr="00301EC9">
        <w:rPr>
          <w:rFonts w:ascii="Arial" w:hAnsi="Arial" w:cs="Arial"/>
          <w:color w:val="000000"/>
          <w:sz w:val="20"/>
          <w:szCs w:val="20"/>
        </w:rPr>
        <w:t>3</w:t>
      </w:r>
      <w:r w:rsidRPr="00301EC9">
        <w:rPr>
          <w:rFonts w:ascii="Arial" w:hAnsi="Arial" w:cs="Arial"/>
          <w:color w:val="000000"/>
          <w:sz w:val="20"/>
          <w:szCs w:val="20"/>
        </w:rPr>
        <w:t>a). In</w:t>
      </w:r>
      <w:r w:rsidRPr="007F380D">
        <w:rPr>
          <w:rFonts w:ascii="Arial" w:hAnsi="Arial" w:cs="Arial"/>
          <w:color w:val="000000"/>
          <w:sz w:val="20"/>
          <w:szCs w:val="20"/>
        </w:rPr>
        <w:t xml:space="preserve"> both analyses,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emerges as the most influential term </w:t>
      </w:r>
      <w:r w:rsidR="005B1A2E">
        <w:rPr>
          <w:rFonts w:ascii="Arial" w:hAnsi="Arial" w:cs="Arial"/>
          <w:color w:val="000000"/>
          <w:sz w:val="20"/>
          <w:szCs w:val="20"/>
        </w:rPr>
        <w:t xml:space="preserve">in most of the 2 km by 20° latitude bins, </w:t>
      </w:r>
      <w:r w:rsidRPr="007F380D">
        <w:rPr>
          <w:rFonts w:ascii="Arial" w:hAnsi="Arial" w:cs="Arial"/>
          <w:color w:val="000000"/>
          <w:sz w:val="20"/>
          <w:szCs w:val="20"/>
        </w:rPr>
        <w:t>especially in the mid-troposphere</w:t>
      </w:r>
      <w:r w:rsidR="00301EC9">
        <w:rPr>
          <w:rFonts w:ascii="Arial" w:hAnsi="Arial" w:cs="Arial"/>
          <w:color w:val="000000"/>
          <w:sz w:val="20"/>
          <w:szCs w:val="20"/>
        </w:rPr>
        <w:t xml:space="preserve">. </w:t>
      </w:r>
      <w:r w:rsidRPr="007F380D">
        <w:rPr>
          <w:rFonts w:ascii="Arial" w:hAnsi="Arial" w:cs="Arial"/>
          <w:color w:val="000000"/>
          <w:sz w:val="20"/>
          <w:szCs w:val="20"/>
        </w:rPr>
        <w:t xml:space="preserve">NO </w:t>
      </w:r>
      <w:r w:rsidR="005B1A2E">
        <w:rPr>
          <w:rFonts w:ascii="Arial" w:hAnsi="Arial" w:cs="Arial"/>
          <w:color w:val="000000"/>
          <w:sz w:val="20"/>
          <w:szCs w:val="20"/>
        </w:rPr>
        <w:t>dominates the within-bin Proxy</w:t>
      </w:r>
      <w:r w:rsidR="005B1A2E" w:rsidRPr="001C08EE">
        <w:rPr>
          <w:rFonts w:ascii="Arial" w:hAnsi="Arial" w:cs="Arial"/>
          <w:i/>
          <w:iCs/>
          <w:color w:val="000000"/>
          <w:sz w:val="20"/>
          <w:szCs w:val="20"/>
          <w:vertAlign w:val="subscript"/>
        </w:rPr>
        <w:t>OH</w:t>
      </w:r>
      <w:r w:rsidR="005B1A2E">
        <w:rPr>
          <w:rFonts w:ascii="Arial" w:hAnsi="Arial" w:cs="Arial"/>
          <w:color w:val="000000"/>
          <w:sz w:val="20"/>
          <w:szCs w:val="20"/>
        </w:rPr>
        <w:t xml:space="preserve"> </w:t>
      </w:r>
      <w:r w:rsidR="009E3FDB" w:rsidRPr="007F380D">
        <w:rPr>
          <w:rFonts w:ascii="Arial" w:hAnsi="Arial" w:cs="Arial"/>
          <w:color w:val="000000"/>
          <w:sz w:val="20"/>
          <w:szCs w:val="20"/>
        </w:rPr>
        <w:t>varia</w:t>
      </w:r>
      <w:r w:rsidR="009E3FDB">
        <w:rPr>
          <w:rFonts w:ascii="Arial" w:hAnsi="Arial" w:cs="Arial"/>
          <w:color w:val="000000"/>
          <w:sz w:val="20"/>
          <w:szCs w:val="20"/>
        </w:rPr>
        <w:t>tion</w:t>
      </w:r>
      <w:r w:rsidR="005B1A2E">
        <w:rPr>
          <w:rFonts w:ascii="Arial" w:hAnsi="Arial" w:cs="Arial"/>
          <w:color w:val="000000"/>
          <w:sz w:val="20"/>
          <w:szCs w:val="20"/>
        </w:rPr>
        <w:t>s</w:t>
      </w:r>
      <w:r w:rsidR="009E3FDB" w:rsidRPr="007F380D">
        <w:rPr>
          <w:rFonts w:ascii="Arial" w:hAnsi="Arial" w:cs="Arial"/>
          <w:color w:val="000000"/>
          <w:sz w:val="20"/>
          <w:szCs w:val="20"/>
        </w:rPr>
        <w:t xml:space="preserve"> </w:t>
      </w:r>
      <w:r w:rsidRPr="007F380D">
        <w:rPr>
          <w:rFonts w:ascii="Arial" w:hAnsi="Arial" w:cs="Arial"/>
          <w:color w:val="000000"/>
          <w:sz w:val="20"/>
          <w:szCs w:val="20"/>
        </w:rPr>
        <w:t>in the upper troposphere</w:t>
      </w:r>
      <w:r w:rsidR="00301EC9">
        <w:rPr>
          <w:rFonts w:ascii="Arial" w:hAnsi="Arial" w:cs="Arial"/>
          <w:color w:val="000000"/>
          <w:sz w:val="20"/>
          <w:szCs w:val="20"/>
        </w:rPr>
        <w:t>,</w:t>
      </w:r>
      <w:r w:rsidRPr="007F380D">
        <w:rPr>
          <w:rFonts w:ascii="Arial" w:hAnsi="Arial" w:cs="Arial"/>
          <w:color w:val="000000"/>
          <w:sz w:val="20"/>
          <w:szCs w:val="20"/>
        </w:rPr>
        <w:t xml:space="preserve"> </w:t>
      </w:r>
      <w:r w:rsidR="00301EC9">
        <w:rPr>
          <w:rFonts w:ascii="Arial" w:hAnsi="Arial" w:cs="Arial"/>
          <w:color w:val="000000"/>
          <w:sz w:val="20"/>
          <w:szCs w:val="20"/>
        </w:rPr>
        <w:t xml:space="preserve">though </w:t>
      </w:r>
      <w:r w:rsidRPr="007F380D">
        <w:rPr>
          <w:rFonts w:ascii="Arial" w:hAnsi="Arial" w:cs="Arial"/>
          <w:color w:val="000000"/>
          <w:sz w:val="20"/>
          <w:szCs w:val="20"/>
        </w:rPr>
        <w:t>the model simulates NO influence on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sidR="008D4227">
        <w:rPr>
          <w:rFonts w:ascii="Arial" w:hAnsi="Arial" w:cs="Arial"/>
          <w:color w:val="000000"/>
          <w:sz w:val="20"/>
          <w:szCs w:val="20"/>
        </w:rPr>
        <w:t xml:space="preserve">variations </w:t>
      </w:r>
      <w:r w:rsidR="005B1A2E">
        <w:rPr>
          <w:rFonts w:ascii="Arial" w:hAnsi="Arial" w:cs="Arial"/>
          <w:color w:val="000000"/>
          <w:sz w:val="20"/>
          <w:szCs w:val="20"/>
        </w:rPr>
        <w:t>over</w:t>
      </w:r>
      <w:r w:rsidR="005B1A2E" w:rsidRPr="007F380D">
        <w:rPr>
          <w:rFonts w:ascii="Arial" w:hAnsi="Arial" w:cs="Arial"/>
          <w:color w:val="000000"/>
          <w:sz w:val="20"/>
          <w:szCs w:val="20"/>
        </w:rPr>
        <w:t xml:space="preserve"> </w:t>
      </w:r>
      <w:r w:rsidRPr="007F380D">
        <w:rPr>
          <w:rFonts w:ascii="Arial" w:hAnsi="Arial" w:cs="Arial"/>
          <w:color w:val="000000"/>
          <w:sz w:val="20"/>
          <w:szCs w:val="20"/>
        </w:rPr>
        <w:t xml:space="preserve">a larger </w:t>
      </w:r>
      <w:r w:rsidR="005B1A2E">
        <w:rPr>
          <w:rFonts w:ascii="Arial" w:hAnsi="Arial" w:cs="Arial"/>
          <w:color w:val="000000"/>
          <w:sz w:val="20"/>
          <w:szCs w:val="20"/>
        </w:rPr>
        <w:t xml:space="preserve">swath of the </w:t>
      </w:r>
      <w:r w:rsidRPr="007F380D">
        <w:rPr>
          <w:rFonts w:ascii="Arial" w:hAnsi="Arial" w:cs="Arial"/>
          <w:color w:val="000000"/>
          <w:sz w:val="20"/>
          <w:szCs w:val="20"/>
        </w:rPr>
        <w:t>upper tropospher</w:t>
      </w:r>
      <w:r w:rsidR="005B1A2E">
        <w:rPr>
          <w:rFonts w:ascii="Arial" w:hAnsi="Arial" w:cs="Arial"/>
          <w:color w:val="000000"/>
          <w:sz w:val="20"/>
          <w:szCs w:val="20"/>
        </w:rPr>
        <w:t>e</w:t>
      </w:r>
      <w:r w:rsidRPr="007F380D">
        <w:rPr>
          <w:rFonts w:ascii="Arial" w:hAnsi="Arial" w:cs="Arial"/>
          <w:color w:val="000000"/>
          <w:sz w:val="20"/>
          <w:szCs w:val="20"/>
        </w:rPr>
        <w:t xml:space="preserve"> (&gt; 6 km) than indicated by the measurements</w:t>
      </w:r>
      <w:r w:rsidR="005B1A2E">
        <w:rPr>
          <w:rFonts w:ascii="Arial" w:hAnsi="Arial" w:cs="Arial"/>
          <w:color w:val="000000"/>
          <w:sz w:val="20"/>
          <w:szCs w:val="20"/>
        </w:rPr>
        <w:t xml:space="preserve"> (&gt; 8 km)</w:t>
      </w:r>
      <w:r w:rsidRPr="007F380D">
        <w:rPr>
          <w:rFonts w:ascii="Arial" w:hAnsi="Arial" w:cs="Arial"/>
          <w:color w:val="000000"/>
          <w:sz w:val="20"/>
          <w:szCs w:val="20"/>
        </w:rPr>
        <w:t xml:space="preserve">. </w:t>
      </w:r>
      <w:bookmarkStart w:id="20" w:name="_Hlk105490682"/>
      <w:r w:rsidRPr="007F380D">
        <w:rPr>
          <w:rFonts w:ascii="Arial" w:hAnsi="Arial" w:cs="Arial"/>
          <w:color w:val="000000"/>
          <w:sz w:val="20"/>
          <w:szCs w:val="20"/>
        </w:rPr>
        <w:t xml:space="preserve">This overestimate is generally associated with a high normalized mean bias in NO (in other words, modeled NO is higher than observed; </w:t>
      </w:r>
      <w:r w:rsidR="00AA7045">
        <w:rPr>
          <w:rFonts w:ascii="Arial" w:hAnsi="Arial" w:cs="Arial"/>
          <w:color w:val="000000"/>
          <w:sz w:val="20"/>
          <w:szCs w:val="20"/>
        </w:rPr>
        <w:t>Meth</w:t>
      </w:r>
      <w:r w:rsidR="00AA7045" w:rsidRPr="00301EC9">
        <w:rPr>
          <w:rFonts w:ascii="Arial" w:hAnsi="Arial" w:cs="Arial"/>
          <w:color w:val="000000"/>
          <w:sz w:val="20"/>
          <w:szCs w:val="20"/>
        </w:rPr>
        <w:t xml:space="preserve">ods </w:t>
      </w:r>
      <w:r w:rsidR="00A42EF2">
        <w:rPr>
          <w:rFonts w:ascii="Arial" w:hAnsi="Arial" w:cs="Arial"/>
          <w:color w:val="000000"/>
          <w:sz w:val="20"/>
          <w:szCs w:val="20"/>
        </w:rPr>
        <w:t>8</w:t>
      </w:r>
      <w:r w:rsidR="00AA7045" w:rsidRPr="00301EC9">
        <w:rPr>
          <w:rFonts w:ascii="Arial" w:hAnsi="Arial" w:cs="Arial"/>
          <w:color w:val="000000"/>
          <w:sz w:val="20"/>
          <w:szCs w:val="20"/>
        </w:rPr>
        <w:t>.</w:t>
      </w:r>
      <w:r w:rsidRPr="00301EC9">
        <w:rPr>
          <w:rFonts w:ascii="Arial" w:hAnsi="Arial" w:cs="Arial"/>
          <w:color w:val="000000"/>
          <w:sz w:val="20"/>
          <w:szCs w:val="20"/>
        </w:rPr>
        <w:t>1.3, Figure S</w:t>
      </w:r>
      <w:r w:rsidR="0055402E">
        <w:rPr>
          <w:rFonts w:ascii="Arial" w:hAnsi="Arial" w:cs="Arial"/>
          <w:color w:val="000000"/>
          <w:sz w:val="20"/>
          <w:szCs w:val="20"/>
        </w:rPr>
        <w:t>1</w:t>
      </w:r>
      <w:r w:rsidR="007F5909">
        <w:rPr>
          <w:rFonts w:ascii="Arial" w:hAnsi="Arial" w:cs="Arial"/>
          <w:color w:val="000000"/>
          <w:sz w:val="20"/>
          <w:szCs w:val="20"/>
        </w:rPr>
        <w:t>3</w:t>
      </w:r>
      <w:r w:rsidRPr="00301EC9">
        <w:rPr>
          <w:rFonts w:ascii="Arial" w:hAnsi="Arial" w:cs="Arial"/>
          <w:color w:val="000000"/>
          <w:sz w:val="20"/>
          <w:szCs w:val="20"/>
        </w:rPr>
        <w:t>), possibly indicating an error in low temperature kinetic data for NO</w:t>
      </w:r>
      <w:r w:rsidRPr="00301EC9">
        <w:rPr>
          <w:rFonts w:ascii="Arial" w:hAnsi="Arial" w:cs="Arial"/>
          <w:color w:val="000000"/>
          <w:sz w:val="20"/>
          <w:szCs w:val="20"/>
          <w:vertAlign w:val="subscript"/>
        </w:rPr>
        <w:t>x</w:t>
      </w:r>
      <w:r w:rsidRPr="00301EC9">
        <w:rPr>
          <w:rFonts w:ascii="Arial" w:hAnsi="Arial" w:cs="Arial"/>
          <w:color w:val="000000"/>
          <w:sz w:val="20"/>
          <w:szCs w:val="20"/>
        </w:rPr>
        <w:t>-O</w:t>
      </w:r>
      <w:r w:rsidRPr="00301EC9">
        <w:rPr>
          <w:rFonts w:ascii="Arial" w:hAnsi="Arial" w:cs="Arial"/>
          <w:color w:val="000000"/>
          <w:sz w:val="20"/>
          <w:szCs w:val="20"/>
          <w:vertAlign w:val="subscript"/>
        </w:rPr>
        <w:t>3</w:t>
      </w:r>
      <w:r w:rsidRPr="00301EC9">
        <w:rPr>
          <w:rFonts w:ascii="Arial" w:hAnsi="Arial" w:cs="Arial"/>
          <w:color w:val="000000"/>
          <w:sz w:val="20"/>
          <w:szCs w:val="20"/>
        </w:rPr>
        <w:t xml:space="preserve"> photochemical cycling </w:t>
      </w:r>
      <w:r w:rsidRPr="00301EC9">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{"citationID":"wJYB3Q4X","properties":{"formattedCitation":"(61)","plainCitation":"(61)","noteIndex":0},"citationItems":[{"id":381,"uris":["http://zotero.org/users/9309103/items/EJE5I3WX"],"itemData":{"id":381,"type":"article-journal","abstract":"Observations from the SEAC4RS aircraft campaign over the southeast United States in August–September 2013 show NO/NO2 concentration ratios in the upper troposphere that are approximately half of photochemical equilibrium values computed from Jet Propulsion Laboratory (JPL) kinetic data. One possible explanation is the presence of labile NOx reservoir species, presumably organic, decomposing thermally to NO2 in the instrument. The NO2 instrument corrects for this artifact from known labile HNO4 and CH3O2NO2 NOx reservoirs. To bridge the gap between measured and simulated NO2, additional unaccounted labile NOx reservoir species would have to be present at a mean concentration of 40 ppt for the SEAC4RS conditions (compared with 197 ppt for NOx). An alternative explanation is error in the low-temperature rate constant for the NO + O3 reaction (30% 1-σ uncertainty in JPL at 240 K) and/or in the spectroscopic data for NO2 photolysis (20% 1-σ uncertainty). Resolving this discrepancy is important for understanding global budgets of tropospheric oxidants and for interpreting satellite observations of tropospheric NO2 columns.","container-title":"Geophysical Research Letters","DOI":"https://doi.org/10.1029/2018GL077728","ISSN":"1944-8007","issue":"9","language":"en","note":"_eprint: https://agupubs.onlinelibrary.wiley.com/doi/pdf/10.1029/2018GL077728","page":"4466-4474","source":"Wiley Online Library","title":"Observed NO/NO2 Ratios in the Upper Troposphere Imply Errors in NO-NO2-O3 Cycling Kinetics or an Unaccounted NOx Reservoir","volume":"45","author":[{"family":"Silvern","given":"R. F."},{"family":"Jacob","given":"D. J."},{"family":"Travis","given":"K. R."},{"family":"Sherwen","given":"T."},{"family":"Evans","given":"M. J."},{"family":"Cohen","given":"R. C."},{"family":"Laughner","given":"J. L."},{"family":"Hall","given":"S. R."},{"family":"Ullmann","given":"K."},{"family":"Crounse","given":"J. D."},{"family":"Wennberg","given":"P. O."},{"family":"Peischl","given":"J."},{"family":"Pollack","given":"I. B."}],"issued":{"date-parts":[["2018"]]}}}],"schema":"https://github.com/citation-style-language/schema/raw/master/csl-citation.json"} </w:instrText>
      </w:r>
      <w:r w:rsidRPr="00301EC9">
        <w:rPr>
          <w:rFonts w:ascii="Arial" w:hAnsi="Arial" w:cs="Arial"/>
          <w:color w:val="000000"/>
          <w:sz w:val="20"/>
          <w:szCs w:val="20"/>
        </w:rPr>
        <w:fldChar w:fldCharType="separate"/>
      </w:r>
      <w:r w:rsidR="0005501B" w:rsidRPr="0005501B">
        <w:rPr>
          <w:rFonts w:ascii="Arial" w:hAnsi="Arial" w:cs="Arial"/>
          <w:sz w:val="20"/>
        </w:rPr>
        <w:t>(61)</w:t>
      </w:r>
      <w:r w:rsidRPr="00301EC9">
        <w:rPr>
          <w:rFonts w:ascii="Arial" w:hAnsi="Arial" w:cs="Arial"/>
          <w:color w:val="000000"/>
          <w:sz w:val="20"/>
          <w:szCs w:val="20"/>
        </w:rPr>
        <w:fldChar w:fldCharType="end"/>
      </w:r>
      <w:bookmarkEnd w:id="20"/>
      <w:r w:rsidRPr="00301EC9">
        <w:rPr>
          <w:rFonts w:ascii="Arial" w:hAnsi="Arial" w:cs="Arial"/>
          <w:color w:val="000000"/>
          <w:sz w:val="20"/>
          <w:szCs w:val="20"/>
        </w:rPr>
        <w:t xml:space="preserve">. </w:t>
      </w:r>
      <w:r w:rsidR="005B1A2E" w:rsidRPr="005B1A2E">
        <w:rPr>
          <w:rFonts w:ascii="Arial" w:hAnsi="Arial" w:cs="Arial"/>
          <w:color w:val="000000"/>
          <w:sz w:val="20"/>
          <w:szCs w:val="20"/>
        </w:rPr>
        <w:t>Conversely, AM3 underestimates the extent of HO</w:t>
      </w:r>
      <w:r w:rsidR="005B1A2E" w:rsidRPr="005B1A2E">
        <w:rPr>
          <w:rFonts w:ascii="Arial" w:hAnsi="Arial" w:cs="Arial"/>
          <w:color w:val="000000"/>
          <w:sz w:val="20"/>
          <w:szCs w:val="20"/>
          <w:vertAlign w:val="subscript"/>
        </w:rPr>
        <w:t>2</w:t>
      </w:r>
      <w:r w:rsidR="005B1A2E" w:rsidRPr="005B1A2E">
        <w:rPr>
          <w:rFonts w:ascii="Arial" w:hAnsi="Arial" w:cs="Arial"/>
          <w:color w:val="000000"/>
          <w:sz w:val="20"/>
          <w:szCs w:val="20"/>
        </w:rPr>
        <w:t xml:space="preserve"> influence over Proxy</w:t>
      </w:r>
      <w:r w:rsidR="005B1A2E" w:rsidRPr="005B1A2E">
        <w:rPr>
          <w:rFonts w:ascii="Arial" w:hAnsi="Arial" w:cs="Arial"/>
          <w:i/>
          <w:iCs/>
          <w:color w:val="000000"/>
          <w:sz w:val="20"/>
          <w:szCs w:val="20"/>
          <w:vertAlign w:val="subscript"/>
        </w:rPr>
        <w:t>OH</w:t>
      </w:r>
      <w:r w:rsidR="005B1A2E" w:rsidRPr="005B1A2E">
        <w:rPr>
          <w:rFonts w:ascii="Arial" w:hAnsi="Arial" w:cs="Arial"/>
          <w:color w:val="000000"/>
          <w:sz w:val="20"/>
          <w:szCs w:val="20"/>
        </w:rPr>
        <w:t xml:space="preserve"> spatial variations in the upper troposphere, co-located with a low normalized mean bias in modeled HO</w:t>
      </w:r>
      <w:r w:rsidR="005B1A2E" w:rsidRPr="005B1A2E">
        <w:rPr>
          <w:rFonts w:ascii="Arial" w:hAnsi="Arial" w:cs="Arial"/>
          <w:color w:val="000000"/>
          <w:sz w:val="20"/>
          <w:szCs w:val="20"/>
          <w:vertAlign w:val="subscript"/>
        </w:rPr>
        <w:t>2</w:t>
      </w:r>
      <w:r w:rsidR="005B1A2E" w:rsidRPr="005B1A2E">
        <w:rPr>
          <w:rFonts w:ascii="Arial" w:hAnsi="Arial" w:cs="Arial"/>
          <w:color w:val="000000"/>
          <w:sz w:val="20"/>
          <w:szCs w:val="20"/>
        </w:rPr>
        <w:t xml:space="preserve"> (Figure S14). </w:t>
      </w:r>
      <w:r w:rsidRPr="00301EC9">
        <w:rPr>
          <w:rFonts w:ascii="Arial" w:hAnsi="Arial" w:cs="Arial"/>
          <w:color w:val="000000"/>
          <w:sz w:val="20"/>
          <w:szCs w:val="20"/>
        </w:rPr>
        <w:t>AM3 also has a low bias in H</w:t>
      </w:r>
      <w:r w:rsidRPr="00301EC9">
        <w:rPr>
          <w:rFonts w:ascii="Arial" w:hAnsi="Arial" w:cs="Arial"/>
          <w:color w:val="000000"/>
          <w:sz w:val="20"/>
          <w:szCs w:val="20"/>
          <w:vertAlign w:val="subscript"/>
        </w:rPr>
        <w:t>2</w:t>
      </w:r>
      <w:r w:rsidRPr="00301EC9">
        <w:rPr>
          <w:rFonts w:ascii="Arial" w:hAnsi="Arial" w:cs="Arial"/>
          <w:color w:val="000000"/>
          <w:sz w:val="20"/>
          <w:szCs w:val="20"/>
        </w:rPr>
        <w:t>O in this region (Figure S</w:t>
      </w:r>
      <w:r w:rsidR="0055402E">
        <w:rPr>
          <w:rFonts w:ascii="Arial" w:hAnsi="Arial" w:cs="Arial"/>
          <w:color w:val="000000"/>
          <w:sz w:val="20"/>
          <w:szCs w:val="20"/>
        </w:rPr>
        <w:t>1</w:t>
      </w:r>
      <w:r w:rsidR="007F5909">
        <w:rPr>
          <w:rFonts w:ascii="Arial" w:hAnsi="Arial" w:cs="Arial"/>
          <w:color w:val="000000"/>
          <w:sz w:val="20"/>
          <w:szCs w:val="20"/>
        </w:rPr>
        <w:t>5</w:t>
      </w:r>
      <w:r w:rsidRPr="00301EC9">
        <w:rPr>
          <w:rFonts w:ascii="Arial" w:hAnsi="Arial" w:cs="Arial"/>
          <w:color w:val="000000"/>
          <w:sz w:val="20"/>
          <w:szCs w:val="20"/>
        </w:rPr>
        <w:t>).</w:t>
      </w:r>
      <w:r w:rsidRPr="007F380D">
        <w:rPr>
          <w:rFonts w:ascii="Arial" w:hAnsi="Arial" w:cs="Arial"/>
          <w:color w:val="000000"/>
          <w:sz w:val="20"/>
          <w:szCs w:val="20"/>
        </w:rPr>
        <w:t xml:space="preserve"> </w:t>
      </w:r>
    </w:p>
    <w:p w14:paraId="7B3459B1" w14:textId="77777777" w:rsid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p>
    <w:p w14:paraId="5317D755" w14:textId="20DF48F0" w:rsidR="007F380D"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r w:rsidRPr="007F380D">
        <w:rPr>
          <w:rFonts w:ascii="Arial" w:hAnsi="Arial" w:cs="Arial"/>
          <w:color w:val="000000"/>
          <w:sz w:val="20"/>
          <w:szCs w:val="20"/>
        </w:rPr>
        <w:t xml:space="preserve">The model also </w:t>
      </w:r>
      <w:r w:rsidR="00EA45E1">
        <w:rPr>
          <w:rFonts w:ascii="Arial" w:hAnsi="Arial" w:cs="Arial"/>
          <w:color w:val="000000"/>
          <w:sz w:val="20"/>
          <w:szCs w:val="20"/>
        </w:rPr>
        <w:t>fails to</w:t>
      </w:r>
      <w:r w:rsidRPr="007F380D">
        <w:rPr>
          <w:rFonts w:ascii="Arial" w:hAnsi="Arial" w:cs="Arial"/>
          <w:color w:val="000000"/>
          <w:sz w:val="20"/>
          <w:szCs w:val="20"/>
        </w:rPr>
        <w:t xml:space="preserve"> </w:t>
      </w:r>
      <w:r w:rsidRPr="00497F48">
        <w:rPr>
          <w:rFonts w:ascii="Arial" w:hAnsi="Arial" w:cs="Arial"/>
          <w:color w:val="000000"/>
          <w:sz w:val="20"/>
          <w:szCs w:val="20"/>
        </w:rPr>
        <w:t xml:space="preserve">capture the </w:t>
      </w:r>
      <w:r w:rsidRPr="00CC7560">
        <w:rPr>
          <w:rFonts w:ascii="Arial" w:hAnsi="Arial" w:cs="Arial"/>
          <w:color w:val="000000"/>
          <w:sz w:val="20"/>
          <w:szCs w:val="20"/>
        </w:rPr>
        <w:t xml:space="preserve">observed </w:t>
      </w:r>
      <w:r w:rsidR="00AE5D81" w:rsidRPr="00855C75">
        <w:rPr>
          <w:rFonts w:ascii="Arial" w:hAnsi="Arial" w:cs="Arial"/>
          <w:color w:val="000000"/>
          <w:sz w:val="20"/>
          <w:szCs w:val="20"/>
        </w:rPr>
        <w:t xml:space="preserve">variability </w:t>
      </w:r>
      <w:r w:rsidRPr="00497F48">
        <w:rPr>
          <w:rFonts w:ascii="Arial" w:hAnsi="Arial" w:cs="Arial"/>
          <w:color w:val="000000"/>
          <w:sz w:val="20"/>
          <w:szCs w:val="20"/>
        </w:rPr>
        <w:t xml:space="preserve">in </w:t>
      </w:r>
      <w:r w:rsidR="00AE5D81" w:rsidRPr="00497F48">
        <w:rPr>
          <w:rFonts w:ascii="Arial" w:hAnsi="Arial" w:cs="Arial"/>
          <w:color w:val="000000"/>
          <w:sz w:val="20"/>
          <w:szCs w:val="20"/>
        </w:rPr>
        <w:t xml:space="preserve">the drivers of </w:t>
      </w:r>
      <w:r w:rsidRPr="00497F48">
        <w:rPr>
          <w:rFonts w:ascii="Arial" w:hAnsi="Arial" w:cs="Arial"/>
          <w:color w:val="000000"/>
          <w:sz w:val="20"/>
          <w:szCs w:val="20"/>
        </w:rPr>
        <w:t>Proxy</w:t>
      </w:r>
      <w:r w:rsidRPr="00497F48">
        <w:rPr>
          <w:rFonts w:ascii="Arial" w:hAnsi="Arial" w:cs="Arial"/>
          <w:i/>
          <w:iCs/>
          <w:color w:val="000000"/>
          <w:sz w:val="20"/>
          <w:szCs w:val="20"/>
          <w:vertAlign w:val="subscript"/>
        </w:rPr>
        <w:t>OH</w:t>
      </w:r>
      <w:r w:rsidRPr="00497F48">
        <w:rPr>
          <w:rFonts w:ascii="Arial" w:hAnsi="Arial" w:cs="Arial"/>
          <w:color w:val="000000"/>
          <w:sz w:val="20"/>
          <w:szCs w:val="20"/>
        </w:rPr>
        <w:t xml:space="preserve"> </w:t>
      </w:r>
      <w:r w:rsidR="00AE5D81" w:rsidRPr="00497F48">
        <w:rPr>
          <w:rFonts w:ascii="Arial" w:hAnsi="Arial" w:cs="Arial"/>
          <w:color w:val="000000"/>
          <w:sz w:val="20"/>
          <w:szCs w:val="20"/>
        </w:rPr>
        <w:t xml:space="preserve">spatial variations </w:t>
      </w:r>
      <w:r w:rsidRPr="00497F48">
        <w:rPr>
          <w:rFonts w:ascii="Arial" w:hAnsi="Arial" w:cs="Arial"/>
          <w:color w:val="000000"/>
          <w:sz w:val="20"/>
          <w:szCs w:val="20"/>
        </w:rPr>
        <w:t>in the lower troposphere</w:t>
      </w:r>
      <w:r w:rsidR="00AE5D81" w:rsidRPr="00497F48">
        <w:rPr>
          <w:rFonts w:ascii="Arial" w:hAnsi="Arial" w:cs="Arial"/>
          <w:color w:val="000000"/>
          <w:sz w:val="20"/>
          <w:szCs w:val="20"/>
        </w:rPr>
        <w:t>.</w:t>
      </w:r>
      <w:r w:rsidRPr="00497F48">
        <w:rPr>
          <w:rFonts w:ascii="Arial" w:hAnsi="Arial" w:cs="Arial"/>
          <w:color w:val="000000"/>
          <w:sz w:val="20"/>
          <w:szCs w:val="20"/>
        </w:rPr>
        <w:t xml:space="preserve"> AM3 suggest</w:t>
      </w:r>
      <w:r w:rsidR="00AE5D81" w:rsidRPr="00497F48">
        <w:rPr>
          <w:rFonts w:ascii="Arial" w:hAnsi="Arial" w:cs="Arial"/>
          <w:color w:val="000000"/>
          <w:sz w:val="20"/>
          <w:szCs w:val="20"/>
        </w:rPr>
        <w:t>s</w:t>
      </w:r>
      <w:r w:rsidRPr="00497F48">
        <w:rPr>
          <w:rFonts w:ascii="Arial" w:hAnsi="Arial" w:cs="Arial"/>
          <w:color w:val="000000"/>
          <w:sz w:val="20"/>
          <w:szCs w:val="20"/>
        </w:rPr>
        <w:t xml:space="preserve"> that only </w:t>
      </w:r>
      <m:oMath>
        <m:sSub>
          <m:sSubPr>
            <m:ctrlPr>
              <w:rPr>
                <w:rFonts w:ascii="Cambria Math" w:hAnsi="Cambria Math" w:cs="Arial"/>
                <w:i/>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Pr="00497F48">
        <w:rPr>
          <w:rFonts w:ascii="Arial" w:hAnsi="Arial" w:cs="Arial"/>
          <w:color w:val="000000"/>
          <w:sz w:val="20"/>
          <w:szCs w:val="20"/>
        </w:rPr>
        <w:t xml:space="preserve"> is influential </w:t>
      </w:r>
      <w:r w:rsidR="00AE5D81" w:rsidRPr="00497F48">
        <w:rPr>
          <w:rFonts w:ascii="Arial" w:hAnsi="Arial" w:cs="Arial"/>
          <w:color w:val="000000"/>
          <w:sz w:val="20"/>
          <w:szCs w:val="20"/>
        </w:rPr>
        <w:t xml:space="preserve">across the Southern Hemisphere, </w:t>
      </w:r>
      <w:r w:rsidR="004E19DB">
        <w:rPr>
          <w:rFonts w:ascii="Arial" w:hAnsi="Arial" w:cs="Arial"/>
          <w:color w:val="000000"/>
          <w:sz w:val="20"/>
          <w:szCs w:val="20"/>
        </w:rPr>
        <w:t xml:space="preserve">while </w:t>
      </w:r>
      <w:r w:rsidR="00AE5D81" w:rsidRPr="004E19DB">
        <w:rPr>
          <w:rFonts w:ascii="Arial" w:hAnsi="Arial" w:cs="Arial"/>
          <w:color w:val="000000"/>
          <w:sz w:val="20"/>
          <w:szCs w:val="20"/>
        </w:rPr>
        <w:t>H</w:t>
      </w:r>
      <w:r w:rsidR="00AE5D81" w:rsidRPr="004E19DB">
        <w:rPr>
          <w:rFonts w:ascii="Arial" w:hAnsi="Arial" w:cs="Arial"/>
          <w:color w:val="000000"/>
          <w:sz w:val="20"/>
          <w:szCs w:val="20"/>
          <w:vertAlign w:val="subscript"/>
        </w:rPr>
        <w:t>2</w:t>
      </w:r>
      <w:r w:rsidR="00AE5D81" w:rsidRPr="004E19DB">
        <w:rPr>
          <w:rFonts w:ascii="Arial" w:hAnsi="Arial" w:cs="Arial"/>
          <w:color w:val="000000"/>
          <w:sz w:val="20"/>
          <w:szCs w:val="20"/>
        </w:rPr>
        <w:t xml:space="preserve">O modulates </w:t>
      </w:r>
      <w:r w:rsidR="00D7450A" w:rsidRPr="00497F48">
        <w:rPr>
          <w:rFonts w:ascii="Arial" w:hAnsi="Arial" w:cs="Arial"/>
          <w:color w:val="000000"/>
          <w:sz w:val="20"/>
          <w:szCs w:val="20"/>
        </w:rPr>
        <w:t xml:space="preserve">modeled </w:t>
      </w:r>
      <w:r w:rsidR="00AE5D81" w:rsidRPr="00497F48">
        <w:rPr>
          <w:rFonts w:ascii="Arial" w:hAnsi="Arial" w:cs="Arial"/>
          <w:color w:val="000000"/>
          <w:sz w:val="20"/>
          <w:szCs w:val="20"/>
        </w:rPr>
        <w:t>Proxy</w:t>
      </w:r>
      <w:r w:rsidR="00AE5D81" w:rsidRPr="00497F48">
        <w:rPr>
          <w:rFonts w:ascii="Arial" w:hAnsi="Arial" w:cs="Arial"/>
          <w:i/>
          <w:iCs/>
          <w:color w:val="000000"/>
          <w:sz w:val="20"/>
          <w:szCs w:val="20"/>
          <w:vertAlign w:val="subscript"/>
        </w:rPr>
        <w:t>OH</w:t>
      </w:r>
      <w:r w:rsidR="00AE5D81" w:rsidRPr="00497F48">
        <w:rPr>
          <w:rFonts w:ascii="Arial" w:hAnsi="Arial" w:cs="Arial"/>
          <w:color w:val="000000"/>
          <w:sz w:val="20"/>
          <w:szCs w:val="20"/>
        </w:rPr>
        <w:t xml:space="preserve"> spatial variations throughout the Northern Hemisphere in this vertical layer. The observations, in contrast, limit the </w:t>
      </w:r>
      <m:oMath>
        <m:sSub>
          <m:sSubPr>
            <m:ctrlPr>
              <w:rPr>
                <w:rFonts w:ascii="Cambria Math" w:hAnsi="Cambria Math" w:cs="Arial"/>
                <w:i/>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AE5D81" w:rsidRPr="00497F48">
        <w:rPr>
          <w:rFonts w:ascii="Arial" w:hAnsi="Arial" w:cs="Arial"/>
          <w:color w:val="000000"/>
          <w:sz w:val="20"/>
          <w:szCs w:val="20"/>
        </w:rPr>
        <w:t xml:space="preserve"> influence to a smaller horizontal extent, and indicate that H</w:t>
      </w:r>
      <w:r w:rsidR="00AE5D81" w:rsidRPr="001C08EE">
        <w:rPr>
          <w:rFonts w:ascii="Arial" w:hAnsi="Arial" w:cs="Arial"/>
          <w:color w:val="000000"/>
          <w:sz w:val="20"/>
          <w:szCs w:val="20"/>
          <w:vertAlign w:val="subscript"/>
        </w:rPr>
        <w:t>2</w:t>
      </w:r>
      <w:r w:rsidR="00AE5D81" w:rsidRPr="00497F48">
        <w:rPr>
          <w:rFonts w:ascii="Arial" w:hAnsi="Arial" w:cs="Arial"/>
          <w:color w:val="000000"/>
          <w:sz w:val="20"/>
          <w:szCs w:val="20"/>
        </w:rPr>
        <w:t xml:space="preserve">O does not dominate spatial variations in any lower </w:t>
      </w:r>
      <w:r w:rsidR="00AE5D81" w:rsidRPr="00CC7560">
        <w:rPr>
          <w:rFonts w:ascii="Arial" w:hAnsi="Arial" w:cs="Arial"/>
          <w:color w:val="000000"/>
          <w:sz w:val="20"/>
          <w:szCs w:val="20"/>
        </w:rPr>
        <w:t>tropospheric region</w:t>
      </w:r>
      <w:r w:rsidR="00AE5D81" w:rsidRPr="00855C75">
        <w:rPr>
          <w:rFonts w:ascii="Arial" w:hAnsi="Arial" w:cs="Arial"/>
          <w:color w:val="000000"/>
          <w:sz w:val="20"/>
          <w:szCs w:val="20"/>
        </w:rPr>
        <w:t xml:space="preserve"> (Figure 3a).</w:t>
      </w:r>
      <w:r w:rsidR="00AE5D81" w:rsidRPr="00D85382">
        <w:rPr>
          <w:rFonts w:ascii="Arial" w:hAnsi="Arial" w:cs="Arial"/>
          <w:color w:val="000000"/>
          <w:sz w:val="20"/>
          <w:szCs w:val="20"/>
        </w:rPr>
        <w:t xml:space="preserve"> When considering individual oceanic basins, H</w:t>
      </w:r>
      <w:r w:rsidR="00AE5D81" w:rsidRPr="001C08EE">
        <w:rPr>
          <w:rFonts w:ascii="Arial" w:hAnsi="Arial" w:cs="Arial"/>
          <w:color w:val="000000"/>
          <w:sz w:val="20"/>
          <w:szCs w:val="20"/>
          <w:vertAlign w:val="subscript"/>
        </w:rPr>
        <w:t>2</w:t>
      </w:r>
      <w:r w:rsidR="00AE5D81" w:rsidRPr="00497F48">
        <w:rPr>
          <w:rFonts w:ascii="Arial" w:hAnsi="Arial" w:cs="Arial"/>
          <w:color w:val="000000"/>
          <w:sz w:val="20"/>
          <w:szCs w:val="20"/>
        </w:rPr>
        <w:t>O emerges as a primary driver of Proxy</w:t>
      </w:r>
      <w:r w:rsidR="00AE5D81" w:rsidRPr="001C08EE">
        <w:rPr>
          <w:rFonts w:ascii="Arial" w:hAnsi="Arial" w:cs="Arial"/>
          <w:i/>
          <w:iCs/>
          <w:color w:val="000000"/>
          <w:sz w:val="20"/>
          <w:szCs w:val="20"/>
          <w:vertAlign w:val="subscript"/>
        </w:rPr>
        <w:t>OH</w:t>
      </w:r>
      <w:r w:rsidR="00AE5D81" w:rsidRPr="00497F48">
        <w:rPr>
          <w:rFonts w:ascii="Arial" w:hAnsi="Arial" w:cs="Arial"/>
          <w:color w:val="000000"/>
          <w:sz w:val="20"/>
          <w:szCs w:val="20"/>
        </w:rPr>
        <w:t xml:space="preserve"> variations over </w:t>
      </w:r>
      <w:r w:rsidR="00AE5D81" w:rsidRPr="004E19DB">
        <w:rPr>
          <w:rFonts w:ascii="Arial" w:hAnsi="Arial" w:cs="Arial"/>
          <w:color w:val="000000"/>
          <w:sz w:val="20"/>
          <w:szCs w:val="20"/>
        </w:rPr>
        <w:t>two lower tropospheric bins in the Atlantic (Figure S10).</w:t>
      </w:r>
      <w:r w:rsidRPr="004E19DB">
        <w:rPr>
          <w:rFonts w:ascii="Arial" w:hAnsi="Arial" w:cs="Arial"/>
          <w:color w:val="000000"/>
          <w:sz w:val="20"/>
          <w:szCs w:val="20"/>
        </w:rPr>
        <w:t xml:space="preserve"> </w:t>
      </w:r>
      <w:r w:rsidR="00EA45E1" w:rsidRPr="004E19DB">
        <w:rPr>
          <w:rFonts w:ascii="Arial" w:hAnsi="Arial" w:cs="Arial"/>
          <w:color w:val="000000"/>
          <w:sz w:val="20"/>
          <w:szCs w:val="20"/>
        </w:rPr>
        <w:t>T</w:t>
      </w:r>
      <w:r w:rsidRPr="004E19DB">
        <w:rPr>
          <w:rFonts w:ascii="Arial" w:hAnsi="Arial" w:cs="Arial"/>
          <w:color w:val="000000"/>
          <w:sz w:val="20"/>
          <w:szCs w:val="20"/>
        </w:rPr>
        <w:t>he model</w:t>
      </w:r>
      <w:r w:rsidRPr="00497F48">
        <w:rPr>
          <w:rFonts w:ascii="Arial" w:hAnsi="Arial" w:cs="Arial"/>
          <w:color w:val="000000"/>
          <w:sz w:val="20"/>
          <w:szCs w:val="20"/>
        </w:rPr>
        <w:t xml:space="preserve"> </w:t>
      </w:r>
      <w:r w:rsidR="00EA45E1" w:rsidRPr="00497F48">
        <w:rPr>
          <w:rFonts w:ascii="Arial" w:hAnsi="Arial" w:cs="Arial"/>
          <w:color w:val="000000"/>
          <w:sz w:val="20"/>
          <w:szCs w:val="20"/>
        </w:rPr>
        <w:t>underestimate</w:t>
      </w:r>
      <w:r w:rsidR="00FF3C26" w:rsidRPr="00497F48">
        <w:rPr>
          <w:rFonts w:ascii="Arial" w:hAnsi="Arial" w:cs="Arial"/>
          <w:color w:val="000000"/>
          <w:sz w:val="20"/>
          <w:szCs w:val="20"/>
        </w:rPr>
        <w:t>s</w:t>
      </w:r>
      <w:r w:rsidR="00B568C5" w:rsidRPr="00497F48">
        <w:rPr>
          <w:rFonts w:ascii="Arial" w:hAnsi="Arial" w:cs="Arial"/>
          <w:color w:val="000000"/>
          <w:sz w:val="20"/>
          <w:szCs w:val="20"/>
        </w:rPr>
        <w:t xml:space="preserve"> </w:t>
      </w:r>
      <w:r w:rsidR="00EA45E1" w:rsidRPr="00497F48">
        <w:rPr>
          <w:rFonts w:ascii="Arial" w:hAnsi="Arial" w:cs="Arial"/>
          <w:color w:val="000000"/>
          <w:sz w:val="20"/>
          <w:szCs w:val="20"/>
        </w:rPr>
        <w:t xml:space="preserve">the </w:t>
      </w:r>
      <w:r w:rsidRPr="00497F48">
        <w:rPr>
          <w:rFonts w:ascii="Arial" w:hAnsi="Arial" w:cs="Arial"/>
          <w:color w:val="000000"/>
          <w:sz w:val="20"/>
          <w:szCs w:val="20"/>
        </w:rPr>
        <w:t xml:space="preserve">sensitivity </w:t>
      </w:r>
      <w:r w:rsidR="008D4227" w:rsidRPr="00497F48">
        <w:rPr>
          <w:rFonts w:ascii="Arial" w:hAnsi="Arial" w:cs="Arial"/>
          <w:color w:val="000000"/>
          <w:sz w:val="20"/>
          <w:szCs w:val="20"/>
        </w:rPr>
        <w:t>of Proxy</w:t>
      </w:r>
      <w:r w:rsidR="008D4227" w:rsidRPr="00497F48">
        <w:rPr>
          <w:rFonts w:ascii="Arial" w:hAnsi="Arial" w:cs="Arial"/>
          <w:i/>
          <w:iCs/>
          <w:color w:val="000000"/>
          <w:sz w:val="20"/>
          <w:szCs w:val="20"/>
          <w:vertAlign w:val="subscript"/>
        </w:rPr>
        <w:t>OH</w:t>
      </w:r>
      <w:r w:rsidR="008D4227" w:rsidRPr="00497F48">
        <w:rPr>
          <w:rFonts w:ascii="Arial" w:hAnsi="Arial" w:cs="Arial"/>
          <w:color w:val="000000"/>
          <w:sz w:val="20"/>
          <w:szCs w:val="20"/>
        </w:rPr>
        <w:t xml:space="preserve"> </w:t>
      </w:r>
      <w:r w:rsidR="00FF3C26" w:rsidRPr="00497F48">
        <w:rPr>
          <w:rFonts w:ascii="Arial" w:hAnsi="Arial" w:cs="Arial"/>
          <w:color w:val="000000"/>
          <w:sz w:val="20"/>
          <w:szCs w:val="20"/>
        </w:rPr>
        <w:t xml:space="preserve">spatial </w:t>
      </w:r>
      <w:r w:rsidR="008D4227" w:rsidRPr="00497F48">
        <w:rPr>
          <w:rFonts w:ascii="Arial" w:hAnsi="Arial" w:cs="Arial"/>
          <w:color w:val="000000"/>
          <w:sz w:val="20"/>
          <w:szCs w:val="20"/>
        </w:rPr>
        <w:t xml:space="preserve">variations </w:t>
      </w:r>
      <w:r w:rsidRPr="00497F48">
        <w:rPr>
          <w:rFonts w:ascii="Arial" w:hAnsi="Arial" w:cs="Arial"/>
          <w:color w:val="000000"/>
          <w:sz w:val="20"/>
          <w:szCs w:val="20"/>
        </w:rPr>
        <w:t xml:space="preserve">to NO in the lower troposphere, </w:t>
      </w:r>
      <w:r w:rsidR="00EA45E1" w:rsidRPr="00497F48">
        <w:rPr>
          <w:rFonts w:ascii="Arial" w:hAnsi="Arial" w:cs="Arial"/>
          <w:color w:val="000000"/>
          <w:sz w:val="20"/>
          <w:szCs w:val="20"/>
        </w:rPr>
        <w:t xml:space="preserve">but </w:t>
      </w:r>
      <w:r w:rsidRPr="00497F48">
        <w:rPr>
          <w:rFonts w:ascii="Arial" w:hAnsi="Arial" w:cs="Arial"/>
          <w:color w:val="000000"/>
          <w:sz w:val="20"/>
          <w:szCs w:val="20"/>
        </w:rPr>
        <w:t>the model NO bias differs in sign by hemisphere. We infer that</w:t>
      </w:r>
      <w:r w:rsidR="00FF3C26" w:rsidRPr="00497F48">
        <w:rPr>
          <w:rFonts w:ascii="Arial" w:hAnsi="Arial" w:cs="Arial"/>
          <w:color w:val="000000"/>
          <w:sz w:val="20"/>
          <w:szCs w:val="20"/>
        </w:rPr>
        <w:t>, in the lower troposphere,</w:t>
      </w:r>
      <w:r w:rsidRPr="00497F48">
        <w:rPr>
          <w:rFonts w:ascii="Arial" w:hAnsi="Arial" w:cs="Arial"/>
          <w:color w:val="000000"/>
          <w:sz w:val="20"/>
          <w:szCs w:val="20"/>
        </w:rPr>
        <w:t xml:space="preserve"> modeled NO may be too low to drive Proxy</w:t>
      </w:r>
      <w:r w:rsidRPr="00497F48">
        <w:rPr>
          <w:rFonts w:ascii="Arial" w:hAnsi="Arial" w:cs="Arial"/>
          <w:i/>
          <w:iCs/>
          <w:color w:val="000000"/>
          <w:sz w:val="20"/>
          <w:szCs w:val="20"/>
          <w:vertAlign w:val="subscript"/>
        </w:rPr>
        <w:t>OH</w:t>
      </w:r>
      <w:r w:rsidRPr="00497F48">
        <w:rPr>
          <w:rFonts w:ascii="Arial" w:hAnsi="Arial" w:cs="Arial"/>
          <w:color w:val="000000"/>
          <w:sz w:val="20"/>
          <w:szCs w:val="20"/>
        </w:rPr>
        <w:t xml:space="preserve"> </w:t>
      </w:r>
      <w:r w:rsidR="003816F7" w:rsidRPr="00497F48">
        <w:rPr>
          <w:rFonts w:ascii="Arial" w:hAnsi="Arial" w:cs="Arial"/>
          <w:color w:val="000000"/>
          <w:sz w:val="20"/>
          <w:szCs w:val="20"/>
        </w:rPr>
        <w:t xml:space="preserve">variations </w:t>
      </w:r>
      <w:r w:rsidRPr="00497F48">
        <w:rPr>
          <w:rFonts w:ascii="Arial" w:hAnsi="Arial" w:cs="Arial"/>
          <w:color w:val="000000"/>
          <w:sz w:val="20"/>
          <w:szCs w:val="20"/>
        </w:rPr>
        <w:t>in the Southern Hemisphere but is excessively high in the Northern Hemisphere</w:t>
      </w:r>
      <w:r w:rsidR="00FF3C26" w:rsidRPr="00497F48">
        <w:rPr>
          <w:rFonts w:ascii="Arial" w:hAnsi="Arial" w:cs="Arial"/>
          <w:color w:val="000000"/>
          <w:sz w:val="20"/>
          <w:szCs w:val="20"/>
        </w:rPr>
        <w:t>,</w:t>
      </w:r>
      <w:r w:rsidRPr="00497F48">
        <w:rPr>
          <w:rFonts w:ascii="Arial" w:hAnsi="Arial" w:cs="Arial"/>
          <w:color w:val="000000"/>
          <w:sz w:val="20"/>
          <w:szCs w:val="20"/>
        </w:rPr>
        <w:t xml:space="preserve"> where Proxy</w:t>
      </w:r>
      <w:r w:rsidRPr="00497F48">
        <w:rPr>
          <w:rFonts w:ascii="Arial" w:hAnsi="Arial" w:cs="Arial"/>
          <w:i/>
          <w:iCs/>
          <w:color w:val="000000"/>
          <w:sz w:val="20"/>
          <w:szCs w:val="20"/>
          <w:vertAlign w:val="subscript"/>
        </w:rPr>
        <w:t>OH</w:t>
      </w:r>
      <w:r w:rsidRPr="00497F48">
        <w:rPr>
          <w:rFonts w:ascii="Arial" w:hAnsi="Arial" w:cs="Arial"/>
          <w:color w:val="000000"/>
          <w:sz w:val="20"/>
          <w:szCs w:val="20"/>
        </w:rPr>
        <w:t xml:space="preserve"> </w:t>
      </w:r>
      <w:r w:rsidR="003816F7" w:rsidRPr="00497F48">
        <w:rPr>
          <w:rFonts w:ascii="Arial" w:hAnsi="Arial" w:cs="Arial"/>
          <w:color w:val="000000"/>
          <w:sz w:val="20"/>
          <w:szCs w:val="20"/>
        </w:rPr>
        <w:t xml:space="preserve">variations </w:t>
      </w:r>
      <w:r w:rsidR="00FF3C26" w:rsidRPr="00497F48">
        <w:rPr>
          <w:rFonts w:ascii="Arial" w:hAnsi="Arial" w:cs="Arial"/>
          <w:color w:val="000000"/>
          <w:sz w:val="20"/>
          <w:szCs w:val="20"/>
        </w:rPr>
        <w:t xml:space="preserve">may </w:t>
      </w:r>
      <w:r w:rsidRPr="00497F48">
        <w:rPr>
          <w:rFonts w:ascii="Arial" w:hAnsi="Arial" w:cs="Arial"/>
          <w:color w:val="000000"/>
          <w:sz w:val="20"/>
          <w:szCs w:val="20"/>
        </w:rPr>
        <w:t xml:space="preserve">no longer </w:t>
      </w:r>
      <w:r w:rsidR="00FF3C26" w:rsidRPr="00497F48">
        <w:rPr>
          <w:rFonts w:ascii="Arial" w:hAnsi="Arial" w:cs="Arial"/>
          <w:color w:val="000000"/>
          <w:sz w:val="20"/>
          <w:szCs w:val="20"/>
        </w:rPr>
        <w:t xml:space="preserve">be </w:t>
      </w:r>
      <w:r w:rsidRPr="00497F48">
        <w:rPr>
          <w:rFonts w:ascii="Arial" w:hAnsi="Arial" w:cs="Arial"/>
          <w:color w:val="000000"/>
          <w:sz w:val="20"/>
          <w:szCs w:val="20"/>
        </w:rPr>
        <w:t xml:space="preserve">sensitive to </w:t>
      </w:r>
      <w:r w:rsidR="003816F7" w:rsidRPr="00497F48">
        <w:rPr>
          <w:rFonts w:ascii="Arial" w:hAnsi="Arial" w:cs="Arial"/>
          <w:color w:val="000000"/>
          <w:sz w:val="20"/>
          <w:szCs w:val="20"/>
        </w:rPr>
        <w:t>NO</w:t>
      </w:r>
      <w:r w:rsidRPr="00497F48">
        <w:rPr>
          <w:rFonts w:ascii="Arial" w:hAnsi="Arial" w:cs="Arial"/>
          <w:color w:val="000000"/>
          <w:sz w:val="20"/>
          <w:szCs w:val="20"/>
        </w:rPr>
        <w:t>.</w:t>
      </w:r>
    </w:p>
    <w:p w14:paraId="1C20D8CA" w14:textId="77777777" w:rsid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p>
    <w:p w14:paraId="54ACBC82" w14:textId="57FAB88E" w:rsidR="007F380D" w:rsidRPr="007F380D" w:rsidRDefault="007F380D" w:rsidP="007F380D">
      <w:pPr>
        <w:keepNext/>
        <w:pBdr>
          <w:top w:val="nil"/>
          <w:left w:val="nil"/>
          <w:bottom w:val="nil"/>
          <w:right w:val="nil"/>
          <w:between w:val="nil"/>
        </w:pBdr>
        <w:spacing w:before="240" w:after="60"/>
        <w:contextualSpacing/>
        <w:jc w:val="both"/>
        <w:rPr>
          <w:rFonts w:ascii="Arial" w:hAnsi="Arial" w:cs="Arial"/>
          <w:color w:val="000000"/>
          <w:sz w:val="20"/>
          <w:szCs w:val="20"/>
        </w:rPr>
      </w:pPr>
      <w:bookmarkStart w:id="21" w:name="_Hlk120102299"/>
      <w:r w:rsidRPr="007F380D">
        <w:rPr>
          <w:rFonts w:ascii="Arial" w:hAnsi="Arial" w:cs="Arial"/>
          <w:color w:val="000000"/>
          <w:sz w:val="20"/>
          <w:szCs w:val="20"/>
        </w:rPr>
        <w:t>Th</w:t>
      </w:r>
      <w:r w:rsidR="00EA45E1">
        <w:rPr>
          <w:rFonts w:ascii="Arial" w:hAnsi="Arial" w:cs="Arial"/>
          <w:color w:val="000000"/>
          <w:sz w:val="20"/>
          <w:szCs w:val="20"/>
        </w:rPr>
        <w:t>e</w:t>
      </w:r>
      <w:r w:rsidRPr="007F380D">
        <w:rPr>
          <w:rFonts w:ascii="Arial" w:hAnsi="Arial" w:cs="Arial"/>
          <w:color w:val="000000"/>
          <w:sz w:val="20"/>
          <w:szCs w:val="20"/>
        </w:rPr>
        <w:t xml:space="preserve"> analysis</w:t>
      </w:r>
      <w:r w:rsidR="00EA45E1">
        <w:rPr>
          <w:rFonts w:ascii="Arial" w:hAnsi="Arial" w:cs="Arial"/>
          <w:color w:val="000000"/>
          <w:sz w:val="20"/>
          <w:szCs w:val="20"/>
        </w:rPr>
        <w:t xml:space="preserve"> above</w:t>
      </w:r>
      <w:r w:rsidRPr="007F380D">
        <w:rPr>
          <w:rFonts w:ascii="Arial" w:hAnsi="Arial" w:cs="Arial"/>
          <w:color w:val="000000"/>
          <w:sz w:val="20"/>
          <w:szCs w:val="20"/>
        </w:rPr>
        <w:t xml:space="preserve"> illustrat</w:t>
      </w:r>
      <w:r w:rsidR="005F21A7">
        <w:rPr>
          <w:rFonts w:ascii="Arial" w:hAnsi="Arial" w:cs="Arial"/>
          <w:color w:val="000000"/>
          <w:sz w:val="20"/>
          <w:szCs w:val="20"/>
        </w:rPr>
        <w:t>es</w:t>
      </w:r>
      <w:r w:rsidRPr="007F380D">
        <w:rPr>
          <w:rFonts w:ascii="Arial" w:hAnsi="Arial" w:cs="Arial"/>
          <w:color w:val="000000"/>
          <w:sz w:val="20"/>
          <w:szCs w:val="20"/>
        </w:rPr>
        <w:t xml:space="preserve"> how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can be used </w:t>
      </w:r>
      <w:r w:rsidR="007A4762">
        <w:rPr>
          <w:rFonts w:ascii="Arial" w:hAnsi="Arial" w:cs="Arial"/>
          <w:color w:val="000000"/>
          <w:sz w:val="20"/>
          <w:szCs w:val="20"/>
        </w:rPr>
        <w:t>as a tool for rapid assessment of</w:t>
      </w:r>
      <w:r w:rsidRPr="007F380D">
        <w:rPr>
          <w:rFonts w:ascii="Arial" w:hAnsi="Arial" w:cs="Arial"/>
          <w:color w:val="000000"/>
          <w:sz w:val="20"/>
          <w:szCs w:val="20"/>
        </w:rPr>
        <w:t xml:space="preserve"> the relative importance of chemical processes that control tropospheric oxidation </w:t>
      </w:r>
      <w:r w:rsidR="003816F7">
        <w:rPr>
          <w:rFonts w:ascii="Arial" w:hAnsi="Arial" w:cs="Arial"/>
          <w:color w:val="000000"/>
          <w:sz w:val="20"/>
          <w:szCs w:val="20"/>
        </w:rPr>
        <w:t>variations</w:t>
      </w:r>
      <w:r w:rsidR="007A4762">
        <w:rPr>
          <w:rFonts w:ascii="Arial" w:hAnsi="Arial" w:cs="Arial"/>
          <w:color w:val="000000"/>
          <w:sz w:val="20"/>
          <w:szCs w:val="20"/>
        </w:rPr>
        <w:t>. This information can be applied to</w:t>
      </w:r>
      <w:r w:rsidR="003816F7">
        <w:rPr>
          <w:rFonts w:ascii="Arial" w:hAnsi="Arial" w:cs="Arial"/>
          <w:color w:val="000000"/>
          <w:sz w:val="20"/>
          <w:szCs w:val="20"/>
        </w:rPr>
        <w:t xml:space="preserve"> </w:t>
      </w:r>
      <w:r w:rsidR="007A4762">
        <w:rPr>
          <w:rFonts w:ascii="Arial" w:hAnsi="Arial" w:cs="Arial"/>
          <w:color w:val="000000"/>
          <w:sz w:val="20"/>
          <w:szCs w:val="20"/>
        </w:rPr>
        <w:t>model evaluation, or to inform areas for exploration using more comprehensive, but more expensive,</w:t>
      </w:r>
      <w:r w:rsidR="007A4762" w:rsidRPr="007F380D">
        <w:rPr>
          <w:rFonts w:ascii="Arial" w:hAnsi="Arial" w:cs="Arial"/>
          <w:color w:val="000000"/>
          <w:sz w:val="20"/>
          <w:szCs w:val="20"/>
        </w:rPr>
        <w:t xml:space="preserve"> </w:t>
      </w:r>
      <w:r w:rsidRPr="007F380D">
        <w:rPr>
          <w:rFonts w:ascii="Arial" w:hAnsi="Arial" w:cs="Arial"/>
          <w:color w:val="000000"/>
          <w:sz w:val="20"/>
          <w:szCs w:val="20"/>
        </w:rPr>
        <w:t xml:space="preserve">global chemistry-climate models. </w:t>
      </w:r>
      <w:bookmarkEnd w:id="21"/>
      <w:r w:rsidRPr="007F380D">
        <w:rPr>
          <w:rFonts w:ascii="Arial" w:hAnsi="Arial" w:cs="Arial"/>
          <w:color w:val="000000"/>
          <w:sz w:val="20"/>
          <w:szCs w:val="20"/>
        </w:rPr>
        <w:t xml:space="preserve">Overall, the modeled sensitivity </w:t>
      </w:r>
      <w:r w:rsidR="003816F7">
        <w:rPr>
          <w:rFonts w:ascii="Arial" w:hAnsi="Arial" w:cs="Arial"/>
          <w:color w:val="000000"/>
          <w:sz w:val="20"/>
          <w:szCs w:val="20"/>
        </w:rPr>
        <w:t xml:space="preserve">of </w:t>
      </w:r>
      <w:r w:rsidR="003816F7" w:rsidRPr="007F380D">
        <w:rPr>
          <w:rFonts w:ascii="Arial" w:hAnsi="Arial" w:cs="Arial"/>
          <w:color w:val="000000"/>
          <w:sz w:val="20"/>
          <w:szCs w:val="20"/>
        </w:rPr>
        <w:t>Proxy</w:t>
      </w:r>
      <w:r w:rsidR="003816F7" w:rsidRPr="007F380D">
        <w:rPr>
          <w:rFonts w:ascii="Arial" w:hAnsi="Arial" w:cs="Arial"/>
          <w:i/>
          <w:iCs/>
          <w:color w:val="000000"/>
          <w:sz w:val="20"/>
          <w:szCs w:val="20"/>
          <w:vertAlign w:val="subscript"/>
        </w:rPr>
        <w:t>OH</w:t>
      </w:r>
      <w:r w:rsidR="003816F7" w:rsidRPr="007F380D">
        <w:rPr>
          <w:rFonts w:ascii="Arial" w:hAnsi="Arial" w:cs="Arial"/>
          <w:color w:val="000000"/>
          <w:sz w:val="20"/>
          <w:szCs w:val="20"/>
        </w:rPr>
        <w:t xml:space="preserve"> </w:t>
      </w:r>
      <w:r w:rsidR="003816F7">
        <w:rPr>
          <w:rFonts w:ascii="Arial" w:hAnsi="Arial" w:cs="Arial"/>
          <w:color w:val="000000"/>
          <w:sz w:val="20"/>
          <w:szCs w:val="20"/>
        </w:rPr>
        <w:t>variation</w:t>
      </w:r>
      <w:r w:rsidR="004E19DB">
        <w:rPr>
          <w:rFonts w:ascii="Arial" w:hAnsi="Arial" w:cs="Arial"/>
          <w:color w:val="000000"/>
          <w:sz w:val="20"/>
          <w:szCs w:val="20"/>
        </w:rPr>
        <w:t>s</w:t>
      </w:r>
      <w:r w:rsidR="003816F7">
        <w:rPr>
          <w:rFonts w:ascii="Arial" w:hAnsi="Arial" w:cs="Arial"/>
          <w:color w:val="000000"/>
          <w:sz w:val="20"/>
          <w:szCs w:val="20"/>
        </w:rPr>
        <w:t xml:space="preserve"> </w:t>
      </w:r>
      <w:r w:rsidRPr="007F380D">
        <w:rPr>
          <w:rFonts w:ascii="Arial" w:hAnsi="Arial" w:cs="Arial"/>
          <w:color w:val="000000"/>
          <w:sz w:val="20"/>
          <w:szCs w:val="20"/>
        </w:rPr>
        <w:t>is consistent with the observations in demonstrating that few terms, mainly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and NO, dominate the sensitivity of </w:t>
      </w:r>
      <w:r w:rsidR="003816F7">
        <w:rPr>
          <w:rFonts w:ascii="Arial" w:hAnsi="Arial" w:cs="Arial"/>
          <w:color w:val="000000"/>
          <w:sz w:val="20"/>
          <w:szCs w:val="20"/>
        </w:rPr>
        <w:t xml:space="preserve">regional </w:t>
      </w:r>
      <w:r w:rsidRPr="007F380D">
        <w:rPr>
          <w:rFonts w:ascii="Arial" w:hAnsi="Arial" w:cs="Arial"/>
          <w:color w:val="000000"/>
          <w:sz w:val="20"/>
          <w:szCs w:val="20"/>
        </w:rPr>
        <w:t>oxidation</w:t>
      </w:r>
      <w:r w:rsidR="003816F7">
        <w:rPr>
          <w:rFonts w:ascii="Arial" w:hAnsi="Arial" w:cs="Arial"/>
          <w:color w:val="000000"/>
          <w:sz w:val="20"/>
          <w:szCs w:val="20"/>
        </w:rPr>
        <w:t xml:space="preserve"> variations over the </w:t>
      </w:r>
      <w:r w:rsidR="003816F7" w:rsidRPr="007F380D">
        <w:rPr>
          <w:rFonts w:ascii="Arial" w:hAnsi="Arial" w:cs="Arial"/>
          <w:color w:val="000000"/>
          <w:sz w:val="20"/>
          <w:szCs w:val="20"/>
        </w:rPr>
        <w:t xml:space="preserve">remote </w:t>
      </w:r>
      <w:r w:rsidR="003816F7">
        <w:rPr>
          <w:rFonts w:ascii="Arial" w:hAnsi="Arial" w:cs="Arial"/>
          <w:color w:val="000000"/>
          <w:sz w:val="20"/>
          <w:szCs w:val="20"/>
        </w:rPr>
        <w:t xml:space="preserve">marine </w:t>
      </w:r>
      <w:r w:rsidR="003816F7" w:rsidRPr="007F380D">
        <w:rPr>
          <w:rFonts w:ascii="Arial" w:hAnsi="Arial" w:cs="Arial"/>
          <w:color w:val="000000"/>
          <w:sz w:val="20"/>
          <w:szCs w:val="20"/>
        </w:rPr>
        <w:t>tropospher</w:t>
      </w:r>
      <w:r w:rsidR="003816F7">
        <w:rPr>
          <w:rFonts w:ascii="Arial" w:hAnsi="Arial" w:cs="Arial"/>
          <w:color w:val="000000"/>
          <w:sz w:val="20"/>
          <w:szCs w:val="20"/>
        </w:rPr>
        <w:t>e</w:t>
      </w:r>
      <w:r w:rsidRPr="007F380D">
        <w:rPr>
          <w:rFonts w:ascii="Arial" w:hAnsi="Arial" w:cs="Arial"/>
          <w:color w:val="000000"/>
          <w:sz w:val="20"/>
          <w:szCs w:val="20"/>
        </w:rPr>
        <w:t xml:space="preserve">. </w:t>
      </w:r>
    </w:p>
    <w:p w14:paraId="23C9F9F6" w14:textId="77777777" w:rsidR="007F380D" w:rsidRDefault="007F380D" w:rsidP="00E6133D">
      <w:pPr>
        <w:pBdr>
          <w:top w:val="nil"/>
          <w:left w:val="nil"/>
          <w:bottom w:val="nil"/>
          <w:right w:val="nil"/>
          <w:between w:val="nil"/>
        </w:pBdr>
        <w:contextualSpacing/>
        <w:rPr>
          <w:rFonts w:ascii="Arial" w:hAnsi="Arial" w:cs="Arial"/>
          <w:b/>
          <w:color w:val="000000"/>
          <w:sz w:val="20"/>
          <w:szCs w:val="20"/>
        </w:rPr>
      </w:pPr>
    </w:p>
    <w:p w14:paraId="57014F4A" w14:textId="78570BF5" w:rsidR="007F380D" w:rsidRPr="00F649EE" w:rsidRDefault="003200E0" w:rsidP="00E6133D">
      <w:pPr>
        <w:pBdr>
          <w:top w:val="nil"/>
          <w:left w:val="nil"/>
          <w:bottom w:val="nil"/>
          <w:right w:val="nil"/>
          <w:between w:val="nil"/>
        </w:pBdr>
        <w:contextualSpacing/>
        <w:rPr>
          <w:rFonts w:ascii="Arial" w:hAnsi="Arial" w:cs="Arial"/>
          <w:color w:val="000000"/>
          <w:sz w:val="20"/>
          <w:szCs w:val="20"/>
        </w:rPr>
      </w:pPr>
      <w:r>
        <w:rPr>
          <w:rFonts w:ascii="Arial" w:hAnsi="Arial" w:cs="Arial"/>
          <w:b/>
          <w:color w:val="000000"/>
          <w:sz w:val="20"/>
          <w:szCs w:val="20"/>
        </w:rPr>
        <w:t>7</w:t>
      </w:r>
      <w:r w:rsidR="007F380D">
        <w:rPr>
          <w:rFonts w:ascii="Arial" w:hAnsi="Arial" w:cs="Arial"/>
          <w:b/>
          <w:color w:val="000000"/>
          <w:sz w:val="20"/>
          <w:szCs w:val="20"/>
        </w:rPr>
        <w:t xml:space="preserve">. </w:t>
      </w:r>
      <w:r w:rsidR="00F04B52">
        <w:rPr>
          <w:rFonts w:ascii="Arial" w:hAnsi="Arial" w:cs="Arial"/>
          <w:b/>
          <w:color w:val="000000"/>
          <w:sz w:val="20"/>
          <w:szCs w:val="20"/>
        </w:rPr>
        <w:t xml:space="preserve">Discussion: </w:t>
      </w:r>
      <w:r w:rsidR="007F380D" w:rsidRPr="007F380D">
        <w:rPr>
          <w:rFonts w:ascii="Arial" w:hAnsi="Arial" w:cs="Arial"/>
          <w:b/>
          <w:color w:val="000000"/>
          <w:sz w:val="20"/>
          <w:szCs w:val="20"/>
        </w:rPr>
        <w:t>Advancing understanding of the methane lifetime using Proxy</w:t>
      </w:r>
      <w:r w:rsidR="007F380D" w:rsidRPr="007F380D">
        <w:rPr>
          <w:rFonts w:ascii="Arial" w:hAnsi="Arial" w:cs="Arial"/>
          <w:b/>
          <w:i/>
          <w:iCs/>
          <w:color w:val="000000"/>
          <w:sz w:val="20"/>
          <w:szCs w:val="20"/>
          <w:vertAlign w:val="subscript"/>
        </w:rPr>
        <w:t>OH</w:t>
      </w:r>
    </w:p>
    <w:p w14:paraId="2212F9A2" w14:textId="77777777" w:rsidR="00980C22" w:rsidRDefault="00980C22" w:rsidP="00980C22">
      <w:pPr>
        <w:pBdr>
          <w:top w:val="nil"/>
          <w:left w:val="nil"/>
          <w:bottom w:val="nil"/>
          <w:right w:val="nil"/>
          <w:between w:val="nil"/>
        </w:pBdr>
        <w:spacing w:after="0"/>
        <w:contextualSpacing/>
        <w:rPr>
          <w:rFonts w:ascii="Arial" w:hAnsi="Arial" w:cs="Arial"/>
          <w:color w:val="000000"/>
          <w:sz w:val="20"/>
          <w:szCs w:val="20"/>
        </w:rPr>
      </w:pPr>
    </w:p>
    <w:p w14:paraId="227A9F77" w14:textId="3710840A" w:rsidR="007F380D" w:rsidRPr="007F380D" w:rsidRDefault="00652A67" w:rsidP="007F380D">
      <w:pPr>
        <w:pBdr>
          <w:top w:val="nil"/>
          <w:left w:val="nil"/>
          <w:bottom w:val="nil"/>
          <w:right w:val="nil"/>
          <w:between w:val="nil"/>
        </w:pBdr>
        <w:spacing w:after="0"/>
        <w:contextualSpacing/>
        <w:rPr>
          <w:rFonts w:ascii="Arial" w:hAnsi="Arial" w:cs="Arial"/>
          <w:color w:val="000000"/>
          <w:sz w:val="20"/>
          <w:szCs w:val="20"/>
        </w:rPr>
      </w:pPr>
      <w:r>
        <w:rPr>
          <w:rFonts w:ascii="Arial" w:hAnsi="Arial" w:cs="Arial"/>
          <w:color w:val="000000"/>
          <w:sz w:val="20"/>
          <w:szCs w:val="20"/>
        </w:rPr>
        <w:t>I</w:t>
      </w:r>
      <w:r w:rsidRPr="007F380D">
        <w:rPr>
          <w:rFonts w:ascii="Arial" w:hAnsi="Arial" w:cs="Arial"/>
          <w:color w:val="000000"/>
          <w:sz w:val="20"/>
          <w:szCs w:val="20"/>
        </w:rPr>
        <w:t xml:space="preserve">mproved </w:t>
      </w:r>
      <w:r w:rsidR="007F380D" w:rsidRPr="007F380D">
        <w:rPr>
          <w:rFonts w:ascii="Arial" w:hAnsi="Arial" w:cs="Arial"/>
          <w:color w:val="000000"/>
          <w:sz w:val="20"/>
          <w:szCs w:val="20"/>
        </w:rPr>
        <w:t xml:space="preserve">confidence in methane trend attribution </w:t>
      </w:r>
      <w:r>
        <w:rPr>
          <w:rFonts w:ascii="Arial" w:hAnsi="Arial" w:cs="Arial"/>
          <w:color w:val="000000"/>
          <w:sz w:val="20"/>
          <w:szCs w:val="20"/>
        </w:rPr>
        <w:t xml:space="preserve">relies on a better understanding of </w:t>
      </w:r>
      <w:r w:rsidRPr="007F380D">
        <w:rPr>
          <w:rFonts w:ascii="Arial" w:hAnsi="Arial" w:cs="Arial"/>
          <w:color w:val="000000"/>
          <w:sz w:val="20"/>
          <w:szCs w:val="20"/>
        </w:rPr>
        <w:t xml:space="preserve">OH </w:t>
      </w:r>
      <w:r>
        <w:rPr>
          <w:rFonts w:ascii="Arial" w:hAnsi="Arial" w:cs="Arial"/>
          <w:color w:val="000000"/>
          <w:sz w:val="20"/>
          <w:szCs w:val="20"/>
        </w:rPr>
        <w:t>variations</w:t>
      </w:r>
      <w:r w:rsidRPr="007F380D">
        <w:rPr>
          <w:rFonts w:ascii="Arial" w:hAnsi="Arial" w:cs="Arial"/>
          <w:color w:val="000000"/>
          <w:sz w:val="20"/>
          <w:szCs w:val="20"/>
        </w:rPr>
        <w:t xml:space="preserve"> </w:t>
      </w:r>
      <w:r w:rsidR="007F380D"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{"citationID":"PTb0Uv6D","properties":{"formattedCitation":"(62)","plainCitation":"(62)","noteIndex":0},"citationItems":[{"id":464,"uris":["http://zotero.org/users/9309103/items/NYDA2P7B"],"itemData":{"id":464,"type":"article-journal","abstract":"Atmospheric methane plays a major role in controlling climate, yet contemporary methane trends (1982–2017) have defied explanation with numerous, often conflicting, hypotheses proposed in the literature. Specifically, atmospheric observations of methane from 1982 to 2017 have exhibited periods of both increasing concentrations (from 1982 to 2000 and from 2007 to 2017) and stabilization (from 2000 to 2007). Explanations for the increases and stabilization have invoked changes in tropical wetlands, livestock, fossil fuels, biomass burning, and the methane sink. Contradictions in these hypotheses arise because our current observational network cannot unambiguously link recent methane variations to specific sources. This raises some fundamental questions: (i) What do we know about sources, sinks, and underlying processes driving observed trends in atmospheric methane? (ii) How will global methane respond to changes in anthropogenic emissions? And (iii), What future observations could help resolve changes in the methane budget? To address these questions, we discuss potential drivers of atmospheric methane abundances over the last four decades in light of various observational constraints as well as process-based knowledge. While uncertainties in the methane budget exist, they should not detract from the potential of methane emissions mitigation strategies. We show that net-zero cost emission reductions can lead to a declining atmospheric burden, but can take three decades to stabilize. Moving forward, we make recommendations for observations to better constrain contemporary trends in atmospheric methane and to provide mitigation support.","container-title":"Proceedings of the National Academy of Sciences","DOI":"10.1073/pnas.1814297116","ISSN":"0027-8424, 1091-6490","issue":"8","journalAbbreviation":"PNAS","language":"en","license":"Copyright © 2019 the Author(s). Published by PNAS.. https://creativecommons.org/licenses/by-nc-nd/4.0/This open access article is distributed under Creative Commons Attribution-NonCommercial-NoDerivatives License 4.0 (CC BY-NC-ND).","note":"publisher: National Academy of Sciences\nsection: Perspective\nPMID: 30733299","page":"2805-2813","source":"www.pnas.org","title":"Interpreting contemporary trends in atmospheric methane","volume":"116","author":[{"family":"Turner","given":"Alexander J."},{"family":"Frankenberg","given":"Christian"},{"family":"Kort","given":"Eric A."}],"issued":{"date-parts":[["2019",2,19]]}}}],"schema":"https://github.com/citation-style-language/schema/raw/master/csl-citation.json"} </w:instrText>
      </w:r>
      <w:r w:rsidR="007F380D" w:rsidRPr="007F380D">
        <w:rPr>
          <w:rFonts w:ascii="Arial" w:hAnsi="Arial" w:cs="Arial"/>
          <w:color w:val="000000"/>
          <w:sz w:val="20"/>
          <w:szCs w:val="20"/>
        </w:rPr>
        <w:fldChar w:fldCharType="separate"/>
      </w:r>
      <w:r w:rsidR="0005501B" w:rsidRPr="0005501B">
        <w:rPr>
          <w:rFonts w:ascii="Arial" w:hAnsi="Arial" w:cs="Arial"/>
          <w:sz w:val="20"/>
        </w:rPr>
        <w:t>(62)</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but OH variations have been difficult to constrain, in part, because of non-linear relationships between OH and its </w:t>
      </w:r>
      <w:r w:rsidR="00DF20A0">
        <w:rPr>
          <w:rFonts w:ascii="Arial" w:hAnsi="Arial" w:cs="Arial"/>
          <w:color w:val="000000"/>
          <w:sz w:val="20"/>
          <w:szCs w:val="20"/>
        </w:rPr>
        <w:t xml:space="preserve">numerous </w:t>
      </w:r>
      <w:r w:rsidR="007F380D" w:rsidRPr="007F380D">
        <w:rPr>
          <w:rFonts w:ascii="Arial" w:hAnsi="Arial" w:cs="Arial"/>
          <w:color w:val="000000"/>
          <w:sz w:val="20"/>
          <w:szCs w:val="20"/>
        </w:rPr>
        <w:t xml:space="preserve">underlying drivers. We develop and evaluate an observation-based proxy for sub-hemispheric </w:t>
      </w:r>
      <w:r>
        <w:rPr>
          <w:rFonts w:ascii="Arial" w:hAnsi="Arial" w:cs="Arial"/>
          <w:color w:val="000000"/>
          <w:sz w:val="20"/>
          <w:szCs w:val="20"/>
        </w:rPr>
        <w:t xml:space="preserve">spatial variations in </w:t>
      </w:r>
      <w:r w:rsidR="007F380D" w:rsidRPr="007F380D">
        <w:rPr>
          <w:rFonts w:ascii="Arial" w:hAnsi="Arial" w:cs="Arial"/>
          <w:color w:val="000000"/>
          <w:sz w:val="20"/>
          <w:szCs w:val="20"/>
        </w:rPr>
        <w:t>OH (Proxy</w:t>
      </w:r>
      <w:r w:rsidR="007F380D" w:rsidRPr="007F380D">
        <w:rPr>
          <w:rFonts w:ascii="Arial" w:hAnsi="Arial" w:cs="Arial"/>
          <w:i/>
          <w:iCs/>
          <w:color w:val="000000"/>
          <w:sz w:val="20"/>
          <w:szCs w:val="20"/>
          <w:vertAlign w:val="subscript"/>
        </w:rPr>
        <w:t>OH</w:t>
      </w:r>
      <w:r w:rsidR="007F380D" w:rsidRPr="007F380D">
        <w:rPr>
          <w:rFonts w:ascii="Arial" w:hAnsi="Arial" w:cs="Arial"/>
          <w:color w:val="000000"/>
          <w:sz w:val="20"/>
          <w:szCs w:val="20"/>
        </w:rPr>
        <w:t xml:space="preserve">) over the remote </w:t>
      </w:r>
      <w:r w:rsidR="00813150">
        <w:rPr>
          <w:rFonts w:ascii="Arial" w:hAnsi="Arial" w:cs="Arial"/>
          <w:color w:val="000000"/>
          <w:sz w:val="20"/>
          <w:szCs w:val="20"/>
        </w:rPr>
        <w:t xml:space="preserve">marine </w:t>
      </w:r>
      <w:r w:rsidR="007F380D" w:rsidRPr="007F380D">
        <w:rPr>
          <w:rFonts w:ascii="Arial" w:hAnsi="Arial" w:cs="Arial"/>
          <w:color w:val="000000"/>
          <w:sz w:val="20"/>
          <w:szCs w:val="20"/>
        </w:rPr>
        <w:t>troposphere</w:t>
      </w:r>
      <w:r w:rsidR="00F04B52">
        <w:rPr>
          <w:rFonts w:ascii="Arial" w:hAnsi="Arial" w:cs="Arial"/>
          <w:color w:val="000000"/>
          <w:sz w:val="20"/>
          <w:szCs w:val="20"/>
        </w:rPr>
        <w:t>. Proxy</w:t>
      </w:r>
      <w:r w:rsidR="00F04B52" w:rsidRPr="001C08EE">
        <w:rPr>
          <w:rFonts w:ascii="Arial" w:hAnsi="Arial" w:cs="Arial"/>
          <w:i/>
          <w:iCs/>
          <w:color w:val="000000"/>
          <w:sz w:val="20"/>
          <w:szCs w:val="20"/>
          <w:vertAlign w:val="subscript"/>
        </w:rPr>
        <w:t>OH</w:t>
      </w:r>
      <w:r w:rsidR="007F380D" w:rsidRPr="007F380D">
        <w:rPr>
          <w:rFonts w:ascii="Arial" w:hAnsi="Arial" w:cs="Arial"/>
          <w:color w:val="000000"/>
          <w:sz w:val="20"/>
          <w:szCs w:val="20"/>
        </w:rPr>
        <w:t xml:space="preserve"> </w:t>
      </w:r>
      <w:r w:rsidR="00F04B52">
        <w:rPr>
          <w:rFonts w:ascii="Arial" w:hAnsi="Arial" w:cs="Arial"/>
          <w:color w:val="000000"/>
          <w:sz w:val="20"/>
          <w:szCs w:val="20"/>
        </w:rPr>
        <w:t xml:space="preserve">is </w:t>
      </w:r>
      <w:r w:rsidR="007F380D" w:rsidRPr="007F380D">
        <w:rPr>
          <w:rFonts w:ascii="Arial" w:hAnsi="Arial" w:cs="Arial"/>
          <w:color w:val="000000"/>
          <w:sz w:val="20"/>
          <w:szCs w:val="20"/>
        </w:rPr>
        <w:t xml:space="preserve">based on a simplified version of steady-state OH chemistry </w:t>
      </w:r>
      <w:r w:rsidR="00DF20A0">
        <w:rPr>
          <w:rFonts w:ascii="Arial" w:hAnsi="Arial" w:cs="Arial"/>
          <w:color w:val="000000"/>
          <w:sz w:val="20"/>
          <w:szCs w:val="20"/>
        </w:rPr>
        <w:t xml:space="preserve">(two production and one loss pathway) </w:t>
      </w:r>
      <w:r w:rsidR="007F380D" w:rsidRPr="007F380D">
        <w:rPr>
          <w:rFonts w:ascii="Arial" w:hAnsi="Arial" w:cs="Arial"/>
          <w:color w:val="000000"/>
          <w:sz w:val="20"/>
          <w:szCs w:val="20"/>
        </w:rPr>
        <w:t xml:space="preserve">that accounts for </w:t>
      </w:r>
      <w:r w:rsidR="00F04B52">
        <w:rPr>
          <w:rFonts w:ascii="Arial" w:hAnsi="Arial" w:cs="Arial"/>
          <w:color w:val="000000"/>
          <w:sz w:val="20"/>
          <w:szCs w:val="20"/>
        </w:rPr>
        <w:t xml:space="preserve">the contribution from key </w:t>
      </w:r>
      <w:r w:rsidR="007F380D" w:rsidRPr="007F380D">
        <w:rPr>
          <w:rFonts w:ascii="Arial" w:hAnsi="Arial" w:cs="Arial"/>
          <w:color w:val="000000"/>
          <w:sz w:val="20"/>
          <w:szCs w:val="20"/>
        </w:rPr>
        <w:t>driver</w:t>
      </w:r>
      <w:r w:rsidR="00F04B52">
        <w:rPr>
          <w:rFonts w:ascii="Arial" w:hAnsi="Arial" w:cs="Arial"/>
          <w:color w:val="000000"/>
          <w:sz w:val="20"/>
          <w:szCs w:val="20"/>
        </w:rPr>
        <w:t>s</w:t>
      </w:r>
      <w:r w:rsidR="007F380D" w:rsidRPr="007F380D">
        <w:rPr>
          <w:rFonts w:ascii="Arial" w:hAnsi="Arial" w:cs="Arial"/>
          <w:color w:val="000000"/>
          <w:sz w:val="20"/>
          <w:szCs w:val="20"/>
        </w:rPr>
        <w:t xml:space="preserve"> to </w:t>
      </w:r>
      <w:r w:rsidR="00F04B52">
        <w:rPr>
          <w:rFonts w:ascii="Arial" w:hAnsi="Arial" w:cs="Arial"/>
          <w:color w:val="000000"/>
          <w:sz w:val="20"/>
          <w:szCs w:val="20"/>
        </w:rPr>
        <w:t xml:space="preserve">regional spatial </w:t>
      </w:r>
      <w:r w:rsidR="00B6006C">
        <w:rPr>
          <w:rFonts w:ascii="Arial" w:hAnsi="Arial" w:cs="Arial"/>
          <w:color w:val="000000"/>
          <w:sz w:val="20"/>
          <w:szCs w:val="20"/>
        </w:rPr>
        <w:t xml:space="preserve">variations in </w:t>
      </w:r>
      <w:r w:rsidR="007F380D" w:rsidRPr="007F380D">
        <w:rPr>
          <w:rFonts w:ascii="Arial" w:hAnsi="Arial" w:cs="Arial"/>
          <w:color w:val="000000"/>
          <w:sz w:val="20"/>
          <w:szCs w:val="20"/>
        </w:rPr>
        <w:t xml:space="preserve">OH. By enabling a first-order approximation of the influence of individual </w:t>
      </w:r>
      <w:r w:rsidR="007F380D" w:rsidRPr="007F380D">
        <w:rPr>
          <w:rFonts w:ascii="Arial" w:hAnsi="Arial" w:cs="Arial"/>
          <w:color w:val="000000"/>
          <w:sz w:val="20"/>
          <w:szCs w:val="20"/>
        </w:rPr>
        <w:lastRenderedPageBreak/>
        <w:t xml:space="preserve">variables on OH </w:t>
      </w:r>
      <w:r>
        <w:rPr>
          <w:rFonts w:ascii="Arial" w:hAnsi="Arial" w:cs="Arial"/>
          <w:color w:val="000000"/>
          <w:sz w:val="20"/>
          <w:szCs w:val="20"/>
        </w:rPr>
        <w:t xml:space="preserve">spatial </w:t>
      </w:r>
      <w:r w:rsidR="00B6006C">
        <w:rPr>
          <w:rFonts w:ascii="Arial" w:hAnsi="Arial" w:cs="Arial"/>
          <w:color w:val="000000"/>
          <w:sz w:val="20"/>
          <w:szCs w:val="20"/>
        </w:rPr>
        <w:t>variations</w:t>
      </w:r>
      <w:r w:rsidR="007F380D" w:rsidRPr="007F380D">
        <w:rPr>
          <w:rFonts w:ascii="Arial" w:hAnsi="Arial" w:cs="Arial"/>
          <w:color w:val="000000"/>
          <w:sz w:val="20"/>
          <w:szCs w:val="20"/>
        </w:rPr>
        <w:t>, Proxy</w:t>
      </w:r>
      <w:r w:rsidR="007F380D" w:rsidRPr="007F380D">
        <w:rPr>
          <w:rFonts w:ascii="Arial" w:hAnsi="Arial" w:cs="Arial"/>
          <w:i/>
          <w:iCs/>
          <w:color w:val="000000"/>
          <w:sz w:val="20"/>
          <w:szCs w:val="20"/>
          <w:vertAlign w:val="subscript"/>
        </w:rPr>
        <w:t>OH</w:t>
      </w:r>
      <w:r w:rsidR="007F380D" w:rsidRPr="007F380D">
        <w:rPr>
          <w:rFonts w:ascii="Arial" w:hAnsi="Arial" w:cs="Arial"/>
          <w:color w:val="000000"/>
          <w:sz w:val="20"/>
          <w:szCs w:val="20"/>
        </w:rPr>
        <w:t xml:space="preserve"> serves as a reduced-form model that can provide process-based insight into OH fluctuations. </w:t>
      </w:r>
    </w:p>
    <w:p w14:paraId="13EF12BA" w14:textId="77777777" w:rsidR="007F380D" w:rsidRDefault="007F380D" w:rsidP="007F380D">
      <w:pPr>
        <w:pBdr>
          <w:top w:val="nil"/>
          <w:left w:val="nil"/>
          <w:bottom w:val="nil"/>
          <w:right w:val="nil"/>
          <w:between w:val="nil"/>
        </w:pBdr>
        <w:spacing w:after="0"/>
        <w:contextualSpacing/>
        <w:rPr>
          <w:rFonts w:ascii="Arial" w:hAnsi="Arial" w:cs="Arial"/>
          <w:color w:val="000000"/>
          <w:sz w:val="20"/>
          <w:szCs w:val="20"/>
        </w:rPr>
      </w:pPr>
    </w:p>
    <w:p w14:paraId="0D931398" w14:textId="0A696579" w:rsidR="00B568C5" w:rsidRDefault="007F380D" w:rsidP="007F380D">
      <w:pPr>
        <w:pBdr>
          <w:top w:val="nil"/>
          <w:left w:val="nil"/>
          <w:bottom w:val="nil"/>
          <w:right w:val="nil"/>
          <w:between w:val="nil"/>
        </w:pBdr>
        <w:spacing w:after="0"/>
        <w:contextualSpacing/>
        <w:rPr>
          <w:rFonts w:ascii="Arial" w:hAnsi="Arial" w:cs="Arial"/>
          <w:color w:val="000000"/>
          <w:sz w:val="20"/>
          <w:szCs w:val="20"/>
        </w:rPr>
      </w:pPr>
      <w:r w:rsidRPr="00497F48">
        <w:rPr>
          <w:rFonts w:ascii="Arial" w:hAnsi="Arial" w:cs="Arial"/>
          <w:color w:val="000000"/>
          <w:sz w:val="20"/>
          <w:szCs w:val="20"/>
        </w:rPr>
        <w:t xml:space="preserve">Decomposing the ATom-observed </w:t>
      </w:r>
      <w:r w:rsidR="004D3A22">
        <w:rPr>
          <w:rFonts w:ascii="Arial" w:hAnsi="Arial" w:cs="Arial"/>
          <w:color w:val="000000"/>
          <w:sz w:val="20"/>
          <w:szCs w:val="20"/>
        </w:rPr>
        <w:t>Proxy</w:t>
      </w:r>
      <w:r w:rsidR="004D3A22" w:rsidRPr="00391EE5">
        <w:rPr>
          <w:rFonts w:ascii="Arial" w:hAnsi="Arial" w:cs="Arial"/>
          <w:i/>
          <w:iCs/>
          <w:color w:val="000000"/>
          <w:sz w:val="20"/>
          <w:szCs w:val="20"/>
          <w:vertAlign w:val="subscript"/>
        </w:rPr>
        <w:t>OH</w:t>
      </w:r>
      <w:r w:rsidRPr="00497F48">
        <w:rPr>
          <w:rFonts w:ascii="Arial" w:hAnsi="Arial" w:cs="Arial"/>
          <w:color w:val="000000"/>
          <w:sz w:val="20"/>
          <w:szCs w:val="20"/>
        </w:rPr>
        <w:t xml:space="preserve">, </w:t>
      </w:r>
      <w:r w:rsidRPr="00CC7560">
        <w:rPr>
          <w:rFonts w:ascii="Arial" w:hAnsi="Arial" w:cs="Arial"/>
          <w:color w:val="000000"/>
          <w:sz w:val="20"/>
          <w:szCs w:val="20"/>
        </w:rPr>
        <w:t>calculated directly from the aircraft observations, suggests that few terms—H</w:t>
      </w:r>
      <w:r w:rsidRPr="00855C75">
        <w:rPr>
          <w:rFonts w:ascii="Arial" w:hAnsi="Arial" w:cs="Arial"/>
          <w:color w:val="000000"/>
          <w:sz w:val="20"/>
          <w:szCs w:val="20"/>
          <w:vertAlign w:val="subscript"/>
        </w:rPr>
        <w:t>2</w:t>
      </w:r>
      <w:r w:rsidRPr="00855C75">
        <w:rPr>
          <w:rFonts w:ascii="Arial" w:hAnsi="Arial" w:cs="Arial"/>
          <w:color w:val="000000"/>
          <w:sz w:val="20"/>
          <w:szCs w:val="20"/>
        </w:rPr>
        <w:t>O</w:t>
      </w:r>
      <w:r w:rsidR="00497F48" w:rsidRPr="00D85382">
        <w:rPr>
          <w:rFonts w:ascii="Arial" w:hAnsi="Arial" w:cs="Arial"/>
          <w:color w:val="000000"/>
          <w:sz w:val="20"/>
          <w:szCs w:val="20"/>
        </w:rPr>
        <w:t xml:space="preserve"> a</w:t>
      </w:r>
      <w:r w:rsidR="00497F48" w:rsidRPr="00FA7CF5">
        <w:rPr>
          <w:rFonts w:ascii="Arial" w:hAnsi="Arial" w:cs="Arial"/>
          <w:color w:val="000000"/>
          <w:sz w:val="20"/>
          <w:szCs w:val="20"/>
        </w:rPr>
        <w:t>nd</w:t>
      </w:r>
      <w:r w:rsidR="008C6AC1">
        <w:rPr>
          <w:rFonts w:ascii="Arial" w:hAnsi="Arial" w:cs="Arial"/>
          <w:color w:val="000000"/>
          <w:sz w:val="20"/>
          <w:szCs w:val="20"/>
        </w:rPr>
        <w:t>, to a lesser extent,</w:t>
      </w:r>
      <w:r w:rsidRPr="00497F48">
        <w:rPr>
          <w:rFonts w:ascii="Arial" w:hAnsi="Arial" w:cs="Arial"/>
          <w:color w:val="000000"/>
          <w:sz w:val="20"/>
          <w:szCs w:val="20"/>
        </w:rPr>
        <w:t xml:space="preserve"> NO—modulate almost all of the inferred OH </w:t>
      </w:r>
      <w:r w:rsidR="00B6006C" w:rsidRPr="00497F48">
        <w:rPr>
          <w:rFonts w:ascii="Arial" w:hAnsi="Arial" w:cs="Arial"/>
          <w:color w:val="000000"/>
          <w:sz w:val="20"/>
          <w:szCs w:val="20"/>
        </w:rPr>
        <w:t>variations</w:t>
      </w:r>
      <w:r w:rsidRPr="00497F48">
        <w:rPr>
          <w:rFonts w:ascii="Arial" w:hAnsi="Arial" w:cs="Arial"/>
          <w:color w:val="000000"/>
          <w:sz w:val="20"/>
          <w:szCs w:val="20"/>
        </w:rPr>
        <w:t xml:space="preserve"> </w:t>
      </w:r>
      <w:r w:rsidR="00D21667" w:rsidRPr="007F380D">
        <w:rPr>
          <w:rFonts w:ascii="Arial" w:hAnsi="Arial" w:cs="Arial"/>
          <w:color w:val="000000"/>
          <w:sz w:val="20"/>
          <w:szCs w:val="20"/>
        </w:rPr>
        <w:t xml:space="preserve">over the remote </w:t>
      </w:r>
      <w:r w:rsidR="00D21667">
        <w:rPr>
          <w:rFonts w:ascii="Arial" w:hAnsi="Arial" w:cs="Arial"/>
          <w:color w:val="000000"/>
          <w:sz w:val="20"/>
          <w:szCs w:val="20"/>
        </w:rPr>
        <w:t xml:space="preserve">marine </w:t>
      </w:r>
      <w:r w:rsidR="00D21667" w:rsidRPr="007F380D">
        <w:rPr>
          <w:rFonts w:ascii="Arial" w:hAnsi="Arial" w:cs="Arial"/>
          <w:color w:val="000000"/>
          <w:sz w:val="20"/>
          <w:szCs w:val="20"/>
        </w:rPr>
        <w:t>troposphere</w:t>
      </w:r>
      <w:r w:rsidR="00D21667" w:rsidRPr="00497F48">
        <w:rPr>
          <w:rFonts w:ascii="Arial" w:hAnsi="Arial" w:cs="Arial"/>
          <w:color w:val="000000"/>
          <w:sz w:val="20"/>
          <w:szCs w:val="20"/>
        </w:rPr>
        <w:t xml:space="preserve"> </w:t>
      </w:r>
      <w:r w:rsidR="00813150" w:rsidRPr="00497F48">
        <w:rPr>
          <w:rFonts w:ascii="Arial" w:hAnsi="Arial" w:cs="Arial"/>
          <w:color w:val="000000"/>
          <w:sz w:val="20"/>
          <w:szCs w:val="20"/>
        </w:rPr>
        <w:t>on regional scales (</w:t>
      </w:r>
      <w:r w:rsidR="00813150" w:rsidRPr="00497F48">
        <w:rPr>
          <w:rFonts w:ascii="Arial" w:hAnsi="Arial" w:cs="Arial"/>
          <w:i/>
          <w:iCs/>
          <w:color w:val="000000"/>
          <w:sz w:val="20"/>
          <w:szCs w:val="20"/>
        </w:rPr>
        <w:t>i.e.</w:t>
      </w:r>
      <w:r w:rsidR="00813150" w:rsidRPr="00497F48">
        <w:rPr>
          <w:rFonts w:ascii="Arial" w:hAnsi="Arial" w:cs="Arial"/>
          <w:color w:val="000000"/>
          <w:sz w:val="20"/>
          <w:szCs w:val="20"/>
        </w:rPr>
        <w:t>, 2 km</w:t>
      </w:r>
      <w:r w:rsidR="00D21667">
        <w:rPr>
          <w:rFonts w:ascii="Arial" w:hAnsi="Arial" w:cs="Arial"/>
          <w:color w:val="000000"/>
          <w:sz w:val="20"/>
          <w:szCs w:val="20"/>
        </w:rPr>
        <w:t xml:space="preserve"> altitude</w:t>
      </w:r>
      <w:r w:rsidR="00813150" w:rsidRPr="00497F48">
        <w:rPr>
          <w:rFonts w:ascii="Arial" w:hAnsi="Arial" w:cs="Arial"/>
          <w:color w:val="000000"/>
          <w:sz w:val="20"/>
          <w:szCs w:val="20"/>
        </w:rPr>
        <w:t xml:space="preserve"> by 20° latitude</w:t>
      </w:r>
      <w:r w:rsidR="00813150">
        <w:rPr>
          <w:rFonts w:ascii="Arial" w:hAnsi="Arial" w:cs="Arial"/>
          <w:color w:val="000000"/>
          <w:sz w:val="20"/>
          <w:szCs w:val="20"/>
        </w:rPr>
        <w:t xml:space="preserve"> bins)</w:t>
      </w:r>
      <w:r w:rsidRPr="007F380D">
        <w:rPr>
          <w:rFonts w:ascii="Arial" w:hAnsi="Arial" w:cs="Arial"/>
          <w:color w:val="000000"/>
          <w:sz w:val="20"/>
          <w:szCs w:val="20"/>
        </w:rPr>
        <w:t>.</w:t>
      </w:r>
      <w:r w:rsidR="00D33614">
        <w:rPr>
          <w:rFonts w:ascii="Arial" w:hAnsi="Arial" w:cs="Arial"/>
          <w:color w:val="000000"/>
          <w:sz w:val="20"/>
          <w:szCs w:val="20"/>
        </w:rPr>
        <w:t xml:space="preserve"> </w:t>
      </w:r>
      <w:r w:rsidR="001A7368">
        <w:rPr>
          <w:rFonts w:ascii="Arial" w:hAnsi="Arial" w:cs="Arial"/>
          <w:color w:val="000000"/>
          <w:sz w:val="20"/>
          <w:szCs w:val="20"/>
        </w:rPr>
        <w:t>Thus</w:t>
      </w:r>
      <w:r w:rsidR="004647E2">
        <w:rPr>
          <w:rFonts w:ascii="Arial" w:hAnsi="Arial" w:cs="Arial"/>
          <w:color w:val="000000"/>
          <w:sz w:val="20"/>
          <w:szCs w:val="20"/>
        </w:rPr>
        <w:t xml:space="preserve"> production processes control the sensitivity of OH variations within a regional bin</w:t>
      </w:r>
      <w:r w:rsidR="001A7368">
        <w:rPr>
          <w:rFonts w:ascii="Arial" w:hAnsi="Arial" w:cs="Arial"/>
          <w:color w:val="000000"/>
          <w:sz w:val="20"/>
          <w:szCs w:val="20"/>
        </w:rPr>
        <w:t>.</w:t>
      </w:r>
      <w:r w:rsidR="004647E2">
        <w:rPr>
          <w:rFonts w:ascii="Arial" w:hAnsi="Arial" w:cs="Arial"/>
          <w:color w:val="000000"/>
          <w:sz w:val="20"/>
          <w:szCs w:val="20"/>
        </w:rPr>
        <w:t xml:space="preserve"> </w:t>
      </w:r>
      <w:r w:rsidR="001A7368">
        <w:rPr>
          <w:rFonts w:ascii="Arial" w:hAnsi="Arial" w:cs="Arial"/>
          <w:color w:val="000000"/>
          <w:sz w:val="20"/>
          <w:szCs w:val="20"/>
        </w:rPr>
        <w:t>On larger scales (</w:t>
      </w:r>
      <w:r w:rsidR="001A7368" w:rsidRPr="00F47570">
        <w:rPr>
          <w:rFonts w:ascii="Arial" w:hAnsi="Arial" w:cs="Arial"/>
          <w:i/>
          <w:iCs/>
          <w:color w:val="000000"/>
          <w:sz w:val="20"/>
          <w:szCs w:val="20"/>
        </w:rPr>
        <w:t>i.e.</w:t>
      </w:r>
      <w:r w:rsidR="001A7368">
        <w:rPr>
          <w:rFonts w:ascii="Arial" w:hAnsi="Arial" w:cs="Arial"/>
          <w:color w:val="000000"/>
          <w:sz w:val="20"/>
          <w:szCs w:val="20"/>
        </w:rPr>
        <w:t xml:space="preserve">, across bins), </w:t>
      </w:r>
      <w:r w:rsidR="004647E2">
        <w:rPr>
          <w:rFonts w:ascii="Arial" w:hAnsi="Arial" w:cs="Arial"/>
          <w:color w:val="000000"/>
          <w:sz w:val="20"/>
          <w:szCs w:val="20"/>
        </w:rPr>
        <w:t>the composition of OH reactivity modulates the regression slope</w:t>
      </w:r>
      <w:r w:rsidR="001A7368">
        <w:rPr>
          <w:rFonts w:ascii="Arial" w:hAnsi="Arial" w:cs="Arial"/>
          <w:color w:val="000000"/>
          <w:sz w:val="20"/>
          <w:szCs w:val="20"/>
        </w:rPr>
        <w:t xml:space="preserve">, relevant </w:t>
      </w:r>
      <w:r w:rsidR="004647E2">
        <w:rPr>
          <w:rFonts w:ascii="Arial" w:hAnsi="Arial" w:cs="Arial"/>
          <w:color w:val="000000"/>
          <w:sz w:val="20"/>
          <w:szCs w:val="20"/>
        </w:rPr>
        <w:t>for inferring the OH magnitude</w:t>
      </w:r>
      <w:r w:rsidR="001A7368">
        <w:rPr>
          <w:rFonts w:ascii="Arial" w:hAnsi="Arial" w:cs="Arial"/>
          <w:color w:val="000000"/>
          <w:sz w:val="20"/>
          <w:szCs w:val="20"/>
        </w:rPr>
        <w:t>.</w:t>
      </w:r>
      <w:r w:rsidR="004647E2">
        <w:rPr>
          <w:rFonts w:ascii="Arial" w:hAnsi="Arial" w:cs="Arial"/>
          <w:color w:val="000000"/>
          <w:sz w:val="20"/>
          <w:szCs w:val="20"/>
        </w:rPr>
        <w:t xml:space="preserve"> </w:t>
      </w:r>
    </w:p>
    <w:p w14:paraId="4ECBC4C7" w14:textId="77777777" w:rsidR="00B568C5" w:rsidRDefault="00B568C5" w:rsidP="007F380D">
      <w:pPr>
        <w:pBdr>
          <w:top w:val="nil"/>
          <w:left w:val="nil"/>
          <w:bottom w:val="nil"/>
          <w:right w:val="nil"/>
          <w:between w:val="nil"/>
        </w:pBdr>
        <w:spacing w:after="0"/>
        <w:contextualSpacing/>
        <w:rPr>
          <w:rFonts w:ascii="Arial" w:hAnsi="Arial" w:cs="Arial"/>
          <w:color w:val="000000"/>
          <w:sz w:val="20"/>
          <w:szCs w:val="20"/>
        </w:rPr>
      </w:pPr>
    </w:p>
    <w:p w14:paraId="28A781EE" w14:textId="52C2E737" w:rsidR="00B36F53" w:rsidRDefault="00D33614" w:rsidP="007F380D">
      <w:pPr>
        <w:pBdr>
          <w:top w:val="nil"/>
          <w:left w:val="nil"/>
          <w:bottom w:val="nil"/>
          <w:right w:val="nil"/>
          <w:between w:val="nil"/>
        </w:pBdr>
        <w:spacing w:after="0"/>
        <w:contextualSpacing/>
        <w:rPr>
          <w:rFonts w:ascii="Arial" w:hAnsi="Arial" w:cs="Arial"/>
          <w:color w:val="000000"/>
          <w:sz w:val="20"/>
          <w:szCs w:val="20"/>
        </w:rPr>
      </w:pPr>
      <w:r>
        <w:rPr>
          <w:rFonts w:ascii="Arial" w:hAnsi="Arial" w:cs="Arial"/>
          <w:color w:val="000000"/>
          <w:sz w:val="20"/>
          <w:szCs w:val="20"/>
        </w:rPr>
        <w:t>ATom</w:t>
      </w:r>
      <w:r w:rsidR="003560D0">
        <w:rPr>
          <w:rFonts w:ascii="Arial" w:hAnsi="Arial" w:cs="Arial"/>
          <w:color w:val="000000"/>
          <w:sz w:val="20"/>
          <w:szCs w:val="20"/>
        </w:rPr>
        <w:t>, by design,</w:t>
      </w:r>
      <w:r>
        <w:rPr>
          <w:rFonts w:ascii="Arial" w:hAnsi="Arial" w:cs="Arial"/>
          <w:color w:val="000000"/>
          <w:sz w:val="20"/>
          <w:szCs w:val="20"/>
        </w:rPr>
        <w:t xml:space="preserve"> </w:t>
      </w:r>
      <w:r w:rsidR="003560D0">
        <w:rPr>
          <w:rFonts w:ascii="Arial" w:hAnsi="Arial" w:cs="Arial"/>
          <w:color w:val="000000"/>
          <w:sz w:val="20"/>
          <w:szCs w:val="20"/>
        </w:rPr>
        <w:t xml:space="preserve">flew over atmospheric swaths where </w:t>
      </w:r>
      <w:r>
        <w:rPr>
          <w:rFonts w:ascii="Arial" w:hAnsi="Arial" w:cs="Arial"/>
          <w:color w:val="000000"/>
          <w:sz w:val="20"/>
          <w:szCs w:val="20"/>
        </w:rPr>
        <w:t xml:space="preserve">chemistry is relatively pristine and homogeneous. Additional </w:t>
      </w:r>
      <w:r w:rsidR="00DF20A0">
        <w:rPr>
          <w:rFonts w:ascii="Arial" w:hAnsi="Arial" w:cs="Arial"/>
          <w:color w:val="000000"/>
          <w:sz w:val="20"/>
          <w:szCs w:val="20"/>
        </w:rPr>
        <w:t>development</w:t>
      </w:r>
      <w:r>
        <w:rPr>
          <w:rFonts w:ascii="Arial" w:hAnsi="Arial" w:cs="Arial"/>
          <w:color w:val="000000"/>
          <w:sz w:val="20"/>
          <w:szCs w:val="20"/>
        </w:rPr>
        <w:t xml:space="preserve"> of Proxy</w:t>
      </w:r>
      <w:r w:rsidRPr="00A605A9">
        <w:rPr>
          <w:rFonts w:ascii="Arial" w:hAnsi="Arial" w:cs="Arial"/>
          <w:i/>
          <w:iCs/>
          <w:color w:val="000000"/>
          <w:sz w:val="20"/>
          <w:szCs w:val="20"/>
          <w:vertAlign w:val="subscript"/>
        </w:rPr>
        <w:t>OH</w:t>
      </w:r>
      <w:r>
        <w:rPr>
          <w:rFonts w:ascii="Arial" w:hAnsi="Arial" w:cs="Arial"/>
          <w:color w:val="000000"/>
          <w:sz w:val="20"/>
          <w:szCs w:val="20"/>
        </w:rPr>
        <w:t xml:space="preserve"> </w:t>
      </w:r>
      <w:r w:rsidR="003560D0">
        <w:rPr>
          <w:rFonts w:ascii="Arial" w:hAnsi="Arial" w:cs="Arial"/>
          <w:color w:val="000000"/>
          <w:sz w:val="20"/>
          <w:szCs w:val="20"/>
        </w:rPr>
        <w:t>is needed over</w:t>
      </w:r>
      <w:r>
        <w:rPr>
          <w:rFonts w:ascii="Arial" w:hAnsi="Arial" w:cs="Arial"/>
          <w:color w:val="000000"/>
          <w:sz w:val="20"/>
          <w:szCs w:val="20"/>
        </w:rPr>
        <w:t xml:space="preserve"> more polluted terrestrial regions, where </w:t>
      </w:r>
      <w:r w:rsidR="003560D0">
        <w:rPr>
          <w:rFonts w:ascii="Arial" w:hAnsi="Arial" w:cs="Arial"/>
          <w:color w:val="000000"/>
          <w:sz w:val="20"/>
          <w:szCs w:val="20"/>
        </w:rPr>
        <w:t xml:space="preserve">higher </w:t>
      </w:r>
      <w:r>
        <w:rPr>
          <w:rFonts w:ascii="Arial" w:hAnsi="Arial" w:cs="Arial"/>
          <w:color w:val="000000"/>
          <w:sz w:val="20"/>
          <w:szCs w:val="20"/>
        </w:rPr>
        <w:t>NO</w:t>
      </w:r>
      <w:r w:rsidRPr="00A605A9">
        <w:rPr>
          <w:rFonts w:ascii="Arial" w:hAnsi="Arial" w:cs="Arial"/>
          <w:i/>
          <w:iCs/>
          <w:color w:val="000000"/>
          <w:sz w:val="20"/>
          <w:szCs w:val="20"/>
          <w:vertAlign w:val="subscript"/>
        </w:rPr>
        <w:t>x</w:t>
      </w:r>
      <w:r>
        <w:rPr>
          <w:rFonts w:ascii="Arial" w:hAnsi="Arial" w:cs="Arial"/>
          <w:color w:val="000000"/>
          <w:sz w:val="20"/>
          <w:szCs w:val="20"/>
        </w:rPr>
        <w:t xml:space="preserve"> </w:t>
      </w:r>
      <w:r w:rsidR="003560D0">
        <w:rPr>
          <w:rFonts w:ascii="Arial" w:hAnsi="Arial" w:cs="Arial"/>
          <w:color w:val="000000"/>
          <w:sz w:val="20"/>
          <w:szCs w:val="20"/>
        </w:rPr>
        <w:t xml:space="preserve">levels </w:t>
      </w:r>
      <w:r>
        <w:rPr>
          <w:rFonts w:ascii="Arial" w:hAnsi="Arial" w:cs="Arial"/>
          <w:color w:val="000000"/>
          <w:sz w:val="20"/>
          <w:szCs w:val="20"/>
        </w:rPr>
        <w:t xml:space="preserve">and more complex </w:t>
      </w:r>
      <w:r w:rsidR="00DF20A0">
        <w:rPr>
          <w:rFonts w:ascii="Arial" w:hAnsi="Arial" w:cs="Arial"/>
          <w:color w:val="000000"/>
          <w:sz w:val="20"/>
          <w:szCs w:val="20"/>
        </w:rPr>
        <w:t>reactive carbon compounds</w:t>
      </w:r>
      <w:r>
        <w:rPr>
          <w:rFonts w:ascii="Arial" w:hAnsi="Arial" w:cs="Arial"/>
          <w:color w:val="000000"/>
          <w:sz w:val="20"/>
          <w:szCs w:val="20"/>
        </w:rPr>
        <w:t xml:space="preserve"> </w:t>
      </w:r>
      <w:r w:rsidR="00DF20A0">
        <w:rPr>
          <w:rFonts w:ascii="Arial" w:hAnsi="Arial" w:cs="Arial"/>
          <w:color w:val="000000"/>
          <w:sz w:val="20"/>
          <w:szCs w:val="20"/>
        </w:rPr>
        <w:t>should likely be included among the</w:t>
      </w:r>
      <w:r>
        <w:rPr>
          <w:rFonts w:ascii="Arial" w:hAnsi="Arial" w:cs="Arial"/>
          <w:color w:val="000000"/>
          <w:sz w:val="20"/>
          <w:szCs w:val="20"/>
        </w:rPr>
        <w:t xml:space="preserve"> processes comprising Proxy</w:t>
      </w:r>
      <w:r w:rsidRPr="00A605A9">
        <w:rPr>
          <w:rFonts w:ascii="Arial" w:hAnsi="Arial" w:cs="Arial"/>
          <w:i/>
          <w:iCs/>
          <w:color w:val="000000"/>
          <w:sz w:val="20"/>
          <w:szCs w:val="20"/>
          <w:vertAlign w:val="subscript"/>
        </w:rPr>
        <w:t>OH</w:t>
      </w:r>
      <w:r>
        <w:rPr>
          <w:rFonts w:ascii="Arial" w:hAnsi="Arial" w:cs="Arial"/>
          <w:color w:val="000000"/>
          <w:sz w:val="20"/>
          <w:szCs w:val="20"/>
        </w:rPr>
        <w:t xml:space="preserve"> </w:t>
      </w:r>
      <w:r w:rsidR="00AF1F98">
        <w:rPr>
          <w:rFonts w:ascii="Arial" w:hAnsi="Arial" w:cs="Arial"/>
          <w:color w:val="000000"/>
          <w:sz w:val="20"/>
          <w:szCs w:val="20"/>
        </w:rPr>
        <w:t>(</w:t>
      </w:r>
      <w:r w:rsidR="00AF1F98" w:rsidRPr="00F47570">
        <w:rPr>
          <w:rFonts w:ascii="Arial" w:hAnsi="Arial" w:cs="Arial"/>
          <w:i/>
          <w:iCs/>
          <w:color w:val="000000"/>
          <w:sz w:val="20"/>
          <w:szCs w:val="20"/>
        </w:rPr>
        <w:t>e.g.</w:t>
      </w:r>
      <w:r w:rsidR="00AF1F98">
        <w:rPr>
          <w:rFonts w:ascii="Arial" w:hAnsi="Arial" w:cs="Arial"/>
          <w:color w:val="000000"/>
          <w:sz w:val="20"/>
          <w:szCs w:val="20"/>
        </w:rPr>
        <w:t>, HONO as a source or OH + NO</w:t>
      </w:r>
      <w:r w:rsidR="00AF1F98" w:rsidRPr="00F47570">
        <w:rPr>
          <w:rFonts w:ascii="Arial" w:hAnsi="Arial" w:cs="Arial"/>
          <w:color w:val="000000"/>
          <w:sz w:val="20"/>
          <w:szCs w:val="20"/>
          <w:vertAlign w:val="subscript"/>
        </w:rPr>
        <w:t>2</w:t>
      </w:r>
      <w:r w:rsidR="00AF1F98">
        <w:rPr>
          <w:rFonts w:ascii="Arial" w:hAnsi="Arial" w:cs="Arial"/>
          <w:color w:val="000000"/>
          <w:sz w:val="20"/>
          <w:szCs w:val="20"/>
        </w:rPr>
        <w:t xml:space="preserve"> as a sink)</w:t>
      </w:r>
      <w:r>
        <w:rPr>
          <w:rFonts w:ascii="Arial" w:hAnsi="Arial" w:cs="Arial"/>
          <w:color w:val="000000"/>
          <w:sz w:val="20"/>
          <w:szCs w:val="20"/>
        </w:rPr>
        <w:t>.</w:t>
      </w:r>
      <w:r w:rsidRPr="007F380D">
        <w:rPr>
          <w:rFonts w:ascii="Arial" w:hAnsi="Arial" w:cs="Arial"/>
          <w:color w:val="000000"/>
          <w:sz w:val="20"/>
          <w:szCs w:val="20"/>
        </w:rPr>
        <w:t xml:space="preserve"> </w:t>
      </w:r>
      <w:r w:rsidR="00DF20A0">
        <w:rPr>
          <w:rFonts w:ascii="Arial" w:hAnsi="Arial" w:cs="Arial"/>
          <w:color w:val="000000"/>
          <w:sz w:val="20"/>
          <w:szCs w:val="20"/>
        </w:rPr>
        <w:t>R</w:t>
      </w:r>
      <w:r w:rsidR="007F380D" w:rsidRPr="007F380D">
        <w:rPr>
          <w:rFonts w:ascii="Arial" w:hAnsi="Arial" w:cs="Arial"/>
          <w:color w:val="000000"/>
          <w:sz w:val="20"/>
          <w:szCs w:val="20"/>
        </w:rPr>
        <w:t>etrieving key Proxy</w:t>
      </w:r>
      <w:r w:rsidR="007F380D" w:rsidRPr="007F380D">
        <w:rPr>
          <w:rFonts w:ascii="Arial" w:hAnsi="Arial" w:cs="Arial"/>
          <w:i/>
          <w:iCs/>
          <w:color w:val="000000"/>
          <w:sz w:val="20"/>
          <w:szCs w:val="20"/>
          <w:vertAlign w:val="subscript"/>
        </w:rPr>
        <w:t>OH</w:t>
      </w:r>
      <w:r w:rsidR="007F380D" w:rsidRPr="007F380D">
        <w:rPr>
          <w:rFonts w:ascii="Arial" w:hAnsi="Arial" w:cs="Arial"/>
          <w:color w:val="000000"/>
          <w:sz w:val="20"/>
          <w:szCs w:val="20"/>
        </w:rPr>
        <w:t xml:space="preserve"> variables from satellites</w:t>
      </w:r>
      <w:r w:rsidR="00DF20A0">
        <w:rPr>
          <w:rFonts w:ascii="Arial" w:hAnsi="Arial" w:cs="Arial"/>
          <w:color w:val="000000"/>
          <w:sz w:val="20"/>
          <w:szCs w:val="20"/>
        </w:rPr>
        <w:t xml:space="preserve"> should also advance understanding of OH</w:t>
      </w:r>
      <w:r w:rsidR="007F380D" w:rsidRPr="007F380D">
        <w:rPr>
          <w:rFonts w:ascii="Arial" w:hAnsi="Arial" w:cs="Arial"/>
          <w:color w:val="000000"/>
          <w:sz w:val="20"/>
          <w:szCs w:val="20"/>
        </w:rPr>
        <w:t>, at least on a column basis.</w:t>
      </w:r>
      <w:r w:rsidR="00F95E77">
        <w:rPr>
          <w:rFonts w:ascii="Arial" w:hAnsi="Arial" w:cs="Arial"/>
          <w:color w:val="000000"/>
          <w:sz w:val="20"/>
          <w:szCs w:val="20"/>
        </w:rPr>
        <w:t xml:space="preserve"> </w:t>
      </w:r>
      <w:r w:rsidR="007F380D" w:rsidRPr="007F380D">
        <w:rPr>
          <w:rFonts w:ascii="Arial" w:hAnsi="Arial" w:cs="Arial"/>
          <w:color w:val="000000"/>
          <w:sz w:val="20"/>
          <w:szCs w:val="20"/>
        </w:rPr>
        <w:t>For example, H</w:t>
      </w:r>
      <w:r w:rsidR="007F380D" w:rsidRPr="007F380D">
        <w:rPr>
          <w:rFonts w:ascii="Arial" w:hAnsi="Arial" w:cs="Arial"/>
          <w:color w:val="000000"/>
          <w:sz w:val="20"/>
          <w:szCs w:val="20"/>
          <w:vertAlign w:val="subscript"/>
        </w:rPr>
        <w:t>2</w:t>
      </w:r>
      <w:r w:rsidR="007F380D" w:rsidRPr="007F380D">
        <w:rPr>
          <w:rFonts w:ascii="Arial" w:hAnsi="Arial" w:cs="Arial"/>
          <w:color w:val="000000"/>
          <w:sz w:val="20"/>
          <w:szCs w:val="20"/>
        </w:rPr>
        <w:t xml:space="preserve">O is currently measured directly </w:t>
      </w:r>
      <w:r w:rsidR="007F380D"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{"citationID":"Rztbz8bt","properties":{"formattedCitation":"(63)","plainCitation":"(63)","noteIndex":0},"citationItems":[{"id":728,"uris":["http://zotero.org/users/9309103/items/8MALLQNM"],"itemData":{"id":728,"type":"article-journal","container-title":"IEEE Transactions on Geoscience and Remote Sensing","DOI":"10.1109/TGRS.2002.808319","issue":"2","page":"173-183","title":"Aqua: an Earth-Observing Satellite mission to examine water and other climate variables","volume":"41","author":[{"family":"Parkinson","given":"C.L."}],"issued":{"date-parts":[["2003"]]}}}],"schema":"https://github.com/citation-style-language/schema/raw/master/csl-citation.json"} </w:instrText>
      </w:r>
      <w:r w:rsidR="007F380D" w:rsidRPr="007F380D">
        <w:rPr>
          <w:rFonts w:ascii="Arial" w:hAnsi="Arial" w:cs="Arial"/>
          <w:color w:val="000000"/>
          <w:sz w:val="20"/>
          <w:szCs w:val="20"/>
        </w:rPr>
        <w:fldChar w:fldCharType="separate"/>
      </w:r>
      <w:r w:rsidR="0005501B" w:rsidRPr="0005501B">
        <w:rPr>
          <w:rFonts w:ascii="Arial" w:hAnsi="Arial" w:cs="Arial"/>
          <w:sz w:val="20"/>
        </w:rPr>
        <w:t>(63)</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while NO or </w:t>
      </w:r>
      <m:oMath>
        <m:sSub>
          <m:sSubPr>
            <m:ctrlPr>
              <w:rPr>
                <w:rFonts w:ascii="Cambria Math" w:hAnsi="Cambria Math" w:cs="Arial"/>
                <w:i/>
                <w:iCs/>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iCs/>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7F380D" w:rsidRPr="007F380D">
        <w:rPr>
          <w:rFonts w:ascii="Arial" w:hAnsi="Arial" w:cs="Arial"/>
          <w:color w:val="000000"/>
          <w:sz w:val="20"/>
          <w:szCs w:val="20"/>
        </w:rPr>
        <w:t xml:space="preserve"> may be inferred </w:t>
      </w:r>
      <w:r w:rsidR="007F380D"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{"citationID":"n6bg47VP","properties":{"formattedCitation":"(64\\uc0\\u8211{}67)","plainCitation":"(64–67)","noteIndex":0},"citationItems":[{"id":730,"uris":["http://zotero.org/users/9309103/items/MTGH69GU"],"itemData":{"id":730,"type":"article-journal","abstract":"We examine the seasonal variation in lower tropospheric nitrogen oxides (NOx = NO + NO2) at northern midlatitudes by evaluating tropospheric NO2 columns observed from the Ozone Monitoring Instrument (OMI) satellite instrument with surface NO2 measurements (SouthEastern Aerosol Research and Characterization and Air Quality System) and current bottom-up NOx emission inventories, using a global model of tropospheric chemistry (GEOS-Chem). The standard (SP) and DOMINO (DP) tropospheric NO2 column products from OMI exhibit broadly similar spatial and seasonal variation, but differ substantially over continental source regions. A comparison of the two OMI tropospheric NO2 products with in situ surface NO2 concentrations and bottom-up NOx emissions over the southeast United States indicates that annual mean NO2 columns from the DP are biased high by 21%–33% and those from the SP are biased high by 27%–43%. The bias in SP columns is highly seasonal, 67%–74% in summer compared with −6% to −1% in winter. Similar seasonal differences exist between top-down and bottom-up NOx emission inventories over North America, Europe, and East Asia. The air mass factor largely explains the observed seasonal difference between the DP and SP, and in turn the seasonal SP bias. We develop a third product (DP_GC) using averaging kernel information from the DP and NO2 vertical profiles from GEOS-Chem. This product reduces to 5%–21% the annual mean bias over the southeast United States. We use the seasonal variation in the DP_GC to estimate the seasonal variation in the lifetime of lower tropospheric NOx against oxidation to HNO3 over the eastern United States. The effective NOx lifetime at OMI overpass time (early afternoon) ranges from 7.6 h in summer to 17.8 h in winter, consistent within 3 h of the simulated lifetime. GEOS-Chem calculations reveal that the seasonal variation in OMI NO2 columns largely reflects gas-phase oxidation of NO2 in summer with an increasing role for heterogenous chemistry in winter.","container-title":"Journal of Geophysical Research: Atmospheres","DOI":"10.1029/2009JD013351","ISSN":"2156-2202","issue":"D5","language":"en","note":"_eprint: https://onlinelibrary.wiley.com/doi/pdf/10.1029/2009JD013351","source":"Wiley Online Library","title":"Indirect validation of tropospheric nitrogen dioxide retrieved from the OMI satellite instrument: Insight into the seasonal variation of nitrogen oxides at northern midlatitudes","title-short":"Indirect validation of tropospheric nitrogen dioxide retrieved from the OMI satellite instrument","URL":"https://onlinelibrary.wiley.com/doi/abs/10.1029/2009JD013351","volume":"115","author":[{"family":"Lamsal","given":"L. N."},{"family":"Martin","given":"R. V."},{"family":"Donkelaar","given":"A.","non-dropping-particle":"van"},{"family":"Celarier","given":"E. A."},{"family":"Bucsela","given":"E. J."},{"family":"Boersma","given":"K. F."},{"family":"Dirksen","given":"R."},{"family":"Luo","given":"C."},{"family":"Wang","given":"Y."}],"accessed":{"date-parts":[["2022",4,1]]},"issued":{"date-parts":[["2010"]]}}},{"id":732,"uris":["http://zotero.org/users/9309103/items/P3QWFVXA"],"itemData":{"id":732,"type":"article-journal","abstract":"Nitrogen oxides (NOx = NO + NO2) are produced during combustion processes and, thus may serve as a proxy for fossil fuel-based energy usage and coemitted greenhouse gases and other pollutants. We use high-resolution nitrogen dioxide (NO2) data from the Ozone Monitoring Instrument (OMI) to analyze changes in urban NO2 levels around the world from 2005 to 2014, finding complex heterogeneity in the changes. We discuss several potential factors that seem to determine these NOx changes. First, environmental regulations resulted in large decreases. The only large increases in the United States may be associated with three areas of intensive energy activity. Second, elevated NO2 levels were observed over many Asian, tropical, and subtropical cities that experienced rapid economic growth. Two of the largest increases occurred over recently expanded petrochemical complexes in Jamnagar (India) and Daesan (Korea). Third, pollution transport from China possibly influenced the Republic of Korea and Japan, diminishing the impact of local pollution controls. However, in China, there were large decreases over Beijing, Shanghai, and the Pearl River Delta, which were likely associated with local emission control efforts. Fourth, civil unrest and its effect on energy usage may have resulted in lower NO2 levels in Libya, Iraq, and Syria. Fifth, spatial heterogeneity within several megacities may reflect mixed efforts to cope with air quality degradation. We also show the potential of high-resolution data for identifying NOx emission sources in regions with a complex mix of sources. Intensive monitoring of the world's tropical/subtropical megacities will remain a priority, as their populations and emissions of pollutants and greenhouse gases are expected to increase significantly.","container-title":"Journal of Geophysical Research: Atmospheres","DOI":"10.1002/2015JD024121","ISSN":"2169-8996","issue":"2","language":"en","note":"_eprint: https://onlinelibrary.wiley.com/doi/pdf/10.1002/2015JD024121","page":"976-996","source":"Wiley Online Library","title":"A space-based, high-resolution view of notable changes in urban NOx pollution around the world (2005–2014)","volume":"121","author":[{"family":"Duncan","given":"Bryan N."},{"family":"Lamsal","given":"Lok N."},{"family":"Thompson","given":"Anne M."},{"family":"Yoshida","given":"Yasuko"},{"family":"Lu","given":"Zifeng"},{"family":"Streets","given":"David G."},{"family":"Hurwitz","given":"Margaret M."},{"family":"Pickering","given":"Kenneth E."}],"issued":{"date-parts":[["2016"]]}}},{"id":729,"uris":["http://zotero.org/users/9309103/items/6TSUBHJZ"],"itemData":{"id":729,"type":"article-journal","abstract":"Nitrogen dioxide (NO2) is a regulated air pollutant that is of particular concern in many cities, where concentrations are high. Emissions of nitrogen oxides to the atmosphere lead to the formation of ozone and particulate matter, with adverse impacts on human health and ecosystems. The effects of emissions are often assessed through modeling based on inventories relying on indirect information that is often outdated or incomplete. Here we show that NO2 measurements from the new, high-resolution TROPOMI satellite sensor can directly determine the strength and distribution of emissions from Paris. From the observed build-up of NO2 pollution, we find highest emissions on cold weekdays in February 2018, and lowest emissions on warm weekend days in spring 2018. The new measurements provide information on the spatio-temporal distribution of emissions within a large city, and suggest that Paris emissions in 2018 are only 5–15% below inventory estimates for 2011–2012, reflecting the difficulty of meeting NOx emission reduction targets.","container-title":"Scientific Reports","DOI":"10.1038/s41598-019-56428-5","ISSN":"2045-2322","issue":"1","journalAbbreviation":"Sci Rep","language":"en","license":"2019 The Author(s)","note":"number: 1\npublisher: Nature Publishing Group","page":"20033","source":"www.nature.com","title":"Quantification of nitrogen oxides emissions from build-up of pollution over Paris with TROPOMI","volume":"9","author":[{"family":"Lorente","given":"A."},{"family":"Boersma","given":"K. F."},{"family":"Eskes","given":"H. J."},{"family":"Veefkind","given":"J. P."},{"family":"Geffen","given":"J. H. G. M.","non-dropping-particle":"van"},{"family":"Zeeuw","given":"M. B.","non-dropping-particle":"de"},{"family":"Denier van der Gon","given":"H. a. C."},{"family":"Beirle","given":"S."},{"family":"Krol","given":"M. C."}],"issued":{"date-parts":[["2019",12,27]]}}},{"id":618,"uris":["http://zotero.org/users/9309103/items/BFLJ9JUU"],"itemData":{"id":618,"type":"article-journal","call-number":"2020AGUFMA086.0011D","container-title":"American Geophysical Union, Fall Meeting 2020, abstract #A086-0011","title":"Using Satellite-Derived Photolysis Rates (SatJ) to Evaluate Constraints on Atmospheric Oxidants Based on Photolysis Mechanisms in Chemistry Models","author":[{"family":"Ducker","given":"Jason"},{"family":"Holmes","given":"C. D."},{"family":"Kato","given":"S."}],"issued":{"date-parts":[["2020",12]]}}}],"schema":"https://github.com/citation-style-language/schema/raw/master/csl-citation.json"} </w:instrText>
      </w:r>
      <w:r w:rsidR="007F380D" w:rsidRPr="007F380D">
        <w:rPr>
          <w:rFonts w:ascii="Arial" w:hAnsi="Arial" w:cs="Arial"/>
          <w:color w:val="000000"/>
          <w:sz w:val="20"/>
          <w:szCs w:val="20"/>
        </w:rPr>
        <w:fldChar w:fldCharType="separate"/>
      </w:r>
      <w:r w:rsidR="0005501B" w:rsidRPr="0005501B">
        <w:rPr>
          <w:rFonts w:ascii="Arial" w:hAnsi="Arial" w:cs="Arial"/>
          <w:sz w:val="20"/>
          <w:szCs w:val="24"/>
        </w:rPr>
        <w:t>(64–67)</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using space-based instrumentation</w:t>
      </w:r>
      <w:r w:rsidR="00813150">
        <w:rPr>
          <w:rFonts w:ascii="Arial" w:hAnsi="Arial" w:cs="Arial"/>
          <w:color w:val="000000"/>
          <w:sz w:val="20"/>
          <w:szCs w:val="20"/>
        </w:rPr>
        <w:t>.</w:t>
      </w:r>
      <w:r w:rsidR="007F380D" w:rsidRPr="007F380D">
        <w:rPr>
          <w:rFonts w:ascii="Arial" w:hAnsi="Arial" w:cs="Arial"/>
          <w:color w:val="000000"/>
          <w:sz w:val="20"/>
          <w:szCs w:val="20"/>
        </w:rPr>
        <w:t xml:space="preserve"> </w:t>
      </w:r>
      <w:bookmarkStart w:id="22" w:name="_Hlk135830774"/>
      <w:r w:rsidR="00B36F53">
        <w:rPr>
          <w:rFonts w:ascii="Arial" w:hAnsi="Arial" w:cs="Arial"/>
          <w:color w:val="000000"/>
          <w:sz w:val="20"/>
          <w:szCs w:val="20"/>
        </w:rPr>
        <w:t xml:space="preserve">In a similar vein, machine learning </w:t>
      </w:r>
      <w:r w:rsidR="00D21667">
        <w:rPr>
          <w:rFonts w:ascii="Arial" w:hAnsi="Arial" w:cs="Arial"/>
          <w:color w:val="000000"/>
          <w:sz w:val="20"/>
          <w:szCs w:val="20"/>
        </w:rPr>
        <w:t xml:space="preserve">(ML) </w:t>
      </w:r>
      <w:r w:rsidR="00B36F53">
        <w:rPr>
          <w:rFonts w:ascii="Arial" w:hAnsi="Arial" w:cs="Arial"/>
          <w:color w:val="000000"/>
          <w:sz w:val="20"/>
          <w:szCs w:val="20"/>
        </w:rPr>
        <w:t xml:space="preserve">has </w:t>
      </w:r>
      <w:r w:rsidR="00FD70BB">
        <w:rPr>
          <w:rFonts w:ascii="Arial" w:hAnsi="Arial" w:cs="Arial"/>
          <w:color w:val="000000"/>
          <w:sz w:val="20"/>
          <w:szCs w:val="20"/>
        </w:rPr>
        <w:t xml:space="preserve">already </w:t>
      </w:r>
      <w:r w:rsidR="00B36F53">
        <w:rPr>
          <w:rFonts w:ascii="Arial" w:hAnsi="Arial" w:cs="Arial"/>
          <w:color w:val="000000"/>
          <w:sz w:val="20"/>
          <w:szCs w:val="20"/>
        </w:rPr>
        <w:t xml:space="preserve">been applied to approximate long-term trends in OH using chemical transport model simulations and satellite retrievals </w:t>
      </w:r>
      <w:r w:rsidR="00571002">
        <w:rPr>
          <w:rFonts w:ascii="Arial" w:hAnsi="Arial" w:cs="Arial"/>
          <w:color w:val="000000"/>
          <w:sz w:val="20"/>
          <w:szCs w:val="20"/>
        </w:rPr>
        <w:t xml:space="preserve">in urban environments </w:t>
      </w:r>
      <w:r w:rsidR="00B36F53">
        <w:rPr>
          <w:rFonts w:ascii="Arial" w:hAnsi="Arial" w:cs="Arial"/>
          <w:color w:val="000000"/>
          <w:sz w:val="20"/>
          <w:szCs w:val="20"/>
        </w:rPr>
        <w:t xml:space="preserve">over </w:t>
      </w:r>
      <w:r w:rsidR="00571002">
        <w:rPr>
          <w:rFonts w:ascii="Arial" w:hAnsi="Arial" w:cs="Arial"/>
          <w:color w:val="000000"/>
          <w:sz w:val="20"/>
          <w:szCs w:val="20"/>
        </w:rPr>
        <w:t xml:space="preserve">North America </w:t>
      </w:r>
      <w:r w:rsidR="00B36F53">
        <w:rPr>
          <w:rFonts w:ascii="Arial" w:hAnsi="Arial" w:cs="Arial"/>
          <w:color w:val="000000"/>
          <w:sz w:val="20"/>
          <w:szCs w:val="20"/>
        </w:rPr>
        <w:fldChar w:fldCharType="begin"/>
      </w:r>
      <w:r w:rsidR="00B36F53">
        <w:rPr>
          <w:rFonts w:ascii="Arial" w:hAnsi="Arial" w:cs="Arial"/>
          <w:color w:val="000000"/>
          <w:sz w:val="20"/>
          <w:szCs w:val="20"/>
        </w:rPr>
        <w:instrText xml:space="preserve"> ADDIN ZOTERO_ITEM CSL_CITATION {"citationID":"ds4iaaSx","properties":{"formattedCitation":"(43)","plainCitation":"(43)","noteIndex":0},"citationItems":[{"id":2228,"uris":["http://zotero.org/users/9309103/items/9RJLMRLE"],"itemData":{"id":2228,"type":"article-journal","container-title":"Environmental Science &amp; Technology","DOI":"10.1021/acs.est.1c05636","ISSN":"0013-936X, 1520-5851","issue":"11","journalAbbreviation":"Environ. Sci. Technol.","language":"en","page":"7362-7371","source":"DOI.org (Crossref)","title":"Combining Machine Learning and Satellite Observations to Predict Spatial and Temporal Variation of near Surface OH in North American Cities","volume":"56","author":[{"family":"Zhu","given":"Qindan"},{"family":"Laughner","given":"Joshua L."},{"family":"Cohen","given":"Ronald C."}],"issued":{"date-parts":[["2022",6,7]]}}}],"schema":"https://github.com/citation-style-language/schema/raw/master/csl-citation.json"} </w:instrText>
      </w:r>
      <w:r w:rsidR="00B36F53">
        <w:rPr>
          <w:rFonts w:ascii="Arial" w:hAnsi="Arial" w:cs="Arial"/>
          <w:color w:val="000000"/>
          <w:sz w:val="20"/>
          <w:szCs w:val="20"/>
        </w:rPr>
        <w:fldChar w:fldCharType="separate"/>
      </w:r>
      <w:r w:rsidR="00B36F53" w:rsidRPr="00B36F53">
        <w:rPr>
          <w:rFonts w:ascii="Arial" w:hAnsi="Arial" w:cs="Arial"/>
          <w:sz w:val="20"/>
        </w:rPr>
        <w:t>(43)</w:t>
      </w:r>
      <w:r w:rsidR="00B36F53">
        <w:rPr>
          <w:rFonts w:ascii="Arial" w:hAnsi="Arial" w:cs="Arial"/>
          <w:color w:val="000000"/>
          <w:sz w:val="20"/>
          <w:szCs w:val="20"/>
        </w:rPr>
        <w:fldChar w:fldCharType="end"/>
      </w:r>
      <w:r w:rsidR="00B36F53">
        <w:rPr>
          <w:rFonts w:ascii="Arial" w:hAnsi="Arial" w:cs="Arial"/>
          <w:color w:val="000000"/>
          <w:sz w:val="20"/>
          <w:szCs w:val="20"/>
        </w:rPr>
        <w:t>. This analysis found that a similar set of variables to those included in Proxy</w:t>
      </w:r>
      <w:r w:rsidR="00B36F53" w:rsidRPr="00B23857">
        <w:rPr>
          <w:rFonts w:ascii="Arial" w:hAnsi="Arial" w:cs="Arial"/>
          <w:i/>
          <w:iCs/>
          <w:color w:val="000000"/>
          <w:sz w:val="20"/>
          <w:szCs w:val="20"/>
          <w:vertAlign w:val="subscript"/>
        </w:rPr>
        <w:t>OH</w:t>
      </w:r>
      <w:r w:rsidR="00B36F53">
        <w:rPr>
          <w:rFonts w:ascii="Arial" w:hAnsi="Arial" w:cs="Arial"/>
          <w:color w:val="000000"/>
          <w:sz w:val="20"/>
          <w:szCs w:val="20"/>
        </w:rPr>
        <w:t xml:space="preserve"> contribute most of the variation in temporal trends in model OH over </w:t>
      </w:r>
      <w:r w:rsidR="00571002">
        <w:rPr>
          <w:rFonts w:ascii="Arial" w:hAnsi="Arial" w:cs="Arial"/>
          <w:color w:val="000000"/>
          <w:sz w:val="20"/>
          <w:szCs w:val="20"/>
        </w:rPr>
        <w:t xml:space="preserve">several North American cities </w:t>
      </w:r>
      <w:r w:rsidR="00B36F53">
        <w:rPr>
          <w:rFonts w:ascii="Arial" w:hAnsi="Arial" w:cs="Arial"/>
          <w:color w:val="000000"/>
          <w:sz w:val="20"/>
          <w:szCs w:val="20"/>
        </w:rPr>
        <w:t>(noting that HCHO was more influential than the CO included in Proxy</w:t>
      </w:r>
      <w:r w:rsidR="00B36F53" w:rsidRPr="00391EE5">
        <w:rPr>
          <w:rFonts w:ascii="Arial" w:hAnsi="Arial" w:cs="Arial"/>
          <w:i/>
          <w:iCs/>
          <w:color w:val="000000"/>
          <w:sz w:val="20"/>
          <w:szCs w:val="20"/>
          <w:vertAlign w:val="subscript"/>
        </w:rPr>
        <w:t>OH</w:t>
      </w:r>
      <w:r w:rsidR="00B36F53">
        <w:rPr>
          <w:rFonts w:ascii="Arial" w:hAnsi="Arial" w:cs="Arial"/>
          <w:color w:val="000000"/>
          <w:sz w:val="20"/>
          <w:szCs w:val="20"/>
        </w:rPr>
        <w:t xml:space="preserve"> in </w:t>
      </w:r>
      <w:r w:rsidR="00B473E4">
        <w:rPr>
          <w:rFonts w:ascii="Arial" w:hAnsi="Arial" w:cs="Arial"/>
          <w:color w:val="000000"/>
          <w:sz w:val="20"/>
          <w:szCs w:val="20"/>
        </w:rPr>
        <w:t>these relatively polluted terrestrial environments</w:t>
      </w:r>
      <w:r w:rsidR="00B36F53">
        <w:rPr>
          <w:rFonts w:ascii="Arial" w:hAnsi="Arial" w:cs="Arial"/>
          <w:color w:val="000000"/>
          <w:sz w:val="20"/>
          <w:szCs w:val="20"/>
        </w:rPr>
        <w:t xml:space="preserve">). </w:t>
      </w:r>
      <w:r w:rsidR="00D21667">
        <w:rPr>
          <w:rFonts w:ascii="Arial" w:hAnsi="Arial" w:cs="Arial"/>
          <w:color w:val="000000"/>
          <w:sz w:val="20"/>
          <w:szCs w:val="20"/>
        </w:rPr>
        <w:t>While this ML approximation is yet to be evaluated against OH observations, t</w:t>
      </w:r>
      <w:r w:rsidR="00B36F53">
        <w:rPr>
          <w:rFonts w:ascii="Arial" w:hAnsi="Arial" w:cs="Arial"/>
          <w:color w:val="000000"/>
          <w:sz w:val="20"/>
          <w:szCs w:val="20"/>
        </w:rPr>
        <w:t>he</w:t>
      </w:r>
      <w:r w:rsidR="00571002">
        <w:rPr>
          <w:rFonts w:ascii="Arial" w:hAnsi="Arial" w:cs="Arial"/>
          <w:color w:val="000000"/>
          <w:sz w:val="20"/>
          <w:szCs w:val="20"/>
        </w:rPr>
        <w:t>se</w:t>
      </w:r>
      <w:r w:rsidR="00B36F53">
        <w:rPr>
          <w:rFonts w:ascii="Arial" w:hAnsi="Arial" w:cs="Arial"/>
          <w:color w:val="000000"/>
          <w:sz w:val="20"/>
          <w:szCs w:val="20"/>
        </w:rPr>
        <w:t xml:space="preserve"> results </w:t>
      </w:r>
      <w:r w:rsidR="00571002">
        <w:rPr>
          <w:rFonts w:ascii="Arial" w:hAnsi="Arial" w:cs="Arial"/>
          <w:color w:val="000000"/>
          <w:sz w:val="20"/>
          <w:szCs w:val="20"/>
        </w:rPr>
        <w:t xml:space="preserve">indicate promise for the </w:t>
      </w:r>
      <w:r w:rsidR="00B36F53">
        <w:rPr>
          <w:rFonts w:ascii="Arial" w:hAnsi="Arial" w:cs="Arial"/>
          <w:color w:val="000000"/>
          <w:sz w:val="20"/>
          <w:szCs w:val="20"/>
        </w:rPr>
        <w:t>rapid development of alternative possible formulations for Proxy</w:t>
      </w:r>
      <w:r w:rsidR="00B36F53" w:rsidRPr="00B23857">
        <w:rPr>
          <w:rFonts w:ascii="Arial" w:hAnsi="Arial" w:cs="Arial"/>
          <w:i/>
          <w:iCs/>
          <w:color w:val="000000"/>
          <w:sz w:val="20"/>
          <w:szCs w:val="20"/>
          <w:vertAlign w:val="subscript"/>
        </w:rPr>
        <w:t>OH</w:t>
      </w:r>
      <w:r w:rsidR="00B36F53">
        <w:rPr>
          <w:rFonts w:ascii="Arial" w:hAnsi="Arial" w:cs="Arial"/>
          <w:color w:val="000000"/>
          <w:sz w:val="20"/>
          <w:szCs w:val="20"/>
        </w:rPr>
        <w:t xml:space="preserve"> over </w:t>
      </w:r>
      <w:r w:rsidR="00B473E4">
        <w:rPr>
          <w:rFonts w:ascii="Arial" w:hAnsi="Arial" w:cs="Arial"/>
          <w:color w:val="000000"/>
          <w:sz w:val="20"/>
          <w:szCs w:val="20"/>
        </w:rPr>
        <w:t>a range of conditions</w:t>
      </w:r>
      <w:r w:rsidR="00B36F53">
        <w:rPr>
          <w:rFonts w:ascii="Arial" w:hAnsi="Arial" w:cs="Arial"/>
          <w:color w:val="000000"/>
          <w:sz w:val="20"/>
          <w:szCs w:val="20"/>
        </w:rPr>
        <w:t xml:space="preserve">. At the same time, </w:t>
      </w:r>
      <w:r w:rsidR="00D21667">
        <w:rPr>
          <w:rFonts w:ascii="Arial" w:hAnsi="Arial" w:cs="Arial"/>
          <w:color w:val="000000"/>
          <w:sz w:val="20"/>
          <w:szCs w:val="20"/>
        </w:rPr>
        <w:t xml:space="preserve">our method could be applied to evaluate ML </w:t>
      </w:r>
      <w:r w:rsidR="00B36F53">
        <w:rPr>
          <w:rFonts w:ascii="Arial" w:hAnsi="Arial" w:cs="Arial"/>
          <w:color w:val="000000"/>
          <w:sz w:val="20"/>
          <w:szCs w:val="20"/>
        </w:rPr>
        <w:t>approximations</w:t>
      </w:r>
      <w:r w:rsidR="00D21667">
        <w:rPr>
          <w:rFonts w:ascii="Arial" w:hAnsi="Arial" w:cs="Arial"/>
          <w:color w:val="000000"/>
          <w:sz w:val="20"/>
          <w:szCs w:val="20"/>
        </w:rPr>
        <w:t>,</w:t>
      </w:r>
      <w:r w:rsidR="00B36F53">
        <w:rPr>
          <w:rFonts w:ascii="Arial" w:hAnsi="Arial" w:cs="Arial"/>
          <w:color w:val="000000"/>
          <w:sz w:val="20"/>
          <w:szCs w:val="20"/>
        </w:rPr>
        <w:t xml:space="preserve"> potentially by mining previous airborne observations of OH for in situ constraints on </w:t>
      </w:r>
      <w:r w:rsidR="00BC1E88">
        <w:rPr>
          <w:rFonts w:ascii="Arial" w:hAnsi="Arial" w:cs="Arial"/>
          <w:color w:val="000000"/>
          <w:sz w:val="20"/>
          <w:szCs w:val="20"/>
        </w:rPr>
        <w:t>environment-specific formulations of Proxy</w:t>
      </w:r>
      <w:r w:rsidR="00BC1E88" w:rsidRPr="00391EE5">
        <w:rPr>
          <w:rFonts w:ascii="Arial" w:hAnsi="Arial" w:cs="Arial"/>
          <w:i/>
          <w:iCs/>
          <w:color w:val="000000"/>
          <w:sz w:val="20"/>
          <w:szCs w:val="20"/>
          <w:vertAlign w:val="subscript"/>
        </w:rPr>
        <w:t>OH</w:t>
      </w:r>
      <w:r w:rsidR="00B36F53">
        <w:rPr>
          <w:rFonts w:ascii="Arial" w:hAnsi="Arial" w:cs="Arial"/>
          <w:color w:val="000000"/>
          <w:sz w:val="20"/>
          <w:szCs w:val="20"/>
        </w:rPr>
        <w:t xml:space="preserve"> </w:t>
      </w:r>
      <w:r w:rsidR="00D21667">
        <w:rPr>
          <w:rFonts w:ascii="Arial" w:hAnsi="Arial" w:cs="Arial"/>
          <w:color w:val="000000"/>
          <w:sz w:val="20"/>
          <w:szCs w:val="20"/>
        </w:rPr>
        <w:t>(</w:t>
      </w:r>
      <w:r w:rsidR="00B36F53">
        <w:rPr>
          <w:rFonts w:ascii="Arial" w:hAnsi="Arial" w:cs="Arial"/>
          <w:color w:val="000000"/>
          <w:sz w:val="20"/>
          <w:szCs w:val="20"/>
        </w:rPr>
        <w:t xml:space="preserve">a comprehensive compilation of ATHOS </w:t>
      </w:r>
      <w:r w:rsidR="00BC1E88">
        <w:rPr>
          <w:rFonts w:ascii="Arial" w:hAnsi="Arial" w:cs="Arial"/>
          <w:color w:val="000000"/>
          <w:sz w:val="20"/>
          <w:szCs w:val="20"/>
        </w:rPr>
        <w:t>OH measurements is available</w:t>
      </w:r>
      <w:r w:rsidR="00B36F53">
        <w:rPr>
          <w:rFonts w:ascii="Arial" w:hAnsi="Arial" w:cs="Arial"/>
          <w:color w:val="000000"/>
          <w:sz w:val="20"/>
          <w:szCs w:val="20"/>
        </w:rPr>
        <w:t xml:space="preserve"> in </w:t>
      </w:r>
      <w:r w:rsidR="00B36F53">
        <w:rPr>
          <w:rFonts w:ascii="Arial" w:hAnsi="Arial" w:cs="Arial"/>
          <w:color w:val="000000"/>
          <w:sz w:val="20"/>
          <w:szCs w:val="20"/>
        </w:rPr>
        <w:fldChar w:fldCharType="begin"/>
      </w:r>
      <w:r w:rsidR="00B36F53">
        <w:rPr>
          <w:rFonts w:ascii="Arial" w:hAnsi="Arial" w:cs="Arial"/>
          <w:color w:val="000000"/>
          <w:sz w:val="20"/>
          <w:szCs w:val="20"/>
        </w:rPr>
        <w:instrText xml:space="preserve"> ADDIN ZOTERO_ITEM CSL_CITATION {"citationID":"6kkqLOUs","properties":{"formattedCitation":"(34)","plainCitation":"(34)","noteIndex":0},"citationItems":[{"id":2251,"uris":["http://zotero.org/users/9309103/items/6AGMVXHZ"],"itemData":{"id":2251,"type":"article-journal","container-title":"Journal of Geophysical Research: Atmospheres","DOI":"10.1029/2021JD035368","ISSN":"2169-897X, 2169-8996","issue":"1","journalAbbreviation":"JGR Atmospheres","language":"en","source":"DOI.org (Crossref)","title":"Investigating the Understanding of Oxidation Chemistry Using 20 Years of Airborne OH and HO &lt;sub&gt;2&lt;/sub&gt; Observations","URL":"https://onlinelibrary.wiley.com/doi/10.1029/2021JD035368","volume":"127","author":[{"family":"Miller","given":"David O."},{"family":"Brune","given":"William H."}],"accessed":{"date-parts":[["2023",3,22]]},"issued":{"date-parts":[["2022",1,16]]}}}],"schema":"https://github.com/citation-style-language/schema/raw/master/csl-citation.json"} </w:instrText>
      </w:r>
      <w:r w:rsidR="00B36F53">
        <w:rPr>
          <w:rFonts w:ascii="Arial" w:hAnsi="Arial" w:cs="Arial"/>
          <w:color w:val="000000"/>
          <w:sz w:val="20"/>
          <w:szCs w:val="20"/>
        </w:rPr>
        <w:fldChar w:fldCharType="separate"/>
      </w:r>
      <w:r w:rsidR="007D17FB" w:rsidRPr="007D17FB">
        <w:rPr>
          <w:rFonts w:ascii="Arial" w:hAnsi="Arial" w:cs="Arial"/>
          <w:sz w:val="20"/>
        </w:rPr>
        <w:t>34)</w:t>
      </w:r>
      <w:r w:rsidR="00B36F53">
        <w:rPr>
          <w:rFonts w:ascii="Arial" w:hAnsi="Arial" w:cs="Arial"/>
          <w:color w:val="000000"/>
          <w:sz w:val="20"/>
          <w:szCs w:val="20"/>
        </w:rPr>
        <w:fldChar w:fldCharType="end"/>
      </w:r>
      <w:r w:rsidR="00B36F53">
        <w:rPr>
          <w:rFonts w:ascii="Arial" w:hAnsi="Arial" w:cs="Arial"/>
          <w:color w:val="000000"/>
          <w:sz w:val="20"/>
          <w:szCs w:val="20"/>
        </w:rPr>
        <w:t xml:space="preserve">. </w:t>
      </w:r>
      <w:bookmarkEnd w:id="22"/>
    </w:p>
    <w:p w14:paraId="458A05AF" w14:textId="77777777" w:rsidR="00B36F53" w:rsidRDefault="00B36F53" w:rsidP="007F380D">
      <w:pPr>
        <w:pBdr>
          <w:top w:val="nil"/>
          <w:left w:val="nil"/>
          <w:bottom w:val="nil"/>
          <w:right w:val="nil"/>
          <w:between w:val="nil"/>
        </w:pBdr>
        <w:spacing w:after="0"/>
        <w:contextualSpacing/>
        <w:rPr>
          <w:rFonts w:ascii="Arial" w:hAnsi="Arial" w:cs="Arial"/>
          <w:color w:val="000000"/>
          <w:sz w:val="20"/>
          <w:szCs w:val="20"/>
        </w:rPr>
      </w:pPr>
    </w:p>
    <w:p w14:paraId="5544560C" w14:textId="5D0FF2CE" w:rsidR="007F380D" w:rsidRPr="007F380D" w:rsidRDefault="007F380D" w:rsidP="007F380D">
      <w:pPr>
        <w:pBdr>
          <w:top w:val="nil"/>
          <w:left w:val="nil"/>
          <w:bottom w:val="nil"/>
          <w:right w:val="nil"/>
          <w:between w:val="nil"/>
        </w:pBdr>
        <w:spacing w:after="0"/>
        <w:contextualSpacing/>
        <w:rPr>
          <w:rFonts w:ascii="Arial" w:hAnsi="Arial" w:cs="Arial"/>
          <w:color w:val="000000"/>
          <w:sz w:val="20"/>
          <w:szCs w:val="20"/>
        </w:rPr>
      </w:pPr>
      <w:bookmarkStart w:id="23" w:name="_Hlk137124636"/>
      <w:r w:rsidRPr="007F380D">
        <w:rPr>
          <w:rFonts w:ascii="Arial" w:hAnsi="Arial" w:cs="Arial"/>
          <w:color w:val="000000"/>
          <w:sz w:val="20"/>
          <w:szCs w:val="20"/>
        </w:rPr>
        <w:t xml:space="preserve">Our analysis using </w:t>
      </w:r>
      <w:r w:rsidRPr="007F380D">
        <w:rPr>
          <w:rFonts w:ascii="Arial" w:hAnsi="Arial" w:cs="Arial"/>
          <w:i/>
          <w:iCs/>
          <w:color w:val="000000"/>
          <w:sz w:val="20"/>
          <w:szCs w:val="20"/>
        </w:rPr>
        <w:t>in situ</w:t>
      </w:r>
      <w:r w:rsidRPr="007F380D">
        <w:rPr>
          <w:rFonts w:ascii="Arial" w:hAnsi="Arial" w:cs="Arial"/>
          <w:color w:val="000000"/>
          <w:sz w:val="20"/>
          <w:szCs w:val="20"/>
        </w:rPr>
        <w:t xml:space="preserve"> observations suggests that future column-based applications of </w:t>
      </w:r>
      <w:r w:rsidR="00B36F53">
        <w:rPr>
          <w:rFonts w:ascii="Arial" w:hAnsi="Arial" w:cs="Arial"/>
          <w:color w:val="000000"/>
          <w:sz w:val="20"/>
          <w:szCs w:val="20"/>
        </w:rPr>
        <w:t>Proxy</w:t>
      </w:r>
      <w:r w:rsidR="00B36F53" w:rsidRPr="00391EE5">
        <w:rPr>
          <w:rFonts w:ascii="Arial" w:hAnsi="Arial" w:cs="Arial"/>
          <w:i/>
          <w:iCs/>
          <w:color w:val="000000"/>
          <w:sz w:val="20"/>
          <w:szCs w:val="20"/>
          <w:vertAlign w:val="subscript"/>
        </w:rPr>
        <w:t>OH</w:t>
      </w:r>
      <w:r w:rsidR="00B36F53">
        <w:rPr>
          <w:rFonts w:ascii="Arial" w:hAnsi="Arial" w:cs="Arial"/>
          <w:color w:val="000000"/>
          <w:sz w:val="20"/>
          <w:szCs w:val="20"/>
        </w:rPr>
        <w:t xml:space="preserve"> </w:t>
      </w:r>
      <w:r w:rsidRPr="007F380D">
        <w:rPr>
          <w:rFonts w:ascii="Arial" w:hAnsi="Arial" w:cs="Arial"/>
          <w:color w:val="000000"/>
          <w:sz w:val="20"/>
          <w:szCs w:val="20"/>
        </w:rPr>
        <w:t xml:space="preserve">should account for the vertical and </w:t>
      </w:r>
      <w:r w:rsidR="008C6AC1">
        <w:rPr>
          <w:rFonts w:ascii="Arial" w:hAnsi="Arial" w:cs="Arial"/>
          <w:color w:val="000000"/>
          <w:sz w:val="20"/>
          <w:szCs w:val="20"/>
        </w:rPr>
        <w:t>latitudinal</w:t>
      </w:r>
      <w:r w:rsidR="008C6AC1" w:rsidRPr="007F380D">
        <w:rPr>
          <w:rFonts w:ascii="Arial" w:hAnsi="Arial" w:cs="Arial"/>
          <w:color w:val="000000"/>
          <w:sz w:val="20"/>
          <w:szCs w:val="20"/>
        </w:rPr>
        <w:t xml:space="preserve"> </w:t>
      </w:r>
      <w:r w:rsidRPr="007F380D">
        <w:rPr>
          <w:rFonts w:ascii="Arial" w:hAnsi="Arial" w:cs="Arial"/>
          <w:color w:val="000000"/>
          <w:sz w:val="20"/>
          <w:szCs w:val="20"/>
        </w:rPr>
        <w:t xml:space="preserve">distribution of the relationship between </w:t>
      </w:r>
      <w:r w:rsidR="00B36F53">
        <w:rPr>
          <w:rFonts w:ascii="Arial" w:hAnsi="Arial" w:cs="Arial"/>
          <w:color w:val="000000"/>
          <w:sz w:val="20"/>
          <w:szCs w:val="20"/>
        </w:rPr>
        <w:t>this proxy</w:t>
      </w:r>
      <w:r w:rsidR="00B36F53" w:rsidRPr="007F380D">
        <w:rPr>
          <w:rFonts w:ascii="Arial" w:hAnsi="Arial" w:cs="Arial"/>
          <w:color w:val="000000"/>
          <w:sz w:val="20"/>
          <w:szCs w:val="20"/>
        </w:rPr>
        <w:t xml:space="preserve"> </w:t>
      </w:r>
      <w:r w:rsidRPr="007F380D">
        <w:rPr>
          <w:rFonts w:ascii="Arial" w:hAnsi="Arial" w:cs="Arial"/>
          <w:color w:val="000000"/>
          <w:sz w:val="20"/>
          <w:szCs w:val="20"/>
        </w:rPr>
        <w:t xml:space="preserve">and OH, for which we estimated initial slope and intercept values over the remote </w:t>
      </w:r>
      <w:r w:rsidR="00D21667">
        <w:rPr>
          <w:rFonts w:ascii="Arial" w:hAnsi="Arial" w:cs="Arial"/>
          <w:color w:val="000000"/>
          <w:sz w:val="20"/>
          <w:szCs w:val="20"/>
        </w:rPr>
        <w:t xml:space="preserve">marine </w:t>
      </w:r>
      <w:r w:rsidRPr="007F380D">
        <w:rPr>
          <w:rFonts w:ascii="Arial" w:hAnsi="Arial" w:cs="Arial"/>
          <w:color w:val="000000"/>
          <w:sz w:val="20"/>
          <w:szCs w:val="20"/>
        </w:rPr>
        <w:t>troposphere</w:t>
      </w:r>
      <w:bookmarkEnd w:id="23"/>
      <w:r w:rsidRPr="007F380D">
        <w:rPr>
          <w:rFonts w:ascii="Arial" w:hAnsi="Arial" w:cs="Arial"/>
          <w:color w:val="000000"/>
          <w:sz w:val="20"/>
          <w:szCs w:val="20"/>
        </w:rPr>
        <w:t xml:space="preserve">. A column-based proxy </w:t>
      </w:r>
      <w:r w:rsidR="00DF20A0">
        <w:rPr>
          <w:rFonts w:ascii="Arial" w:hAnsi="Arial" w:cs="Arial"/>
          <w:color w:val="000000"/>
          <w:sz w:val="20"/>
          <w:szCs w:val="20"/>
        </w:rPr>
        <w:t>should also consider</w:t>
      </w:r>
      <w:r w:rsidRPr="007F380D">
        <w:rPr>
          <w:rFonts w:ascii="Arial" w:hAnsi="Arial" w:cs="Arial"/>
          <w:color w:val="000000"/>
          <w:sz w:val="20"/>
          <w:szCs w:val="20"/>
        </w:rPr>
        <w:t xml:space="preserve"> the distribution of temperature and pressure in the representation of reaction rate constants. A satellite-observed form of 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especially in combination with HCHO retrievals that map column OH </w:t>
      </w:r>
      <w:r w:rsidR="00B6006C">
        <w:rPr>
          <w:rFonts w:ascii="Arial" w:hAnsi="Arial" w:cs="Arial"/>
          <w:color w:val="000000"/>
          <w:sz w:val="20"/>
          <w:szCs w:val="20"/>
        </w:rPr>
        <w:t>variations</w:t>
      </w:r>
      <w:r w:rsidRPr="007F380D">
        <w:rPr>
          <w:rFonts w:ascii="Arial" w:hAnsi="Arial" w:cs="Arial"/>
          <w:color w:val="000000"/>
          <w:sz w:val="20"/>
          <w:szCs w:val="20"/>
        </w:rPr>
        <w:t xml:space="preserve"> </w:t>
      </w:r>
      <w:r w:rsidRPr="007F380D">
        <w:rPr>
          <w:rFonts w:ascii="Arial" w:hAnsi="Arial" w:cs="Arial"/>
          <w:color w:val="000000"/>
          <w:sz w:val="20"/>
          <w:szCs w:val="20"/>
        </w:rPr>
        <w:fldChar w:fldCharType="begin"/>
      </w:r>
      <w:r w:rsidR="00556E00">
        <w:rPr>
          <w:rFonts w:ascii="Arial" w:hAnsi="Arial" w:cs="Arial"/>
          <w:color w:val="000000"/>
          <w:sz w:val="20"/>
          <w:szCs w:val="20"/>
        </w:rPr>
        <w:instrText xml:space="preserve"> ADDIN ZOTERO_ITEM CSL_CITATION {"citationID":"fTOpyAjD","properties":{"formattedCitation":"(24, 25)","plainCitation":"(24, 25)","noteIndex":0},"citationItems":[{"id":796,"uris":["http://zotero.org/users/9309103/items/D2M934FC"],"itemData":{"id":796,"type":"article-journal","abstract":"Formaldehyde (CH2O), a key atmospheric oxidation intermediate that is detectable from satellite-based UV/visible spectrometers, is primarily formed when hydroxyl radical (OH) reacts with volatile organic compounds (VOC) and is removed by photolysis, reaction with OH or deposition. We investigate the inﬂuence of OH and VOC variability on the CH2O column using a steady state model and the WRF-Chem regional chemical transport model over the southeast United States for the summer of 2012 (June–August). The steady state model indicates that the CH2O column primarily depends on OH production rates (POH) at low concentrations of OH (&lt;3 × 106 molecules cmÀ3), on both POH and VOC reactivity (VOCR: Σiki[VOC]i) at moderate concentrations of OH (3 × 106–7 × 106 molecules cmÀ3) and on VOCR at high concentrations of OH (&gt;7 × 106 molecules cmÀ3). When constrained with WRF-Chem values of boundary layer average POH and VOCR, the steady state model of CH2O explains most of the daily (r2 = 0.93) and average June–August (r2 = 0.97) spatial variance of the fully simulated cloud-free CH2O column. These ﬁndings imply that measurements of the CH2O column offer the potential to better understand the processes affecting oxidation, particularly in remote regions, where OH concentrations are low. The ﬁndings also suggest that the inference of VOC emissions based on measurements of CH2O, or any other intermediate oxidation species with a photolytic lifetime that is short relative to removal by reaction with OH (e.g., glyoxal), should carefully account for the inﬂuence of OH on the observed pattern, especially where OH concentrations are below 5 × 106 molecules cmÀ3, as occurs in remote forests, where OH strongly varies, as occurs downwind of large nitrogen oxide (NOx: NO+NO2) emission sources, or where OH sources are potentially biased.","container-title":"Journal of Geophysical Research: Atmospheres","DOI":"10.1002/2015JD024012","ISSN":"2169897X","issue":"1","journalAbbreviation":"J. Geophys. Res. Atmos.","language":"en","page":"478-493","source":"DOI.org (Crossref)","title":"The role of OH production in interpreting the variability of CH&lt;sub&gt;2&lt;/sub&gt;O columns in the southeast U.S.","title-short":"The role of OH production in interpreting the variability of CH &lt;sub&gt;2&lt;/sub&gt; O columns in the southeast U.S.","volume":"121","author":[{"family":"Valin","given":"L. C."},{"family":"Fiore","given":"A. M."},{"family":"Chance","given":"K."},{"family":"González Abad","given":"G."}],"issued":{"date-parts":[["2016",1,16]]}}},{"id":465,"uris":["http://zotero.org/users/9309103/items/ZFDND6RC"],"itemData":{"id":465,"type":"article-journal","abstract":"The hydroxyl radical (OH) fuels tropospheric ozone production and governs the lifetime of methane and many other gases. Existing methods to quantify global OH are limited to annual and global-to-hemispheric averages. Finer resolution is essential for isolating model deficiencies and building process-level understanding. In situ observations from the Atmospheric Tomography (ATom) mission demonstrate that remote tropospheric OH is tightly coupled to the production and loss of formaldehyde (HCHO), a major hydrocarbon oxidation product. Synthesis of this relationship with satellite-based HCHO retrievals and model-derived HCHO loss frequencies yields a map of total-column OH abundance throughout the remote troposphere (up to 70% of tropospheric mass) over the first two ATom missions (August 2016 and February 2017). This dataset offers unique insights on near-global oxidizing capacity. OH exhibits significant seasonality within individual hemispheres, but the domain mean concentration is nearly identical for both seasons (1.03 ± 0.25 × 10\n              6\n              cm\n              −3\n              ), and the biseasonal average North/South Hemisphere ratio is 0.89 ± 0.06, consistent with a balance of OH sources and sinks across the remote troposphere. Regional phenomena are also highlighted, such as a 10-fold OH depression in the Tropical West Pacific and enhancements in the East Pacific and South Atlantic. This method is complementary to budget-based global OH constraints and can help elucidate the spatial and temporal variability of OH production and methane loss.","container-title":"Proceedings of the National Academy of Sciences","DOI":"10.1073/pnas.1821661116","ISSN":"0027-8424, 1091-6490","issue":"23","journalAbbreviation":"Proc Natl Acad Sci USA","language":"en","page":"11171-11180","source":"DOI.org (Crossref)","title":"Mapping hydroxyl variability throughout the global remote troposphere via synthesis of airborne and satellite formaldehyde observations","volume":"116","author":[{"family":"Wolfe","given":"Glenn M."},{"family":"Nicely","given":"Julie M."},{"family":"St. Clair","given":"Jason M."},{"family":"Hanisco","given":"Thomas F."},{"family":"Liao","given":"Jin"},{"family":"Oman","given":"Luke D."},{"family":"Brune","given":"William B."},{"family":"Miller","given":"David"},{"family":"Thames","given":"Alexander"},{"family":"González Abad","given":"Gonzalo"},{"family":"Ryerson","given":"Thomas B."},{"family":"Thompson","given":"Chelsea R."},{"family":"Peischl","given":"Jeff"},{"family":"McKain","given":"Kathryn"},{"family":"Sweeney","given":"Colm"},{"family":"Wennberg","given":"Paul O."},{"family":"Kim","given":"Michelle"},{"family":"Crounse","given":"John D."},{"family":"Hall","given":"Samuel R."},{"family":"Ullmann","given":"Kirk"},{"family":"Diskin","given":"Glenn"},{"family":"Bui","given":"Paul"},{"family":"Chang","given":"Cecilia"},{"family":"Dean-Day","given":"Jonathan"}],"issued":{"date-parts":[["2019",6,4]]}}}],"schema":"https://github.com/citation-style-language/schema/raw/master/csl-citation.json"} </w:instrText>
      </w:r>
      <w:r w:rsidRPr="007F380D">
        <w:rPr>
          <w:rFonts w:ascii="Arial" w:hAnsi="Arial" w:cs="Arial"/>
          <w:color w:val="000000"/>
          <w:sz w:val="20"/>
          <w:szCs w:val="20"/>
        </w:rPr>
        <w:fldChar w:fldCharType="separate"/>
      </w:r>
      <w:r w:rsidR="00556E00" w:rsidRPr="00556E00">
        <w:rPr>
          <w:rFonts w:ascii="Arial" w:hAnsi="Arial" w:cs="Arial"/>
          <w:sz w:val="20"/>
        </w:rPr>
        <w:t>(24, 25)</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could offer a spatially expansive dataset for inference </w:t>
      </w:r>
      <w:r w:rsidR="00DF20A0">
        <w:rPr>
          <w:rFonts w:ascii="Arial" w:hAnsi="Arial" w:cs="Arial"/>
          <w:color w:val="000000"/>
          <w:sz w:val="20"/>
          <w:szCs w:val="20"/>
        </w:rPr>
        <w:t>of</w:t>
      </w:r>
      <w:r w:rsidRPr="007F380D">
        <w:rPr>
          <w:rFonts w:ascii="Arial" w:hAnsi="Arial" w:cs="Arial"/>
          <w:color w:val="000000"/>
          <w:sz w:val="20"/>
          <w:szCs w:val="20"/>
        </w:rPr>
        <w:t xml:space="preserve"> not only the OH abundance but also its sensitivity to key drivers of atmospheric oxidation.</w:t>
      </w:r>
      <w:r w:rsidR="00D33614">
        <w:rPr>
          <w:rFonts w:ascii="Arial" w:hAnsi="Arial" w:cs="Arial"/>
          <w:color w:val="000000"/>
          <w:sz w:val="20"/>
          <w:szCs w:val="20"/>
        </w:rPr>
        <w:t xml:space="preserve"> </w:t>
      </w:r>
      <w:r w:rsidRPr="007F380D">
        <w:rPr>
          <w:rFonts w:ascii="Arial" w:hAnsi="Arial" w:cs="Arial"/>
          <w:color w:val="000000"/>
          <w:sz w:val="20"/>
          <w:szCs w:val="20"/>
        </w:rPr>
        <w:t xml:space="preserve">By placing much-needed constraints on the methane sink via reaction with tropospheric OH, this new knowledge will improve confidence in the interpretation of observed methane trends as well as future projections under global change. </w:t>
      </w:r>
    </w:p>
    <w:p w14:paraId="17BEF771" w14:textId="77777777" w:rsidR="007F380D" w:rsidRDefault="007F380D" w:rsidP="007F380D">
      <w:pPr>
        <w:pBdr>
          <w:top w:val="nil"/>
          <w:left w:val="nil"/>
          <w:bottom w:val="nil"/>
          <w:right w:val="nil"/>
          <w:between w:val="nil"/>
        </w:pBdr>
        <w:spacing w:after="0"/>
        <w:contextualSpacing/>
        <w:rPr>
          <w:rFonts w:ascii="Arial" w:hAnsi="Arial" w:cs="Arial"/>
          <w:color w:val="000000"/>
          <w:sz w:val="20"/>
          <w:szCs w:val="20"/>
        </w:rPr>
      </w:pPr>
    </w:p>
    <w:p w14:paraId="39A5DE94" w14:textId="22FFE3C5" w:rsidR="007F380D" w:rsidRPr="007F380D" w:rsidRDefault="007840F7" w:rsidP="007F380D">
      <w:pPr>
        <w:pBdr>
          <w:top w:val="nil"/>
          <w:left w:val="nil"/>
          <w:bottom w:val="nil"/>
          <w:right w:val="nil"/>
          <w:between w:val="nil"/>
        </w:pBdr>
        <w:spacing w:after="0"/>
        <w:contextualSpacing/>
        <w:rPr>
          <w:rFonts w:ascii="Arial" w:hAnsi="Arial" w:cs="Arial"/>
          <w:color w:val="000000"/>
          <w:sz w:val="20"/>
          <w:szCs w:val="20"/>
        </w:rPr>
      </w:pPr>
      <w:r>
        <w:rPr>
          <w:rFonts w:ascii="Arial" w:hAnsi="Arial" w:cs="Arial"/>
          <w:color w:val="000000"/>
          <w:sz w:val="20"/>
          <w:szCs w:val="20"/>
        </w:rPr>
        <w:t>By offering insight into the sensitivity of OH spatial variations</w:t>
      </w:r>
      <w:r w:rsidR="00B568C5">
        <w:rPr>
          <w:rFonts w:ascii="Arial" w:hAnsi="Arial" w:cs="Arial"/>
          <w:color w:val="000000"/>
          <w:sz w:val="20"/>
          <w:szCs w:val="20"/>
        </w:rPr>
        <w:t xml:space="preserve"> to individual OH source and sink terms</w:t>
      </w:r>
      <w:r>
        <w:rPr>
          <w:rFonts w:ascii="Arial" w:hAnsi="Arial" w:cs="Arial"/>
          <w:color w:val="000000"/>
          <w:sz w:val="20"/>
          <w:szCs w:val="20"/>
        </w:rPr>
        <w:t xml:space="preserve">, </w:t>
      </w:r>
      <w:r w:rsidRPr="007F380D">
        <w:rPr>
          <w:rFonts w:ascii="Arial" w:hAnsi="Arial" w:cs="Arial"/>
          <w:color w:val="000000"/>
          <w:sz w:val="20"/>
          <w:szCs w:val="20"/>
        </w:rPr>
        <w:t>Proxy</w:t>
      </w:r>
      <w:r w:rsidRPr="007F380D">
        <w:rPr>
          <w:rFonts w:ascii="Arial" w:hAnsi="Arial" w:cs="Arial"/>
          <w:i/>
          <w:iCs/>
          <w:color w:val="000000"/>
          <w:sz w:val="20"/>
          <w:szCs w:val="20"/>
          <w:vertAlign w:val="subscript"/>
        </w:rPr>
        <w:t>OH</w:t>
      </w:r>
      <w:r w:rsidRPr="007F380D">
        <w:rPr>
          <w:rFonts w:ascii="Arial" w:hAnsi="Arial" w:cs="Arial"/>
          <w:color w:val="000000"/>
          <w:sz w:val="20"/>
          <w:szCs w:val="20"/>
        </w:rPr>
        <w:t xml:space="preserve"> </w:t>
      </w:r>
      <w:r>
        <w:rPr>
          <w:rFonts w:ascii="Arial" w:hAnsi="Arial" w:cs="Arial"/>
          <w:color w:val="000000"/>
          <w:sz w:val="20"/>
          <w:szCs w:val="20"/>
        </w:rPr>
        <w:t>serves as</w:t>
      </w:r>
      <w:r w:rsidRPr="007F380D">
        <w:rPr>
          <w:rFonts w:ascii="Arial" w:hAnsi="Arial" w:cs="Arial"/>
          <w:color w:val="000000"/>
          <w:sz w:val="20"/>
          <w:szCs w:val="20"/>
        </w:rPr>
        <w:t xml:space="preserve"> a process-based</w:t>
      </w:r>
      <w:r w:rsidR="00DF20A0">
        <w:rPr>
          <w:rFonts w:ascii="Arial" w:hAnsi="Arial" w:cs="Arial"/>
          <w:color w:val="000000"/>
          <w:sz w:val="20"/>
          <w:szCs w:val="20"/>
        </w:rPr>
        <w:t>, simple model that</w:t>
      </w:r>
      <w:r w:rsidRPr="007F380D">
        <w:rPr>
          <w:rFonts w:ascii="Arial" w:hAnsi="Arial" w:cs="Arial"/>
          <w:color w:val="000000"/>
          <w:sz w:val="20"/>
          <w:szCs w:val="20"/>
        </w:rPr>
        <w:t xml:space="preserve"> bridge</w:t>
      </w:r>
      <w:r w:rsidR="00DF20A0">
        <w:rPr>
          <w:rFonts w:ascii="Arial" w:hAnsi="Arial" w:cs="Arial"/>
          <w:color w:val="000000"/>
          <w:sz w:val="20"/>
          <w:szCs w:val="20"/>
        </w:rPr>
        <w:t>s</w:t>
      </w:r>
      <w:r w:rsidRPr="007F380D">
        <w:rPr>
          <w:rFonts w:ascii="Arial" w:hAnsi="Arial" w:cs="Arial"/>
          <w:color w:val="000000"/>
          <w:sz w:val="20"/>
          <w:szCs w:val="20"/>
        </w:rPr>
        <w:t xml:space="preserve"> point measurements and global atmospheric chemistry model simulations.</w:t>
      </w:r>
      <w:r w:rsidR="001F165A">
        <w:rPr>
          <w:rFonts w:ascii="Arial" w:hAnsi="Arial" w:cs="Arial"/>
          <w:color w:val="000000"/>
          <w:sz w:val="20"/>
          <w:szCs w:val="20"/>
        </w:rPr>
        <w:t xml:space="preserve"> </w:t>
      </w:r>
      <w:bookmarkStart w:id="24" w:name="_Hlk135830815"/>
      <w:bookmarkStart w:id="25" w:name="_Hlk135832755"/>
      <w:r w:rsidR="00FD70BB">
        <w:rPr>
          <w:rFonts w:ascii="Arial" w:hAnsi="Arial" w:cs="Arial"/>
          <w:color w:val="000000"/>
          <w:sz w:val="20"/>
          <w:szCs w:val="20"/>
        </w:rPr>
        <w:t>Across global models, t</w:t>
      </w:r>
      <w:r w:rsidR="00714421">
        <w:rPr>
          <w:rFonts w:ascii="Arial" w:hAnsi="Arial" w:cs="Arial"/>
          <w:color w:val="000000"/>
          <w:sz w:val="20"/>
          <w:szCs w:val="20"/>
        </w:rPr>
        <w:t xml:space="preserve">he decadal mean OH concentration shows a linear relationship with a combination of </w:t>
      </w:r>
      <m:oMath>
        <m:sSub>
          <m:sSubPr>
            <m:ctrlPr>
              <w:rPr>
                <w:rFonts w:ascii="Cambria Math" w:hAnsi="Cambria Math" w:cs="Arial"/>
                <w:i/>
                <w:iCs/>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iCs/>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001F165A">
        <w:rPr>
          <w:rFonts w:ascii="Arial" w:hAnsi="Arial" w:cs="Arial"/>
          <w:color w:val="000000"/>
          <w:sz w:val="20"/>
          <w:szCs w:val="20"/>
        </w:rPr>
        <w:t>, specific humidity and the source of nitrogen and carbon</w:t>
      </w:r>
      <w:r w:rsidR="00714421">
        <w:rPr>
          <w:rFonts w:ascii="Arial" w:hAnsi="Arial" w:cs="Arial"/>
          <w:color w:val="000000"/>
          <w:sz w:val="20"/>
          <w:szCs w:val="20"/>
        </w:rPr>
        <w:t xml:space="preserve"> </w:t>
      </w:r>
      <w:r w:rsidR="00714421">
        <w:rPr>
          <w:rFonts w:ascii="Arial" w:hAnsi="Arial" w:cs="Arial"/>
          <w:color w:val="000000"/>
          <w:sz w:val="20"/>
          <w:szCs w:val="20"/>
        </w:rPr>
        <w:fldChar w:fldCharType="begin"/>
      </w:r>
      <w:r w:rsidR="00714421">
        <w:rPr>
          <w:rFonts w:ascii="Arial" w:hAnsi="Arial" w:cs="Arial"/>
          <w:color w:val="000000"/>
          <w:sz w:val="20"/>
          <w:szCs w:val="20"/>
        </w:rPr>
        <w:instrText xml:space="preserve"> ADDIN ZOTERO_ITEM CSL_CITATION {"citationID":"IvM5RawQ","properties":{"formattedCitation":"(13)","plainCitation":"(13)","noteIndex":0},"citationItems":[{"id":771,"uris":["http://zotero.org/users/9309103/items/2ME2XYH6"],"itemData":{"id":771,"type":"article-journal","abstract":"The hydroxyl radical (OH) sets the oxidative capacity of the atmosphere and, thus, profoundly affects the removal rate of pollutants and reactive greenhouse gases. While observationally derived constraints exist for global annual mean present-day OH abundances and interannual variability, OH estimates for past and future periods rely primarily on global atmospheric chemistry models. These models disagree ± 30% in mean OH and in its changes from the preindustrial to late 21st century, even when forced with identical anthropogenic emissions. A simple steady-state relationship that accounts for ozone photolysis frequencies, water vapor, and the ratio of reactive nitrogen to carbon emissions explains temporal variability within most models, but not intermodel differences. Here, we show that departure from the expected relationship reflects the treatment of reactive oxidized nitrogen species (NOy) and the fraction of emitted carbon that reacts within each chemical mechanism, which remain poorly known due to a lack of observational data. Our findings imply a need for additional observational constraints on NOy partitioning and lifetime, especially in the remote free troposphere, as well as the fate of carbon-containing reaction intermediates to test models, thereby reducing uncertainties in projections of OH and, hence, lifetimes of pollutants and greenhouse gases.","container-title":"Proceedings of the National Academy of Sciences","DOI":"10.1073/pnas.2115204118","ISSN":"0027-8424, 1091-6490","issue":"43","journalAbbreviation":"PNAS","language":"en","license":"© 2021 . https://www.pnas.org/site/aboutpnas/licenses.xhtmlPublished under the PNAS license.","note":"publisher: National Academy of Sciences\nsection: Physical Sciences\nPMID: 34686608","source":"www.pnas.org","title":"Large uncertainties in global hydroxyl projections tied to fate of reactive nitrogen and carbon","URL":"https://www.pnas.org/content/118/43/e2115204118","volume":"118","author":[{"family":"Murray","given":"Lee T."},{"family":"Fiore","given":"Arlene M."},{"family":"Shindell","given":"Drew T."},{"family":"Naik","given":"Vaishali"},{"family":"Horowitz","given":"Larry W."}],"accessed":{"date-parts":[["2021",12,8]]},"issued":{"date-parts":[["2021",10,26]]}}}],"schema":"https://github.com/citation-style-language/schema/raw/master/csl-citation.json"} </w:instrText>
      </w:r>
      <w:r w:rsidR="00714421">
        <w:rPr>
          <w:rFonts w:ascii="Arial" w:hAnsi="Arial" w:cs="Arial"/>
          <w:color w:val="000000"/>
          <w:sz w:val="20"/>
          <w:szCs w:val="20"/>
        </w:rPr>
        <w:fldChar w:fldCharType="separate"/>
      </w:r>
      <w:r w:rsidR="00714421" w:rsidRPr="00714421">
        <w:rPr>
          <w:rFonts w:ascii="Arial" w:hAnsi="Arial" w:cs="Arial"/>
          <w:sz w:val="20"/>
        </w:rPr>
        <w:t>(13)</w:t>
      </w:r>
      <w:r w:rsidR="00714421">
        <w:rPr>
          <w:rFonts w:ascii="Arial" w:hAnsi="Arial" w:cs="Arial"/>
          <w:color w:val="000000"/>
          <w:sz w:val="20"/>
          <w:szCs w:val="20"/>
        </w:rPr>
        <w:fldChar w:fldCharType="end"/>
      </w:r>
      <w:r w:rsidR="00714421">
        <w:rPr>
          <w:rFonts w:ascii="Arial" w:hAnsi="Arial" w:cs="Arial"/>
          <w:color w:val="000000"/>
          <w:sz w:val="20"/>
          <w:szCs w:val="20"/>
        </w:rPr>
        <w:t>. Here we demonstrate that</w:t>
      </w:r>
      <w:r w:rsidR="00D21667">
        <w:rPr>
          <w:rFonts w:ascii="Arial" w:hAnsi="Arial" w:cs="Arial"/>
          <w:color w:val="000000"/>
          <w:sz w:val="20"/>
          <w:szCs w:val="20"/>
        </w:rPr>
        <w:t xml:space="preserve"> a</w:t>
      </w:r>
      <w:r w:rsidR="0098031C">
        <w:rPr>
          <w:rFonts w:ascii="Arial" w:hAnsi="Arial" w:cs="Arial"/>
          <w:color w:val="000000"/>
          <w:sz w:val="20"/>
          <w:szCs w:val="20"/>
        </w:rPr>
        <w:t>n observation-based</w:t>
      </w:r>
      <w:r w:rsidR="00D21667">
        <w:rPr>
          <w:rFonts w:ascii="Arial" w:hAnsi="Arial" w:cs="Arial"/>
          <w:color w:val="000000"/>
          <w:sz w:val="20"/>
          <w:szCs w:val="20"/>
        </w:rPr>
        <w:t xml:space="preserve"> version of this combination of variables,</w:t>
      </w:r>
      <w:r w:rsidR="00714421">
        <w:rPr>
          <w:rFonts w:ascii="Arial" w:hAnsi="Arial" w:cs="Arial"/>
          <w:color w:val="000000"/>
          <w:sz w:val="20"/>
          <w:szCs w:val="20"/>
        </w:rPr>
        <w:t xml:space="preserve"> Proxy</w:t>
      </w:r>
      <w:r w:rsidR="00714421" w:rsidRPr="00391EE5">
        <w:rPr>
          <w:rFonts w:ascii="Arial" w:hAnsi="Arial" w:cs="Arial"/>
          <w:i/>
          <w:iCs/>
          <w:color w:val="000000"/>
          <w:sz w:val="20"/>
          <w:szCs w:val="20"/>
          <w:vertAlign w:val="subscript"/>
        </w:rPr>
        <w:t>OH</w:t>
      </w:r>
      <w:r w:rsidR="00D21667">
        <w:rPr>
          <w:rFonts w:ascii="Arial" w:hAnsi="Arial" w:cs="Arial"/>
          <w:color w:val="000000"/>
          <w:sz w:val="20"/>
          <w:szCs w:val="20"/>
        </w:rPr>
        <w:t xml:space="preserve">, </w:t>
      </w:r>
      <w:r w:rsidR="00714421">
        <w:rPr>
          <w:rFonts w:ascii="Arial" w:hAnsi="Arial" w:cs="Arial"/>
          <w:color w:val="000000"/>
          <w:sz w:val="20"/>
          <w:szCs w:val="20"/>
        </w:rPr>
        <w:t xml:space="preserve">maintains a linear relationship with </w:t>
      </w:r>
      <w:r w:rsidR="0098031C">
        <w:rPr>
          <w:rFonts w:ascii="Arial" w:hAnsi="Arial" w:cs="Arial"/>
          <w:color w:val="000000"/>
          <w:sz w:val="20"/>
          <w:szCs w:val="20"/>
        </w:rPr>
        <w:t>measured</w:t>
      </w:r>
      <w:r w:rsidR="00714421">
        <w:rPr>
          <w:rFonts w:ascii="Arial" w:hAnsi="Arial" w:cs="Arial"/>
          <w:color w:val="000000"/>
          <w:sz w:val="20"/>
          <w:szCs w:val="20"/>
        </w:rPr>
        <w:t xml:space="preserve"> OH concentrations over regional scales in the remote marine troposphere</w:t>
      </w:r>
      <w:r w:rsidR="00D21667">
        <w:rPr>
          <w:rFonts w:ascii="Arial" w:hAnsi="Arial" w:cs="Arial"/>
          <w:color w:val="000000"/>
          <w:sz w:val="20"/>
          <w:szCs w:val="20"/>
        </w:rPr>
        <w:t>.</w:t>
      </w:r>
      <w:r w:rsidR="00714421">
        <w:rPr>
          <w:rFonts w:ascii="Arial" w:hAnsi="Arial" w:cs="Arial"/>
          <w:color w:val="000000"/>
          <w:sz w:val="20"/>
          <w:szCs w:val="20"/>
        </w:rPr>
        <w:t xml:space="preserve"> </w:t>
      </w:r>
      <w:bookmarkStart w:id="26" w:name="_Hlk137124881"/>
      <w:bookmarkEnd w:id="24"/>
      <w:bookmarkEnd w:id="25"/>
      <w:r w:rsidR="007F380D" w:rsidRPr="007F380D">
        <w:rPr>
          <w:rFonts w:ascii="Arial" w:hAnsi="Arial" w:cs="Arial"/>
          <w:color w:val="000000"/>
          <w:sz w:val="20"/>
          <w:szCs w:val="20"/>
        </w:rPr>
        <w:t>Our observation</w:t>
      </w:r>
      <w:r w:rsidR="000A55B5">
        <w:rPr>
          <w:rFonts w:ascii="Arial" w:hAnsi="Arial" w:cs="Arial"/>
          <w:color w:val="000000"/>
          <w:sz w:val="20"/>
          <w:szCs w:val="20"/>
        </w:rPr>
        <w:t>-based</w:t>
      </w:r>
      <w:r w:rsidR="007F380D" w:rsidRPr="007F380D">
        <w:rPr>
          <w:rFonts w:ascii="Arial" w:hAnsi="Arial" w:cs="Arial"/>
          <w:color w:val="000000"/>
          <w:sz w:val="20"/>
          <w:szCs w:val="20"/>
        </w:rPr>
        <w:t xml:space="preserve"> results suggest that future evaluation of modeled tropospheric oxidation</w:t>
      </w:r>
      <w:r w:rsidR="003560D0">
        <w:rPr>
          <w:rFonts w:ascii="Arial" w:hAnsi="Arial" w:cs="Arial"/>
          <w:color w:val="000000"/>
          <w:sz w:val="20"/>
          <w:szCs w:val="20"/>
        </w:rPr>
        <w:t xml:space="preserve"> over global background regions</w:t>
      </w:r>
      <w:r w:rsidR="007F380D" w:rsidRPr="007F380D">
        <w:rPr>
          <w:rFonts w:ascii="Arial" w:hAnsi="Arial" w:cs="Arial"/>
          <w:color w:val="000000"/>
          <w:sz w:val="20"/>
          <w:szCs w:val="20"/>
        </w:rPr>
        <w:t xml:space="preserve">, in particular over timescales shorter than the methane lifetime </w:t>
      </w:r>
      <w:r w:rsidR="007F380D"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{"citationID":"DvHr5A49","properties":{"formattedCitation":"(12, 68)","plainCitation":"(12, 68)","noteIndex":0},"citationItems":[{"id":485,"uris":["http://zotero.org/users/9309103/items/IH4RMIIG"],"itemData":{"id":485,"type":"article-journal","abstract":"The hydroxyl radical (OH) plays critical roles within the troposphere, such as determining the lifetime of methane (CH4), yet is challenging to model due to its fast cycling and dependence on a multitude of sources and sinks. As a result, the reasons for variations in OH and the resulting methane lifetime (τCH4 ), both between models and in time, are difﬁcult to diagnose. We apply a neural network (NN) approach to address this issue within a group of models that participated in the Chemistry-Climate Model Initiative (CCMI). Analysis of the historical speciﬁed dynamics simulations performed for CCMI indicates that the primary drivers of τCH4 differences among 10 models are the ﬂux of UV light to the troposphere (indicated by the photolysis frequency J O1D), the mixing ratio of tropospheric ozone (O3), the abundance of nitrogen oxides (NOx ≡ NO + NO2), and details of the various chemical mechanisms that drive OH. Water vapour, carbon monoxide (CO), the ratio of NO : NOx, and formaldehyde (HCHO) explain moderate differences in τCH4 , while isoprene, methane, the photolysis frequency of NO2 by visible light (J NO2), overhead ozone column, and temperature account for little to no model variation in τCH4 . We also apply the NNs to analysis of temporal trends in OH from 1980 to 2015. All models that participated in the speciﬁed dynamics historical simulation for CCMI demonstrate a decline in τCH4 during the analysed timeframe. The signiﬁcant contributors to this trend, in order of importance, are tropospheric O3, J O1D, NOx, and H2O, with CO also causing substantial interannual variability in OH burden. Finally, the identiﬁed trends in τCH4 are compared to calculated trends in the tropospheric mean OH concentration from previous work, based on analysis of observations. The comparison reveals a robust result for the effect of rising water vapour on OH and τCH4 , imparting an increasing and decreasing trend of about 0.5 % decade−1, respectively. The responses due to NOx, ozone column, and temperature are also in reasonably good agreement between the two studies.","container-title":"Atmospheric Chemistry and Physics","DOI":"10.5194/acp-20-1341-2020","ISSN":"1680-7324","issue":"3","journalAbbreviation":"Atmos. Chem. Phys.","language":"en","page":"1341-1361","source":"DOI.org (Crossref)","title":"A machine learning examination of hydroxyl radical differences among model simulations for CCMI-1","volume":"20","author":[{"family":"Nicely","given":"Julie M."},{"family":"Duncan","given":"Bryan N."},{"family":"Hanisco","given":"Thomas F."},{"family":"Wolfe","given":"Glenn M."},{"family":"Salawitch","given":"Ross J."},{"family":"Deushi","given":"Makoto"},{"family":"Haslerud","given":"Amund S."},{"family":"Jöckel","given":"Patrick"},{"family":"Josse","given":"Béatrice"},{"family":"Kinnison","given":"Douglas E."},{"family":"Klekociuk","given":"Andrew"},{"family":"Manyin","given":"Michael E."},{"family":"Marécal","given":"Virginie"},{"family":"Morgenstern","given":"Olaf"},{"family":"Murray","given":"Lee T."},{"family":"Myhre","given":"Gunnar"},{"family":"Oman","given":"Luke D."},{"family":"Pitari","given":"Giovanni"},{"family":"Pozzer","given":"Andrea"},{"family":"Quaglia","given":"Ilaria"},{"family":"Revell","given":"Laura E."},{"family":"Rozanov","given":"Eugene"},{"family":"Stenke","given":"Andrea"},{"family":"Stone","given":"Kane"},{"family":"Strahan","given":"Susan"},{"family":"Tilmes","given":"Simone"},{"family":"Tost","given":"Holger"},{"family":"Westervelt","given":"Daniel M."},{"family":"Zeng","given":"Guang"}],"issued":{"date-parts":[["2020",2,5]]}}},{"id":535,"uris":["http://zotero.org/users/9309103/items/DDK362QX"],"itemData":{"id":535,"type":"article-journal","abstract":"Knowledge of the atmospheric chemistry of reactive greenhouse gases is needed to accurately quantify the relationship between human activities and climate, and to incorporate uncertainty in our projections of greenhouse gas abundances. We present a method for estimating the fraction of greenhouse gases attributable to human activities, both currently and for future scenarios. Key variables used to calculate the atmospheric chemistry and budgets of major non-CO2greenhouse gases are codified along with their uncertainties, and then used to project budgets and abundances under the new climate-change scenarios. This new approach uses our knowledge of changing abundances and lifetimes to estimate current total anthropogenic emissions, independently and possibly more accurately than inventory-based scenarios. We derive a present-day atmospheric lifetime for methane (CH4) of 9.1 ± 0.9 y and anthropogenic emissions of 352 ± 45 Tg/y (64% of total emissions). For N2O, corresponding values are 131 ± 10 y and 6.5 ± 1.3 TgN/y (41% of total); and for HFC-134a, the lifetime is 14.2 ± 1.5 y.","container-title":"Geophysical Research Letters","DOI":"10.1029/2012GL051440","ISSN":"1944-8007","issue":"9","language":"en","license":"Copyright 2012 by the American Geophysical Union","note":"_eprint: https://agupubs.onlinelibrary.wiley.com/doi/pdf/10.1029/2012GL051440","source":"Wiley Online Library","title":"Reactive greenhouse gas scenarios: Systematic exploration of uncertainties and the role of atmospheric chemistry","title-short":"Reactive greenhouse gas scenarios","URL":"https://agupubs.onlinelibrary.wiley.com/doi/abs/10.1029/2012GL051440","volume":"39","author":[{"family":"Prather","given":"Michael J."},{"family":"Holmes","given":"Christopher D."},{"family":"Hsu","given":"Juno"}],"accessed":{"date-parts":[["2020",10,14]]},"issued":{"date-parts":[["2012"]]}}}],"schema":"https://github.com/citation-style-language/schema/raw/master/csl-citation.json"} </w:instrText>
      </w:r>
      <w:r w:rsidR="007F380D" w:rsidRPr="007F380D">
        <w:rPr>
          <w:rFonts w:ascii="Arial" w:hAnsi="Arial" w:cs="Arial"/>
          <w:color w:val="000000"/>
          <w:sz w:val="20"/>
          <w:szCs w:val="20"/>
        </w:rPr>
        <w:fldChar w:fldCharType="separate"/>
      </w:r>
      <w:r w:rsidR="0005501B" w:rsidRPr="0005501B">
        <w:rPr>
          <w:rFonts w:ascii="Arial" w:hAnsi="Arial" w:cs="Arial"/>
          <w:sz w:val="20"/>
        </w:rPr>
        <w:t>(12, 68)</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should target an accurate model representation of variations in H</w:t>
      </w:r>
      <w:r w:rsidR="007F380D" w:rsidRPr="007F380D">
        <w:rPr>
          <w:rFonts w:ascii="Arial" w:hAnsi="Arial" w:cs="Arial"/>
          <w:color w:val="000000"/>
          <w:sz w:val="20"/>
          <w:szCs w:val="20"/>
          <w:vertAlign w:val="subscript"/>
        </w:rPr>
        <w:t>2</w:t>
      </w:r>
      <w:r w:rsidR="007F380D" w:rsidRPr="007F380D">
        <w:rPr>
          <w:rFonts w:ascii="Arial" w:hAnsi="Arial" w:cs="Arial"/>
          <w:color w:val="000000"/>
          <w:sz w:val="20"/>
          <w:szCs w:val="20"/>
        </w:rPr>
        <w:t xml:space="preserve">O and NO and their relationships with OH. </w:t>
      </w:r>
      <w:bookmarkEnd w:id="26"/>
      <w:r w:rsidR="007F380D" w:rsidRPr="007F380D">
        <w:rPr>
          <w:rFonts w:ascii="Arial" w:hAnsi="Arial" w:cs="Arial"/>
          <w:color w:val="000000"/>
          <w:sz w:val="20"/>
          <w:szCs w:val="20"/>
        </w:rPr>
        <w:t xml:space="preserve">As a test case of the steady-state proxy’s potential to offer a new constraint on global models, we evaluate GFDL AM3 chemistry-climate model simulations sampled along the ATom flight tracks. The proxy decomposition identified a model mismatch in processes modulating OH in the upper- to mid-troposphere </w:t>
      </w:r>
      <w:r w:rsidR="00613E9B">
        <w:rPr>
          <w:rFonts w:ascii="Arial" w:hAnsi="Arial" w:cs="Arial"/>
          <w:color w:val="000000"/>
          <w:sz w:val="20"/>
          <w:szCs w:val="20"/>
        </w:rPr>
        <w:t>and points</w:t>
      </w:r>
      <w:r w:rsidR="00613E9B" w:rsidRPr="007F380D">
        <w:rPr>
          <w:rFonts w:ascii="Arial" w:hAnsi="Arial" w:cs="Arial"/>
          <w:color w:val="000000"/>
          <w:sz w:val="20"/>
          <w:szCs w:val="20"/>
        </w:rPr>
        <w:t xml:space="preserve"> </w:t>
      </w:r>
      <w:r w:rsidR="007F380D" w:rsidRPr="007F380D">
        <w:rPr>
          <w:rFonts w:ascii="Arial" w:hAnsi="Arial" w:cs="Arial"/>
          <w:color w:val="000000"/>
          <w:sz w:val="20"/>
          <w:szCs w:val="20"/>
        </w:rPr>
        <w:t>to an underestimate in H</w:t>
      </w:r>
      <w:r w:rsidR="007F380D" w:rsidRPr="007F380D">
        <w:rPr>
          <w:rFonts w:ascii="Arial" w:hAnsi="Arial" w:cs="Arial"/>
          <w:color w:val="000000"/>
          <w:sz w:val="20"/>
          <w:szCs w:val="20"/>
          <w:vertAlign w:val="subscript"/>
        </w:rPr>
        <w:t>2</w:t>
      </w:r>
      <w:r w:rsidR="007F380D" w:rsidRPr="007F380D">
        <w:rPr>
          <w:rFonts w:ascii="Arial" w:hAnsi="Arial" w:cs="Arial"/>
          <w:color w:val="000000"/>
          <w:sz w:val="20"/>
          <w:szCs w:val="20"/>
        </w:rPr>
        <w:t xml:space="preserve">O. </w:t>
      </w:r>
      <w:bookmarkStart w:id="27" w:name="_Hlk137123297"/>
      <w:r w:rsidR="00BC1E88">
        <w:rPr>
          <w:rFonts w:ascii="Arial" w:hAnsi="Arial" w:cs="Arial"/>
          <w:color w:val="000000"/>
          <w:sz w:val="20"/>
          <w:szCs w:val="20"/>
        </w:rPr>
        <w:t xml:space="preserve">Provided that diagnostics on the same </w:t>
      </w:r>
      <w:r w:rsidR="00BC1E88">
        <w:rPr>
          <w:rFonts w:ascii="Arial" w:hAnsi="Arial" w:cs="Arial"/>
          <w:color w:val="000000"/>
          <w:sz w:val="20"/>
          <w:szCs w:val="20"/>
        </w:rPr>
        <w:lastRenderedPageBreak/>
        <w:t xml:space="preserve">spatiotemporal scales are available, our AM3 evaluation </w:t>
      </w:r>
      <w:r w:rsidR="00B473E4">
        <w:rPr>
          <w:rFonts w:ascii="Arial" w:hAnsi="Arial" w:cs="Arial"/>
          <w:color w:val="000000"/>
          <w:sz w:val="20"/>
          <w:szCs w:val="20"/>
        </w:rPr>
        <w:t>could</w:t>
      </w:r>
      <w:r w:rsidR="00BC1E88">
        <w:rPr>
          <w:rFonts w:ascii="Arial" w:hAnsi="Arial" w:cs="Arial"/>
          <w:color w:val="000000"/>
          <w:sz w:val="20"/>
          <w:szCs w:val="20"/>
        </w:rPr>
        <w:t xml:space="preserve"> be extended to additional models, so that Proxy</w:t>
      </w:r>
      <w:r w:rsidR="00BC1E88" w:rsidRPr="00845793">
        <w:rPr>
          <w:rFonts w:ascii="Arial" w:hAnsi="Arial" w:cs="Arial"/>
          <w:i/>
          <w:iCs/>
          <w:color w:val="000000"/>
          <w:sz w:val="20"/>
          <w:szCs w:val="20"/>
          <w:vertAlign w:val="subscript"/>
        </w:rPr>
        <w:t>OH</w:t>
      </w:r>
      <w:r w:rsidR="00BC1E88">
        <w:rPr>
          <w:rFonts w:ascii="Arial" w:hAnsi="Arial" w:cs="Arial"/>
          <w:color w:val="000000"/>
          <w:sz w:val="20"/>
          <w:szCs w:val="20"/>
        </w:rPr>
        <w:t xml:space="preserve"> may be applied to evaluate the representation of remote marine tropospheric OH and the species controlling its production and loss. </w:t>
      </w:r>
      <w:bookmarkEnd w:id="27"/>
      <w:r w:rsidR="00613E9B">
        <w:rPr>
          <w:rFonts w:ascii="Arial" w:hAnsi="Arial" w:cs="Arial"/>
          <w:color w:val="000000"/>
          <w:sz w:val="20"/>
          <w:szCs w:val="20"/>
        </w:rPr>
        <w:t>A separate model analysis using the ATom data also concluded</w:t>
      </w:r>
      <w:r w:rsidR="00613E9B" w:rsidRPr="007F380D">
        <w:rPr>
          <w:rFonts w:ascii="Arial" w:hAnsi="Arial" w:cs="Arial"/>
          <w:color w:val="000000"/>
          <w:sz w:val="20"/>
          <w:szCs w:val="20"/>
        </w:rPr>
        <w:t xml:space="preserve"> that inter-model differences in H</w:t>
      </w:r>
      <w:r w:rsidR="00613E9B" w:rsidRPr="007F380D">
        <w:rPr>
          <w:rFonts w:ascii="Arial" w:hAnsi="Arial" w:cs="Arial"/>
          <w:color w:val="000000"/>
          <w:sz w:val="20"/>
          <w:szCs w:val="20"/>
          <w:vertAlign w:val="subscript"/>
        </w:rPr>
        <w:t>2</w:t>
      </w:r>
      <w:r w:rsidR="00613E9B" w:rsidRPr="007F380D">
        <w:rPr>
          <w:rFonts w:ascii="Arial" w:hAnsi="Arial" w:cs="Arial"/>
          <w:color w:val="000000"/>
          <w:sz w:val="20"/>
          <w:szCs w:val="20"/>
        </w:rPr>
        <w:t xml:space="preserve">O distributions lead to large differences in simulated methane loss rates along the ATom flight tracks </w:t>
      </w:r>
      <w:r w:rsidR="00613E9B"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{"citationID":"LQpppnhs","properties":{"formattedCitation":"(27)","plainCitation":"(27)","noteIndex":0},"citationItems":[{"id":441,"uris":["http://zotero.org/users/9309103/items/9Y3LJGW3"],"itemData":{"id":441,"type":"article-journal","abstract":"Abstract. We develop a new protocol for merging in situ measurements with 3-D model\nsimulations of atmospheric chemistry with the goal of integrating these\ndata to identify the most reactive air parcels in terms of tropospheric\nproduction and loss of the greenhouse gases ozone and methane. Presupposing\nthat we can accurately measure atmospheric composition, we examine whether\nmodels constrained by such measurements agree on the chemical budgets for\nozone and methane. In applying our technique to a synthetic data stream of\n14 880 parcels along 180</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 W, we are able to isolate the performance of the\nphotochemical modules operating within their global chemistry-climate and\nchemistry-transport models, removing the effects of modules controlling\ntracer transport, emissions, and scavenging. Differences in reactivity across\nmodels are driven only by the chemical mechanism and the diurnal cycle of\nphotolysis rates, which are driven in turn by temperature, water vapor, solar\nzenith angle, clouds, and possibly aerosols and overhead ozone, which are\ncalculated in each model. We evaluate six global models and identify their\ndifferences and similarities in simulating the chemistry through a range of\ninnovative diagnostics. All models agree that the more highly reactive\nparcels dominate the chemistry (e.g., the hottest 10 % of parcels control\n25–30 % of the total reactivities), but do not fully agree on which parcels\ncomprise the top 10 %. Distinct differences in specific features occur,\nincluding the spatial regions of maximum ozone production and methane loss,\nas well as in the relationship between photolysis and these reactivities.\nUnique, possibly aberrant, features are identified for each model, providing\na benchmark for photochemical module development. Among the six models tested\nhere, three are almost indistinguishable based on the inherent variability caused\nby clouds, and thus we identify four, effectively distinct, chemical models.\nBased on this work, we suggest that water vapor differences in model\nsimulations of past and future atmospheres may be a cause of the different\nevolution of tropospheric O3 and CH4, and lead to different\nchemistry-climate feedbacks across the models.","container-title":"Atmospheric Measurement Techniques","DOI":"10.5194/amt-11-2653-2018","ISSN":"1867-8548","issue":"5","journalAbbreviation":"Atmos. Meas. Tech.","language":"en","page":"2653-2668","source":"DOI.org (Crossref)","title":"How well can global chemistry models calculate the reactivity of short-lived greenhouse gases in the remote troposphere, knowing the chemical composition","volume":"11","author":[{"family":"Prather","given":"Michael J."},{"family":"Flynn","given":"Clare M."},{"family":"Zhu","given":"Xin"},{"family":"Steenrod","given":"Stephen D."},{"family":"Strode","given":"Sarah A."},{"family":"Fiore","given":"Arlene M."},{"family":"Correa","given":"Gustavo"},{"family":"Murray","given":"Lee T."},{"family":"Lamarque","given":"Jean-Francois"}],"issued":{"date-parts":[["2018",5,7]]}}}],"schema":"https://github.com/citation-style-language/schema/raw/master/csl-citation.json"} </w:instrText>
      </w:r>
      <w:r w:rsidR="00613E9B" w:rsidRPr="007F380D">
        <w:rPr>
          <w:rFonts w:ascii="Arial" w:hAnsi="Arial" w:cs="Arial"/>
          <w:color w:val="000000"/>
          <w:sz w:val="20"/>
          <w:szCs w:val="20"/>
        </w:rPr>
        <w:fldChar w:fldCharType="separate"/>
      </w:r>
      <w:r w:rsidR="00CC64F9" w:rsidRPr="00CC64F9">
        <w:rPr>
          <w:rFonts w:ascii="Arial" w:hAnsi="Arial" w:cs="Arial"/>
          <w:sz w:val="20"/>
        </w:rPr>
        <w:t>(27)</w:t>
      </w:r>
      <w:r w:rsidR="00613E9B" w:rsidRPr="007F380D">
        <w:rPr>
          <w:rFonts w:ascii="Arial" w:hAnsi="Arial" w:cs="Arial"/>
          <w:color w:val="000000"/>
          <w:sz w:val="20"/>
          <w:szCs w:val="20"/>
        </w:rPr>
        <w:fldChar w:fldCharType="end"/>
      </w:r>
      <w:r w:rsidR="00613E9B" w:rsidRPr="007F380D">
        <w:rPr>
          <w:rFonts w:ascii="Arial" w:hAnsi="Arial" w:cs="Arial"/>
          <w:color w:val="000000"/>
          <w:sz w:val="20"/>
          <w:szCs w:val="20"/>
        </w:rPr>
        <w:t xml:space="preserve">. </w:t>
      </w:r>
      <w:r w:rsidR="007F380D" w:rsidRPr="007F380D">
        <w:rPr>
          <w:rFonts w:ascii="Arial" w:hAnsi="Arial" w:cs="Arial"/>
          <w:color w:val="000000"/>
          <w:sz w:val="20"/>
          <w:szCs w:val="20"/>
        </w:rPr>
        <w:t>This shortcoming could undermine simulated relationships</w:t>
      </w:r>
      <w:r w:rsidR="000A55B5">
        <w:rPr>
          <w:rFonts w:ascii="Arial" w:hAnsi="Arial" w:cs="Arial"/>
          <w:color w:val="000000"/>
          <w:sz w:val="20"/>
          <w:szCs w:val="20"/>
        </w:rPr>
        <w:t>, for example</w:t>
      </w:r>
      <w:r w:rsidR="007F380D" w:rsidRPr="007F380D">
        <w:rPr>
          <w:rFonts w:ascii="Arial" w:hAnsi="Arial" w:cs="Arial"/>
          <w:color w:val="000000"/>
          <w:sz w:val="20"/>
          <w:szCs w:val="20"/>
        </w:rPr>
        <w:t xml:space="preserve"> between lightning and the NO</w:t>
      </w:r>
      <w:r w:rsidR="007F380D" w:rsidRPr="007F380D">
        <w:rPr>
          <w:rFonts w:ascii="Arial" w:hAnsi="Arial" w:cs="Arial"/>
          <w:color w:val="000000"/>
          <w:sz w:val="20"/>
          <w:szCs w:val="20"/>
          <w:vertAlign w:val="subscript"/>
        </w:rPr>
        <w:t>x</w:t>
      </w:r>
      <w:r w:rsidR="007F380D" w:rsidRPr="007F380D">
        <w:rPr>
          <w:rFonts w:ascii="Arial" w:hAnsi="Arial" w:cs="Arial"/>
          <w:color w:val="000000"/>
          <w:sz w:val="20"/>
          <w:szCs w:val="20"/>
        </w:rPr>
        <w:t xml:space="preserve"> lifetime, </w:t>
      </w:r>
      <w:r w:rsidR="000A55B5">
        <w:rPr>
          <w:rFonts w:ascii="Arial" w:hAnsi="Arial" w:cs="Arial"/>
          <w:color w:val="000000"/>
          <w:sz w:val="20"/>
          <w:szCs w:val="20"/>
        </w:rPr>
        <w:t>which is a</w:t>
      </w:r>
      <w:r w:rsidR="007F380D" w:rsidRPr="007F380D">
        <w:rPr>
          <w:rFonts w:ascii="Arial" w:hAnsi="Arial" w:cs="Arial"/>
          <w:color w:val="000000"/>
          <w:sz w:val="20"/>
          <w:szCs w:val="20"/>
        </w:rPr>
        <w:t xml:space="preserve"> crucial component</w:t>
      </w:r>
      <w:r w:rsidR="000A55B5">
        <w:rPr>
          <w:rFonts w:ascii="Arial" w:hAnsi="Arial" w:cs="Arial"/>
          <w:color w:val="000000"/>
          <w:sz w:val="20"/>
          <w:szCs w:val="20"/>
        </w:rPr>
        <w:t xml:space="preserve"> of</w:t>
      </w:r>
      <w:r w:rsidR="007F380D" w:rsidRPr="007F380D">
        <w:rPr>
          <w:rFonts w:ascii="Arial" w:hAnsi="Arial" w:cs="Arial"/>
          <w:color w:val="000000"/>
          <w:sz w:val="20"/>
          <w:szCs w:val="20"/>
        </w:rPr>
        <w:t xml:space="preserve"> accurate process-based representations of OH </w:t>
      </w:r>
      <w:r w:rsidR="007F380D"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{"citationID":"7TPb6VoU","properties":{"formattedCitation":"(13, 69\\uc0\\u8211{}71)","plainCitation":"(13, 69–71)","noteIndex":0},"citationItems":[{"id":771,"uris":["http://zotero.org/users/9309103/items/2ME2XYH6"],"itemData":{"id":771,"type":"article-journal","abstract":"The hydroxyl radical (OH) sets the oxidative capacity of the atmosphere and, thus, profoundly affects the removal rate of pollutants and reactive greenhouse gases. While observationally derived constraints exist for global annual mean present-day OH abundances and interannual variability, OH estimates for past and future periods rely primarily on global atmospheric chemistry models. These models disagree ± 30% in mean OH and in its changes from the preindustrial to late 21st century, even when forced with identical anthropogenic emissions. A simple steady-state relationship that accounts for ozone photolysis frequencies, water vapor, and the ratio of reactive nitrogen to carbon emissions explains temporal variability within most models, but not intermodel differences. Here, we show that departure from the expected relationship reflects the treatment of reactive oxidized nitrogen species (NOy) and the fraction of emitted carbon that reacts within each chemical mechanism, which remain poorly known due to a lack of observational data. Our findings imply a need for additional observational constraints on NOy partitioning and lifetime, especially in the remote free troposphere, as well as the fate of carbon-containing reaction intermediates to test models, thereby reducing uncertainties in projections of OH and, hence, lifetimes of pollutants and greenhouse gases.","container-title":"Proceedings of the National Academy of Sciences","DOI":"10.1073/pnas.2115204118","ISSN":"0027-8424, 1091-6490","issue":"43","journalAbbreviation":"PNAS","language":"en","license":"© 2021 . https://www.pnas.org/site/aboutpnas/licenses.xhtmlPublished under the PNAS license.","note":"publisher: National Academy of Sciences\nsection: Physical Sciences\nPMID: 34686608","source":"www.pnas.org","title":"Large uncertainties in global hydroxyl projections tied to fate of reactive nitrogen and carbon","URL":"https://www.pnas.org/content/118/43/e2115204118","volume":"118","author":[{"family":"Murray","given":"Lee T."},{"family":"Fiore","given":"Arlene M."},{"family":"Shindell","given":"Drew T."},{"family":"Naik","given":"Vaishali"},{"family":"Horowitz","given":"Larry W."}],"accessed":{"date-parts":[["2021",12,8]]},"issued":{"date-parts":[["2021",10,26]]}}},{"id":662,"uris":["http://zotero.org/users/9309103/items/I6PGJBCA"],"itemData":{"id":662,"type":"article-journal","abstract":"&lt;p&gt;&lt;strong class=\"journal-contentHeaderColor\"&gt;Abstract.&lt;/strong&gt; The hydroxyl radical (OH) is the primary atmospheric oxidant responsible for removing many important trace gases, including methane, from the atmosphere. Although robust relationships between OH drivers and modes of climate variability have been shown, the underlying mechanisms between OH and these climate modes, such as the El Niño–Southern Oscillation (ENSO), have not been thoroughly investigated. Here, we use a chemical transport model to perform a 38 year simulation of atmospheric chemistry, in conjunction with satellite observations, to understand the relationship between tropospheric OH and ENSO, Northern Hemispheric modes of variability, the Indian Ocean Dipole, and monsoons. Empirical orthogonal function (EOF) and regression analyses show that ENSO is the dominant mode of global OH variability in the tropospheric column and upper troposphere, responsible for approximately 30 % of the total variance in boreal winter. Reductions in OH due to El Niño are centered over the tropical Pacific and Australia and can be as high as 10 %–15 % in the tropospheric column. The relationship between ENSO and OH is driven by changes in nitrogen oxides in the upper troposphere and changes in water vapor and &lt;span class=\"inline-formula\"&gt;O&lt;sup&gt;1&lt;/sup&gt;D&lt;/span&gt; in the lower troposphere. While the correlations between monsoons or other modes of variability and OH span smaller spatial scales than for ENSO, regional changes in OH can be significantly larger than those caused by ENSO. Similar relationships occur in multiple models that participated in the Chemistry–Climate Model Initiative (CCMI), suggesting that the dependence of OH interannual variability on these well-known modes of climate variability is robust. Finally, the spatial pattern and &lt;span class=\"inline-formula\"&gt;&lt;i&gt;r&lt;/i&gt;&lt;sup&gt;2&lt;/sup&gt;&lt;/span&gt; values of correlation between ENSO and modeled OH drivers – such as carbon monoxide, water vapor, lightning, and, to a lesser extent, &lt;span class=\"inline-formula\"&gt;NO&lt;sub&gt;2&lt;/sub&gt;&lt;/span&gt; – closely agree with satellite observations. The ability of satellite products to capture the relationship between OH drivers and ENSO provides an avenue to an indirect OH observation strategy and new constraints on OH variability.&lt;/p&gt;","container-title":"Atmospheric Chemistry and Physics","DOI":"10.5194/acp-21-6481-2021","ISSN":"1680-7316","issue":"8","language":"English","note":"publisher: Copernicus GmbH","page":"6481-6508","source":"acp.copernicus.org","title":"Spatial and temporal variability in the hydroxyl (OH) radical: understanding the role of large-scale climate features and their influence on OH through its dynamical and photochemical drivers","title-short":"Spatial and temporal variability in the hydroxyl (OH) radical","volume":"21","author":[{"family":"Anderson","given":"Daniel C."},{"family":"Duncan","given":"Bryan N."},{"family":"Fiore","given":"Arlene M."},{"family":"Baublitz","given":"Colleen B."},{"family":"Follette-Cook","given":"Melanie B."},{"family":"Nicely","given":"Julie M."},{"family":"Wolfe","given":"Glenn M."}],"issued":{"date-parts":[["2021",4,30]]}}},{"id":669,"uris":["http://zotero.org/users/9309103/items/6ZB5RHZC"],"itemData":{"id":669,"type":"article-journal","abstract":"Lightning increases the atmosphere’s ability to cleanse itself by producing nitric oxide (NO), leading to atmospheric chemistry that forms ozone (O\n              3\n              ) and the atmosphere’s primary oxidant, the hydroxyl radical (OH). Our analysis of a 2012 airborne study of deep convection and chemistry demonstrates that lightning also directly generates the oxidants OH and the hydroperoxyl radical (HO\n              2\n              ). Extreme amounts of OH and HO\n              2\n              were discovered and linked to visible flashes occurring in front of the aircraft and to subvisible discharges in electrified anvil regions. This enhanced OH and HO\n              2\n              is orders of magnitude greater than any previous atmospheric observation. Lightning-generated OH in all storms happening at the same time globally can be responsible for a highly uncertain, but substantial, 2 to 16% of global atmospheric OH oxidation.","container-title":"Science","DOI":"10.1126/science.abg0492","ISSN":"0036-8075, 1095-9203","issue":"6543","journalAbbreviation":"Science","language":"en","page":"711-715","source":"DOI.org (Crossref)","title":"Extreme oxidant amounts produced by lightning in storm clouds","volume":"372","author":[{"family":"Brune","given":"W. H."},{"family":"McFarland","given":"P. J."},{"family":"Bruning","given":"E."},{"family":"Waugh","given":"S."},{"family":"MacGorman","given":"D."},{"family":"Miller","given":"D. O."},{"family":"Jenkins","given":"J. M."},{"family":"Ren","given":"X."},{"family":"Mao","given":"J."},{"family":"Peischl","given":"J."}],"issued":{"date-parts":[["2021",5,14]]}}},{"id":707,"uris":["http://zotero.org/users/9309103/items/ZXE8HWUN"],"itemData":{"id":707,"type":"article-journal","abstract":"Lightning plays a major role in tropospheric oxidation, and its role on modulating tropospheric chemistry was thought to be emissions of nitrogen oxides (NOx). Recent field and laboratory measurements demonstrate that lightning generates extremely large amounts of oxidants, including hydrogen oxides (HOx) and O3. Here, we implement these lightning-produced oxidants in a global chemical transport model to examine its global impact on tropospheric composition. We find that lightning-produced oxidants can increase global mass weighted OH by 0.3%–10% and affect CO, O3, and reactive nitrogen substantially, depending on the emission strength of oxidants from lightning. Our work highlights the importance and uncertainties of lightning-produced oxidants, as well as the need for rethinking the role of lightning in tropospheric oxidation chemistry.","container-title":"Geophysical Research Letters","DOI":"10.1029/2021GL095740","ISSN":"1944-8007","issue":"21","language":"en","note":"_eprint: https://onlinelibrary.wiley.com/doi/pdf/10.1029/2021GL095740","page":"e2021GL095740","source":"Wiley Online Library","title":"Global Impact of Lightning-Produced Oxidants","volume":"48","author":[{"family":"Mao","given":"Jingqiu"},{"family":"Zhao","given":"Tianlang"},{"family":"Keller","given":"Christoph A."},{"family":"Wang","given":"Xuan"},{"family":"McFarland","given":"Patrick J."},{"family":"Jenkins","given":"Jena M."},{"family":"Brune","given":"William H."}],"issued":{"date-parts":[["2021"]]}}}],"schema":"https://github.com/citation-style-language/schema/raw/master/csl-citation.json"} </w:instrText>
      </w:r>
      <w:r w:rsidR="007F380D" w:rsidRPr="007F380D">
        <w:rPr>
          <w:rFonts w:ascii="Arial" w:hAnsi="Arial" w:cs="Arial"/>
          <w:color w:val="000000"/>
          <w:sz w:val="20"/>
          <w:szCs w:val="20"/>
        </w:rPr>
        <w:fldChar w:fldCharType="separate"/>
      </w:r>
      <w:r w:rsidR="0005501B" w:rsidRPr="0005501B">
        <w:rPr>
          <w:rFonts w:ascii="Arial" w:hAnsi="Arial" w:cs="Arial"/>
          <w:sz w:val="20"/>
          <w:szCs w:val="24"/>
        </w:rPr>
        <w:t>(13, 69–71)</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Probing Proxy</w:t>
      </w:r>
      <w:r w:rsidR="007F380D" w:rsidRPr="007F380D">
        <w:rPr>
          <w:rFonts w:ascii="Arial" w:hAnsi="Arial" w:cs="Arial"/>
          <w:i/>
          <w:iCs/>
          <w:color w:val="000000"/>
          <w:sz w:val="20"/>
          <w:szCs w:val="20"/>
          <w:vertAlign w:val="subscript"/>
        </w:rPr>
        <w:t>OH</w:t>
      </w:r>
      <w:r w:rsidR="007F380D" w:rsidRPr="007F380D">
        <w:rPr>
          <w:rFonts w:ascii="Arial" w:hAnsi="Arial" w:cs="Arial"/>
          <w:color w:val="000000"/>
          <w:sz w:val="20"/>
          <w:szCs w:val="20"/>
        </w:rPr>
        <w:t xml:space="preserve"> thus provides insight into the </w:t>
      </w:r>
      <w:r w:rsidR="00B356D1">
        <w:rPr>
          <w:rFonts w:ascii="Arial" w:hAnsi="Arial" w:cs="Arial"/>
          <w:color w:val="000000"/>
          <w:sz w:val="20"/>
          <w:szCs w:val="20"/>
        </w:rPr>
        <w:t xml:space="preserve">sensitivity of OH variations to </w:t>
      </w:r>
      <w:r w:rsidR="007F380D" w:rsidRPr="007F380D">
        <w:rPr>
          <w:rFonts w:ascii="Arial" w:hAnsi="Arial" w:cs="Arial"/>
          <w:color w:val="000000"/>
          <w:sz w:val="20"/>
          <w:szCs w:val="20"/>
        </w:rPr>
        <w:t>H</w:t>
      </w:r>
      <w:r w:rsidR="007F380D" w:rsidRPr="007F380D">
        <w:rPr>
          <w:rFonts w:ascii="Arial" w:hAnsi="Arial" w:cs="Arial"/>
          <w:color w:val="000000"/>
          <w:sz w:val="20"/>
          <w:szCs w:val="20"/>
          <w:vertAlign w:val="subscript"/>
        </w:rPr>
        <w:t>2</w:t>
      </w:r>
      <w:r w:rsidR="007F380D" w:rsidRPr="007F380D">
        <w:rPr>
          <w:rFonts w:ascii="Arial" w:hAnsi="Arial" w:cs="Arial"/>
          <w:color w:val="000000"/>
          <w:sz w:val="20"/>
          <w:szCs w:val="20"/>
        </w:rPr>
        <w:t xml:space="preserve">O </w:t>
      </w:r>
      <w:r w:rsidR="00B356D1">
        <w:rPr>
          <w:rFonts w:ascii="Arial" w:hAnsi="Arial" w:cs="Arial"/>
          <w:color w:val="000000"/>
          <w:sz w:val="20"/>
          <w:szCs w:val="20"/>
        </w:rPr>
        <w:t>and NO</w:t>
      </w:r>
      <w:r w:rsidR="007F380D" w:rsidRPr="007F380D">
        <w:rPr>
          <w:rFonts w:ascii="Arial" w:hAnsi="Arial" w:cs="Arial"/>
          <w:color w:val="000000"/>
          <w:sz w:val="20"/>
          <w:szCs w:val="20"/>
        </w:rPr>
        <w:t>, which would not have been apparent from conventional comparison</w:t>
      </w:r>
      <w:r w:rsidR="00613E9B">
        <w:rPr>
          <w:rFonts w:ascii="Arial" w:hAnsi="Arial" w:cs="Arial"/>
          <w:color w:val="000000"/>
          <w:sz w:val="20"/>
          <w:szCs w:val="20"/>
        </w:rPr>
        <w:t>s</w:t>
      </w:r>
      <w:r w:rsidR="007F380D" w:rsidRPr="007F380D">
        <w:rPr>
          <w:rFonts w:ascii="Arial" w:hAnsi="Arial" w:cs="Arial"/>
          <w:color w:val="000000"/>
          <w:sz w:val="20"/>
          <w:szCs w:val="20"/>
        </w:rPr>
        <w:t xml:space="preserve"> of measured and modeled H</w:t>
      </w:r>
      <w:r w:rsidR="007F380D" w:rsidRPr="007F380D">
        <w:rPr>
          <w:rFonts w:ascii="Arial" w:hAnsi="Arial" w:cs="Arial"/>
          <w:color w:val="000000"/>
          <w:sz w:val="20"/>
          <w:szCs w:val="20"/>
          <w:vertAlign w:val="subscript"/>
        </w:rPr>
        <w:t>2</w:t>
      </w:r>
      <w:r w:rsidR="007F380D" w:rsidRPr="007F380D">
        <w:rPr>
          <w:rFonts w:ascii="Arial" w:hAnsi="Arial" w:cs="Arial"/>
          <w:color w:val="000000"/>
          <w:sz w:val="20"/>
          <w:szCs w:val="20"/>
        </w:rPr>
        <w:t xml:space="preserve">O or NO distributions. </w:t>
      </w:r>
    </w:p>
    <w:p w14:paraId="47DC7774" w14:textId="77777777" w:rsidR="007F380D" w:rsidRDefault="007F380D" w:rsidP="007F380D">
      <w:pPr>
        <w:pBdr>
          <w:top w:val="nil"/>
          <w:left w:val="nil"/>
          <w:bottom w:val="nil"/>
          <w:right w:val="nil"/>
          <w:between w:val="nil"/>
        </w:pBdr>
        <w:spacing w:after="0"/>
        <w:contextualSpacing/>
        <w:rPr>
          <w:rFonts w:ascii="Arial" w:hAnsi="Arial" w:cs="Arial"/>
          <w:color w:val="000000"/>
          <w:sz w:val="20"/>
          <w:szCs w:val="20"/>
        </w:rPr>
      </w:pPr>
    </w:p>
    <w:p w14:paraId="7550C69C" w14:textId="1DFBEA9C" w:rsidR="00E6133D" w:rsidRDefault="007F380D" w:rsidP="007F380D">
      <w:pPr>
        <w:pBdr>
          <w:top w:val="nil"/>
          <w:left w:val="nil"/>
          <w:bottom w:val="nil"/>
          <w:right w:val="nil"/>
          <w:between w:val="nil"/>
        </w:pBdr>
        <w:spacing w:after="0"/>
        <w:contextualSpacing/>
        <w:rPr>
          <w:rFonts w:ascii="Arial" w:hAnsi="Arial" w:cs="Arial"/>
          <w:b/>
          <w:color w:val="000000"/>
          <w:sz w:val="20"/>
          <w:szCs w:val="20"/>
        </w:rPr>
      </w:pPr>
      <w:r w:rsidRPr="007F380D">
        <w:rPr>
          <w:rFonts w:ascii="Arial" w:hAnsi="Arial" w:cs="Arial"/>
          <w:color w:val="000000"/>
          <w:sz w:val="20"/>
          <w:szCs w:val="20"/>
        </w:rPr>
        <w:t>We identify both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and NO as key drivers of [OH] </w:t>
      </w:r>
      <w:r w:rsidR="00B6006C">
        <w:rPr>
          <w:rFonts w:ascii="Arial" w:hAnsi="Arial" w:cs="Arial"/>
          <w:color w:val="000000"/>
          <w:sz w:val="20"/>
          <w:szCs w:val="20"/>
        </w:rPr>
        <w:t>variations</w:t>
      </w:r>
      <w:r w:rsidRPr="007F380D">
        <w:rPr>
          <w:rFonts w:ascii="Arial" w:hAnsi="Arial" w:cs="Arial"/>
          <w:color w:val="000000"/>
          <w:sz w:val="20"/>
          <w:szCs w:val="20"/>
        </w:rPr>
        <w:t xml:space="preserve"> in the remote troposphere. </w:t>
      </w:r>
      <w:bookmarkStart w:id="28" w:name="_Hlk135666247"/>
      <w:r w:rsidR="00BA5676">
        <w:rPr>
          <w:rFonts w:ascii="Arial" w:hAnsi="Arial" w:cs="Arial"/>
          <w:color w:val="000000"/>
          <w:sz w:val="20"/>
          <w:szCs w:val="20"/>
        </w:rPr>
        <w:t xml:space="preserve">Nevertheless, these two parameters do not fully explain the OH variability, and further investigation is recommended over </w:t>
      </w:r>
      <w:r w:rsidR="007613D9">
        <w:rPr>
          <w:rFonts w:ascii="Arial" w:hAnsi="Arial" w:cs="Arial"/>
          <w:color w:val="000000"/>
          <w:sz w:val="20"/>
          <w:szCs w:val="20"/>
        </w:rPr>
        <w:t>a range of</w:t>
      </w:r>
      <w:r w:rsidR="00BA5676">
        <w:rPr>
          <w:rFonts w:ascii="Arial" w:hAnsi="Arial" w:cs="Arial"/>
          <w:color w:val="000000"/>
          <w:sz w:val="20"/>
          <w:szCs w:val="20"/>
        </w:rPr>
        <w:t xml:space="preserve"> pollution regimes and environmental conditions. </w:t>
      </w:r>
      <w:bookmarkEnd w:id="28"/>
      <w:r w:rsidRPr="007F380D">
        <w:rPr>
          <w:rFonts w:ascii="Arial" w:hAnsi="Arial" w:cs="Arial"/>
          <w:color w:val="000000"/>
          <w:sz w:val="20"/>
          <w:szCs w:val="20"/>
        </w:rPr>
        <w:t xml:space="preserve">Both </w:t>
      </w:r>
      <w:r w:rsidR="00BA5676">
        <w:rPr>
          <w:rFonts w:ascii="Arial" w:hAnsi="Arial" w:cs="Arial"/>
          <w:color w:val="000000"/>
          <w:sz w:val="20"/>
          <w:szCs w:val="20"/>
        </w:rPr>
        <w:t>H</w:t>
      </w:r>
      <w:r w:rsidR="00BA5676" w:rsidRPr="00391EE5">
        <w:rPr>
          <w:rFonts w:ascii="Arial" w:hAnsi="Arial" w:cs="Arial"/>
          <w:color w:val="000000"/>
          <w:sz w:val="20"/>
          <w:szCs w:val="20"/>
          <w:vertAlign w:val="subscript"/>
        </w:rPr>
        <w:t>2</w:t>
      </w:r>
      <w:r w:rsidR="00BA5676">
        <w:rPr>
          <w:rFonts w:ascii="Arial" w:hAnsi="Arial" w:cs="Arial"/>
          <w:color w:val="000000"/>
          <w:sz w:val="20"/>
          <w:szCs w:val="20"/>
        </w:rPr>
        <w:t xml:space="preserve">O and NO </w:t>
      </w:r>
      <w:r w:rsidRPr="007F380D">
        <w:rPr>
          <w:rFonts w:ascii="Arial" w:hAnsi="Arial" w:cs="Arial"/>
          <w:color w:val="000000"/>
          <w:sz w:val="20"/>
          <w:szCs w:val="20"/>
        </w:rPr>
        <w:t>are expected to respond to climate change and variability, while human activities like fossil fuel combustion also affect NO distributions. Climate studies have emphasized the need for additional constraints on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vertical profiles because it is a critical feedback on the global energy budget in response to anthropogenic climate change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{"citationID":"1VlFK0ee","properties":{"formattedCitation":"(52\\uc0\\u8211{}55)","plainCitation":"(52–55)","noteIndex":0},"citationItems":[{"id":714,"uris":["http://zotero.org/users/9309103/items/LZCVG9K2"],"itemData":{"id":714,"type":"article-journal","abstract":"A comparison of AIRS and reanalysis temperature and humidity profiles to those simulated from climate models reveals large biases. The model simulated temperatures are systematically colder by 1–4 K throughout the troposphere. On average, current models also simulate a large moist bias in the free troposphere (more than 100%) but a dry bias in the boundary layer (up to 25%). While the overall pattern of biases is fairly common from model to model, the magnitude of these biases is not. In particular, the free tropospheric cold and moist bias varies significantly from one model to the next. In contrast, the response of water vapor and tropospheric temperature to a surface warming is shown to be remarkably consistent across models and uncorrelated to the bias in the mean state. We further show that these biases, while significant, have little direct impact on the models' simulation of water vapor and lapse-rate feedbacks.","container-title":"Geophysical Research Letters","DOI":"10.1029/2007GL030429","ISSN":"1944-8007","issue":"18","language":"en","note":"_eprint: https://onlinelibrary.wiley.com/doi/pdf/10.1029/2007GL030429","source":"Wiley Online Library","title":"Temperature and humidity biases in global climate models and their impact on climate feedbacks","URL":"https://onlinelibrary.wiley.com/doi/abs/10.1029/2007GL030429","volume":"34","author":[{"family":"John","given":"V. O."},{"family":"Soden","given":"B. J."}],"accessed":{"date-parts":[["2022",6,3]]},"issued":{"date-parts":[["2007"]]}}},{"id":715,"uris":["http://zotero.org/users/9309103/items/S989T8DK"],"itemData":{"id":715,"type":"article-journal","abstract":"The relationships of upper tropospheric water vapor (UTWV), cloud ice and sea surface temperature (SST) are examined in the annual cycles of ECMWF analyses and simulations from 15 atmosphere-ocean coupled models which were contributed to the IPCC AR4. The results are compared with the observed relationships based on UTWV and cloud ice measurements from MLS on Aura. It is shown that the ECMWF analyses produce positive correlations between UTWV, cloud ice and SST, similar to the MLS data. The rate of the increase of cloud ice and UTWV with SST is about 30% larger than that for MLS. For the IPCC simulations, the relationships between UTWV, cloud ice and SST are qualitatively captured. However, the magnitudes of the simulated cloud ice show a considerable disagreement between models, by nearly a factor of 10. The amplitudes of the approximate linear relations between UTWV, cloud ice and SST vary by a factor up to 4.","container-title":"Geophysical Research Letters","DOI":"10.1029/2006GL027582","ISSN":"1944-8007","issue":"22","language":"en","note":"_eprint: https://onlinelibrary.wiley.com/doi/pdf/10.1029/2006GL027582","source":"Wiley Online Library","title":"Relationships of upper tropospheric water vapor, clouds and SST: MLS observations, ECMWF analyses and GCM simulations","title-short":"Relationships of upper tropospheric water vapor, clouds and SST","URL":"https://onlinelibrary.wiley.com/doi/abs/10.1029/2006GL027582","volume":"33","author":[{"family":"Su","given":"Hui"},{"family":"Waliser","given":"Duane E."},{"family":"Jiang","given":"Jonathan H."},{"family":"Li","given":"Jui-lin"},{"family":"Read","given":"William G."},{"family":"Waters","given":"Joe W."},{"family":"Tompkins","given":"Adrian M."}],"accessed":{"date-parts":[["2022",6,3]]},"issued":{"date-parts":[["2006"]]}}},{"id":712,"uris":["http://zotero.org/users/9309103/items/CS4IV3CY"],"itemData":{"id":712,"type":"article-journal","abstract":"Six years ago, we compared the climate sensitivity of 19 atmospheric general circulation models and found a roughly threefold variation among the models; most of this variation was attributed to differences in the models' depictions of cloud feedback. In an update of this comparison, current models showed considerably smaller differences in net cloud feedback, with most producing modest values. There are, however, substantial differences in the feedback components, indicating that the models still have physical disagreements.","container-title":"Journal of Geophysical Research: Atmospheres","DOI":"10.1029/96JD00822","ISSN":"2156-2202","issue":"D8","language":"en","note":"_eprint: https://onlinelibrary.wiley.com/doi/pdf/10.1029/96JD00822","page":"12791-12794","source":"Wiley Online Library","title":"Cloud feedback in atmospheric general circulation models: An update","title-short":"Cloud feedback in atmospheric general circulation models","volume":"101","author":[{"family":"Cess","given":"R. D."},{"family":"Zhang","given":"M. H."},{"family":"Ingram","given":"W. J."},{"family":"Potter","given":"G. L."},{"family":"Alekseev","given":"V."},{"family":"Barker","given":"H. W."},{"family":"Cohen-Solal","given":"E."},{"family":"Colman","given":"R. A."},{"family":"Dazlich","given":"D. A."},{"family":"Del Genio","given":"A. D."},{"family":"Dix","given":"M. R."},{"family":"Dymnikov","given":"V."},{"family":"Esch","given":"M."},{"family":"Fowler","given":"L. D."},{"family":"Fraser","given":"J. R."},{"family":"Galin","given":"V."},{"family":"Gates","given":"W. L."},{"family":"Hack","given":"J. J."},{"family":"Kiehl","given":"J. T."},{"family":"Le Treut","given":"H."},{"family":"Lo","given":"K. K.-W."},{"family":"McAvaney","given":"B. J."},{"family":"Meleshko","given":"V. P."},{"family":"Morcrette","given":"J.-J."},{"family":"Randall","given":"D. A."},{"family":"Roeckner","given":"E."},{"family":"Royer","given":"J.-F."},{"family":"Schlesinger","given":"M. E."},{"family":"Sporyshev","given":"P. V."},{"family":"Timbal","given":"B."},{"family":"Volodin","given":"E. M."},{"family":"Taylor","given":"K. E."},{"family":"Wang","given":"W."},{"family":"Wetherald","given":"R. T."}],"issued":{"date-parts":[["1996"]]}}},{"id":713,"uris":["http://zotero.org/users/9309103/items/ZPAZXL8J"],"itemData":{"id":713,"type":"article-journal","abstract":"Abstract The climate feedbacks in coupled ocean–atmosphere models are compared using a coordinated set of twenty-first-century climate change experiments. Water vapor is found to provide the largest positive feedback in all models and its strength is consistent with that expected from constant relative humidity changes in the water vapor mixing ratio. The feedbacks from clouds and surface albedo are also found to be positive in all models, while the only stabilizing (negative) feedback comes from the temperature response. Large intermodel differences in the lapse rate feedback are observed and shown to be associated with differing regional patterns of surface warming. Consistent with previous studies, it is found that the vertical changes in temperature and water vapor are tightly coupled in all models and, importantly, demonstrate that intermodel differences in the sum of lapse rate and water vapor feedbacks are small. In contrast, intermodel differences in cloud feedback are found to provide the largest source of uncertainty in current predictions of climate sensitivity.","container-title":"Journal of Climate","DOI":"10.1175/JCLI3799.1","ISSN":"0894-8755, 1520-0442","issue":"14","language":"EN","note":"publisher: American Meteorological Society\nsection: Journal of Climate","page":"3354-3360","source":"journals.ametsoc.org","title":"An Assessment of Climate Feedbacks in Coupled Ocean–Atmosphere Models","volume":"19","author":[{"family":"Soden","given":"Brian J."},{"family":"Held","given":"Isaac M."}],"issued":{"date-parts":[["2006",7,15]]}}}],"schema":"https://github.com/citation-style-language/schema/raw/master/csl-citation.json"} </w:instrText>
      </w:r>
      <w:r w:rsidRPr="007F380D">
        <w:rPr>
          <w:rFonts w:ascii="Arial" w:hAnsi="Arial" w:cs="Arial"/>
          <w:color w:val="000000"/>
          <w:sz w:val="20"/>
          <w:szCs w:val="20"/>
        </w:rPr>
        <w:fldChar w:fldCharType="separate"/>
      </w:r>
      <w:r w:rsidR="0005501B" w:rsidRPr="0005501B">
        <w:rPr>
          <w:rFonts w:ascii="Arial" w:hAnsi="Arial" w:cs="Arial"/>
          <w:sz w:val="20"/>
          <w:szCs w:val="24"/>
        </w:rPr>
        <w:t>(52–55)</w:t>
      </w:r>
      <w:r w:rsidRPr="007F380D">
        <w:rPr>
          <w:rFonts w:ascii="Arial" w:hAnsi="Arial" w:cs="Arial"/>
          <w:color w:val="000000"/>
          <w:sz w:val="20"/>
          <w:szCs w:val="20"/>
        </w:rPr>
        <w:fldChar w:fldCharType="end"/>
      </w:r>
      <w:r w:rsidRPr="007F380D">
        <w:rPr>
          <w:rFonts w:ascii="Arial" w:hAnsi="Arial" w:cs="Arial"/>
          <w:color w:val="000000"/>
          <w:sz w:val="20"/>
          <w:szCs w:val="20"/>
        </w:rPr>
        <w:t>. Here, we identify another rationale relevant for both climate and air quality: improved representation of the H</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 spatial distribution would facilitate a better understanding of the OH influence on the methane lifetime. Therefore, </w:t>
      </w:r>
      <w:r w:rsidR="00B356D1">
        <w:rPr>
          <w:rFonts w:ascii="Arial" w:hAnsi="Arial" w:cs="Arial"/>
          <w:color w:val="000000"/>
          <w:sz w:val="20"/>
          <w:szCs w:val="20"/>
        </w:rPr>
        <w:t>accurate characterization of</w:t>
      </w:r>
      <w:r w:rsidR="00B356D1" w:rsidRPr="007F380D">
        <w:rPr>
          <w:rFonts w:ascii="Arial" w:hAnsi="Arial" w:cs="Arial"/>
          <w:color w:val="000000"/>
          <w:sz w:val="20"/>
          <w:szCs w:val="20"/>
        </w:rPr>
        <w:t xml:space="preserve"> </w:t>
      </w:r>
      <w:r w:rsidRPr="007F380D">
        <w:rPr>
          <w:rFonts w:ascii="Arial" w:hAnsi="Arial" w:cs="Arial"/>
          <w:color w:val="000000"/>
          <w:sz w:val="20"/>
          <w:szCs w:val="20"/>
        </w:rPr>
        <w:t>regional H</w:t>
      </w:r>
      <w:r w:rsidRPr="007F380D">
        <w:rPr>
          <w:rFonts w:ascii="Arial" w:hAnsi="Arial" w:cs="Arial"/>
          <w:color w:val="000000"/>
          <w:sz w:val="20"/>
          <w:szCs w:val="20"/>
          <w:vertAlign w:val="subscript"/>
        </w:rPr>
        <w:t>2</w:t>
      </w:r>
      <w:r w:rsidRPr="007F380D">
        <w:rPr>
          <w:rFonts w:ascii="Arial" w:hAnsi="Arial" w:cs="Arial"/>
          <w:color w:val="000000"/>
          <w:sz w:val="20"/>
          <w:szCs w:val="20"/>
        </w:rPr>
        <w:t>O and NO spatiotemporal distributions could advance our understanding of the effect of global change on atmospheric oxidation.</w:t>
      </w:r>
    </w:p>
    <w:p w14:paraId="6A09D6AF" w14:textId="77777777" w:rsidR="007F380D" w:rsidRPr="00980C22" w:rsidRDefault="007F380D" w:rsidP="00F649EE">
      <w:pPr>
        <w:pBdr>
          <w:top w:val="nil"/>
          <w:left w:val="nil"/>
          <w:bottom w:val="nil"/>
          <w:right w:val="nil"/>
          <w:between w:val="nil"/>
        </w:pBdr>
        <w:spacing w:after="0"/>
        <w:contextualSpacing/>
        <w:rPr>
          <w:rFonts w:ascii="Arial" w:hAnsi="Arial" w:cs="Arial"/>
          <w:b/>
          <w:color w:val="000000"/>
          <w:sz w:val="20"/>
          <w:szCs w:val="20"/>
        </w:rPr>
      </w:pPr>
    </w:p>
    <w:p w14:paraId="37B52A5D" w14:textId="2C6EFB6D" w:rsidR="00E6133D" w:rsidRPr="00980C22" w:rsidRDefault="00A42EF2" w:rsidP="00F649EE">
      <w:pPr>
        <w:pBdr>
          <w:top w:val="nil"/>
          <w:left w:val="nil"/>
          <w:bottom w:val="nil"/>
          <w:right w:val="nil"/>
          <w:between w:val="nil"/>
        </w:pBdr>
        <w:spacing w:after="0"/>
        <w:contextualSpacing/>
        <w:rPr>
          <w:rFonts w:ascii="Arial" w:hAnsi="Arial" w:cs="Arial"/>
          <w:color w:val="000000"/>
          <w:sz w:val="20"/>
          <w:szCs w:val="20"/>
        </w:rPr>
      </w:pPr>
      <w:r>
        <w:rPr>
          <w:rFonts w:ascii="Arial" w:hAnsi="Arial" w:cs="Arial"/>
          <w:b/>
          <w:color w:val="000000"/>
          <w:sz w:val="20"/>
          <w:szCs w:val="20"/>
        </w:rPr>
        <w:t>8</w:t>
      </w:r>
      <w:r w:rsidR="007F380D">
        <w:rPr>
          <w:rFonts w:ascii="Arial" w:hAnsi="Arial" w:cs="Arial"/>
          <w:b/>
          <w:color w:val="000000"/>
          <w:sz w:val="20"/>
          <w:szCs w:val="20"/>
        </w:rPr>
        <w:t xml:space="preserve">. </w:t>
      </w:r>
      <w:r w:rsidR="00E6133D" w:rsidRPr="00F649EE">
        <w:rPr>
          <w:rFonts w:ascii="Arial" w:hAnsi="Arial" w:cs="Arial"/>
          <w:b/>
          <w:color w:val="000000"/>
          <w:sz w:val="20"/>
          <w:szCs w:val="20"/>
        </w:rPr>
        <w:t>Materials and Methods</w:t>
      </w:r>
    </w:p>
    <w:p w14:paraId="3C2712AB" w14:textId="77777777" w:rsidR="00E6133D" w:rsidRPr="00F649EE" w:rsidRDefault="00E6133D" w:rsidP="00F649EE">
      <w:pPr>
        <w:pBdr>
          <w:top w:val="nil"/>
          <w:left w:val="nil"/>
          <w:bottom w:val="nil"/>
          <w:right w:val="nil"/>
          <w:between w:val="nil"/>
        </w:pBdr>
        <w:spacing w:after="0"/>
        <w:contextualSpacing/>
        <w:rPr>
          <w:rFonts w:ascii="Arial" w:hAnsi="Arial" w:cs="Arial"/>
          <w:b/>
          <w:color w:val="000000"/>
          <w:sz w:val="20"/>
          <w:szCs w:val="20"/>
        </w:rPr>
      </w:pPr>
    </w:p>
    <w:p w14:paraId="2E4CAF39" w14:textId="38B05BF7" w:rsidR="00E6133D" w:rsidRDefault="00A42EF2" w:rsidP="00E6133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Pr>
          <w:rFonts w:ascii="Arial" w:hAnsi="Arial" w:cs="Arial"/>
          <w:color w:val="000000"/>
          <w:sz w:val="20"/>
          <w:szCs w:val="20"/>
        </w:rPr>
        <w:t>.1 Observations and model simulations</w:t>
      </w:r>
    </w:p>
    <w:p w14:paraId="256768A8" w14:textId="77777777" w:rsidR="007F380D" w:rsidRDefault="007F380D" w:rsidP="00E6133D">
      <w:pPr>
        <w:pBdr>
          <w:top w:val="nil"/>
          <w:left w:val="nil"/>
          <w:bottom w:val="nil"/>
          <w:right w:val="nil"/>
          <w:between w:val="nil"/>
        </w:pBdr>
        <w:contextualSpacing/>
        <w:rPr>
          <w:rFonts w:ascii="Arial" w:hAnsi="Arial" w:cs="Arial"/>
          <w:color w:val="000000"/>
          <w:sz w:val="20"/>
          <w:szCs w:val="20"/>
        </w:rPr>
      </w:pPr>
    </w:p>
    <w:p w14:paraId="4197A9FF" w14:textId="60C4E4A0" w:rsidR="007F380D" w:rsidRDefault="00A42EF2" w:rsidP="00E6133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Pr>
          <w:rFonts w:ascii="Arial" w:hAnsi="Arial" w:cs="Arial"/>
          <w:color w:val="000000"/>
          <w:sz w:val="20"/>
          <w:szCs w:val="20"/>
        </w:rPr>
        <w:t>.1.1 Aircraft measurements</w:t>
      </w:r>
    </w:p>
    <w:p w14:paraId="657D1080" w14:textId="77777777" w:rsidR="007F380D" w:rsidRDefault="007F380D" w:rsidP="007F380D">
      <w:pPr>
        <w:pBdr>
          <w:top w:val="nil"/>
          <w:left w:val="nil"/>
          <w:bottom w:val="nil"/>
          <w:right w:val="nil"/>
          <w:between w:val="nil"/>
        </w:pBdr>
        <w:contextualSpacing/>
        <w:rPr>
          <w:rFonts w:ascii="Arial" w:hAnsi="Arial" w:cs="Arial"/>
          <w:color w:val="000000"/>
          <w:sz w:val="20"/>
          <w:szCs w:val="20"/>
        </w:rPr>
      </w:pPr>
    </w:p>
    <w:p w14:paraId="6CD08C73" w14:textId="7C83BC6B"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ATom deployed the NASA DC-8 aircraft to measure OH concentrations as well as several key drivers of OH production and loss rates: water vapor, actinic fluxes and reactive carbon and nitrogen. ATom flew south along the center of the Pacific basin, following 180°W within ~15° longitude, and north along the center of the Atlantic basin, generally between 15° and 30°W (Figure S</w:t>
      </w:r>
      <w:r w:rsidR="0055402E">
        <w:rPr>
          <w:rFonts w:ascii="Arial" w:hAnsi="Arial" w:cs="Arial"/>
          <w:color w:val="000000"/>
          <w:sz w:val="20"/>
          <w:szCs w:val="20"/>
        </w:rPr>
        <w:t>1</w:t>
      </w:r>
      <w:r w:rsidR="007F5909">
        <w:rPr>
          <w:rFonts w:ascii="Arial" w:hAnsi="Arial" w:cs="Arial"/>
          <w:color w:val="000000"/>
          <w:sz w:val="20"/>
          <w:szCs w:val="20"/>
        </w:rPr>
        <w:t>6</w:t>
      </w:r>
      <w:r w:rsidRPr="007F380D">
        <w:rPr>
          <w:rFonts w:ascii="Arial" w:hAnsi="Arial" w:cs="Arial"/>
          <w:color w:val="000000"/>
          <w:sz w:val="20"/>
          <w:szCs w:val="20"/>
        </w:rPr>
        <w:t>). Table S</w:t>
      </w:r>
      <w:r w:rsidR="00B201B5">
        <w:rPr>
          <w:rFonts w:ascii="Arial" w:hAnsi="Arial" w:cs="Arial"/>
          <w:color w:val="000000"/>
          <w:sz w:val="20"/>
          <w:szCs w:val="20"/>
        </w:rPr>
        <w:t>5</w:t>
      </w:r>
      <w:r w:rsidRPr="007F380D">
        <w:rPr>
          <w:rFonts w:ascii="Arial" w:hAnsi="Arial" w:cs="Arial"/>
          <w:color w:val="000000"/>
          <w:sz w:val="20"/>
          <w:szCs w:val="20"/>
        </w:rPr>
        <w:t xml:space="preserve"> describes the measurements used in our analysis </w:t>
      </w:r>
      <w:r w:rsidRPr="007F380D">
        <w:rPr>
          <w:rFonts w:ascii="Arial" w:hAnsi="Arial" w:cs="Arial"/>
          <w:color w:val="000000"/>
          <w:sz w:val="20"/>
          <w:szCs w:val="20"/>
        </w:rPr>
        <w:fldChar w:fldCharType="begin"/>
      </w:r>
      <w:r w:rsidR="0005501B">
        <w:rPr>
          <w:rFonts w:ascii="Arial" w:hAnsi="Arial" w:cs="Arial"/>
          <w:color w:val="000000"/>
          <w:sz w:val="20"/>
          <w:szCs w:val="20"/>
        </w:rPr>
        <w:instrText xml:space="preserve"> ADDIN ZOTERO_ITEM CSL_CITATION {"citationID":"3CYRrHud","properties":{"formattedCitation":"(72\\uc0\\u8211{}88)","plainCitation":"(72–88)","noteIndex":0},"citationItems":[{"id":684,"uris":["http://zotero.org/users/9309103/items/UYUJHPXL"],"itemData":{"id":684,"type":"article-journal","abstract":"This dataset provides the concentrations of hydrogen oxides measured by the Airborne Tropospheric Hydrogen Oxides Sensor (ATHOS) during airborne campaigns conducted by NASA's Atmospheric Tomography (ATom) mission from 2016 - 2018. ATHOS uses laser-induced fluorescence (LIF) to measure hydroxide (OH) and hydroperoxyl (HO2) simultaneously. The measurements include OH and HO2 mixing ratio in parts-per-trillion-by-volume (pptv), OH interference from chemical removal in pptv, and OH reactivity from discharge flow in hertz.","DOI":"10.3334/ORNLDAAC/1709","language":"en","note":"dimensions: 3.347654000000002 MB\npublisher: ORNL Distributed Active Archive Center","page":"3.347654000000002 MB","source":"DOI.org (Datacite)","title":"ATom: L2 Measurements from Airborne Tropospheric Hydrogen Oxides Sensor (ATHOS)","title-short":"ATom","author":[{"family":"Brune","given":"W.H."},{"family":"MILLER","given":"D.O."},{"family":"THAMES","given":"A.B."}],"issued":{"date-parts":[["2019"]]}}},{"id":778,"uris":["http://zotero.org/users/9309103/items/H8JXNU4I"],"itemData":{"id":778,"type":"article-journal","abstract":"Measurement capability for the detection of atmospheric OH and HO2 has been developed at the Pennsylvania State University over the last decade. The instrument is used in two forms: an aircraft conﬁguration, Airborne Tropospheric Hydrogen Oxides Sensor (ATHOS), and the conﬁguration used on towers, Ground-based Tropospheric Hydrogen Oxides Sensor (GTHOS). The instrument uses ultraviolet laser induced ﬂuorescence (LIF) to detect OH in air that is pulled by a vacuum pump through a small inlet into a low-pressure detection chamber; HO2 is detected by reacting it with NO to form OH, which is detected by LIF in a second detection chamber. In the calibration, equal amounts of OH and HO2 ranging from 0.15 pptv to 100 pptv are produced via photolysis of water vapor by the 185 nm emission from a low-pressure Hg lamp. Estimated absolute uncertainty at the 2σ conﬁdence level is ±32% for both OH and HO2. The dependence of the instrument detection sensitivity has been quantiﬁed for changes in ambient water vapor, pressure, laser power, and the ﬂow velocity of ambient air past the inlet. During the last 7 years, the instrument has been deployed in multi-investigator intensive ﬁeld studies 5 times on the NASA DC-8 aircraft and 8 times on groundbased towers. The descriptions in this manuscript detail our cumulative wisdom of the instrumental response and calibration techniques developed over this time.","container-title":"Journal of Atmospheric Chemistry","DOI":"10.1023/B:JOCH.0000021036.53185.0e","ISSN":"0167-7764","issue":"2","journalAbbreviation":"Journal of Atmospheric Chemistry","language":"en","page":"139-167","source":"DOI.org (Crossref)","title":"A Laser-induced Fluorescence Instrument for Detecting Tropospheric OH and HO&lt;sub&gt;2&lt;/sub&gt;: Characteristics and Calibration","title-short":"A Laser-induced Fluorescence Instrument for Detecting Tropospheric OH and HO &lt;sub&gt;2&lt;/sub&gt;","volume":"47","author":[{"family":"Faloona","given":"Ian C."},{"family":"Tan","given":"David"},{"family":"Lesher","given":"Robert L."},{"family":"Hazen","given":"Nathan L."},{"family":"Frame","given":"Christopher L."},{"family":"Simpas","given":"James B."},{"family":"Harder","given":"Hartwig"},{"family":"Martinez","given":"Monica"},{"family":"Di Carlo","given":"Piero"},{"family":"Ren","given":"Xinrong"},{"family":"Brune","given":"William H."}],"issued":{"date-parts":[["2004",2]]}}},{"id":682,"uris":["http://zotero.org/users/9309103/items/IIN28EI2"],"itemData":{"id":682,"type":"article-journal","abstract":"This dataset provides the photolysis frequencies for photodissociation reactions for a variety of species. Frequencies were calculated based on spectrally resolved down- and up-welling in situ ultraviolet and visible actinic flux from approximately 280-650 nm as measured by the CCD Actinic Flux Spectroradiometers (CAFS) during airborne campaigns conducted by NASA's Atmospheric Tomography (ATom) mission. ATom deploys an extensive gas and aerosol payload on the NASA DC-8 aircraft for systematic, global-scale sampling of the atmosphere, profiling continuously from 0.2 to 12 km altitude. Flights occurred in each of 4 seasons from 2016 to 2018. Flights originate from the Armstrong Flight Research Center in Palmdale, California, fly north to the western Arctic, south to the South Pacific, east to the Atlantic, north to Greenland, and return to California across central North America. ATom establishes a single, contiguous, global-scale dataset. This comprehensive dataset will be used to improve the representation of chemically reactive gases and short-lived climate forcers in global models of atmospheric chemistry and climate.","DOI":"10.3334/ORNLDAAC/1714","language":"en","note":"dimensions: 353.986781 MB\npublisher: ORNL Distributed Active Archive Center","page":"353.986781 MB","source":"DOI.org (Datacite)","title":"ATom: L2 Photolysis Frequencies from NCAR CCD Actinic Flux Spectroradiometers (CAFS)","title-short":"ATom","author":[{"family":"Hall","given":"S.R."},{"family":"Ullmann","given":"K."}],"issued":{"date-parts":[["2019"]]}}},{"id":436,"uris":["http://zotero.org/users/9309103/items/87TIKCL4"],"itemData":{"id":436,"type":"article-journal","abstract":"The in situ photolysis frequencies for 11 molecules were determined using new actinic flux spectroradiometer systems mounted on the NASA DC-8 research aircraft during the Pacific Exploratory Mission (PEM)-Tropics mission. Photolysis frequencies for O3, NO2, HONO, CH2O, H2O2, CH3OOH, HNO3, PAN, CH3NO3, CH3CH2NO3, and acetone were calculated from the 30 s averaged actinic flux measurements. The accuracy of the actinic flux measurements was approximately ±11.5% in the UV-B range and 8% in the UV-A range. Uncertainties of the reported photolysis frequencies vary between ±15% and ±20% dependent on the quality of the molecular absorption cross section and quantum yield data. Approximately 139 hours of data were taken during 17 flights over the Pacific Ocean, and photolysis frequencies have been reported to the mission archive. During the mission, latitudes range from 45°N to 72.5°S, the longitude ranges from 10°W to 173°E, and the altitude ranges from sea level to 11.9 km. The geographical extents covered, combined with local times from sunrise to sunset, encompass solar zenith angles between 1° and &gt;90° resulting in a broad range of photolysis frequencies. Persistent scattered clouds created photolysis frequency enhancements of approximately a factor of 2 over clear-sky values and reductions of greater than 90% of clear-sky values for portions of the mission.","container-title":"Journal of Geophysical Research: Atmospheres","DOI":"10.1029/98JD01381","ISSN":"2156-2202","issue":"D5","language":"en","note":"_eprint: https://agupubs.onlinelibrary.wiley.com/doi/pdf/10.1029/98JD01381","page":"5647-5661","source":"Wiley Online Library","title":"Photolysis frequency measurements using actinic flux spectroradiometry during the PEM-Tropics mission: Instrumentation description and some results","title-short":"Photolysis frequency measurements using actinic flux spectroradiometry during the PEM-Tropics mission","volume":"104","author":[{"family":"Shetter","given":"Richard E."},{"family":"Müller","given":"Martin"}],"issued":{"date-parts":[["1999"]]}}},{"id":791,"uris":["http://zotero.org/users/9309103/items/C9YJ5TE8"],"itemData":{"id":791,"type":"article-journal","abstract":"This dataset provides in situ concentrations of nitric oxide (NO), nitrogen dioxide (NO2), total reactive nitrogen oxides (NOy), and ozone (O3) measured by the NOAA Nitrogen Oxides and Ozone (NOyO3) 4-channel chemiluminescence (CL) instrument during airborne campaigns conducted by NASA's Atmospheric Tomography (ATom) mission. NOyO3 provides fast-response, specific, high precision, and calibrated measurements of nitrogen oxides and ozone at a spatial resolution of better than 100 m. ATom deploys an extensive gas and aerosol payload on the NASA DC-8 aircraft for systematic, global-scale sampling of the atmosphere, profiling continuously from 0.2 to 12 km altitude. Flights occurred in each of 4 seasons from 2016 to 2018. Flights originate from the Armstrong Flight Research Center in Palmdale, California, fly north to the western Arctic, south to the South Pacific, east to the Atlantic, north to Greenland, and return to California across central North America. ATom establishes a single, contiguous, global-scale dataset. This comprehensive dataset will be used to improve the representation of chemically reactive gases and short-lived climate forcers in global models of atmospheric chemistry and climate.","DOI":"10.3334/ORNLDAAC/1734","language":"en","note":"dimensions: 159.75663899999984 MB\npublisher: ORNL Distributed Active Archive Center","page":"159.75663899999984 MB","source":"DOI.org (Datacite)","title":"ATom: L2 In Situ Measurements from NOAA Nitrogen Oxides and Ozone (NOyO3) Instrument","title-short":"ATom","author":[{"family":"Ryerson","given":"T.B."},{"family":"Thompson","given":"C.R."},{"family":"Peischl","given":"J."},{"family":"Bourgeois","given":"I."}],"issued":{"date-parts":[["2019"]]}}},{"id":18,"uris":["http://zotero.org/users/9309103/items/2Q3FR5IT"],"itemData":{"id":18,"type":"article-journal","abstract":"&lt;p&gt;&lt;strong class=\"journal-contentHeaderColor\"&gt;Abstract.&lt;/strong&gt; Ozone is a key constituent of the troposphere, where it drives photochemical processes, impacts air quality, and acts as a climate forcer. Large-scale in situ observations of ozone commensurate with the grid resolution of current Earth system models are necessary to validate model outputs and satellite retrievals. In this paper, we examine measurements from the Atmospheric Tomography (ATom; four deployments in 2016–2018) and the HIAPER Pole-to-Pole Observations (HIPPO; five deployments in 2009–2011) experiments, two global-scale airborne campaigns covering the Pacific and Atlantic basins.&lt;/p&gt; &lt;p&gt;ATom and HIPPO represent the first global-scale, vertically resolved measurements of &lt;span class=\"inline-formula\"&gt;O&lt;sub&gt;3&lt;/sub&gt;&lt;/span&gt; distributions throughout the troposphere, with HIPPO sampling the atmosphere over the Pacific and ATom sampling both the Pacific and Atlantic. Given the relatively limited temporal resolution of these two campaigns, we first compare ATom and HIPPO ozone data to longer-term observational records to establish the representativeness of our dataset. We show that these two airborne campaigns captured on average 53&amp;thinsp;%, 54&amp;thinsp;%, and 38&amp;thinsp;% of the ozone variability in the marine boundary layer, free troposphere, and upper troposphere–lower stratosphere (UTLS), respectively, at nine well-established ozonesonde sites. Additionally, ATom captured the most frequent ozone concentrations measured by regular commercial aircraft flights in the northern Atlantic UTLS. We then use the repeated&lt;span id=\"page10612\"/&gt; vertical profiles from these two campaigns to confirm and extend the existing knowledge of tropospheric ozone spatial and vertical distributions throughout the remote troposphere. We highlight a clear hemispheric gradient, with greater ozone in the Northern Hemisphere, consistent with greater precursor emissions and consistent with previous modeling and satellite studies. We also show that the ozone distribution below 8&amp;thinsp;km was similar in the extra-tropics of the Atlantic and Pacific basins, likely due to zonal circulation patterns. However, twice as much ozone was found in the tropical Atlantic as in the tropical Pacific, due to well-documented dynamical patterns transporting continental air masses over the Atlantic. Finally, we show that the seasonal variability of tropospheric ozone over the Pacific and the Atlantic basins is driven year-round by transported continental plumes and photochemistry, and the vertical distribution is driven by photochemistry and mixing with stratospheric air. This new dataset provides additional constraints for global climate and chemistry models to improve our understanding of both ozone production and loss processes in remote regions, as well as the influence of anthropogenic emissions on baseline ozone.&lt;/p&gt;","container-title":"Atmospheric Chemistry and Physics","DOI":"10.5194/acp-20-10611-2020","ISSN":"1680-7316","issue":"17","language":"English","note":"publisher: Copernicus GmbH","page":"10611-10635","source":"acp.copernicus.org","title":"Global-scale distribution of ozone in the remote troposphere from the ATom and HIPPO airborne field missions","volume":"20","author":[{"family":"Bourgeois","given":"Ilann"},{"family":"Peischl","given":"Jeff"},{"family":"Thompson","given":"Chelsea R."},{"family":"Aikin","given":"Kenneth C."},{"family":"Campos","given":"Teresa"},{"family":"Clark","given":"Hannah"},{"family":"Commane","given":"Róisín"},{"family":"Daube","given":"Bruce"},{"family":"Diskin","given":"Glenn W."},{"family":"Elkins","given":"James W."},{"family":"Gao","given":"Ru-Shan"},{"family":"Gaudel","given":"Audrey"},{"family":"Hintsa","given":"Eric J."},{"family":"Johnson","given":"Bryan J."},{"family":"Kivi","given":"Rigel"},{"family":"McKain","given":"Kathryn"},{"family":"Moore","given":"Fred L."},{"family":"Parrish","given":"David D."},{"family":"Querel","given":"Richard"},{"family":"Ray","given":"Eric"},{"family":"Sánchez","given":"Ricardo"},{"family":"Sweeney","given":"Colm"},{"family":"Tarasick","given":"David W."},{"family":"Thompson","given":"Anne M."},{"family":"Thouret","given":"Valérie"},{"family":"Witte","given":"Jacquelyn C."},{"family":"Wofsy","given":"Steve C."},{"family":"Ryerson","given":"Thomas B."}],"issued":{"date-parts":[["2020",9,11]]}}},{"id":789,"uris":["http://zotero.org/users/9309103/items/4N7M5GLE"],"itemData":{"id":789,"type":"article-journal","abstract":"Commercially available ultraviolet light-emitting diodes (UV-LEDs) are evaluated in the laboratory as a light source for photolysis of atmospheric nitrogen dioxide (NO2) followed by chemiluminescence detection (P-CL) of the resulting nitric oxide (NO). Sensitivity, selectivity, and engineering simplicity of three UV-LED sources are compared. The most powerful source uses two 9-W Nichia LED modules and provides an NO2 photolysis frequency (j) of 8.4 s−1 corresponding to a nine-fold improvement over a 100-W Hg arc lamp; this source provides the most sensitivity, but requires water cooling. A pair of Hamamatsu 0.25-W LED modules provides intermediate sensitivity with photolysis efficiency comparable to a 100-W Hg arc lamp. The Hamamatsu LEDs require no additional cooling and are a simple and inexpensive package, providing sensitivity and stability appropriate for long-term, unattended measurements at remote surface sites. A Droplet Measurement Technologies Blue-Light Converter (BLC) represents the most complete off-the-shelf system available for atmospheric measurements of NO2. The BLC provides the least sensitivity of the LED-based converters, but is less subject to interference from HONO. Implementing the Nichia LEDs into the NOAA WP-3D aircraft P-CL instrument, in conjunction with improved sample gas handling, improves instrument time response by a factor of eight and permits 1-Hz retrieval of ambient NO and NO2 using a single detector simply by modulating the LEDs on and off. The performance and stability of the Nichia LEDs are further assessed during the CalNex (California Research at the Nexus of Air Quality and Climate Change) field study in May and June of 2010.","container-title":"Journal of Atmospheric Chemistry","DOI":"10.1007/s10874-011-9184-3","ISSN":"0167-7764, 1573-0662","issue":"2-3","journalAbbreviation":"J Atmos Chem","language":"en","page":"111-125","source":"DOI.org (Crossref)","title":"Evaluation of ultraviolet light-emitting diodes for detection of atmospheric NO&lt;sub&gt;2&lt;/sub&gt; by photolysis - chemiluminescence","volume":"65","author":[{"family":"Pollack","given":"Ilana B."},{"family":"Lerner","given":"Brian M."},{"family":"Ryerson","given":"Thomas B."}],"issued":{"date-parts":[["2010",4]]}}},{"id":790,"uris":["http://zotero.org/users/9309103/items/QMT49YXJ"],"itemData":{"id":790,"type":"article-journal","abstract":"A new photolytic converter for NO2 measurement is described and its performance assessed using laboratory, ground-, and aircraft-based field data. Focusing the output of a 200-W short-arc Hg lamp into a photolytic cell attains conversion fractions of NO2 to NO greater than 0.70 in cell residence times of less than a second. Limiting lamp output to wavelengths greater than 350 nm by means of optical filters increases specificity for NO2, affording a peroxyacetyl nitrate conversion fraction of less than 0.006 and negligible conversion of HNO3. Unwanted (artifact) signal in clean synthetic air is also greatly minimized through the use of optical filters. Fast instrument response is achieved by minimizing NO2 inlet line and photolysis cell residence times. NO and NO2 sample residence times are matched in a multichannel instrument so that signal from ambient NO may be easily subtracted from the total signal and ambient NO2 calculated by difference at high time resolution. Induced change in the ambient ratio of NO to NO2, due to reaction of ozone and other oxidants with NO during sampling, is minimized in the new design. This configuration permits simple and accurate retrieval of NO2 concentrations in aircraft transects of power plant plumes, where ambient NO concentrations can change over several orders of magnitude in seconds. At lower concentrations found in the planetary boundary layer, agreement between calculated and observed NO2 is within ±(40 pptv+7%) for a 10-s average. The new converter consumes less power, is more efficient, and is less expensive to operate than previous photolysis designs.","container-title":"Journal of Geophysical Research: Atmospheres","DOI":"10.1029/2000JD900389","ISSN":"2156-2202","issue":"D21","language":"en","note":"_eprint: https://agupubs.onlinelibrary.wiley.com/doi/pdf/10.1029/2000JD900389","page":"26447-26461","source":"Wiley Online Library","title":"An efficient photolysis system for fast-response NO&lt;sub&gt;2&lt;/sub&gt; measurements","volume":"105","author":[{"family":"Ryerson","given":"T. B."},{"family":"Williams","given":"E. J."},{"family":"Fehsenfeld","given":"F. C."}],"issued":{"date-parts":[["2000"]]}}},{"id":892,"uris":["http://zotero.org/users/9309103/items/YJTAAKB4"],"itemData":{"id":892,"type":"article-journal","abstract":"ORNL DAAC: This dataset provides the concentrations of water measured by the Diode Laser Hygrometer (DLH) during airborne campaigns conducted by NASA's Atmospheric Tomography (ATom) mission from 2016 - 2018. The DLH measures the water vapor (H2O(v)) in the atmosphere by wavelength modulated differential absorption spectroscopy of an isolated rovibrational line. The measurements include water vapor mixing ratio in parts-per-trillion-by-volume (pptv) and relative humidity in percent.","container-title":"ORNL DAAC","DOI":"10.3334/ORNLDAAC/1710","language":"en-US","source":"daac.ornl.gov","title":"ATom: L2 In Situ Atmospheric Water Vapor from the Diode Laser Hygrometer (DLH)","title-short":"ATom","URL":"https://daac.ornl.gov/cgi-bin/dsviewer.pl?ds_id=1710","author":[{"family":"Diskin","given":"G. S."},{"family":"Digangi","given":"J. P."}],"accessed":{"date-parts":[["2021",7,9]]},"issued":{"date-parts":[["2019",7,18]]}}},{"id":893,"uris":["http://zotero.org/users/9309103/items/AD78MCUA"],"itemData":{"id":893,"type":"paper-conference","abstract":"An instrument has been developed for the measurement of water vapor in the troposphere and lower stratosphere. This instrument, dubbed the NASA Langley/Ames Diode Laser Hygrometer (DLH), has been flown on 10 missions aboard NASA's DC-8 aircraft. The DLH utilizes an open-path, double-pass configuration, where the path is defined on one end by a laser transceiver mounted on the interior of a modified window panel, and on the other by a panel of retroreflecting material mounted on the DC-8's outboard engine nacelle. The DLH operates on one of two spectral absorption lines in the 1.4 &amp;mu;m spectral region, in a wavelength-modulated (WM) mode, with the laser locked to the center of the absorption line encountered in a reference cell. The spectral line used is determined by the local conditions - a weak line is used at low altitudes and a stronger one at high altitudes - and is changed at various times during a flight by the operator. Signal detection is accomplished by demodulating the return signal at twice the driving frequency (2F detection). The returned laser power (DC) is also measured. The DLH is calibrated in the laboratory at various combinations of pressure and water vapor density. From the calibration data and a multiparameter spectral model, a set of coefficients is developed, and these coefficients are used to convert the measured 2F/DC ratio, along with local temperature and pressure (which are measured by separate instruments aboard the aircraft), to water vapor mixing ratio.","container-title":"Diode Lasers and Applications in Atmospheric Sensing","DOI":"10.1117/12.453736","event-title":"Diode Lasers and Applications in Atmospheric Sensing","page":"196-204","publisher":"International Society for Optics and Photonics","source":"www.spiedigitallibrary.org","title":"Open-path airborne tunable diode laser hygrometer","URL":"https://www.spiedigitallibrary.org/conference-proceedings-of-spie/4817/0000/Open-path-airborne-tunable-diode-laser-hygrometer/10.1117/12.453736.short","volume":"4817","author":[{"family":"Diskin","given":"Glenn S."},{"family":"Podolske","given":"James R."},{"family":"Sachse","given":"Glen William"},{"family":"Slate","given":"Thomas A."}],"accessed":{"date-parts":[["2021",7,9]]},"issued":{"date-parts":[["2002",9,23]]}}},{"id":687,"uris":["http://zotero.org/users/9309103/items/74FWVIYU"],"itemData":{"id":687,"type":"article-journal","abstract":"This dataset provides atmospheric concentrations of CO2, CH4, CO, and N2O measured by the Harvard Quantum Cascade Laser System (QCLS) instruments during airborne campaigns conducted by NASA's Atmospheric Tomography (ATom) mission. The QCLS (DUAL and CO2) instrument package contains two separate optical assemblies and calibration systems, and a common data system and power supply. The QCLS DUAL instrument simultaneously measures CO, CH4, and N2O concentrations, in situ, using two thermoelectrically cooled pulsed-quantum cascade lasers light sources, a multiple pass absorption cell, and two liquid nitrogen-cooled solid-state detectors. The QCLS CO2 instrument measures CO2 concentrations in situ using a thermoelectrically cooled pulsed-quantum cascade laser light source, gas cells, and liquid nitrogen cooled solid-state detectors. The CO2 mixing ratio of air flowing through the sample gas cell is determined by measuring absorption from a single infrared transition line at 4.32 microns relative to a reference gas of known concentration. The ATom mission deployed an extensive gas and aerosol payload on the NASA DC-8 aircraft for systematic, global-scale sampling of the atmosphere, profiling continuously from 0.2 to 12 km altitude. Flights occurred in each of 4 seasons from 2016 to 2018.","DOI":"10.3334/ORNLDAAC/1747","language":"en","note":"dimensions: 50.313635000000005 MB\nmedium: ICARTT\npublisher: ORNL Distributed Active Archive Center\nversion: 1","page":"50.313635000000005 MB","source":"DOI.org (Datacite)","title":"Atmospheric Tomography Mission (ATom)ATom: Measurements from the Quantum Cascade Laser System (QCLS)","title-short":"Atmospheric Tomography Mission (ATom)ATom","author":[{"family":"Commane","given":"R."},{"family":"Budney","given":"J.W."},{"family":"Gonzalez ramos","given":"Y."},{"family":"Sargent","given":"M."},{"family":"Wofsy","given":"S.C."},{"family":"Daube","given":"B.C."}],"contributor":[{"family":"ORNL DAAC","given":""}],"issued":{"date-parts":[["2020"]]}}},{"id":434,"uris":["http://zotero.org/users/9309103/items/R72LPTRU"],"itemData":{"id":434,"type":"paper-conference","abstract":"We present an overview of the dual QC laser spectrometer developed at Aerodyne Research and various examples of its application for atmospheric trace gas detection. The instrument incorporates two pulsed QC lasers, a compact 76-m (or 56-m) multipass absorption cell, a dual HgCdTe detector, and a sophisticated signal generation, data acquisition and processing system. Recent findings and hardware innovations are highlighted. Our results show that the precision and minimal detectable absorbance obtainable with pulsed QC lasers are comparable to those achieved with cryogenically cooled CW Pb-salt lasers in spite of the broader laser linewidths inherent to pulsed operation. This is demonstrated through in situ measurements of several trace gases, including methane, nitrous oxide, carbon monoxide, formaldehyde, formic acid, nitrous acid and ethylene. Recent measurements of HCHO and HCOOH on board a NOAA aircraft are presented. The precision, stability and intrinsic accuracy of the instrument were assessed through inter-comparisons measuring CH4 and CO. These measurements were made either comparing two QC lasers sweeping over different transitions or comparing the dual QCL spectrometer and a standard instrument (NDIR CO). The absorbance precision achieved is typically 2x10&lt;sup&gt;-5&lt;/sup&gt; Hz&lt;sup&gt;-1/2&lt;/sup&gt;. For long-lived species, such as CH&lt;sub&gt;4&lt;/sub&gt; and N&lt;sub&gt;2&lt;/sub&gt;O, this implies 1-Hz fractional precisions of 0.1% or better, which fulfill the requirement for meaningful measurements from aircraft platforms. Spectroscopically derived mixing ratios are accurate within 5% or better. The spectrometer is equipped to perform automatic, periodic calibrations with zero and span gases whenever higher accuracy is required.","container-title":"Novel In-Plane Semiconductor Lasers IV","DOI":"10.1117/12.597130","event-title":"Novel In-Plane Semiconductor Lasers IV","page":"318-331","publisher":"International Society for Optics and Photonics","source":"www.spiedigitallibrary.org","title":"Atmospheric trace gas measurements using a dual quantum-cascade laser mid-infrared absorption spectrometer","URL":"https://www.spiedigitallibrary.org/conference-proceedings-of-spie/5738/0000/Atmospheric-trace-gas-measurements-using-a-dual-quantum-cascade-laser/10.1117/12.597130.short","volume":"5738","author":[{"family":"Jimenez","given":"Rodrigo"},{"family":"Herndon","given":"Scott"},{"family":"Shorter","given":"Joanne H."},{"family":"Nelson","given":"David D."},{"family":"McManus","given":"J. Barry"},{"family":"Zahniser","given":"Mark S."}],"accessed":{"date-parts":[["2020",3,25]]},"issued":{"date-parts":[["2005",4,1]]}}},{"id":435,"uris":["http://zotero.org/users/9309103/items/QTXH8V6Y"],"itemData":{"id":435,"type":"article-journal","abstract":"We describe a prototype instrument using a Peltier cooled quantum cascade laser for precise measurement of stable carbon (13C/12C) isotopologue ratios in atmospheric CO2. Using novel optics and signal processing techniques in a compact instrument, we are able to detect the difference between sample and reference with a precision of 0.1‰ (2σ standard error of mean of 11 samples) in 10min of analysis time. The standard deviation of 0.18‰ for individual 30 s measurements shows that this prototype instrument already approaches the best reported literature values using continuous wave lead alloy tunable diode lasers. The application of pulsed near room-temperature quantum cascade lasers to this demanding problem opens the possibility of field worthy rapid response isotopic instrumentation and attests to the maturity of these lasers as spectroscopic sources.","container-title":"Journal of Modern Optics","DOI":"10.1080/09500340500303710","ISSN":"0950-0340","issue":"16","note":"publisher: Taylor &amp; Francis\n_eprint: https://doi.org/10.1080/09500340500303710","page":"2309-2321","source":"Taylor and Francis+NEJM","title":"A high precision pulsed quantum cascade laser spectrometer for measurements of stable isotopes of carbon dioxide","volume":"52","author":[{"family":"McManus","given":"J. B."},{"family":"Nelson","given":"D. D."},{"family":"Shorter","given":"J. H."},{"family":"Jimenez","given":"R."},{"family":"Herndon","given":"S."},{"family":"Saleska","given":"S."},{"family":"Zahniser","given":"M."}],"issued":{"date-parts":[["2005",11,10]]}}},{"id":609,"uris":["http://zotero.org/users/9309103/items/36JYHNPV"],"itemData":{"id":609,"type":"article-journal","abstract":"The Meteorological Measurement System (MMS) provides accurate in situ measurements of atmospheric state variables. Since MMS data products (temperature, pressure, and wind) are extensively used by ER-2 investigators, the accuracy of these parameters is discussed. During the 1987 Airborne Antarctic Ozone Experiment (AAOE) mission, the ER-2 aircraft flew over Antarctica on 12 occasions between August 17 and September 22, 1987. The flight plan was to take off at about the same local time, fly southward on an isentropic surface, descend and ascend at the southern terminus over Antarctica, and return northward along the same or a different isentropic surface. MMS data are organized to provide a composite view of the polar atmosphere, which is characterized by frigid temperatures and high zonal winds. Vertical temperature profiles (during aircraft takeoff and landing and during the descent at the southern terminus) and latitudinal variations of the zonal wind are presented. On the basis of observational data, model atmospheres between 0 and 32 km at 70° and 55°S for the August-September period are proposed. The model atmospheres, representative of the Antarctic environment of the AAOE campaign, are recommended to investigators for the analysis of the AAOE data set.","container-title":"Journal of Geophysical Research: Atmospheres","DOI":"10.1029/JD094iD09p11573","ISSN":"2156-2202","issue":"D9","language":"en","note":"_eprint: https://agupubs.onlinelibrary.wiley.com/doi/pdf/10.1029/JD094iD09p11573","page":"11573-11587","source":"Wiley Online Library","title":"Temperature and horizontal wind measurements on the ER-2 aircraft during the 1987 Airborne Antarctic Ozone Experiment","volume":"94","author":[{"family":"Chan","given":"K. R."},{"family":"Scott","given":"S. G."},{"family":"Bui","given":"T. P."},{"family":"Bowen","given":"S. W."},{"family":"Day","given":"J."}],"issued":{"date-parts":[["1989"]]}}},{"id":610,"uris":["http://zotero.org/users/9309103/items/KPPFIB9U"],"itemData":{"id":610,"type":"article-journal","abstract":"&lt;section class=\"abstract\"&gt;&lt;h2 class=\"abstractTitle text-title my-1\" id=\"d155169365e74\"&gt;Abstract&lt;/h2&gt;&lt;p&gt;Measurements of aircraft longitude, latitude, and velocity, and measurements of atmospheric pressure, temperature, and horizontal wind from the meteorological measurement system (MMS) on board the NASA ER-2 aircraft were compared with independent measurements of these quantities from radiosondes and radar tracking of both the ER-2 and radiosonde balloons. In general, the comparisons were good and within the expected measurement accuracy and natural variability of the meteorological parameters.&lt;/p&gt;&lt;p&gt;Radar tracking of the ER-2 resolved the velocity and position drift of the inertial navigation system (INS). The rms errors in the horizontal velocity components of the ER-2, due to INS errors, were found to be 0.5 m s&lt;sup&gt;−1&lt;/sup&gt;. The magnitude of the drift in longitude and latitude depends on the sign and magnitude of the corresponding component velocity drift and can be a few hundredths of a degree.&lt;/p&gt;&lt;p&gt;The radar altitudes of the ER-2 and radiosondes were used as the basis for comparing measurements of atmospheric pressure, temperature, and horizontal wind from these two platforms. The uncertainty in the MMS horizontal wind measurement is estimated to be ±2.5 m s&lt;sup&gt;−1&lt;/sup&gt;. The accuracy of the MMS pressure and temperature measurements were inferred to be ±0.3 hPa and ±0.3 K.&lt;/p&gt;&lt;/section&gt;","container-title":"Journal of Atmospheric and Oceanic Technology","DOI":"10.1175/1520-0426(1992)009&lt;0210:COTNEM&gt;2.0.CO;2","ISSN":"0739-0572, 1520-0426","issue":"3","language":"EN","note":"publisher: American Meteorological Society\nsection: Journal of Atmospheric and Oceanic Technology","page":"210-225","source":"journals.ametsoc.org","title":"Comparisons of the NASA ER-2 Meteorological Measurement System with Radar Tracking and Radiosonde Data","volume":"9","author":[{"family":"Gaines","given":"Steven E."},{"family":"Bowen","given":"Stuart W."},{"family":"Hipskind","given":"R. Stephen"},{"family":"Bui","given":"T. Paul"},{"family":"Chan","given":"K. Roland"}],"issued":{"date-parts":[["1992",6,1]]}}},{"id":611,"uris":["http://zotero.org/users/9309103/items/4GYTSBIL"],"itemData":{"id":611,"type":"article-journal","abstract":"&lt;section class=\"abstract\"&gt;&lt;h2 class=\"abstractTitle text-title my-1\" id=\"d155226836e68\"&gt;Abstract&lt;/h2&gt;&lt;p&gt;A Meteorological Measurement System (MMS) was designed and installed on one of the NASA high-altitude ER-2 aircraft (NASA 706). The MMS provides in situ measurements of free-stream pressure (±0.3 mb), temperature (±0.3°C), and wind vector (±1 m s&lt;sup&gt;−1&lt;/sup&gt;). It incorporates a high-resolution inertial navigation system (INS) specially configured for scientific applications, a radome differential pressure system for measurements of the airflow angles, and a compact, computer-controlled data acquisition system to sample, process and store 45 variables on tape and on disc.&lt;/p&gt;&lt;p&gt;The MMS hardware and software development is described and resolution and accuracy of the instrumentation discussed. Custom software facilitates preflight system checkout, inflight data acquisition, and fast postflight data download. It accommodates various modes of MMS data: analog and digital, serial and parallel, and synchronous and asynchronous. Flight results are presented to demonstrate the capability of the system.&lt;/p&gt;&lt;/section&gt;","container-title":"Journal of Atmospheric and Oceanic Technology","DOI":"10.1175/1520-0426(1990)007&lt;0525:TMMSOT&gt;2.0.CO;2","ISSN":"0739-0572, 1520-0426","issue":"4","language":"EN","note":"publisher: American Meteorological Society\nsection: Journal of Atmospheric and Oceanic Technology","page":"525-540","source":"journals.ametsoc.org","title":"The Meteorological Measurement System on the NASA ER-2 Aircraft","volume":"7","author":[{"family":"Scott","given":"Stan G."},{"family":"Bui","given":"T. Paul"},{"family":"Chan","given":"K. Roland"},{"family":"Bowen","given":"Stuart W."}],"issued":{"date-parts":[["1990",8,1]]}}},{"id":612,"uris":["http://zotero.org/users/9309103/items/LMJ9LBGR"],"itemData":{"id":612,"type":"article-journal","abstract":"This dataset provides flight track and aircraft navigation data from the NASA Atmospheric Tomography Mission (ATom). Flight track information is available for the four ATom campaigns: ATom-1, ATom-2, ATom-3, and ATom-4. Each ATom campaign consists of multiple individual flights and flight navigational information is recorded in 10-second intervals. Data available for each flight includes research flight number, date, and start and stop time of each 10-second interval. In addition, latitude, longitude, altitude, pressure and temperature is included at each 10-second interval. NASA's ATom campaign deploys an extensive gas and aerosol payload on the NASA DC-8 aircraft for systematic, global-scale sampling of the atmosphere, profiling continuously from 0.2 to 12 km altitude. Flights occurred in each of 4 seasons from 2016 to 2018. During each campaign, flights originate from the Armstrong Flight Research Center in Palmdale, California, fly north to the western Arctic, south to the South Pacific, east to the Atlantic, north to Greenland, and return to California across central North America. ATom establishes a single, contiguous, global-scale dataset. One intended use of this flight track data is to facilitate to mapping model results from global models onto the precise ATom flight tracks for comparison.","DOI":"10.3334/ORNLDAAC/1613","language":"en","note":"publisher: ORNL Distributed Active Archive Center","title":"ATom: Aircraft Flight Track and Navigational Data","URL":"https://daac.ornl.gov/cgi-bin/dsviewer.pl?ds_id=1613","author":[{"family":"Wofsy","given":"S.C."},{"literal":"ATom Science Team"}],"issued":{"date-parts":[["2018"]]}}}],"schema":"https://github.com/citation-style-language/schema/raw/master/csl-citation.json"} </w:instrText>
      </w:r>
      <w:r w:rsidRPr="007F380D">
        <w:rPr>
          <w:rFonts w:ascii="Arial" w:hAnsi="Arial" w:cs="Arial"/>
          <w:color w:val="000000"/>
          <w:sz w:val="20"/>
          <w:szCs w:val="20"/>
        </w:rPr>
        <w:fldChar w:fldCharType="separate"/>
      </w:r>
      <w:r w:rsidR="0005501B" w:rsidRPr="0005501B">
        <w:rPr>
          <w:rFonts w:ascii="Arial" w:hAnsi="Arial" w:cs="Arial"/>
          <w:sz w:val="20"/>
          <w:szCs w:val="24"/>
        </w:rPr>
        <w:t>(72–88)</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which spans ATom-1, 2, 3 and 4, corresponding to Northern Hemisphere summer (28 July to 22 August, 2016), winter (26 January to 22 February, 2017), fall (28 September to 26 October, 2017) and spring (24 April to 21 May, 2018). </w:t>
      </w:r>
    </w:p>
    <w:p w14:paraId="0028A688" w14:textId="603B4650" w:rsidR="007F380D" w:rsidRDefault="007F380D" w:rsidP="00E6133D">
      <w:pPr>
        <w:pBdr>
          <w:top w:val="nil"/>
          <w:left w:val="nil"/>
          <w:bottom w:val="nil"/>
          <w:right w:val="nil"/>
          <w:between w:val="nil"/>
        </w:pBdr>
        <w:contextualSpacing/>
        <w:rPr>
          <w:rFonts w:ascii="Arial" w:hAnsi="Arial" w:cs="Arial"/>
          <w:color w:val="000000"/>
          <w:sz w:val="20"/>
          <w:szCs w:val="20"/>
        </w:rPr>
      </w:pPr>
    </w:p>
    <w:p w14:paraId="3B4AA475" w14:textId="64E03D18" w:rsidR="007F380D" w:rsidRPr="007F380D" w:rsidRDefault="00A42EF2" w:rsidP="007F380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sidRPr="007F380D">
        <w:rPr>
          <w:rFonts w:ascii="Arial" w:hAnsi="Arial" w:cs="Arial"/>
          <w:color w:val="000000"/>
          <w:sz w:val="20"/>
          <w:szCs w:val="20"/>
        </w:rPr>
        <w:t>.1.2 Box model simulations</w:t>
      </w:r>
    </w:p>
    <w:p w14:paraId="5D0542F4" w14:textId="7245312B" w:rsidR="007F380D" w:rsidRDefault="007F380D" w:rsidP="00E6133D">
      <w:pPr>
        <w:pBdr>
          <w:top w:val="nil"/>
          <w:left w:val="nil"/>
          <w:bottom w:val="nil"/>
          <w:right w:val="nil"/>
          <w:between w:val="nil"/>
        </w:pBdr>
        <w:contextualSpacing/>
        <w:rPr>
          <w:rFonts w:ascii="Arial" w:hAnsi="Arial" w:cs="Arial"/>
          <w:color w:val="000000"/>
          <w:sz w:val="20"/>
          <w:szCs w:val="20"/>
        </w:rPr>
      </w:pPr>
    </w:p>
    <w:p w14:paraId="56284BAE" w14:textId="3687537C"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 xml:space="preserve">To provide further support for our observation-based proxy, we draw on 60 s average OH simulations along the ATom flight tracks from the Framework for 0-D Atmospheric Modeling (F0AM v.4, available at </w:t>
      </w:r>
      <w:hyperlink r:id="rId12" w:history="1">
        <w:r w:rsidRPr="007F380D">
          <w:rPr>
            <w:rStyle w:val="Hyperlink"/>
            <w:rFonts w:ascii="Arial" w:hAnsi="Arial" w:cs="Arial"/>
            <w:sz w:val="20"/>
            <w:szCs w:val="20"/>
          </w:rPr>
          <w:t>https://github.com/AirChem/F0AM/</w:t>
        </w:r>
      </w:hyperlink>
      <w:r w:rsidRPr="007F380D">
        <w:rPr>
          <w:rFonts w:ascii="Arial" w:hAnsi="Arial" w:cs="Arial"/>
          <w:color w:val="000000"/>
          <w:sz w:val="20"/>
          <w:szCs w:val="20"/>
        </w:rPr>
        <w:t xml:space="preserve">;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ffsnAZdE","properties":{"formattedCitation":"(29)","plainCitation":"(29)","noteIndex":0},"citationItems":[{"id":424,"uris":["http://zotero.org/users/9309103/items/AQMJ5B6F"],"itemData":{"id":424,"type":"article-journal","abstract":"&lt;p&gt;&lt;strong&gt;Abstract.&lt;/strong&gt; The Framework for 0-D Atmospheric Modeling (F0AM) is a flexible and user-friendly MATLAB-based platform for simulation of atmospheric chemistry systems. The F0AM interface incorporates front-end configuration of observational constraints and model setups, making it readily adaptable to simulation of photochemical chambers, Lagrangian plumes, and steady-state or time-evolving solar cycles. Six different chemical mechanisms and three options for calculation of photolysis frequencies are currently available. Example simulations are presented to illustrate model capabilities and, more generally, highlight some of the advantages and challenges of 0-D box modeling.&lt;/p&gt;","container-title":"Geoscientific Model Development","DOI":"https://doi.org/10.5194/gmd-9-3309-2016","ISSN":"1991-959X","issue":"9","language":"English","note":"publisher: Copernicus GmbH","page":"3309-3319","source":"www.geosci-model-dev.net","title":"The Framework for 0-D Atmospheric Modeling (F0AM) v3.1","volume":"9","author":[{"family":"Wolfe","given":"Glenn M."},{"family":"Marvin","given":"Margaret R."},{"family":"Roberts","given":"Sandra J."},{"family":"Travis","given":"Katherine R."},{"family":"Liao","given":"Jin"}],"issued":{"date-parts":[["2016",9,20]]}}}],"schema":"https://github.com/citation-style-language/schema/raw/master/csl-citation.json"}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(29)</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with the Master Chemical Mechanism (MCM) version 3.3.1; </w:t>
      </w:r>
      <w:r w:rsidRPr="007F380D">
        <w:rPr>
          <w:rFonts w:ascii="Arial" w:hAnsi="Arial" w:cs="Arial"/>
          <w:color w:val="000000"/>
          <w:sz w:val="20"/>
          <w:szCs w:val="20"/>
        </w:rPr>
        <w:fldChar w:fldCharType="begin"/>
      </w:r>
      <w:r w:rsidR="00556E00">
        <w:rPr>
          <w:rFonts w:ascii="Arial" w:hAnsi="Arial" w:cs="Arial"/>
          <w:color w:val="000000"/>
          <w:sz w:val="20"/>
          <w:szCs w:val="20"/>
        </w:rPr>
        <w:instrText xml:space="preserve"> ADDIN ZOTERO_ITEM CSL_CITATION {"citationID":"lsYRIvMY","properties":{"formattedCitation":"(89)","plainCitation":"(89)","noteIndex":0},"citationItems":[{"id":565,"uris":["http://zotero.org/users/9309103/items/K6FIEBG3"],"itemData":{"id":565,"type":"article-journal","abstract":"&lt;p&gt;&lt;strong&gt;Abstract.&lt;/strong&gt; The chemistry of isoprene degradation in the Master Chemical Mechanism (MCM) has been systematically refined and updated to reflect recent advances in understanding, with these updates appearing in the latest version, MCM v3.3.1. The complete isoprene degradation mechanism in MCM v3.3.1 consists of 1926 reactions of 602 closed shell and free radical species, which treat the chemistry initiated by reaction with OH radicals, NO&lt;sub&gt;3&lt;/sub&gt; radicals and ozone (O&lt;sub&gt;3&lt;/sub&gt;). A detailed overview of the updates is provided, within the context of reported kinetic and mechanistic information. The revisions mainly relate to the OH-initiated chemistry, which tends to dominate under atmospheric conditions, although these include updates to the chemistry of some products that are also generated from the O&lt;sub&gt;3&lt;/sub&gt;- and NO&lt;sub&gt;3&lt;/sub&gt;-initiated oxidation. The revisions have impacts in a number of key areas, including HO&lt;sub&gt;&lt;i&gt;x&lt;/i&gt;&lt;/sub&gt; recycling, NO&lt;sub&gt;&lt;i&gt;x&lt;/i&gt;&lt;/sub&gt; recycling and the formation of species reported to play a role in SOA (secondary organic aerosol)-formation mechanisms. The performance of the MCM v3.3.1 isoprene mechanism has been compared with those of earlier versions (MCM v3.1 and MCM v3.2) over a range of relevant conditions, using a box model of the tropical forested boundary layer. The results of these calculations are presented and discussed and are used to illustrate the impacts of the mechanistic updates in MCM v3.3.1.&lt;/p&gt;","container-title":"Atmospheric Chemistry and Physics","DOI":"https://doi.org/10.5194/acp-15-11433-2015","ISSN":"1680-7316","issue":"20","language":"English","note":"publisher: Copernicus GmbH","page":"11433-11459","source":"acp.copernicus.org","title":"The MCM v3.3.1 degradation scheme for isoprene","volume":"15","author":[{"family":"Jenkin","given":"M. E."},{"family":"Young","given":"J. C."},{"family":"Rickard","given":"A. R."}],"issued":{"date-parts":[["2015",10,16]]}}}],"schema":"https://github.com/citation-style-language/schema/raw/master/csl-citation.json"}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(89)</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A subset of MCM v3.3.1 is implemented within F0AM. The box model is constrained with the ATom data, including meteorological, radiative, and chemical variables following </w:t>
      </w:r>
      <w:r w:rsidRPr="007F380D">
        <w:rPr>
          <w:rFonts w:ascii="Arial" w:hAnsi="Arial" w:cs="Arial"/>
          <w:color w:val="000000"/>
          <w:sz w:val="20"/>
          <w:szCs w:val="20"/>
        </w:rPr>
        <w:fldChar w:fldCharType="begin"/>
      </w:r>
      <w:r w:rsidR="00CC64F9">
        <w:rPr>
          <w:rFonts w:ascii="Arial" w:hAnsi="Arial" w:cs="Arial"/>
          <w:color w:val="000000"/>
          <w:sz w:val="20"/>
          <w:szCs w:val="20"/>
        </w:rPr>
        <w:instrText xml:space="preserve"> ADDIN ZOTERO_ITEM CSL_CITATION {"citationID":"Q5EoXqob","properties":{"formattedCitation":"(30)","plainCitation":"(30)","noteIndex":0},"citationItems":[{"id":206,"uris":["http://zotero.org/users/9309103/items/9FNG38XF"],"itemData":{"id":206,"type":"article-journal","abstract":"Earth's atmosphere oxidizes the greenhouse gas methane and other gases, thus determining their lifetimes and oxidation products. Much of this oxidation occurs in the remote, relatively clean free troposphere above the planetary boundary layer, where the oxidation chemistry is thought to be much simpler and better understood than it is in urban regions or forests. The NASA airborne Atmospheric Tomography study (ATom) was designed to produce cross sections of the detailed atmospheric composition in the remote atmosphere over the Paciﬁc and Atlantic Oceans during four seasons. As part of the extensive ATom data set, measurements of the atmosphere's primary oxidant, hydroxyl (OH), and hydroperoxyl (HO2) are compared to a photochemical box model to test the oxidation chemistry. Generally, observed and modeled median OH and HO2 agree to within combined uncertainties at the 2σ conﬁdence level, which is ~±40%. For some seasons, this agreement is within ~±20% below 6</w:instrText>
      </w:r>
      <w:r w:rsidR="00CC64F9">
        <w:rPr>
          <w:rFonts w:ascii="Cambria Math" w:hAnsi="Cambria Math" w:cs="Cambria Math"/>
          <w:color w:val="000000"/>
          <w:sz w:val="20"/>
          <w:szCs w:val="20"/>
        </w:rPr>
        <w:instrText>‐</w:instrText>
      </w:r>
      <w:r w:rsidR="00CC64F9">
        <w:rPr>
          <w:rFonts w:ascii="Arial" w:hAnsi="Arial" w:cs="Arial"/>
          <w:color w:val="000000"/>
          <w:sz w:val="20"/>
          <w:szCs w:val="20"/>
        </w:rPr>
        <w:instrText xml:space="preserve">km altitude. While this test ﬁnds no signiﬁcant differences, OH observations increasingly exceeded modeled values at altitudes above 8 km, becoming ~35% greater, which is near the combined uncertainties. Measurement uncertainty and possible unknown measurement errors complicate tests for unknown chemistry or incorrect reaction rate coefﬁcients that would substantially affect the OH and HO2 abundances. Future analysis of detailed comparisons may yield additional discrepancies that are masked in the median values. Plain Language Summary Chemistry in the vast, remote atmosphere destroys methane and other greenhouse gases. This chemistry is thought to be simple and well understood compared to that in polluted cities or in forests. From the NASA airborne Atmospheric Tomography study over remote oceans, comparisons of observed and modeled reactive gases show that the chemistry is generally understood to within the uncertainties of the measurement and model. However, for the atmosphere's primary reactive gas, hydroxyl, measured values exceed modeled values in the upper troposphere, pointing to errors in probably the measurements but possibly the model chemistry.","container-title":"Journal of Geophysical Research: Atmospheres","DOI":"10.1029/2019JD031685","ISSN":"2169-897X, 2169-8996","issue":"1","journalAbbreviation":"J. Geophys. Res. Atmos.","language":"en","source":"DOI.org (Crossref)","title":"Exploring Oxidation in the Remote Free Troposphere: Insights From Atmospheric Tomography (ATom)","title-short":"Exploring Oxidation in the Remote Free Troposphere","URL":"https://onlinelibrary.wiley.com/doi/abs/10.1029/2019JD031685","volume":"125","author":[{"family":"Brune","given":"W. H."},{"family":"Miller","given":"D. O."},{"family":"Thames","given":"A. B."},{"family":"Allen","given":"H. M."},{"family":"Apel","given":"E. C."},{"family":"Blake","given":"D. R."},{"family":"Bui","given":"T. P."},{"family":"Commane","given":"R."},{"family":"Crounse","given":"J. D."},{"family":"Daube","given":"B. C."},{"family":"Diskin","given":"G. S."},{"family":"DiGangi","given":"J. P."},{"family":"Elkins","given":"J. W."},{"family":"Hall","given":"S. R."},{"family":"Hanisco","given":"T. F."},{"family":"Hannun","given":"R. A."},{"family":"Hintsa","given":"E. J."},{"family":"Hornbrook","given":"R. S."},{"family":"Kim","given":"M. J."},{"family":"McKain","given":"K."},{"family":"Moore","given":"F. L."},{"family":"Neuman","given":"J. A."},{"family":"Nicely","given":"J. M."},{"family":"Peischl","given":"J."},{"family":"Ryerson","given":"T. B."},{"family":"St. Clair","given":"J. M."},{"family":"Sweeney","given":"C."},{"family":"Teng","given":"A. P."},{"family":"Thompson","given":"C."},{"family":"Ullmann","given":"K."},{"family":"Veres","given":"P. R."},{"family":"Wennberg","given":"P. O."},{"family":"Wolfe","given":"G. M."}],"accessed":{"date-parts":[["2020",3,7]]},"issued":{"date-parts":[["2020",1,16]]}},"suppress-author":true}],"schema":"https://github.com/citation-style-language/schema/raw/master/csl-citation.json"} </w:instrText>
      </w:r>
      <w:r w:rsidRPr="007F380D">
        <w:rPr>
          <w:rFonts w:ascii="Arial" w:hAnsi="Arial" w:cs="Arial"/>
          <w:color w:val="000000"/>
          <w:sz w:val="20"/>
          <w:szCs w:val="20"/>
        </w:rPr>
        <w:fldChar w:fldCharType="separate"/>
      </w:r>
      <w:r w:rsidR="00CC64F9" w:rsidRPr="00CC64F9">
        <w:rPr>
          <w:rFonts w:ascii="Arial" w:hAnsi="Arial" w:cs="Arial"/>
          <w:sz w:val="20"/>
        </w:rPr>
        <w:t>(30)</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t>
      </w:r>
      <w:bookmarkStart w:id="29" w:name="_Hlk115102789"/>
      <w:r w:rsidRPr="007F380D">
        <w:rPr>
          <w:rFonts w:ascii="Arial" w:hAnsi="Arial" w:cs="Arial"/>
          <w:color w:val="000000"/>
          <w:sz w:val="20"/>
          <w:szCs w:val="20"/>
        </w:rPr>
        <w:t>Box model simulations of HO</w:t>
      </w:r>
      <w:r w:rsidRPr="007F380D">
        <w:rPr>
          <w:rFonts w:ascii="Arial" w:hAnsi="Arial" w:cs="Arial"/>
          <w:color w:val="000000"/>
          <w:sz w:val="20"/>
          <w:szCs w:val="20"/>
          <w:vertAlign w:val="subscript"/>
        </w:rPr>
        <w:t>x</w:t>
      </w:r>
      <w:r w:rsidRPr="007F380D">
        <w:rPr>
          <w:rFonts w:ascii="Arial" w:hAnsi="Arial" w:cs="Arial"/>
          <w:color w:val="000000"/>
          <w:sz w:val="20"/>
          <w:szCs w:val="20"/>
        </w:rPr>
        <w:t xml:space="preserve"> (OH plus hydroperoxyl, HO</w:t>
      </w:r>
      <w:r w:rsidRPr="007F380D">
        <w:rPr>
          <w:rFonts w:ascii="Arial" w:hAnsi="Arial" w:cs="Arial"/>
          <w:color w:val="000000"/>
          <w:sz w:val="20"/>
          <w:szCs w:val="20"/>
          <w:vertAlign w:val="subscript"/>
        </w:rPr>
        <w:t>2</w:t>
      </w:r>
      <w:r w:rsidRPr="007F380D">
        <w:rPr>
          <w:rFonts w:ascii="Arial" w:hAnsi="Arial" w:cs="Arial"/>
          <w:color w:val="000000"/>
          <w:sz w:val="20"/>
          <w:szCs w:val="20"/>
        </w:rPr>
        <w:t>) forced by measurements (excluding HO</w:t>
      </w:r>
      <w:r w:rsidRPr="007F380D">
        <w:rPr>
          <w:rFonts w:ascii="Arial" w:hAnsi="Arial" w:cs="Arial"/>
          <w:color w:val="000000"/>
          <w:sz w:val="20"/>
          <w:szCs w:val="20"/>
          <w:vertAlign w:val="subscript"/>
        </w:rPr>
        <w:t>x</w:t>
      </w:r>
      <w:r w:rsidRPr="007F380D">
        <w:rPr>
          <w:rFonts w:ascii="Arial" w:hAnsi="Arial" w:cs="Arial"/>
          <w:color w:val="000000"/>
          <w:sz w:val="20"/>
          <w:szCs w:val="20"/>
        </w:rPr>
        <w:t>) along the ATom-1 and 2 flight tracks show consistency with ATom-1 and 2 observed HO</w:t>
      </w:r>
      <w:r w:rsidRPr="007F380D">
        <w:rPr>
          <w:rFonts w:ascii="Arial" w:hAnsi="Arial" w:cs="Arial"/>
          <w:color w:val="000000"/>
          <w:sz w:val="20"/>
          <w:szCs w:val="20"/>
          <w:vertAlign w:val="subscript"/>
        </w:rPr>
        <w:t>x</w:t>
      </w:r>
      <w:r w:rsidRPr="007F380D">
        <w:rPr>
          <w:rFonts w:ascii="Arial" w:hAnsi="Arial" w:cs="Arial"/>
          <w:color w:val="000000"/>
          <w:sz w:val="20"/>
          <w:szCs w:val="20"/>
        </w:rPr>
        <w:t xml:space="preserve"> </w:t>
      </w:r>
      <w:r w:rsidRPr="007F380D">
        <w:rPr>
          <w:rFonts w:ascii="Arial" w:hAnsi="Arial" w:cs="Arial"/>
          <w:color w:val="000000"/>
          <w:sz w:val="20"/>
          <w:szCs w:val="20"/>
        </w:rPr>
        <w:fldChar w:fldCharType="begin"/>
      </w:r>
      <w:r w:rsidR="00556E00">
        <w:rPr>
          <w:rFonts w:ascii="Arial" w:hAnsi="Arial" w:cs="Arial"/>
          <w:color w:val="000000"/>
          <w:sz w:val="20"/>
          <w:szCs w:val="20"/>
        </w:rPr>
        <w:instrText xml:space="preserve"> ADDIN ZOTERO_ITEM CSL_CITATION {"citationID":"jF7V5juo","properties":{"formattedCitation":"(24)","plainCitation":"(24)","noteIndex":0},"citationItems":[{"id":465,"uris":["http://zotero.org/users/9309103/items/ZFDND6RC"],"itemData":{"id":465,"type":"article-journal","abstract":"The hydroxyl radical (OH) fuels tropospheric ozone production and governs the lifetime of methane and many other gases. Existing methods to quantify global OH are limited to annual and global-to-hemispheric averages. Finer resolution is essential for isolating model deficiencies and building process-level understanding. In situ observations from the Atmospheric Tomography (ATom) mission demonstrate that remote tropospheric OH is tightly coupled to the production and loss of formaldehyde (HCHO), a major hydrocarbon oxidation product. Synthesis of this relationship with satellite-based HCHO retrievals and model-derived HCHO loss frequencies yields a map of total-column OH abundance throughout the remote troposphere (up to 70% of tropospheric mass) over the first two ATom missions (August 2016 and February 2017). This dataset offers unique insights on near-global oxidizing capacity. OH exhibits significant seasonality within individual hemispheres, but the domain mean concentration is nearly identical for both seasons (1.03 ± 0.25 × 10\n              6\n              cm\n              −3\n              ), and the biseasonal average North/South Hemisphere ratio is 0.89 ± 0.06, consistent with a balance of OH sources and sinks across the remote troposphere. Regional phenomena are also highlighted, such as a 10-fold OH depression in the Tropical West Pacific and enhancements in the East Pacific and South Atlantic. This method is complementary to budget-based global OH constraints and can help elucidate the spatial and temporal variability of OH production and methane loss.","container-title":"Proceedings of the National Academy of Sciences","DOI":"10.1073/pnas.1821661116","ISSN":"0027-8424, 1091-6490","issue":"23","journalAbbreviation":"Proc Natl Acad Sci USA","language":"en","page":"11171-11180","source":"DOI.org (Crossref)","title":"Mapping hydroxyl variability throughout the global remote troposphere via synthesis of airborne and satellite formaldehyde observations","volume":"116","author":[{"family":"Wolfe","given":"Glenn M."},{"family":"Nicely","given":"Julie M."},{"family":"St. Clair","given":"Jason M."},{"family":"Hanisco","given":"Thomas F."},{"family":"Liao","given":"Jin"},{"family":"Oman","given":"Luke D."},{"family":"Brune","given":"William B."},{"family":"Miller","given":"David"},{"family":"Thames","given":"Alexander"},{"family":"González Abad","given":"Gonzalo"},{"family":"Ryerson","given":"Thomas B."},{"family":"Thompson","given":"Chelsea R."},{"family":"Peischl","given":"Jeff"},{"family":"McKain","given":"Kathryn"},{"family":"Sweeney","given":"Colm"},{"family":"Wennberg","given":"Paul O."},{"family":"Kim","given":"Michelle"},{"family":"Crounse","given":"John D."},{"family":"Hall","given":"Samuel R."},{"family":"Ullmann","given":"Kirk"},{"family":"Diskin","given":"Glenn"},{"family":"Bui","given":"Paul"},{"family":"Chang","given":"Cecilia"},{"family":"Dean-Day","given":"Jonathan"}],"issued":{"date-parts":[["2019",6,4]]}}}],"schema":"https://github.com/citation-style-language/schema/raw/master/csl-citation.json"} </w:instrText>
      </w:r>
      <w:r w:rsidRPr="007F380D">
        <w:rPr>
          <w:rFonts w:ascii="Arial" w:hAnsi="Arial" w:cs="Arial"/>
          <w:color w:val="000000"/>
          <w:sz w:val="20"/>
          <w:szCs w:val="20"/>
        </w:rPr>
        <w:fldChar w:fldCharType="separate"/>
      </w:r>
      <w:r w:rsidR="00556E00" w:rsidRPr="00556E00">
        <w:rPr>
          <w:rFonts w:ascii="Arial" w:hAnsi="Arial" w:cs="Arial"/>
          <w:sz w:val="20"/>
        </w:rPr>
        <w:t>(24)</w:t>
      </w:r>
      <w:r w:rsidRPr="007F380D">
        <w:rPr>
          <w:rFonts w:ascii="Arial" w:hAnsi="Arial" w:cs="Arial"/>
          <w:color w:val="000000"/>
          <w:sz w:val="20"/>
          <w:szCs w:val="20"/>
        </w:rPr>
        <w:fldChar w:fldCharType="end"/>
      </w:r>
      <w:r w:rsidRPr="007F380D">
        <w:rPr>
          <w:rFonts w:ascii="Arial" w:hAnsi="Arial" w:cs="Arial"/>
          <w:color w:val="000000"/>
          <w:sz w:val="20"/>
          <w:szCs w:val="20"/>
        </w:rPr>
        <w:t>.</w:t>
      </w:r>
      <w:bookmarkEnd w:id="29"/>
    </w:p>
    <w:p w14:paraId="7400577E" w14:textId="77777777" w:rsidR="007F380D" w:rsidRDefault="007F380D" w:rsidP="007F380D">
      <w:pPr>
        <w:pBdr>
          <w:top w:val="nil"/>
          <w:left w:val="nil"/>
          <w:bottom w:val="nil"/>
          <w:right w:val="nil"/>
          <w:between w:val="nil"/>
        </w:pBdr>
        <w:contextualSpacing/>
        <w:rPr>
          <w:rFonts w:ascii="Arial" w:hAnsi="Arial" w:cs="Arial"/>
          <w:color w:val="000000"/>
          <w:sz w:val="20"/>
          <w:szCs w:val="20"/>
        </w:rPr>
      </w:pPr>
    </w:p>
    <w:p w14:paraId="62EC3B69" w14:textId="29E4BA24"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Data at 1 Hz time resolution are averaged to 1 minute frequency and gap-filled via linear interpolation for gaps less than 5 minutes by correlating with CO for species with a correlation coefficient (</w:t>
      </w:r>
      <w:r w:rsidRPr="007F380D">
        <w:rPr>
          <w:rFonts w:ascii="Arial" w:hAnsi="Arial" w:cs="Arial"/>
          <w:i/>
          <w:iCs/>
          <w:color w:val="000000"/>
          <w:sz w:val="20"/>
          <w:szCs w:val="20"/>
        </w:rPr>
        <w:t>r</w:t>
      </w:r>
      <w:r w:rsidRPr="007F380D">
        <w:rPr>
          <w:rFonts w:ascii="Arial" w:hAnsi="Arial" w:cs="Arial"/>
          <w:color w:val="000000"/>
          <w:sz w:val="20"/>
          <w:szCs w:val="20"/>
        </w:rPr>
        <w:t xml:space="preserve"> ≥ 0.7) for all data within 500 m of aircraft altitude, and substituting data below an instrument’s limit of detection (LOD) with 20% of the LOD concentration, as in previous box model applications </w:t>
      </w:r>
      <w:r w:rsidRPr="007F380D">
        <w:rPr>
          <w:rFonts w:ascii="Arial" w:hAnsi="Arial" w:cs="Arial"/>
          <w:color w:val="000000"/>
          <w:sz w:val="20"/>
          <w:szCs w:val="20"/>
        </w:rPr>
        <w:fldChar w:fldCharType="begin"/>
      </w:r>
      <w:r w:rsidR="00390F9C">
        <w:rPr>
          <w:rFonts w:ascii="Arial" w:hAnsi="Arial" w:cs="Arial"/>
          <w:color w:val="000000"/>
          <w:sz w:val="20"/>
          <w:szCs w:val="20"/>
        </w:rPr>
        <w:instrText xml:space="preserve"> ADDIN ZOTERO_ITEM CSL_CITATION {"citationID":"FjvUuBR4","properties":{"formattedCitation":"(90)","plainCitation":"(90)","noteIndex":0},"citationItems":[{"id":561,"uris":["http://zotero.org/users/9309103/items/CAHWMV5Z"],"itemData":{"id":561,"type":"article-journal","abstract":"Hydroxyl radical (OH) is the main daytime oxidant in the troposphere and determines the atmospheric lifetimes of many compounds. We use aircraft measurements of O3, H2O, NO, and other species from the Convective Transport of Active Species in the Tropics (CONTRAST) field campaign, which occurred in the tropical western Pacific (TWP) during January–February 2014, to constrain a photochemical box model and estimate concentrations of OH throughout the troposphere. We find that tropospheric column OH (OHCOL) inferred from CONTRAST observations is 12 to 40% higher than found in chemical transport models (CTMs), including CAM-chem-SD run with 2014 meteorology as well as eight models that participated in POLMIP (2008 meteorology). Part of this discrepancy is due to a clear-sky sampling bias that affects CONTRAST observations; accounting for this bias and also for a small difference in chemical mechanism results in our empirically based value of OHCOL being 0 to 20% larger than found within global models. While these global models simulate observed O3 reasonably well, they underestimate NOx (NO + NO2) by a factor of 2, resulting in OHCOL 30% lower than box model simulations constrained by observed NO. Underestimations by CTMs of observed CH3CHO throughout the troposphere and of HCHO in the upper troposphere further contribute to differences between our constrained estimates of OH and those calculated by CTMs. Finally, our calculations do not support the prior suggestion of the existence of a tropospheric OH minimum in the TWP, because during January–February 2014 observed levels of O3 and NO were considerably larger than previously reported values in the TWP.","container-title":"Journal of Geophysical Research: Atmospheres","DOI":"10.1002/2016JD025067","ISSN":"2169-8996","issue":"12","language":"en","license":"©2016. American Geophysical Union. All Rights Reserved.","note":"_eprint: https://agupubs.onlinelibrary.wiley.com/doi/pdf/10.1002/2016JD025067","page":"7461-7488","source":"Wiley Online Library","title":"An observationally constrained evaluation of the oxidative capacity in the tropical western Pacific troposphere","volume":"121","author":[{"family":"Nicely","given":"Julie M."},{"family":"Anderson","given":"Daniel C."},{"family":"Canty","given":"Timothy P."},{"family":"Salawitch","given":"Ross J."},{"family":"Wolfe","given":"Glenn M."},{"family":"Apel","given":"Eric C."},{"family":"Arnold","given":"Steve R."},{"family":"Atlas","given":"Elliot L."},{"family":"Blake","given":"Nicola J."},{"family":"Bresch","given":"James F."},{"family":"Campos","given":"Teresa L."},{"family":"Dickerson","given":"Russell R."},{"family":"Duncan","given":"Bryan"},{"family":"Emmons","given":"Louisa K."},{"family":"Evans","given":"Mathew J."},{"family":"Fernandez","given":"Rafael P."},{"family":"Flemming","given":"Johannes"},{"family":"Hall","given":"Samuel R."},{"family":"Hanisco","given":"Thomas F."},{"family":"Honomichl","given":"Shawn B."},{"family":"Hornbrook","given":"Rebecca S."},{"family":"Huijnen","given":"Vincent"},{"family":"Kaser","given":"Lisa"},{"family":"Kinnison","given":"Douglas E."},{"family":"Lamarque","given":"Jean-Francois"},{"family":"Mao","given":"Jingqiu"},{"family":"Monks","given":"Sarah A."},{"family":"Montzka","given":"Denise D."},{"family":"Pan","given":"Laura L."},{"family":"Riemer","given":"Daniel D."},{"family":"Saiz</w:instrText>
      </w:r>
      <w:r w:rsidR="00390F9C">
        <w:rPr>
          <w:rFonts w:ascii="Cambria Math" w:hAnsi="Cambria Math" w:cs="Cambria Math"/>
          <w:color w:val="000000"/>
          <w:sz w:val="20"/>
          <w:szCs w:val="20"/>
        </w:rPr>
        <w:instrText>‐</w:instrText>
      </w:r>
      <w:r w:rsidR="00390F9C">
        <w:rPr>
          <w:rFonts w:ascii="Arial" w:hAnsi="Arial" w:cs="Arial"/>
          <w:color w:val="000000"/>
          <w:sz w:val="20"/>
          <w:szCs w:val="20"/>
        </w:rPr>
        <w:instrText xml:space="preserve">Lopez","given":"Alfonso"},{"family":"Steenrod","given":"Stephen D."},{"family":"Stell","given":"Meghan H."},{"family":"Tilmes","given":"Simone"},{"family":"Turquety","given":"Solene"},{"family":"Ullmann","given":"Kirk"},{"family":"Weinheimer","given":"Andrew J."}],"issued":{"date-parts":[["2016"]]}}}],"schema":"https://github.com/citation-style-language/schema/raw/master/csl-citation.json"} </w:instrText>
      </w:r>
      <w:r w:rsidRPr="007F380D">
        <w:rPr>
          <w:rFonts w:ascii="Arial" w:hAnsi="Arial" w:cs="Arial"/>
          <w:color w:val="000000"/>
          <w:sz w:val="20"/>
          <w:szCs w:val="20"/>
        </w:rPr>
        <w:fldChar w:fldCharType="separate"/>
      </w:r>
      <w:r w:rsidR="00390F9C" w:rsidRPr="00390F9C">
        <w:rPr>
          <w:rFonts w:ascii="Arial" w:hAnsi="Arial" w:cs="Arial"/>
          <w:sz w:val="20"/>
        </w:rPr>
        <w:t>(90)</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The following reactions are added to the F0AM chemical mechanism </w:t>
      </w:r>
      <w:r w:rsidRPr="007F380D">
        <w:rPr>
          <w:rFonts w:ascii="Arial" w:hAnsi="Arial" w:cs="Arial"/>
          <w:color w:val="000000"/>
          <w:sz w:val="20"/>
          <w:szCs w:val="20"/>
        </w:rPr>
        <w:lastRenderedPageBreak/>
        <w:t>(MCM v3.3.1): CH</w:t>
      </w:r>
      <w:r w:rsidRPr="007F380D">
        <w:rPr>
          <w:rFonts w:ascii="Arial" w:hAnsi="Arial" w:cs="Arial"/>
          <w:color w:val="000000"/>
          <w:sz w:val="20"/>
          <w:szCs w:val="20"/>
          <w:vertAlign w:val="subscript"/>
        </w:rPr>
        <w:t>4</w:t>
      </w:r>
      <w:r w:rsidRPr="007F380D">
        <w:rPr>
          <w:rFonts w:ascii="Arial" w:hAnsi="Arial" w:cs="Arial"/>
          <w:color w:val="000000"/>
          <w:sz w:val="20"/>
          <w:szCs w:val="20"/>
        </w:rPr>
        <w:t>+O(</w:t>
      </w:r>
      <w:r w:rsidRPr="007F380D">
        <w:rPr>
          <w:rFonts w:ascii="Arial" w:hAnsi="Arial" w:cs="Arial"/>
          <w:color w:val="000000"/>
          <w:sz w:val="20"/>
          <w:szCs w:val="20"/>
          <w:vertAlign w:val="superscript"/>
        </w:rPr>
        <w:t>1</w:t>
      </w:r>
      <w:r w:rsidRPr="007F380D">
        <w:rPr>
          <w:rFonts w:ascii="Arial" w:hAnsi="Arial" w:cs="Arial"/>
          <w:color w:val="000000"/>
          <w:sz w:val="20"/>
          <w:szCs w:val="20"/>
        </w:rPr>
        <w:t>D), photolysis of HO</w:t>
      </w:r>
      <w:r w:rsidRPr="007F380D">
        <w:rPr>
          <w:rFonts w:ascii="Arial" w:hAnsi="Arial" w:cs="Arial"/>
          <w:color w:val="000000"/>
          <w:sz w:val="20"/>
          <w:szCs w:val="20"/>
          <w:vertAlign w:val="subscript"/>
        </w:rPr>
        <w:t>2</w:t>
      </w:r>
      <w:r w:rsidRPr="007F380D">
        <w:rPr>
          <w:rFonts w:ascii="Arial" w:hAnsi="Arial" w:cs="Arial"/>
          <w:color w:val="000000"/>
          <w:sz w:val="20"/>
          <w:szCs w:val="20"/>
        </w:rPr>
        <w:t>NO</w:t>
      </w:r>
      <w:r w:rsidRPr="007F380D">
        <w:rPr>
          <w:rFonts w:ascii="Arial" w:hAnsi="Arial" w:cs="Arial"/>
          <w:color w:val="000000"/>
          <w:sz w:val="20"/>
          <w:szCs w:val="20"/>
          <w:vertAlign w:val="subscript"/>
        </w:rPr>
        <w:t>2</w:t>
      </w:r>
      <w:r w:rsidRPr="007F380D">
        <w:rPr>
          <w:rFonts w:ascii="Arial" w:hAnsi="Arial" w:cs="Arial"/>
          <w:color w:val="000000"/>
          <w:sz w:val="20"/>
          <w:szCs w:val="20"/>
        </w:rPr>
        <w:t>, and CH</w:t>
      </w:r>
      <w:r w:rsidRPr="007F380D">
        <w:rPr>
          <w:rFonts w:ascii="Arial" w:hAnsi="Arial" w:cs="Arial"/>
          <w:color w:val="000000"/>
          <w:sz w:val="20"/>
          <w:szCs w:val="20"/>
          <w:vertAlign w:val="subscript"/>
        </w:rPr>
        <w:t>3</w:t>
      </w:r>
      <w:r w:rsidRPr="007F380D">
        <w:rPr>
          <w:rFonts w:ascii="Arial" w:hAnsi="Arial" w:cs="Arial"/>
          <w:color w:val="000000"/>
          <w:sz w:val="20"/>
          <w:szCs w:val="20"/>
        </w:rPr>
        <w:t>O</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+OH </w:t>
      </w:r>
      <w:r w:rsidRPr="007F380D">
        <w:rPr>
          <w:rFonts w:ascii="Arial" w:hAnsi="Arial" w:cs="Arial"/>
          <w:color w:val="000000"/>
          <w:sz w:val="20"/>
          <w:szCs w:val="20"/>
        </w:rPr>
        <w:fldChar w:fldCharType="begin"/>
      </w:r>
      <w:r w:rsidR="00556E00">
        <w:rPr>
          <w:rFonts w:ascii="Arial" w:hAnsi="Arial" w:cs="Arial"/>
          <w:color w:val="000000"/>
          <w:sz w:val="20"/>
          <w:szCs w:val="20"/>
        </w:rPr>
        <w:instrText xml:space="preserve"> ADDIN ZOTERO_ITEM CSL_CITATION {"citationID":"28y4bxYM","properties":{"formattedCitation":"(91)","plainCitation":"(91)","noteIndex":0},"citationItems":[{"id":564,"uris":["http://zotero.org/users/9309103/items/3BB9TYZA"],"itemData":{"id":564,"type":"article-journal","abstract":"The reaction between CH3O2 and OH radicals has been shown to be fast and to play an appreciable role for the removal of CH3O2 radials in remote environments such as the marine boundary layer. Two different experimental techniques have been used here to determine the products of this reaction. The HO2 yield has been obtained from simultaneous time-resolved measurements of the absolute concentration of CH3O2, OH, and HO2 radicals by cw-CRDS. The possible formation of a Criegee intermediate has been measured by broadband cavity enhanced UV absorption. A yield of ϕHO2 = (0.8 ± 0.2) and an upper limit for ϕCriegee = 0.05 has been determined for this reaction, suggesting a minor yield of methanol or stabilized trioxide as a product. The impact of this reaction on the composition of the remote marine boundary layer has been determined by implementing these findings into a box model utilizing the Master Chemical Mechanism v3.2, and constraining the model for conditions found at the Cape Verde Atmospheric Observatory in the remote tropical Atlantic Ocean. Inclusion of the CH3O2+OH reaction into the model results in up to 30% decrease in the CH3O2 radical concentration while the HO2 concentration increased by up to 20%. Production and destruction of O3 are also influenced by these changes, and the model indicates that taking into account the reaction between CH3O2 and OH leads to a 6% decrease of O3.","container-title":"Environmental Science &amp; Technology","DOI":"10.1021/acs.est.6b06265","ISSN":"0013-936X","issue":"4","journalAbbreviation":"Environ. Sci. Technol.","note":"publisher: American Chemical Society","page":"2170-2177","source":"ACS Publications","title":"The Reaction between CH3O2 and OH Radicals: Product Yields and Atmospheric Implications","title-short":"The Reaction between CH3O2 and OH Radicals","volume":"51","author":[{"family":"Assaf","given":"Emmanuel"},{"family":"Sheps","given":"Leonid"},{"family":"Whalley","given":"Lisa"},{"family":"Heard","given":"Dwayne"},{"family":"Tomas","given":"Alexandre"},{"family":"Schoemaecker","given":"Coralie"},{"family":"Fittschen","given":"Christa"}],"issued":{"date-parts":[["2017",2,21]]}}}],"schema":"https://github.com/citation-style-language/schema/raw/master/csl-citation.json"} </w:instrText>
      </w:r>
      <w:r w:rsidRPr="007F380D">
        <w:rPr>
          <w:rFonts w:ascii="Arial" w:hAnsi="Arial" w:cs="Arial"/>
          <w:color w:val="000000"/>
          <w:sz w:val="20"/>
          <w:szCs w:val="20"/>
        </w:rPr>
        <w:fldChar w:fldCharType="separate"/>
      </w:r>
      <w:r w:rsidR="00556E00" w:rsidRPr="00556E00">
        <w:rPr>
          <w:rFonts w:ascii="Arial" w:hAnsi="Arial" w:cs="Arial"/>
          <w:sz w:val="20"/>
        </w:rPr>
        <w:t>(91)</w:t>
      </w:r>
      <w:r w:rsidRPr="007F380D">
        <w:rPr>
          <w:rFonts w:ascii="Arial" w:hAnsi="Arial" w:cs="Arial"/>
          <w:color w:val="000000"/>
          <w:sz w:val="20"/>
          <w:szCs w:val="20"/>
        </w:rPr>
        <w:fldChar w:fldCharType="end"/>
      </w:r>
      <w:r w:rsidRPr="007F380D">
        <w:rPr>
          <w:rFonts w:ascii="Arial" w:hAnsi="Arial" w:cs="Arial"/>
          <w:color w:val="000000"/>
          <w:sz w:val="20"/>
          <w:szCs w:val="20"/>
        </w:rPr>
        <w:t>. Box model simulations are performed for all data points where the CO and O</w:t>
      </w:r>
      <w:r w:rsidRPr="007F380D">
        <w:rPr>
          <w:rFonts w:ascii="Arial" w:hAnsi="Arial" w:cs="Arial"/>
          <w:color w:val="000000"/>
          <w:sz w:val="20"/>
          <w:szCs w:val="20"/>
          <w:vertAlign w:val="subscript"/>
        </w:rPr>
        <w:t>3</w:t>
      </w:r>
      <w:r w:rsidRPr="007F380D">
        <w:rPr>
          <w:rFonts w:ascii="Arial" w:hAnsi="Arial" w:cs="Arial"/>
          <w:color w:val="000000"/>
          <w:sz w:val="20"/>
          <w:szCs w:val="20"/>
        </w:rPr>
        <w:t xml:space="preserve"> values are valid (following gap-filling) and where either or both NO and NO</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 are greater than zero. All flights from all four ATom deployments are simulated with the following exceptions: ATom-3 flight 20170928 (for which NO</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 measurements are missing), ATom-3 flights 20171014, 20171025, and 20171027 (for which photolysis measurements are missing), and ATom-4 flight 20180518 (a transit flight during which VOC measurements were not made).</w:t>
      </w:r>
    </w:p>
    <w:p w14:paraId="6ADDE055" w14:textId="77777777" w:rsidR="007F380D" w:rsidRDefault="007F380D" w:rsidP="007F380D">
      <w:pPr>
        <w:pBdr>
          <w:top w:val="nil"/>
          <w:left w:val="nil"/>
          <w:bottom w:val="nil"/>
          <w:right w:val="nil"/>
          <w:between w:val="nil"/>
        </w:pBdr>
        <w:contextualSpacing/>
        <w:rPr>
          <w:rFonts w:ascii="Arial" w:hAnsi="Arial" w:cs="Arial"/>
          <w:color w:val="000000"/>
          <w:sz w:val="20"/>
          <w:szCs w:val="20"/>
        </w:rPr>
      </w:pPr>
    </w:p>
    <w:p w14:paraId="1BB005E3" w14:textId="01CF7F94"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The F0AM simulations are integrated with a 10 min time step to diurnal steady-state, which occurs when the fractional change in short-lived species through a simulated solar cycle falls below 0.1%. Photolysis frequencies vary diurnally and are scaled to match the measured J-values at the local time of observation. All other constraints are held fixed throughout the simulation. A family constraint is imposed for NO</w:t>
      </w:r>
      <w:r w:rsidRPr="007F380D">
        <w:rPr>
          <w:rFonts w:ascii="Arial" w:hAnsi="Arial" w:cs="Arial"/>
          <w:color w:val="000000"/>
          <w:sz w:val="20"/>
          <w:szCs w:val="20"/>
          <w:vertAlign w:val="subscript"/>
        </w:rPr>
        <w:t>x</w:t>
      </w:r>
      <w:r w:rsidRPr="007F380D">
        <w:rPr>
          <w:rFonts w:ascii="Arial" w:hAnsi="Arial" w:cs="Arial"/>
          <w:color w:val="000000"/>
          <w:sz w:val="20"/>
          <w:szCs w:val="20"/>
        </w:rPr>
        <w:t>, such that NO and NO</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 concentrations are allowed to fluctuate diurnally, while their sum remains fixed to that measured. A second simulation then adjusts the total NO</w:t>
      </w:r>
      <w:r w:rsidRPr="007F380D">
        <w:rPr>
          <w:rFonts w:ascii="Arial" w:hAnsi="Arial" w:cs="Arial"/>
          <w:color w:val="000000"/>
          <w:sz w:val="20"/>
          <w:szCs w:val="20"/>
          <w:vertAlign w:val="subscript"/>
        </w:rPr>
        <w:t>x</w:t>
      </w:r>
      <w:r w:rsidRPr="007F380D">
        <w:rPr>
          <w:rFonts w:ascii="Arial" w:hAnsi="Arial" w:cs="Arial"/>
          <w:color w:val="000000"/>
          <w:sz w:val="20"/>
          <w:szCs w:val="20"/>
        </w:rPr>
        <w:t xml:space="preserve"> abundance, such that the resulting simulated NO concentration matches the observed NO, which is less susceptible to measurement artifacts than NO</w:t>
      </w:r>
      <w:r w:rsidRPr="007F380D">
        <w:rPr>
          <w:rFonts w:ascii="Arial" w:hAnsi="Arial" w:cs="Arial"/>
          <w:color w:val="000000"/>
          <w:sz w:val="20"/>
          <w:szCs w:val="20"/>
          <w:vertAlign w:val="subscript"/>
        </w:rPr>
        <w:t>2</w:t>
      </w:r>
      <w:r w:rsidRPr="007F380D">
        <w:rPr>
          <w:rFonts w:ascii="Arial" w:hAnsi="Arial" w:cs="Arial"/>
          <w:color w:val="000000"/>
          <w:sz w:val="20"/>
          <w:szCs w:val="20"/>
        </w:rPr>
        <w:t>. This approach thus imposes an NO constraint while allowing NO and NO</w:t>
      </w:r>
      <w:r w:rsidRPr="007F380D">
        <w:rPr>
          <w:rFonts w:ascii="Arial" w:hAnsi="Arial" w:cs="Arial"/>
          <w:color w:val="000000"/>
          <w:sz w:val="20"/>
          <w:szCs w:val="20"/>
          <w:vertAlign w:val="subscript"/>
        </w:rPr>
        <w:t>2</w:t>
      </w:r>
      <w:r w:rsidRPr="007F380D">
        <w:rPr>
          <w:rFonts w:ascii="Arial" w:hAnsi="Arial" w:cs="Arial"/>
          <w:color w:val="000000"/>
          <w:sz w:val="20"/>
          <w:szCs w:val="20"/>
        </w:rPr>
        <w:t xml:space="preserve"> to undergo diurnal variation during the simulation in a realistic manner. </w:t>
      </w:r>
    </w:p>
    <w:p w14:paraId="637C4364" w14:textId="5314734E" w:rsidR="007F380D" w:rsidRDefault="007F380D" w:rsidP="00E6133D">
      <w:pPr>
        <w:pBdr>
          <w:top w:val="nil"/>
          <w:left w:val="nil"/>
          <w:bottom w:val="nil"/>
          <w:right w:val="nil"/>
          <w:between w:val="nil"/>
        </w:pBdr>
        <w:contextualSpacing/>
        <w:rPr>
          <w:rFonts w:ascii="Arial" w:hAnsi="Arial" w:cs="Arial"/>
          <w:color w:val="000000"/>
          <w:sz w:val="20"/>
          <w:szCs w:val="20"/>
        </w:rPr>
      </w:pPr>
    </w:p>
    <w:p w14:paraId="5298651B" w14:textId="0994B509" w:rsidR="007F380D" w:rsidRDefault="00A42EF2" w:rsidP="00E6133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Pr>
          <w:rFonts w:ascii="Arial" w:hAnsi="Arial" w:cs="Arial"/>
          <w:color w:val="000000"/>
          <w:sz w:val="20"/>
          <w:szCs w:val="20"/>
        </w:rPr>
        <w:t>.1.3 Data preparation</w:t>
      </w:r>
    </w:p>
    <w:p w14:paraId="511B806D" w14:textId="271AB7C1" w:rsidR="007F380D" w:rsidRDefault="007F380D" w:rsidP="00E6133D">
      <w:pPr>
        <w:pBdr>
          <w:top w:val="nil"/>
          <w:left w:val="nil"/>
          <w:bottom w:val="nil"/>
          <w:right w:val="nil"/>
          <w:between w:val="nil"/>
        </w:pBdr>
        <w:contextualSpacing/>
        <w:rPr>
          <w:rFonts w:ascii="Arial" w:hAnsi="Arial" w:cs="Arial"/>
          <w:color w:val="000000"/>
          <w:sz w:val="20"/>
          <w:szCs w:val="20"/>
        </w:rPr>
      </w:pPr>
    </w:p>
    <w:p w14:paraId="6BB47EB9" w14:textId="716A222D" w:rsidR="00C468BC" w:rsidRPr="007F380D" w:rsidRDefault="00C468BC" w:rsidP="00C468BC">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For much of our analysis, we spatially subset the ATom data and AM3 simulations</w:t>
      </w:r>
      <w:r w:rsidR="008D5518">
        <w:rPr>
          <w:rFonts w:ascii="Arial" w:hAnsi="Arial" w:cs="Arial"/>
          <w:color w:val="000000"/>
          <w:sz w:val="20"/>
          <w:szCs w:val="20"/>
        </w:rPr>
        <w:t xml:space="preserve"> (section </w:t>
      </w:r>
      <w:r w:rsidR="00A42EF2">
        <w:rPr>
          <w:rFonts w:ascii="Arial" w:hAnsi="Arial" w:cs="Arial"/>
          <w:color w:val="000000"/>
          <w:sz w:val="20"/>
          <w:szCs w:val="20"/>
        </w:rPr>
        <w:t>8</w:t>
      </w:r>
      <w:r w:rsidR="008D5518">
        <w:rPr>
          <w:rFonts w:ascii="Arial" w:hAnsi="Arial" w:cs="Arial"/>
          <w:color w:val="000000"/>
          <w:sz w:val="20"/>
          <w:szCs w:val="20"/>
        </w:rPr>
        <w:t>.1.4)</w:t>
      </w:r>
      <w:r w:rsidRPr="007F380D">
        <w:rPr>
          <w:rFonts w:ascii="Arial" w:hAnsi="Arial" w:cs="Arial"/>
          <w:color w:val="000000"/>
          <w:sz w:val="20"/>
          <w:szCs w:val="20"/>
        </w:rPr>
        <w:t xml:space="preserve"> into a 2 km altitude by 20° </w:t>
      </w:r>
      <w:r w:rsidR="008D5518">
        <w:rPr>
          <w:rFonts w:ascii="Arial" w:hAnsi="Arial" w:cs="Arial"/>
          <w:color w:val="000000"/>
          <w:sz w:val="20"/>
          <w:szCs w:val="20"/>
        </w:rPr>
        <w:t>latitudinal</w:t>
      </w:r>
      <w:r w:rsidRPr="007F380D">
        <w:rPr>
          <w:rFonts w:ascii="Arial" w:hAnsi="Arial" w:cs="Arial"/>
          <w:color w:val="000000"/>
          <w:sz w:val="20"/>
          <w:szCs w:val="20"/>
        </w:rPr>
        <w:t xml:space="preserve"> (~2,000 km) grid that spans 0 to 10 km and -60° to 60°N, including both ocean basins. We refer to the 0-2, 2-8 or 8-10 km altitude ranges as the lower, mid- or upper troposphere and to the 0°-20°, 20°-40° or 40°-60° zonal ranges in either hemisphere as tropical, extratropical or mid-latitude, respectively. </w:t>
      </w:r>
      <w:r w:rsidR="00CC64F9">
        <w:rPr>
          <w:rFonts w:ascii="Arial" w:hAnsi="Arial" w:cs="Arial"/>
          <w:color w:val="000000"/>
          <w:sz w:val="20"/>
          <w:szCs w:val="20"/>
        </w:rPr>
        <w:t>Referencing</w:t>
      </w:r>
      <w:r w:rsidR="00CC64F9" w:rsidRPr="007F380D">
        <w:rPr>
          <w:rFonts w:ascii="Arial" w:hAnsi="Arial" w:cs="Arial"/>
          <w:color w:val="000000"/>
          <w:sz w:val="20"/>
          <w:szCs w:val="20"/>
        </w:rPr>
        <w:t xml:space="preserve"> </w:t>
      </w:r>
      <w:r w:rsidRPr="007F380D">
        <w:rPr>
          <w:rFonts w:ascii="Arial" w:hAnsi="Arial" w:cs="Arial"/>
          <w:color w:val="000000"/>
          <w:sz w:val="20"/>
          <w:szCs w:val="20"/>
        </w:rPr>
        <w:t xml:space="preserve">the previously </w:t>
      </w:r>
      <w:r w:rsidR="00CC64F9">
        <w:rPr>
          <w:rFonts w:ascii="Arial" w:hAnsi="Arial" w:cs="Arial"/>
          <w:color w:val="000000"/>
          <w:sz w:val="20"/>
          <w:szCs w:val="20"/>
        </w:rPr>
        <w:t>calculated</w:t>
      </w:r>
      <w:r w:rsidR="00CC64F9" w:rsidRPr="007F380D">
        <w:rPr>
          <w:rFonts w:ascii="Arial" w:hAnsi="Arial" w:cs="Arial"/>
          <w:color w:val="000000"/>
          <w:sz w:val="20"/>
          <w:szCs w:val="20"/>
        </w:rPr>
        <w:t xml:space="preserve"> </w:t>
      </w:r>
      <w:r w:rsidRPr="007F380D">
        <w:rPr>
          <w:rFonts w:ascii="Arial" w:hAnsi="Arial" w:cs="Arial"/>
          <w:color w:val="000000"/>
          <w:sz w:val="20"/>
          <w:szCs w:val="20"/>
        </w:rPr>
        <w:t xml:space="preserve">0.25 km vertical by 6 km horizontal coverage per 30 s of ATom sampling </w:t>
      </w:r>
      <w:r w:rsidRPr="007F380D">
        <w:rPr>
          <w:rFonts w:ascii="Arial" w:hAnsi="Arial" w:cs="Arial"/>
          <w:color w:val="000000"/>
          <w:sz w:val="20"/>
          <w:szCs w:val="20"/>
        </w:rPr>
        <w:fldChar w:fldCharType="begin"/>
      </w:r>
      <w:r w:rsidR="007D17FB">
        <w:rPr>
          <w:rFonts w:ascii="Arial" w:hAnsi="Arial" w:cs="Arial"/>
          <w:color w:val="000000"/>
          <w:sz w:val="20"/>
          <w:szCs w:val="20"/>
        </w:rPr>
        <w:instrText xml:space="preserve"> ADDIN ZOTERO_ITEM CSL_CITATION {"citationID":"5TV4HvNt","properties":{"formattedCitation":"(36)","plainCitation":"(36)","noteIndex":0},"citationItems":[{"id":"DwRQ5GGE/75XDi7ql","uris":["http://zotero.org/users/9309103/items/3C7AJ3RY"],"itemData":{"id":2238,"type":"article-journal","abstract":"Abstract. The NASA Atmospheric Tomography (ATom) mission built a\nphotochemical climatology of air parcels based on in situ measurements with\nthe NASA DC-8 aircraft along objectively planned profiling transects through\nthe middle of the Pacific and Atlantic oceans. In this paper we present and\nanalyze a data set of 10 s (2 km) merged and gap-filled observations of the\nkey reactive species driving the chemical budgets of O3 and CH4\n(O3, CH4, CO, H2O, HCHO, H2O2, CH3OOH,\nC2H6, higher alkanes, alkenes, aromatics, NOx, HNO3,\nHNO4, peroxyacetyl nitrate, and other organic nitrates), consisting of\n146 494 distinct air parcels from ATom deployments 1 through 4. Six models\ncalculated the O3 and CH4 photochemical tendencies from this\nmodeling data stream for ATom 1. We find that 80 %–90 % of the\ntotal reactivity lies in the top 50 % of the parcels and 25 %–35 % in the top 10 %, supporting previous model-only studies that\ntropospheric chemistry is driven by a fraction of all the air. Surprisingly,\nthe probability densities of species and reactivities averaged on a model\nscale (100 km) differ only slightly from the 2 km ATom 10 s data, indicating\nthat much of the heterogeneity in tropospheric chemistry can be captured\nwith current global chemistry models. Comparing the ATom reactivities over\nthe tropical oceans with climatological statistics from six global chemistry\nmodels, we find generally good agreement with the reactivity rates for\nO3 and CH4. Models distinctly underestimate O3 production\nbelow 2 km relative to the mid-troposphere, and this can be traced to lower\nNOx levels than observed. Attaching photochemical reactivities to\nmeasurements of chemical species allows for a richer, yet more\nconstrained-to-what-matters, set of metrics for model evaluation. This paper\npresents a corrected version of the paper published under the same authors\nand title (sans “corrected”) as https://doi.org/10.5194/acp-21-13729-2021.","container-title":"Atmospheric Chemistry and Physics","DOI":"10.5194/acp-23-99-2023","ISSN":"1680-7324","issue":"1","journalAbbreviation":"Atmos. Chem. Phys.","language":"en","page":"99-117","source":"DOI.org (Crossref)","title":"Heterogeneity and chemical reactivity of the remote troposphere defined by aircraft measurements – corrected","volume":"23","author":[{"family":"Guo","given":"Hao"},{"family":"Flynn","given":"Clare M."},{"family":"Prather","given":"Michael J."},{"family":"Strode","given":"Sarah A."},{"family":"Steenrod","given":"Stephen D."},{"family":"Emmons","given":"Louisa"},{"family":"Lacey","given":"Forrest"},{"family":"Lamarque","given":"Jean-Francois"},{"family":"Fiore","given":"Arlene M."},{"family":"Correa","given":"Gus"},{"family":"Murray","given":"Lee T."},{"family":"Wolfe","given":"Glenn M."},{"family":"St. Clair","given":"Jason M."},{"family":"Kim","given":"Michelle"},{"family":"Crounse","given":"John"},{"family":"Diskin","given":"Glenn"},{"family":"DiGangi","given":"Joshua"},{"family":"Daube","given":"Bruce C."},{"family":"Commane","given":"Roisin"},{"family":"McKain","given":"Kathryn"},{"family":"Peischl","given":"Jeff"},{"family":"Ryerson","given":"Thomas B."},{"family":"Thompson","given":"Chelsea"},{"family":"Hanisco","given":"Thomas F."},{"family":"Blake","given":"Donald"},{"family":"Blake","given":"Nicola J."},{"family":"Apel","given":"Eric C."},{"family":"Hornbrook","given":"Rebecca S."},{"family":"Elkins","given":"James W."},{"family":"Hintsa","given":"Eric J."},{"family":"Moore","given":"Fred L."},{"family":"Wofsy","given":"Steven C."}],"issued":{"date-parts":[["2023",1,4]]}}}],"schema":"https://github.com/citation-style-language/schema/raw/master/csl-citation.json"} </w:instrText>
      </w:r>
      <w:r w:rsidRPr="007F380D">
        <w:rPr>
          <w:rFonts w:ascii="Arial" w:hAnsi="Arial" w:cs="Arial"/>
          <w:color w:val="000000"/>
          <w:sz w:val="20"/>
          <w:szCs w:val="20"/>
        </w:rPr>
        <w:fldChar w:fldCharType="separate"/>
      </w:r>
      <w:r w:rsidR="0003499F" w:rsidRPr="0003499F">
        <w:rPr>
          <w:rFonts w:ascii="Arial" w:hAnsi="Arial" w:cs="Arial"/>
          <w:sz w:val="20"/>
        </w:rPr>
        <w:t>(36)</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our spatial bins integrate approximately 4 minutes of vertical and two hours of horizontal measurement, in comparison with the hourly timestep of our global model. </w:t>
      </w:r>
      <w:r>
        <w:rPr>
          <w:rFonts w:ascii="Arial" w:hAnsi="Arial" w:cs="Arial"/>
          <w:color w:val="000000"/>
          <w:sz w:val="20"/>
          <w:szCs w:val="20"/>
        </w:rPr>
        <w:t>For consistency, we use ATom data between 60°S to 60°N and below 10 km when considering larger spatial scales.</w:t>
      </w:r>
    </w:p>
    <w:p w14:paraId="0A123AB5" w14:textId="77777777" w:rsidR="00C468BC" w:rsidRDefault="00C468BC" w:rsidP="007F380D">
      <w:pPr>
        <w:pBdr>
          <w:top w:val="nil"/>
          <w:left w:val="nil"/>
          <w:bottom w:val="nil"/>
          <w:right w:val="nil"/>
          <w:between w:val="nil"/>
        </w:pBdr>
        <w:contextualSpacing/>
        <w:rPr>
          <w:rFonts w:ascii="Arial" w:hAnsi="Arial" w:cs="Arial"/>
          <w:color w:val="000000"/>
          <w:sz w:val="20"/>
          <w:szCs w:val="20"/>
        </w:rPr>
      </w:pPr>
    </w:p>
    <w:p w14:paraId="6A64D04D" w14:textId="5E1D6F9C"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W</w:t>
      </w:r>
      <w:r w:rsidR="00247C11">
        <w:rPr>
          <w:rFonts w:ascii="Arial" w:hAnsi="Arial" w:cs="Arial"/>
          <w:color w:val="000000"/>
          <w:sz w:val="20"/>
          <w:szCs w:val="20"/>
        </w:rPr>
        <w:t xml:space="preserve">ithin our </w:t>
      </w:r>
      <w:r w:rsidR="00247C11" w:rsidRPr="00FE4B76">
        <w:rPr>
          <w:rFonts w:ascii="Arial" w:hAnsi="Arial" w:cs="Arial"/>
          <w:color w:val="000000"/>
          <w:sz w:val="20"/>
          <w:szCs w:val="20"/>
        </w:rPr>
        <w:t>domain, w</w:t>
      </w:r>
      <w:r w:rsidRPr="00FE4B76">
        <w:rPr>
          <w:rFonts w:ascii="Arial" w:hAnsi="Arial" w:cs="Arial"/>
          <w:color w:val="000000"/>
          <w:sz w:val="20"/>
          <w:szCs w:val="20"/>
        </w:rPr>
        <w:t xml:space="preserve">e filter the ATom data to exclude air masses with strong influence from biomass burning (CO concentration over 150 ppb, </w:t>
      </w:r>
      <w:r w:rsidR="00200922" w:rsidRPr="00FE4B76">
        <w:rPr>
          <w:rFonts w:ascii="Arial" w:hAnsi="Arial" w:cs="Arial"/>
          <w:color w:val="000000"/>
          <w:sz w:val="20"/>
          <w:szCs w:val="20"/>
        </w:rPr>
        <w:t>2.2</w:t>
      </w:r>
      <w:r w:rsidRPr="00FE4B76">
        <w:rPr>
          <w:rFonts w:ascii="Arial" w:hAnsi="Arial" w:cs="Arial"/>
          <w:color w:val="000000"/>
          <w:sz w:val="20"/>
          <w:szCs w:val="20"/>
        </w:rPr>
        <w:t xml:space="preserve">% of </w:t>
      </w:r>
      <w:r w:rsidR="00200922" w:rsidRPr="00FE4B76">
        <w:rPr>
          <w:rFonts w:ascii="Arial" w:hAnsi="Arial" w:cs="Arial"/>
          <w:color w:val="000000"/>
          <w:sz w:val="20"/>
          <w:szCs w:val="20"/>
        </w:rPr>
        <w:t xml:space="preserve">valid </w:t>
      </w:r>
      <w:r w:rsidR="001C56AA">
        <w:rPr>
          <w:rFonts w:ascii="Arial" w:hAnsi="Arial" w:cs="Arial"/>
          <w:color w:val="000000"/>
          <w:sz w:val="20"/>
          <w:szCs w:val="20"/>
        </w:rPr>
        <w:t>observed points</w:t>
      </w:r>
      <w:r w:rsidRPr="00FE4B76">
        <w:rPr>
          <w:rFonts w:ascii="Arial" w:hAnsi="Arial" w:cs="Arial"/>
          <w:color w:val="000000"/>
          <w:sz w:val="20"/>
          <w:szCs w:val="20"/>
        </w:rPr>
        <w:t>)</w:t>
      </w:r>
      <w:r w:rsidR="00C468BC" w:rsidRPr="00FE4B76">
        <w:rPr>
          <w:rFonts w:ascii="Arial" w:hAnsi="Arial" w:cs="Arial"/>
          <w:color w:val="000000"/>
          <w:sz w:val="20"/>
          <w:szCs w:val="20"/>
        </w:rPr>
        <w:t>,</w:t>
      </w:r>
      <w:r w:rsidRPr="00FE4B76">
        <w:rPr>
          <w:rFonts w:ascii="Arial" w:hAnsi="Arial" w:cs="Arial"/>
          <w:color w:val="000000"/>
          <w:sz w:val="20"/>
          <w:szCs w:val="20"/>
        </w:rPr>
        <w:t xml:space="preserve"> the stratosphere (water vapor (H</w:t>
      </w:r>
      <w:r w:rsidRPr="00FE4B76">
        <w:rPr>
          <w:rFonts w:ascii="Arial" w:hAnsi="Arial" w:cs="Arial"/>
          <w:color w:val="000000"/>
          <w:sz w:val="20"/>
          <w:szCs w:val="20"/>
          <w:vertAlign w:val="subscript"/>
        </w:rPr>
        <w:t>2</w:t>
      </w:r>
      <w:r w:rsidRPr="00FE4B76">
        <w:rPr>
          <w:rFonts w:ascii="Arial" w:hAnsi="Arial" w:cs="Arial"/>
          <w:color w:val="000000"/>
          <w:sz w:val="20"/>
          <w:szCs w:val="20"/>
        </w:rPr>
        <w:t xml:space="preserve">O) mixing ratio below 10 ppm, </w:t>
      </w:r>
      <w:r w:rsidR="00200922" w:rsidRPr="00FE4B76">
        <w:rPr>
          <w:rFonts w:ascii="Arial" w:hAnsi="Arial" w:cs="Arial"/>
          <w:color w:val="000000"/>
          <w:sz w:val="20"/>
          <w:szCs w:val="20"/>
        </w:rPr>
        <w:t>0.7</w:t>
      </w:r>
      <w:r w:rsidRPr="00FE4B76">
        <w:rPr>
          <w:rFonts w:ascii="Arial" w:hAnsi="Arial" w:cs="Arial"/>
          <w:color w:val="000000"/>
          <w:sz w:val="20"/>
          <w:szCs w:val="20"/>
        </w:rPr>
        <w:t xml:space="preserve">% of </w:t>
      </w:r>
      <w:r w:rsidR="001C56AA">
        <w:rPr>
          <w:rFonts w:ascii="Arial" w:hAnsi="Arial" w:cs="Arial"/>
          <w:color w:val="000000"/>
          <w:sz w:val="20"/>
          <w:szCs w:val="20"/>
        </w:rPr>
        <w:t>valid data</w:t>
      </w:r>
      <w:r w:rsidRPr="00FE4B76">
        <w:rPr>
          <w:rFonts w:ascii="Arial" w:hAnsi="Arial" w:cs="Arial"/>
          <w:color w:val="000000"/>
          <w:sz w:val="20"/>
          <w:szCs w:val="20"/>
        </w:rPr>
        <w:t xml:space="preserve">), low incident sun (solar zenith angle &gt; 80°, </w:t>
      </w:r>
      <w:r w:rsidR="00200922" w:rsidRPr="00FE4B76">
        <w:rPr>
          <w:rFonts w:ascii="Arial" w:hAnsi="Arial" w:cs="Arial"/>
          <w:color w:val="000000"/>
          <w:sz w:val="20"/>
          <w:szCs w:val="20"/>
        </w:rPr>
        <w:t>7</w:t>
      </w:r>
      <w:r w:rsidR="00094B03">
        <w:rPr>
          <w:rFonts w:ascii="Arial" w:hAnsi="Arial" w:cs="Arial"/>
          <w:color w:val="000000"/>
          <w:sz w:val="20"/>
          <w:szCs w:val="20"/>
        </w:rPr>
        <w:t>.0</w:t>
      </w:r>
      <w:r w:rsidRPr="00FE4B76">
        <w:rPr>
          <w:rFonts w:ascii="Arial" w:hAnsi="Arial" w:cs="Arial"/>
          <w:color w:val="000000"/>
          <w:sz w:val="20"/>
          <w:szCs w:val="20"/>
        </w:rPr>
        <w:t xml:space="preserve">% of </w:t>
      </w:r>
      <w:r w:rsidR="001C56AA">
        <w:rPr>
          <w:rFonts w:ascii="Arial" w:hAnsi="Arial" w:cs="Arial"/>
          <w:color w:val="000000"/>
          <w:sz w:val="20"/>
          <w:szCs w:val="20"/>
        </w:rPr>
        <w:t>valid data</w:t>
      </w:r>
      <w:r w:rsidRPr="00FE4B76">
        <w:rPr>
          <w:rFonts w:ascii="Arial" w:hAnsi="Arial" w:cs="Arial"/>
          <w:color w:val="000000"/>
          <w:sz w:val="20"/>
          <w:szCs w:val="20"/>
        </w:rPr>
        <w:t>)</w:t>
      </w:r>
      <w:r w:rsidR="00200922" w:rsidRPr="00FE4B76">
        <w:rPr>
          <w:rFonts w:ascii="Arial" w:hAnsi="Arial" w:cs="Arial"/>
          <w:color w:val="000000"/>
          <w:sz w:val="20"/>
          <w:szCs w:val="20"/>
        </w:rPr>
        <w:t xml:space="preserve"> or anthropogenic pollution (high concentration outliers in NO, defined as above the 75</w:t>
      </w:r>
      <w:r w:rsidR="00200922" w:rsidRPr="00FE4B76">
        <w:rPr>
          <w:rFonts w:ascii="Arial" w:hAnsi="Arial" w:cs="Arial"/>
          <w:color w:val="000000"/>
          <w:sz w:val="20"/>
          <w:szCs w:val="20"/>
          <w:vertAlign w:val="superscript"/>
        </w:rPr>
        <w:t>th</w:t>
      </w:r>
      <w:r w:rsidR="00200922" w:rsidRPr="00FE4B76">
        <w:rPr>
          <w:rFonts w:ascii="Arial" w:hAnsi="Arial" w:cs="Arial"/>
          <w:color w:val="000000"/>
          <w:sz w:val="20"/>
          <w:szCs w:val="20"/>
        </w:rPr>
        <w:t xml:space="preserve"> percentile plus three times </w:t>
      </w:r>
      <w:r w:rsidR="002E047E" w:rsidRPr="00FE4B76">
        <w:rPr>
          <w:rFonts w:ascii="Arial" w:hAnsi="Arial" w:cs="Arial"/>
          <w:color w:val="000000"/>
          <w:sz w:val="20"/>
          <w:szCs w:val="20"/>
        </w:rPr>
        <w:t>the</w:t>
      </w:r>
      <w:r w:rsidR="00200922" w:rsidRPr="00FE4B76">
        <w:rPr>
          <w:rFonts w:ascii="Arial" w:hAnsi="Arial" w:cs="Arial"/>
          <w:color w:val="000000"/>
          <w:sz w:val="20"/>
          <w:szCs w:val="20"/>
        </w:rPr>
        <w:t xml:space="preserve"> interquartile range in </w:t>
      </w:r>
      <w:r w:rsidR="002E047E" w:rsidRPr="00FE4B76">
        <w:rPr>
          <w:rFonts w:ascii="Arial" w:hAnsi="Arial" w:cs="Arial"/>
          <w:color w:val="000000"/>
          <w:sz w:val="20"/>
          <w:szCs w:val="20"/>
        </w:rPr>
        <w:t>the</w:t>
      </w:r>
      <w:r w:rsidR="00200922" w:rsidRPr="00FE4B76">
        <w:rPr>
          <w:rFonts w:ascii="Arial" w:hAnsi="Arial" w:cs="Arial"/>
          <w:color w:val="000000"/>
          <w:sz w:val="20"/>
          <w:szCs w:val="20"/>
        </w:rPr>
        <w:t xml:space="preserve"> log-transformed distribution for the spatial domain under consideration; </w:t>
      </w:r>
      <w:r w:rsidR="00A36E8D" w:rsidRPr="00FE4B76">
        <w:rPr>
          <w:rFonts w:ascii="Arial" w:hAnsi="Arial" w:cs="Arial"/>
          <w:color w:val="000000"/>
          <w:sz w:val="20"/>
          <w:szCs w:val="20"/>
        </w:rPr>
        <w:t>1.2</w:t>
      </w:r>
      <w:r w:rsidR="00200922" w:rsidRPr="00FE4B76">
        <w:rPr>
          <w:rFonts w:ascii="Arial" w:hAnsi="Arial" w:cs="Arial"/>
          <w:color w:val="000000"/>
          <w:sz w:val="20"/>
          <w:szCs w:val="20"/>
        </w:rPr>
        <w:t xml:space="preserve">% </w:t>
      </w:r>
      <w:r w:rsidR="001C56AA">
        <w:rPr>
          <w:rFonts w:ascii="Arial" w:hAnsi="Arial" w:cs="Arial"/>
          <w:color w:val="000000"/>
          <w:sz w:val="20"/>
          <w:szCs w:val="20"/>
        </w:rPr>
        <w:t>of</w:t>
      </w:r>
      <w:r w:rsidR="007B6A45" w:rsidRPr="00FE4B76">
        <w:rPr>
          <w:rFonts w:ascii="Arial" w:hAnsi="Arial" w:cs="Arial"/>
          <w:color w:val="000000"/>
          <w:sz w:val="20"/>
          <w:szCs w:val="20"/>
        </w:rPr>
        <w:t xml:space="preserve"> </w:t>
      </w:r>
      <w:r w:rsidR="001C56AA">
        <w:rPr>
          <w:rFonts w:ascii="Arial" w:hAnsi="Arial" w:cs="Arial"/>
          <w:color w:val="000000"/>
          <w:sz w:val="20"/>
          <w:szCs w:val="20"/>
        </w:rPr>
        <w:t xml:space="preserve">valid observations </w:t>
      </w:r>
      <w:r w:rsidR="007B6A45" w:rsidRPr="00FE4B76">
        <w:rPr>
          <w:rFonts w:ascii="Arial" w:hAnsi="Arial" w:cs="Arial"/>
          <w:color w:val="000000"/>
          <w:sz w:val="20"/>
          <w:szCs w:val="20"/>
        </w:rPr>
        <w:t>together or 0-10% of each 2 km by 20° latitude bins</w:t>
      </w:r>
      <w:r w:rsidR="00200922" w:rsidRPr="00FE4B76">
        <w:rPr>
          <w:rFonts w:ascii="Arial" w:hAnsi="Arial" w:cs="Arial"/>
          <w:color w:val="000000"/>
          <w:sz w:val="20"/>
          <w:szCs w:val="20"/>
        </w:rPr>
        <w:t>)</w:t>
      </w:r>
      <w:r w:rsidRPr="00FE4B76">
        <w:rPr>
          <w:rFonts w:ascii="Arial" w:hAnsi="Arial" w:cs="Arial"/>
          <w:color w:val="000000"/>
          <w:sz w:val="20"/>
          <w:szCs w:val="20"/>
        </w:rPr>
        <w:t xml:space="preserve">. </w:t>
      </w:r>
      <w:r w:rsidR="001C56AA">
        <w:rPr>
          <w:rFonts w:ascii="Arial" w:hAnsi="Arial" w:cs="Arial"/>
          <w:color w:val="000000"/>
          <w:sz w:val="20"/>
          <w:szCs w:val="20"/>
        </w:rPr>
        <w:t xml:space="preserve">We also filter the F0AM and AM3 simulations using the same screening criteria applied to their respective model diagnostics. </w:t>
      </w:r>
      <w:r w:rsidR="0021232A">
        <w:rPr>
          <w:rFonts w:ascii="Arial" w:hAnsi="Arial" w:cs="Arial"/>
          <w:color w:val="000000"/>
          <w:sz w:val="20"/>
          <w:szCs w:val="20"/>
        </w:rPr>
        <w:t>Because w</w:t>
      </w:r>
      <w:r w:rsidR="00BB5C02">
        <w:rPr>
          <w:rFonts w:ascii="Arial" w:hAnsi="Arial" w:cs="Arial"/>
          <w:color w:val="000000"/>
          <w:sz w:val="20"/>
          <w:szCs w:val="20"/>
        </w:rPr>
        <w:t xml:space="preserve">e are interested in </w:t>
      </w:r>
      <w:r w:rsidR="00E137E9">
        <w:rPr>
          <w:rFonts w:ascii="Arial" w:hAnsi="Arial" w:cs="Arial"/>
          <w:color w:val="000000"/>
          <w:sz w:val="20"/>
          <w:szCs w:val="20"/>
        </w:rPr>
        <w:t>the OH drivers and variations, w</w:t>
      </w:r>
      <w:r w:rsidRPr="00FE4B76">
        <w:rPr>
          <w:rFonts w:ascii="Arial" w:hAnsi="Arial" w:cs="Arial"/>
          <w:color w:val="000000"/>
          <w:sz w:val="20"/>
          <w:szCs w:val="20"/>
        </w:rPr>
        <w:t xml:space="preserve">e remove </w:t>
      </w:r>
      <w:r w:rsidR="00E137E9">
        <w:rPr>
          <w:rFonts w:ascii="Arial" w:hAnsi="Arial" w:cs="Arial"/>
          <w:color w:val="000000"/>
          <w:sz w:val="20"/>
          <w:szCs w:val="20"/>
        </w:rPr>
        <w:t xml:space="preserve">observations with a low signal-to-noise ratio, specifically </w:t>
      </w:r>
      <w:r w:rsidRPr="00FE4B76">
        <w:rPr>
          <w:rFonts w:ascii="Arial" w:hAnsi="Arial" w:cs="Arial"/>
          <w:color w:val="000000"/>
          <w:sz w:val="20"/>
          <w:szCs w:val="20"/>
        </w:rPr>
        <w:t>with [OH] below the ATHOS limit-of-detection of 0.018 ppt (</w:t>
      </w:r>
      <w:r w:rsidR="00200922" w:rsidRPr="00FE4B76">
        <w:rPr>
          <w:rFonts w:ascii="Arial" w:hAnsi="Arial" w:cs="Arial"/>
          <w:color w:val="000000"/>
          <w:sz w:val="20"/>
          <w:szCs w:val="20"/>
        </w:rPr>
        <w:t>9.2</w:t>
      </w:r>
      <w:r w:rsidRPr="00FE4B76">
        <w:rPr>
          <w:rFonts w:ascii="Arial" w:hAnsi="Arial" w:cs="Arial"/>
          <w:color w:val="000000"/>
          <w:sz w:val="20"/>
          <w:szCs w:val="20"/>
        </w:rPr>
        <w:t xml:space="preserve">% of observed or </w:t>
      </w:r>
      <w:r w:rsidR="00FE4B76" w:rsidRPr="00FE4B76">
        <w:rPr>
          <w:rFonts w:ascii="Arial" w:hAnsi="Arial" w:cs="Arial"/>
          <w:color w:val="000000"/>
          <w:sz w:val="20"/>
          <w:szCs w:val="20"/>
        </w:rPr>
        <w:t>9</w:t>
      </w:r>
      <w:r w:rsidR="00094B03">
        <w:rPr>
          <w:rFonts w:ascii="Arial" w:hAnsi="Arial" w:cs="Arial"/>
          <w:color w:val="000000"/>
          <w:sz w:val="20"/>
          <w:szCs w:val="20"/>
        </w:rPr>
        <w:t>.0</w:t>
      </w:r>
      <w:r w:rsidRPr="00FE4B76">
        <w:rPr>
          <w:rFonts w:ascii="Arial" w:hAnsi="Arial" w:cs="Arial"/>
          <w:color w:val="000000"/>
          <w:sz w:val="20"/>
          <w:szCs w:val="20"/>
        </w:rPr>
        <w:t>% of modeled</w:t>
      </w:r>
      <w:r w:rsidRPr="007F380D">
        <w:rPr>
          <w:rFonts w:ascii="Arial" w:hAnsi="Arial" w:cs="Arial"/>
          <w:color w:val="000000"/>
          <w:sz w:val="20"/>
          <w:szCs w:val="20"/>
        </w:rPr>
        <w:t xml:space="preserve"> points) </w:t>
      </w:r>
      <w:bookmarkStart w:id="30" w:name="_Hlk114402642"/>
      <w:r w:rsidR="000D78A9">
        <w:rPr>
          <w:rFonts w:ascii="Arial" w:hAnsi="Arial" w:cs="Arial"/>
          <w:color w:val="000000"/>
          <w:sz w:val="20"/>
          <w:szCs w:val="20"/>
        </w:rPr>
        <w:t>and</w:t>
      </w:r>
      <w:r w:rsidR="003E3ED5">
        <w:rPr>
          <w:rFonts w:ascii="Arial" w:hAnsi="Arial" w:cs="Arial"/>
          <w:color w:val="000000"/>
          <w:sz w:val="20"/>
          <w:szCs w:val="20"/>
        </w:rPr>
        <w:t xml:space="preserve"> in which [NO] is less than its corresponding 2-sigma </w:t>
      </w:r>
      <w:r w:rsidR="003E3ED5" w:rsidRPr="00E137E9">
        <w:rPr>
          <w:rFonts w:ascii="Arial" w:hAnsi="Arial" w:cs="Arial"/>
          <w:color w:val="000000"/>
          <w:sz w:val="20"/>
          <w:szCs w:val="20"/>
        </w:rPr>
        <w:t xml:space="preserve">uncertainty </w:t>
      </w:r>
      <w:r w:rsidR="00200922" w:rsidRPr="00E137E9">
        <w:rPr>
          <w:rFonts w:ascii="Arial" w:hAnsi="Arial" w:cs="Arial"/>
          <w:color w:val="000000"/>
          <w:sz w:val="20"/>
          <w:szCs w:val="20"/>
        </w:rPr>
        <w:t>(14%</w:t>
      </w:r>
      <w:r w:rsidR="00A36E8D" w:rsidRPr="00E137E9">
        <w:rPr>
          <w:rFonts w:ascii="Arial" w:hAnsi="Arial" w:cs="Arial"/>
          <w:color w:val="000000"/>
          <w:sz w:val="20"/>
          <w:szCs w:val="20"/>
        </w:rPr>
        <w:t xml:space="preserve"> of </w:t>
      </w:r>
      <w:r w:rsidR="00247C11" w:rsidRPr="00E137E9">
        <w:rPr>
          <w:rFonts w:ascii="Arial" w:hAnsi="Arial" w:cs="Arial"/>
          <w:color w:val="000000"/>
          <w:sz w:val="20"/>
          <w:szCs w:val="20"/>
        </w:rPr>
        <w:t>observed</w:t>
      </w:r>
      <w:r w:rsidR="00A36E8D" w:rsidRPr="00E137E9">
        <w:rPr>
          <w:rFonts w:ascii="Arial" w:hAnsi="Arial" w:cs="Arial"/>
          <w:color w:val="000000"/>
          <w:sz w:val="20"/>
          <w:szCs w:val="20"/>
        </w:rPr>
        <w:t xml:space="preserve"> points</w:t>
      </w:r>
      <w:r w:rsidR="00200922" w:rsidRPr="00E137E9">
        <w:rPr>
          <w:rFonts w:ascii="Arial" w:hAnsi="Arial" w:cs="Arial"/>
          <w:color w:val="000000"/>
          <w:sz w:val="20"/>
          <w:szCs w:val="20"/>
        </w:rPr>
        <w:t>)</w:t>
      </w:r>
      <w:r w:rsidRPr="007F380D">
        <w:rPr>
          <w:rFonts w:ascii="Arial" w:hAnsi="Arial" w:cs="Arial"/>
          <w:color w:val="000000"/>
          <w:sz w:val="20"/>
          <w:szCs w:val="20"/>
        </w:rPr>
        <w:t>.</w:t>
      </w:r>
      <w:bookmarkEnd w:id="30"/>
      <w:r w:rsidR="00200922">
        <w:rPr>
          <w:rFonts w:ascii="Arial" w:hAnsi="Arial" w:cs="Arial"/>
          <w:color w:val="000000"/>
          <w:sz w:val="20"/>
          <w:szCs w:val="20"/>
        </w:rPr>
        <w:t xml:space="preserve"> </w:t>
      </w:r>
      <w:r w:rsidR="0021232A">
        <w:rPr>
          <w:rFonts w:ascii="Arial" w:hAnsi="Arial" w:cs="Arial"/>
          <w:color w:val="000000"/>
          <w:sz w:val="20"/>
          <w:szCs w:val="20"/>
        </w:rPr>
        <w:t>To avoid interpreting noise as part of the observed Proxy</w:t>
      </w:r>
      <w:r w:rsidR="0021232A" w:rsidRPr="008714B5">
        <w:rPr>
          <w:rFonts w:ascii="Arial" w:hAnsi="Arial" w:cs="Arial"/>
          <w:i/>
          <w:iCs/>
          <w:color w:val="000000"/>
          <w:sz w:val="20"/>
          <w:szCs w:val="20"/>
          <w:vertAlign w:val="subscript"/>
        </w:rPr>
        <w:t>OH</w:t>
      </w:r>
      <w:r w:rsidR="0021232A">
        <w:rPr>
          <w:rFonts w:ascii="Arial" w:hAnsi="Arial" w:cs="Arial"/>
          <w:color w:val="000000"/>
          <w:sz w:val="20"/>
          <w:szCs w:val="20"/>
        </w:rPr>
        <w:t>-[OH] relationship, we do not</w:t>
      </w:r>
      <w:r w:rsidR="00E137E9">
        <w:rPr>
          <w:rFonts w:ascii="Arial" w:hAnsi="Arial" w:cs="Arial"/>
          <w:color w:val="000000"/>
          <w:sz w:val="20"/>
          <w:szCs w:val="20"/>
        </w:rPr>
        <w:t xml:space="preserve"> draw conclusions in air masses with very low [OH] or [NO]. </w:t>
      </w:r>
      <w:r w:rsidR="00200922">
        <w:rPr>
          <w:rFonts w:ascii="Arial" w:hAnsi="Arial" w:cs="Arial"/>
          <w:color w:val="000000"/>
          <w:sz w:val="20"/>
          <w:szCs w:val="20"/>
        </w:rPr>
        <w:t xml:space="preserve">Overall, we retain </w:t>
      </w:r>
      <w:r w:rsidR="00A36E8D">
        <w:rPr>
          <w:rFonts w:ascii="Arial" w:hAnsi="Arial" w:cs="Arial"/>
          <w:color w:val="000000"/>
          <w:sz w:val="20"/>
          <w:szCs w:val="20"/>
        </w:rPr>
        <w:t>7</w:t>
      </w:r>
      <w:r w:rsidR="00094B03">
        <w:rPr>
          <w:rFonts w:ascii="Arial" w:hAnsi="Arial" w:cs="Arial"/>
          <w:color w:val="000000"/>
          <w:sz w:val="20"/>
          <w:szCs w:val="20"/>
        </w:rPr>
        <w:t>4.7-74.9</w:t>
      </w:r>
      <w:r w:rsidR="00200922">
        <w:rPr>
          <w:rFonts w:ascii="Arial" w:hAnsi="Arial" w:cs="Arial"/>
          <w:color w:val="000000"/>
          <w:sz w:val="20"/>
          <w:szCs w:val="20"/>
        </w:rPr>
        <w:t>% of valid observations within our domain</w:t>
      </w:r>
      <w:r w:rsidR="008D5518">
        <w:rPr>
          <w:rFonts w:ascii="Arial" w:hAnsi="Arial" w:cs="Arial"/>
          <w:color w:val="000000"/>
          <w:sz w:val="20"/>
          <w:szCs w:val="20"/>
        </w:rPr>
        <w:t>, depending on the spatial scale considered</w:t>
      </w:r>
      <w:r w:rsidR="00200922">
        <w:rPr>
          <w:rFonts w:ascii="Arial" w:hAnsi="Arial" w:cs="Arial"/>
          <w:color w:val="000000"/>
          <w:sz w:val="20"/>
          <w:szCs w:val="20"/>
        </w:rPr>
        <w:t>.</w:t>
      </w:r>
    </w:p>
    <w:p w14:paraId="47083F01" w14:textId="5B471BCA" w:rsidR="007F380D" w:rsidRDefault="007F380D" w:rsidP="00E6133D">
      <w:pPr>
        <w:pBdr>
          <w:top w:val="nil"/>
          <w:left w:val="nil"/>
          <w:bottom w:val="nil"/>
          <w:right w:val="nil"/>
          <w:between w:val="nil"/>
        </w:pBdr>
        <w:contextualSpacing/>
        <w:rPr>
          <w:rFonts w:ascii="Arial" w:hAnsi="Arial" w:cs="Arial"/>
          <w:color w:val="000000"/>
          <w:sz w:val="20"/>
          <w:szCs w:val="20"/>
        </w:rPr>
      </w:pPr>
    </w:p>
    <w:p w14:paraId="5201F26B" w14:textId="6290E5FA" w:rsidR="007F380D" w:rsidRDefault="00A42EF2" w:rsidP="00E6133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Pr>
          <w:rFonts w:ascii="Arial" w:hAnsi="Arial" w:cs="Arial"/>
          <w:color w:val="000000"/>
          <w:sz w:val="20"/>
          <w:szCs w:val="20"/>
        </w:rPr>
        <w:t>.1.4 GFDL AM3 global chemistry-climate model simulations</w:t>
      </w:r>
    </w:p>
    <w:p w14:paraId="7A017D9B" w14:textId="263C8B63" w:rsidR="007F380D" w:rsidRDefault="007F380D" w:rsidP="00E6133D">
      <w:pPr>
        <w:pBdr>
          <w:top w:val="nil"/>
          <w:left w:val="nil"/>
          <w:bottom w:val="nil"/>
          <w:right w:val="nil"/>
          <w:between w:val="nil"/>
        </w:pBdr>
        <w:contextualSpacing/>
        <w:rPr>
          <w:rFonts w:ascii="Arial" w:hAnsi="Arial" w:cs="Arial"/>
          <w:color w:val="000000"/>
          <w:sz w:val="20"/>
          <w:szCs w:val="20"/>
        </w:rPr>
      </w:pPr>
    </w:p>
    <w:p w14:paraId="6D120A07" w14:textId="070371AC" w:rsidR="007F380D" w:rsidRPr="007F380D" w:rsidRDefault="0051152A" w:rsidP="007F380D">
      <w:pPr>
        <w:pBdr>
          <w:top w:val="nil"/>
          <w:left w:val="nil"/>
          <w:bottom w:val="nil"/>
          <w:right w:val="nil"/>
          <w:between w:val="nil"/>
        </w:pBdr>
        <w:contextualSpacing/>
        <w:rPr>
          <w:rFonts w:ascii="Arial" w:hAnsi="Arial" w:cs="Arial"/>
          <w:color w:val="000000"/>
          <w:sz w:val="20"/>
          <w:szCs w:val="20"/>
        </w:rPr>
      </w:pPr>
      <w:bookmarkStart w:id="31" w:name="_Hlk115108548"/>
      <w:r>
        <w:rPr>
          <w:rFonts w:ascii="Arial" w:hAnsi="Arial" w:cs="Arial"/>
          <w:color w:val="000000"/>
          <w:sz w:val="20"/>
          <w:szCs w:val="20"/>
        </w:rPr>
        <w:t>W</w:t>
      </w:r>
      <w:r w:rsidR="007F380D" w:rsidRPr="007F380D">
        <w:rPr>
          <w:rFonts w:ascii="Arial" w:hAnsi="Arial" w:cs="Arial"/>
          <w:color w:val="000000"/>
          <w:sz w:val="20"/>
          <w:szCs w:val="20"/>
        </w:rPr>
        <w:t xml:space="preserve">e evaluate hourly fields </w:t>
      </w:r>
      <w:r>
        <w:rPr>
          <w:rFonts w:ascii="Arial" w:hAnsi="Arial" w:cs="Arial"/>
          <w:color w:val="000000"/>
          <w:sz w:val="20"/>
          <w:szCs w:val="20"/>
        </w:rPr>
        <w:t>for the variables that comprise Proxy</w:t>
      </w:r>
      <w:r w:rsidRPr="00F47570">
        <w:rPr>
          <w:rFonts w:ascii="Arial" w:hAnsi="Arial" w:cs="Arial"/>
          <w:i/>
          <w:iCs/>
          <w:color w:val="000000"/>
          <w:sz w:val="20"/>
          <w:szCs w:val="20"/>
          <w:vertAlign w:val="subscript"/>
        </w:rPr>
        <w:t>OH</w:t>
      </w:r>
      <w:r>
        <w:rPr>
          <w:rFonts w:ascii="Arial" w:hAnsi="Arial" w:cs="Arial"/>
          <w:color w:val="000000"/>
          <w:sz w:val="20"/>
          <w:szCs w:val="20"/>
        </w:rPr>
        <w:t xml:space="preserve"> (H</w:t>
      </w:r>
      <w:r w:rsidRPr="00F47570">
        <w:rPr>
          <w:rFonts w:ascii="Arial" w:hAnsi="Arial" w:cs="Arial"/>
          <w:color w:val="000000"/>
          <w:sz w:val="20"/>
          <w:szCs w:val="20"/>
          <w:vertAlign w:val="subscript"/>
        </w:rPr>
        <w:t>2</w:t>
      </w:r>
      <w:r>
        <w:rPr>
          <w:rFonts w:ascii="Arial" w:hAnsi="Arial" w:cs="Arial"/>
          <w:color w:val="000000"/>
          <w:sz w:val="20"/>
          <w:szCs w:val="20"/>
        </w:rPr>
        <w:t>O, NO, HO</w:t>
      </w:r>
      <w:r w:rsidRPr="00F47570">
        <w:rPr>
          <w:rFonts w:ascii="Arial" w:hAnsi="Arial" w:cs="Arial"/>
          <w:color w:val="000000"/>
          <w:sz w:val="20"/>
          <w:szCs w:val="20"/>
          <w:vertAlign w:val="subscript"/>
        </w:rPr>
        <w:t>2</w:t>
      </w:r>
      <w:r>
        <w:rPr>
          <w:rFonts w:ascii="Arial" w:hAnsi="Arial" w:cs="Arial"/>
          <w:color w:val="000000"/>
          <w:sz w:val="20"/>
          <w:szCs w:val="20"/>
        </w:rPr>
        <w:t xml:space="preserve">, etc.) </w:t>
      </w:r>
      <w:r w:rsidR="007F380D" w:rsidRPr="007F380D">
        <w:rPr>
          <w:rFonts w:ascii="Arial" w:hAnsi="Arial" w:cs="Arial"/>
          <w:color w:val="000000"/>
          <w:sz w:val="20"/>
          <w:szCs w:val="20"/>
        </w:rPr>
        <w:t xml:space="preserve">from </w:t>
      </w:r>
      <w:bookmarkEnd w:id="31"/>
      <w:r w:rsidR="007F380D" w:rsidRPr="007F380D">
        <w:rPr>
          <w:rFonts w:ascii="Arial" w:hAnsi="Arial" w:cs="Arial"/>
          <w:color w:val="000000"/>
          <w:sz w:val="20"/>
          <w:szCs w:val="20"/>
        </w:rPr>
        <w:t xml:space="preserve">the National Oceanic and Atmospheric Administration (NOAA) Geophysical Fluid Dynamics Laboratory AM3 chemistry-climate model </w:t>
      </w:r>
      <w:r w:rsidR="007F380D" w:rsidRPr="007F380D">
        <w:rPr>
          <w:rFonts w:ascii="Arial" w:hAnsi="Arial" w:cs="Arial"/>
          <w:color w:val="000000"/>
          <w:sz w:val="20"/>
          <w:szCs w:val="20"/>
        </w:rPr>
        <w:fldChar w:fldCharType="begin"/>
      </w:r>
      <w:r w:rsidR="007D17FB">
        <w:rPr>
          <w:rFonts w:ascii="Arial" w:hAnsi="Arial" w:cs="Arial"/>
          <w:color w:val="000000"/>
          <w:sz w:val="20"/>
          <w:szCs w:val="20"/>
        </w:rPr>
        <w:instrText xml:space="preserve"> ADDIN ZOTERO_ITEM CSL_CITATION {"citationID":"8ZsKfcBi","properties":{"formattedCitation":"(14, 92, 93)","plainCitation":"(14, 92, 93)","noteIndex":0},"citationItems":[{"id":153,"uris":["http://zotero.org/users/9309103/items/DG9ENHIB"],"itemData":{"id":153,"type":"article-journal","abstract":"The Geophysical Fluid Dynamics Laboratory (GFDL) has developed a coupled general circulation model (CM3) for the atmosphere, oceans, land, and sea ice. The goal of CM3 is to address emerging issues in climate change, including aerosol–cloud interactions, chemistry–climate interactions, and coupling between the troposphere and stratosphere. The model is also designed to serve as the physical system component of earth system models and models for decadal prediction in the near-term future—for example, through improved simulations in tropical land precipitation relative to earlier-generation GFDL models. This paper describes the dynamical core, physical parameterizations, and basic simulation characteristics of the atmospheric component (AM3) of this model. Relative to GFDL AM2, AM3 includes new treatments of deep and shallow cumulus convection, cloud droplet activation by aerosols, subgrid variability of stratiform vertical velocities for droplet activation, and atmospheric chemistry driven by emissions with advective, convective, and turbulent transport. AM3 employs a cubed-sphere implementation of a ﬁnite-volume dynamical core and is coupled to LM3, a new land model with ecosystem dynamics and hydrology. Its horizontal resolution is approximately 200 km, and its vertical resolution ranges approximately from 70 m near the earth’s surface to 1 to 1.5 km near the tropopause and 3 to 4 km in much of the stratosphere. Most basic circulation features in AM3 are simulated as realistically, or more so, as in AM2. In particular, dry biases have been reduced over South America. In coupled mode, the simulation of Arctic sea ice concentration has improved. AM3 aerosol optical depths, scattering properties, and surface clear-sky downward shortwave radiation are more realistic than in AM2. The simulation of marine stratocumulus decks remains problematic, as in AM2. The most intense 0.2% of precipitation rates occur less frequently in AM3 than observed. The last two decades of the twentieth century warm in CM3 by 0.328C relative to 1881–1920. The Climate Research Unit (CRU) and Goddard Institute for Space Studies analyses of observations show warming of 0.568 and 0.528C, respectively, over this period. CM3 includes anthropogenic cooling by aerosol–cloud interactions, and its warming by the late twentieth century is somewhat less realistic than in CM2.1, which warmed 0.668C but did not include aerosol–cloud interactions. The improved simulation of the direct aerosol effect (apparent in surface clear-sky downward radiation) in CM3 evidently acts in concert with its simulation of cloud–aerosol interactions to limit greenhouse gas warming.","container-title":"Journal of Climate","DOI":"10.1175/2011JCLI3955.1","ISSN":"0894-8755, 1520-0442","issue":"13","journalAbbreviation":"J. Climate","language":"en","page":"3484-3519","source":"DOI.org (Crossref)","title":"The Dynamical Core, Physical Parameterizations, and Basic Simulation Characteristics of the Atmospheric Component AM3 of the GFDL Global Coupled Model CM3","volume":"24","author":[{"family":"Donner","given":"Leo J."},{"family":"Wyman","given":"Bruce L."},{"family":"Hemler","given":"Richard S."},{"family":"Horowitz","given":"Larry W."},{"family":"Ming","given":"Yi"},{"family":"Zhao","given":"Ming"},{"family":"Golaz","given":"Jean-Christophe"},{"family":"Ginoux","given":"Paul"},{"family":"Lin","given":"S.-J."},{"family":"Schwarzkopf","given":"M. Daniel"},{"family":"Austin","given":"John"},{"family":"Alaka","given":"Ghassan"},{"family":"Cooke","given":"William F."},{"family":"Delworth","given":"Thomas L."},{"family":"Freidenreich","given":"Stuart M."},{"family":"Gordon","given":"C. T."},{"family":"Griffies","given":"Stephen M."},{"family":"Held","given":"Isaac M."},{"family":"Hurlin","given":"William J."},{"family":"Klein","given":"Stephen A."},{"family":"Knutson","given":"Thomas R."},{"family":"Langenhorst","given":"Amy R."},{"family":"Lee","given":"Hyun-Chul"},{"family":"Lin","given":"Yanluan"},{"family":"Magi","given":"Brian I."},{"family":"Malyshev","given":"Sergey L."},{"family":"Milly","given":"P. C. D."},{"family":"Naik","given":"Vaishali"},{"family":"Nath","given":"Mary J."},{"family":"Pincus","given":"Robert"},{"family":"Ploshay","given":"Jeffrey J."},{"family":"Ramaswamy","given":"V."},{"family":"Seman","given":"Charles J."},{"family":"Shevliakova","given":"Elena"},{"family":"Sirutis","given":"Joseph J."},{"family":"Stern","given":"William F."},{"family":"Stouffer","given":"Ronald J."},{"family":"Wilson","given":"R. John"},{"family":"Winton","given":"Michael"},{"family":"Wittenberg","given":"Andrew T."},{"family":"Zeng","given":"Fanrong"}],"issued":{"date-parts":[["2011",7]]}}},{"id":"DwRQ5GGE/NrbQUJxD","uris":["http://zotero.org/users/local/S5AKK5U6/items/LT8T5SNW"],"itemData":{"id":275,"type":"article-journal","container-title":"Geophysical Research Letters","DOI":"10.1002/grl.50210","ISSN":"00948276","issue":"6","journalAbbreviation":"Geophys. Res. Lett.","language":"en","page":"1241-1246","source":"DOI.org (Crossref)","title":"Sensitivity of tropospheric oxidants to biomass burning emissions: implications for radiative forcing: BIOMASS BURNING ON OXIDANTS AND FORCING","title-short":"Sensitivity of tropospheric oxidants to biomass burning emissions","volume":"40","author":[{"family":"Mao","given":"Jingqiu"},{"family":"Horowitz","given":"Larry W."},{"family":"Naik","given":"Vaishali"},{"family":"Fan","given":"Songmiao"},{"family":"Liu","given":"Junfeng"},{"family":"Fiore","given":"Arlene M."}],"issued":{"date-parts":[["2013",3,28]]}}},{"id":788,"uris":["http://zotero.org/users/9309103/items/4G8K9MLH"],"itemData":{"id":788,"type":"article-journal","container-title":"Journal of Geophysical Research: Atmospheres","DOI":"10.1002/jgrd.50608","ISSN":"2169897X","issue":"14","journalAbbreviation":"J. Geophys. Res. Atmos.","language":"en","page":"8086-8110","source":"DOI.org (Crossref)","title":"Impact of preindustrial to present-day changes in short-lived pollutant emissions on atmospheric composition and climate forcing","title-short":"Impact of preindustrial to present-day changes in short-lived pollutant emissions on atmospheric composition and climate forcing","volume":"118","author":[{"family":"Naik","given":"Vaishali"},{"family":"Horowitz","given":"Larry W."},{"family":"Fiore","given":"Arlene M."},{"family":"Ginoux","given":"Paul"},{"family":"Mao","given":"Jingqiu"},{"family":"Aghedo","given":"Adetutu M."},{"family":"Levy","given":"Hiram"}],"issued":{"date-parts":[["2013",7,27]]}}}],"schema":"https://github.com/citation-style-language/schema/raw/master/csl-citation.json"} </w:instrText>
      </w:r>
      <w:r w:rsidR="007F380D" w:rsidRPr="007F380D">
        <w:rPr>
          <w:rFonts w:ascii="Arial" w:hAnsi="Arial" w:cs="Arial"/>
          <w:color w:val="000000"/>
          <w:sz w:val="20"/>
          <w:szCs w:val="20"/>
        </w:rPr>
        <w:fldChar w:fldCharType="separate"/>
      </w:r>
      <w:r w:rsidR="0003499F" w:rsidRPr="0003499F">
        <w:rPr>
          <w:rFonts w:ascii="Arial" w:hAnsi="Arial" w:cs="Arial"/>
          <w:sz w:val="20"/>
        </w:rPr>
        <w:t>(14, 92, 93)</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AM3 has 48 vertical levels on a cubed sphere grid with approximately 2° by 2° horizontal resolution</w:t>
      </w:r>
      <w:r w:rsidR="0009159E">
        <w:rPr>
          <w:rFonts w:ascii="Arial" w:hAnsi="Arial" w:cs="Arial"/>
          <w:color w:val="000000"/>
          <w:sz w:val="20"/>
          <w:szCs w:val="20"/>
        </w:rPr>
        <w:t xml:space="preserve"> </w:t>
      </w:r>
      <w:r w:rsidR="0009159E">
        <w:rPr>
          <w:rFonts w:ascii="Arial" w:hAnsi="Arial" w:cs="Arial"/>
          <w:color w:val="000000"/>
          <w:sz w:val="20"/>
          <w:szCs w:val="20"/>
        </w:rPr>
        <w:fldChar w:fldCharType="begin"/>
      </w:r>
      <w:r w:rsidR="0009159E">
        <w:rPr>
          <w:rFonts w:ascii="Arial" w:hAnsi="Arial" w:cs="Arial"/>
          <w:color w:val="000000"/>
          <w:sz w:val="20"/>
          <w:szCs w:val="20"/>
        </w:rPr>
        <w:instrText xml:space="preserve"> ADDIN ZOTERO_ITEM CSL_CITATION {"citationID":"cW59L84q","properties":{"formattedCitation":"(14)","plainCitation":"(14)","noteIndex":0},"citationItems":[{"id":788,"uris":["http://zotero.org/users/9309103/items/4G8K9MLH"],"itemData":{"id":788,"type":"article-journal","container-title":"Journal of Geophysical Research: Atmospheres","DOI":"10.1002/jgrd.50608","ISSN":"2169897X","issue":"14","journalAbbreviation":"J. Geophys. Res. Atmos.","language":"en","page":"8086-8110","source":"DOI.org (Crossref)","title":"Impact of preindustrial to present-day changes in short-lived pollutant emissions on atmospheric composition and climate forcing","title-short":"Impact of preindustrial to present-day changes in short-lived pollutant emissions on atmospheric composition and climate forcing","volume":"118","author":[{"family":"Naik","given":"Vaishali"},{"family":"Horowitz","given":"Larry W."},{"family":"Fiore","given":"Arlene M."},{"family":"Ginoux","given":"Paul"},{"family":"Mao","given":"Jingqiu"},{"family":"Aghedo","given":"Adetutu M."},{"family":"Levy","given":"Hiram"}],"issued":{"date-parts":[["2013",7,27]]}}}],"schema":"https://github.com/citation-style-language/schema/raw/master/csl-citation.json"} </w:instrText>
      </w:r>
      <w:r w:rsidR="0009159E">
        <w:rPr>
          <w:rFonts w:ascii="Arial" w:hAnsi="Arial" w:cs="Arial"/>
          <w:color w:val="000000"/>
          <w:sz w:val="20"/>
          <w:szCs w:val="20"/>
        </w:rPr>
        <w:fldChar w:fldCharType="separate"/>
      </w:r>
      <w:r w:rsidR="0009159E" w:rsidRPr="0009159E">
        <w:rPr>
          <w:rFonts w:ascii="Arial" w:hAnsi="Arial" w:cs="Arial"/>
          <w:sz w:val="20"/>
        </w:rPr>
        <w:t>(14)</w:t>
      </w:r>
      <w:r w:rsidR="0009159E">
        <w:rPr>
          <w:rFonts w:ascii="Arial" w:hAnsi="Arial" w:cs="Arial"/>
          <w:color w:val="000000"/>
          <w:sz w:val="20"/>
          <w:szCs w:val="20"/>
        </w:rPr>
        <w:fldChar w:fldCharType="end"/>
      </w:r>
      <w:r w:rsidR="007F380D" w:rsidRPr="007F380D">
        <w:rPr>
          <w:rFonts w:ascii="Arial" w:hAnsi="Arial" w:cs="Arial"/>
          <w:color w:val="000000"/>
          <w:sz w:val="20"/>
          <w:szCs w:val="20"/>
        </w:rPr>
        <w:t xml:space="preserve">. Our base configuration, described previously </w:t>
      </w:r>
      <w:r w:rsidR="007F380D" w:rsidRPr="007F380D">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{"citationID":"1Xld3RD4","properties":{"formattedCitation":"(94\\uc0\\u8211{}96)","plainCitation":"(94–96)","noteIndex":0},"citationItems":[{"id":335,"uris":["http://zotero.org/users/9309103/items/A5IAM2JJ"],"itemData":{"id":335,"type":"article-journal","abstract":"Dry deposition (DD) is a major loss process for tropospheric ozone and some reactive nitrogen and carbon precursors. We investigate the response of summertime ozone and its production chemistry over the Southeast United States (USA) to variability in this sink. Turning off DD of oxidized nitrogen, ozone, or all species over the United States in the Geophysical Fluid Dynamics Laboratory AM3 model increases regional mean surface ozone by 5, 18, or 25 ppb, respectively. Additional sensitivity simulations demonstrate that, assuming linearity, surface ozone has a similar sensitivity to ozone DD as to NOx emissions. Trends in ozone production efficiency derived from observed relationships between ozone and precursor oxidation products may not solely reflect precursor emission changes if ozone DD varies (e.g., with meteorology). We conclude that DD variability merits consideration when interpreting observed ozone trends. Quantifying the impact of changes in sinks versus sources will require long-term DD measurements across the region of interest.","container-title":"Geophysical Research Letters","DOI":"https://doi.org/10.1029/2020GL087158","ISSN":"1944-8007","issue":"7","language":"en","license":"©2020. American Geophysical Union. All Rights Reserved. This article has been contributed to by US Government employees and their work is in the public domain in the USA.","note":"_eprint: https://agupubs.onlinelibrary.wiley.com/doi/pdf/10.1029/2020GL087158","page":"e2020GL087158","source":"Wiley Online Library","title":"Sensitivity of Tropospheric Ozone Over the Southeast USA to Dry Deposition","volume":"47","author":[{"family":"Baublitz","given":"Colleen B."},{"family":"Fiore","given":"Arlene M."},{"family":"Clifton","given":"Olivia E."},{"family":"Mao","given":"Jingqiu"},{"family":"Li","given":"Jingyi"},{"family":"Correa","given":"Gus"},{"family":"Westervelt","given":"Daniel M."},{"family":"Horowitz","given":"Larry W."},{"family":"Paulot","given":"Fabien"},{"family":"Williams","given":"A. Park"}],"issued":{"date-parts":[["2020"]]}}},{"id":797,"uris":["http://zotero.org/users/9309103/items/5VYAINYA"],"itemData":{"id":797,"type":"article-journal","abstract":"Abstract. The unintended consequences of reductions in regional\nanthropogenic sulfur dioxide (SO2) emissions implemented to protect\nhuman health are poorly understood. SO2 decreases began in the 1970s in\nthe US and Europe and are expected to continue into the future, while recent\nemissions decreases in China are also projected to continue. In addition to\nthe well-documented climate effects (warming) from reducing aerosols,\ntropospheric oxidation is impacted via aerosol modification of photolysis\nrates and radical sinks. Impacts on the hydroxyl radical and other trace\nconstituents directly affect climate and air quality metrics such as surface\nozone levels. We use the Geophysical Fluid Dynamics Laboratory Atmospheric\nModel version 3 nudged towards National Centers for Environmental Prediction\n(NCEP) reanalysis wind velocities to estimate the impact of SO2\nemissions from the US, Europe, and China by differencing a\ncontrol simulation with an otherwise identical simulation in which 2015\nanthropogenic SO2 emissions are set to zero over one of the regions.\nSpringtime sulfate aerosol changes occur both locally to the emission region\nand also throughout the Northern Hemispheric troposphere, including remote\noceanic regions and the Arctic. Hydroperoxy (HO2) radicals are directly\nremoved via heterogeneous chemistry on aerosol surfaces, including sulfate,\nin the model, and we find that sulfate aerosol produced by SO2\nemissions from the three individual northern mid-latitude regions strongly\nreduces both HO2 and hydroxyl (OH) by up to 10 % year-round\nthroughout most of the troposphere north of 30</w:instrText>
      </w:r>
      <w:r w:rsidR="0003499F">
        <w:rPr>
          <w:rFonts w:ascii="Cambria Math" w:hAnsi="Cambria Math" w:cs="Cambria Math"/>
          <w:color w:val="000000"/>
          <w:sz w:val="20"/>
          <w:szCs w:val="20"/>
        </w:rPr>
        <w:instrText>∘</w:instrText>
      </w:r>
      <w:r w:rsidR="0003499F">
        <w:rPr>
          <w:rFonts w:ascii="Arial" w:hAnsi="Arial" w:cs="Arial"/>
          <w:color w:val="000000"/>
          <w:sz w:val="20"/>
          <w:szCs w:val="20"/>
        </w:rPr>
        <w:instrText xml:space="preserve"> N latitude.\nRegional SO2 emissions significantly increase nitrogen oxides\n(NOx) by about 5 %–8 % throughout most of the free troposphere in the\nNorthern Hemisphere by increasing the NOx lifetime as the heterogeneous\nsink of HO2 on sulfate aerosol declines. Despite the NOx\nincreases, tropospheric ozone decreases at northern mid-latitudes by 1 %–4 %\nzonally averaged and by up to 5 ppbv in summertime surface air over China,\nwhere the decreases in HO2 and OH suppress O3 production. Since\n2015 anthropogenic SO2 emissions in China exceed those in the US or\nEurope, the oxidative response is greatest for the China perturbation\nsimulation. Chemical effects of aerosols on oxidation (reactive uptake)\ndominate over radiative effects (photolysis rates), the latter of which are\nonly statistically significant locally for the large perturbation over\nChina. We find that the SO2 emissions decrease in China, which has yet\nto be fully realized, will have the largest impact on oxidants and related\nspecies in the Northern Hemisphere free troposphere compared to future\ndecreases in Europe or the US. Our results bolster previous calls for a\nmultipollutant strategy for air pollution mitigation to avoid the\nunintended consequence of aerosol removal leading to surface ozone increases\nthat offset or mask surface ozone gains achieved by regulation of other\npollutants, especially in countries where current usage of high-sulfur\nemitting fuels may be phased out in the future.","container-title":"Atmospheric Chemistry and Physics","DOI":"10.5194/acp-21-6799-2021","ISSN":"1680-7324","issue":"9","journalAbbreviation":"Atmos. Chem. Phys.","language":"en","page":"6799-6810","source":"DOI.org (Crossref)","title":"Impact of regional Northern Hemisphere mid-latitude anthropogenic sulfur dioxide emissions on local and remote tropospheric oxidants","volume":"21","author":[{"family":"Westervelt","given":"Daniel M."},{"family":"Fiore","given":"Arlene M."},{"family":"Baublitz","given":"Colleen B."},{"family":"Correa","given":"Gustavo"}],"issued":{"date-parts":[["2021",5,5]]}}},{"id":743,"uris":["http://zotero.org/users/9309103/items/RSIXL4K8"],"itemData":{"id":743,"type":"article-journal","abstract":"Ozone is the third most important anthropogenic greenhouse gas after carbon dioxide and methane but has a larger uncertainty in its radiative forcing, in part because of uncertainty in the source characteristics of ozone precursors, nitrogen oxides, and volatile organic carbon that directly affect ozone formation chemistry. Tropospheric ozone also negatively affects human and ecosystem health. Biomass burning (BB) and urban emissions are significant but uncertain sources of ozone precursors. Here, we report global-scale, in situ airborne measurements of ozone and precursor source tracers from the NASA Atmospheric Tomography mission. Measurements from the remote troposphere showed that tropospheric ozone is regularly enhanced above background in polluted air masses in all regions of the globe. Ozone enhancements in air with high BB and urban emission tracers (2.1 to 23.8 ppbv [parts per billion by volume]) were generally similar to those in BB-influenced air (2.2 to 21.0 ppbv) but larger than those in urban-influenced air (−7.7 to 6.9 ppbv). Ozone attributed to BB was 2 to 10 times higher than that from urban sources in the Southern Hemisphere and the tropical Atlantic and roughly equal to that from urban sources in the Northern Hemisphere and the tropical Pacific. Three independent global chemical transport models systematically underpredict the observed influence of BB on tropospheric ozone. Potential reasons include uncertainties in modeled BB injection heights and emission inventories, export efficiency of BB emissions to the free troposphere, and chemical mechanisms of ozone production in smoke. Accurately accounting for intermittent but large and widespread BB emissions is required to understand the global tropospheric ozone burden.","container-title":"Proceedings of the National Academy of Sciences","DOI":"10.1073/pnas.2109628118","ISSN":"0027-8424, 1091-6490","issue":"52","journalAbbreviation":"PNAS","language":"en","license":"Copyright © 2021 the Author(s). Published by PNAS.. https://creativecommons.org/licenses/by-nc-nd/4.0/This open access article is distributed under Creative Commons Attribution-NonCommercial-NoDerivatives License 4.0 (CC BY-NC-ND).","note":"publisher: National Academy of Sciences\nsection: Physical Sciences\nPMID: 34930838","source":"www.pnas.org","title":"Large contribution of biomass burning emissions to ozone throughout the global remote troposphere","URL":"https://www.pnas.org/content/118/52/e2109628118","volume":"118","author":[{"family":"Bourgeois","given":"Ilann"},{"family":"Peischl","given":"Jeff"},{"family":"Neuman","given":"J. Andrew"},{"family":"Brown","given":"Steven S."},{"family":"Thompson","given":"Chelsea R."},{"family":"Aikin","given":"Kenneth C."},{"family":"Allen","given":"Hannah M."},{"family":"Angot","given":"Hélène"},{"family":"Apel","given":"Eric C."},{"family":"Baublitz","given":"Colleen B."},{"family":"Brewer","given":"Jared F."},{"family":"Campuzano-Jost","given":"Pedro"},{"family":"Commane","given":"Róisín"},{"family":"Crounse","given":"John D."},{"family":"Daube","given":"Bruce C."},{"family":"DiGangi","given":"Joshua P."},{"family":"Diskin","given":"Glenn S."},{"family":"Emmons","given":"Louisa K."},{"family":"Fiore","given":"Arlene M."},{"family":"Gkatzelis","given":"Georgios I."},{"family":"Hills","given":"Alan"},{"family":"Hornbrook","given":"Rebecca S."},{"family":"Huey","given":"L. Gregory"},{"family":"Jimenez","given":"Jose L."},{"family":"Kim","given":"Michelle"},{"family":"Lacey","given":"Forrest"},{"family":"McKain","given":"Kathryn"},{"family":"Murray","given":"Lee T."},{"family":"Nault","given":"Benjamin A."},{"family":"Parrish","given":"David D."},{"family":"Ray","given":"Eric"},{"family":"Sweeney","given":"Colm"},{"family":"Tanner","given":"David"},{"family":"Wofsy","given":"Steven C."},{"family":"Ryerson","given":"Thomas B."}],"accessed":{"date-parts":[["2022",2,15]]},"issued":{"date-parts":[["2021",12,28]]}}}],"schema":"https://github.com/citation-style-language/schema/raw/master/csl-citation.json"} </w:instrText>
      </w:r>
      <w:r w:rsidR="007F380D" w:rsidRPr="007F380D">
        <w:rPr>
          <w:rFonts w:ascii="Arial" w:hAnsi="Arial" w:cs="Arial"/>
          <w:color w:val="000000"/>
          <w:sz w:val="20"/>
          <w:szCs w:val="20"/>
        </w:rPr>
        <w:fldChar w:fldCharType="separate"/>
      </w:r>
      <w:r w:rsidR="0003499F" w:rsidRPr="0003499F">
        <w:rPr>
          <w:rFonts w:ascii="Arial" w:hAnsi="Arial" w:cs="Arial"/>
          <w:sz w:val="20"/>
          <w:szCs w:val="24"/>
        </w:rPr>
        <w:t>(94–96)</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nudges the horizontal wind fields to the National Centers for </w:t>
      </w:r>
      <w:r w:rsidR="007F380D" w:rsidRPr="007F380D">
        <w:rPr>
          <w:rFonts w:ascii="Arial" w:hAnsi="Arial" w:cs="Arial"/>
          <w:color w:val="000000"/>
          <w:sz w:val="20"/>
          <w:szCs w:val="20"/>
        </w:rPr>
        <w:lastRenderedPageBreak/>
        <w:t xml:space="preserve">Environmental Prediction Global Forecast System with a nudging strength that falls off with pressure </w:t>
      </w:r>
      <w:r w:rsidR="007F380D" w:rsidRPr="007F380D">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{"citationID":"YcWu7I7W","properties":{"formattedCitation":"(97)","plainCitation":"(97)","noteIndex":0},"citationItems":[{"id":299,"uris":["http://zotero.org/users/9309103/items/EJJ2B9B8"],"itemData":{"id":299,"type":"article-journal","container-title":"Journal of Geophysical Research: Atmospheres","DOI":"10.1029/2012JD018151","ISSN":"01480227","issue":"D21","journalAbbreviation":"J. Geophys. Res.","language":"en","page":"n/a-n/a","source":"DOI.org (Crossref)","title":"Springtime high surface ozone events over the western United States: Quantifying the role of stratospheric intrusions: STRATOSPHERIC IMPACTS ON U.S. SURFACE O &lt;sub&gt;3&lt;/sub&gt;","title-short":"Springtime high surface ozone events over the western United States","volume":"117","author":[{"family":"Lin","given":"Meiyun"},{"family":"Fiore","given":"Arlene M."},{"family":"Cooper","given":"Owen R."},{"family":"Horowitz","given":"Larry W."},{"family":"Langford","given":"Andrew O."},{"family":"Levy","given":"Hiram"},{"family":"Johnson","given":"Bryan J."},{"family":"Naik","given":"Vaishali"},{"family":"Oltmans","given":"Samuel J."},{"family":"Senff","given":"Christoph J."}],"issued":{"date-parts":[["2012",11,16]]}}}],"schema":"https://github.com/citation-style-language/schema/raw/master/csl-citation.json"} </w:instrText>
      </w:r>
      <w:r w:rsidR="007F380D" w:rsidRPr="007F380D">
        <w:rPr>
          <w:rFonts w:ascii="Arial" w:hAnsi="Arial" w:cs="Arial"/>
          <w:color w:val="000000"/>
          <w:sz w:val="20"/>
          <w:szCs w:val="20"/>
        </w:rPr>
        <w:fldChar w:fldCharType="separate"/>
      </w:r>
      <w:r w:rsidR="0003499F" w:rsidRPr="0003499F">
        <w:rPr>
          <w:rFonts w:ascii="Arial" w:hAnsi="Arial" w:cs="Arial"/>
          <w:sz w:val="20"/>
        </w:rPr>
        <w:t>(97)</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Global NO emissions total 44.7, 44.9 and 45.2 Tg N yr</w:t>
      </w:r>
      <w:r w:rsidR="007F380D" w:rsidRPr="007F380D">
        <w:rPr>
          <w:rFonts w:ascii="Arial" w:hAnsi="Arial" w:cs="Arial"/>
          <w:color w:val="000000"/>
          <w:sz w:val="20"/>
          <w:szCs w:val="20"/>
          <w:vertAlign w:val="superscript"/>
        </w:rPr>
        <w:t>-1</w:t>
      </w:r>
      <w:r w:rsidR="007F380D" w:rsidRPr="007F380D">
        <w:rPr>
          <w:rFonts w:ascii="Arial" w:hAnsi="Arial" w:cs="Arial"/>
          <w:color w:val="000000"/>
          <w:sz w:val="20"/>
          <w:szCs w:val="20"/>
        </w:rPr>
        <w:t>, and CO emissions total 1221, 1223 and 1226 Tg yr</w:t>
      </w:r>
      <w:r w:rsidR="007F380D" w:rsidRPr="007F380D">
        <w:rPr>
          <w:rFonts w:ascii="Arial" w:hAnsi="Arial" w:cs="Arial"/>
          <w:color w:val="000000"/>
          <w:sz w:val="20"/>
          <w:szCs w:val="20"/>
          <w:vertAlign w:val="superscript"/>
        </w:rPr>
        <w:t>-1</w:t>
      </w:r>
      <w:r w:rsidR="007F380D" w:rsidRPr="007F380D">
        <w:rPr>
          <w:rFonts w:ascii="Arial" w:hAnsi="Arial" w:cs="Arial"/>
          <w:color w:val="000000"/>
          <w:sz w:val="20"/>
          <w:szCs w:val="20"/>
        </w:rPr>
        <w:t xml:space="preserve"> for the ATom years 2016, 2017, and 2018, respectively. MEGAN-simulated isoprene emissions  are included in AM3, totaling 418, 395 and 394</w:t>
      </w:r>
      <w:r w:rsidR="0009159E">
        <w:rPr>
          <w:rFonts w:ascii="Arial" w:hAnsi="Arial" w:cs="Arial"/>
          <w:color w:val="000000"/>
          <w:sz w:val="20"/>
          <w:szCs w:val="20"/>
        </w:rPr>
        <w:t xml:space="preserve"> </w:t>
      </w:r>
      <w:r w:rsidR="0009159E">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{"citationID":"aYNaggPD","properties":{"formattedCitation":"(98, 99)","plainCitation":"(98, 99)","noteIndex":0},"citationItems":[{"id":131,"uris":["http://zotero.org/users/9309103/items/5TSECM9S"],"itemData":{"id":131,"type":"article-journal","container-title":"Atmos. Chem. Phys.","language":"en","page":"30","source":"Zotero","title":"Estimates of global terrestrial isoprene emissions using MEGAN (Model of Emissions of Gases and Aerosols from Nature)","author":[{"family":"Guenther","given":"A"},{"family":"Karl","given":"T"},{"family":"Harley","given":"P"},{"family":"Wiedinmyer","given":"C"},{"family":"Palmer","given":"P I"},{"family":"Geron","given":"C"}],"issued":{"date-parts":[["2006"]]}}},{"id":273,"uris":["http://zotero.org/users/9309103/items/UHZRWAMB"],"itemData":{"id":273,"type":"article-journal","abstract":"We use long-term, coincident O3 and temperature measurements at the regionally representative US Environmental Protection Agency Clean Air Status and Trends Network (CASTNet) over the eastern US from 1988 through 2009 to characterize the surface O3 response to year-to-year ﬂuctuations in weather, for the purpose of evaluating global chemistry-climate models. We ﬁrst produce a monthly climatology for each site over all available years, deﬁned as the slope of the best-ﬁt line (mO3-T) between monthly average values of maximum daily 8-hour average (MDA8) O3 and monthly average values of daily maximum surface temperature (Tmax). Applying two distinct statistical approaches to aggregate the sitespeciﬁc measurements to the regional scale, we ﬁnd that summer time mO3-T is 3e6 ppb KÀ1 (r ¼ 0.5 e0.8) over the Northeast, 3e4 ppb KÀ1 (r ¼ 0.5e0.9) over the Great Lakes, and 3e6 ppb KÀ1 (r ¼ 0.2e0.8) over the Mid-Atlantic. The Geophysical Fluid Dynamics Laboratory (GFDL) Atmospheric Model version 3 (AM3) global chemistry-climate model generally captures the seasonal variations in correlation coefﬁcients and mO3-T despite biases in both monthly mean summertime MDA8 O3 (up to þ10 to þ30 ppb) and daily Tmax (up to þ5 K) over the eastern US. During summer, GFDL AM3 reproduces mO3-T over the Northeast (mO3-T ¼ 2e6 ppb KÀ1; r ¼ 0.6e0.9), but underestimates mO3-T by 4 ppb KÀ1 over the MidAtlantic, in part due to excessively warm temperatures above which O3 production saturates in the model. Combining Tmax biases in GFDL AM3 with an observation-based mO3-T estimate of 3 ppb K À1implies that temperature biases could explain up to 5e15 ppb of the MDA8 O3 bias in August and September though correcting for excessively cool temperatures would worsen the O3 bias in June. We underscore the need for long-term, coincident measurements of air pollution and meteorological variables to develop process-level constraints for evaluating chemistry-climate models used to project air quality responses to climate change.","container-title":"Atmospheric Environment","DOI":"10.1016/j.atmosenv.2011.11.021","ISSN":"13522310","journalAbbreviation":"Atmospheric Environment","language":"en","page":"142-153","source":"DOI.org (Crossref)","title":"Surface ozone-temperature relationships in the eastern US: A monthly climatology for evaluating chemistry-climate models","title-short":"Surface ozone-temperature relationships in the eastern US","volume":"47","author":[{"family":"Rasmussen","given":"D.J."},{"family":"Fiore","given":"A.M."},{"family":"Naik","given":"V."},{"family":"Horowitz","given":"L.W."},{"family":"McGinnis","given":"S.J."},{"family":"Schultz","given":"M.G."}],"issued":{"date-parts":[["2012",2]]}}}],"schema":"https://github.com/citation-style-language/schema/raw/master/csl-citation.json"} </w:instrText>
      </w:r>
      <w:r w:rsidR="0009159E">
        <w:rPr>
          <w:rFonts w:ascii="Arial" w:hAnsi="Arial" w:cs="Arial"/>
          <w:color w:val="000000"/>
          <w:sz w:val="20"/>
          <w:szCs w:val="20"/>
        </w:rPr>
        <w:fldChar w:fldCharType="separate"/>
      </w:r>
      <w:r w:rsidR="0003499F" w:rsidRPr="0003499F">
        <w:rPr>
          <w:rFonts w:ascii="Arial" w:hAnsi="Arial" w:cs="Arial"/>
          <w:sz w:val="20"/>
        </w:rPr>
        <w:t>(98, 99)</w:t>
      </w:r>
      <w:r w:rsidR="0009159E">
        <w:rPr>
          <w:rFonts w:ascii="Arial" w:hAnsi="Arial" w:cs="Arial"/>
          <w:color w:val="000000"/>
          <w:sz w:val="20"/>
          <w:szCs w:val="20"/>
        </w:rPr>
        <w:fldChar w:fldCharType="end"/>
      </w:r>
      <w:r w:rsidR="007F380D" w:rsidRPr="007F380D">
        <w:rPr>
          <w:rFonts w:ascii="Arial" w:hAnsi="Arial" w:cs="Arial"/>
          <w:color w:val="000000"/>
          <w:sz w:val="20"/>
          <w:szCs w:val="20"/>
        </w:rPr>
        <w:t xml:space="preserve"> Tg C yr</w:t>
      </w:r>
      <w:r w:rsidR="007F380D" w:rsidRPr="007F380D">
        <w:rPr>
          <w:rFonts w:ascii="Arial" w:hAnsi="Arial" w:cs="Arial"/>
          <w:color w:val="000000"/>
          <w:sz w:val="20"/>
          <w:szCs w:val="20"/>
          <w:vertAlign w:val="superscript"/>
        </w:rPr>
        <w:t>-1</w:t>
      </w:r>
      <w:r w:rsidR="007F380D" w:rsidRPr="007F380D">
        <w:rPr>
          <w:rFonts w:ascii="Arial" w:hAnsi="Arial" w:cs="Arial"/>
          <w:color w:val="000000"/>
          <w:sz w:val="20"/>
          <w:szCs w:val="20"/>
        </w:rPr>
        <w:t xml:space="preserve"> globally for 2016, 2017 and 2018, respectively. The anthropogenic and biomass burning emissions are drawn from the Representative Concentration Pathway 8.5 scenario (RCP 8.5; </w:t>
      </w:r>
      <w:r w:rsidR="007F380D" w:rsidRPr="007F380D">
        <w:rPr>
          <w:rFonts w:ascii="Arial" w:hAnsi="Arial" w:cs="Arial"/>
          <w:color w:val="000000"/>
          <w:sz w:val="20"/>
          <w:szCs w:val="20"/>
        </w:rPr>
        <w:fldChar w:fldCharType="begin"/>
      </w:r>
      <w:r w:rsidR="005E2D17">
        <w:rPr>
          <w:rFonts w:ascii="Arial" w:hAnsi="Arial" w:cs="Arial"/>
          <w:color w:val="000000"/>
          <w:sz w:val="20"/>
          <w:szCs w:val="20"/>
        </w:rPr>
        <w:instrText xml:space="preserve"> ADDIN ZOTERO_ITEM CSL_CITATION {"citationID":"8kht2dGT","properties":{"formattedCitation":"(56)","plainCitation":"(56)","noteIndex":0},"citationItems":[{"id":272,"uris":["http://zotero.org/users/9309103/items/GN8RGEZ9"],"itemData":{"id":272,"type":"article-journal","abstract":"This paper summarizes the main characteristics of the RCP8.5 scenario. The RCP8.5 combines assumptions about high population and relatively slow income growth with modest rates of technological change and energy intensity improvements, leading in the long term to high energy demand and GHG emissions in absence of climate change policies. Compared to the total set of Representative Concentration Pathways (RCPs), RCP8.5 thus corresponds to the pathway with the highest greenhouse gas emissions. Using the IIASA Integrated Assessment Framework and the MESSAGE model for the development of the RCP8.5, we focus in this paper on two important extensions compared to earlier scenarios: 1) the development of spatially explicit air pollution projections, and 2) enhancements in the land-use and land-cover change projections. In addition, we explore scenario variants that use RCP8.5 as a baseline, and assume different degrees of greenhouse gas mitigation policies to reduce radiative forcing. Based on our modeling framework, we find it technically possible to limit forcing from RCP8.5 to lower levels comparable to the other RCPs (2.6 to 6 W/m2). Our scenario analysis further indicates that climate policyinduced changes of global energy supply and demand may lead to significant co-benefits for other policy priorities, such as local air pollution.","container-title":"Climatic Change","DOI":"10.1007/s10584-011-0149-y","ISSN":"0165-0009, 1573-1480","issue":"1-2","journalAbbreviation":"Climatic Change","language":"en","page":"33-57","source":"DOI.org (Crossref)","title":"RCP 8.5—A scenario of comparatively high greenhouse gas emissions","volume":"109","author":[{"family":"Riahi","given":"Keywan"},{"family":"Rao","given":"Shilpa"},{"family":"Krey","given":"Volker"},{"family":"Cho","given":"Cheolhung"},{"family":"Chirkov","given":"Vadim"},{"family":"Fischer","given":"Guenther"},{"family":"Kindermann","given":"Georg"},{"family":"Nakicenovic","given":"Nebojsa"},{"family":"Rafaj","given":"Peter"}],"issued":{"date-parts":[["2011",11]]}}}],"schema":"https://github.com/citation-style-language/schema/raw/master/csl-citation.json"} </w:instrText>
      </w:r>
      <w:r w:rsidR="007F380D" w:rsidRPr="007F380D">
        <w:rPr>
          <w:rFonts w:ascii="Arial" w:hAnsi="Arial" w:cs="Arial"/>
          <w:color w:val="000000"/>
          <w:sz w:val="20"/>
          <w:szCs w:val="20"/>
        </w:rPr>
        <w:fldChar w:fldCharType="separate"/>
      </w:r>
      <w:r w:rsidR="00CC64F9" w:rsidRPr="00CC64F9">
        <w:rPr>
          <w:rFonts w:ascii="Arial" w:hAnsi="Arial" w:cs="Arial"/>
          <w:sz w:val="20"/>
        </w:rPr>
        <w:t>(56)</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for the years spanning the ATom campaign (2016 – 2018) by interpolating between 2010 and 2020 values following </w:t>
      </w:r>
      <w:r w:rsidR="007F380D" w:rsidRPr="007F380D">
        <w:rPr>
          <w:rFonts w:ascii="Arial" w:hAnsi="Arial" w:cs="Arial"/>
          <w:color w:val="000000"/>
          <w:sz w:val="20"/>
          <w:szCs w:val="20"/>
        </w:rPr>
        <w:fldChar w:fldCharType="begin"/>
      </w:r>
      <w:r w:rsidR="0009159E">
        <w:rPr>
          <w:rFonts w:ascii="Arial" w:hAnsi="Arial" w:cs="Arial"/>
          <w:color w:val="000000"/>
          <w:sz w:val="20"/>
          <w:szCs w:val="20"/>
        </w:rPr>
        <w:instrText xml:space="preserve"> ADDIN ZOTERO_ITEM CSL_CITATION {"citationID":"uHH7ZnQY","properties":{"formattedCitation":"(14)","plainCitation":"(14)","noteIndex":0},"citationItems":[{"id":788,"uris":["http://zotero.org/users/9309103/items/4G8K9MLH"],"itemData":{"id":788,"type":"article-journal","container-title":"Journal of Geophysical Research: Atmospheres","DOI":"10.1002/jgrd.50608","ISSN":"2169897X","issue":"14","journalAbbreviation":"J. Geophys. Res. Atmos.","language":"en","page":"8086-8110","source":"DOI.org (Crossref)","title":"Impact of preindustrial to present-day changes in short-lived pollutant emissions on atmospheric composition and climate forcing","title-short":"Impact of preindustrial to present-day changes in short-lived pollutant emissions on atmospheric composition and climate forcing","volume":"118","author":[{"family":"Naik","given":"Vaishali"},{"family":"Horowitz","given":"Larry W."},{"family":"Fiore","given":"Arlene M."},{"family":"Ginoux","given":"Paul"},{"family":"Mao","given":"Jingqiu"},{"family":"Aghedo","given":"Adetutu M."},{"family":"Levy","given":"Hiram"}],"issued":{"date-parts":[["2013",7,27]]}}}],"schema":"https://github.com/citation-style-language/schema/raw/master/csl-citation.json"} </w:instrText>
      </w:r>
      <w:r w:rsidR="007F380D" w:rsidRPr="007F380D">
        <w:rPr>
          <w:rFonts w:ascii="Arial" w:hAnsi="Arial" w:cs="Arial"/>
          <w:color w:val="000000"/>
          <w:sz w:val="20"/>
          <w:szCs w:val="20"/>
        </w:rPr>
        <w:fldChar w:fldCharType="separate"/>
      </w:r>
      <w:r w:rsidR="007F380D" w:rsidRPr="007F380D">
        <w:rPr>
          <w:rFonts w:ascii="Arial" w:hAnsi="Arial" w:cs="Arial"/>
          <w:color w:val="000000"/>
          <w:sz w:val="20"/>
          <w:szCs w:val="20"/>
        </w:rPr>
        <w:t>(14)</w:t>
      </w:r>
      <w:r w:rsidR="007F380D" w:rsidRPr="007F380D">
        <w:rPr>
          <w:rFonts w:ascii="Arial" w:hAnsi="Arial" w:cs="Arial"/>
          <w:color w:val="000000"/>
          <w:sz w:val="20"/>
          <w:szCs w:val="20"/>
        </w:rPr>
        <w:fldChar w:fldCharType="end"/>
      </w:r>
      <w:r w:rsidR="007F380D" w:rsidRPr="007F380D">
        <w:rPr>
          <w:rFonts w:ascii="Arial" w:hAnsi="Arial" w:cs="Arial"/>
          <w:color w:val="000000"/>
          <w:sz w:val="20"/>
          <w:szCs w:val="20"/>
        </w:rPr>
        <w:t xml:space="preserve">.  </w:t>
      </w:r>
      <w:bookmarkStart w:id="32" w:name="_Hlk113638486"/>
      <w:r w:rsidR="00DA17B6">
        <w:rPr>
          <w:rFonts w:ascii="Arial" w:hAnsi="Arial" w:cs="Arial"/>
          <w:color w:val="000000"/>
          <w:sz w:val="20"/>
          <w:szCs w:val="20"/>
        </w:rPr>
        <w:t>T</w:t>
      </w:r>
      <w:r w:rsidR="00DA17B6" w:rsidRPr="00DA17B6">
        <w:rPr>
          <w:rFonts w:ascii="Arial" w:hAnsi="Arial" w:cs="Arial"/>
          <w:color w:val="000000"/>
          <w:sz w:val="20"/>
          <w:szCs w:val="20"/>
        </w:rPr>
        <w:t>he global biomass burning emissions total 5.2–5.3 Tg N yr</w:t>
      </w:r>
      <w:r w:rsidR="00DA17B6" w:rsidRPr="00F47570">
        <w:rPr>
          <w:rFonts w:ascii="Arial" w:hAnsi="Arial" w:cs="Arial"/>
          <w:color w:val="000000"/>
          <w:sz w:val="20"/>
          <w:szCs w:val="20"/>
          <w:vertAlign w:val="superscript"/>
        </w:rPr>
        <w:t>-1</w:t>
      </w:r>
      <w:r w:rsidR="00DA17B6" w:rsidRPr="00DA17B6">
        <w:rPr>
          <w:rFonts w:ascii="Arial" w:hAnsi="Arial" w:cs="Arial"/>
          <w:color w:val="000000"/>
          <w:sz w:val="20"/>
          <w:szCs w:val="20"/>
        </w:rPr>
        <w:t xml:space="preserve"> </w:t>
      </w:r>
      <w:r w:rsidR="00DA17B6">
        <w:rPr>
          <w:rFonts w:ascii="Arial" w:hAnsi="Arial" w:cs="Arial"/>
          <w:color w:val="000000"/>
          <w:sz w:val="20"/>
          <w:szCs w:val="20"/>
        </w:rPr>
        <w:t>for</w:t>
      </w:r>
      <w:r w:rsidR="00DA17B6" w:rsidRPr="00DA17B6">
        <w:rPr>
          <w:rFonts w:ascii="Arial" w:hAnsi="Arial" w:cs="Arial"/>
          <w:color w:val="000000"/>
          <w:sz w:val="20"/>
          <w:szCs w:val="20"/>
        </w:rPr>
        <w:t xml:space="preserve"> NO and 437–438 Tg CO yr</w:t>
      </w:r>
      <w:r w:rsidR="00DA17B6" w:rsidRPr="00F47570">
        <w:rPr>
          <w:rFonts w:ascii="Arial" w:hAnsi="Arial" w:cs="Arial"/>
          <w:color w:val="000000"/>
          <w:sz w:val="20"/>
          <w:szCs w:val="20"/>
          <w:vertAlign w:val="superscript"/>
        </w:rPr>
        <w:t>-1</w:t>
      </w:r>
      <w:r w:rsidR="00DA17B6" w:rsidRPr="00DA17B6">
        <w:rPr>
          <w:rFonts w:ascii="Arial" w:hAnsi="Arial" w:cs="Arial"/>
          <w:color w:val="000000"/>
          <w:sz w:val="20"/>
          <w:szCs w:val="20"/>
        </w:rPr>
        <w:t xml:space="preserve"> for each year overlapping with ATom.</w:t>
      </w:r>
    </w:p>
    <w:bookmarkEnd w:id="32"/>
    <w:p w14:paraId="31D4AA0D" w14:textId="77777777" w:rsidR="007F380D" w:rsidRDefault="007F380D" w:rsidP="007F380D">
      <w:pPr>
        <w:pBdr>
          <w:top w:val="nil"/>
          <w:left w:val="nil"/>
          <w:bottom w:val="nil"/>
          <w:right w:val="nil"/>
          <w:between w:val="nil"/>
        </w:pBdr>
        <w:contextualSpacing/>
        <w:rPr>
          <w:rFonts w:ascii="Arial" w:hAnsi="Arial" w:cs="Arial"/>
          <w:color w:val="000000"/>
          <w:sz w:val="20"/>
          <w:szCs w:val="20"/>
        </w:rPr>
      </w:pPr>
    </w:p>
    <w:p w14:paraId="681796B1" w14:textId="79657B98" w:rsidR="007F380D" w:rsidRPr="007F380D" w:rsidRDefault="007F380D"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 xml:space="preserve">We compare the model with ATom by sampling the grid cells containing the corresponding observed latitude, longitude, altitude and time for each observed data point and evaluate AM3 using the normalized mean bias (Equation M1), in which </w:t>
      </w:r>
      <w:r w:rsidRPr="007F380D">
        <w:rPr>
          <w:rFonts w:ascii="Arial" w:hAnsi="Arial" w:cs="Arial"/>
          <w:i/>
          <w:iCs/>
          <w:color w:val="000000"/>
          <w:sz w:val="20"/>
          <w:szCs w:val="20"/>
        </w:rPr>
        <w:t>i,obs</w:t>
      </w:r>
      <w:r w:rsidRPr="007F380D">
        <w:rPr>
          <w:rFonts w:ascii="Arial" w:hAnsi="Arial" w:cs="Arial"/>
          <w:color w:val="000000"/>
          <w:sz w:val="20"/>
          <w:szCs w:val="20"/>
        </w:rPr>
        <w:t xml:space="preserve"> and </w:t>
      </w:r>
      <w:r w:rsidRPr="007F380D">
        <w:rPr>
          <w:rFonts w:ascii="Arial" w:hAnsi="Arial" w:cs="Arial"/>
          <w:i/>
          <w:iCs/>
          <w:color w:val="000000"/>
          <w:sz w:val="20"/>
          <w:szCs w:val="20"/>
        </w:rPr>
        <w:t>i,mod</w:t>
      </w:r>
      <w:r w:rsidRPr="007F380D">
        <w:rPr>
          <w:rFonts w:ascii="Arial" w:hAnsi="Arial" w:cs="Arial"/>
          <w:color w:val="000000"/>
          <w:sz w:val="20"/>
          <w:szCs w:val="20"/>
        </w:rPr>
        <w:t xml:space="preserve"> represent a 10 s average observation from ATom and the co-located hourly average model diagnostic from AM3, respectively. The AM3 </w:t>
      </w:r>
      <m:oMath>
        <m:sSub>
          <m:sSubPr>
            <m:ctrlPr>
              <w:rPr>
                <w:rFonts w:ascii="Cambria Math" w:hAnsi="Cambria Math" w:cs="Arial"/>
                <w:i/>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i/>
                    <w:color w:val="000000"/>
                    <w:sz w:val="20"/>
                    <w:szCs w:val="20"/>
                  </w:rPr>
                </m:ctrlPr>
              </m:sSupPr>
              <m:e>
                <m:r>
                  <w:rPr>
                    <w:rFonts w:ascii="Cambria Math" w:hAnsi="Cambria Math" w:cs="Arial"/>
                    <w:color w:val="000000"/>
                    <w:sz w:val="20"/>
                    <w:szCs w:val="20"/>
                  </w:rPr>
                  <m:t>(</m:t>
                </m:r>
              </m:e>
              <m:sup>
                <m:r>
                  <w:rPr>
                    <w:rFonts w:ascii="Cambria Math" w:hAnsi="Cambria Math" w:cs="Arial"/>
                    <w:color w:val="000000"/>
                    <w:sz w:val="20"/>
                    <w:szCs w:val="20"/>
                  </w:rPr>
                  <m:t>1</m:t>
                </m:r>
              </m:sup>
            </m:sSup>
            <m:r>
              <w:rPr>
                <w:rFonts w:ascii="Cambria Math" w:hAnsi="Cambria Math" w:cs="Arial"/>
                <w:color w:val="000000"/>
                <w:sz w:val="20"/>
                <w:szCs w:val="20"/>
              </w:rPr>
              <m:t>D)</m:t>
            </m:r>
          </m:sub>
        </m:sSub>
      </m:oMath>
      <w:r w:rsidRPr="007F380D">
        <w:rPr>
          <w:rFonts w:ascii="Arial" w:hAnsi="Arial" w:cs="Arial"/>
          <w:color w:val="000000"/>
          <w:sz w:val="20"/>
          <w:szCs w:val="20"/>
        </w:rPr>
        <w:t xml:space="preserve"> photolysis rates were previously shown to be consistent with CAFS observations over the tropical and northern Pacific ATom-1 flight tracks </w:t>
      </w:r>
      <w:r w:rsidRPr="007F380D">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{"citationID":"FUIItzO9","properties":{"formattedCitation":"(100)","plainCitation":"(100)","noteIndex":0},"citationItems":[{"id":437,"uris":["http://zotero.org/users/9309103/items/XMDXMCIK"],"itemData":{"id":437,"type":"article-journal","abstract":"Abstract. Measurements from actinic flux spectroradiometers on board the\nNASA DC-8 during the Atmospheric Tomography (ATom) mission provide an\nextensive set of statistics on how clouds alter photolysis rates (J values)\nthroughout the remote Pacific and Atlantic Ocean basins. J values control\ntropospheric ozone and methane abundances, and thus clouds have been included\nfor more than three decades in tropospheric chemistry modeling. ATom made\nfour profiling circumnavigations of the troposphere capturing each of the\nseasons during 2016–2018. This work examines J values from the Pacific\nOcean flights of the first deployment, but publishes the complete Atom-1 data\nset (29 July to 23 August 2016). We compare the observed J values (every 3 s along flight track) with those calculated by nine global\nchemistry–climate/transport models (globally gridded, hourly, for a\nmid-August day). To compare these disparate data sets, we build a\ncommensurate statistical picture of the impact of clouds on J values using\nthe ratio of J-cloudy (standard, sometimes cloudy conditions) to J-clear\n(artificially cleared of clouds). The range of modeled cloud effects is\ninconsistently large but they fall into two distinct classes: (1) models with\nlarge cloud effects showing mostly enhanced J values aloft and or\ndiminished at the surface and (2) models with small effects having nearly\nclear-sky J values much of the time. The ATom-1 measurements generally\nfavor large cloud effects but are not precise or robust enough to point out\nthe best cloud-modeling approach. The models here have resolutions of 50–200 km\nand thus reduce the occurrence of clear sky when averaging over grid\ncells. In situ measurements also average scattered sunlight over a mixed\ncloud field, but only out to scales of tens of kilometers. A primary uncertainty\nremains in the role of clouds in chemistry, in particular, how models average\nover cloud fields, and how such averages can simulate measurements.","container-title":"Atmospheric Chemistry and Physics","DOI":"10.5194/acp-18-16809-2018","ISSN":"1680-7324","issue":"22","journalAbbreviation":"Atmos. Chem. Phys.","language":"en","page":"16809-16828","source":"DOI.org (Crossref)","title":"Cloud impacts on photochemistry: building a climatology of photolysis rates from the Atmospheric Tomography mission","title-short":"Cloud impacts on photochemistry","volume":"18","author":[{"family":"Hall","given":"Samuel R."},{"family":"Ullmann","given":"Kirk"},{"family":"Prather","given":"Michael J."},{"family":"Flynn","given":"Clare M."},{"family":"Murray","given":"Lee T."},{"family":"Fiore","given":"Arlene M."},{"family":"Correa","given":"Gustavo"},{"family":"Strode","given":"Sarah A."},{"family":"Steenrod","given":"Stephen D."},{"family":"Lamarque","given":"Jean-Francois"},{"family":"Guth","given":"Jonathan"},{"family":"Josse","given":"Béatrice"},{"family":"Flemming","given":"Johannes"},{"family":"Huijnen","given":"Vincent"},{"family":"Abraham","given":"N. Luke"},{"family":"Archibald","given":"Alex T."}],"issued":{"date-parts":[["2018",11,28]]}}}],"schema":"https://github.com/citation-style-language/schema/raw/master/csl-citation.json"} </w:instrText>
      </w:r>
      <w:r w:rsidRPr="007F380D">
        <w:rPr>
          <w:rFonts w:ascii="Arial" w:hAnsi="Arial" w:cs="Arial"/>
          <w:color w:val="000000"/>
          <w:sz w:val="20"/>
          <w:szCs w:val="20"/>
        </w:rPr>
        <w:fldChar w:fldCharType="separate"/>
      </w:r>
      <w:r w:rsidR="0003499F" w:rsidRPr="0003499F">
        <w:rPr>
          <w:rFonts w:ascii="Arial" w:hAnsi="Arial" w:cs="Arial"/>
          <w:sz w:val="20"/>
        </w:rPr>
        <w:t>(100)</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w:t>
      </w:r>
    </w:p>
    <w:p w14:paraId="165A9D9D" w14:textId="77777777" w:rsidR="007F380D" w:rsidRDefault="007F380D" w:rsidP="007F380D">
      <w:pPr>
        <w:pBdr>
          <w:top w:val="nil"/>
          <w:left w:val="nil"/>
          <w:bottom w:val="nil"/>
          <w:right w:val="nil"/>
          <w:between w:val="nil"/>
        </w:pBdr>
        <w:contextualSpacing/>
        <w:rPr>
          <w:rFonts w:ascii="Arial" w:hAnsi="Arial" w:cs="Arial"/>
          <w:color w:val="000000"/>
          <w:sz w:val="20"/>
          <w:szCs w:val="20"/>
        </w:rPr>
      </w:pPr>
    </w:p>
    <w:p w14:paraId="6BFCF0B8" w14:textId="468C7B15" w:rsidR="007F380D" w:rsidRPr="007F380D" w:rsidRDefault="007F380D" w:rsidP="007F380D">
      <w:pPr>
        <w:pBdr>
          <w:top w:val="nil"/>
          <w:left w:val="nil"/>
          <w:bottom w:val="nil"/>
          <w:right w:val="nil"/>
          <w:between w:val="nil"/>
        </w:pBdr>
        <w:contextualSpacing/>
        <w:rPr>
          <w:rFonts w:ascii="Arial" w:hAnsi="Arial" w:cs="Arial"/>
          <w:i/>
          <w:iCs/>
          <w:color w:val="000000"/>
          <w:sz w:val="20"/>
          <w:szCs w:val="20"/>
        </w:rPr>
      </w:pPr>
      <w:r w:rsidRPr="007F380D">
        <w:rPr>
          <w:rFonts w:ascii="Arial" w:hAnsi="Arial" w:cs="Arial"/>
          <w:color w:val="000000"/>
          <w:sz w:val="20"/>
          <w:szCs w:val="20"/>
        </w:rPr>
        <w:t>Normalized mean bias (%) = ∑(</w:t>
      </w:r>
      <w:r w:rsidRPr="007F380D">
        <w:rPr>
          <w:rFonts w:ascii="Arial" w:hAnsi="Arial" w:cs="Arial"/>
          <w:i/>
          <w:iCs/>
          <w:color w:val="000000"/>
          <w:sz w:val="20"/>
          <w:szCs w:val="20"/>
        </w:rPr>
        <w:t>x</w:t>
      </w:r>
      <w:r w:rsidRPr="007F380D">
        <w:rPr>
          <w:rFonts w:ascii="Arial" w:hAnsi="Arial" w:cs="Arial"/>
          <w:i/>
          <w:iCs/>
          <w:color w:val="000000"/>
          <w:sz w:val="20"/>
          <w:szCs w:val="20"/>
          <w:vertAlign w:val="subscript"/>
        </w:rPr>
        <w:t>i,mod</w:t>
      </w:r>
      <w:r w:rsidRPr="007F380D">
        <w:rPr>
          <w:rFonts w:ascii="Arial" w:hAnsi="Arial" w:cs="Arial"/>
          <w:color w:val="000000"/>
          <w:sz w:val="20"/>
          <w:szCs w:val="20"/>
        </w:rPr>
        <w:t xml:space="preserve"> – </w:t>
      </w:r>
      <w:r w:rsidRPr="007F380D">
        <w:rPr>
          <w:rFonts w:ascii="Arial" w:hAnsi="Arial" w:cs="Arial"/>
          <w:i/>
          <w:iCs/>
          <w:color w:val="000000"/>
          <w:sz w:val="20"/>
          <w:szCs w:val="20"/>
        </w:rPr>
        <w:t>x</w:t>
      </w:r>
      <w:r w:rsidRPr="007F380D">
        <w:rPr>
          <w:rFonts w:ascii="Arial" w:hAnsi="Arial" w:cs="Arial"/>
          <w:i/>
          <w:iCs/>
          <w:color w:val="000000"/>
          <w:sz w:val="20"/>
          <w:szCs w:val="20"/>
          <w:vertAlign w:val="subscript"/>
        </w:rPr>
        <w:t>i,obs</w:t>
      </w:r>
      <w:r w:rsidRPr="007F380D">
        <w:rPr>
          <w:rFonts w:ascii="Arial" w:hAnsi="Arial" w:cs="Arial"/>
          <w:color w:val="000000"/>
          <w:sz w:val="20"/>
          <w:szCs w:val="20"/>
        </w:rPr>
        <w:t>)/∑(</w:t>
      </w:r>
      <w:r w:rsidRPr="007F380D">
        <w:rPr>
          <w:rFonts w:ascii="Arial" w:hAnsi="Arial" w:cs="Arial"/>
          <w:i/>
          <w:iCs/>
          <w:color w:val="000000"/>
          <w:sz w:val="20"/>
          <w:szCs w:val="20"/>
        </w:rPr>
        <w:t>x</w:t>
      </w:r>
      <w:r w:rsidRPr="007F380D">
        <w:rPr>
          <w:rFonts w:ascii="Arial" w:hAnsi="Arial" w:cs="Arial"/>
          <w:i/>
          <w:iCs/>
          <w:color w:val="000000"/>
          <w:sz w:val="20"/>
          <w:szCs w:val="20"/>
          <w:vertAlign w:val="subscript"/>
        </w:rPr>
        <w:t>i,obs</w:t>
      </w:r>
      <w:r w:rsidRPr="007F380D">
        <w:rPr>
          <w:rFonts w:ascii="Arial" w:hAnsi="Arial" w:cs="Arial"/>
          <w:color w:val="000000"/>
          <w:sz w:val="20"/>
          <w:szCs w:val="20"/>
        </w:rPr>
        <w:t>)</w:t>
      </w:r>
      <w:r w:rsidRPr="007F380D">
        <w:rPr>
          <w:rFonts w:ascii="Arial" w:hAnsi="Arial" w:cs="Arial"/>
          <w:color w:val="000000"/>
          <w:sz w:val="20"/>
          <w:szCs w:val="20"/>
        </w:rPr>
        <w:tab/>
      </w:r>
      <w:r w:rsidRPr="007F380D">
        <w:rPr>
          <w:rFonts w:ascii="Arial" w:hAnsi="Arial" w:cs="Arial"/>
          <w:color w:val="000000"/>
          <w:sz w:val="20"/>
          <w:szCs w:val="20"/>
        </w:rPr>
        <w:tab/>
      </w:r>
      <w:r w:rsidRPr="007F380D">
        <w:rPr>
          <w:rFonts w:ascii="Arial" w:hAnsi="Arial" w:cs="Arial"/>
          <w:color w:val="000000"/>
          <w:sz w:val="20"/>
          <w:szCs w:val="20"/>
        </w:rPr>
        <w:tab/>
      </w:r>
      <w:r w:rsidRPr="007F380D">
        <w:rPr>
          <w:rFonts w:ascii="Arial" w:hAnsi="Arial" w:cs="Arial"/>
          <w:color w:val="000000"/>
          <w:sz w:val="20"/>
          <w:szCs w:val="20"/>
        </w:rPr>
        <w:tab/>
      </w:r>
      <w:r w:rsidRPr="007F380D">
        <w:rPr>
          <w:rFonts w:ascii="Arial" w:hAnsi="Arial" w:cs="Arial"/>
          <w:color w:val="000000"/>
          <w:sz w:val="20"/>
          <w:szCs w:val="20"/>
        </w:rPr>
        <w:tab/>
        <w:t>(M1)</w:t>
      </w:r>
    </w:p>
    <w:p w14:paraId="7BBC13FA" w14:textId="77777777" w:rsidR="007F380D" w:rsidRDefault="007F380D" w:rsidP="00E6133D">
      <w:pPr>
        <w:pBdr>
          <w:top w:val="nil"/>
          <w:left w:val="nil"/>
          <w:bottom w:val="nil"/>
          <w:right w:val="nil"/>
          <w:between w:val="nil"/>
        </w:pBdr>
        <w:contextualSpacing/>
        <w:rPr>
          <w:rFonts w:ascii="Arial" w:hAnsi="Arial" w:cs="Arial"/>
          <w:color w:val="000000"/>
          <w:sz w:val="20"/>
          <w:szCs w:val="20"/>
        </w:rPr>
      </w:pPr>
    </w:p>
    <w:p w14:paraId="68789C71" w14:textId="6BD38255" w:rsidR="007F380D" w:rsidRPr="007F380D" w:rsidRDefault="00A42EF2" w:rsidP="007F380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8</w:t>
      </w:r>
      <w:r w:rsidR="007F380D" w:rsidRPr="007F380D">
        <w:rPr>
          <w:rFonts w:ascii="Arial" w:hAnsi="Arial" w:cs="Arial"/>
          <w:color w:val="000000"/>
          <w:sz w:val="20"/>
          <w:szCs w:val="20"/>
        </w:rPr>
        <w:t xml:space="preserve">.2 Bayesian </w:t>
      </w:r>
      <w:r w:rsidR="001007BA">
        <w:rPr>
          <w:rFonts w:ascii="Arial" w:hAnsi="Arial" w:cs="Arial"/>
          <w:color w:val="000000"/>
          <w:sz w:val="20"/>
          <w:szCs w:val="20"/>
        </w:rPr>
        <w:t>mixed-effects model</w:t>
      </w:r>
    </w:p>
    <w:p w14:paraId="4EEAE8C9" w14:textId="622F44E3" w:rsidR="00980C22" w:rsidRDefault="00980C22" w:rsidP="00E6133D">
      <w:pPr>
        <w:pBdr>
          <w:top w:val="nil"/>
          <w:left w:val="nil"/>
          <w:bottom w:val="nil"/>
          <w:right w:val="nil"/>
          <w:between w:val="nil"/>
        </w:pBdr>
        <w:contextualSpacing/>
        <w:rPr>
          <w:rFonts w:ascii="Arial" w:hAnsi="Arial" w:cs="Arial"/>
          <w:color w:val="000000"/>
          <w:sz w:val="20"/>
          <w:szCs w:val="20"/>
        </w:rPr>
      </w:pPr>
    </w:p>
    <w:p w14:paraId="53DDB6D0" w14:textId="2326ACB9" w:rsidR="005B1D11" w:rsidRDefault="005B1D11" w:rsidP="007F380D">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t>Mixed-effects models are an extension of linear regression. For predictor variables, they combine a fixed effect (i.e., Proxy</w:t>
      </w:r>
      <w:r w:rsidRPr="00F47570">
        <w:rPr>
          <w:rFonts w:ascii="Arial" w:hAnsi="Arial" w:cs="Arial"/>
          <w:i/>
          <w:iCs/>
          <w:color w:val="000000"/>
          <w:sz w:val="20"/>
          <w:szCs w:val="20"/>
          <w:vertAlign w:val="subscript"/>
        </w:rPr>
        <w:t>OH</w:t>
      </w:r>
      <w:r>
        <w:rPr>
          <w:rFonts w:ascii="Arial" w:hAnsi="Arial" w:cs="Arial"/>
          <w:color w:val="000000"/>
          <w:sz w:val="20"/>
          <w:szCs w:val="20"/>
        </w:rPr>
        <w:t>) and random effect (a grouping variable or source of non-independence; here,</w:t>
      </w:r>
      <w:r w:rsidR="00B356D1">
        <w:rPr>
          <w:rFonts w:ascii="Arial" w:hAnsi="Arial" w:cs="Arial"/>
          <w:color w:val="000000"/>
          <w:sz w:val="20"/>
          <w:szCs w:val="20"/>
        </w:rPr>
        <w:t xml:space="preserve"> the arbitrary </w:t>
      </w:r>
      <w:r>
        <w:rPr>
          <w:rFonts w:ascii="Arial" w:hAnsi="Arial" w:cs="Arial"/>
          <w:color w:val="000000"/>
          <w:sz w:val="20"/>
          <w:szCs w:val="20"/>
        </w:rPr>
        <w:t>spatial bin</w:t>
      </w:r>
      <w:r w:rsidR="00B356D1">
        <w:rPr>
          <w:rFonts w:ascii="Arial" w:hAnsi="Arial" w:cs="Arial"/>
          <w:color w:val="000000"/>
          <w:sz w:val="20"/>
          <w:szCs w:val="20"/>
        </w:rPr>
        <w:t xml:space="preserve"> selection</w:t>
      </w:r>
      <w:r>
        <w:rPr>
          <w:rFonts w:ascii="Arial" w:hAnsi="Arial" w:cs="Arial"/>
          <w:color w:val="000000"/>
          <w:sz w:val="20"/>
          <w:szCs w:val="20"/>
        </w:rPr>
        <w:t xml:space="preserve">). </w:t>
      </w:r>
      <w:r w:rsidR="00441EEB">
        <w:rPr>
          <w:rFonts w:ascii="Arial" w:hAnsi="Arial" w:cs="Arial"/>
          <w:color w:val="000000"/>
          <w:sz w:val="20"/>
          <w:szCs w:val="20"/>
        </w:rPr>
        <w:t xml:space="preserve">Previous atmospheric chemistry research has applied some form of mixed-effect model for applications such as mapping high resolution urban pollution </w:t>
      </w:r>
      <w:r w:rsidR="00441EEB">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{"citationID":"dPwcke6V","properties":{"formattedCitation":"(101)","plainCitation":"(101)","noteIndex":0},"citationItems":[{"id":2216,"uris":["http://zotero.org/users/9309103/items/97HBA98V"],"itemData":{"id":2216,"type":"article-journal","container-title":"Environmental Science &amp; Technology","DOI":"10.1021/acs.est.1c05806","ISSN":"0013-936X, 1520-5851","issue":"11","journalAbbreviation":"Environ. Sci. Technol.","language":"en","page":"7174-7184","source":"DOI.org (Crossref)","title":"Mixed-Effects Modeling Framework for Amsterdam and Copenhagen for Outdoor NO &lt;sub&gt;2&lt;/sub&gt; Concentrations Using Measurements Sampled with Google Street View Cars","volume":"56","author":[{"family":"Kerckhoffs","given":"Jules"},{"family":"Khan","given":"Jibran"},{"family":"Hoek","given":"Gerard"},{"family":"Yuan","given":"Zhendong"},{"family":"Ellermann","given":"Thomas"},{"family":"Hertel","given":"Ole"},{"family":"Ketzel","given":"Matthias"},{"family":"Jensen","given":"Steen Solvang"},{"family":"Meliefste","given":"Kees"},{"family":"Vermeulen","given":"Roel"}],"issued":{"date-parts":[["2022",6,7]]}}}],"schema":"https://github.com/citation-style-language/schema/raw/master/csl-citation.json"} </w:instrText>
      </w:r>
      <w:r w:rsidR="00441EEB">
        <w:rPr>
          <w:rFonts w:ascii="Arial" w:hAnsi="Arial" w:cs="Arial"/>
          <w:color w:val="000000"/>
          <w:sz w:val="20"/>
          <w:szCs w:val="20"/>
        </w:rPr>
        <w:fldChar w:fldCharType="separate"/>
      </w:r>
      <w:r w:rsidR="0003499F" w:rsidRPr="0003499F">
        <w:rPr>
          <w:rFonts w:ascii="Arial" w:hAnsi="Arial" w:cs="Arial"/>
          <w:sz w:val="20"/>
        </w:rPr>
        <w:t>(101)</w:t>
      </w:r>
      <w:r w:rsidR="00441EEB">
        <w:rPr>
          <w:rFonts w:ascii="Arial" w:hAnsi="Arial" w:cs="Arial"/>
          <w:color w:val="000000"/>
          <w:sz w:val="20"/>
          <w:szCs w:val="20"/>
        </w:rPr>
        <w:fldChar w:fldCharType="end"/>
      </w:r>
      <w:r w:rsidR="00441EEB">
        <w:rPr>
          <w:rFonts w:ascii="Arial" w:hAnsi="Arial" w:cs="Arial"/>
          <w:color w:val="000000"/>
          <w:sz w:val="20"/>
          <w:szCs w:val="20"/>
        </w:rPr>
        <w:t xml:space="preserve"> or for cluster analysis of surface ozone episodes </w:t>
      </w:r>
      <w:r w:rsidR="00441EEB">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{"citationID":"CSE0mnvG","properties":{"formattedCitation":"(102)","plainCitation":"(102)","noteIndex":0},"citationItems":[{"id":2214,"uris":["http://zotero.org/users/9309103/items/CNT2A32V"],"itemData":{"id":2214,"type":"article-journal","container-title":"Atmospheric Pollution Research","DOI":"10.5094/APR.2015.029","ISSN":"13091042","issue":"2","journalAbbreviation":"Atmospheric Pollution Research","language":"en","page":"245-253","source":"DOI.org (Crossref)","title":"Prediction of surface ozone episodes using clusters based generalized linear mixed effects models in Houston–Galveston–Brazoria area, Texas","volume":"6","author":[{"family":"Sun","given":"Wei"},{"family":"Palazoglu","given":"Ahmet"},{"family":"Singh","given":"Angadh"},{"family":"Zhang","given":"Hao"},{"family":"Wang","given":"Qi"},{"family":"Zhao","given":"Zemeng"},{"family":"Cao","given":"Ding"}],"issued":{"date-parts":[["2015",3]]}}}],"schema":"https://github.com/citation-style-language/schema/raw/master/csl-citation.json"} </w:instrText>
      </w:r>
      <w:r w:rsidR="00441EEB">
        <w:rPr>
          <w:rFonts w:ascii="Arial" w:hAnsi="Arial" w:cs="Arial"/>
          <w:color w:val="000000"/>
          <w:sz w:val="20"/>
          <w:szCs w:val="20"/>
        </w:rPr>
        <w:fldChar w:fldCharType="separate"/>
      </w:r>
      <w:r w:rsidR="0003499F" w:rsidRPr="0003499F">
        <w:rPr>
          <w:rFonts w:ascii="Arial" w:hAnsi="Arial" w:cs="Arial"/>
          <w:sz w:val="20"/>
        </w:rPr>
        <w:t>(102)</w:t>
      </w:r>
      <w:r w:rsidR="00441EEB">
        <w:rPr>
          <w:rFonts w:ascii="Arial" w:hAnsi="Arial" w:cs="Arial"/>
          <w:color w:val="000000"/>
          <w:sz w:val="20"/>
          <w:szCs w:val="20"/>
        </w:rPr>
        <w:fldChar w:fldCharType="end"/>
      </w:r>
      <w:r w:rsidR="00441EEB">
        <w:rPr>
          <w:rFonts w:ascii="Arial" w:hAnsi="Arial" w:cs="Arial"/>
          <w:color w:val="000000"/>
          <w:sz w:val="20"/>
          <w:szCs w:val="20"/>
        </w:rPr>
        <w:t xml:space="preserve">. </w:t>
      </w:r>
      <w:r w:rsidR="00061895">
        <w:rPr>
          <w:rFonts w:ascii="Arial" w:hAnsi="Arial" w:cs="Arial"/>
          <w:color w:val="000000"/>
          <w:sz w:val="20"/>
          <w:szCs w:val="20"/>
        </w:rPr>
        <w:t xml:space="preserve">For our project, </w:t>
      </w:r>
      <w:r w:rsidR="000E3A15">
        <w:rPr>
          <w:rFonts w:ascii="Arial" w:hAnsi="Arial" w:cs="Arial"/>
          <w:color w:val="000000"/>
          <w:sz w:val="20"/>
          <w:szCs w:val="20"/>
        </w:rPr>
        <w:t xml:space="preserve">it would be challenging to incorporate observational uncertainty </w:t>
      </w:r>
      <w:r w:rsidR="00061895">
        <w:rPr>
          <w:rFonts w:ascii="Arial" w:hAnsi="Arial" w:cs="Arial"/>
          <w:color w:val="000000"/>
          <w:sz w:val="20"/>
          <w:szCs w:val="20"/>
        </w:rPr>
        <w:t>u</w:t>
      </w:r>
      <w:r w:rsidR="00F5561B">
        <w:rPr>
          <w:rFonts w:ascii="Arial" w:hAnsi="Arial" w:cs="Arial"/>
          <w:color w:val="000000"/>
          <w:sz w:val="20"/>
          <w:szCs w:val="20"/>
        </w:rPr>
        <w:t>sing a</w:t>
      </w:r>
      <w:r>
        <w:rPr>
          <w:rFonts w:ascii="Arial" w:hAnsi="Arial" w:cs="Arial"/>
          <w:color w:val="000000"/>
          <w:sz w:val="20"/>
          <w:szCs w:val="20"/>
        </w:rPr>
        <w:t xml:space="preserve"> frequentist (</w:t>
      </w:r>
      <w:r w:rsidRPr="00F47570">
        <w:rPr>
          <w:rFonts w:ascii="Arial" w:hAnsi="Arial" w:cs="Arial"/>
          <w:i/>
          <w:iCs/>
          <w:color w:val="000000"/>
          <w:sz w:val="20"/>
          <w:szCs w:val="20"/>
        </w:rPr>
        <w:t>e.g.</w:t>
      </w:r>
      <w:r>
        <w:rPr>
          <w:rFonts w:ascii="Arial" w:hAnsi="Arial" w:cs="Arial"/>
          <w:color w:val="000000"/>
          <w:sz w:val="20"/>
          <w:szCs w:val="20"/>
        </w:rPr>
        <w:t>,</w:t>
      </w:r>
      <w:r w:rsidR="00100AE0">
        <w:rPr>
          <w:rFonts w:ascii="Arial" w:hAnsi="Arial" w:cs="Arial"/>
          <w:color w:val="000000"/>
          <w:sz w:val="20"/>
          <w:szCs w:val="20"/>
        </w:rPr>
        <w:t>maximum likelihood</w:t>
      </w:r>
      <w:r>
        <w:rPr>
          <w:rFonts w:ascii="Arial" w:hAnsi="Arial" w:cs="Arial"/>
          <w:color w:val="000000"/>
          <w:sz w:val="20"/>
          <w:szCs w:val="20"/>
        </w:rPr>
        <w:t>) approach</w:t>
      </w:r>
      <w:r w:rsidR="000E3A15">
        <w:rPr>
          <w:rFonts w:ascii="Arial" w:hAnsi="Arial" w:cs="Arial"/>
          <w:color w:val="000000"/>
          <w:sz w:val="20"/>
          <w:szCs w:val="20"/>
        </w:rPr>
        <w:t>.</w:t>
      </w:r>
      <w:r>
        <w:rPr>
          <w:rFonts w:ascii="Arial" w:hAnsi="Arial" w:cs="Arial"/>
          <w:color w:val="000000"/>
          <w:sz w:val="20"/>
          <w:szCs w:val="20"/>
        </w:rPr>
        <w:t xml:space="preserve"> </w:t>
      </w:r>
      <w:r w:rsidR="00F5561B">
        <w:rPr>
          <w:rFonts w:ascii="Arial" w:hAnsi="Arial" w:cs="Arial"/>
          <w:color w:val="000000"/>
          <w:sz w:val="20"/>
          <w:szCs w:val="20"/>
        </w:rPr>
        <w:t>Instead</w:t>
      </w:r>
      <w:r>
        <w:rPr>
          <w:rFonts w:ascii="Arial" w:hAnsi="Arial" w:cs="Arial"/>
          <w:color w:val="000000"/>
          <w:sz w:val="20"/>
          <w:szCs w:val="20"/>
        </w:rPr>
        <w:t>, we fit the mixed-effects model</w:t>
      </w:r>
      <w:r w:rsidR="00F5561B">
        <w:rPr>
          <w:rFonts w:ascii="Arial" w:hAnsi="Arial" w:cs="Arial"/>
          <w:color w:val="000000"/>
          <w:sz w:val="20"/>
          <w:szCs w:val="20"/>
        </w:rPr>
        <w:t xml:space="preserve"> using a Bayesian regression, which </w:t>
      </w:r>
      <w:r>
        <w:rPr>
          <w:rFonts w:ascii="Arial" w:hAnsi="Arial" w:cs="Arial"/>
          <w:color w:val="000000"/>
          <w:sz w:val="20"/>
          <w:szCs w:val="20"/>
        </w:rPr>
        <w:t>incorporat</w:t>
      </w:r>
      <w:r w:rsidR="00B356D1">
        <w:rPr>
          <w:rFonts w:ascii="Arial" w:hAnsi="Arial" w:cs="Arial"/>
          <w:color w:val="000000"/>
          <w:sz w:val="20"/>
          <w:szCs w:val="20"/>
        </w:rPr>
        <w:t>es</w:t>
      </w:r>
      <w:r>
        <w:rPr>
          <w:rFonts w:ascii="Arial" w:hAnsi="Arial" w:cs="Arial"/>
          <w:color w:val="000000"/>
          <w:sz w:val="20"/>
          <w:szCs w:val="20"/>
        </w:rPr>
        <w:t xml:space="preserve"> measurement uncertainty </w:t>
      </w:r>
      <w:r w:rsidR="000E3A15">
        <w:rPr>
          <w:rFonts w:ascii="Arial" w:hAnsi="Arial" w:cs="Arial"/>
          <w:color w:val="000000"/>
          <w:sz w:val="20"/>
          <w:szCs w:val="20"/>
        </w:rPr>
        <w:t xml:space="preserve">while </w:t>
      </w:r>
      <w:r>
        <w:rPr>
          <w:rFonts w:ascii="Arial" w:hAnsi="Arial" w:cs="Arial"/>
          <w:color w:val="000000"/>
          <w:sz w:val="20"/>
          <w:szCs w:val="20"/>
        </w:rPr>
        <w:t>assess</w:t>
      </w:r>
      <w:r w:rsidR="000E3A15">
        <w:rPr>
          <w:rFonts w:ascii="Arial" w:hAnsi="Arial" w:cs="Arial"/>
          <w:color w:val="000000"/>
          <w:sz w:val="20"/>
          <w:szCs w:val="20"/>
        </w:rPr>
        <w:t>ing</w:t>
      </w:r>
      <w:r>
        <w:rPr>
          <w:rFonts w:ascii="Arial" w:hAnsi="Arial" w:cs="Arial"/>
          <w:color w:val="000000"/>
          <w:sz w:val="20"/>
          <w:szCs w:val="20"/>
        </w:rPr>
        <w:t xml:space="preserve"> the predictive strength and significance of </w:t>
      </w:r>
      <w:r w:rsidR="00F5561B">
        <w:rPr>
          <w:rFonts w:ascii="Arial" w:hAnsi="Arial" w:cs="Arial"/>
          <w:color w:val="000000"/>
          <w:sz w:val="20"/>
          <w:szCs w:val="20"/>
        </w:rPr>
        <w:t>fit</w:t>
      </w:r>
      <w:r>
        <w:rPr>
          <w:rFonts w:ascii="Arial" w:hAnsi="Arial" w:cs="Arial"/>
          <w:color w:val="000000"/>
          <w:sz w:val="20"/>
          <w:szCs w:val="20"/>
        </w:rPr>
        <w:t>.</w:t>
      </w:r>
      <w:r w:rsidR="00F5561B">
        <w:rPr>
          <w:rFonts w:ascii="Arial" w:hAnsi="Arial" w:cs="Arial"/>
          <w:color w:val="000000"/>
          <w:sz w:val="20"/>
          <w:szCs w:val="20"/>
        </w:rPr>
        <w:t xml:space="preserve"> </w:t>
      </w:r>
      <w:r w:rsidR="00441EEB">
        <w:rPr>
          <w:rFonts w:ascii="Arial" w:hAnsi="Arial" w:cs="Arial"/>
          <w:color w:val="000000"/>
          <w:sz w:val="20"/>
          <w:szCs w:val="20"/>
        </w:rPr>
        <w:t>The model fits distributions of Proxy</w:t>
      </w:r>
      <w:r w:rsidR="00441EEB" w:rsidRPr="00F47570">
        <w:rPr>
          <w:rFonts w:ascii="Arial" w:hAnsi="Arial" w:cs="Arial"/>
          <w:i/>
          <w:iCs/>
          <w:color w:val="000000"/>
          <w:sz w:val="20"/>
          <w:szCs w:val="20"/>
          <w:vertAlign w:val="subscript"/>
        </w:rPr>
        <w:t>OH</w:t>
      </w:r>
      <w:r w:rsidR="00441EEB">
        <w:rPr>
          <w:rFonts w:ascii="Arial" w:hAnsi="Arial" w:cs="Arial"/>
          <w:color w:val="000000"/>
          <w:sz w:val="20"/>
          <w:szCs w:val="20"/>
        </w:rPr>
        <w:t xml:space="preserve"> and [OH] that are sampled from the ATom observations combined with information regarding the instruments’ uncertainty distributions. </w:t>
      </w:r>
      <w:r w:rsidR="00F5561B">
        <w:rPr>
          <w:rFonts w:ascii="Arial" w:hAnsi="Arial" w:cs="Arial"/>
          <w:color w:val="000000"/>
          <w:sz w:val="20"/>
          <w:szCs w:val="20"/>
        </w:rPr>
        <w:t>The ‘true’ gas concentrations, and the Proxy</w:t>
      </w:r>
      <w:r w:rsidR="00F5561B" w:rsidRPr="00F47570">
        <w:rPr>
          <w:rFonts w:ascii="Arial" w:hAnsi="Arial" w:cs="Arial"/>
          <w:i/>
          <w:iCs/>
          <w:color w:val="000000"/>
          <w:sz w:val="20"/>
          <w:szCs w:val="20"/>
          <w:vertAlign w:val="subscript"/>
        </w:rPr>
        <w:t>OH</w:t>
      </w:r>
      <w:r w:rsidR="00F5561B">
        <w:rPr>
          <w:rFonts w:ascii="Arial" w:hAnsi="Arial" w:cs="Arial"/>
          <w:color w:val="000000"/>
          <w:sz w:val="20"/>
          <w:szCs w:val="20"/>
        </w:rPr>
        <w:t xml:space="preserve"> derived from them, are considered to be unobserved but implicit (</w:t>
      </w:r>
      <w:r w:rsidR="000E3A15">
        <w:rPr>
          <w:rFonts w:ascii="Arial" w:hAnsi="Arial" w:cs="Arial"/>
          <w:color w:val="000000"/>
          <w:sz w:val="20"/>
          <w:szCs w:val="20"/>
        </w:rPr>
        <w:t>‘</w:t>
      </w:r>
      <w:r w:rsidR="00F5561B">
        <w:rPr>
          <w:rFonts w:ascii="Arial" w:hAnsi="Arial" w:cs="Arial"/>
          <w:color w:val="000000"/>
          <w:sz w:val="20"/>
          <w:szCs w:val="20"/>
        </w:rPr>
        <w:t>latent</w:t>
      </w:r>
      <w:r w:rsidR="000E3A15">
        <w:rPr>
          <w:rFonts w:ascii="Arial" w:hAnsi="Arial" w:cs="Arial"/>
          <w:color w:val="000000"/>
          <w:sz w:val="20"/>
          <w:szCs w:val="20"/>
        </w:rPr>
        <w:t>’</w:t>
      </w:r>
      <w:r w:rsidR="00F5561B">
        <w:rPr>
          <w:rFonts w:ascii="Arial" w:hAnsi="Arial" w:cs="Arial"/>
          <w:color w:val="000000"/>
          <w:sz w:val="20"/>
          <w:szCs w:val="20"/>
        </w:rPr>
        <w:t xml:space="preserve">) variables and </w:t>
      </w:r>
      <w:r w:rsidR="000E3A15">
        <w:rPr>
          <w:rFonts w:ascii="Arial" w:hAnsi="Arial" w:cs="Arial"/>
          <w:color w:val="000000"/>
          <w:sz w:val="20"/>
          <w:szCs w:val="20"/>
        </w:rPr>
        <w:t xml:space="preserve">are </w:t>
      </w:r>
      <w:r w:rsidR="00F5561B">
        <w:rPr>
          <w:rFonts w:ascii="Arial" w:hAnsi="Arial" w:cs="Arial"/>
          <w:color w:val="000000"/>
          <w:sz w:val="20"/>
          <w:szCs w:val="20"/>
        </w:rPr>
        <w:t>designated using the subscript ‘true.’ Each ‘true’ concentration is drawn from a normal distribution with mean and standard deviation corresponding to the measured concentration and uncertainty (</w:t>
      </w:r>
      <w:r w:rsidR="00F5561B" w:rsidRPr="00F47570">
        <w:rPr>
          <w:rFonts w:ascii="Arial" w:hAnsi="Arial" w:cs="Arial"/>
          <w:i/>
          <w:iCs/>
          <w:color w:val="000000"/>
          <w:sz w:val="20"/>
          <w:szCs w:val="20"/>
        </w:rPr>
        <w:t>i.e</w:t>
      </w:r>
      <w:r w:rsidR="00F5561B">
        <w:rPr>
          <w:rFonts w:ascii="Arial" w:hAnsi="Arial" w:cs="Arial"/>
          <w:color w:val="000000"/>
          <w:sz w:val="20"/>
          <w:szCs w:val="20"/>
        </w:rPr>
        <w:t xml:space="preserve">. </w:t>
      </w:r>
      <w:r w:rsidR="00F5561B" w:rsidRPr="00F47570">
        <w:rPr>
          <w:rFonts w:ascii="Arial" w:hAnsi="Arial" w:cs="Arial"/>
          <w:i/>
          <w:iCs/>
          <w:color w:val="000000"/>
          <w:sz w:val="20"/>
          <w:szCs w:val="20"/>
        </w:rPr>
        <w:t>P</w:t>
      </w:r>
      <w:r w:rsidR="00F5561B">
        <w:rPr>
          <w:rFonts w:ascii="Arial" w:hAnsi="Arial" w:cs="Arial"/>
          <w:color w:val="000000"/>
          <w:sz w:val="20"/>
          <w:szCs w:val="20"/>
        </w:rPr>
        <w:t>([X]</w:t>
      </w:r>
      <w:r w:rsidR="00F5561B" w:rsidRPr="00F47570">
        <w:rPr>
          <w:rFonts w:ascii="Arial" w:hAnsi="Arial" w:cs="Arial"/>
          <w:i/>
          <w:iCs/>
          <w:color w:val="000000"/>
          <w:sz w:val="20"/>
          <w:szCs w:val="20"/>
          <w:vertAlign w:val="subscript"/>
        </w:rPr>
        <w:t>true</w:t>
      </w:r>
      <w:r w:rsidR="00F5561B">
        <w:rPr>
          <w:rFonts w:ascii="Arial" w:hAnsi="Arial" w:cs="Arial"/>
          <w:color w:val="000000"/>
          <w:sz w:val="20"/>
          <w:szCs w:val="20"/>
        </w:rPr>
        <w:t xml:space="preserve"> | [X]</w:t>
      </w:r>
      <w:r w:rsidR="00F5561B" w:rsidRPr="00F47570">
        <w:rPr>
          <w:rFonts w:ascii="Arial" w:hAnsi="Arial" w:cs="Arial"/>
          <w:i/>
          <w:iCs/>
          <w:color w:val="000000"/>
          <w:sz w:val="20"/>
          <w:szCs w:val="20"/>
          <w:vertAlign w:val="subscript"/>
        </w:rPr>
        <w:t>Obs</w:t>
      </w:r>
      <w:r w:rsidR="00F5561B">
        <w:rPr>
          <w:rFonts w:ascii="Arial" w:hAnsi="Arial" w:cs="Arial"/>
          <w:color w:val="000000"/>
          <w:sz w:val="20"/>
          <w:szCs w:val="20"/>
        </w:rPr>
        <w:t xml:space="preserve">, </w:t>
      </w:r>
      <w:r w:rsidR="00F5561B">
        <w:rPr>
          <w:rFonts w:ascii="Arial" w:hAnsi="Arial" w:cs="Arial"/>
          <w:color w:val="000000"/>
          <w:sz w:val="20"/>
          <w:szCs w:val="20"/>
        </w:rPr>
        <w:sym w:font="Symbol" w:char="F073"/>
      </w:r>
      <w:r w:rsidR="00F5561B">
        <w:rPr>
          <w:rFonts w:ascii="Arial" w:hAnsi="Arial" w:cs="Arial"/>
          <w:color w:val="000000"/>
          <w:sz w:val="20"/>
          <w:szCs w:val="20"/>
          <w:vertAlign w:val="subscript"/>
        </w:rPr>
        <w:t>x</w:t>
      </w:r>
      <w:r w:rsidR="00F5561B">
        <w:rPr>
          <w:rFonts w:ascii="Arial" w:hAnsi="Arial" w:cs="Arial"/>
          <w:color w:val="000000"/>
          <w:sz w:val="20"/>
          <w:szCs w:val="20"/>
        </w:rPr>
        <w:t>); uncertainties listed in Table S</w:t>
      </w:r>
      <w:r w:rsidR="00B201B5">
        <w:rPr>
          <w:rFonts w:ascii="Arial" w:hAnsi="Arial" w:cs="Arial"/>
          <w:color w:val="000000"/>
          <w:sz w:val="20"/>
          <w:szCs w:val="20"/>
        </w:rPr>
        <w:t>6</w:t>
      </w:r>
      <w:r w:rsidR="00F5561B">
        <w:rPr>
          <w:rFonts w:ascii="Arial" w:hAnsi="Arial" w:cs="Arial"/>
          <w:color w:val="000000"/>
          <w:sz w:val="20"/>
          <w:szCs w:val="20"/>
        </w:rPr>
        <w:t>).</w:t>
      </w:r>
      <w:r w:rsidR="00F5561B" w:rsidRPr="007F380D">
        <w:rPr>
          <w:rFonts w:ascii="Arial" w:hAnsi="Arial" w:cs="Arial"/>
          <w:color w:val="000000"/>
          <w:sz w:val="20"/>
          <w:szCs w:val="20"/>
        </w:rPr>
        <w:t xml:space="preserve"> </w:t>
      </w:r>
      <w:r w:rsidR="00F5561B">
        <w:rPr>
          <w:rFonts w:ascii="Arial" w:hAnsi="Arial" w:cs="Arial"/>
          <w:color w:val="000000"/>
          <w:sz w:val="20"/>
          <w:szCs w:val="20"/>
        </w:rPr>
        <w:t>Figure S1</w:t>
      </w:r>
      <w:r w:rsidR="007F5909">
        <w:rPr>
          <w:rFonts w:ascii="Arial" w:hAnsi="Arial" w:cs="Arial"/>
          <w:color w:val="000000"/>
          <w:sz w:val="20"/>
          <w:szCs w:val="20"/>
        </w:rPr>
        <w:t>7</w:t>
      </w:r>
      <w:r w:rsidR="00F5561B">
        <w:rPr>
          <w:rFonts w:ascii="Arial" w:hAnsi="Arial" w:cs="Arial"/>
          <w:color w:val="000000"/>
          <w:sz w:val="20"/>
          <w:szCs w:val="20"/>
        </w:rPr>
        <w:t xml:space="preserve"> </w:t>
      </w:r>
      <w:r w:rsidR="00F5561B" w:rsidRPr="007F380D">
        <w:rPr>
          <w:rFonts w:ascii="Arial" w:hAnsi="Arial" w:cs="Arial"/>
          <w:color w:val="000000"/>
          <w:sz w:val="20"/>
          <w:szCs w:val="20"/>
        </w:rPr>
        <w:t>illustrate</w:t>
      </w:r>
      <w:r w:rsidR="00F5561B">
        <w:rPr>
          <w:rFonts w:ascii="Arial" w:hAnsi="Arial" w:cs="Arial"/>
          <w:color w:val="000000"/>
          <w:sz w:val="20"/>
          <w:szCs w:val="20"/>
        </w:rPr>
        <w:t>s</w:t>
      </w:r>
      <w:r w:rsidR="00F5561B" w:rsidRPr="007F380D">
        <w:rPr>
          <w:rFonts w:ascii="Arial" w:hAnsi="Arial" w:cs="Arial"/>
          <w:color w:val="000000"/>
          <w:sz w:val="20"/>
          <w:szCs w:val="20"/>
        </w:rPr>
        <w:t xml:space="preserve"> the parameter relationships </w:t>
      </w:r>
      <w:r w:rsidR="00F5561B">
        <w:rPr>
          <w:rFonts w:ascii="Arial" w:hAnsi="Arial" w:cs="Arial"/>
          <w:color w:val="000000"/>
          <w:sz w:val="20"/>
          <w:szCs w:val="20"/>
        </w:rPr>
        <w:t>for the Bayesian mixed-effects model through a directed acyclic graph</w:t>
      </w:r>
      <w:r w:rsidR="00F5561B" w:rsidRPr="007F380D">
        <w:rPr>
          <w:rFonts w:ascii="Arial" w:hAnsi="Arial" w:cs="Arial"/>
          <w:color w:val="000000"/>
          <w:sz w:val="20"/>
          <w:szCs w:val="20"/>
        </w:rPr>
        <w:t>.</w:t>
      </w:r>
    </w:p>
    <w:p w14:paraId="647D6619" w14:textId="71F5A468" w:rsidR="00F5561B" w:rsidRDefault="00F5561B" w:rsidP="007F380D">
      <w:pPr>
        <w:pBdr>
          <w:top w:val="nil"/>
          <w:left w:val="nil"/>
          <w:bottom w:val="nil"/>
          <w:right w:val="nil"/>
          <w:between w:val="nil"/>
        </w:pBdr>
        <w:contextualSpacing/>
        <w:rPr>
          <w:rFonts w:ascii="Arial" w:hAnsi="Arial" w:cs="Arial"/>
          <w:color w:val="000000"/>
          <w:sz w:val="20"/>
          <w:szCs w:val="20"/>
        </w:rPr>
      </w:pPr>
    </w:p>
    <w:p w14:paraId="77B11C45" w14:textId="78C0737C" w:rsidR="00F5561B" w:rsidRDefault="00F5561B" w:rsidP="007F380D">
      <w:pPr>
        <w:pBdr>
          <w:top w:val="nil"/>
          <w:left w:val="nil"/>
          <w:bottom w:val="nil"/>
          <w:right w:val="nil"/>
          <w:between w:val="nil"/>
        </w:pBdr>
        <w:contextualSpacing/>
        <w:rPr>
          <w:rFonts w:ascii="Arial" w:hAnsi="Arial" w:cs="Arial"/>
          <w:color w:val="000000"/>
          <w:sz w:val="20"/>
          <w:szCs w:val="20"/>
        </w:rPr>
      </w:pPr>
      <w:r w:rsidRPr="007F380D">
        <w:rPr>
          <w:rFonts w:ascii="Arial" w:hAnsi="Arial" w:cs="Arial"/>
          <w:color w:val="000000"/>
          <w:sz w:val="20"/>
          <w:szCs w:val="20"/>
        </w:rPr>
        <w:t xml:space="preserve">This approach was implemented in R using Markov Chain Monte Carlo (MCMC) with the Just Another Gibbs Sampler (JAGS) packages rjags </w:t>
      </w:r>
      <w:r w:rsidRPr="007F380D">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{"citationID":"Oqz0NWqW","properties":{"formattedCitation":"(103, 104)","plainCitation":"(103, 104)","noteIndex":0},"citationItems":[{"id":737,"uris":["http://zotero.org/users/9309103/items/D4NB7IW2"],"itemData":{"id":737,"type":"article-journal","abstract":"BUGS is a software package for Bayesian inference using Gibbs sampling. The software has been instrumental in raising awareness of Bayesian modelling among both academic and commercial communities internationally, and has enjoyed considerable success over its 20-year life span. Despite this, the software has a number of shortcomings and a principal aim of this paper is to provide a balanced critical appraisal, in particular highlighting how various ideas have led to unprecedented ﬂexibility while at the same time producing negative side effects. We also present a historical overview of the BUGS project and some future perspectives. Copyright 2009 John Wiley &amp; Sons, Ltd.","container-title":"Statistics in Medicine","DOI":"10.1002/sim.3680","ISSN":"02776715","issue":"25","journalAbbreviation":"Statist. Med.","language":"en","page":"3049-3067","source":"DOI.org (Crossref)","title":"The BUGS project: Evolution, critique and future directions: THE BUGS PROJECT","title-short":"The BUGS project","volume":"28","author":[{"family":"Lunn","given":"David"},{"family":"Spiegelhalter","given":"David"},{"family":"Thomas","given":"Andrew"},{"family":"Best","given":"Nicky"}],"issued":{"date-parts":[["2009",11,10]]}}},{"id":734,"uris":["http://zotero.org/users/9309103/items/RF476LL2"],"itemData":{"id":734,"type":"article-journal","abstract":"[1st paragraph] At first sight, Bayesian inference with Markov Chain Monte Carlo (MCMC) appears to be straightforward. The user defines a full probability model, perhaps using one of the programs discussed in this issue; an underlying sampling engine takes the model definition and returns a sequence of dependent samples from the posterior distribution of the model parameters, given the supplied data. The user can derive any summary of the posterior distribution from this sample. For example, to calculate a 95% credible interval for a parameter α, it suffices to take 1000 MCMC iterations of α and sort them so that α&lt;sub&gt;1&lt;/sub&gt;&lt;α&lt;sub&gt;2&lt;/sub&gt;&lt;...&lt;α&lt;sub&gt;1000&lt;/sub&gt;. The credible interval estimate is then (α&lt;sub&gt;25&lt;/sub&gt;, α&lt;sub&gt;975&lt;/sub&gt;). However, there is a price to be paid for this simplicity. Unlike most numerical methods used in statistical inference, MCMC does not give a clear indication of whether it has converged. The underlying Markov chain theory only guarantees that the distribution of the output will converge to the posterior in the limit as the number of iterations increases to infinity. The user is generally ignorant about how quickly convergence occurs, and therefore has to fall back on post hoc testing of the sampled output. By convention, the sample is divided into two parts: a “burn in” period during which all samples are discarded, and the remainder of the run in which the chain is considered to have converged sufficiently close to the limiting distribution to be used. Two questions then arise: 1. How long should the burn in period be? 2. How many samples are required to accurately estimate posterior quantities of interest? The &lt;b&gt;coda&lt;/b&gt; package for R contains a set of functions designed to help the user answer these questions. Some of these convergence diagnostics are simple graphical ways of summarizing the data. Others are formal statistical tests.","container-title":"R News","ISSN":"1609-3631","issue":"1","language":"en","note":"number: 1","page":"7-11","source":"oro.open.ac.uk","title":"CODA: convergence diagnosis and output analysis for MCMC","title-short":"CODA","volume":"6","author":[{"family":"Plummer","given":"Martyn"},{"family":"Best","given":"Nicky"},{"family":"Cowles","given":"Kate"},{"family":"Vines","given":"Karen"}],"issued":{"date-parts":[["2006",3]]}}}],"schema":"https://github.com/citation-style-language/schema/raw/master/csl-citation.json"} </w:instrText>
      </w:r>
      <w:r w:rsidRPr="007F380D">
        <w:rPr>
          <w:rFonts w:ascii="Arial" w:hAnsi="Arial" w:cs="Arial"/>
          <w:color w:val="000000"/>
          <w:sz w:val="20"/>
          <w:szCs w:val="20"/>
        </w:rPr>
        <w:fldChar w:fldCharType="separate"/>
      </w:r>
      <w:r w:rsidR="0003499F" w:rsidRPr="0003499F">
        <w:rPr>
          <w:rFonts w:ascii="Arial" w:hAnsi="Arial" w:cs="Arial"/>
          <w:sz w:val="20"/>
        </w:rPr>
        <w:t>(103, 104)</w:t>
      </w:r>
      <w:r w:rsidRPr="007F380D">
        <w:rPr>
          <w:rFonts w:ascii="Arial" w:hAnsi="Arial" w:cs="Arial"/>
          <w:color w:val="000000"/>
          <w:sz w:val="20"/>
          <w:szCs w:val="20"/>
        </w:rPr>
        <w:fldChar w:fldCharType="end"/>
      </w:r>
      <w:r w:rsidRPr="007F380D">
        <w:rPr>
          <w:rFonts w:ascii="Arial" w:hAnsi="Arial" w:cs="Arial"/>
          <w:color w:val="000000"/>
          <w:sz w:val="20"/>
          <w:szCs w:val="20"/>
        </w:rPr>
        <w:t xml:space="preserve"> and runjags </w:t>
      </w:r>
      <w:r w:rsidRPr="007F380D">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{"citationID":"F36yWSq2","properties":{"formattedCitation":"(105)","plainCitation":"(105)","noteIndex":0},"citationItems":[{"id":733,"uris":["http://zotero.org/users/9309103/items/HTD77JQJ"],"itemData":{"id":733,"type":"article-journal","abstract":"The runjags package provides a set of interface functions to facilitate running Markov chain Monte Carlo models in JAGS from within R. Automated calculation of appropriate convergence and sample length diagnostics, user-friendly access to commonly used graphical outputs and summary statistics, and parallelized methods of running JAGS are provided. Template model specifications can be generated using a standard lme4-style formula interface to assist users less familiar with the BUGS syntax. Automated simulation study functions are implemented to facilitate model performance assessment, as well as drop-k type cross-validation studies, using high performance computing clusters such as those provided by parallel. A module extension for JAGS is also included within runjags, providing the Pareto family of distributions and a series of minimally-informative priors including the DuMouchel and half-Cauchy priors. This paper outlines the primary functions of this package, and gives an illustration of a simulation study to assess the sensitivity of two equivalent model formulations to different prior distributions.","container-title":"Journal of Statistical Software","DOI":"10.18637/jss.v071.i09","ISSN":"1548-7660","language":"en","license":"Copyright (c) 2016 Matthew J. Denwood","page":"1-25","source":"www.jstatsoft.org","title":"runjags: An R Package Providing Interface Utilities, Model Templates, Parallel Computing Methods and Additional Distributions for MCMC Models in JAGS","title-short":"runjags","volume":"71","author":[{"family":"Denwood","given":"Matthew J."}],"issued":{"date-parts":[["2016",7,26]]}}}],"schema":"https://github.com/citation-style-language/schema/raw/master/csl-citation.json"} </w:instrText>
      </w:r>
      <w:r w:rsidRPr="007F380D">
        <w:rPr>
          <w:rFonts w:ascii="Arial" w:hAnsi="Arial" w:cs="Arial"/>
          <w:color w:val="000000"/>
          <w:sz w:val="20"/>
          <w:szCs w:val="20"/>
        </w:rPr>
        <w:fldChar w:fldCharType="separate"/>
      </w:r>
      <w:r w:rsidR="0003499F" w:rsidRPr="0003499F">
        <w:rPr>
          <w:rFonts w:ascii="Arial" w:hAnsi="Arial" w:cs="Arial"/>
          <w:sz w:val="20"/>
        </w:rPr>
        <w:t>(105)</w:t>
      </w:r>
      <w:r w:rsidRPr="007F380D">
        <w:rPr>
          <w:rFonts w:ascii="Arial" w:hAnsi="Arial" w:cs="Arial"/>
          <w:color w:val="000000"/>
          <w:sz w:val="20"/>
          <w:szCs w:val="20"/>
        </w:rPr>
        <w:fldChar w:fldCharType="end"/>
      </w:r>
      <w:r w:rsidRPr="007F380D">
        <w:rPr>
          <w:rFonts w:ascii="Arial" w:hAnsi="Arial" w:cs="Arial"/>
          <w:color w:val="000000"/>
          <w:sz w:val="20"/>
          <w:szCs w:val="20"/>
        </w:rPr>
        <w:t>.</w:t>
      </w:r>
      <w:r>
        <w:rPr>
          <w:rFonts w:ascii="Arial" w:hAnsi="Arial" w:cs="Arial"/>
          <w:color w:val="000000"/>
          <w:sz w:val="20"/>
          <w:szCs w:val="20"/>
        </w:rPr>
        <w:t xml:space="preserve"> We used three parallel chains of</w:t>
      </w:r>
      <w:r w:rsidRPr="007F380D">
        <w:rPr>
          <w:rFonts w:ascii="Arial" w:hAnsi="Arial" w:cs="Arial"/>
          <w:color w:val="000000"/>
          <w:sz w:val="20"/>
          <w:szCs w:val="20"/>
        </w:rPr>
        <w:t xml:space="preserve"> MCMC </w:t>
      </w:r>
      <w:r>
        <w:rPr>
          <w:rFonts w:ascii="Arial" w:hAnsi="Arial" w:cs="Arial"/>
          <w:color w:val="000000"/>
          <w:sz w:val="20"/>
          <w:szCs w:val="20"/>
        </w:rPr>
        <w:t>samplers</w:t>
      </w:r>
      <w:r w:rsidRPr="007F380D">
        <w:rPr>
          <w:rFonts w:ascii="Arial" w:hAnsi="Arial" w:cs="Arial"/>
          <w:color w:val="000000"/>
          <w:sz w:val="20"/>
          <w:szCs w:val="20"/>
        </w:rPr>
        <w:t xml:space="preserve">, </w:t>
      </w:r>
      <w:r>
        <w:rPr>
          <w:rFonts w:ascii="Arial" w:hAnsi="Arial" w:cs="Arial"/>
          <w:color w:val="000000"/>
          <w:sz w:val="20"/>
          <w:szCs w:val="20"/>
        </w:rPr>
        <w:t>discarding the first 1,000</w:t>
      </w:r>
      <w:r w:rsidRPr="007F380D">
        <w:rPr>
          <w:rFonts w:ascii="Arial" w:hAnsi="Arial" w:cs="Arial"/>
          <w:color w:val="000000"/>
          <w:sz w:val="20"/>
          <w:szCs w:val="20"/>
        </w:rPr>
        <w:t xml:space="preserve"> </w:t>
      </w:r>
      <w:r>
        <w:rPr>
          <w:rFonts w:ascii="Arial" w:hAnsi="Arial" w:cs="Arial"/>
          <w:color w:val="000000"/>
          <w:sz w:val="20"/>
          <w:szCs w:val="20"/>
        </w:rPr>
        <w:t>iterations as a burn-in</w:t>
      </w:r>
      <w:r w:rsidR="00061895">
        <w:rPr>
          <w:rFonts w:ascii="Arial" w:hAnsi="Arial" w:cs="Arial"/>
          <w:color w:val="000000"/>
          <w:sz w:val="20"/>
          <w:szCs w:val="20"/>
        </w:rPr>
        <w:t xml:space="preserve"> and</w:t>
      </w:r>
      <w:r>
        <w:rPr>
          <w:rFonts w:ascii="Arial" w:hAnsi="Arial" w:cs="Arial"/>
          <w:color w:val="000000"/>
          <w:sz w:val="20"/>
          <w:szCs w:val="20"/>
        </w:rPr>
        <w:t xml:space="preserve"> </w:t>
      </w:r>
      <w:r w:rsidR="00061895">
        <w:rPr>
          <w:rFonts w:ascii="Arial" w:hAnsi="Arial" w:cs="Arial"/>
          <w:color w:val="000000"/>
          <w:sz w:val="20"/>
          <w:szCs w:val="20"/>
        </w:rPr>
        <w:t xml:space="preserve">another </w:t>
      </w:r>
      <w:r>
        <w:rPr>
          <w:rFonts w:ascii="Arial" w:hAnsi="Arial" w:cs="Arial"/>
          <w:color w:val="000000"/>
          <w:sz w:val="20"/>
          <w:szCs w:val="20"/>
        </w:rPr>
        <w:t xml:space="preserve">500 iterations </w:t>
      </w:r>
      <w:r w:rsidRPr="007F380D">
        <w:rPr>
          <w:rFonts w:ascii="Arial" w:hAnsi="Arial" w:cs="Arial"/>
          <w:color w:val="000000"/>
          <w:sz w:val="20"/>
          <w:szCs w:val="20"/>
        </w:rPr>
        <w:t xml:space="preserve">to adapt before </w:t>
      </w:r>
      <w:r>
        <w:rPr>
          <w:rFonts w:ascii="Arial" w:hAnsi="Arial" w:cs="Arial"/>
          <w:color w:val="000000"/>
          <w:sz w:val="20"/>
          <w:szCs w:val="20"/>
        </w:rPr>
        <w:t xml:space="preserve">retaining </w:t>
      </w:r>
      <w:r w:rsidRPr="007F380D">
        <w:rPr>
          <w:rFonts w:ascii="Arial" w:hAnsi="Arial" w:cs="Arial"/>
          <w:color w:val="000000"/>
          <w:sz w:val="20"/>
          <w:szCs w:val="20"/>
        </w:rPr>
        <w:t>the final 1,000 iterations</w:t>
      </w:r>
      <w:r w:rsidRPr="00461AE6">
        <w:rPr>
          <w:rFonts w:ascii="Arial" w:hAnsi="Arial" w:cs="Arial"/>
          <w:color w:val="000000"/>
          <w:sz w:val="20"/>
          <w:szCs w:val="20"/>
        </w:rPr>
        <w:t xml:space="preserve"> </w:t>
      </w:r>
      <w:r w:rsidRPr="007F380D">
        <w:rPr>
          <w:rFonts w:ascii="Arial" w:hAnsi="Arial" w:cs="Arial"/>
          <w:color w:val="000000"/>
          <w:sz w:val="20"/>
          <w:szCs w:val="20"/>
        </w:rPr>
        <w:t>to be analyzed for the posterior distribution.</w:t>
      </w:r>
      <w:r>
        <w:rPr>
          <w:rFonts w:ascii="Arial" w:hAnsi="Arial" w:cs="Arial"/>
          <w:color w:val="000000"/>
          <w:sz w:val="20"/>
          <w:szCs w:val="20"/>
        </w:rPr>
        <w:t xml:space="preserve"> The model begins </w:t>
      </w:r>
      <w:r w:rsidR="000E3A15">
        <w:rPr>
          <w:rFonts w:ascii="Arial" w:hAnsi="Arial" w:cs="Arial"/>
          <w:color w:val="000000"/>
          <w:sz w:val="20"/>
          <w:szCs w:val="20"/>
        </w:rPr>
        <w:t xml:space="preserve">by </w:t>
      </w:r>
      <w:r>
        <w:rPr>
          <w:rFonts w:ascii="Arial" w:hAnsi="Arial" w:cs="Arial"/>
          <w:color w:val="000000"/>
          <w:sz w:val="20"/>
          <w:szCs w:val="20"/>
        </w:rPr>
        <w:t>using uninformative prior values (</w:t>
      </w:r>
      <w:r w:rsidR="00306C11">
        <w:rPr>
          <w:rFonts w:ascii="Arial" w:hAnsi="Arial" w:cs="Arial"/>
          <w:color w:val="000000"/>
          <w:sz w:val="20"/>
          <w:szCs w:val="20"/>
        </w:rPr>
        <w:t>Table</w:t>
      </w:r>
      <w:r w:rsidR="00061895">
        <w:rPr>
          <w:rFonts w:ascii="Arial" w:hAnsi="Arial" w:cs="Arial"/>
          <w:color w:val="000000"/>
          <w:sz w:val="20"/>
          <w:szCs w:val="20"/>
        </w:rPr>
        <w:t xml:space="preserve"> S</w:t>
      </w:r>
      <w:r w:rsidR="008B7644">
        <w:rPr>
          <w:rFonts w:ascii="Arial" w:hAnsi="Arial" w:cs="Arial"/>
          <w:color w:val="000000"/>
          <w:sz w:val="20"/>
          <w:szCs w:val="20"/>
        </w:rPr>
        <w:t>7</w:t>
      </w:r>
      <w:r w:rsidR="00061895">
        <w:rPr>
          <w:rFonts w:ascii="Arial" w:hAnsi="Arial" w:cs="Arial"/>
          <w:color w:val="000000"/>
          <w:sz w:val="20"/>
          <w:szCs w:val="20"/>
        </w:rPr>
        <w:t>), noting that the choice of prior</w:t>
      </w:r>
      <w:r w:rsidR="00306C11">
        <w:rPr>
          <w:rFonts w:ascii="Arial" w:hAnsi="Arial" w:cs="Arial"/>
          <w:color w:val="000000"/>
          <w:sz w:val="20"/>
          <w:szCs w:val="20"/>
        </w:rPr>
        <w:t xml:space="preserve"> </w:t>
      </w:r>
      <w:r>
        <w:rPr>
          <w:rFonts w:ascii="Arial" w:hAnsi="Arial" w:cs="Arial"/>
          <w:color w:val="000000"/>
          <w:sz w:val="20"/>
          <w:szCs w:val="20"/>
        </w:rPr>
        <w:t>do</w:t>
      </w:r>
      <w:r w:rsidR="00061895">
        <w:rPr>
          <w:rFonts w:ascii="Arial" w:hAnsi="Arial" w:cs="Arial"/>
          <w:color w:val="000000"/>
          <w:sz w:val="20"/>
          <w:szCs w:val="20"/>
        </w:rPr>
        <w:t>es</w:t>
      </w:r>
      <w:r>
        <w:rPr>
          <w:rFonts w:ascii="Arial" w:hAnsi="Arial" w:cs="Arial"/>
          <w:color w:val="000000"/>
          <w:sz w:val="20"/>
          <w:szCs w:val="20"/>
        </w:rPr>
        <w:t xml:space="preserve"> not affect the ultimate posterior distributions. </w:t>
      </w:r>
      <w:r w:rsidR="00612BD5">
        <w:rPr>
          <w:rFonts w:ascii="Arial" w:hAnsi="Arial" w:cs="Arial"/>
          <w:color w:val="000000"/>
          <w:sz w:val="20"/>
          <w:szCs w:val="20"/>
        </w:rPr>
        <w:t xml:space="preserve">We performed posterior predictive checks for the fit, mean and standard deviation to assess that the model choice and likelihood distribution are appropriate, finding that each fall within ± 0.01 of 0.5 </w:t>
      </w:r>
      <w:r w:rsidR="008C71AD">
        <w:rPr>
          <w:rFonts w:ascii="Arial" w:hAnsi="Arial" w:cs="Arial"/>
          <w:color w:val="000000"/>
          <w:sz w:val="20"/>
          <w:szCs w:val="20"/>
        </w:rPr>
        <w:t>for Proxy</w:t>
      </w:r>
      <w:r w:rsidR="008C71AD" w:rsidRPr="00F931B0">
        <w:rPr>
          <w:rFonts w:ascii="Arial" w:hAnsi="Arial" w:cs="Arial"/>
          <w:i/>
          <w:iCs/>
          <w:color w:val="000000"/>
          <w:sz w:val="20"/>
          <w:szCs w:val="20"/>
          <w:vertAlign w:val="subscript"/>
        </w:rPr>
        <w:t>OH</w:t>
      </w:r>
      <w:r w:rsidR="008C71AD">
        <w:rPr>
          <w:rFonts w:ascii="Arial" w:hAnsi="Arial" w:cs="Arial"/>
          <w:color w:val="000000"/>
          <w:sz w:val="20"/>
          <w:szCs w:val="20"/>
        </w:rPr>
        <w:t xml:space="preserve"> </w:t>
      </w:r>
      <w:r w:rsidR="00612BD5">
        <w:rPr>
          <w:rFonts w:ascii="Arial" w:hAnsi="Arial" w:cs="Arial"/>
          <w:color w:val="000000"/>
          <w:sz w:val="20"/>
          <w:szCs w:val="20"/>
        </w:rPr>
        <w:t>(with ideal values falling as close as possible to 0.5</w:t>
      </w:r>
      <w:r w:rsidR="00E5435C">
        <w:rPr>
          <w:rFonts w:ascii="Arial" w:hAnsi="Arial" w:cs="Arial"/>
          <w:color w:val="000000"/>
          <w:sz w:val="20"/>
          <w:szCs w:val="20"/>
        </w:rPr>
        <w:t xml:space="preserve">; </w:t>
      </w:r>
      <w:r w:rsidR="00E5435C">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{"citationID":"k6FZxAlx","properties":{"formattedCitation":"(106)","plainCitation":"(106)","noteIndex":0},"citationItems":[{"id":2233,"uris":["http://zotero.org/users/9309103/items/G3MHLLJD"],"itemData":{"id":2233,"type":"book","abstract":"Bayesian statistics has exploded into biology and its sub-disciplines such as ecology over the past decade. The free software program WinBUGS and its open-source sister OpenBugs is currently the only flexible and general-purpose program available with which the average ecologist can conduct their own standard and non-standard Bayesian statistics. Introduction to WINBUGS for Ecologists goes right to the heart of the matter by providing ecologists with a comprehensive, yet concise, guide to applying WinBUGS to the types of models that they use most often: linear (LM), generalized linear (GLM), linear mixed (LMM) and generalized linear mixed models (GLMM). Introduction to WinBUGS for Ecologists combines the use of simulated data sets \"paired\" analyses using WinBUGS (in a Bayesian framework for analysis) and in R (in a frequentist mode of inference) and uses a very detailed step-by-step tutorial presentation style that really lets the reader repeat every step of the application of a given mode in their own research. - Introduction to the essential theories of key models used by ecologists - Complete juxtaposition of classical analyses in R and Bayesian Analysis of the same models in WinBUGS - Provides every detail of R and WinBUGS code required to conduct all analyses - Written with ecological language and ecological examples - Companion Web Appendix that contains all code contained in the book, additional material (including more code and solutions to exercises) - Tutorial approach shows ecologists how to implement Bayesian analysis in practical problems that they face","edition":"First edition","event-place":"Burlington, Massachusetts","ISBN":"978-0-12-378606-7","language":"eng","note":"OCLC: 643060708","publisher":"Elsevier/Academic Press","publisher-place":"Burlington, Massachusetts","source":"Open WorldCat","title":"Introduction to WinBUGS for ecologists: a Bayesian approach to regression, ANOVA, mixed models, and related analyses","title-short":"Introduction to WinBUGS for ecologists","author":[{"family":"Kéry","given":"Marc"}],"issued":{"date-parts":[["2010"]]}}}],"schema":"https://github.com/citation-style-language/schema/raw/master/csl-citation.json"} </w:instrText>
      </w:r>
      <w:r w:rsidR="00E5435C">
        <w:rPr>
          <w:rFonts w:ascii="Arial" w:hAnsi="Arial" w:cs="Arial"/>
          <w:color w:val="000000"/>
          <w:sz w:val="20"/>
          <w:szCs w:val="20"/>
        </w:rPr>
        <w:fldChar w:fldCharType="separate"/>
      </w:r>
      <w:r w:rsidR="0003499F" w:rsidRPr="0003499F">
        <w:rPr>
          <w:rFonts w:ascii="Arial" w:hAnsi="Arial" w:cs="Arial"/>
          <w:sz w:val="20"/>
        </w:rPr>
        <w:t>106)</w:t>
      </w:r>
      <w:r w:rsidR="00E5435C">
        <w:rPr>
          <w:rFonts w:ascii="Arial" w:hAnsi="Arial" w:cs="Arial"/>
          <w:color w:val="000000"/>
          <w:sz w:val="20"/>
          <w:szCs w:val="20"/>
        </w:rPr>
        <w:fldChar w:fldCharType="end"/>
      </w:r>
      <w:r w:rsidR="00612BD5">
        <w:rPr>
          <w:rFonts w:ascii="Arial" w:hAnsi="Arial" w:cs="Arial"/>
          <w:color w:val="000000"/>
          <w:sz w:val="20"/>
          <w:szCs w:val="20"/>
        </w:rPr>
        <w:t xml:space="preserve">. </w:t>
      </w:r>
      <w:r w:rsidR="00111450">
        <w:rPr>
          <w:rFonts w:ascii="Arial" w:hAnsi="Arial" w:cs="Arial"/>
          <w:color w:val="000000"/>
          <w:sz w:val="20"/>
          <w:szCs w:val="20"/>
        </w:rPr>
        <w:t xml:space="preserve">The MCMC chains for the </w:t>
      </w:r>
      <w:r w:rsidR="008C71AD">
        <w:rPr>
          <w:rFonts w:ascii="Arial" w:hAnsi="Arial" w:cs="Arial"/>
          <w:color w:val="000000"/>
          <w:sz w:val="20"/>
          <w:szCs w:val="20"/>
        </w:rPr>
        <w:t>Proxy</w:t>
      </w:r>
      <w:r w:rsidR="008C71AD" w:rsidRPr="00391EE5">
        <w:rPr>
          <w:rFonts w:ascii="Arial" w:hAnsi="Arial" w:cs="Arial"/>
          <w:i/>
          <w:iCs/>
          <w:color w:val="000000"/>
          <w:sz w:val="20"/>
          <w:szCs w:val="20"/>
          <w:vertAlign w:val="subscript"/>
        </w:rPr>
        <w:t>OH</w:t>
      </w:r>
      <w:r w:rsidR="008C71AD">
        <w:rPr>
          <w:rFonts w:ascii="Arial" w:hAnsi="Arial" w:cs="Arial"/>
          <w:color w:val="000000"/>
          <w:sz w:val="20"/>
          <w:szCs w:val="20"/>
        </w:rPr>
        <w:t xml:space="preserve">-[OH] </w:t>
      </w:r>
      <w:r w:rsidR="00111450">
        <w:rPr>
          <w:rFonts w:ascii="Arial" w:hAnsi="Arial" w:cs="Arial"/>
          <w:color w:val="000000"/>
          <w:sz w:val="20"/>
          <w:szCs w:val="20"/>
        </w:rPr>
        <w:t xml:space="preserve">slope and intercept parameters converge, as indicated by </w:t>
      </w:r>
      <w:r w:rsidR="00AD645C">
        <w:rPr>
          <w:rFonts w:ascii="Arial" w:hAnsi="Arial" w:cs="Arial"/>
          <w:color w:val="000000"/>
          <w:sz w:val="20"/>
          <w:szCs w:val="20"/>
        </w:rPr>
        <w:t xml:space="preserve">a </w:t>
      </w:r>
      <w:r w:rsidR="00111450">
        <w:rPr>
          <w:rFonts w:ascii="Arial" w:hAnsi="Arial" w:cs="Arial"/>
          <w:color w:val="000000"/>
          <w:sz w:val="20"/>
          <w:szCs w:val="20"/>
        </w:rPr>
        <w:t xml:space="preserve">Gelman-Rubin diagnostic between 1.000 and 1.005 </w:t>
      </w:r>
      <w:r w:rsidR="00AD645C">
        <w:rPr>
          <w:rFonts w:ascii="Arial" w:hAnsi="Arial" w:cs="Arial"/>
          <w:color w:val="000000"/>
          <w:sz w:val="20"/>
          <w:szCs w:val="20"/>
        </w:rPr>
        <w:t>for each spatial bin</w:t>
      </w:r>
      <w:r w:rsidR="00111450">
        <w:rPr>
          <w:rFonts w:ascii="Arial" w:hAnsi="Arial" w:cs="Arial"/>
          <w:color w:val="000000"/>
          <w:sz w:val="20"/>
          <w:szCs w:val="20"/>
        </w:rPr>
        <w:t xml:space="preserve"> (a Gelman-Rubin diagnostic below 1.1 indicates convergence; </w:t>
      </w:r>
      <w:r w:rsidR="00111450">
        <w:rPr>
          <w:rFonts w:ascii="Arial" w:hAnsi="Arial" w:cs="Arial"/>
          <w:color w:val="000000"/>
          <w:sz w:val="20"/>
          <w:szCs w:val="20"/>
        </w:rPr>
        <w:fldChar w:fldCharType="begin"/>
      </w:r>
      <w:r w:rsidR="0003499F">
        <w:rPr>
          <w:rFonts w:ascii="Arial" w:hAnsi="Arial" w:cs="Arial"/>
          <w:color w:val="000000"/>
          <w:sz w:val="20"/>
          <w:szCs w:val="20"/>
        </w:rPr>
        <w:instrText xml:space="preserve"> ADDIN ZOTERO_ITEM CSL_CITATION {"citationID":"h3xwF1by","properties":{"formattedCitation":"(107)","plainCitation":"(107)","noteIndex":0},"citationItems":[{"id":710,"uris":["http://zotero.org/users/9309103/items/9YJHTB6S"],"itemData":{"id":710,"type":"article-journal","abstract":"The Gibbs sampler, the algorithm of Metropolis and similar iterative simulation methods are potentially very helpful for summarizing multivariate distributions. Used naively, however, iterative simulation can give misleading answers. Our methods are simple and generally applicable to the output of any iterative simulation; they are designed for researchers primarily interested in the science underlying the data and models they are analyzing, rather than for researchers interested in the probability theory underlying the iterative simulations themselves. Our recommended strategy is to use several independent sequences, with starting points sampled from an overdispersed distribution. At each step of the iterative simulation, we obtain, for each univariate estimand of interest, a distributional estimate and an estimate of how much sharper the distributional estimate might become if the simulations were continued indefinitely. Because our focus is on applied inference for Bayesian posterior distributions in real problems, which often tend toward normality after transformations and marginalization, we derive our results as normal-theory approximations to exact Bayesian inference, conditional on the observed simulations. The methods are illustrated on a random-effects mixture model applied to experimental measurements of reaction times of normal and schizophrenic patients.","container-title":"Statistical Science","DOI":"10.1214/ss/1177011136","ISSN":"0883-4237, 2168-8745","issue":"4","note":"publisher: Institute of Mathematical Statistics","page":"457-472","source":"Project Euclid","title":"Inference from Iterative Simulation Using Multiple Sequences","volume":"7","author":[{"family":"Gelman","given":"Andrew"},{"family":"Rubin","given":"Donald B."}],"issued":{"date-parts":[["1992",11]]}}}],"schema":"https://github.com/citation-style-language/schema/raw/master/csl-citation.json"} </w:instrText>
      </w:r>
      <w:r w:rsidR="00111450">
        <w:rPr>
          <w:rFonts w:ascii="Arial" w:hAnsi="Arial" w:cs="Arial"/>
          <w:color w:val="000000"/>
          <w:sz w:val="20"/>
          <w:szCs w:val="20"/>
        </w:rPr>
        <w:fldChar w:fldCharType="separate"/>
      </w:r>
      <w:r w:rsidR="0003499F" w:rsidRPr="0003499F">
        <w:rPr>
          <w:rFonts w:ascii="Arial" w:hAnsi="Arial" w:cs="Arial"/>
          <w:sz w:val="20"/>
        </w:rPr>
        <w:t>107)</w:t>
      </w:r>
      <w:r w:rsidR="00111450">
        <w:rPr>
          <w:rFonts w:ascii="Arial" w:hAnsi="Arial" w:cs="Arial"/>
          <w:color w:val="000000"/>
          <w:sz w:val="20"/>
          <w:szCs w:val="20"/>
        </w:rPr>
        <w:fldChar w:fldCharType="end"/>
      </w:r>
      <w:r w:rsidR="00111450">
        <w:rPr>
          <w:rFonts w:ascii="Arial" w:hAnsi="Arial" w:cs="Arial"/>
          <w:color w:val="000000"/>
          <w:sz w:val="20"/>
          <w:szCs w:val="20"/>
        </w:rPr>
        <w:t xml:space="preserve">. </w:t>
      </w:r>
      <w:r w:rsidR="00061895" w:rsidRPr="007F380D">
        <w:rPr>
          <w:rFonts w:ascii="Arial" w:hAnsi="Arial" w:cs="Arial"/>
          <w:color w:val="000000"/>
          <w:sz w:val="20"/>
          <w:szCs w:val="20"/>
        </w:rPr>
        <w:t>We combine the posterior distributions across the three chains for 3,000 total values, per aircraft observation, to develop 95% credible intervals for the slope and intercept of the linear fit between the proxy and [OH].</w:t>
      </w:r>
    </w:p>
    <w:p w14:paraId="62693D76" w14:textId="77777777" w:rsidR="007F380D" w:rsidRPr="00980C22" w:rsidRDefault="007F380D" w:rsidP="00E6133D">
      <w:pPr>
        <w:pBdr>
          <w:top w:val="nil"/>
          <w:left w:val="nil"/>
          <w:bottom w:val="nil"/>
          <w:right w:val="nil"/>
          <w:between w:val="nil"/>
        </w:pBdr>
        <w:contextualSpacing/>
        <w:rPr>
          <w:rFonts w:ascii="Arial" w:hAnsi="Arial" w:cs="Arial"/>
          <w:color w:val="000000"/>
          <w:sz w:val="20"/>
          <w:szCs w:val="20"/>
        </w:rPr>
      </w:pPr>
    </w:p>
    <w:p w14:paraId="24F14103" w14:textId="77777777" w:rsidR="00E6133D" w:rsidRPr="00980C22" w:rsidRDefault="00E6133D" w:rsidP="00E6133D">
      <w:pPr>
        <w:pBdr>
          <w:top w:val="nil"/>
          <w:left w:val="nil"/>
          <w:bottom w:val="nil"/>
          <w:right w:val="nil"/>
          <w:between w:val="nil"/>
        </w:pBdr>
        <w:contextualSpacing/>
        <w:rPr>
          <w:rFonts w:ascii="Arial" w:hAnsi="Arial" w:cs="Arial"/>
          <w:b/>
          <w:color w:val="000000"/>
          <w:sz w:val="20"/>
          <w:szCs w:val="20"/>
        </w:rPr>
      </w:pPr>
      <w:r w:rsidRPr="00F649EE">
        <w:rPr>
          <w:rFonts w:ascii="Arial" w:hAnsi="Arial" w:cs="Arial"/>
          <w:b/>
          <w:color w:val="000000"/>
          <w:sz w:val="20"/>
          <w:szCs w:val="20"/>
        </w:rPr>
        <w:t>Acknowledgments</w:t>
      </w:r>
    </w:p>
    <w:p w14:paraId="5657C956" w14:textId="77777777" w:rsidR="00E6133D" w:rsidRPr="00980C22" w:rsidRDefault="00E6133D" w:rsidP="00E6133D">
      <w:pPr>
        <w:pBdr>
          <w:top w:val="nil"/>
          <w:left w:val="nil"/>
          <w:bottom w:val="nil"/>
          <w:right w:val="nil"/>
          <w:between w:val="nil"/>
        </w:pBdr>
        <w:contextualSpacing/>
        <w:rPr>
          <w:rFonts w:ascii="Arial" w:hAnsi="Arial" w:cs="Arial"/>
          <w:b/>
          <w:color w:val="000000"/>
          <w:sz w:val="20"/>
          <w:szCs w:val="20"/>
        </w:rPr>
      </w:pPr>
    </w:p>
    <w:p w14:paraId="557C004D" w14:textId="293F5E71" w:rsidR="00980C22" w:rsidRPr="00980C22" w:rsidRDefault="00780328" w:rsidP="00E6133D">
      <w:pPr>
        <w:pBdr>
          <w:top w:val="nil"/>
          <w:left w:val="nil"/>
          <w:bottom w:val="nil"/>
          <w:right w:val="nil"/>
          <w:between w:val="nil"/>
        </w:pBdr>
        <w:contextualSpacing/>
        <w:rPr>
          <w:rFonts w:ascii="Arial" w:hAnsi="Arial" w:cs="Arial"/>
          <w:color w:val="000000"/>
          <w:sz w:val="20"/>
          <w:szCs w:val="20"/>
        </w:rPr>
      </w:pPr>
      <w:r w:rsidRPr="00780328">
        <w:rPr>
          <w:rFonts w:ascii="Arial" w:hAnsi="Arial" w:cs="Arial"/>
          <w:color w:val="000000"/>
          <w:sz w:val="20"/>
          <w:szCs w:val="20"/>
        </w:rPr>
        <w:t xml:space="preserve">We thank each contributor to the ATom mission, including the </w:t>
      </w:r>
      <w:r>
        <w:rPr>
          <w:rFonts w:ascii="Arial" w:hAnsi="Arial" w:cs="Arial"/>
          <w:color w:val="000000"/>
          <w:sz w:val="20"/>
          <w:szCs w:val="20"/>
        </w:rPr>
        <w:t xml:space="preserve">scientific leadership, </w:t>
      </w:r>
      <w:r w:rsidRPr="00780328">
        <w:rPr>
          <w:rFonts w:ascii="Arial" w:hAnsi="Arial" w:cs="Arial"/>
          <w:color w:val="000000"/>
          <w:sz w:val="20"/>
          <w:szCs w:val="20"/>
        </w:rPr>
        <w:t>in particular Colm Sweeney and Tom Ryerson</w:t>
      </w:r>
      <w:r>
        <w:rPr>
          <w:rFonts w:ascii="Arial" w:hAnsi="Arial" w:cs="Arial"/>
          <w:color w:val="000000"/>
          <w:sz w:val="20"/>
          <w:szCs w:val="20"/>
        </w:rPr>
        <w:t xml:space="preserve">, as well as the </w:t>
      </w:r>
      <w:r w:rsidRPr="00780328">
        <w:rPr>
          <w:rFonts w:ascii="Arial" w:hAnsi="Arial" w:cs="Arial"/>
          <w:color w:val="000000"/>
          <w:sz w:val="20"/>
          <w:szCs w:val="20"/>
        </w:rPr>
        <w:t>NASA pilots, crew</w:t>
      </w:r>
      <w:r>
        <w:rPr>
          <w:rFonts w:ascii="Arial" w:hAnsi="Arial" w:cs="Arial"/>
          <w:color w:val="000000"/>
          <w:sz w:val="20"/>
          <w:szCs w:val="20"/>
        </w:rPr>
        <w:t xml:space="preserve"> and</w:t>
      </w:r>
      <w:r w:rsidRPr="00780328">
        <w:rPr>
          <w:rFonts w:ascii="Arial" w:hAnsi="Arial" w:cs="Arial"/>
          <w:color w:val="000000"/>
          <w:sz w:val="20"/>
          <w:szCs w:val="20"/>
        </w:rPr>
        <w:t xml:space="preserve"> logistical personnel. </w:t>
      </w:r>
      <w:r w:rsidR="004A1396" w:rsidRPr="004A1396">
        <w:rPr>
          <w:rFonts w:ascii="Arial" w:hAnsi="Arial" w:cs="Arial"/>
          <w:color w:val="000000"/>
          <w:sz w:val="20"/>
          <w:szCs w:val="20"/>
        </w:rPr>
        <w:t xml:space="preserve">The views expressed in this article are those of the authors and do not necessarily represent the views or the policies of the U.S. Environmental Protection Agency. </w:t>
      </w:r>
    </w:p>
    <w:p w14:paraId="1124750D" w14:textId="77777777" w:rsidR="00E6133D" w:rsidRPr="00980C22" w:rsidRDefault="00E6133D" w:rsidP="00E6133D">
      <w:pPr>
        <w:pBdr>
          <w:top w:val="nil"/>
          <w:left w:val="nil"/>
          <w:bottom w:val="nil"/>
          <w:right w:val="nil"/>
          <w:between w:val="nil"/>
        </w:pBdr>
        <w:contextualSpacing/>
        <w:rPr>
          <w:rFonts w:ascii="Arial" w:hAnsi="Arial" w:cs="Arial"/>
          <w:color w:val="000000"/>
          <w:sz w:val="20"/>
          <w:szCs w:val="20"/>
        </w:rPr>
      </w:pPr>
    </w:p>
    <w:p w14:paraId="3EAB21F4" w14:textId="77777777" w:rsidR="00E6133D" w:rsidRPr="00980C22" w:rsidRDefault="00E6133D" w:rsidP="00E6133D">
      <w:pPr>
        <w:pBdr>
          <w:top w:val="nil"/>
          <w:left w:val="nil"/>
          <w:bottom w:val="nil"/>
          <w:right w:val="nil"/>
          <w:between w:val="nil"/>
        </w:pBdr>
        <w:contextualSpacing/>
        <w:rPr>
          <w:rFonts w:ascii="Arial" w:hAnsi="Arial" w:cs="Arial"/>
          <w:color w:val="000000"/>
          <w:sz w:val="20"/>
          <w:szCs w:val="20"/>
        </w:rPr>
      </w:pPr>
      <w:r w:rsidRPr="00F649EE">
        <w:rPr>
          <w:rFonts w:ascii="Arial" w:hAnsi="Arial" w:cs="Arial"/>
          <w:b/>
          <w:color w:val="000000"/>
          <w:sz w:val="20"/>
          <w:szCs w:val="20"/>
        </w:rPr>
        <w:t>References</w:t>
      </w:r>
    </w:p>
    <w:p w14:paraId="46426A40" w14:textId="77777777" w:rsidR="00E6133D" w:rsidRPr="00980C22" w:rsidRDefault="00E6133D" w:rsidP="00E6133D">
      <w:pPr>
        <w:pBdr>
          <w:top w:val="nil"/>
          <w:left w:val="nil"/>
          <w:bottom w:val="nil"/>
          <w:right w:val="nil"/>
          <w:between w:val="nil"/>
        </w:pBdr>
        <w:contextualSpacing/>
        <w:rPr>
          <w:rFonts w:ascii="Arial" w:hAnsi="Arial" w:cs="Arial"/>
          <w:color w:val="000000"/>
          <w:sz w:val="20"/>
          <w:szCs w:val="20"/>
        </w:rPr>
      </w:pPr>
    </w:p>
    <w:p w14:paraId="59139FB1" w14:textId="77777777" w:rsidR="007D17FB" w:rsidRDefault="00726C71" w:rsidP="007D17FB">
      <w:pPr>
        <w:pStyle w:val="Bibliography"/>
      </w:pPr>
      <w:r>
        <w:rPr>
          <w:rFonts w:ascii="Arial" w:hAnsi="Arial" w:cs="Arial"/>
          <w:color w:val="000000"/>
          <w:sz w:val="20"/>
          <w:szCs w:val="20"/>
        </w:rPr>
        <w:fldChar w:fldCharType="begin"/>
      </w:r>
      <w:r w:rsidR="0005501B">
        <w:rPr>
          <w:rFonts w:ascii="Arial" w:hAnsi="Arial" w:cs="Arial"/>
          <w:color w:val="000000"/>
          <w:sz w:val="20"/>
          <w:szCs w:val="20"/>
        </w:rPr>
        <w:instrText xml:space="preserve"> ADDIN ZOTERO_BIBL {"uncited":[],"omitted":[],"custom":[]} CSL_BIBLIOGRAPHY </w:instrText>
      </w:r>
      <w:r>
        <w:rPr>
          <w:rFonts w:ascii="Arial" w:hAnsi="Arial" w:cs="Arial"/>
          <w:color w:val="000000"/>
          <w:sz w:val="20"/>
          <w:szCs w:val="20"/>
        </w:rPr>
        <w:fldChar w:fldCharType="separate"/>
      </w:r>
      <w:r w:rsidR="007D17FB">
        <w:t xml:space="preserve">1. </w:t>
      </w:r>
      <w:r w:rsidR="007D17FB">
        <w:tab/>
        <w:t xml:space="preserve">A. L. Rice, </w:t>
      </w:r>
      <w:r w:rsidR="007D17FB">
        <w:rPr>
          <w:i/>
          <w:iCs/>
        </w:rPr>
        <w:t>et al.</w:t>
      </w:r>
      <w:r w:rsidR="007D17FB">
        <w:t xml:space="preserve">, Atmospheric methane isotopic record favors fossil sources flat in 1980s and 1990s with recent increase. </w:t>
      </w:r>
      <w:r w:rsidR="007D17FB">
        <w:rPr>
          <w:i/>
          <w:iCs/>
        </w:rPr>
        <w:t>Proc. Natl. Acad. Sci.</w:t>
      </w:r>
      <w:r w:rsidR="007D17FB">
        <w:t xml:space="preserve"> </w:t>
      </w:r>
      <w:r w:rsidR="007D17FB">
        <w:rPr>
          <w:b/>
          <w:bCs/>
        </w:rPr>
        <w:t>113</w:t>
      </w:r>
      <w:r w:rsidR="007D17FB">
        <w:t>, 10791–10796 (2016).</w:t>
      </w:r>
    </w:p>
    <w:p w14:paraId="60E2331A" w14:textId="77777777" w:rsidR="007D17FB" w:rsidRDefault="007D17FB" w:rsidP="007D17FB">
      <w:pPr>
        <w:pStyle w:val="Bibliography"/>
      </w:pPr>
      <w:r>
        <w:t xml:space="preserve">2. </w:t>
      </w:r>
      <w:r>
        <w:tab/>
        <w:t xml:space="preserve">H. Schaefer, </w:t>
      </w:r>
      <w:r>
        <w:rPr>
          <w:i/>
          <w:iCs/>
        </w:rPr>
        <w:t>et al.</w:t>
      </w:r>
      <w:r>
        <w:t xml:space="preserve">, A 21st-century shift from fossil-fuel to biogenic methane emissions indicated by 13CH4. </w:t>
      </w:r>
      <w:r>
        <w:rPr>
          <w:i/>
          <w:iCs/>
        </w:rPr>
        <w:t>Science</w:t>
      </w:r>
      <w:r>
        <w:t xml:space="preserve"> </w:t>
      </w:r>
      <w:r>
        <w:rPr>
          <w:b/>
          <w:bCs/>
        </w:rPr>
        <w:t>352</w:t>
      </w:r>
      <w:r>
        <w:t>, 80–84 (2016).</w:t>
      </w:r>
    </w:p>
    <w:p w14:paraId="60CF4934" w14:textId="77777777" w:rsidR="007D17FB" w:rsidRDefault="007D17FB" w:rsidP="007D17FB">
      <w:pPr>
        <w:pStyle w:val="Bibliography"/>
      </w:pPr>
      <w:r>
        <w:t xml:space="preserve">3. </w:t>
      </w:r>
      <w:r>
        <w:tab/>
        <w:t xml:space="preserve">S. Schwietzke, </w:t>
      </w:r>
      <w:r>
        <w:rPr>
          <w:i/>
          <w:iCs/>
        </w:rPr>
        <w:t>et al.</w:t>
      </w:r>
      <w:r>
        <w:t xml:space="preserve">, Upward revision of global fossil fuel methane emissions based on isotope database. </w:t>
      </w:r>
      <w:r>
        <w:rPr>
          <w:i/>
          <w:iCs/>
        </w:rPr>
        <w:t>Nature</w:t>
      </w:r>
      <w:r>
        <w:t xml:space="preserve"> </w:t>
      </w:r>
      <w:r>
        <w:rPr>
          <w:b/>
          <w:bCs/>
        </w:rPr>
        <w:t>538</w:t>
      </w:r>
      <w:r>
        <w:t>, 88–91 (2016).</w:t>
      </w:r>
    </w:p>
    <w:p w14:paraId="0B384B27" w14:textId="77777777" w:rsidR="007D17FB" w:rsidRDefault="007D17FB" w:rsidP="007D17FB">
      <w:pPr>
        <w:pStyle w:val="Bibliography"/>
      </w:pPr>
      <w:r>
        <w:t xml:space="preserve">4. </w:t>
      </w:r>
      <w:r>
        <w:tab/>
        <w:t xml:space="preserve">J. R. Worden, </w:t>
      </w:r>
      <w:r>
        <w:rPr>
          <w:i/>
          <w:iCs/>
        </w:rPr>
        <w:t>et al.</w:t>
      </w:r>
      <w:r>
        <w:t xml:space="preserve">, Reduced biomass burning emissions reconcile conflicting estimates of the post-2006 atmospheric methane budget. </w:t>
      </w:r>
      <w:r>
        <w:rPr>
          <w:i/>
          <w:iCs/>
        </w:rPr>
        <w:t>Nat. Commun.</w:t>
      </w:r>
      <w:r>
        <w:t xml:space="preserve"> </w:t>
      </w:r>
      <w:r>
        <w:rPr>
          <w:b/>
          <w:bCs/>
        </w:rPr>
        <w:t>8</w:t>
      </w:r>
      <w:r>
        <w:t>, 2227 (2017).</w:t>
      </w:r>
    </w:p>
    <w:p w14:paraId="09A7C2EE" w14:textId="77777777" w:rsidR="007D17FB" w:rsidRDefault="007D17FB" w:rsidP="007D17FB">
      <w:pPr>
        <w:pStyle w:val="Bibliography"/>
      </w:pPr>
      <w:r>
        <w:t xml:space="preserve">5. </w:t>
      </w:r>
      <w:r>
        <w:tab/>
        <w:t xml:space="preserve">R. L. Thompson, </w:t>
      </w:r>
      <w:r>
        <w:rPr>
          <w:i/>
          <w:iCs/>
        </w:rPr>
        <w:t>et al.</w:t>
      </w:r>
      <w:r>
        <w:t xml:space="preserve">, Variability in Atmospheric Methane From Fossil Fuel and Microbial Sources Over the Last Three Decades. </w:t>
      </w:r>
      <w:r>
        <w:rPr>
          <w:i/>
          <w:iCs/>
        </w:rPr>
        <w:t>Geophys. Res. Lett.</w:t>
      </w:r>
      <w:r>
        <w:t xml:space="preserve"> </w:t>
      </w:r>
      <w:r>
        <w:rPr>
          <w:b/>
          <w:bCs/>
        </w:rPr>
        <w:t>45</w:t>
      </w:r>
      <w:r>
        <w:t>, 11,499-11,508 (2018).</w:t>
      </w:r>
    </w:p>
    <w:p w14:paraId="03EDDAF0" w14:textId="77777777" w:rsidR="007D17FB" w:rsidRDefault="007D17FB" w:rsidP="007D17FB">
      <w:pPr>
        <w:pStyle w:val="Bibliography"/>
      </w:pPr>
      <w:r>
        <w:t xml:space="preserve">6. </w:t>
      </w:r>
      <w:r>
        <w:tab/>
        <w:t xml:space="preserve">M. Rigby, </w:t>
      </w:r>
      <w:r>
        <w:rPr>
          <w:i/>
          <w:iCs/>
        </w:rPr>
        <w:t>et al.</w:t>
      </w:r>
      <w:r>
        <w:t xml:space="preserve">, Role of atmospheric oxidation in recent methane growth. </w:t>
      </w:r>
      <w:r>
        <w:rPr>
          <w:i/>
          <w:iCs/>
        </w:rPr>
        <w:t>Proc. Natl. Acad. Sci.</w:t>
      </w:r>
      <w:r>
        <w:t xml:space="preserve"> </w:t>
      </w:r>
      <w:r>
        <w:rPr>
          <w:b/>
          <w:bCs/>
        </w:rPr>
        <w:t>114</w:t>
      </w:r>
      <w:r>
        <w:t>, 5373–5377 (2017).</w:t>
      </w:r>
    </w:p>
    <w:p w14:paraId="56F4DEAF" w14:textId="77777777" w:rsidR="007D17FB" w:rsidRDefault="007D17FB" w:rsidP="007D17FB">
      <w:pPr>
        <w:pStyle w:val="Bibliography"/>
      </w:pPr>
      <w:r>
        <w:t xml:space="preserve">7. </w:t>
      </w:r>
      <w:r>
        <w:tab/>
        <w:t xml:space="preserve">A. J. Turner, C. Frankenberg, P. O. Wennberg, D. J. Jacob, Ambiguity in the causes for decadal trends in atmospheric methane and hydroxyl. </w:t>
      </w:r>
      <w:r>
        <w:rPr>
          <w:i/>
          <w:iCs/>
        </w:rPr>
        <w:t>Proc. Natl. Acad. Sci.</w:t>
      </w:r>
      <w:r>
        <w:t xml:space="preserve"> </w:t>
      </w:r>
      <w:r>
        <w:rPr>
          <w:b/>
          <w:bCs/>
        </w:rPr>
        <w:t>114</w:t>
      </w:r>
      <w:r>
        <w:t>, 5367–5372 (2017).</w:t>
      </w:r>
    </w:p>
    <w:p w14:paraId="0B0FD3F1" w14:textId="77777777" w:rsidR="007D17FB" w:rsidRDefault="007D17FB" w:rsidP="007D17FB">
      <w:pPr>
        <w:pStyle w:val="Bibliography"/>
      </w:pPr>
      <w:r>
        <w:t xml:space="preserve">8. </w:t>
      </w:r>
      <w:r>
        <w:tab/>
        <w:t xml:space="preserve">M. J. Prather, C. D. Holmes, Overexplaining or underexplaining methane’s role in climate change. </w:t>
      </w:r>
      <w:r>
        <w:rPr>
          <w:i/>
          <w:iCs/>
        </w:rPr>
        <w:t>Proc. Natl. Acad. Sci.</w:t>
      </w:r>
      <w:r>
        <w:t xml:space="preserve"> </w:t>
      </w:r>
      <w:r>
        <w:rPr>
          <w:b/>
          <w:bCs/>
        </w:rPr>
        <w:t>114</w:t>
      </w:r>
      <w:r>
        <w:t>, 5324–5326 (2017).</w:t>
      </w:r>
    </w:p>
    <w:p w14:paraId="79427B65" w14:textId="77777777" w:rsidR="007D17FB" w:rsidRDefault="007D17FB" w:rsidP="007D17FB">
      <w:pPr>
        <w:pStyle w:val="Bibliography"/>
      </w:pPr>
      <w:r>
        <w:t xml:space="preserve">9. </w:t>
      </w:r>
      <w:r>
        <w:tab/>
        <w:t xml:space="preserve">D. S. Stevenson, R. G. Derwent, O. Wild, W. J. Collins, COVID-19 lockdown emission reductions have the potential to explain over half of the coincident increase in global atmospheric methane. </w:t>
      </w:r>
      <w:r>
        <w:rPr>
          <w:i/>
          <w:iCs/>
        </w:rPr>
        <w:t>Atmospheric Chem. Phys.</w:t>
      </w:r>
      <w:r>
        <w:t xml:space="preserve"> </w:t>
      </w:r>
      <w:r>
        <w:rPr>
          <w:b/>
          <w:bCs/>
        </w:rPr>
        <w:t>22</w:t>
      </w:r>
      <w:r>
        <w:t>, 14243–14252 (2022).</w:t>
      </w:r>
    </w:p>
    <w:p w14:paraId="0684D066" w14:textId="77777777" w:rsidR="007D17FB" w:rsidRDefault="007D17FB" w:rsidP="007D17FB">
      <w:pPr>
        <w:pStyle w:val="Bibliography"/>
      </w:pPr>
      <w:r>
        <w:t xml:space="preserve">10. </w:t>
      </w:r>
      <w:r>
        <w:tab/>
        <w:t xml:space="preserve">Y. Zhao, </w:t>
      </w:r>
      <w:r>
        <w:rPr>
          <w:i/>
          <w:iCs/>
        </w:rPr>
        <w:t>et al.</w:t>
      </w:r>
      <w:r>
        <w:t xml:space="preserve">, Inter-model comparison of global hydroxyl radical (OH) distributions and their impact on atmospheric methane over the 2000&amp;amp;#8211;2016 period. </w:t>
      </w:r>
      <w:r>
        <w:rPr>
          <w:i/>
          <w:iCs/>
        </w:rPr>
        <w:t>Atmospheric Chem. Phys.</w:t>
      </w:r>
      <w:r>
        <w:t xml:space="preserve"> </w:t>
      </w:r>
      <w:r>
        <w:rPr>
          <w:b/>
          <w:bCs/>
        </w:rPr>
        <w:t>19</w:t>
      </w:r>
      <w:r>
        <w:t>, 13701–13723 (2019).</w:t>
      </w:r>
    </w:p>
    <w:p w14:paraId="303B9287" w14:textId="77777777" w:rsidR="007D17FB" w:rsidRDefault="007D17FB" w:rsidP="007D17FB">
      <w:pPr>
        <w:pStyle w:val="Bibliography"/>
      </w:pPr>
      <w:r>
        <w:t xml:space="preserve">11. </w:t>
      </w:r>
      <w:r>
        <w:tab/>
        <w:t xml:space="preserve">D. S. Stevenson, </w:t>
      </w:r>
      <w:r>
        <w:rPr>
          <w:i/>
          <w:iCs/>
        </w:rPr>
        <w:t>et al.</w:t>
      </w:r>
      <w:r>
        <w:t xml:space="preserve">, Trends in global tropospheric hydroxyl radical and methane lifetime since 1850 from AerChemMIP. </w:t>
      </w:r>
      <w:r>
        <w:rPr>
          <w:i/>
          <w:iCs/>
        </w:rPr>
        <w:t>Atmospheric Chem. Phys.</w:t>
      </w:r>
      <w:r>
        <w:t xml:space="preserve"> </w:t>
      </w:r>
      <w:r>
        <w:rPr>
          <w:b/>
          <w:bCs/>
        </w:rPr>
        <w:t>20</w:t>
      </w:r>
      <w:r>
        <w:t>, 12905–12920 (2020).</w:t>
      </w:r>
    </w:p>
    <w:p w14:paraId="787104BB" w14:textId="77777777" w:rsidR="007D17FB" w:rsidRDefault="007D17FB" w:rsidP="007D17FB">
      <w:pPr>
        <w:pStyle w:val="Bibliography"/>
      </w:pPr>
      <w:r>
        <w:t xml:space="preserve">12. </w:t>
      </w:r>
      <w:r>
        <w:tab/>
        <w:t xml:space="preserve">J. M. Nicely, </w:t>
      </w:r>
      <w:r>
        <w:rPr>
          <w:i/>
          <w:iCs/>
        </w:rPr>
        <w:t>et al.</w:t>
      </w:r>
      <w:r>
        <w:t xml:space="preserve">, A machine learning examination of hydroxyl radical differences among model simulations for CCMI-1. </w:t>
      </w:r>
      <w:r>
        <w:rPr>
          <w:i/>
          <w:iCs/>
        </w:rPr>
        <w:t>Atmospheric Chem. Phys.</w:t>
      </w:r>
      <w:r>
        <w:t xml:space="preserve"> </w:t>
      </w:r>
      <w:r>
        <w:rPr>
          <w:b/>
          <w:bCs/>
        </w:rPr>
        <w:t>20</w:t>
      </w:r>
      <w:r>
        <w:t>, 1341–1361 (2020).</w:t>
      </w:r>
    </w:p>
    <w:p w14:paraId="22CF62E9" w14:textId="77777777" w:rsidR="007D17FB" w:rsidRDefault="007D17FB" w:rsidP="007D17FB">
      <w:pPr>
        <w:pStyle w:val="Bibliography"/>
      </w:pPr>
      <w:r>
        <w:lastRenderedPageBreak/>
        <w:t xml:space="preserve">13. </w:t>
      </w:r>
      <w:r>
        <w:tab/>
        <w:t xml:space="preserve">L. T. Murray, A. M. Fiore, D. T. Shindell, V. Naik, L. W. Horowitz, Large uncertainties in global hydroxyl projections tied to fate of reactive nitrogen and carbon. </w:t>
      </w:r>
      <w:r>
        <w:rPr>
          <w:i/>
          <w:iCs/>
        </w:rPr>
        <w:t>Proc. Natl. Acad. Sci.</w:t>
      </w:r>
      <w:r>
        <w:t xml:space="preserve"> </w:t>
      </w:r>
      <w:r>
        <w:rPr>
          <w:b/>
          <w:bCs/>
        </w:rPr>
        <w:t>118</w:t>
      </w:r>
      <w:r>
        <w:t xml:space="preserve"> (2021).</w:t>
      </w:r>
    </w:p>
    <w:p w14:paraId="09124A8E" w14:textId="77777777" w:rsidR="007D17FB" w:rsidRDefault="007D17FB" w:rsidP="007D17FB">
      <w:pPr>
        <w:pStyle w:val="Bibliography"/>
      </w:pPr>
      <w:r>
        <w:t xml:space="preserve">14. </w:t>
      </w:r>
      <w:r>
        <w:tab/>
        <w:t xml:space="preserve">V. Naik, </w:t>
      </w:r>
      <w:r>
        <w:rPr>
          <w:i/>
          <w:iCs/>
        </w:rPr>
        <w:t>et al.</w:t>
      </w:r>
      <w:r>
        <w:t xml:space="preserve">, Impact of preindustrial to present-day changes in short-lived pollutant emissions on atmospheric composition and climate forcing. </w:t>
      </w:r>
      <w:r>
        <w:rPr>
          <w:i/>
          <w:iCs/>
        </w:rPr>
        <w:t>J. Geophys. Res. Atmospheres</w:t>
      </w:r>
      <w:r>
        <w:t xml:space="preserve"> </w:t>
      </w:r>
      <w:r>
        <w:rPr>
          <w:b/>
          <w:bCs/>
        </w:rPr>
        <w:t>118</w:t>
      </w:r>
      <w:r>
        <w:t>, 8086–8110 (2013).</w:t>
      </w:r>
    </w:p>
    <w:p w14:paraId="1DC2EF1F" w14:textId="77777777" w:rsidR="007D17FB" w:rsidRDefault="007D17FB" w:rsidP="007D17FB">
      <w:pPr>
        <w:pStyle w:val="Bibliography"/>
      </w:pPr>
      <w:r>
        <w:t xml:space="preserve">15. </w:t>
      </w:r>
      <w:r>
        <w:tab/>
        <w:t xml:space="preserve">O. Wild, </w:t>
      </w:r>
      <w:r>
        <w:rPr>
          <w:i/>
          <w:iCs/>
        </w:rPr>
        <w:t>et al.</w:t>
      </w:r>
      <w:r>
        <w:t xml:space="preserve">, Global sensitivity analysis of chemistry–climate model budgets of tropospheric ozone and OH: exploring model diversity. </w:t>
      </w:r>
      <w:r>
        <w:rPr>
          <w:i/>
          <w:iCs/>
        </w:rPr>
        <w:t>Atmospheric Chem. Phys.</w:t>
      </w:r>
      <w:r>
        <w:t xml:space="preserve"> </w:t>
      </w:r>
      <w:r>
        <w:rPr>
          <w:b/>
          <w:bCs/>
        </w:rPr>
        <w:t>20</w:t>
      </w:r>
      <w:r>
        <w:t>, 4047–4058 (2020).</w:t>
      </w:r>
    </w:p>
    <w:p w14:paraId="5A5C4151" w14:textId="77777777" w:rsidR="007D17FB" w:rsidRDefault="007D17FB" w:rsidP="007D17FB">
      <w:pPr>
        <w:pStyle w:val="Bibliography"/>
      </w:pPr>
      <w:r>
        <w:t xml:space="preserve">16. </w:t>
      </w:r>
      <w:r>
        <w:tab/>
        <w:t xml:space="preserve">Q. Liang, </w:t>
      </w:r>
      <w:r>
        <w:rPr>
          <w:i/>
          <w:iCs/>
        </w:rPr>
        <w:t>et al.</w:t>
      </w:r>
      <w:r>
        <w:t xml:space="preserve">, Deriving Global OH Abundance and Atmospheric Lifetimes for Long-Lived Gases: A Search for CH3CCl3 Alternatives. </w:t>
      </w:r>
      <w:r>
        <w:rPr>
          <w:i/>
          <w:iCs/>
        </w:rPr>
        <w:t>J. Geophys. Res. Atmospheres</w:t>
      </w:r>
      <w:r>
        <w:t xml:space="preserve"> </w:t>
      </w:r>
      <w:r>
        <w:rPr>
          <w:b/>
          <w:bCs/>
        </w:rPr>
        <w:t>122</w:t>
      </w:r>
      <w:r>
        <w:t>, 11,914-11,933 (2017).</w:t>
      </w:r>
    </w:p>
    <w:p w14:paraId="20429E17" w14:textId="77777777" w:rsidR="007D17FB" w:rsidRDefault="007D17FB" w:rsidP="007D17FB">
      <w:pPr>
        <w:pStyle w:val="Bibliography"/>
      </w:pPr>
      <w:r>
        <w:t xml:space="preserve">17. </w:t>
      </w:r>
      <w:r>
        <w:tab/>
        <w:t xml:space="preserve">S. A. Montzka, </w:t>
      </w:r>
      <w:r>
        <w:rPr>
          <w:i/>
          <w:iCs/>
        </w:rPr>
        <w:t>et al.</w:t>
      </w:r>
      <w:r>
        <w:t xml:space="preserve">, New Observational Constraints for Atmospheric Hydroxyl on Global and Hemispheric Scales. </w:t>
      </w:r>
      <w:r>
        <w:rPr>
          <w:i/>
          <w:iCs/>
        </w:rPr>
        <w:t>Science</w:t>
      </w:r>
      <w:r>
        <w:t xml:space="preserve"> </w:t>
      </w:r>
      <w:r>
        <w:rPr>
          <w:b/>
          <w:bCs/>
        </w:rPr>
        <w:t>288</w:t>
      </w:r>
      <w:r>
        <w:t>, 500–503 (2000).</w:t>
      </w:r>
    </w:p>
    <w:p w14:paraId="36B78DC8" w14:textId="77777777" w:rsidR="007D17FB" w:rsidRDefault="007D17FB" w:rsidP="007D17FB">
      <w:pPr>
        <w:pStyle w:val="Bibliography"/>
      </w:pPr>
      <w:r>
        <w:t xml:space="preserve">18. </w:t>
      </w:r>
      <w:r>
        <w:tab/>
        <w:t xml:space="preserve">S. A. Montzka, </w:t>
      </w:r>
      <w:r>
        <w:rPr>
          <w:i/>
          <w:iCs/>
        </w:rPr>
        <w:t>et al.</w:t>
      </w:r>
      <w:r>
        <w:t xml:space="preserve">, Small Interannual Variability of Global Atmospheric Hydroxyl. </w:t>
      </w:r>
      <w:r>
        <w:rPr>
          <w:i/>
          <w:iCs/>
        </w:rPr>
        <w:t>Science</w:t>
      </w:r>
      <w:r>
        <w:t xml:space="preserve"> </w:t>
      </w:r>
      <w:r>
        <w:rPr>
          <w:b/>
          <w:bCs/>
        </w:rPr>
        <w:t>331</w:t>
      </w:r>
      <w:r>
        <w:t>, 67–69 (2011).</w:t>
      </w:r>
    </w:p>
    <w:p w14:paraId="3AC6F8B0" w14:textId="77777777" w:rsidR="007D17FB" w:rsidRDefault="007D17FB" w:rsidP="007D17FB">
      <w:pPr>
        <w:pStyle w:val="Bibliography"/>
      </w:pPr>
      <w:r>
        <w:t xml:space="preserve">19. </w:t>
      </w:r>
      <w:r>
        <w:tab/>
        <w:t xml:space="preserve">P. K. Patra, </w:t>
      </w:r>
      <w:r>
        <w:rPr>
          <w:i/>
          <w:iCs/>
        </w:rPr>
        <w:t>et al.</w:t>
      </w:r>
      <w:r>
        <w:t xml:space="preserve">, Methyl Chloroform Continues to Constrain the Hydroxyl (OH) Variability in the Troposphere. </w:t>
      </w:r>
      <w:r>
        <w:rPr>
          <w:i/>
          <w:iCs/>
        </w:rPr>
        <w:t>J. Geophys. Res. Atmospheres</w:t>
      </w:r>
      <w:r>
        <w:t xml:space="preserve"> </w:t>
      </w:r>
      <w:r>
        <w:rPr>
          <w:b/>
          <w:bCs/>
        </w:rPr>
        <w:t>126</w:t>
      </w:r>
      <w:r>
        <w:t>, e2020JD033862 (2021).</w:t>
      </w:r>
    </w:p>
    <w:p w14:paraId="7E3F5944" w14:textId="77777777" w:rsidR="007D17FB" w:rsidRDefault="007D17FB" w:rsidP="007D17FB">
      <w:pPr>
        <w:pStyle w:val="Bibliography"/>
      </w:pPr>
      <w:r>
        <w:t xml:space="preserve">20. </w:t>
      </w:r>
      <w:r>
        <w:tab/>
        <w:t xml:space="preserve">P. K. Patra, </w:t>
      </w:r>
      <w:r>
        <w:rPr>
          <w:i/>
          <w:iCs/>
        </w:rPr>
        <w:t>et al.</w:t>
      </w:r>
      <w:r>
        <w:t xml:space="preserve">, Observational evidence for interhemispheric hydroxyl-radical parity. </w:t>
      </w:r>
      <w:r>
        <w:rPr>
          <w:i/>
          <w:iCs/>
        </w:rPr>
        <w:t>Nature</w:t>
      </w:r>
      <w:r>
        <w:t xml:space="preserve"> </w:t>
      </w:r>
      <w:r>
        <w:rPr>
          <w:b/>
          <w:bCs/>
        </w:rPr>
        <w:t>513</w:t>
      </w:r>
      <w:r>
        <w:t>, 219–223 (2014).</w:t>
      </w:r>
    </w:p>
    <w:p w14:paraId="5F508408" w14:textId="77777777" w:rsidR="007D17FB" w:rsidRDefault="007D17FB" w:rsidP="007D17FB">
      <w:pPr>
        <w:pStyle w:val="Bibliography"/>
      </w:pPr>
      <w:r>
        <w:t xml:space="preserve">21. </w:t>
      </w:r>
      <w:r>
        <w:tab/>
        <w:t xml:space="preserve">M. Krol, P. J. van Leeuwen, J. Lelieveld, Global OH trend inferred from methylchloroform measurements. </w:t>
      </w:r>
      <w:r>
        <w:rPr>
          <w:i/>
          <w:iCs/>
        </w:rPr>
        <w:t>J. Geophys. Res. Atmospheres</w:t>
      </w:r>
      <w:r>
        <w:t xml:space="preserve"> </w:t>
      </w:r>
      <w:r>
        <w:rPr>
          <w:b/>
          <w:bCs/>
        </w:rPr>
        <w:t>103</w:t>
      </w:r>
      <w:r>
        <w:t>, 10697–10711 (1998).</w:t>
      </w:r>
    </w:p>
    <w:p w14:paraId="2EE60A56" w14:textId="77777777" w:rsidR="007D17FB" w:rsidRDefault="007D17FB" w:rsidP="007D17FB">
      <w:pPr>
        <w:pStyle w:val="Bibliography"/>
      </w:pPr>
      <w:r>
        <w:t xml:space="preserve">22. </w:t>
      </w:r>
      <w:r>
        <w:tab/>
        <w:t xml:space="preserve">R. Prinn, </w:t>
      </w:r>
      <w:r>
        <w:rPr>
          <w:i/>
          <w:iCs/>
        </w:rPr>
        <w:t>et al.</w:t>
      </w:r>
      <w:r>
        <w:t xml:space="preserve">, Atmospheric Trends in Methylchloroform and the Global Average for the Hydroxyl Radical. </w:t>
      </w:r>
      <w:r>
        <w:rPr>
          <w:i/>
          <w:iCs/>
        </w:rPr>
        <w:t>Science</w:t>
      </w:r>
      <w:r>
        <w:t xml:space="preserve"> </w:t>
      </w:r>
      <w:r>
        <w:rPr>
          <w:b/>
          <w:bCs/>
        </w:rPr>
        <w:t>238</w:t>
      </w:r>
      <w:r>
        <w:t>, 945–950 (1987).</w:t>
      </w:r>
    </w:p>
    <w:p w14:paraId="4A276081" w14:textId="77777777" w:rsidR="007D17FB" w:rsidRDefault="007D17FB" w:rsidP="007D17FB">
      <w:pPr>
        <w:pStyle w:val="Bibliography"/>
      </w:pPr>
      <w:r>
        <w:t xml:space="preserve">23. </w:t>
      </w:r>
      <w:r>
        <w:tab/>
        <w:t xml:space="preserve">R. Prinn, </w:t>
      </w:r>
      <w:r>
        <w:rPr>
          <w:i/>
          <w:iCs/>
        </w:rPr>
        <w:t>et al.</w:t>
      </w:r>
      <w:r>
        <w:t xml:space="preserve">, Global average concentration and trend for hydroxyl radicals deduced from ALE/GAGE trichloroethane (methyl chloroform) data for 1978–1990. </w:t>
      </w:r>
      <w:r>
        <w:rPr>
          <w:i/>
          <w:iCs/>
        </w:rPr>
        <w:t>J. Geophys. Res. Atmospheres</w:t>
      </w:r>
      <w:r>
        <w:t xml:space="preserve"> </w:t>
      </w:r>
      <w:r>
        <w:rPr>
          <w:b/>
          <w:bCs/>
        </w:rPr>
        <w:t>97</w:t>
      </w:r>
      <w:r>
        <w:t>, 2445–2461 (1992).</w:t>
      </w:r>
    </w:p>
    <w:p w14:paraId="63AE17D7" w14:textId="77777777" w:rsidR="007D17FB" w:rsidRDefault="007D17FB" w:rsidP="007D17FB">
      <w:pPr>
        <w:pStyle w:val="Bibliography"/>
      </w:pPr>
      <w:r>
        <w:t xml:space="preserve">24. </w:t>
      </w:r>
      <w:r>
        <w:tab/>
        <w:t xml:space="preserve">G. M. Wolfe, </w:t>
      </w:r>
      <w:r>
        <w:rPr>
          <w:i/>
          <w:iCs/>
        </w:rPr>
        <w:t>et al.</w:t>
      </w:r>
      <w:r>
        <w:t xml:space="preserve">, Mapping hydroxyl variability throughout the global remote troposphere via synthesis of airborne and satellite formaldehyde observations. </w:t>
      </w:r>
      <w:r>
        <w:rPr>
          <w:i/>
          <w:iCs/>
        </w:rPr>
        <w:t>Proc. Natl. Acad. Sci.</w:t>
      </w:r>
      <w:r>
        <w:t xml:space="preserve"> </w:t>
      </w:r>
      <w:r>
        <w:rPr>
          <w:b/>
          <w:bCs/>
        </w:rPr>
        <w:t>116</w:t>
      </w:r>
      <w:r>
        <w:t>, 11171–11180 (2019).</w:t>
      </w:r>
    </w:p>
    <w:p w14:paraId="28D59149" w14:textId="77777777" w:rsidR="007D17FB" w:rsidRDefault="007D17FB" w:rsidP="007D17FB">
      <w:pPr>
        <w:pStyle w:val="Bibliography"/>
      </w:pPr>
      <w:r>
        <w:t xml:space="preserve">25. </w:t>
      </w:r>
      <w:r>
        <w:tab/>
        <w:t>L. C. Valin, A. M. Fiore, K. Chance, G. González Abad, The role of OH production in interpreting the variability of CH</w:t>
      </w:r>
      <w:r>
        <w:rPr>
          <w:vertAlign w:val="subscript"/>
        </w:rPr>
        <w:t>2</w:t>
      </w:r>
      <w:r>
        <w:t xml:space="preserve">O columns in the southeast U.S. </w:t>
      </w:r>
      <w:r>
        <w:rPr>
          <w:i/>
          <w:iCs/>
        </w:rPr>
        <w:t>J. Geophys. Res. Atmospheres</w:t>
      </w:r>
      <w:r>
        <w:t xml:space="preserve"> </w:t>
      </w:r>
      <w:r>
        <w:rPr>
          <w:b/>
          <w:bCs/>
        </w:rPr>
        <w:t>121</w:t>
      </w:r>
      <w:r>
        <w:t>, 478–493 (2016).</w:t>
      </w:r>
    </w:p>
    <w:p w14:paraId="243372DD" w14:textId="77777777" w:rsidR="007D17FB" w:rsidRDefault="007D17FB" w:rsidP="007D17FB">
      <w:pPr>
        <w:pStyle w:val="Bibliography"/>
      </w:pPr>
      <w:r>
        <w:lastRenderedPageBreak/>
        <w:t xml:space="preserve">26. </w:t>
      </w:r>
      <w:r>
        <w:tab/>
        <w:t xml:space="preserve">S. C. Wofsy, </w:t>
      </w:r>
      <w:r>
        <w:rPr>
          <w:i/>
          <w:iCs/>
        </w:rPr>
        <w:t>et al.</w:t>
      </w:r>
      <w:r>
        <w:t xml:space="preserve">, ATom: Merged Atmospheric Chemistry, Trace Gases, and Aerosols. </w:t>
      </w:r>
      <w:r>
        <w:rPr>
          <w:i/>
          <w:iCs/>
        </w:rPr>
        <w:t>ORNL DAAC</w:t>
      </w:r>
      <w:r>
        <w:t xml:space="preserve"> (2018) https:/doi.org/https://doi.org/10.3334/ORNLDAAC/1581 (March 25, 2020).</w:t>
      </w:r>
    </w:p>
    <w:p w14:paraId="64CA5DDA" w14:textId="77777777" w:rsidR="007D17FB" w:rsidRDefault="007D17FB" w:rsidP="007D17FB">
      <w:pPr>
        <w:pStyle w:val="Bibliography"/>
      </w:pPr>
      <w:r>
        <w:t xml:space="preserve">27. </w:t>
      </w:r>
      <w:r>
        <w:tab/>
        <w:t xml:space="preserve">M. J. Prather, </w:t>
      </w:r>
      <w:r>
        <w:rPr>
          <w:i/>
          <w:iCs/>
        </w:rPr>
        <w:t>et al.</w:t>
      </w:r>
      <w:r>
        <w:t xml:space="preserve">, How well can global chemistry models calculate the reactivity of short-lived greenhouse gases in the remote troposphere, knowing the chemical composition. </w:t>
      </w:r>
      <w:r>
        <w:rPr>
          <w:i/>
          <w:iCs/>
        </w:rPr>
        <w:t>Atmospheric Meas. Tech.</w:t>
      </w:r>
      <w:r>
        <w:t xml:space="preserve"> </w:t>
      </w:r>
      <w:r>
        <w:rPr>
          <w:b/>
          <w:bCs/>
        </w:rPr>
        <w:t>11</w:t>
      </w:r>
      <w:r>
        <w:t>, 2653–2668 (2018).</w:t>
      </w:r>
    </w:p>
    <w:p w14:paraId="427F5EAB" w14:textId="77777777" w:rsidR="007D17FB" w:rsidRDefault="007D17FB" w:rsidP="007D17FB">
      <w:pPr>
        <w:pStyle w:val="Bibliography"/>
      </w:pPr>
      <w:r>
        <w:t xml:space="preserve">28. </w:t>
      </w:r>
      <w:r>
        <w:tab/>
        <w:t xml:space="preserve">C. R. Thompson, </w:t>
      </w:r>
      <w:r>
        <w:rPr>
          <w:i/>
          <w:iCs/>
        </w:rPr>
        <w:t>et al.</w:t>
      </w:r>
      <w:r>
        <w:t xml:space="preserve">, The NASA Atmospheric Tomography (ATom) Mission: Imaging the Chemistry of the Global Atmosphere. </w:t>
      </w:r>
      <w:r>
        <w:rPr>
          <w:i/>
          <w:iCs/>
        </w:rPr>
        <w:t>Bull. Am. Meteorol. Soc.</w:t>
      </w:r>
      <w:r>
        <w:t xml:space="preserve"> </w:t>
      </w:r>
      <w:r>
        <w:rPr>
          <w:b/>
          <w:bCs/>
        </w:rPr>
        <w:t>103</w:t>
      </w:r>
      <w:r>
        <w:t>, E761–E790 (2022).</w:t>
      </w:r>
    </w:p>
    <w:p w14:paraId="2B5FA43C" w14:textId="77777777" w:rsidR="007D17FB" w:rsidRDefault="007D17FB" w:rsidP="007D17FB">
      <w:pPr>
        <w:pStyle w:val="Bibliography"/>
      </w:pPr>
      <w:r>
        <w:t xml:space="preserve">29. </w:t>
      </w:r>
      <w:r>
        <w:tab/>
        <w:t xml:space="preserve">G. M. Wolfe, M. R. Marvin, S. J. Roberts, K. R. Travis, J. Liao, The Framework for 0-D Atmospheric Modeling (F0AM) v3.1. </w:t>
      </w:r>
      <w:r>
        <w:rPr>
          <w:i/>
          <w:iCs/>
        </w:rPr>
        <w:t>Geosci. Model Dev.</w:t>
      </w:r>
      <w:r>
        <w:t xml:space="preserve"> </w:t>
      </w:r>
      <w:r>
        <w:rPr>
          <w:b/>
          <w:bCs/>
        </w:rPr>
        <w:t>9</w:t>
      </w:r>
      <w:r>
        <w:t>, 3309–3319 (2016).</w:t>
      </w:r>
    </w:p>
    <w:p w14:paraId="0F2C4AAC" w14:textId="77777777" w:rsidR="007D17FB" w:rsidRDefault="007D17FB" w:rsidP="007D17FB">
      <w:pPr>
        <w:pStyle w:val="Bibliography"/>
      </w:pPr>
      <w:r>
        <w:t xml:space="preserve">30. </w:t>
      </w:r>
      <w:r>
        <w:tab/>
        <w:t xml:space="preserve">W. H. Brune, </w:t>
      </w:r>
      <w:r>
        <w:rPr>
          <w:i/>
          <w:iCs/>
        </w:rPr>
        <w:t>et al.</w:t>
      </w:r>
      <w:r>
        <w:t xml:space="preserve">, Exploring Oxidation in the Remote Free Troposphere: Insights From Atmospheric Tomography (ATom). </w:t>
      </w:r>
      <w:r>
        <w:rPr>
          <w:i/>
          <w:iCs/>
        </w:rPr>
        <w:t>J. Geophys. Res. Atmospheres</w:t>
      </w:r>
      <w:r>
        <w:t xml:space="preserve"> </w:t>
      </w:r>
      <w:r>
        <w:rPr>
          <w:b/>
          <w:bCs/>
        </w:rPr>
        <w:t>125</w:t>
      </w:r>
      <w:r>
        <w:t xml:space="preserve"> (2020).</w:t>
      </w:r>
    </w:p>
    <w:p w14:paraId="313956CB" w14:textId="77777777" w:rsidR="007D17FB" w:rsidRDefault="007D17FB" w:rsidP="007D17FB">
      <w:pPr>
        <w:pStyle w:val="Bibliography"/>
      </w:pPr>
      <w:r>
        <w:t xml:space="preserve">31. </w:t>
      </w:r>
      <w:r>
        <w:tab/>
        <w:t xml:space="preserve">W. H. Brune, </w:t>
      </w:r>
      <w:r>
        <w:rPr>
          <w:i/>
          <w:iCs/>
        </w:rPr>
        <w:t>et al.</w:t>
      </w:r>
      <w:r>
        <w:t xml:space="preserve">, Atmospheric oxidation in the presence of clouds during the Deep Convective Clouds and Chemistry (DC3) study. </w:t>
      </w:r>
      <w:r>
        <w:rPr>
          <w:i/>
          <w:iCs/>
        </w:rPr>
        <w:t>Atmospheric Chem. Phys.</w:t>
      </w:r>
      <w:r>
        <w:t xml:space="preserve"> </w:t>
      </w:r>
      <w:r>
        <w:rPr>
          <w:b/>
          <w:bCs/>
        </w:rPr>
        <w:t>18</w:t>
      </w:r>
      <w:r>
        <w:t>, 14493–14510 (2018).</w:t>
      </w:r>
    </w:p>
    <w:p w14:paraId="7FC366F5" w14:textId="77777777" w:rsidR="007D17FB" w:rsidRDefault="007D17FB" w:rsidP="007D17FB">
      <w:pPr>
        <w:pStyle w:val="Bibliography"/>
      </w:pPr>
      <w:r>
        <w:t xml:space="preserve">32. </w:t>
      </w:r>
      <w:r>
        <w:tab/>
        <w:t xml:space="preserve">X. Ren, </w:t>
      </w:r>
      <w:r>
        <w:rPr>
          <w:i/>
          <w:iCs/>
        </w:rPr>
        <w:t>et al.</w:t>
      </w:r>
      <w:r>
        <w:t xml:space="preserve">, HOx chemistry during INTEX-A 2004: Observation, model calculation, and comparison with previous studies. </w:t>
      </w:r>
      <w:r>
        <w:rPr>
          <w:i/>
          <w:iCs/>
        </w:rPr>
        <w:t>J. Geophys. Res. Atmospheres</w:t>
      </w:r>
      <w:r>
        <w:t xml:space="preserve"> </w:t>
      </w:r>
      <w:r>
        <w:rPr>
          <w:b/>
          <w:bCs/>
        </w:rPr>
        <w:t>113</w:t>
      </w:r>
      <w:r>
        <w:t xml:space="preserve"> (2008).</w:t>
      </w:r>
    </w:p>
    <w:p w14:paraId="0651D492" w14:textId="77777777" w:rsidR="007D17FB" w:rsidRDefault="007D17FB" w:rsidP="007D17FB">
      <w:pPr>
        <w:pStyle w:val="Bibliography"/>
      </w:pPr>
      <w:r>
        <w:t xml:space="preserve">33. </w:t>
      </w:r>
      <w:r>
        <w:tab/>
        <w:t xml:space="preserve">D. Davis, </w:t>
      </w:r>
      <w:r>
        <w:rPr>
          <w:i/>
          <w:iCs/>
        </w:rPr>
        <w:t>et al.</w:t>
      </w:r>
      <w:r>
        <w:t xml:space="preserve">, Marine latitude/altitude OH distributions: Comparison of Pacific Ocean observations with models. </w:t>
      </w:r>
      <w:r>
        <w:rPr>
          <w:i/>
          <w:iCs/>
        </w:rPr>
        <w:t>J. Geophys. Res. Atmospheres</w:t>
      </w:r>
      <w:r>
        <w:t xml:space="preserve"> </w:t>
      </w:r>
      <w:r>
        <w:rPr>
          <w:b/>
          <w:bCs/>
        </w:rPr>
        <w:t>106</w:t>
      </w:r>
      <w:r>
        <w:t>, 32691–32707 (2001).</w:t>
      </w:r>
    </w:p>
    <w:p w14:paraId="0C54996B" w14:textId="77777777" w:rsidR="007D17FB" w:rsidRDefault="007D17FB" w:rsidP="007D17FB">
      <w:pPr>
        <w:pStyle w:val="Bibliography"/>
      </w:pPr>
      <w:r>
        <w:t xml:space="preserve">34. </w:t>
      </w:r>
      <w:r>
        <w:tab/>
        <w:t xml:space="preserve">D. O. Miller, W. H. Brune, Investigating the Understanding of Oxidation Chemistry Using 20 Years of Airborne OH and HO </w:t>
      </w:r>
      <w:r>
        <w:rPr>
          <w:vertAlign w:val="subscript"/>
        </w:rPr>
        <w:t>2</w:t>
      </w:r>
      <w:r>
        <w:t xml:space="preserve"> Observations. </w:t>
      </w:r>
      <w:r>
        <w:rPr>
          <w:i/>
          <w:iCs/>
        </w:rPr>
        <w:t>J. Geophys. Res. Atmospheres</w:t>
      </w:r>
      <w:r>
        <w:t xml:space="preserve"> </w:t>
      </w:r>
      <w:r>
        <w:rPr>
          <w:b/>
          <w:bCs/>
        </w:rPr>
        <w:t>127</w:t>
      </w:r>
      <w:r>
        <w:t xml:space="preserve"> (2022).</w:t>
      </w:r>
    </w:p>
    <w:p w14:paraId="248E5013" w14:textId="77777777" w:rsidR="007D17FB" w:rsidRDefault="007D17FB" w:rsidP="007D17FB">
      <w:pPr>
        <w:pStyle w:val="Bibliography"/>
      </w:pPr>
      <w:r>
        <w:t xml:space="preserve">35. </w:t>
      </w:r>
      <w:r>
        <w:tab/>
        <w:t xml:space="preserve">J. B. Burkholder, </w:t>
      </w:r>
      <w:r>
        <w:rPr>
          <w:i/>
          <w:iCs/>
        </w:rPr>
        <w:t>et al.</w:t>
      </w:r>
      <w:r>
        <w:t>, Chemical Kinetics and Photochemical Data for Use in Atmospheric Studies, Evaluation No. 18 (2015).</w:t>
      </w:r>
    </w:p>
    <w:p w14:paraId="02A2B735" w14:textId="77777777" w:rsidR="007D17FB" w:rsidRDefault="007D17FB" w:rsidP="007D17FB">
      <w:pPr>
        <w:pStyle w:val="Bibliography"/>
      </w:pPr>
      <w:r>
        <w:t xml:space="preserve">36. </w:t>
      </w:r>
      <w:r>
        <w:tab/>
        <w:t xml:space="preserve">H. Guo, </w:t>
      </w:r>
      <w:r>
        <w:rPr>
          <w:i/>
          <w:iCs/>
        </w:rPr>
        <w:t>et al.</w:t>
      </w:r>
      <w:r>
        <w:t xml:space="preserve">, Heterogeneity and chemical reactivity of the remote troposphere defined by aircraft measurements – corrected. </w:t>
      </w:r>
      <w:r>
        <w:rPr>
          <w:i/>
          <w:iCs/>
        </w:rPr>
        <w:t>Atmospheric Chem. Phys.</w:t>
      </w:r>
      <w:r>
        <w:t xml:space="preserve"> </w:t>
      </w:r>
      <w:r>
        <w:rPr>
          <w:b/>
          <w:bCs/>
        </w:rPr>
        <w:t>23</w:t>
      </w:r>
      <w:r>
        <w:t>, 99–117 (2023).</w:t>
      </w:r>
    </w:p>
    <w:p w14:paraId="375B189D" w14:textId="77777777" w:rsidR="007D17FB" w:rsidRDefault="007D17FB" w:rsidP="007D17FB">
      <w:pPr>
        <w:pStyle w:val="Bibliography"/>
      </w:pPr>
      <w:r>
        <w:t xml:space="preserve">37. </w:t>
      </w:r>
      <w:r>
        <w:tab/>
        <w:t xml:space="preserve">J. Lelieveld, S. Gromov, A. Pozzer, D. Taraborrelli, Global tropospheric hydroxyl distribution, budget and reactivity. </w:t>
      </w:r>
      <w:r>
        <w:rPr>
          <w:i/>
          <w:iCs/>
        </w:rPr>
        <w:t>Atmospheric Chem. Phys.</w:t>
      </w:r>
      <w:r>
        <w:t xml:space="preserve"> </w:t>
      </w:r>
      <w:r>
        <w:rPr>
          <w:b/>
          <w:bCs/>
        </w:rPr>
        <w:t>16</w:t>
      </w:r>
      <w:r>
        <w:t>, 12477–12493 (2016).</w:t>
      </w:r>
    </w:p>
    <w:p w14:paraId="3CCC06E5" w14:textId="77777777" w:rsidR="007D17FB" w:rsidRDefault="007D17FB" w:rsidP="007D17FB">
      <w:pPr>
        <w:pStyle w:val="Bibliography"/>
      </w:pPr>
      <w:r>
        <w:t xml:space="preserve">38. </w:t>
      </w:r>
      <w:r>
        <w:tab/>
        <w:t xml:space="preserve">C. M. Spivakovsky, </w:t>
      </w:r>
      <w:r>
        <w:rPr>
          <w:i/>
          <w:iCs/>
        </w:rPr>
        <w:t>et al.</w:t>
      </w:r>
      <w:r>
        <w:t xml:space="preserve">, Three-dimensional climatological distribution of tropospheric OH: Update and evaluation. </w:t>
      </w:r>
      <w:r>
        <w:rPr>
          <w:i/>
          <w:iCs/>
        </w:rPr>
        <w:t>J. Geophys. Res. Atmospheres</w:t>
      </w:r>
      <w:r>
        <w:t xml:space="preserve"> </w:t>
      </w:r>
      <w:r>
        <w:rPr>
          <w:b/>
          <w:bCs/>
        </w:rPr>
        <w:t>105</w:t>
      </w:r>
      <w:r>
        <w:t>, 8931–8980 (2000).</w:t>
      </w:r>
    </w:p>
    <w:p w14:paraId="7A315116" w14:textId="77777777" w:rsidR="007D17FB" w:rsidRDefault="007D17FB" w:rsidP="007D17FB">
      <w:pPr>
        <w:pStyle w:val="Bibliography"/>
      </w:pPr>
      <w:r>
        <w:t xml:space="preserve">39. </w:t>
      </w:r>
      <w:r>
        <w:tab/>
        <w:t xml:space="preserve">C. D. Holmes, M. J. Prather, O. A. Søvde, G. Myhre, Future methane, hydroxyl, and their uncertainties: key climate and emission parameters for future predictions. </w:t>
      </w:r>
      <w:r>
        <w:rPr>
          <w:i/>
          <w:iCs/>
        </w:rPr>
        <w:t>Atmospheric Chem. Phys.</w:t>
      </w:r>
      <w:r>
        <w:t xml:space="preserve"> </w:t>
      </w:r>
      <w:r>
        <w:rPr>
          <w:b/>
          <w:bCs/>
        </w:rPr>
        <w:t>13</w:t>
      </w:r>
      <w:r>
        <w:t>, 285–302 (2013).</w:t>
      </w:r>
    </w:p>
    <w:p w14:paraId="5100A749" w14:textId="77777777" w:rsidR="007D17FB" w:rsidRDefault="007D17FB" w:rsidP="007D17FB">
      <w:pPr>
        <w:pStyle w:val="Bibliography"/>
      </w:pPr>
      <w:r>
        <w:lastRenderedPageBreak/>
        <w:t xml:space="preserve">40. </w:t>
      </w:r>
      <w:r>
        <w:tab/>
        <w:t xml:space="preserve">F. Rohrer, H. Berresheim, Strong correlation between levels of tropospheric hydroxyl radicals and solar ultraviolet radiation. </w:t>
      </w:r>
      <w:r>
        <w:rPr>
          <w:i/>
          <w:iCs/>
        </w:rPr>
        <w:t>Nature</w:t>
      </w:r>
      <w:r>
        <w:t xml:space="preserve"> </w:t>
      </w:r>
      <w:r>
        <w:rPr>
          <w:b/>
          <w:bCs/>
        </w:rPr>
        <w:t>442</w:t>
      </w:r>
      <w:r>
        <w:t>, 184–187 (2006).</w:t>
      </w:r>
    </w:p>
    <w:p w14:paraId="211E83BF" w14:textId="77777777" w:rsidR="007D17FB" w:rsidRDefault="007D17FB" w:rsidP="007D17FB">
      <w:pPr>
        <w:pStyle w:val="Bibliography"/>
      </w:pPr>
      <w:r>
        <w:t xml:space="preserve">41. </w:t>
      </w:r>
      <w:r>
        <w:tab/>
        <w:t xml:space="preserve">Y. Wang, D. J. Jacob, Anthropogenic forcing on tropospheric ozone and OH since preindustrial times. </w:t>
      </w:r>
      <w:r>
        <w:rPr>
          <w:i/>
          <w:iCs/>
        </w:rPr>
        <w:t>J. Geophys. Res. Atmospheres</w:t>
      </w:r>
      <w:r>
        <w:t xml:space="preserve"> </w:t>
      </w:r>
      <w:r>
        <w:rPr>
          <w:b/>
          <w:bCs/>
        </w:rPr>
        <w:t>103</w:t>
      </w:r>
      <w:r>
        <w:t>, 31123–31135 (1998).</w:t>
      </w:r>
    </w:p>
    <w:p w14:paraId="2AB10344" w14:textId="77777777" w:rsidR="007D17FB" w:rsidRDefault="007D17FB" w:rsidP="007D17FB">
      <w:pPr>
        <w:pStyle w:val="Bibliography"/>
      </w:pPr>
      <w:r>
        <w:t xml:space="preserve">42. </w:t>
      </w:r>
      <w:r>
        <w:tab/>
        <w:t xml:space="preserve">L. T. Murray, </w:t>
      </w:r>
      <w:r>
        <w:rPr>
          <w:i/>
          <w:iCs/>
        </w:rPr>
        <w:t>et al.</w:t>
      </w:r>
      <w:r>
        <w:t xml:space="preserve">, Factors controlling variability in the oxidative capacity of the troposphere since the Last Glacial Maximum. </w:t>
      </w:r>
      <w:r>
        <w:rPr>
          <w:i/>
          <w:iCs/>
        </w:rPr>
        <w:t>Atmospheric Chem. Phys.</w:t>
      </w:r>
      <w:r>
        <w:t xml:space="preserve"> </w:t>
      </w:r>
      <w:r>
        <w:rPr>
          <w:b/>
          <w:bCs/>
        </w:rPr>
        <w:t>14</w:t>
      </w:r>
      <w:r>
        <w:t>, 3589–3622 (2014).</w:t>
      </w:r>
    </w:p>
    <w:p w14:paraId="63D7091D" w14:textId="77777777" w:rsidR="007D17FB" w:rsidRDefault="007D17FB" w:rsidP="007D17FB">
      <w:pPr>
        <w:pStyle w:val="Bibliography"/>
      </w:pPr>
      <w:r>
        <w:t xml:space="preserve">43. </w:t>
      </w:r>
      <w:r>
        <w:tab/>
        <w:t xml:space="preserve">Q. Zhu, J. L. Laughner, R. C. Cohen, Combining Machine Learning and Satellite Observations to Predict Spatial and Temporal Variation of near Surface OH in North American Cities. </w:t>
      </w:r>
      <w:r>
        <w:rPr>
          <w:i/>
          <w:iCs/>
        </w:rPr>
        <w:t>Environ. Sci. Technol.</w:t>
      </w:r>
      <w:r>
        <w:t xml:space="preserve"> </w:t>
      </w:r>
      <w:r>
        <w:rPr>
          <w:b/>
          <w:bCs/>
        </w:rPr>
        <w:t>56</w:t>
      </w:r>
      <w:r>
        <w:t>, 7362–7371 (2022).</w:t>
      </w:r>
    </w:p>
    <w:p w14:paraId="4B858D54" w14:textId="77777777" w:rsidR="007D17FB" w:rsidRDefault="007D17FB" w:rsidP="007D17FB">
      <w:pPr>
        <w:pStyle w:val="Bibliography"/>
      </w:pPr>
      <w:r>
        <w:t xml:space="preserve">44. </w:t>
      </w:r>
      <w:r>
        <w:tab/>
        <w:t xml:space="preserve">M. A. Pimlott, </w:t>
      </w:r>
      <w:r>
        <w:rPr>
          <w:i/>
          <w:iCs/>
        </w:rPr>
        <w:t>et al.</w:t>
      </w:r>
      <w:r>
        <w:t xml:space="preserve">, Investigating the global OH radical distribution using steady-state approximations and satellite data. </w:t>
      </w:r>
      <w:r>
        <w:rPr>
          <w:i/>
          <w:iCs/>
        </w:rPr>
        <w:t>Atmospheric Chem. Phys.</w:t>
      </w:r>
      <w:r>
        <w:t xml:space="preserve"> </w:t>
      </w:r>
      <w:r>
        <w:rPr>
          <w:b/>
          <w:bCs/>
        </w:rPr>
        <w:t>22</w:t>
      </w:r>
      <w:r>
        <w:t>, 10467–10488 (2022).</w:t>
      </w:r>
    </w:p>
    <w:p w14:paraId="5D8BA9A7" w14:textId="77777777" w:rsidR="007D17FB" w:rsidRDefault="007D17FB" w:rsidP="007D17FB">
      <w:pPr>
        <w:pStyle w:val="Bibliography"/>
      </w:pPr>
      <w:r>
        <w:t xml:space="preserve">45. </w:t>
      </w:r>
      <w:r>
        <w:tab/>
        <w:t xml:space="preserve">H. M. Allen, </w:t>
      </w:r>
      <w:r>
        <w:rPr>
          <w:i/>
          <w:iCs/>
        </w:rPr>
        <w:t>et al.</w:t>
      </w:r>
      <w:r>
        <w:t xml:space="preserve">, H2O2 and CH3OOH (MHP) in the Remote Atmosphere: 2. Physical and Chemical Controls. </w:t>
      </w:r>
      <w:r>
        <w:rPr>
          <w:i/>
          <w:iCs/>
        </w:rPr>
        <w:t>J. Geophys. Res. Atmospheres</w:t>
      </w:r>
      <w:r>
        <w:t xml:space="preserve"> </w:t>
      </w:r>
      <w:r>
        <w:rPr>
          <w:b/>
          <w:bCs/>
        </w:rPr>
        <w:t>127</w:t>
      </w:r>
      <w:r>
        <w:t>, e2021JD035702 (2022).</w:t>
      </w:r>
    </w:p>
    <w:p w14:paraId="51F85936" w14:textId="77777777" w:rsidR="007D17FB" w:rsidRDefault="007D17FB" w:rsidP="007D17FB">
      <w:pPr>
        <w:pStyle w:val="Bibliography"/>
      </w:pPr>
      <w:r>
        <w:t xml:space="preserve">46. </w:t>
      </w:r>
      <w:r>
        <w:tab/>
        <w:t xml:space="preserve">D. J. Cooper, Estimation of hydroxyl radical concentrations in the marine atmospheric boundary layer using a reactive atmospheric tracer. </w:t>
      </w:r>
      <w:r>
        <w:rPr>
          <w:i/>
          <w:iCs/>
        </w:rPr>
        <w:t>J. Atmospheric Chem.</w:t>
      </w:r>
      <w:r>
        <w:t xml:space="preserve"> </w:t>
      </w:r>
      <w:r>
        <w:rPr>
          <w:b/>
          <w:bCs/>
        </w:rPr>
        <w:t>25</w:t>
      </w:r>
      <w:r>
        <w:t>, 97–113 (1996).</w:t>
      </w:r>
    </w:p>
    <w:p w14:paraId="3F835BE3" w14:textId="77777777" w:rsidR="007D17FB" w:rsidRDefault="007D17FB" w:rsidP="007D17FB">
      <w:pPr>
        <w:pStyle w:val="Bibliography"/>
      </w:pPr>
      <w:r>
        <w:t xml:space="preserve">47. </w:t>
      </w:r>
      <w:r>
        <w:tab/>
        <w:t xml:space="preserve">A. S. Mahajan, </w:t>
      </w:r>
      <w:r>
        <w:rPr>
          <w:i/>
          <w:iCs/>
        </w:rPr>
        <w:t>et al.</w:t>
      </w:r>
      <w:r>
        <w:t xml:space="preserve">, Measurement and modelling of tropospheric reactive halogen species over the tropical Atlantic Ocean. </w:t>
      </w:r>
      <w:r>
        <w:rPr>
          <w:i/>
          <w:iCs/>
        </w:rPr>
        <w:t>Atmospheric Chem. Phys.</w:t>
      </w:r>
      <w:r>
        <w:t xml:space="preserve"> </w:t>
      </w:r>
      <w:r>
        <w:rPr>
          <w:b/>
          <w:bCs/>
        </w:rPr>
        <w:t>10</w:t>
      </w:r>
      <w:r>
        <w:t>, 4611–4624 (2010).</w:t>
      </w:r>
    </w:p>
    <w:p w14:paraId="2D68E331" w14:textId="77777777" w:rsidR="007D17FB" w:rsidRDefault="007D17FB" w:rsidP="007D17FB">
      <w:pPr>
        <w:pStyle w:val="Bibliography"/>
      </w:pPr>
      <w:r>
        <w:t xml:space="preserve">48. </w:t>
      </w:r>
      <w:r>
        <w:tab/>
        <w:t xml:space="preserve">A. Badia, </w:t>
      </w:r>
      <w:r>
        <w:rPr>
          <w:i/>
          <w:iCs/>
        </w:rPr>
        <w:t>et al.</w:t>
      </w:r>
      <w:r>
        <w:t xml:space="preserve">, Importance of reactive halogens in the tropical marine atmosphere: a regional modelling study using WRF-Chem. </w:t>
      </w:r>
      <w:r>
        <w:rPr>
          <w:i/>
          <w:iCs/>
        </w:rPr>
        <w:t>Atmospheric Chem. Phys.</w:t>
      </w:r>
      <w:r>
        <w:t xml:space="preserve"> </w:t>
      </w:r>
      <w:r>
        <w:rPr>
          <w:b/>
          <w:bCs/>
        </w:rPr>
        <w:t>19</w:t>
      </w:r>
      <w:r>
        <w:t>, 3161–3189 (2019).</w:t>
      </w:r>
    </w:p>
    <w:p w14:paraId="2BE08C78" w14:textId="77777777" w:rsidR="007D17FB" w:rsidRDefault="007D17FB" w:rsidP="007D17FB">
      <w:pPr>
        <w:pStyle w:val="Bibliography"/>
      </w:pPr>
      <w:r>
        <w:t xml:space="preserve">49. </w:t>
      </w:r>
      <w:r>
        <w:tab/>
        <w:t xml:space="preserve">B. Tian, </w:t>
      </w:r>
      <w:r>
        <w:rPr>
          <w:i/>
          <w:iCs/>
        </w:rPr>
        <w:t>et al.</w:t>
      </w:r>
      <w:r>
        <w:t xml:space="preserve">, Evaluating CMIP5 models using AIRS tropospheric air temperature and specific humidity climatology. </w:t>
      </w:r>
      <w:r>
        <w:rPr>
          <w:i/>
          <w:iCs/>
        </w:rPr>
        <w:t>J. Geophys. Res. Atmospheres</w:t>
      </w:r>
      <w:r>
        <w:t xml:space="preserve"> </w:t>
      </w:r>
      <w:r>
        <w:rPr>
          <w:b/>
          <w:bCs/>
        </w:rPr>
        <w:t>118</w:t>
      </w:r>
      <w:r>
        <w:t>, 114–134 (2013).</w:t>
      </w:r>
    </w:p>
    <w:p w14:paraId="60799DE0" w14:textId="77777777" w:rsidR="007D17FB" w:rsidRDefault="007D17FB" w:rsidP="007D17FB">
      <w:pPr>
        <w:pStyle w:val="Bibliography"/>
      </w:pPr>
      <w:r>
        <w:t xml:space="preserve">50. </w:t>
      </w:r>
      <w:r>
        <w:tab/>
        <w:t xml:space="preserve">J. H. Jiang, </w:t>
      </w:r>
      <w:r>
        <w:rPr>
          <w:i/>
          <w:iCs/>
        </w:rPr>
        <w:t>et al.</w:t>
      </w:r>
      <w:r>
        <w:t xml:space="preserve">, Evaluation of cloud and water vapor simulations in CMIP5 climate models using NASA “A-Train” satellite observations. </w:t>
      </w:r>
      <w:r>
        <w:rPr>
          <w:i/>
          <w:iCs/>
        </w:rPr>
        <w:t>J. Geophys. Res. Atmospheres</w:t>
      </w:r>
      <w:r>
        <w:t xml:space="preserve"> </w:t>
      </w:r>
      <w:r>
        <w:rPr>
          <w:b/>
          <w:bCs/>
        </w:rPr>
        <w:t>117</w:t>
      </w:r>
      <w:r>
        <w:t xml:space="preserve"> (2012).</w:t>
      </w:r>
    </w:p>
    <w:p w14:paraId="34AA82C0" w14:textId="77777777" w:rsidR="007D17FB" w:rsidRDefault="007D17FB" w:rsidP="007D17FB">
      <w:pPr>
        <w:pStyle w:val="Bibliography"/>
      </w:pPr>
      <w:r>
        <w:t xml:space="preserve">51. </w:t>
      </w:r>
      <w:r>
        <w:tab/>
        <w:t>IPCC, Climate Change 2013: The Physical Science Basis. Contribution of Working Group I to the Fifth Assessment Report of the Intergovernmental Panel on Climate Change (2013).</w:t>
      </w:r>
    </w:p>
    <w:p w14:paraId="0C66DA91" w14:textId="77777777" w:rsidR="007D17FB" w:rsidRDefault="007D17FB" w:rsidP="007D17FB">
      <w:pPr>
        <w:pStyle w:val="Bibliography"/>
      </w:pPr>
      <w:r>
        <w:t xml:space="preserve">52. </w:t>
      </w:r>
      <w:r>
        <w:tab/>
        <w:t xml:space="preserve">V. O. John, B. J. Soden, Temperature and humidity biases in global climate models and their impact on climate feedbacks. </w:t>
      </w:r>
      <w:r>
        <w:rPr>
          <w:i/>
          <w:iCs/>
        </w:rPr>
        <w:t>Geophys. Res. Lett.</w:t>
      </w:r>
      <w:r>
        <w:t xml:space="preserve"> </w:t>
      </w:r>
      <w:r>
        <w:rPr>
          <w:b/>
          <w:bCs/>
        </w:rPr>
        <w:t>34</w:t>
      </w:r>
      <w:r>
        <w:t xml:space="preserve"> (2007).</w:t>
      </w:r>
    </w:p>
    <w:p w14:paraId="60DBA5D8" w14:textId="77777777" w:rsidR="007D17FB" w:rsidRDefault="007D17FB" w:rsidP="007D17FB">
      <w:pPr>
        <w:pStyle w:val="Bibliography"/>
      </w:pPr>
      <w:r>
        <w:t xml:space="preserve">53. </w:t>
      </w:r>
      <w:r>
        <w:tab/>
        <w:t xml:space="preserve">H. Su, </w:t>
      </w:r>
      <w:r>
        <w:rPr>
          <w:i/>
          <w:iCs/>
        </w:rPr>
        <w:t>et al.</w:t>
      </w:r>
      <w:r>
        <w:t xml:space="preserve">, Relationships of upper tropospheric water vapor, clouds and SST: MLS observations, ECMWF analyses and GCM simulations. </w:t>
      </w:r>
      <w:r>
        <w:rPr>
          <w:i/>
          <w:iCs/>
        </w:rPr>
        <w:t>Geophys. Res. Lett.</w:t>
      </w:r>
      <w:r>
        <w:t xml:space="preserve"> </w:t>
      </w:r>
      <w:r>
        <w:rPr>
          <w:b/>
          <w:bCs/>
        </w:rPr>
        <w:t>33</w:t>
      </w:r>
      <w:r>
        <w:t xml:space="preserve"> (2006).</w:t>
      </w:r>
    </w:p>
    <w:p w14:paraId="65764002" w14:textId="77777777" w:rsidR="007D17FB" w:rsidRDefault="007D17FB" w:rsidP="007D17FB">
      <w:pPr>
        <w:pStyle w:val="Bibliography"/>
      </w:pPr>
      <w:r>
        <w:lastRenderedPageBreak/>
        <w:t xml:space="preserve">54. </w:t>
      </w:r>
      <w:r>
        <w:tab/>
        <w:t xml:space="preserve">R. D. Cess, </w:t>
      </w:r>
      <w:r>
        <w:rPr>
          <w:i/>
          <w:iCs/>
        </w:rPr>
        <w:t>et al.</w:t>
      </w:r>
      <w:r>
        <w:t xml:space="preserve">, Cloud feedback in atmospheric general circulation models: An update. </w:t>
      </w:r>
      <w:r>
        <w:rPr>
          <w:i/>
          <w:iCs/>
        </w:rPr>
        <w:t>J. Geophys. Res. Atmospheres</w:t>
      </w:r>
      <w:r>
        <w:t xml:space="preserve"> </w:t>
      </w:r>
      <w:r>
        <w:rPr>
          <w:b/>
          <w:bCs/>
        </w:rPr>
        <w:t>101</w:t>
      </w:r>
      <w:r>
        <w:t>, 12791–12794 (1996).</w:t>
      </w:r>
    </w:p>
    <w:p w14:paraId="04828630" w14:textId="77777777" w:rsidR="007D17FB" w:rsidRDefault="007D17FB" w:rsidP="007D17FB">
      <w:pPr>
        <w:pStyle w:val="Bibliography"/>
      </w:pPr>
      <w:r>
        <w:t xml:space="preserve">55. </w:t>
      </w:r>
      <w:r>
        <w:tab/>
        <w:t xml:space="preserve">B. J. Soden, I. M. Held, An Assessment of Climate Feedbacks in Coupled Ocean–Atmosphere Models. </w:t>
      </w:r>
      <w:r>
        <w:rPr>
          <w:i/>
          <w:iCs/>
        </w:rPr>
        <w:t>J. Clim.</w:t>
      </w:r>
      <w:r>
        <w:t xml:space="preserve"> </w:t>
      </w:r>
      <w:r>
        <w:rPr>
          <w:b/>
          <w:bCs/>
        </w:rPr>
        <w:t>19</w:t>
      </w:r>
      <w:r>
        <w:t>, 3354–3360 (2006).</w:t>
      </w:r>
    </w:p>
    <w:p w14:paraId="1E62A3C6" w14:textId="77777777" w:rsidR="007D17FB" w:rsidRDefault="007D17FB" w:rsidP="007D17FB">
      <w:pPr>
        <w:pStyle w:val="Bibliography"/>
      </w:pPr>
      <w:r>
        <w:t xml:space="preserve">56. </w:t>
      </w:r>
      <w:r>
        <w:tab/>
        <w:t xml:space="preserve">K. Riahi, </w:t>
      </w:r>
      <w:r>
        <w:rPr>
          <w:i/>
          <w:iCs/>
        </w:rPr>
        <w:t>et al.</w:t>
      </w:r>
      <w:r>
        <w:t xml:space="preserve">, RCP 8.5—A scenario of comparatively high greenhouse gas emissions. </w:t>
      </w:r>
      <w:r>
        <w:rPr>
          <w:i/>
          <w:iCs/>
        </w:rPr>
        <w:t>Clim. Change</w:t>
      </w:r>
      <w:r>
        <w:t xml:space="preserve"> </w:t>
      </w:r>
      <w:r>
        <w:rPr>
          <w:b/>
          <w:bCs/>
        </w:rPr>
        <w:t>109</w:t>
      </w:r>
      <w:r>
        <w:t>, 33–57 (2011).</w:t>
      </w:r>
    </w:p>
    <w:p w14:paraId="4931AF95" w14:textId="77777777" w:rsidR="007D17FB" w:rsidRDefault="007D17FB" w:rsidP="007D17FB">
      <w:pPr>
        <w:pStyle w:val="Bibliography"/>
      </w:pPr>
      <w:r>
        <w:t xml:space="preserve">57. </w:t>
      </w:r>
      <w:r>
        <w:tab/>
        <w:t xml:space="preserve">S. Naus, </w:t>
      </w:r>
      <w:r>
        <w:rPr>
          <w:i/>
          <w:iCs/>
        </w:rPr>
        <w:t>et al.</w:t>
      </w:r>
      <w:r>
        <w:t xml:space="preserve">, Constraints and biases in a tropospheric two-box model of OH. </w:t>
      </w:r>
      <w:r>
        <w:rPr>
          <w:i/>
          <w:iCs/>
        </w:rPr>
        <w:t>Atmospheric Chem. Phys.</w:t>
      </w:r>
      <w:r>
        <w:t xml:space="preserve"> </w:t>
      </w:r>
      <w:r>
        <w:rPr>
          <w:b/>
          <w:bCs/>
        </w:rPr>
        <w:t>19</w:t>
      </w:r>
      <w:r>
        <w:t>, 407–424 (2019).</w:t>
      </w:r>
    </w:p>
    <w:p w14:paraId="1229BA01" w14:textId="77777777" w:rsidR="007D17FB" w:rsidRDefault="007D17FB" w:rsidP="007D17FB">
      <w:pPr>
        <w:pStyle w:val="Bibliography"/>
      </w:pPr>
      <w:r>
        <w:t xml:space="preserve">58. </w:t>
      </w:r>
      <w:r>
        <w:tab/>
        <w:t xml:space="preserve">R. R. Buchholz, </w:t>
      </w:r>
      <w:r>
        <w:rPr>
          <w:i/>
          <w:iCs/>
        </w:rPr>
        <w:t>et al.</w:t>
      </w:r>
      <w:r>
        <w:t xml:space="preserve">, Links Between Carbon Monoxide and Climate Indices for the Southern Hemisphere and Tropical Fire Regions. </w:t>
      </w:r>
      <w:r>
        <w:rPr>
          <w:i/>
          <w:iCs/>
        </w:rPr>
        <w:t>J. Geophys. Res. Atmospheres</w:t>
      </w:r>
      <w:r>
        <w:t xml:space="preserve"> </w:t>
      </w:r>
      <w:r>
        <w:rPr>
          <w:b/>
          <w:bCs/>
        </w:rPr>
        <w:t>123</w:t>
      </w:r>
      <w:r>
        <w:t>, 9786–9800 (2018).</w:t>
      </w:r>
    </w:p>
    <w:p w14:paraId="65D167CA" w14:textId="77777777" w:rsidR="007D17FB" w:rsidRDefault="007D17FB" w:rsidP="007D17FB">
      <w:pPr>
        <w:pStyle w:val="Bibliography"/>
      </w:pPr>
      <w:r>
        <w:t xml:space="preserve">59. </w:t>
      </w:r>
      <w:r>
        <w:tab/>
        <w:t xml:space="preserve">A. B. Thames, </w:t>
      </w:r>
      <w:r>
        <w:rPr>
          <w:i/>
          <w:iCs/>
        </w:rPr>
        <w:t>et al.</w:t>
      </w:r>
      <w:r>
        <w:t xml:space="preserve">, Missing OH reactivity in the global marine boundary layer. </w:t>
      </w:r>
      <w:r>
        <w:rPr>
          <w:i/>
          <w:iCs/>
        </w:rPr>
        <w:t>Atmospheric Chem. Phys.</w:t>
      </w:r>
      <w:r>
        <w:t xml:space="preserve"> </w:t>
      </w:r>
      <w:r>
        <w:rPr>
          <w:b/>
          <w:bCs/>
        </w:rPr>
        <w:t>20</w:t>
      </w:r>
      <w:r>
        <w:t>, 4013–4029 (2020).</w:t>
      </w:r>
    </w:p>
    <w:p w14:paraId="2D87AFC3" w14:textId="77777777" w:rsidR="007D17FB" w:rsidRDefault="007D17FB" w:rsidP="007D17FB">
      <w:pPr>
        <w:pStyle w:val="Bibliography"/>
      </w:pPr>
      <w:r>
        <w:t xml:space="preserve">60. </w:t>
      </w:r>
      <w:r>
        <w:tab/>
        <w:t xml:space="preserve">K. R. Travis, </w:t>
      </w:r>
      <w:r>
        <w:rPr>
          <w:i/>
          <w:iCs/>
        </w:rPr>
        <w:t>et al.</w:t>
      </w:r>
      <w:r>
        <w:t xml:space="preserve">, Constraining remote oxidation capacity with ATom observations. </w:t>
      </w:r>
      <w:r>
        <w:rPr>
          <w:i/>
          <w:iCs/>
        </w:rPr>
        <w:t>Atmospheric Chem. Phys.</w:t>
      </w:r>
      <w:r>
        <w:t xml:space="preserve"> </w:t>
      </w:r>
      <w:r>
        <w:rPr>
          <w:b/>
          <w:bCs/>
        </w:rPr>
        <w:t>20</w:t>
      </w:r>
      <w:r>
        <w:t>, 7753–7781 (2020).</w:t>
      </w:r>
    </w:p>
    <w:p w14:paraId="496E9D96" w14:textId="77777777" w:rsidR="007D17FB" w:rsidRDefault="007D17FB" w:rsidP="007D17FB">
      <w:pPr>
        <w:pStyle w:val="Bibliography"/>
      </w:pPr>
      <w:r>
        <w:t xml:space="preserve">61. </w:t>
      </w:r>
      <w:r>
        <w:tab/>
        <w:t xml:space="preserve">R. F. Silvern, </w:t>
      </w:r>
      <w:r>
        <w:rPr>
          <w:i/>
          <w:iCs/>
        </w:rPr>
        <w:t>et al.</w:t>
      </w:r>
      <w:r>
        <w:t xml:space="preserve">, Observed NO/NO2 Ratios in the Upper Troposphere Imply Errors in NO-NO2-O3 Cycling Kinetics or an Unaccounted NOx Reservoir. </w:t>
      </w:r>
      <w:r>
        <w:rPr>
          <w:i/>
          <w:iCs/>
        </w:rPr>
        <w:t>Geophys. Res. Lett.</w:t>
      </w:r>
      <w:r>
        <w:t xml:space="preserve"> </w:t>
      </w:r>
      <w:r>
        <w:rPr>
          <w:b/>
          <w:bCs/>
        </w:rPr>
        <w:t>45</w:t>
      </w:r>
      <w:r>
        <w:t>, 4466–4474 (2018).</w:t>
      </w:r>
    </w:p>
    <w:p w14:paraId="33A063DA" w14:textId="77777777" w:rsidR="007D17FB" w:rsidRDefault="007D17FB" w:rsidP="007D17FB">
      <w:pPr>
        <w:pStyle w:val="Bibliography"/>
      </w:pPr>
      <w:r>
        <w:t xml:space="preserve">62. </w:t>
      </w:r>
      <w:r>
        <w:tab/>
        <w:t xml:space="preserve">A. J. Turner, C. Frankenberg, E. A. Kort, Interpreting contemporary trends in atmospheric methane. </w:t>
      </w:r>
      <w:r>
        <w:rPr>
          <w:i/>
          <w:iCs/>
        </w:rPr>
        <w:t>Proc. Natl. Acad. Sci.</w:t>
      </w:r>
      <w:r>
        <w:t xml:space="preserve"> </w:t>
      </w:r>
      <w:r>
        <w:rPr>
          <w:b/>
          <w:bCs/>
        </w:rPr>
        <w:t>116</w:t>
      </w:r>
      <w:r>
        <w:t>, 2805–2813 (2019).</w:t>
      </w:r>
    </w:p>
    <w:p w14:paraId="2B236C4D" w14:textId="77777777" w:rsidR="007D17FB" w:rsidRDefault="007D17FB" w:rsidP="007D17FB">
      <w:pPr>
        <w:pStyle w:val="Bibliography"/>
      </w:pPr>
      <w:r>
        <w:t xml:space="preserve">63. </w:t>
      </w:r>
      <w:r>
        <w:tab/>
        <w:t xml:space="preserve">C. L. Parkinson, Aqua: an Earth-Observing Satellite mission to examine water and other climate variables. </w:t>
      </w:r>
      <w:r>
        <w:rPr>
          <w:i/>
          <w:iCs/>
        </w:rPr>
        <w:t>IEEE Trans. Geosci. Remote Sens.</w:t>
      </w:r>
      <w:r>
        <w:t xml:space="preserve"> </w:t>
      </w:r>
      <w:r>
        <w:rPr>
          <w:b/>
          <w:bCs/>
        </w:rPr>
        <w:t>41</w:t>
      </w:r>
      <w:r>
        <w:t>, 173–183 (2003).</w:t>
      </w:r>
    </w:p>
    <w:p w14:paraId="08FE921A" w14:textId="77777777" w:rsidR="007D17FB" w:rsidRDefault="007D17FB" w:rsidP="007D17FB">
      <w:pPr>
        <w:pStyle w:val="Bibliography"/>
      </w:pPr>
      <w:r>
        <w:t xml:space="preserve">64. </w:t>
      </w:r>
      <w:r>
        <w:tab/>
        <w:t xml:space="preserve">L. N. Lamsal, </w:t>
      </w:r>
      <w:r>
        <w:rPr>
          <w:i/>
          <w:iCs/>
        </w:rPr>
        <w:t>et al.</w:t>
      </w:r>
      <w:r>
        <w:t xml:space="preserve">, Indirect validation of tropospheric nitrogen dioxide retrieved from the OMI satellite instrument: Insight into the seasonal variation of nitrogen oxides at northern midlatitudes. </w:t>
      </w:r>
      <w:r>
        <w:rPr>
          <w:i/>
          <w:iCs/>
        </w:rPr>
        <w:t>J. Geophys. Res. Atmospheres</w:t>
      </w:r>
      <w:r>
        <w:t xml:space="preserve"> </w:t>
      </w:r>
      <w:r>
        <w:rPr>
          <w:b/>
          <w:bCs/>
        </w:rPr>
        <w:t>115</w:t>
      </w:r>
      <w:r>
        <w:t xml:space="preserve"> (2010).</w:t>
      </w:r>
    </w:p>
    <w:p w14:paraId="2937B7E7" w14:textId="77777777" w:rsidR="007D17FB" w:rsidRDefault="007D17FB" w:rsidP="007D17FB">
      <w:pPr>
        <w:pStyle w:val="Bibliography"/>
      </w:pPr>
      <w:r>
        <w:t xml:space="preserve">65. </w:t>
      </w:r>
      <w:r>
        <w:tab/>
        <w:t xml:space="preserve">B. N. Duncan, </w:t>
      </w:r>
      <w:r>
        <w:rPr>
          <w:i/>
          <w:iCs/>
        </w:rPr>
        <w:t>et al.</w:t>
      </w:r>
      <w:r>
        <w:t xml:space="preserve">, A space-based, high-resolution view of notable changes in urban NOx pollution around the world (2005–2014). </w:t>
      </w:r>
      <w:r>
        <w:rPr>
          <w:i/>
          <w:iCs/>
        </w:rPr>
        <w:t>J. Geophys. Res. Atmospheres</w:t>
      </w:r>
      <w:r>
        <w:t xml:space="preserve"> </w:t>
      </w:r>
      <w:r>
        <w:rPr>
          <w:b/>
          <w:bCs/>
        </w:rPr>
        <w:t>121</w:t>
      </w:r>
      <w:r>
        <w:t>, 976–996 (2016).</w:t>
      </w:r>
    </w:p>
    <w:p w14:paraId="5996E532" w14:textId="77777777" w:rsidR="007D17FB" w:rsidRDefault="007D17FB" w:rsidP="007D17FB">
      <w:pPr>
        <w:pStyle w:val="Bibliography"/>
      </w:pPr>
      <w:r>
        <w:t xml:space="preserve">66. </w:t>
      </w:r>
      <w:r>
        <w:tab/>
        <w:t xml:space="preserve">A. Lorente, </w:t>
      </w:r>
      <w:r>
        <w:rPr>
          <w:i/>
          <w:iCs/>
        </w:rPr>
        <w:t>et al.</w:t>
      </w:r>
      <w:r>
        <w:t xml:space="preserve">, Quantification of nitrogen oxides emissions from build-up of pollution over Paris with TROPOMI. </w:t>
      </w:r>
      <w:r>
        <w:rPr>
          <w:i/>
          <w:iCs/>
        </w:rPr>
        <w:t>Sci. Rep.</w:t>
      </w:r>
      <w:r>
        <w:t xml:space="preserve"> </w:t>
      </w:r>
      <w:r>
        <w:rPr>
          <w:b/>
          <w:bCs/>
        </w:rPr>
        <w:t>9</w:t>
      </w:r>
      <w:r>
        <w:t>, 20033 (2019).</w:t>
      </w:r>
    </w:p>
    <w:p w14:paraId="0CE3858F" w14:textId="77777777" w:rsidR="007D17FB" w:rsidRDefault="007D17FB" w:rsidP="007D17FB">
      <w:pPr>
        <w:pStyle w:val="Bibliography"/>
      </w:pPr>
      <w:r>
        <w:t xml:space="preserve">67. </w:t>
      </w:r>
      <w:r>
        <w:tab/>
        <w:t xml:space="preserve">J. Ducker, C. D. Holmes, S. Kato, Using Satellite-Derived Photolysis Rates (SatJ) to Evaluate Constraints on Atmospheric Oxidants Based on Photolysis Mechanisms in Chemistry Models. </w:t>
      </w:r>
      <w:r>
        <w:rPr>
          <w:i/>
          <w:iCs/>
        </w:rPr>
        <w:t>Am. Geophys. Union Fall Meet. 2020 Abstr. A086-0011</w:t>
      </w:r>
      <w:r>
        <w:t xml:space="preserve"> (2020).</w:t>
      </w:r>
    </w:p>
    <w:p w14:paraId="0F8782FD" w14:textId="77777777" w:rsidR="007D17FB" w:rsidRDefault="007D17FB" w:rsidP="007D17FB">
      <w:pPr>
        <w:pStyle w:val="Bibliography"/>
      </w:pPr>
      <w:r>
        <w:lastRenderedPageBreak/>
        <w:t xml:space="preserve">68. </w:t>
      </w:r>
      <w:r>
        <w:tab/>
        <w:t xml:space="preserve">M. J. Prather, C. D. Holmes, J. Hsu, Reactive greenhouse gas scenarios: Systematic exploration of uncertainties and the role of atmospheric chemistry. </w:t>
      </w:r>
      <w:r>
        <w:rPr>
          <w:i/>
          <w:iCs/>
        </w:rPr>
        <w:t>Geophys. Res. Lett.</w:t>
      </w:r>
      <w:r>
        <w:t xml:space="preserve"> </w:t>
      </w:r>
      <w:r>
        <w:rPr>
          <w:b/>
          <w:bCs/>
        </w:rPr>
        <w:t>39</w:t>
      </w:r>
      <w:r>
        <w:t xml:space="preserve"> (2012).</w:t>
      </w:r>
    </w:p>
    <w:p w14:paraId="5CB8D4B0" w14:textId="77777777" w:rsidR="007D17FB" w:rsidRDefault="007D17FB" w:rsidP="007D17FB">
      <w:pPr>
        <w:pStyle w:val="Bibliography"/>
      </w:pPr>
      <w:r>
        <w:t xml:space="preserve">69. </w:t>
      </w:r>
      <w:r>
        <w:tab/>
        <w:t xml:space="preserve">D. C. Anderson, </w:t>
      </w:r>
      <w:r>
        <w:rPr>
          <w:i/>
          <w:iCs/>
        </w:rPr>
        <w:t>et al.</w:t>
      </w:r>
      <w:r>
        <w:t xml:space="preserve">, Spatial and temporal variability in the hydroxyl (OH) radical: understanding the role of large-scale climate features and their influence on OH through its dynamical and photochemical drivers. </w:t>
      </w:r>
      <w:r>
        <w:rPr>
          <w:i/>
          <w:iCs/>
        </w:rPr>
        <w:t>Atmospheric Chem. Phys.</w:t>
      </w:r>
      <w:r>
        <w:t xml:space="preserve"> </w:t>
      </w:r>
      <w:r>
        <w:rPr>
          <w:b/>
          <w:bCs/>
        </w:rPr>
        <w:t>21</w:t>
      </w:r>
      <w:r>
        <w:t>, 6481–6508 (2021).</w:t>
      </w:r>
    </w:p>
    <w:p w14:paraId="39C4474B" w14:textId="77777777" w:rsidR="007D17FB" w:rsidRDefault="007D17FB" w:rsidP="007D17FB">
      <w:pPr>
        <w:pStyle w:val="Bibliography"/>
      </w:pPr>
      <w:r>
        <w:t xml:space="preserve">70. </w:t>
      </w:r>
      <w:r>
        <w:tab/>
        <w:t xml:space="preserve">W. H. Brune, </w:t>
      </w:r>
      <w:r>
        <w:rPr>
          <w:i/>
          <w:iCs/>
        </w:rPr>
        <w:t>et al.</w:t>
      </w:r>
      <w:r>
        <w:t xml:space="preserve">, Extreme oxidant amounts produced by lightning in storm clouds. </w:t>
      </w:r>
      <w:r>
        <w:rPr>
          <w:i/>
          <w:iCs/>
        </w:rPr>
        <w:t>Science</w:t>
      </w:r>
      <w:r>
        <w:t xml:space="preserve"> </w:t>
      </w:r>
      <w:r>
        <w:rPr>
          <w:b/>
          <w:bCs/>
        </w:rPr>
        <w:t>372</w:t>
      </w:r>
      <w:r>
        <w:t>, 711–715 (2021).</w:t>
      </w:r>
    </w:p>
    <w:p w14:paraId="39EFDC8B" w14:textId="77777777" w:rsidR="007D17FB" w:rsidRDefault="007D17FB" w:rsidP="007D17FB">
      <w:pPr>
        <w:pStyle w:val="Bibliography"/>
      </w:pPr>
      <w:r>
        <w:t xml:space="preserve">71. </w:t>
      </w:r>
      <w:r>
        <w:tab/>
        <w:t xml:space="preserve">J. Mao, </w:t>
      </w:r>
      <w:r>
        <w:rPr>
          <w:i/>
          <w:iCs/>
        </w:rPr>
        <w:t>et al.</w:t>
      </w:r>
      <w:r>
        <w:t xml:space="preserve">, Global Impact of Lightning-Produced Oxidants. </w:t>
      </w:r>
      <w:r>
        <w:rPr>
          <w:i/>
          <w:iCs/>
        </w:rPr>
        <w:t>Geophys. Res. Lett.</w:t>
      </w:r>
      <w:r>
        <w:t xml:space="preserve"> </w:t>
      </w:r>
      <w:r>
        <w:rPr>
          <w:b/>
          <w:bCs/>
        </w:rPr>
        <w:t>48</w:t>
      </w:r>
      <w:r>
        <w:t>, e2021GL095740 (2021).</w:t>
      </w:r>
    </w:p>
    <w:p w14:paraId="41EC813C" w14:textId="77777777" w:rsidR="007D17FB" w:rsidRDefault="007D17FB" w:rsidP="007D17FB">
      <w:pPr>
        <w:pStyle w:val="Bibliography"/>
      </w:pPr>
      <w:r>
        <w:t xml:space="preserve">72. </w:t>
      </w:r>
      <w:r>
        <w:tab/>
        <w:t>W. H. Brune, D. O. MILLER, A. B. THAMES, ATom: L2 Measurements from Airborne Tropospheric Hydrogen Oxides Sensor (ATHOS). 3.347654000000002 MB (2019).</w:t>
      </w:r>
    </w:p>
    <w:p w14:paraId="2926B23D" w14:textId="77777777" w:rsidR="007D17FB" w:rsidRDefault="007D17FB" w:rsidP="007D17FB">
      <w:pPr>
        <w:pStyle w:val="Bibliography"/>
      </w:pPr>
      <w:r>
        <w:t xml:space="preserve">73. </w:t>
      </w:r>
      <w:r>
        <w:tab/>
        <w:t xml:space="preserve">I. C. Faloona, </w:t>
      </w:r>
      <w:r>
        <w:rPr>
          <w:i/>
          <w:iCs/>
        </w:rPr>
        <w:t>et al.</w:t>
      </w:r>
      <w:r>
        <w:t>, A Laser-induced Fluorescence Instrument for Detecting Tropospheric OH and HO</w:t>
      </w:r>
      <w:r>
        <w:rPr>
          <w:vertAlign w:val="subscript"/>
        </w:rPr>
        <w:t>2</w:t>
      </w:r>
      <w:r>
        <w:t xml:space="preserve">: Characteristics and Calibration. </w:t>
      </w:r>
      <w:r>
        <w:rPr>
          <w:i/>
          <w:iCs/>
        </w:rPr>
        <w:t>J. Atmospheric Chem.</w:t>
      </w:r>
      <w:r>
        <w:t xml:space="preserve"> </w:t>
      </w:r>
      <w:r>
        <w:rPr>
          <w:b/>
          <w:bCs/>
        </w:rPr>
        <w:t>47</w:t>
      </w:r>
      <w:r>
        <w:t>, 139–167 (2004).</w:t>
      </w:r>
    </w:p>
    <w:p w14:paraId="4C90A706" w14:textId="77777777" w:rsidR="007D17FB" w:rsidRDefault="007D17FB" w:rsidP="007D17FB">
      <w:pPr>
        <w:pStyle w:val="Bibliography"/>
      </w:pPr>
      <w:r>
        <w:t xml:space="preserve">74. </w:t>
      </w:r>
      <w:r>
        <w:tab/>
        <w:t>S. R. Hall, K. Ullmann, ATom: L2 Photolysis Frequencies from NCAR CCD Actinic Flux Spectroradiometers (CAFS). 353.986781 MB (2019).</w:t>
      </w:r>
    </w:p>
    <w:p w14:paraId="64647B5A" w14:textId="77777777" w:rsidR="007D17FB" w:rsidRDefault="007D17FB" w:rsidP="007D17FB">
      <w:pPr>
        <w:pStyle w:val="Bibliography"/>
      </w:pPr>
      <w:r>
        <w:t xml:space="preserve">75. </w:t>
      </w:r>
      <w:r>
        <w:tab/>
        <w:t xml:space="preserve">R. E. Shetter, M. Müller, Photolysis frequency measurements using actinic flux spectroradiometry during the PEM-Tropics mission: Instrumentation description and some results. </w:t>
      </w:r>
      <w:r>
        <w:rPr>
          <w:i/>
          <w:iCs/>
        </w:rPr>
        <w:t>J. Geophys. Res. Atmospheres</w:t>
      </w:r>
      <w:r>
        <w:t xml:space="preserve"> </w:t>
      </w:r>
      <w:r>
        <w:rPr>
          <w:b/>
          <w:bCs/>
        </w:rPr>
        <w:t>104</w:t>
      </w:r>
      <w:r>
        <w:t>, 5647–5661 (1999).</w:t>
      </w:r>
    </w:p>
    <w:p w14:paraId="7DDD144B" w14:textId="77777777" w:rsidR="007D17FB" w:rsidRDefault="007D17FB" w:rsidP="007D17FB">
      <w:pPr>
        <w:pStyle w:val="Bibliography"/>
      </w:pPr>
      <w:r>
        <w:t xml:space="preserve">76. </w:t>
      </w:r>
      <w:r>
        <w:tab/>
        <w:t>T. B. Ryerson, C. R. Thompson, J. Peischl, I. Bourgeois, ATom: L2 In Situ Measurements from NOAA Nitrogen Oxides and Ozone (NOyO3) Instrument. 159.75663899999984 MB (2019).</w:t>
      </w:r>
    </w:p>
    <w:p w14:paraId="256070F7" w14:textId="77777777" w:rsidR="007D17FB" w:rsidRDefault="007D17FB" w:rsidP="007D17FB">
      <w:pPr>
        <w:pStyle w:val="Bibliography"/>
      </w:pPr>
      <w:r>
        <w:t xml:space="preserve">77. </w:t>
      </w:r>
      <w:r>
        <w:tab/>
        <w:t xml:space="preserve">I. Bourgeois, </w:t>
      </w:r>
      <w:r>
        <w:rPr>
          <w:i/>
          <w:iCs/>
        </w:rPr>
        <w:t>et al.</w:t>
      </w:r>
      <w:r>
        <w:t xml:space="preserve">, Global-scale distribution of ozone in the remote troposphere from the ATom and HIPPO airborne field missions. </w:t>
      </w:r>
      <w:r>
        <w:rPr>
          <w:i/>
          <w:iCs/>
        </w:rPr>
        <w:t>Atmospheric Chem. Phys.</w:t>
      </w:r>
      <w:r>
        <w:t xml:space="preserve"> </w:t>
      </w:r>
      <w:r>
        <w:rPr>
          <w:b/>
          <w:bCs/>
        </w:rPr>
        <w:t>20</w:t>
      </w:r>
      <w:r>
        <w:t>, 10611–10635 (2020).</w:t>
      </w:r>
    </w:p>
    <w:p w14:paraId="7FDA86F9" w14:textId="77777777" w:rsidR="007D17FB" w:rsidRDefault="007D17FB" w:rsidP="007D17FB">
      <w:pPr>
        <w:pStyle w:val="Bibliography"/>
      </w:pPr>
      <w:r>
        <w:t xml:space="preserve">78. </w:t>
      </w:r>
      <w:r>
        <w:tab/>
        <w:t>I. B. Pollack, B. M. Lerner, T. B. Ryerson, Evaluation of ultraviolet light-emitting diodes for detection of atmospheric NO</w:t>
      </w:r>
      <w:r>
        <w:rPr>
          <w:vertAlign w:val="subscript"/>
        </w:rPr>
        <w:t>2</w:t>
      </w:r>
      <w:r>
        <w:t xml:space="preserve"> by photolysis - chemiluminescence. </w:t>
      </w:r>
      <w:r>
        <w:rPr>
          <w:i/>
          <w:iCs/>
        </w:rPr>
        <w:t>J. Atmospheric Chem.</w:t>
      </w:r>
      <w:r>
        <w:t xml:space="preserve"> </w:t>
      </w:r>
      <w:r>
        <w:rPr>
          <w:b/>
          <w:bCs/>
        </w:rPr>
        <w:t>65</w:t>
      </w:r>
      <w:r>
        <w:t>, 111–125 (2010).</w:t>
      </w:r>
    </w:p>
    <w:p w14:paraId="7D78F717" w14:textId="77777777" w:rsidR="007D17FB" w:rsidRDefault="007D17FB" w:rsidP="007D17FB">
      <w:pPr>
        <w:pStyle w:val="Bibliography"/>
      </w:pPr>
      <w:r>
        <w:t xml:space="preserve">79. </w:t>
      </w:r>
      <w:r>
        <w:tab/>
        <w:t>T. B. Ryerson, E. J. Williams, F. C. Fehsenfeld, An efficient photolysis system for fast-response NO</w:t>
      </w:r>
      <w:r>
        <w:rPr>
          <w:vertAlign w:val="subscript"/>
        </w:rPr>
        <w:t>2</w:t>
      </w:r>
      <w:r>
        <w:t xml:space="preserve"> measurements. </w:t>
      </w:r>
      <w:r>
        <w:rPr>
          <w:i/>
          <w:iCs/>
        </w:rPr>
        <w:t>J. Geophys. Res. Atmospheres</w:t>
      </w:r>
      <w:r>
        <w:t xml:space="preserve"> </w:t>
      </w:r>
      <w:r>
        <w:rPr>
          <w:b/>
          <w:bCs/>
        </w:rPr>
        <w:t>105</w:t>
      </w:r>
      <w:r>
        <w:t>, 26447–26461 (2000).</w:t>
      </w:r>
    </w:p>
    <w:p w14:paraId="24AC1848" w14:textId="77777777" w:rsidR="007D17FB" w:rsidRDefault="007D17FB" w:rsidP="007D17FB">
      <w:pPr>
        <w:pStyle w:val="Bibliography"/>
      </w:pPr>
      <w:r>
        <w:t xml:space="preserve">80. </w:t>
      </w:r>
      <w:r>
        <w:tab/>
        <w:t xml:space="preserve">G. S. Diskin, J. P. Digangi, ATom: L2 In Situ Atmospheric Water Vapor from the Diode Laser Hygrometer (DLH). </w:t>
      </w:r>
      <w:r>
        <w:rPr>
          <w:i/>
          <w:iCs/>
        </w:rPr>
        <w:t>ORNL DAAC</w:t>
      </w:r>
      <w:r>
        <w:t xml:space="preserve"> (2019) https:/doi.org/10.3334/ORNLDAAC/1710 (July 9, 2021).</w:t>
      </w:r>
    </w:p>
    <w:p w14:paraId="792C3D6C" w14:textId="77777777" w:rsidR="007D17FB" w:rsidRDefault="007D17FB" w:rsidP="007D17FB">
      <w:pPr>
        <w:pStyle w:val="Bibliography"/>
      </w:pPr>
      <w:r>
        <w:lastRenderedPageBreak/>
        <w:t xml:space="preserve">81. </w:t>
      </w:r>
      <w:r>
        <w:tab/>
        <w:t xml:space="preserve">G. S. Diskin, J. R. Podolske, G. W. Sachse, T. A. Slate, Open-path airborne tunable diode laser hygrometer in </w:t>
      </w:r>
      <w:r>
        <w:rPr>
          <w:i/>
          <w:iCs/>
        </w:rPr>
        <w:t>Diode Lasers and Applications in Atmospheric Sensing</w:t>
      </w:r>
      <w:r>
        <w:t>, (International Society for Optics and Photonics, 2002), pp. 196–204.</w:t>
      </w:r>
    </w:p>
    <w:p w14:paraId="313D4C13" w14:textId="77777777" w:rsidR="007D17FB" w:rsidRDefault="007D17FB" w:rsidP="007D17FB">
      <w:pPr>
        <w:pStyle w:val="Bibliography"/>
      </w:pPr>
      <w:r>
        <w:t xml:space="preserve">82. </w:t>
      </w:r>
      <w:r>
        <w:tab/>
        <w:t xml:space="preserve">R. Commane, </w:t>
      </w:r>
      <w:r>
        <w:rPr>
          <w:i/>
          <w:iCs/>
        </w:rPr>
        <w:t>et al.</w:t>
      </w:r>
      <w:r>
        <w:t>, Atmospheric Tomography Mission (ATom)ATom: Measurements from the Quantum Cascade Laser System (QCLS). 50.313635000000005 MB (2020).</w:t>
      </w:r>
    </w:p>
    <w:p w14:paraId="179C47DA" w14:textId="77777777" w:rsidR="007D17FB" w:rsidRDefault="007D17FB" w:rsidP="007D17FB">
      <w:pPr>
        <w:pStyle w:val="Bibliography"/>
      </w:pPr>
      <w:r>
        <w:t xml:space="preserve">83. </w:t>
      </w:r>
      <w:r>
        <w:tab/>
        <w:t xml:space="preserve">R. Jimenez, </w:t>
      </w:r>
      <w:r>
        <w:rPr>
          <w:i/>
          <w:iCs/>
        </w:rPr>
        <w:t>et al.</w:t>
      </w:r>
      <w:r>
        <w:t xml:space="preserve">, Atmospheric trace gas measurements using a dual quantum-cascade laser mid-infrared absorption spectrometer in </w:t>
      </w:r>
      <w:r>
        <w:rPr>
          <w:i/>
          <w:iCs/>
        </w:rPr>
        <w:t>Novel In-Plane Semiconductor Lasers IV</w:t>
      </w:r>
      <w:r>
        <w:t>, (International Society for Optics and Photonics, 2005), pp. 318–331.</w:t>
      </w:r>
    </w:p>
    <w:p w14:paraId="617D2C97" w14:textId="77777777" w:rsidR="007D17FB" w:rsidRDefault="007D17FB" w:rsidP="007D17FB">
      <w:pPr>
        <w:pStyle w:val="Bibliography"/>
      </w:pPr>
      <w:r>
        <w:t xml:space="preserve">84. </w:t>
      </w:r>
      <w:r>
        <w:tab/>
        <w:t xml:space="preserve">J. B. McManus, </w:t>
      </w:r>
      <w:r>
        <w:rPr>
          <w:i/>
          <w:iCs/>
        </w:rPr>
        <w:t>et al.</w:t>
      </w:r>
      <w:r>
        <w:t xml:space="preserve">, A high precision pulsed quantum cascade laser spectrometer for measurements of stable isotopes of carbon dioxide. </w:t>
      </w:r>
      <w:r>
        <w:rPr>
          <w:i/>
          <w:iCs/>
        </w:rPr>
        <w:t>J. Mod. Opt.</w:t>
      </w:r>
      <w:r>
        <w:t xml:space="preserve"> </w:t>
      </w:r>
      <w:r>
        <w:rPr>
          <w:b/>
          <w:bCs/>
        </w:rPr>
        <w:t>52</w:t>
      </w:r>
      <w:r>
        <w:t>, 2309–2321 (2005).</w:t>
      </w:r>
    </w:p>
    <w:p w14:paraId="1A24981D" w14:textId="77777777" w:rsidR="007D17FB" w:rsidRDefault="007D17FB" w:rsidP="007D17FB">
      <w:pPr>
        <w:pStyle w:val="Bibliography"/>
      </w:pPr>
      <w:r>
        <w:t xml:space="preserve">85. </w:t>
      </w:r>
      <w:r>
        <w:tab/>
        <w:t xml:space="preserve">K. R. Chan, S. G. Scott, T. P. Bui, S. W. Bowen, J. Day, Temperature and horizontal wind measurements on the ER-2 aircraft during the 1987 Airborne Antarctic Ozone Experiment. </w:t>
      </w:r>
      <w:r>
        <w:rPr>
          <w:i/>
          <w:iCs/>
        </w:rPr>
        <w:t>J. Geophys. Res. Atmospheres</w:t>
      </w:r>
      <w:r>
        <w:t xml:space="preserve"> </w:t>
      </w:r>
      <w:r>
        <w:rPr>
          <w:b/>
          <w:bCs/>
        </w:rPr>
        <w:t>94</w:t>
      </w:r>
      <w:r>
        <w:t>, 11573–11587 (1989).</w:t>
      </w:r>
    </w:p>
    <w:p w14:paraId="08EC62A9" w14:textId="77777777" w:rsidR="007D17FB" w:rsidRDefault="007D17FB" w:rsidP="007D17FB">
      <w:pPr>
        <w:pStyle w:val="Bibliography"/>
      </w:pPr>
      <w:r>
        <w:t xml:space="preserve">86. </w:t>
      </w:r>
      <w:r>
        <w:tab/>
        <w:t xml:space="preserve">S. E. Gaines, S. W. Bowen, R. S. Hipskind, T. P. Bui, K. R. Chan, Comparisons of the NASA ER-2 Meteorological Measurement System with Radar Tracking and Radiosonde Data. </w:t>
      </w:r>
      <w:r>
        <w:rPr>
          <w:i/>
          <w:iCs/>
        </w:rPr>
        <w:t>J. Atmospheric Ocean. Technol.</w:t>
      </w:r>
      <w:r>
        <w:t xml:space="preserve"> </w:t>
      </w:r>
      <w:r>
        <w:rPr>
          <w:b/>
          <w:bCs/>
        </w:rPr>
        <w:t>9</w:t>
      </w:r>
      <w:r>
        <w:t>, 210–225 (1992).</w:t>
      </w:r>
    </w:p>
    <w:p w14:paraId="6F91A3DD" w14:textId="77777777" w:rsidR="007D17FB" w:rsidRDefault="007D17FB" w:rsidP="007D17FB">
      <w:pPr>
        <w:pStyle w:val="Bibliography"/>
      </w:pPr>
      <w:r>
        <w:t xml:space="preserve">87. </w:t>
      </w:r>
      <w:r>
        <w:tab/>
        <w:t xml:space="preserve">S. G. Scott, T. P. Bui, K. R. Chan, S. W. Bowen, The Meteorological Measurement System on the NASA ER-2 Aircraft. </w:t>
      </w:r>
      <w:r>
        <w:rPr>
          <w:i/>
          <w:iCs/>
        </w:rPr>
        <w:t>J. Atmospheric Ocean. Technol.</w:t>
      </w:r>
      <w:r>
        <w:t xml:space="preserve"> </w:t>
      </w:r>
      <w:r>
        <w:rPr>
          <w:b/>
          <w:bCs/>
        </w:rPr>
        <w:t>7</w:t>
      </w:r>
      <w:r>
        <w:t>, 525–540 (1990).</w:t>
      </w:r>
    </w:p>
    <w:p w14:paraId="41485783" w14:textId="77777777" w:rsidR="007D17FB" w:rsidRDefault="007D17FB" w:rsidP="007D17FB">
      <w:pPr>
        <w:pStyle w:val="Bibliography"/>
      </w:pPr>
      <w:r>
        <w:t xml:space="preserve">88. </w:t>
      </w:r>
      <w:r>
        <w:tab/>
        <w:t>S. C. Wofsy, ATom Science Team, ATom: Aircraft Flight Track and Navigational Data (2018) https:/doi.org/10.3334/ORNLDAAC/1613.</w:t>
      </w:r>
    </w:p>
    <w:p w14:paraId="0F520ABE" w14:textId="77777777" w:rsidR="007D17FB" w:rsidRDefault="007D17FB" w:rsidP="007D17FB">
      <w:pPr>
        <w:pStyle w:val="Bibliography"/>
      </w:pPr>
      <w:r>
        <w:t xml:space="preserve">89. </w:t>
      </w:r>
      <w:r>
        <w:tab/>
        <w:t xml:space="preserve">M. E. Jenkin, J. C. Young, A. R. Rickard, The MCM v3.3.1 degradation scheme for isoprene. </w:t>
      </w:r>
      <w:r>
        <w:rPr>
          <w:i/>
          <w:iCs/>
        </w:rPr>
        <w:t>Atmospheric Chem. Phys.</w:t>
      </w:r>
      <w:r>
        <w:t xml:space="preserve"> </w:t>
      </w:r>
      <w:r>
        <w:rPr>
          <w:b/>
          <w:bCs/>
        </w:rPr>
        <w:t>15</w:t>
      </w:r>
      <w:r>
        <w:t>, 11433–11459 (2015).</w:t>
      </w:r>
    </w:p>
    <w:p w14:paraId="5972DFCE" w14:textId="77777777" w:rsidR="007D17FB" w:rsidRDefault="007D17FB" w:rsidP="007D17FB">
      <w:pPr>
        <w:pStyle w:val="Bibliography"/>
      </w:pPr>
      <w:r>
        <w:t xml:space="preserve">90. </w:t>
      </w:r>
      <w:r>
        <w:tab/>
        <w:t xml:space="preserve">J. M. Nicely, </w:t>
      </w:r>
      <w:r>
        <w:rPr>
          <w:i/>
          <w:iCs/>
        </w:rPr>
        <w:t>et al.</w:t>
      </w:r>
      <w:r>
        <w:t xml:space="preserve">, An observationally constrained evaluation of the oxidative capacity in the tropical western Pacific troposphere. </w:t>
      </w:r>
      <w:r>
        <w:rPr>
          <w:i/>
          <w:iCs/>
        </w:rPr>
        <w:t>J. Geophys. Res. Atmospheres</w:t>
      </w:r>
      <w:r>
        <w:t xml:space="preserve"> </w:t>
      </w:r>
      <w:r>
        <w:rPr>
          <w:b/>
          <w:bCs/>
        </w:rPr>
        <w:t>121</w:t>
      </w:r>
      <w:r>
        <w:t>, 7461–7488 (2016).</w:t>
      </w:r>
    </w:p>
    <w:p w14:paraId="2700D84D" w14:textId="77777777" w:rsidR="007D17FB" w:rsidRDefault="007D17FB" w:rsidP="007D17FB">
      <w:pPr>
        <w:pStyle w:val="Bibliography"/>
      </w:pPr>
      <w:r>
        <w:t xml:space="preserve">91. </w:t>
      </w:r>
      <w:r>
        <w:tab/>
        <w:t xml:space="preserve">E. Assaf, </w:t>
      </w:r>
      <w:r>
        <w:rPr>
          <w:i/>
          <w:iCs/>
        </w:rPr>
        <w:t>et al.</w:t>
      </w:r>
      <w:r>
        <w:t xml:space="preserve">, The Reaction between CH3O2 and OH Radicals: Product Yields and Atmospheric Implications. </w:t>
      </w:r>
      <w:r>
        <w:rPr>
          <w:i/>
          <w:iCs/>
        </w:rPr>
        <w:t>Environ. Sci. Technol.</w:t>
      </w:r>
      <w:r>
        <w:t xml:space="preserve"> </w:t>
      </w:r>
      <w:r>
        <w:rPr>
          <w:b/>
          <w:bCs/>
        </w:rPr>
        <w:t>51</w:t>
      </w:r>
      <w:r>
        <w:t>, 2170–2177 (2017).</w:t>
      </w:r>
    </w:p>
    <w:p w14:paraId="6676BC1D" w14:textId="77777777" w:rsidR="007D17FB" w:rsidRDefault="007D17FB" w:rsidP="007D17FB">
      <w:pPr>
        <w:pStyle w:val="Bibliography"/>
      </w:pPr>
      <w:r>
        <w:t xml:space="preserve">92. </w:t>
      </w:r>
      <w:r>
        <w:tab/>
        <w:t xml:space="preserve">L. J. Donner, </w:t>
      </w:r>
      <w:r>
        <w:rPr>
          <w:i/>
          <w:iCs/>
        </w:rPr>
        <w:t>et al.</w:t>
      </w:r>
      <w:r>
        <w:t xml:space="preserve">, The Dynamical Core, Physical Parameterizations, and Basic Simulation Characteristics of the Atmospheric Component AM3 of the GFDL Global Coupled Model CM3. </w:t>
      </w:r>
      <w:r>
        <w:rPr>
          <w:i/>
          <w:iCs/>
        </w:rPr>
        <w:t>J. Clim.</w:t>
      </w:r>
      <w:r>
        <w:t xml:space="preserve"> </w:t>
      </w:r>
      <w:r>
        <w:rPr>
          <w:b/>
          <w:bCs/>
        </w:rPr>
        <w:t>24</w:t>
      </w:r>
      <w:r>
        <w:t>, 3484–3519 (2011).</w:t>
      </w:r>
    </w:p>
    <w:p w14:paraId="741BA2F0" w14:textId="77777777" w:rsidR="007D17FB" w:rsidRDefault="007D17FB" w:rsidP="007D17FB">
      <w:pPr>
        <w:pStyle w:val="Bibliography"/>
      </w:pPr>
      <w:r>
        <w:t xml:space="preserve">93. </w:t>
      </w:r>
      <w:r>
        <w:tab/>
        <w:t xml:space="preserve">J. Mao, </w:t>
      </w:r>
      <w:r>
        <w:rPr>
          <w:i/>
          <w:iCs/>
        </w:rPr>
        <w:t>et al.</w:t>
      </w:r>
      <w:r>
        <w:t xml:space="preserve">, Sensitivity of tropospheric oxidants to biomass burning emissions: implications for radiative forcing: BIOMASS BURNING ON OXIDANTS AND FORCING. </w:t>
      </w:r>
      <w:r>
        <w:rPr>
          <w:i/>
          <w:iCs/>
        </w:rPr>
        <w:t>Geophys. Res. Lett.</w:t>
      </w:r>
      <w:r>
        <w:t xml:space="preserve"> </w:t>
      </w:r>
      <w:r>
        <w:rPr>
          <w:b/>
          <w:bCs/>
        </w:rPr>
        <w:t>40</w:t>
      </w:r>
      <w:r>
        <w:t>, 1241–1246 (2013).</w:t>
      </w:r>
    </w:p>
    <w:p w14:paraId="6346BB6F" w14:textId="77777777" w:rsidR="007D17FB" w:rsidRDefault="007D17FB" w:rsidP="007D17FB">
      <w:pPr>
        <w:pStyle w:val="Bibliography"/>
      </w:pPr>
      <w:r>
        <w:t xml:space="preserve">94. </w:t>
      </w:r>
      <w:r>
        <w:tab/>
        <w:t xml:space="preserve">C. B. Baublitz, </w:t>
      </w:r>
      <w:r>
        <w:rPr>
          <w:i/>
          <w:iCs/>
        </w:rPr>
        <w:t>et al.</w:t>
      </w:r>
      <w:r>
        <w:t xml:space="preserve">, Sensitivity of Tropospheric Ozone Over the Southeast USA to Dry Deposition. </w:t>
      </w:r>
      <w:r>
        <w:rPr>
          <w:i/>
          <w:iCs/>
        </w:rPr>
        <w:t>Geophys. Res. Lett.</w:t>
      </w:r>
      <w:r>
        <w:t xml:space="preserve"> </w:t>
      </w:r>
      <w:r>
        <w:rPr>
          <w:b/>
          <w:bCs/>
        </w:rPr>
        <w:t>47</w:t>
      </w:r>
      <w:r>
        <w:t>, e2020GL087158 (2020).</w:t>
      </w:r>
    </w:p>
    <w:p w14:paraId="2B91810B" w14:textId="77777777" w:rsidR="007D17FB" w:rsidRDefault="007D17FB" w:rsidP="007D17FB">
      <w:pPr>
        <w:pStyle w:val="Bibliography"/>
      </w:pPr>
      <w:r>
        <w:lastRenderedPageBreak/>
        <w:t xml:space="preserve">95. </w:t>
      </w:r>
      <w:r>
        <w:tab/>
        <w:t xml:space="preserve">D. M. Westervelt, A. M. Fiore, C. B. Baublitz, G. Correa, Impact of regional Northern Hemisphere mid-latitude anthropogenic sulfur dioxide emissions on local and remote tropospheric oxidants. </w:t>
      </w:r>
      <w:r>
        <w:rPr>
          <w:i/>
          <w:iCs/>
        </w:rPr>
        <w:t>Atmospheric Chem. Phys.</w:t>
      </w:r>
      <w:r>
        <w:t xml:space="preserve"> </w:t>
      </w:r>
      <w:r>
        <w:rPr>
          <w:b/>
          <w:bCs/>
        </w:rPr>
        <w:t>21</w:t>
      </w:r>
      <w:r>
        <w:t>, 6799–6810 (2021).</w:t>
      </w:r>
    </w:p>
    <w:p w14:paraId="0810562C" w14:textId="77777777" w:rsidR="007D17FB" w:rsidRDefault="007D17FB" w:rsidP="007D17FB">
      <w:pPr>
        <w:pStyle w:val="Bibliography"/>
      </w:pPr>
      <w:r>
        <w:t xml:space="preserve">96. </w:t>
      </w:r>
      <w:r>
        <w:tab/>
        <w:t xml:space="preserve">I. Bourgeois, </w:t>
      </w:r>
      <w:r>
        <w:rPr>
          <w:i/>
          <w:iCs/>
        </w:rPr>
        <w:t>et al.</w:t>
      </w:r>
      <w:r>
        <w:t xml:space="preserve">, Large contribution of biomass burning emissions to ozone throughout the global remote troposphere. </w:t>
      </w:r>
      <w:r>
        <w:rPr>
          <w:i/>
          <w:iCs/>
        </w:rPr>
        <w:t>Proc. Natl. Acad. Sci.</w:t>
      </w:r>
      <w:r>
        <w:t xml:space="preserve"> </w:t>
      </w:r>
      <w:r>
        <w:rPr>
          <w:b/>
          <w:bCs/>
        </w:rPr>
        <w:t>118</w:t>
      </w:r>
      <w:r>
        <w:t xml:space="preserve"> (2021).</w:t>
      </w:r>
    </w:p>
    <w:p w14:paraId="75C67AEC" w14:textId="77777777" w:rsidR="007D17FB" w:rsidRDefault="007D17FB" w:rsidP="007D17FB">
      <w:pPr>
        <w:pStyle w:val="Bibliography"/>
      </w:pPr>
      <w:r>
        <w:t xml:space="preserve">97. </w:t>
      </w:r>
      <w:r>
        <w:tab/>
        <w:t xml:space="preserve">M. Lin, </w:t>
      </w:r>
      <w:r>
        <w:rPr>
          <w:i/>
          <w:iCs/>
        </w:rPr>
        <w:t>et al.</w:t>
      </w:r>
      <w:r>
        <w:t xml:space="preserve">, Springtime high surface ozone events over the western United States: Quantifying the role of stratospheric intrusions: STRATOSPHERIC IMPACTS ON U.S. SURFACE O </w:t>
      </w:r>
      <w:r>
        <w:rPr>
          <w:vertAlign w:val="subscript"/>
        </w:rPr>
        <w:t>3</w:t>
      </w:r>
      <w:r>
        <w:t xml:space="preserve">. </w:t>
      </w:r>
      <w:r>
        <w:rPr>
          <w:i/>
          <w:iCs/>
        </w:rPr>
        <w:t>J. Geophys. Res. Atmospheres</w:t>
      </w:r>
      <w:r>
        <w:t xml:space="preserve"> </w:t>
      </w:r>
      <w:r>
        <w:rPr>
          <w:b/>
          <w:bCs/>
        </w:rPr>
        <w:t>117</w:t>
      </w:r>
      <w:r>
        <w:t>, n/a-n/a (2012).</w:t>
      </w:r>
    </w:p>
    <w:p w14:paraId="5A669EA1" w14:textId="77777777" w:rsidR="007D17FB" w:rsidRDefault="007D17FB" w:rsidP="007D17FB">
      <w:pPr>
        <w:pStyle w:val="Bibliography"/>
      </w:pPr>
      <w:r>
        <w:t xml:space="preserve">98. </w:t>
      </w:r>
      <w:r>
        <w:tab/>
        <w:t xml:space="preserve">A. Guenther, </w:t>
      </w:r>
      <w:r>
        <w:rPr>
          <w:i/>
          <w:iCs/>
        </w:rPr>
        <w:t>et al.</w:t>
      </w:r>
      <w:r>
        <w:t xml:space="preserve">, Estimates of global terrestrial isoprene emissions using MEGAN (Model of Emissions of Gases and Aerosols from Nature). </w:t>
      </w:r>
      <w:r>
        <w:rPr>
          <w:i/>
          <w:iCs/>
        </w:rPr>
        <w:t>Atmos Chem Phys</w:t>
      </w:r>
      <w:r>
        <w:t>, 30 (2006).</w:t>
      </w:r>
    </w:p>
    <w:p w14:paraId="2DE059BC" w14:textId="77777777" w:rsidR="007D17FB" w:rsidRDefault="007D17FB" w:rsidP="007D17FB">
      <w:pPr>
        <w:pStyle w:val="Bibliography"/>
      </w:pPr>
      <w:r>
        <w:t xml:space="preserve">99. </w:t>
      </w:r>
      <w:r>
        <w:tab/>
        <w:t xml:space="preserve">D. J. Rasmussen, </w:t>
      </w:r>
      <w:r>
        <w:rPr>
          <w:i/>
          <w:iCs/>
        </w:rPr>
        <w:t>et al.</w:t>
      </w:r>
      <w:r>
        <w:t xml:space="preserve">, Surface ozone-temperature relationships in the eastern US: A monthly climatology for evaluating chemistry-climate models. </w:t>
      </w:r>
      <w:r>
        <w:rPr>
          <w:i/>
          <w:iCs/>
        </w:rPr>
        <w:t>Atmos. Environ.</w:t>
      </w:r>
      <w:r>
        <w:t xml:space="preserve"> </w:t>
      </w:r>
      <w:r>
        <w:rPr>
          <w:b/>
          <w:bCs/>
        </w:rPr>
        <w:t>47</w:t>
      </w:r>
      <w:r>
        <w:t>, 142–153 (2012).</w:t>
      </w:r>
    </w:p>
    <w:p w14:paraId="12DF5392" w14:textId="77777777" w:rsidR="007D17FB" w:rsidRDefault="007D17FB" w:rsidP="007D17FB">
      <w:pPr>
        <w:pStyle w:val="Bibliography"/>
      </w:pPr>
      <w:r>
        <w:t xml:space="preserve">100. </w:t>
      </w:r>
      <w:r>
        <w:tab/>
        <w:t xml:space="preserve">S. R. Hall, </w:t>
      </w:r>
      <w:r>
        <w:rPr>
          <w:i/>
          <w:iCs/>
        </w:rPr>
        <w:t>et al.</w:t>
      </w:r>
      <w:r>
        <w:t xml:space="preserve">, Cloud impacts on photochemistry: building a climatology of photolysis rates from the Atmospheric Tomography mission. </w:t>
      </w:r>
      <w:r>
        <w:rPr>
          <w:i/>
          <w:iCs/>
        </w:rPr>
        <w:t>Atmospheric Chem. Phys.</w:t>
      </w:r>
      <w:r>
        <w:t xml:space="preserve"> </w:t>
      </w:r>
      <w:r>
        <w:rPr>
          <w:b/>
          <w:bCs/>
        </w:rPr>
        <w:t>18</w:t>
      </w:r>
      <w:r>
        <w:t>, 16809–16828 (2018).</w:t>
      </w:r>
    </w:p>
    <w:p w14:paraId="1C95CC73" w14:textId="77777777" w:rsidR="007D17FB" w:rsidRDefault="007D17FB" w:rsidP="007D17FB">
      <w:pPr>
        <w:pStyle w:val="Bibliography"/>
      </w:pPr>
      <w:r>
        <w:t xml:space="preserve">101. </w:t>
      </w:r>
      <w:r>
        <w:tab/>
        <w:t xml:space="preserve">J. Kerckhoffs, </w:t>
      </w:r>
      <w:r>
        <w:rPr>
          <w:i/>
          <w:iCs/>
        </w:rPr>
        <w:t>et al.</w:t>
      </w:r>
      <w:r>
        <w:t xml:space="preserve">, Mixed-Effects Modeling Framework for Amsterdam and Copenhagen for Outdoor NO </w:t>
      </w:r>
      <w:r>
        <w:rPr>
          <w:vertAlign w:val="subscript"/>
        </w:rPr>
        <w:t>2</w:t>
      </w:r>
      <w:r>
        <w:t xml:space="preserve"> Concentrations Using Measurements Sampled with Google Street View Cars. </w:t>
      </w:r>
      <w:r>
        <w:rPr>
          <w:i/>
          <w:iCs/>
        </w:rPr>
        <w:t>Environ. Sci. Technol.</w:t>
      </w:r>
      <w:r>
        <w:t xml:space="preserve"> </w:t>
      </w:r>
      <w:r>
        <w:rPr>
          <w:b/>
          <w:bCs/>
        </w:rPr>
        <w:t>56</w:t>
      </w:r>
      <w:r>
        <w:t>, 7174–7184 (2022).</w:t>
      </w:r>
    </w:p>
    <w:p w14:paraId="39D12B66" w14:textId="77777777" w:rsidR="007D17FB" w:rsidRDefault="007D17FB" w:rsidP="007D17FB">
      <w:pPr>
        <w:pStyle w:val="Bibliography"/>
      </w:pPr>
      <w:r>
        <w:t xml:space="preserve">102. </w:t>
      </w:r>
      <w:r>
        <w:tab/>
        <w:t xml:space="preserve">W. Sun, </w:t>
      </w:r>
      <w:r>
        <w:rPr>
          <w:i/>
          <w:iCs/>
        </w:rPr>
        <w:t>et al.</w:t>
      </w:r>
      <w:r>
        <w:t xml:space="preserve">, Prediction of surface ozone episodes using clusters based generalized linear mixed effects models in Houston–Galveston–Brazoria area, Texas. </w:t>
      </w:r>
      <w:r>
        <w:rPr>
          <w:i/>
          <w:iCs/>
        </w:rPr>
        <w:t>Atmospheric Pollut. Res.</w:t>
      </w:r>
      <w:r>
        <w:t xml:space="preserve"> </w:t>
      </w:r>
      <w:r>
        <w:rPr>
          <w:b/>
          <w:bCs/>
        </w:rPr>
        <w:t>6</w:t>
      </w:r>
      <w:r>
        <w:t>, 245–253 (2015).</w:t>
      </w:r>
    </w:p>
    <w:p w14:paraId="287AB6CE" w14:textId="77777777" w:rsidR="007D17FB" w:rsidRDefault="007D17FB" w:rsidP="007D17FB">
      <w:pPr>
        <w:pStyle w:val="Bibliography"/>
      </w:pPr>
      <w:r>
        <w:t xml:space="preserve">103. </w:t>
      </w:r>
      <w:r>
        <w:tab/>
        <w:t xml:space="preserve">D. Lunn, D. Spiegelhalter, A. Thomas, N. Best, The BUGS project: Evolution, critique and future directions: THE BUGS PROJECT. </w:t>
      </w:r>
      <w:r>
        <w:rPr>
          <w:i/>
          <w:iCs/>
        </w:rPr>
        <w:t>Stat. Med.</w:t>
      </w:r>
      <w:r>
        <w:t xml:space="preserve"> </w:t>
      </w:r>
      <w:r>
        <w:rPr>
          <w:b/>
          <w:bCs/>
        </w:rPr>
        <w:t>28</w:t>
      </w:r>
      <w:r>
        <w:t>, 3049–3067 (2009).</w:t>
      </w:r>
    </w:p>
    <w:p w14:paraId="06C3D302" w14:textId="77777777" w:rsidR="007D17FB" w:rsidRDefault="007D17FB" w:rsidP="007D17FB">
      <w:pPr>
        <w:pStyle w:val="Bibliography"/>
      </w:pPr>
      <w:r>
        <w:t xml:space="preserve">104. </w:t>
      </w:r>
      <w:r>
        <w:tab/>
        <w:t xml:space="preserve">M. Plummer, N. Best, K. Cowles, K. Vines, CODA: convergence diagnosis and output analysis for MCMC. </w:t>
      </w:r>
      <w:r>
        <w:rPr>
          <w:i/>
          <w:iCs/>
        </w:rPr>
        <w:t>R News</w:t>
      </w:r>
      <w:r>
        <w:t xml:space="preserve"> </w:t>
      </w:r>
      <w:r>
        <w:rPr>
          <w:b/>
          <w:bCs/>
        </w:rPr>
        <w:t>6</w:t>
      </w:r>
      <w:r>
        <w:t>, 7–11 (2006).</w:t>
      </w:r>
    </w:p>
    <w:p w14:paraId="2182A2DC" w14:textId="77777777" w:rsidR="007D17FB" w:rsidRDefault="007D17FB" w:rsidP="007D17FB">
      <w:pPr>
        <w:pStyle w:val="Bibliography"/>
      </w:pPr>
      <w:r>
        <w:t xml:space="preserve">105. </w:t>
      </w:r>
      <w:r>
        <w:tab/>
        <w:t xml:space="preserve">M. J. Denwood, runjags: An R Package Providing Interface Utilities, Model Templates, Parallel Computing Methods and Additional Distributions for MCMC Models in JAGS. </w:t>
      </w:r>
      <w:r>
        <w:rPr>
          <w:i/>
          <w:iCs/>
        </w:rPr>
        <w:t>J. Stat. Softw.</w:t>
      </w:r>
      <w:r>
        <w:t xml:space="preserve"> </w:t>
      </w:r>
      <w:r>
        <w:rPr>
          <w:b/>
          <w:bCs/>
        </w:rPr>
        <w:t>71</w:t>
      </w:r>
      <w:r>
        <w:t>, 1–25 (2016).</w:t>
      </w:r>
    </w:p>
    <w:p w14:paraId="2BAE8F11" w14:textId="77777777" w:rsidR="007D17FB" w:rsidRDefault="007D17FB" w:rsidP="007D17FB">
      <w:pPr>
        <w:pStyle w:val="Bibliography"/>
      </w:pPr>
      <w:r>
        <w:t xml:space="preserve">106. </w:t>
      </w:r>
      <w:r>
        <w:tab/>
        <w:t xml:space="preserve">M. Kéry, </w:t>
      </w:r>
      <w:r>
        <w:rPr>
          <w:i/>
          <w:iCs/>
        </w:rPr>
        <w:t>Introduction to WinBUGS for ecologists: a Bayesian approach to regression, ANOVA, mixed models, and related analyses</w:t>
      </w:r>
      <w:r>
        <w:t>, First edition (Elsevier/Academic Press, 2010).</w:t>
      </w:r>
    </w:p>
    <w:p w14:paraId="62B33B0B" w14:textId="77777777" w:rsidR="007D17FB" w:rsidRDefault="007D17FB" w:rsidP="007D17FB">
      <w:pPr>
        <w:pStyle w:val="Bibliography"/>
      </w:pPr>
      <w:r>
        <w:t xml:space="preserve">107. </w:t>
      </w:r>
      <w:r>
        <w:tab/>
        <w:t xml:space="preserve">A. Gelman, D. B. Rubin, Inference from Iterative Simulation Using Multiple Sequences. </w:t>
      </w:r>
      <w:r>
        <w:rPr>
          <w:i/>
          <w:iCs/>
        </w:rPr>
        <w:t>Stat. Sci.</w:t>
      </w:r>
      <w:r>
        <w:t xml:space="preserve"> </w:t>
      </w:r>
      <w:r>
        <w:rPr>
          <w:b/>
          <w:bCs/>
        </w:rPr>
        <w:t>7</w:t>
      </w:r>
      <w:r>
        <w:t>, 457–472 (1992).</w:t>
      </w:r>
    </w:p>
    <w:p w14:paraId="55DFA5C0" w14:textId="4847C792" w:rsidR="00A54C07" w:rsidRDefault="00726C71" w:rsidP="00E6133D">
      <w:pPr>
        <w:keepNext/>
        <w:pBdr>
          <w:top w:val="nil"/>
          <w:left w:val="nil"/>
          <w:bottom w:val="nil"/>
          <w:right w:val="nil"/>
          <w:between w:val="nil"/>
        </w:pBdr>
        <w:spacing w:before="240" w:after="60"/>
        <w:contextualSpacing/>
        <w:jc w:val="both"/>
        <w:rPr>
          <w:rFonts w:ascii="Arial" w:hAnsi="Arial" w:cs="Arial"/>
          <w:color w:val="000000"/>
          <w:sz w:val="20"/>
          <w:szCs w:val="20"/>
        </w:rPr>
      </w:pPr>
      <w:r>
        <w:rPr>
          <w:rFonts w:ascii="Arial" w:hAnsi="Arial" w:cs="Arial"/>
          <w:color w:val="000000"/>
          <w:sz w:val="20"/>
          <w:szCs w:val="20"/>
        </w:rPr>
        <w:lastRenderedPageBreak/>
        <w:fldChar w:fldCharType="end"/>
      </w:r>
    </w:p>
    <w:p w14:paraId="5D1CD93E" w14:textId="7FE69408" w:rsidR="00980C22" w:rsidRPr="00980C22" w:rsidRDefault="00980C22" w:rsidP="00E6133D">
      <w:pPr>
        <w:keepNext/>
        <w:pBdr>
          <w:top w:val="nil"/>
          <w:left w:val="nil"/>
          <w:bottom w:val="nil"/>
          <w:right w:val="nil"/>
          <w:between w:val="nil"/>
        </w:pBdr>
        <w:spacing w:before="240" w:after="60"/>
        <w:contextualSpacing/>
        <w:jc w:val="both"/>
        <w:rPr>
          <w:rFonts w:ascii="Arial" w:hAnsi="Arial" w:cs="Arial"/>
          <w:b/>
          <w:color w:val="000000"/>
          <w:sz w:val="20"/>
          <w:szCs w:val="20"/>
        </w:rPr>
      </w:pPr>
      <w:r>
        <w:rPr>
          <w:rFonts w:ascii="Arial" w:hAnsi="Arial" w:cs="Arial"/>
          <w:b/>
          <w:color w:val="000000"/>
          <w:sz w:val="20"/>
          <w:szCs w:val="20"/>
        </w:rPr>
        <w:t xml:space="preserve">Figures </w:t>
      </w:r>
    </w:p>
    <w:p w14:paraId="289D0221" w14:textId="77777777" w:rsidR="00E6133D" w:rsidRPr="00F649EE" w:rsidRDefault="00E6133D"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11F70D40" w14:textId="55E764E6" w:rsidR="00780328" w:rsidRPr="00780328" w:rsidRDefault="00780328" w:rsidP="00780328">
      <w:pPr>
        <w:pBdr>
          <w:top w:val="nil"/>
          <w:left w:val="nil"/>
          <w:bottom w:val="nil"/>
          <w:right w:val="nil"/>
          <w:between w:val="nil"/>
        </w:pBdr>
        <w:contextualSpacing/>
        <w:rPr>
          <w:rFonts w:ascii="Arial" w:hAnsi="Arial" w:cs="Arial"/>
          <w:b/>
          <w:color w:val="000000"/>
          <w:sz w:val="20"/>
          <w:szCs w:val="20"/>
        </w:rPr>
      </w:pPr>
    </w:p>
    <w:p w14:paraId="2D926513" w14:textId="0F42B883" w:rsidR="005E041C" w:rsidRDefault="005E041C" w:rsidP="00780328">
      <w:pPr>
        <w:keepNext/>
        <w:pBdr>
          <w:top w:val="nil"/>
          <w:left w:val="nil"/>
          <w:bottom w:val="nil"/>
          <w:right w:val="nil"/>
          <w:between w:val="nil"/>
        </w:pBdr>
        <w:spacing w:before="240" w:after="60"/>
        <w:contextualSpacing/>
        <w:rPr>
          <w:rFonts w:ascii="Arial" w:hAnsi="Arial" w:cs="Arial"/>
          <w:b/>
          <w:bCs/>
          <w:color w:val="000000"/>
          <w:sz w:val="20"/>
          <w:szCs w:val="20"/>
        </w:rPr>
      </w:pPr>
      <w:bookmarkStart w:id="33" w:name="_Toc77841611"/>
    </w:p>
    <w:p w14:paraId="0DAD2593" w14:textId="2C57822B" w:rsidR="00ED41CB" w:rsidRDefault="00CE383B" w:rsidP="00780328">
      <w:pPr>
        <w:keepNext/>
        <w:pBdr>
          <w:top w:val="nil"/>
          <w:left w:val="nil"/>
          <w:bottom w:val="nil"/>
          <w:right w:val="nil"/>
          <w:between w:val="nil"/>
        </w:pBdr>
        <w:spacing w:before="240" w:after="60"/>
        <w:contextualSpacing/>
        <w:rPr>
          <w:rFonts w:ascii="Arial" w:hAnsi="Arial" w:cs="Arial"/>
          <w:b/>
          <w:bCs/>
          <w:color w:val="000000"/>
          <w:sz w:val="20"/>
          <w:szCs w:val="20"/>
        </w:rPr>
      </w:pPr>
      <w:r>
        <w:rPr>
          <w:rFonts w:ascii="Arial" w:hAnsi="Arial" w:cs="Arial"/>
          <w:b/>
          <w:bCs/>
          <w:noProof/>
          <w:color w:val="000000"/>
          <w:sz w:val="20"/>
          <w:szCs w:val="20"/>
        </w:rPr>
        <w:drawing>
          <wp:inline distT="0" distB="0" distL="0" distR="0" wp14:anchorId="342979C6" wp14:editId="5274BE05">
            <wp:extent cx="5486400" cy="2653665"/>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3"/>
                    <a:stretch>
                      <a:fillRect/>
                    </a:stretch>
                  </pic:blipFill>
                  <pic:spPr>
                    <a:xfrm>
                      <a:off x="0" y="0"/>
                      <a:ext cx="5486400" cy="2653665"/>
                    </a:xfrm>
                    <a:prstGeom prst="rect">
                      <a:avLst/>
                    </a:prstGeom>
                  </pic:spPr>
                </pic:pic>
              </a:graphicData>
            </a:graphic>
          </wp:inline>
        </w:drawing>
      </w:r>
    </w:p>
    <w:p w14:paraId="3BF71133" w14:textId="16977D99" w:rsidR="00780328" w:rsidRPr="00780328" w:rsidRDefault="00780328" w:rsidP="00780328">
      <w:pPr>
        <w:keepNext/>
        <w:pBdr>
          <w:top w:val="nil"/>
          <w:left w:val="nil"/>
          <w:bottom w:val="nil"/>
          <w:right w:val="nil"/>
          <w:between w:val="nil"/>
        </w:pBdr>
        <w:spacing w:before="240" w:after="60"/>
        <w:contextualSpacing/>
        <w:rPr>
          <w:rFonts w:ascii="Arial" w:hAnsi="Arial" w:cs="Arial"/>
          <w:color w:val="000000"/>
          <w:sz w:val="20"/>
          <w:szCs w:val="20"/>
        </w:rPr>
      </w:pPr>
      <w:r w:rsidRPr="00780328">
        <w:rPr>
          <w:rFonts w:ascii="Arial" w:hAnsi="Arial" w:cs="Arial"/>
          <w:b/>
          <w:bCs/>
          <w:color w:val="000000"/>
          <w:sz w:val="20"/>
          <w:szCs w:val="20"/>
        </w:rPr>
        <w:t>Figure 1.</w:t>
      </w:r>
      <w:r w:rsidRPr="00780328">
        <w:rPr>
          <w:rFonts w:ascii="Arial" w:hAnsi="Arial" w:cs="Arial"/>
          <w:b/>
          <w:color w:val="000000"/>
          <w:sz w:val="20"/>
          <w:szCs w:val="20"/>
        </w:rPr>
        <w:t xml:space="preserve"> </w:t>
      </w:r>
      <w:bookmarkStart w:id="34" w:name="_Hlk104888413"/>
      <w:bookmarkEnd w:id="33"/>
      <w:r w:rsidRPr="00780328">
        <w:rPr>
          <w:rFonts w:ascii="Arial" w:hAnsi="Arial" w:cs="Arial"/>
          <w:color w:val="000000"/>
          <w:sz w:val="20"/>
          <w:szCs w:val="20"/>
        </w:rPr>
        <w:t xml:space="preserve">The steady-state proxy </w:t>
      </w:r>
      <w:r w:rsidR="00B568C5">
        <w:rPr>
          <w:rFonts w:ascii="Arial" w:hAnsi="Arial" w:cs="Arial"/>
          <w:color w:val="000000"/>
          <w:sz w:val="20"/>
          <w:szCs w:val="20"/>
        </w:rPr>
        <w:t>for OH (Proxy</w:t>
      </w:r>
      <w:r w:rsidR="00B568C5" w:rsidRPr="00F47570">
        <w:rPr>
          <w:rFonts w:ascii="Arial" w:hAnsi="Arial" w:cs="Arial"/>
          <w:i/>
          <w:iCs/>
          <w:color w:val="000000"/>
          <w:sz w:val="20"/>
          <w:szCs w:val="20"/>
          <w:vertAlign w:val="subscript"/>
        </w:rPr>
        <w:t>OH</w:t>
      </w:r>
      <w:r w:rsidR="00B568C5">
        <w:rPr>
          <w:rFonts w:ascii="Arial" w:hAnsi="Arial" w:cs="Arial"/>
          <w:color w:val="000000"/>
          <w:sz w:val="20"/>
          <w:szCs w:val="20"/>
        </w:rPr>
        <w:t xml:space="preserve">) </w:t>
      </w:r>
      <w:r w:rsidRPr="00780328">
        <w:rPr>
          <w:rFonts w:ascii="Arial" w:hAnsi="Arial" w:cs="Arial"/>
          <w:color w:val="000000"/>
          <w:sz w:val="20"/>
          <w:szCs w:val="20"/>
        </w:rPr>
        <w:t xml:space="preserve">captures much of the </w:t>
      </w:r>
      <w:r w:rsidRPr="00780328">
        <w:rPr>
          <w:rFonts w:ascii="Arial" w:hAnsi="Arial" w:cs="Arial"/>
          <w:i/>
          <w:iCs/>
          <w:color w:val="000000"/>
          <w:sz w:val="20"/>
          <w:szCs w:val="20"/>
        </w:rPr>
        <w:t>in situ</w:t>
      </w:r>
      <w:r w:rsidRPr="00780328">
        <w:rPr>
          <w:rFonts w:ascii="Arial" w:hAnsi="Arial" w:cs="Arial"/>
          <w:color w:val="000000"/>
          <w:sz w:val="20"/>
          <w:szCs w:val="20"/>
        </w:rPr>
        <w:t xml:space="preserve"> measured and modeled [OH] </w:t>
      </w:r>
      <w:r w:rsidR="00DA17B6">
        <w:rPr>
          <w:rFonts w:ascii="Arial" w:hAnsi="Arial" w:cs="Arial"/>
          <w:color w:val="000000"/>
          <w:sz w:val="20"/>
          <w:szCs w:val="20"/>
        </w:rPr>
        <w:t>variations</w:t>
      </w:r>
      <w:r w:rsidR="00DA17B6" w:rsidRPr="00780328">
        <w:rPr>
          <w:rFonts w:ascii="Arial" w:hAnsi="Arial" w:cs="Arial"/>
          <w:color w:val="000000"/>
          <w:sz w:val="20"/>
          <w:szCs w:val="20"/>
        </w:rPr>
        <w:t xml:space="preserve"> </w:t>
      </w:r>
      <w:r w:rsidRPr="00780328">
        <w:rPr>
          <w:rFonts w:ascii="Arial" w:hAnsi="Arial" w:cs="Arial"/>
          <w:color w:val="000000"/>
          <w:sz w:val="20"/>
          <w:szCs w:val="20"/>
        </w:rPr>
        <w:t>along the ATom flight tracks. Shown is the spatial distribution over the a) Pacific and b) Atlantic oceans of the ATom-observed (blue dots) or AM3 modeled (orange dots) regression between Proxy</w:t>
      </w:r>
      <w:r w:rsidRPr="00780328">
        <w:rPr>
          <w:rFonts w:ascii="Arial" w:hAnsi="Arial" w:cs="Arial"/>
          <w:i/>
          <w:iCs/>
          <w:color w:val="000000"/>
          <w:sz w:val="20"/>
          <w:szCs w:val="20"/>
          <w:vertAlign w:val="subscript"/>
        </w:rPr>
        <w:t>OH</w:t>
      </w:r>
      <w:r w:rsidRPr="00780328">
        <w:rPr>
          <w:rFonts w:ascii="Arial" w:hAnsi="Arial" w:cs="Arial"/>
          <w:color w:val="000000"/>
          <w:sz w:val="20"/>
          <w:szCs w:val="20"/>
        </w:rPr>
        <w:t xml:space="preserve"> and [OH] (both in ppt). The background color </w:t>
      </w:r>
      <w:r w:rsidR="001A399F">
        <w:rPr>
          <w:rFonts w:ascii="Arial" w:hAnsi="Arial" w:cs="Arial"/>
          <w:color w:val="000000"/>
          <w:sz w:val="20"/>
          <w:szCs w:val="20"/>
        </w:rPr>
        <w:t xml:space="preserve">and number in the upper left corner of each subplot </w:t>
      </w:r>
      <w:r w:rsidRPr="00780328">
        <w:rPr>
          <w:rFonts w:ascii="Arial" w:hAnsi="Arial" w:cs="Arial"/>
          <w:color w:val="000000"/>
          <w:sz w:val="20"/>
          <w:szCs w:val="20"/>
        </w:rPr>
        <w:t>indicates the mean r-squared coefficient of determination (</w:t>
      </w:r>
      <w:r w:rsidRPr="00780328">
        <w:rPr>
          <w:rFonts w:ascii="Arial" w:hAnsi="Arial" w:cs="Arial"/>
          <w:i/>
          <w:iCs/>
          <w:color w:val="000000"/>
          <w:sz w:val="20"/>
          <w:szCs w:val="20"/>
        </w:rPr>
        <w:t>r</w:t>
      </w:r>
      <w:r w:rsidRPr="00780328">
        <w:rPr>
          <w:rFonts w:ascii="Arial" w:hAnsi="Arial" w:cs="Arial"/>
          <w:color w:val="000000"/>
          <w:sz w:val="20"/>
          <w:szCs w:val="20"/>
          <w:vertAlign w:val="superscript"/>
        </w:rPr>
        <w:t>2</w:t>
      </w:r>
      <w:r w:rsidRPr="00780328">
        <w:rPr>
          <w:rFonts w:ascii="Arial" w:hAnsi="Arial" w:cs="Arial"/>
          <w:color w:val="000000"/>
          <w:sz w:val="20"/>
          <w:szCs w:val="20"/>
        </w:rPr>
        <w:t>) of the ATom Proxy</w:t>
      </w:r>
      <w:r w:rsidRPr="00780328">
        <w:rPr>
          <w:rFonts w:ascii="Arial" w:hAnsi="Arial" w:cs="Arial"/>
          <w:i/>
          <w:iCs/>
          <w:color w:val="000000"/>
          <w:sz w:val="20"/>
          <w:szCs w:val="20"/>
          <w:vertAlign w:val="subscript"/>
        </w:rPr>
        <w:t>OH</w:t>
      </w:r>
      <w:r w:rsidRPr="00780328">
        <w:rPr>
          <w:rFonts w:ascii="Arial" w:hAnsi="Arial" w:cs="Arial"/>
          <w:color w:val="000000"/>
          <w:sz w:val="20"/>
          <w:szCs w:val="20"/>
        </w:rPr>
        <w:t>-[OH] posterior distributions, and the light blue shading illustrates the 95% Bayesian credible interval (</w:t>
      </w:r>
      <w:r w:rsidR="00AA7045">
        <w:rPr>
          <w:rFonts w:ascii="Arial" w:hAnsi="Arial" w:cs="Arial"/>
          <w:color w:val="000000"/>
          <w:sz w:val="20"/>
          <w:szCs w:val="20"/>
        </w:rPr>
        <w:t xml:space="preserve">Methods </w:t>
      </w:r>
      <w:r w:rsidR="00A42EF2">
        <w:rPr>
          <w:rFonts w:ascii="Arial" w:hAnsi="Arial" w:cs="Arial"/>
          <w:color w:val="000000"/>
          <w:sz w:val="20"/>
          <w:szCs w:val="20"/>
        </w:rPr>
        <w:t>8</w:t>
      </w:r>
      <w:r w:rsidR="00AA7045">
        <w:rPr>
          <w:rFonts w:ascii="Arial" w:hAnsi="Arial" w:cs="Arial"/>
          <w:color w:val="000000"/>
          <w:sz w:val="20"/>
          <w:szCs w:val="20"/>
        </w:rPr>
        <w:t>.</w:t>
      </w:r>
      <w:r w:rsidRPr="00780328">
        <w:rPr>
          <w:rFonts w:ascii="Arial" w:hAnsi="Arial" w:cs="Arial"/>
          <w:color w:val="000000"/>
          <w:sz w:val="20"/>
          <w:szCs w:val="20"/>
        </w:rPr>
        <w:t>2). The model correlation is not shown but is slightly higher than observed (see text). The orange line is the AM3 Proxy</w:t>
      </w:r>
      <w:r w:rsidRPr="00780328">
        <w:rPr>
          <w:rFonts w:ascii="Arial" w:hAnsi="Arial" w:cs="Arial"/>
          <w:i/>
          <w:iCs/>
          <w:color w:val="000000"/>
          <w:sz w:val="20"/>
          <w:szCs w:val="20"/>
          <w:vertAlign w:val="subscript"/>
        </w:rPr>
        <w:t>OH</w:t>
      </w:r>
      <w:r w:rsidRPr="00780328">
        <w:rPr>
          <w:rFonts w:ascii="Arial" w:hAnsi="Arial" w:cs="Arial"/>
          <w:color w:val="000000"/>
          <w:sz w:val="20"/>
          <w:szCs w:val="20"/>
        </w:rPr>
        <w:t xml:space="preserve">-[OH] ordinary least square regression. </w:t>
      </w:r>
      <w:r w:rsidR="00296C7D">
        <w:rPr>
          <w:rFonts w:ascii="Arial" w:hAnsi="Arial" w:cs="Arial"/>
          <w:color w:val="000000"/>
          <w:sz w:val="20"/>
          <w:szCs w:val="20"/>
        </w:rPr>
        <w:t>See Figure S</w:t>
      </w:r>
      <w:r w:rsidR="0055402E">
        <w:rPr>
          <w:rFonts w:ascii="Arial" w:hAnsi="Arial" w:cs="Arial"/>
          <w:color w:val="000000"/>
          <w:sz w:val="20"/>
          <w:szCs w:val="20"/>
        </w:rPr>
        <w:t>6</w:t>
      </w:r>
      <w:r w:rsidR="00296C7D">
        <w:rPr>
          <w:rFonts w:ascii="Arial" w:hAnsi="Arial" w:cs="Arial"/>
          <w:color w:val="000000"/>
          <w:sz w:val="20"/>
          <w:szCs w:val="20"/>
        </w:rPr>
        <w:t xml:space="preserve"> for axes</w:t>
      </w:r>
      <w:r w:rsidR="002D44E1">
        <w:rPr>
          <w:rFonts w:ascii="Arial" w:hAnsi="Arial" w:cs="Arial"/>
          <w:color w:val="000000"/>
          <w:sz w:val="20"/>
          <w:szCs w:val="20"/>
        </w:rPr>
        <w:t xml:space="preserve"> descriptions</w:t>
      </w:r>
      <w:r w:rsidR="00296C7D">
        <w:rPr>
          <w:rFonts w:ascii="Arial" w:hAnsi="Arial" w:cs="Arial"/>
          <w:color w:val="000000"/>
          <w:sz w:val="20"/>
          <w:szCs w:val="20"/>
        </w:rPr>
        <w:t>.</w:t>
      </w:r>
    </w:p>
    <w:p w14:paraId="3201BEE7" w14:textId="105BB316" w:rsidR="00780328" w:rsidRPr="00F649EE" w:rsidRDefault="00780328" w:rsidP="00780328">
      <w:pPr>
        <w:keepNext/>
        <w:pBdr>
          <w:top w:val="nil"/>
          <w:left w:val="nil"/>
          <w:bottom w:val="nil"/>
          <w:right w:val="nil"/>
          <w:between w:val="nil"/>
        </w:pBdr>
        <w:spacing w:before="240" w:after="60"/>
        <w:contextualSpacing/>
        <w:rPr>
          <w:rFonts w:ascii="Arial" w:hAnsi="Arial" w:cs="Arial"/>
          <w:b/>
          <w:color w:val="000000"/>
          <w:sz w:val="20"/>
          <w:szCs w:val="20"/>
        </w:rPr>
      </w:pPr>
    </w:p>
    <w:p w14:paraId="4DC3FC3B" w14:textId="08057478" w:rsidR="00780328" w:rsidRPr="00780328" w:rsidRDefault="00780328" w:rsidP="00780328">
      <w:pPr>
        <w:pBdr>
          <w:top w:val="nil"/>
          <w:left w:val="nil"/>
          <w:bottom w:val="nil"/>
          <w:right w:val="nil"/>
          <w:between w:val="nil"/>
        </w:pBdr>
        <w:contextualSpacing/>
        <w:rPr>
          <w:rFonts w:ascii="Arial" w:hAnsi="Arial" w:cs="Arial"/>
          <w:bCs/>
          <w:color w:val="000000"/>
          <w:sz w:val="20"/>
          <w:szCs w:val="20"/>
        </w:rPr>
      </w:pPr>
    </w:p>
    <w:bookmarkEnd w:id="34"/>
    <w:p w14:paraId="5D3BAD94" w14:textId="77777777" w:rsidR="00980C22" w:rsidRPr="00F649EE" w:rsidRDefault="00980C22" w:rsidP="00E6133D">
      <w:pPr>
        <w:pBdr>
          <w:top w:val="nil"/>
          <w:left w:val="nil"/>
          <w:bottom w:val="nil"/>
          <w:right w:val="nil"/>
          <w:between w:val="nil"/>
        </w:pBdr>
        <w:contextualSpacing/>
        <w:rPr>
          <w:rFonts w:ascii="Arial" w:hAnsi="Arial" w:cs="Arial"/>
          <w:color w:val="000000"/>
          <w:sz w:val="20"/>
          <w:szCs w:val="20"/>
        </w:rPr>
      </w:pPr>
    </w:p>
    <w:p w14:paraId="39D087FF" w14:textId="0D90E8BC" w:rsidR="00780328" w:rsidRDefault="00780328" w:rsidP="00F47570">
      <w:pPr>
        <w:rPr>
          <w:rFonts w:ascii="Arial" w:hAnsi="Arial" w:cs="Arial"/>
          <w:b/>
          <w:color w:val="000000"/>
          <w:sz w:val="20"/>
          <w:szCs w:val="20"/>
        </w:rPr>
      </w:pPr>
      <w:r>
        <w:rPr>
          <w:rFonts w:ascii="Arial" w:hAnsi="Arial" w:cs="Arial"/>
          <w:color w:val="000000"/>
          <w:sz w:val="20"/>
          <w:szCs w:val="20"/>
        </w:rPr>
        <w:br w:type="page"/>
      </w:r>
    </w:p>
    <w:p w14:paraId="30DA7E26" w14:textId="6D03F4C3" w:rsidR="00821002" w:rsidRDefault="00A130EA" w:rsidP="00E6133D">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50998E16" wp14:editId="58A5D5B2">
            <wp:extent cx="5457825" cy="3381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3381375"/>
                    </a:xfrm>
                    <a:prstGeom prst="rect">
                      <a:avLst/>
                    </a:prstGeom>
                    <a:noFill/>
                    <a:ln>
                      <a:noFill/>
                    </a:ln>
                  </pic:spPr>
                </pic:pic>
              </a:graphicData>
            </a:graphic>
          </wp:inline>
        </w:drawing>
      </w:r>
    </w:p>
    <w:p w14:paraId="1287F6B0" w14:textId="48C04E7C" w:rsidR="00E6133D" w:rsidRPr="00F649EE" w:rsidRDefault="00E6133D" w:rsidP="00E6133D">
      <w:pPr>
        <w:keepNext/>
        <w:pBdr>
          <w:top w:val="nil"/>
          <w:left w:val="nil"/>
          <w:bottom w:val="nil"/>
          <w:right w:val="nil"/>
          <w:between w:val="nil"/>
        </w:pBdr>
        <w:spacing w:before="240" w:after="60"/>
        <w:contextualSpacing/>
        <w:rPr>
          <w:rFonts w:ascii="Arial" w:hAnsi="Arial" w:cs="Arial"/>
          <w:b/>
          <w:color w:val="000000"/>
          <w:sz w:val="20"/>
          <w:szCs w:val="20"/>
        </w:rPr>
      </w:pPr>
      <w:r w:rsidRPr="00F649EE">
        <w:rPr>
          <w:rFonts w:ascii="Arial" w:hAnsi="Arial" w:cs="Arial"/>
          <w:b/>
          <w:color w:val="000000"/>
          <w:sz w:val="20"/>
          <w:szCs w:val="20"/>
        </w:rPr>
        <w:t>Fig</w:t>
      </w:r>
      <w:r w:rsidR="00980C22">
        <w:rPr>
          <w:rFonts w:ascii="Arial" w:hAnsi="Arial" w:cs="Arial"/>
          <w:b/>
          <w:color w:val="000000"/>
          <w:sz w:val="20"/>
          <w:szCs w:val="20"/>
        </w:rPr>
        <w:t>ure</w:t>
      </w:r>
      <w:r w:rsidRPr="00F649EE">
        <w:rPr>
          <w:rFonts w:ascii="Arial" w:hAnsi="Arial" w:cs="Arial"/>
          <w:b/>
          <w:color w:val="000000"/>
          <w:sz w:val="20"/>
          <w:szCs w:val="20"/>
        </w:rPr>
        <w:t xml:space="preserve"> 2. </w:t>
      </w:r>
      <w:r w:rsidR="00780328" w:rsidRPr="00780328">
        <w:rPr>
          <w:rFonts w:ascii="Arial" w:hAnsi="Arial" w:cs="Arial"/>
          <w:color w:val="000000"/>
          <w:sz w:val="20"/>
          <w:szCs w:val="20"/>
        </w:rPr>
        <w:t>The Proxy</w:t>
      </w:r>
      <w:r w:rsidR="00780328" w:rsidRPr="00780328">
        <w:rPr>
          <w:rFonts w:ascii="Arial" w:hAnsi="Arial" w:cs="Arial"/>
          <w:i/>
          <w:iCs/>
          <w:color w:val="000000"/>
          <w:sz w:val="20"/>
          <w:szCs w:val="20"/>
          <w:vertAlign w:val="subscript"/>
        </w:rPr>
        <w:t>OH</w:t>
      </w:r>
      <w:r w:rsidR="00780328" w:rsidRPr="00780328">
        <w:rPr>
          <w:rFonts w:ascii="Arial" w:hAnsi="Arial" w:cs="Arial"/>
          <w:color w:val="000000"/>
          <w:sz w:val="20"/>
          <w:szCs w:val="20"/>
        </w:rPr>
        <w:t>-[OH] regression slope and intercept reflect the relationship between OH sources and sinks. The distinct spatial patterns in the regression parameters indicate that using the Proxy</w:t>
      </w:r>
      <w:r w:rsidR="00780328" w:rsidRPr="00780328">
        <w:rPr>
          <w:rFonts w:ascii="Arial" w:hAnsi="Arial" w:cs="Arial"/>
          <w:i/>
          <w:iCs/>
          <w:color w:val="000000"/>
          <w:sz w:val="20"/>
          <w:szCs w:val="20"/>
          <w:vertAlign w:val="subscript"/>
        </w:rPr>
        <w:t>OH</w:t>
      </w:r>
      <w:r w:rsidR="00780328" w:rsidRPr="00780328">
        <w:rPr>
          <w:rFonts w:ascii="Arial" w:hAnsi="Arial" w:cs="Arial"/>
          <w:color w:val="000000"/>
          <w:sz w:val="20"/>
          <w:szCs w:val="20"/>
        </w:rPr>
        <w:t xml:space="preserve"> to infer the local OH concentration requires accounting for vertical and latitudinal distributions. Spatial distribution of the intercept (top; a,b) and slope (bottom; c,d) posteriors from the Bayesian linear regression between Proxy</w:t>
      </w:r>
      <w:r w:rsidR="00780328" w:rsidRPr="00780328">
        <w:rPr>
          <w:rFonts w:ascii="Arial" w:hAnsi="Arial" w:cs="Arial"/>
          <w:i/>
          <w:iCs/>
          <w:color w:val="000000"/>
          <w:sz w:val="20"/>
          <w:szCs w:val="20"/>
          <w:vertAlign w:val="subscript"/>
        </w:rPr>
        <w:t>OH</w:t>
      </w:r>
      <w:r w:rsidR="00780328" w:rsidRPr="00780328">
        <w:rPr>
          <w:rFonts w:ascii="Arial" w:hAnsi="Arial" w:cs="Arial"/>
          <w:color w:val="000000"/>
          <w:sz w:val="20"/>
          <w:szCs w:val="20"/>
        </w:rPr>
        <w:t xml:space="preserve"> and observed [OH] are shown. Boxes span six 20° latitudinal bins (x-axis</w:t>
      </w:r>
      <w:r w:rsidR="00821002">
        <w:rPr>
          <w:rFonts w:ascii="Arial" w:hAnsi="Arial" w:cs="Arial"/>
          <w:color w:val="000000"/>
          <w:sz w:val="20"/>
          <w:szCs w:val="20"/>
        </w:rPr>
        <w:t xml:space="preserve"> and gradient in gray background color</w:t>
      </w:r>
      <w:r w:rsidR="00780328" w:rsidRPr="00780328">
        <w:rPr>
          <w:rFonts w:ascii="Arial" w:hAnsi="Arial" w:cs="Arial"/>
          <w:color w:val="000000"/>
          <w:sz w:val="20"/>
          <w:szCs w:val="20"/>
        </w:rPr>
        <w:t>) and five 2 km altitude bins (color), separated by ocean basin (left or a,c: Pacific; right or b,d: Atlantic). For a given bin, the posterior is drawn as the final 1,000 iterations across 3 chains from Markov Chain Monte Carlo simulations used to implement the Bayesian fit (</w:t>
      </w:r>
      <w:r w:rsidR="00AA7045">
        <w:rPr>
          <w:rFonts w:ascii="Arial" w:hAnsi="Arial" w:cs="Arial"/>
          <w:color w:val="000000"/>
          <w:sz w:val="20"/>
          <w:szCs w:val="20"/>
        </w:rPr>
        <w:t xml:space="preserve">Methods </w:t>
      </w:r>
      <w:r w:rsidR="00A42EF2">
        <w:rPr>
          <w:rFonts w:ascii="Arial" w:hAnsi="Arial" w:cs="Arial"/>
          <w:color w:val="000000"/>
          <w:sz w:val="20"/>
          <w:szCs w:val="20"/>
        </w:rPr>
        <w:t>8</w:t>
      </w:r>
      <w:r w:rsidR="00AA7045">
        <w:rPr>
          <w:rFonts w:ascii="Arial" w:hAnsi="Arial" w:cs="Arial"/>
          <w:color w:val="000000"/>
          <w:sz w:val="20"/>
          <w:szCs w:val="20"/>
        </w:rPr>
        <w:t>.</w:t>
      </w:r>
      <w:r w:rsidR="00780328" w:rsidRPr="00780328">
        <w:rPr>
          <w:rFonts w:ascii="Arial" w:hAnsi="Arial" w:cs="Arial"/>
          <w:color w:val="000000"/>
          <w:sz w:val="20"/>
          <w:szCs w:val="20"/>
        </w:rPr>
        <w:t>2). Vertical colored lines indicate the 95% credible interval of the intercept and slope for that spatial bin.</w:t>
      </w:r>
    </w:p>
    <w:p w14:paraId="050F83B3" w14:textId="77777777" w:rsidR="00E6133D" w:rsidRPr="00F649EE" w:rsidRDefault="00E6133D" w:rsidP="00E6133D">
      <w:pPr>
        <w:pBdr>
          <w:top w:val="nil"/>
          <w:left w:val="nil"/>
          <w:bottom w:val="nil"/>
          <w:right w:val="nil"/>
          <w:between w:val="nil"/>
        </w:pBdr>
        <w:contextualSpacing/>
        <w:rPr>
          <w:rFonts w:ascii="Arial" w:hAnsi="Arial" w:cs="Arial"/>
          <w:color w:val="000000"/>
          <w:sz w:val="20"/>
          <w:szCs w:val="20"/>
        </w:rPr>
      </w:pPr>
    </w:p>
    <w:p w14:paraId="00E2C86D" w14:textId="760281E1" w:rsidR="00780328" w:rsidRDefault="00780328">
      <w:pPr>
        <w:rPr>
          <w:rFonts w:ascii="Arial" w:hAnsi="Arial" w:cs="Arial"/>
          <w:color w:val="000000"/>
          <w:sz w:val="20"/>
          <w:szCs w:val="20"/>
        </w:rPr>
      </w:pPr>
    </w:p>
    <w:p w14:paraId="4C938247" w14:textId="71E39AAA" w:rsidR="00780328" w:rsidRDefault="00780328">
      <w:pPr>
        <w:rPr>
          <w:rFonts w:ascii="Arial" w:hAnsi="Arial" w:cs="Arial"/>
          <w:color w:val="000000"/>
          <w:sz w:val="20"/>
          <w:szCs w:val="20"/>
        </w:rPr>
      </w:pPr>
    </w:p>
    <w:p w14:paraId="47C2F9E0" w14:textId="2C86F48C" w:rsidR="00177BC9" w:rsidRDefault="007908FF" w:rsidP="00780328">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5060599A" wp14:editId="5304CE42">
            <wp:extent cx="5486400" cy="2585720"/>
            <wp:effectExtent l="0" t="0" r="0" b="508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5"/>
                    <a:stretch>
                      <a:fillRect/>
                    </a:stretch>
                  </pic:blipFill>
                  <pic:spPr>
                    <a:xfrm>
                      <a:off x="0" y="0"/>
                      <a:ext cx="5486400" cy="2585720"/>
                    </a:xfrm>
                    <a:prstGeom prst="rect">
                      <a:avLst/>
                    </a:prstGeom>
                  </pic:spPr>
                </pic:pic>
              </a:graphicData>
            </a:graphic>
          </wp:inline>
        </w:drawing>
      </w:r>
    </w:p>
    <w:p w14:paraId="2D89A432" w14:textId="0A1B5D60" w:rsidR="00780328" w:rsidRPr="00F649EE" w:rsidRDefault="00780328" w:rsidP="00780328">
      <w:pPr>
        <w:keepNext/>
        <w:pBdr>
          <w:top w:val="nil"/>
          <w:left w:val="nil"/>
          <w:bottom w:val="nil"/>
          <w:right w:val="nil"/>
          <w:between w:val="nil"/>
        </w:pBdr>
        <w:spacing w:before="240" w:after="60"/>
        <w:contextualSpacing/>
        <w:rPr>
          <w:rFonts w:ascii="Arial" w:hAnsi="Arial" w:cs="Arial"/>
          <w:b/>
          <w:color w:val="000000"/>
          <w:sz w:val="20"/>
          <w:szCs w:val="20"/>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sidR="00804B85">
        <w:rPr>
          <w:rFonts w:ascii="Arial" w:hAnsi="Arial" w:cs="Arial"/>
          <w:b/>
          <w:color w:val="000000"/>
          <w:sz w:val="20"/>
          <w:szCs w:val="20"/>
        </w:rPr>
        <w:t>3</w:t>
      </w:r>
      <w:r w:rsidRPr="00F649EE">
        <w:rPr>
          <w:rFonts w:ascii="Arial" w:hAnsi="Arial" w:cs="Arial"/>
          <w:b/>
          <w:color w:val="000000"/>
          <w:sz w:val="20"/>
          <w:szCs w:val="20"/>
        </w:rPr>
        <w:t xml:space="preserve">. </w:t>
      </w:r>
      <w:r w:rsidRPr="00780328">
        <w:rPr>
          <w:rFonts w:ascii="Arial" w:hAnsi="Arial" w:cs="Arial"/>
          <w:color w:val="000000"/>
          <w:sz w:val="20"/>
          <w:szCs w:val="20"/>
        </w:rPr>
        <w:t>Few terms—water vapor (H</w:t>
      </w:r>
      <w:r w:rsidRPr="00780328">
        <w:rPr>
          <w:rFonts w:ascii="Arial" w:hAnsi="Arial" w:cs="Arial"/>
          <w:color w:val="000000"/>
          <w:sz w:val="20"/>
          <w:szCs w:val="20"/>
          <w:vertAlign w:val="subscript"/>
        </w:rPr>
        <w:t>2</w:t>
      </w:r>
      <w:r w:rsidRPr="00780328">
        <w:rPr>
          <w:rFonts w:ascii="Arial" w:hAnsi="Arial" w:cs="Arial"/>
          <w:color w:val="000000"/>
          <w:sz w:val="20"/>
          <w:szCs w:val="20"/>
        </w:rPr>
        <w:t>O), nitric oxide (NO)</w:t>
      </w:r>
      <w:r w:rsidR="009A2291">
        <w:rPr>
          <w:rFonts w:ascii="Arial" w:hAnsi="Arial" w:cs="Arial"/>
          <w:color w:val="000000"/>
          <w:sz w:val="20"/>
          <w:szCs w:val="20"/>
        </w:rPr>
        <w:t>, the hydroperoxy radical (HO</w:t>
      </w:r>
      <w:r w:rsidR="009A2291" w:rsidRPr="00391EE5">
        <w:rPr>
          <w:rFonts w:ascii="Arial" w:hAnsi="Arial" w:cs="Arial"/>
          <w:color w:val="000000"/>
          <w:sz w:val="20"/>
          <w:szCs w:val="20"/>
          <w:vertAlign w:val="subscript"/>
        </w:rPr>
        <w:t>2</w:t>
      </w:r>
      <w:r w:rsidR="009A2291">
        <w:rPr>
          <w:rFonts w:ascii="Arial" w:hAnsi="Arial" w:cs="Arial"/>
          <w:color w:val="000000"/>
          <w:sz w:val="20"/>
          <w:szCs w:val="20"/>
        </w:rPr>
        <w:t>), ozone</w:t>
      </w:r>
      <w:r w:rsidRPr="00780328">
        <w:rPr>
          <w:rFonts w:ascii="Arial" w:hAnsi="Arial" w:cs="Arial"/>
          <w:color w:val="000000"/>
          <w:sz w:val="20"/>
          <w:szCs w:val="20"/>
        </w:rPr>
        <w:t xml:space="preserve"> </w:t>
      </w:r>
      <w:r w:rsidR="009A2291">
        <w:rPr>
          <w:rFonts w:ascii="Arial" w:hAnsi="Arial" w:cs="Arial"/>
          <w:color w:val="000000"/>
          <w:sz w:val="20"/>
          <w:szCs w:val="20"/>
        </w:rPr>
        <w:t>(O</w:t>
      </w:r>
      <w:r w:rsidR="009A2291" w:rsidRPr="00391EE5">
        <w:rPr>
          <w:rFonts w:ascii="Arial" w:hAnsi="Arial" w:cs="Arial"/>
          <w:color w:val="000000"/>
          <w:sz w:val="20"/>
          <w:szCs w:val="20"/>
          <w:vertAlign w:val="subscript"/>
        </w:rPr>
        <w:t>3</w:t>
      </w:r>
      <w:r w:rsidR="009A2291">
        <w:rPr>
          <w:rFonts w:ascii="Arial" w:hAnsi="Arial" w:cs="Arial"/>
          <w:color w:val="000000"/>
          <w:sz w:val="20"/>
          <w:szCs w:val="20"/>
        </w:rPr>
        <w:t xml:space="preserve">) </w:t>
      </w:r>
      <w:r w:rsidR="00047952">
        <w:rPr>
          <w:rFonts w:ascii="Arial" w:hAnsi="Arial" w:cs="Arial"/>
          <w:color w:val="000000"/>
          <w:sz w:val="20"/>
          <w:szCs w:val="20"/>
        </w:rPr>
        <w:t xml:space="preserve">and </w:t>
      </w:r>
      <w:r w:rsidRPr="00780328">
        <w:rPr>
          <w:rFonts w:ascii="Arial" w:hAnsi="Arial" w:cs="Arial"/>
          <w:color w:val="000000"/>
          <w:sz w:val="20"/>
          <w:szCs w:val="20"/>
        </w:rPr>
        <w:t xml:space="preserve">the rate of </w:t>
      </w:r>
      <w:r w:rsidR="009A2291">
        <w:rPr>
          <w:rFonts w:ascii="Arial" w:hAnsi="Arial" w:cs="Arial"/>
          <w:color w:val="000000"/>
          <w:sz w:val="20"/>
          <w:szCs w:val="20"/>
        </w:rPr>
        <w:t>O</w:t>
      </w:r>
      <w:r w:rsidR="009A2291" w:rsidRPr="00391EE5">
        <w:rPr>
          <w:rFonts w:ascii="Arial" w:hAnsi="Arial" w:cs="Arial"/>
          <w:color w:val="000000"/>
          <w:sz w:val="20"/>
          <w:szCs w:val="20"/>
          <w:vertAlign w:val="subscript"/>
        </w:rPr>
        <w:t>3</w:t>
      </w:r>
      <w:r w:rsidR="009A2291" w:rsidRPr="00780328">
        <w:rPr>
          <w:rFonts w:ascii="Arial" w:hAnsi="Arial" w:cs="Arial"/>
          <w:color w:val="000000"/>
          <w:sz w:val="20"/>
          <w:szCs w:val="20"/>
        </w:rPr>
        <w:t xml:space="preserve"> </w:t>
      </w:r>
      <w:r w:rsidRPr="00780328">
        <w:rPr>
          <w:rFonts w:ascii="Arial" w:hAnsi="Arial" w:cs="Arial"/>
          <w:color w:val="000000"/>
          <w:sz w:val="20"/>
          <w:szCs w:val="20"/>
        </w:rPr>
        <w:t>photolysis to O(</w:t>
      </w:r>
      <w:r w:rsidRPr="00780328">
        <w:rPr>
          <w:rFonts w:ascii="Arial" w:hAnsi="Arial" w:cs="Arial"/>
          <w:color w:val="000000"/>
          <w:sz w:val="20"/>
          <w:szCs w:val="20"/>
          <w:vertAlign w:val="superscript"/>
        </w:rPr>
        <w:t>1</w:t>
      </w:r>
      <w:r w:rsidRPr="00780328">
        <w:rPr>
          <w:rFonts w:ascii="Arial" w:hAnsi="Arial" w:cs="Arial"/>
          <w:color w:val="000000"/>
          <w:sz w:val="20"/>
          <w:szCs w:val="20"/>
        </w:rPr>
        <w:t>D) (</w:t>
      </w:r>
      <m:oMath>
        <m:sSub>
          <m:sSubPr>
            <m:ctrlPr>
              <w:rPr>
                <w:rFonts w:ascii="Cambria Math" w:hAnsi="Cambria Math" w:cs="Arial"/>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color w:val="000000"/>
                    <w:sz w:val="20"/>
                    <w:szCs w:val="20"/>
                  </w:rPr>
                </m:ctrlPr>
              </m:sSupPr>
              <m:e>
                <m:r>
                  <m:rPr>
                    <m:sty m:val="p"/>
                  </m:rPr>
                  <w:rPr>
                    <w:rFonts w:ascii="Cambria Math" w:hAnsi="Cambria Math" w:cs="Arial"/>
                    <w:color w:val="000000"/>
                    <w:sz w:val="20"/>
                    <w:szCs w:val="20"/>
                  </w:rPr>
                  <m:t>(</m:t>
                </m:r>
              </m:e>
              <m:sup>
                <m:r>
                  <m:rPr>
                    <m:sty m:val="p"/>
                  </m:rPr>
                  <w:rPr>
                    <w:rFonts w:ascii="Cambria Math" w:hAnsi="Cambria Math" w:cs="Arial"/>
                    <w:color w:val="000000"/>
                    <w:sz w:val="20"/>
                    <w:szCs w:val="20"/>
                  </w:rPr>
                  <m:t>1</m:t>
                </m:r>
              </m:sup>
            </m:sSup>
            <m:r>
              <w:rPr>
                <w:rFonts w:ascii="Cambria Math" w:hAnsi="Cambria Math" w:cs="Arial"/>
                <w:color w:val="000000"/>
                <w:sz w:val="20"/>
                <w:szCs w:val="20"/>
              </w:rPr>
              <m:t>D</m:t>
            </m:r>
            <m:r>
              <m:rPr>
                <m:sty m:val="p"/>
              </m:rPr>
              <w:rPr>
                <w:rFonts w:ascii="Cambria Math" w:hAnsi="Cambria Math" w:cs="Arial"/>
                <w:color w:val="000000"/>
                <w:sz w:val="20"/>
                <w:szCs w:val="20"/>
              </w:rPr>
              <m:t>)</m:t>
            </m:r>
          </m:sub>
        </m:sSub>
      </m:oMath>
      <w:r w:rsidRPr="00780328">
        <w:rPr>
          <w:rFonts w:ascii="Arial" w:hAnsi="Arial" w:cs="Arial"/>
          <w:color w:val="000000"/>
          <w:sz w:val="20"/>
          <w:szCs w:val="20"/>
        </w:rPr>
        <w:t xml:space="preserve">)—dominate </w:t>
      </w:r>
      <w:r w:rsidR="00DA17B6">
        <w:rPr>
          <w:rFonts w:ascii="Arial" w:hAnsi="Arial" w:cs="Arial"/>
          <w:color w:val="000000"/>
          <w:sz w:val="20"/>
          <w:szCs w:val="20"/>
        </w:rPr>
        <w:t xml:space="preserve">the </w:t>
      </w:r>
      <w:r w:rsidRPr="00780328">
        <w:rPr>
          <w:rFonts w:ascii="Arial" w:hAnsi="Arial" w:cs="Arial"/>
          <w:color w:val="000000"/>
          <w:sz w:val="20"/>
          <w:szCs w:val="20"/>
        </w:rPr>
        <w:t xml:space="preserve">sensitivity </w:t>
      </w:r>
      <w:r w:rsidR="00DA17B6">
        <w:rPr>
          <w:rFonts w:ascii="Arial" w:hAnsi="Arial" w:cs="Arial"/>
          <w:color w:val="000000"/>
          <w:sz w:val="20"/>
          <w:szCs w:val="20"/>
        </w:rPr>
        <w:t>of Proxy</w:t>
      </w:r>
      <w:r w:rsidR="00DA17B6" w:rsidRPr="00F47570">
        <w:rPr>
          <w:rFonts w:ascii="Arial" w:hAnsi="Arial" w:cs="Arial"/>
          <w:i/>
          <w:iCs/>
          <w:color w:val="000000"/>
          <w:sz w:val="20"/>
          <w:szCs w:val="20"/>
          <w:vertAlign w:val="subscript"/>
        </w:rPr>
        <w:t>OH</w:t>
      </w:r>
      <w:r w:rsidR="00DA17B6">
        <w:rPr>
          <w:rFonts w:ascii="Arial" w:hAnsi="Arial" w:cs="Arial"/>
          <w:color w:val="000000"/>
          <w:sz w:val="20"/>
          <w:szCs w:val="20"/>
        </w:rPr>
        <w:t xml:space="preserve"> variations </w:t>
      </w:r>
      <w:r w:rsidRPr="00780328">
        <w:rPr>
          <w:rFonts w:ascii="Arial" w:hAnsi="Arial" w:cs="Arial"/>
          <w:color w:val="000000"/>
          <w:sz w:val="20"/>
          <w:szCs w:val="20"/>
        </w:rPr>
        <w:t>over the remote troposphere. Spatial distribution of the difference in the Proxy</w:t>
      </w:r>
      <w:r w:rsidRPr="00780328">
        <w:rPr>
          <w:rFonts w:ascii="Arial" w:hAnsi="Arial" w:cs="Arial"/>
          <w:i/>
          <w:iCs/>
          <w:color w:val="000000"/>
          <w:sz w:val="20"/>
          <w:szCs w:val="20"/>
          <w:vertAlign w:val="subscript"/>
        </w:rPr>
        <w:t>OH</w:t>
      </w:r>
      <w:r w:rsidRPr="00780328">
        <w:rPr>
          <w:rFonts w:ascii="Arial" w:hAnsi="Arial" w:cs="Arial"/>
          <w:color w:val="000000"/>
          <w:sz w:val="20"/>
          <w:szCs w:val="20"/>
        </w:rPr>
        <w:t xml:space="preserve">-[OH] fit (1 - </w:t>
      </w:r>
      <w:r w:rsidRPr="00780328">
        <w:rPr>
          <w:rFonts w:ascii="Arial" w:hAnsi="Arial" w:cs="Arial"/>
          <w:i/>
          <w:iCs/>
          <w:color w:val="000000"/>
          <w:sz w:val="20"/>
          <w:szCs w:val="20"/>
        </w:rPr>
        <w:t>r</w:t>
      </w:r>
      <w:r w:rsidRPr="00780328">
        <w:rPr>
          <w:rFonts w:ascii="Arial" w:hAnsi="Arial" w:cs="Arial"/>
          <w:color w:val="000000"/>
          <w:sz w:val="20"/>
          <w:szCs w:val="20"/>
          <w:vertAlign w:val="superscript"/>
        </w:rPr>
        <w:t>2</w:t>
      </w:r>
      <w:r w:rsidRPr="00780328">
        <w:rPr>
          <w:rFonts w:ascii="Arial" w:hAnsi="Arial" w:cs="Arial"/>
          <w:color w:val="000000"/>
          <w:sz w:val="20"/>
          <w:szCs w:val="20"/>
        </w:rPr>
        <w:t>) attributed to each of the physical or chemical terms that comprise Proxy</w:t>
      </w:r>
      <w:r w:rsidRPr="00780328">
        <w:rPr>
          <w:rFonts w:ascii="Arial" w:hAnsi="Arial" w:cs="Arial"/>
          <w:i/>
          <w:iCs/>
          <w:color w:val="000000"/>
          <w:sz w:val="20"/>
          <w:szCs w:val="20"/>
          <w:vertAlign w:val="subscript"/>
        </w:rPr>
        <w:t>OH</w:t>
      </w:r>
      <w:r w:rsidRPr="00780328">
        <w:rPr>
          <w:rFonts w:ascii="Arial" w:hAnsi="Arial" w:cs="Arial"/>
          <w:color w:val="000000"/>
          <w:sz w:val="20"/>
          <w:szCs w:val="20"/>
        </w:rPr>
        <w:t xml:space="preserve"> (H</w:t>
      </w:r>
      <w:r w:rsidRPr="00780328">
        <w:rPr>
          <w:rFonts w:ascii="Arial" w:hAnsi="Arial" w:cs="Arial"/>
          <w:color w:val="000000"/>
          <w:sz w:val="20"/>
          <w:szCs w:val="20"/>
          <w:vertAlign w:val="subscript"/>
        </w:rPr>
        <w:t>2</w:t>
      </w:r>
      <w:r w:rsidRPr="00780328">
        <w:rPr>
          <w:rFonts w:ascii="Arial" w:hAnsi="Arial" w:cs="Arial"/>
          <w:color w:val="000000"/>
          <w:sz w:val="20"/>
          <w:szCs w:val="20"/>
        </w:rPr>
        <w:t>O, NO, HO</w:t>
      </w:r>
      <w:r w:rsidRPr="00780328">
        <w:rPr>
          <w:rFonts w:ascii="Arial" w:hAnsi="Arial" w:cs="Arial"/>
          <w:color w:val="000000"/>
          <w:sz w:val="20"/>
          <w:szCs w:val="20"/>
          <w:vertAlign w:val="subscript"/>
        </w:rPr>
        <w:t>2</w:t>
      </w:r>
      <w:r w:rsidRPr="00780328">
        <w:rPr>
          <w:rFonts w:ascii="Arial" w:hAnsi="Arial" w:cs="Arial"/>
          <w:color w:val="000000"/>
          <w:sz w:val="20"/>
          <w:szCs w:val="20"/>
        </w:rPr>
        <w:t xml:space="preserve">, </w:t>
      </w:r>
      <m:oMath>
        <m:sSub>
          <m:sSubPr>
            <m:ctrlPr>
              <w:rPr>
                <w:rFonts w:ascii="Cambria Math" w:hAnsi="Cambria Math" w:cs="Arial"/>
                <w:color w:val="000000"/>
                <w:sz w:val="20"/>
                <w:szCs w:val="20"/>
              </w:rPr>
            </m:ctrlPr>
          </m:sSubPr>
          <m:e>
            <m:r>
              <w:rPr>
                <w:rFonts w:ascii="Cambria Math" w:hAnsi="Cambria Math" w:cs="Arial"/>
                <w:color w:val="000000"/>
                <w:sz w:val="20"/>
                <w:szCs w:val="20"/>
              </w:rPr>
              <m:t>J</m:t>
            </m:r>
          </m:e>
          <m:sub>
            <m:r>
              <w:rPr>
                <w:rFonts w:ascii="Cambria Math" w:hAnsi="Cambria Math" w:cs="Arial"/>
                <w:color w:val="000000"/>
                <w:sz w:val="20"/>
                <w:szCs w:val="20"/>
              </w:rPr>
              <m:t>O</m:t>
            </m:r>
            <m:sSup>
              <m:sSupPr>
                <m:ctrlPr>
                  <w:rPr>
                    <w:rFonts w:ascii="Cambria Math" w:hAnsi="Cambria Math" w:cs="Arial"/>
                    <w:color w:val="000000"/>
                    <w:sz w:val="20"/>
                    <w:szCs w:val="20"/>
                  </w:rPr>
                </m:ctrlPr>
              </m:sSupPr>
              <m:e>
                <m:r>
                  <m:rPr>
                    <m:sty m:val="p"/>
                  </m:rPr>
                  <w:rPr>
                    <w:rFonts w:ascii="Cambria Math" w:hAnsi="Cambria Math" w:cs="Arial"/>
                    <w:color w:val="000000"/>
                    <w:sz w:val="20"/>
                    <w:szCs w:val="20"/>
                  </w:rPr>
                  <m:t>(</m:t>
                </m:r>
              </m:e>
              <m:sup>
                <m:r>
                  <m:rPr>
                    <m:sty m:val="p"/>
                  </m:rPr>
                  <w:rPr>
                    <w:rFonts w:ascii="Cambria Math" w:hAnsi="Cambria Math" w:cs="Arial"/>
                    <w:color w:val="000000"/>
                    <w:sz w:val="20"/>
                    <w:szCs w:val="20"/>
                  </w:rPr>
                  <m:t>1</m:t>
                </m:r>
              </m:sup>
            </m:sSup>
            <m:r>
              <w:rPr>
                <w:rFonts w:ascii="Cambria Math" w:hAnsi="Cambria Math" w:cs="Arial"/>
                <w:color w:val="000000"/>
                <w:sz w:val="20"/>
                <w:szCs w:val="20"/>
              </w:rPr>
              <m:t>D</m:t>
            </m:r>
            <m:r>
              <m:rPr>
                <m:sty m:val="p"/>
              </m:rPr>
              <w:rPr>
                <w:rFonts w:ascii="Cambria Math" w:hAnsi="Cambria Math" w:cs="Arial"/>
                <w:color w:val="000000"/>
                <w:sz w:val="20"/>
                <w:szCs w:val="20"/>
              </w:rPr>
              <m:t>)</m:t>
            </m:r>
          </m:sub>
        </m:sSub>
      </m:oMath>
      <w:r w:rsidRPr="00780328">
        <w:rPr>
          <w:rFonts w:ascii="Arial" w:hAnsi="Arial" w:cs="Arial"/>
          <w:color w:val="000000"/>
          <w:sz w:val="20"/>
          <w:szCs w:val="20"/>
        </w:rPr>
        <w:t>, O</w:t>
      </w:r>
      <w:r w:rsidRPr="00780328">
        <w:rPr>
          <w:rFonts w:ascii="Arial" w:hAnsi="Arial" w:cs="Arial"/>
          <w:color w:val="000000"/>
          <w:sz w:val="20"/>
          <w:szCs w:val="20"/>
          <w:vertAlign w:val="subscript"/>
        </w:rPr>
        <w:t>3</w:t>
      </w:r>
      <w:r w:rsidRPr="00780328">
        <w:rPr>
          <w:rFonts w:ascii="Arial" w:hAnsi="Arial" w:cs="Arial"/>
          <w:color w:val="000000"/>
          <w:sz w:val="20"/>
          <w:szCs w:val="20"/>
        </w:rPr>
        <w:t>, temperature (T), CO or the pressure dependence of the CO reaction rate (</w:t>
      </w:r>
      <m:oMath>
        <m:sSub>
          <m:sSubPr>
            <m:ctrlPr>
              <w:rPr>
                <w:rFonts w:ascii="Cambria Math" w:hAnsi="Cambria Math" w:cs="Arial"/>
                <w:color w:val="000000"/>
                <w:sz w:val="20"/>
                <w:szCs w:val="20"/>
              </w:rPr>
            </m:ctrlPr>
          </m:sSubPr>
          <m:e>
            <m:r>
              <w:rPr>
                <w:rFonts w:ascii="Cambria Math" w:hAnsi="Cambria Math" w:cs="Arial"/>
                <w:color w:val="000000"/>
                <w:sz w:val="20"/>
                <w:szCs w:val="20"/>
              </w:rPr>
              <m:t>M</m:t>
            </m:r>
          </m:e>
          <m:sub>
            <m:sSub>
              <m:sSubPr>
                <m:ctrlPr>
                  <w:rPr>
                    <w:rFonts w:ascii="Cambria Math" w:hAnsi="Cambria Math" w:cs="Arial"/>
                    <w:color w:val="000000"/>
                    <w:sz w:val="20"/>
                    <w:szCs w:val="20"/>
                  </w:rPr>
                </m:ctrlPr>
              </m:sSubPr>
              <m:e>
                <m:r>
                  <w:rPr>
                    <w:rFonts w:ascii="Cambria Math" w:hAnsi="Cambria Math" w:cs="Arial"/>
                    <w:color w:val="000000"/>
                    <w:sz w:val="20"/>
                    <w:szCs w:val="20"/>
                  </w:rPr>
                  <m:t>k</m:t>
                </m:r>
              </m:e>
              <m:sub>
                <m:r>
                  <w:rPr>
                    <w:rFonts w:ascii="Cambria Math" w:hAnsi="Cambria Math" w:cs="Arial"/>
                    <w:color w:val="000000"/>
                    <w:sz w:val="20"/>
                    <w:szCs w:val="20"/>
                  </w:rPr>
                  <m:t>CO</m:t>
                </m:r>
              </m:sub>
            </m:sSub>
          </m:sub>
        </m:sSub>
      </m:oMath>
      <w:r w:rsidRPr="00780328">
        <w:rPr>
          <w:rFonts w:ascii="Arial" w:hAnsi="Arial" w:cs="Arial"/>
          <w:color w:val="000000"/>
          <w:sz w:val="20"/>
          <w:szCs w:val="20"/>
        </w:rPr>
        <w:t xml:space="preserve">) are individually held constant, for a) ATom observations and b) AM3 fields sampled along the ATom flight tracks. The colors indicate which of the terms is the largest contributor to proxy variance in that cell, with </w:t>
      </w:r>
      <w:r w:rsidR="0028237B">
        <w:rPr>
          <w:rFonts w:ascii="Arial" w:hAnsi="Arial" w:cs="Arial"/>
          <w:color w:val="000000"/>
          <w:sz w:val="20"/>
          <w:szCs w:val="20"/>
        </w:rPr>
        <w:t xml:space="preserve">bold text and </w:t>
      </w:r>
      <w:r w:rsidR="00BA5C09">
        <w:rPr>
          <w:rFonts w:ascii="Arial" w:hAnsi="Arial" w:cs="Arial"/>
          <w:color w:val="000000"/>
          <w:sz w:val="20"/>
          <w:szCs w:val="20"/>
        </w:rPr>
        <w:t xml:space="preserve">an </w:t>
      </w:r>
      <w:r w:rsidR="0028237B">
        <w:rPr>
          <w:rFonts w:ascii="Arial" w:hAnsi="Arial" w:cs="Arial"/>
          <w:color w:val="000000"/>
          <w:sz w:val="20"/>
          <w:szCs w:val="20"/>
        </w:rPr>
        <w:t>asterisk</w:t>
      </w:r>
      <w:r w:rsidR="0028237B" w:rsidRPr="00780328">
        <w:rPr>
          <w:rFonts w:ascii="Arial" w:hAnsi="Arial" w:cs="Arial"/>
          <w:color w:val="000000"/>
          <w:sz w:val="20"/>
          <w:szCs w:val="20"/>
        </w:rPr>
        <w:t xml:space="preserve"> </w:t>
      </w:r>
      <w:r w:rsidRPr="00780328">
        <w:rPr>
          <w:rFonts w:ascii="Arial" w:hAnsi="Arial" w:cs="Arial"/>
          <w:color w:val="000000"/>
          <w:sz w:val="20"/>
          <w:szCs w:val="20"/>
        </w:rPr>
        <w:t>indicating that the colored term contributes 0.20 more (</w:t>
      </w:r>
      <w:r w:rsidRPr="00780328">
        <w:rPr>
          <w:rFonts w:ascii="Arial" w:hAnsi="Arial" w:cs="Arial"/>
          <w:i/>
          <w:iCs/>
          <w:color w:val="000000"/>
          <w:sz w:val="20"/>
          <w:szCs w:val="20"/>
        </w:rPr>
        <w:t>r</w:t>
      </w:r>
      <w:r w:rsidRPr="00780328">
        <w:rPr>
          <w:rFonts w:ascii="Arial" w:hAnsi="Arial" w:cs="Arial"/>
          <w:color w:val="000000"/>
          <w:sz w:val="20"/>
          <w:szCs w:val="20"/>
          <w:vertAlign w:val="superscript"/>
        </w:rPr>
        <w:t>2</w:t>
      </w:r>
      <w:r w:rsidRPr="00780328">
        <w:rPr>
          <w:rFonts w:ascii="Arial" w:hAnsi="Arial" w:cs="Arial"/>
          <w:color w:val="000000"/>
          <w:sz w:val="20"/>
          <w:szCs w:val="20"/>
        </w:rPr>
        <w:t xml:space="preserve"> units) than the next-most influential term.</w:t>
      </w:r>
    </w:p>
    <w:p w14:paraId="421FC490" w14:textId="691786E2" w:rsidR="00270945" w:rsidRPr="00980C22" w:rsidRDefault="00270945">
      <w:pPr>
        <w:rPr>
          <w:rFonts w:ascii="Arial" w:hAnsi="Arial" w:cs="Arial"/>
          <w:sz w:val="20"/>
          <w:szCs w:val="20"/>
        </w:rPr>
      </w:pPr>
    </w:p>
    <w:sectPr w:rsidR="00270945" w:rsidRPr="00980C22" w:rsidSect="0056523B">
      <w:type w:val="continuous"/>
      <w:pgSz w:w="12240" w:h="15840"/>
      <w:pgMar w:top="1440" w:right="1800" w:bottom="1440" w:left="180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61A6" w14:textId="77777777" w:rsidR="000E3957" w:rsidRDefault="000E3957">
      <w:pPr>
        <w:spacing w:after="0"/>
      </w:pPr>
      <w:r>
        <w:separator/>
      </w:r>
    </w:p>
  </w:endnote>
  <w:endnote w:type="continuationSeparator" w:id="0">
    <w:p w14:paraId="2E505757" w14:textId="77777777" w:rsidR="000E3957" w:rsidRDefault="000E39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44FA" w14:textId="1FB46D1A" w:rsidR="00E6133D" w:rsidRDefault="00E6133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527BE">
      <w:rPr>
        <w:noProof/>
        <w:color w:val="000000"/>
      </w:rPr>
      <w:t>2</w:t>
    </w:r>
    <w:r>
      <w:rPr>
        <w:color w:val="000000"/>
      </w:rPr>
      <w:fldChar w:fldCharType="end"/>
    </w:r>
  </w:p>
  <w:p w14:paraId="5346F214" w14:textId="77777777" w:rsidR="00E6133D" w:rsidRDefault="00E613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B2D7" w14:textId="77777777" w:rsidR="000E3957" w:rsidRDefault="000E3957">
      <w:pPr>
        <w:spacing w:after="0"/>
      </w:pPr>
      <w:r>
        <w:separator/>
      </w:r>
    </w:p>
  </w:footnote>
  <w:footnote w:type="continuationSeparator" w:id="0">
    <w:p w14:paraId="2A1910F2" w14:textId="77777777" w:rsidR="000E3957" w:rsidRDefault="000E39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4CCF" w14:textId="77777777" w:rsidR="00E6133D" w:rsidRDefault="00E6133D">
    <w:pPr>
      <w:jc w:val="right"/>
      <w:rPr>
        <w:sz w:val="20"/>
        <w:szCs w:val="20"/>
      </w:rPr>
    </w:pPr>
  </w:p>
  <w:p w14:paraId="186F9857" w14:textId="77777777" w:rsidR="00E6133D" w:rsidRDefault="00E613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72136"/>
    <w:multiLevelType w:val="hybridMultilevel"/>
    <w:tmpl w:val="CED8A968"/>
    <w:lvl w:ilvl="0" w:tplc="639E1666">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F03307F"/>
    <w:multiLevelType w:val="multilevel"/>
    <w:tmpl w:val="DF428AA4"/>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i/>
        <w:i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6B6DBF"/>
    <w:multiLevelType w:val="multilevel"/>
    <w:tmpl w:val="25A4856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i/>
        <w:i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71E81580"/>
    <w:multiLevelType w:val="hybridMultilevel"/>
    <w:tmpl w:val="0296B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33D"/>
    <w:rsid w:val="00000DA1"/>
    <w:rsid w:val="000041EC"/>
    <w:rsid w:val="0000621D"/>
    <w:rsid w:val="0000660C"/>
    <w:rsid w:val="000215C3"/>
    <w:rsid w:val="0003296C"/>
    <w:rsid w:val="0003387B"/>
    <w:rsid w:val="0003499F"/>
    <w:rsid w:val="0004657F"/>
    <w:rsid w:val="00047952"/>
    <w:rsid w:val="000519D5"/>
    <w:rsid w:val="0005501B"/>
    <w:rsid w:val="000553E1"/>
    <w:rsid w:val="000559D1"/>
    <w:rsid w:val="00061895"/>
    <w:rsid w:val="00062A6C"/>
    <w:rsid w:val="00080095"/>
    <w:rsid w:val="0008356E"/>
    <w:rsid w:val="0009159E"/>
    <w:rsid w:val="00094B03"/>
    <w:rsid w:val="000A1915"/>
    <w:rsid w:val="000A3653"/>
    <w:rsid w:val="000A55B5"/>
    <w:rsid w:val="000B1C1D"/>
    <w:rsid w:val="000C3044"/>
    <w:rsid w:val="000D78A9"/>
    <w:rsid w:val="000E3957"/>
    <w:rsid w:val="000E3A15"/>
    <w:rsid w:val="001007BA"/>
    <w:rsid w:val="00100AE0"/>
    <w:rsid w:val="001015DF"/>
    <w:rsid w:val="00101EF0"/>
    <w:rsid w:val="00111450"/>
    <w:rsid w:val="00113920"/>
    <w:rsid w:val="00126272"/>
    <w:rsid w:val="0013605B"/>
    <w:rsid w:val="0014777F"/>
    <w:rsid w:val="001572C3"/>
    <w:rsid w:val="00161792"/>
    <w:rsid w:val="00166212"/>
    <w:rsid w:val="00177BC9"/>
    <w:rsid w:val="001838C8"/>
    <w:rsid w:val="0019315D"/>
    <w:rsid w:val="001A399F"/>
    <w:rsid w:val="001A7368"/>
    <w:rsid w:val="001A7970"/>
    <w:rsid w:val="001C08EE"/>
    <w:rsid w:val="001C2313"/>
    <w:rsid w:val="001C56AA"/>
    <w:rsid w:val="001C6B1F"/>
    <w:rsid w:val="001D3FF7"/>
    <w:rsid w:val="001F165A"/>
    <w:rsid w:val="001F1914"/>
    <w:rsid w:val="001F443C"/>
    <w:rsid w:val="001F7A6E"/>
    <w:rsid w:val="00200922"/>
    <w:rsid w:val="0021232A"/>
    <w:rsid w:val="00217C8C"/>
    <w:rsid w:val="00223DC2"/>
    <w:rsid w:val="002317FD"/>
    <w:rsid w:val="00235DF2"/>
    <w:rsid w:val="00241980"/>
    <w:rsid w:val="00243720"/>
    <w:rsid w:val="00247C11"/>
    <w:rsid w:val="00256AEE"/>
    <w:rsid w:val="00270945"/>
    <w:rsid w:val="002773B9"/>
    <w:rsid w:val="0028237B"/>
    <w:rsid w:val="0028248F"/>
    <w:rsid w:val="00286FDE"/>
    <w:rsid w:val="00287AE9"/>
    <w:rsid w:val="0029057E"/>
    <w:rsid w:val="00296C7D"/>
    <w:rsid w:val="00297CE3"/>
    <w:rsid w:val="002A2E92"/>
    <w:rsid w:val="002A7053"/>
    <w:rsid w:val="002B1F48"/>
    <w:rsid w:val="002B2848"/>
    <w:rsid w:val="002B48BE"/>
    <w:rsid w:val="002C078E"/>
    <w:rsid w:val="002C2A73"/>
    <w:rsid w:val="002D17D7"/>
    <w:rsid w:val="002D44E1"/>
    <w:rsid w:val="002E047E"/>
    <w:rsid w:val="002F3273"/>
    <w:rsid w:val="002F471C"/>
    <w:rsid w:val="00301EC9"/>
    <w:rsid w:val="00306C11"/>
    <w:rsid w:val="00315746"/>
    <w:rsid w:val="003200E0"/>
    <w:rsid w:val="003339F5"/>
    <w:rsid w:val="00333F4D"/>
    <w:rsid w:val="003372DA"/>
    <w:rsid w:val="00343EF0"/>
    <w:rsid w:val="00344DD9"/>
    <w:rsid w:val="0035154D"/>
    <w:rsid w:val="003560D0"/>
    <w:rsid w:val="003628CE"/>
    <w:rsid w:val="00372BC8"/>
    <w:rsid w:val="003816F7"/>
    <w:rsid w:val="003830A5"/>
    <w:rsid w:val="00390F9C"/>
    <w:rsid w:val="00391EE5"/>
    <w:rsid w:val="00392211"/>
    <w:rsid w:val="00393142"/>
    <w:rsid w:val="00396BF9"/>
    <w:rsid w:val="003C0D57"/>
    <w:rsid w:val="003E3ED5"/>
    <w:rsid w:val="003F00E8"/>
    <w:rsid w:val="003F0174"/>
    <w:rsid w:val="003F382D"/>
    <w:rsid w:val="00424C92"/>
    <w:rsid w:val="00432BDB"/>
    <w:rsid w:val="00441EEB"/>
    <w:rsid w:val="004504B8"/>
    <w:rsid w:val="00450577"/>
    <w:rsid w:val="004505F6"/>
    <w:rsid w:val="00451B21"/>
    <w:rsid w:val="00455579"/>
    <w:rsid w:val="00456932"/>
    <w:rsid w:val="00464703"/>
    <w:rsid w:val="004647E2"/>
    <w:rsid w:val="00473C84"/>
    <w:rsid w:val="00474D11"/>
    <w:rsid w:val="004768C8"/>
    <w:rsid w:val="00483883"/>
    <w:rsid w:val="00483D1D"/>
    <w:rsid w:val="004872E2"/>
    <w:rsid w:val="00497F48"/>
    <w:rsid w:val="004A1396"/>
    <w:rsid w:val="004B135C"/>
    <w:rsid w:val="004C61E8"/>
    <w:rsid w:val="004D3A22"/>
    <w:rsid w:val="004D4394"/>
    <w:rsid w:val="004E19DB"/>
    <w:rsid w:val="004F2EE6"/>
    <w:rsid w:val="004F6F73"/>
    <w:rsid w:val="00503953"/>
    <w:rsid w:val="0050723D"/>
    <w:rsid w:val="0051152A"/>
    <w:rsid w:val="005249B1"/>
    <w:rsid w:val="005514A6"/>
    <w:rsid w:val="00552C68"/>
    <w:rsid w:val="0055402E"/>
    <w:rsid w:val="00554D7C"/>
    <w:rsid w:val="0055657F"/>
    <w:rsid w:val="00556E00"/>
    <w:rsid w:val="00561D7B"/>
    <w:rsid w:val="0056523B"/>
    <w:rsid w:val="00567367"/>
    <w:rsid w:val="00571002"/>
    <w:rsid w:val="0059153D"/>
    <w:rsid w:val="00595738"/>
    <w:rsid w:val="005A78D5"/>
    <w:rsid w:val="005B0E36"/>
    <w:rsid w:val="005B1A2E"/>
    <w:rsid w:val="005B1D11"/>
    <w:rsid w:val="005B3A7C"/>
    <w:rsid w:val="005C2F9F"/>
    <w:rsid w:val="005C67E9"/>
    <w:rsid w:val="005C7DD7"/>
    <w:rsid w:val="005E041C"/>
    <w:rsid w:val="005E2D17"/>
    <w:rsid w:val="005F21A7"/>
    <w:rsid w:val="005F5261"/>
    <w:rsid w:val="00600BAF"/>
    <w:rsid w:val="00603CA3"/>
    <w:rsid w:val="00604832"/>
    <w:rsid w:val="00611E86"/>
    <w:rsid w:val="00612BD5"/>
    <w:rsid w:val="00613E9B"/>
    <w:rsid w:val="00615362"/>
    <w:rsid w:val="00620DA9"/>
    <w:rsid w:val="00623869"/>
    <w:rsid w:val="00632436"/>
    <w:rsid w:val="006328A6"/>
    <w:rsid w:val="0063552C"/>
    <w:rsid w:val="00637740"/>
    <w:rsid w:val="00652A67"/>
    <w:rsid w:val="00660172"/>
    <w:rsid w:val="00690364"/>
    <w:rsid w:val="00691911"/>
    <w:rsid w:val="0069330D"/>
    <w:rsid w:val="00695C57"/>
    <w:rsid w:val="006976B9"/>
    <w:rsid w:val="006A0A47"/>
    <w:rsid w:val="006A2907"/>
    <w:rsid w:val="006B28CC"/>
    <w:rsid w:val="006B5D26"/>
    <w:rsid w:val="006D4376"/>
    <w:rsid w:val="00704512"/>
    <w:rsid w:val="00705A10"/>
    <w:rsid w:val="00714421"/>
    <w:rsid w:val="00715B82"/>
    <w:rsid w:val="00726C71"/>
    <w:rsid w:val="00735144"/>
    <w:rsid w:val="00747090"/>
    <w:rsid w:val="00747228"/>
    <w:rsid w:val="007527BE"/>
    <w:rsid w:val="007603D7"/>
    <w:rsid w:val="0076055C"/>
    <w:rsid w:val="00760D51"/>
    <w:rsid w:val="007613D9"/>
    <w:rsid w:val="007650EB"/>
    <w:rsid w:val="00780328"/>
    <w:rsid w:val="0078341D"/>
    <w:rsid w:val="007840F7"/>
    <w:rsid w:val="007908FF"/>
    <w:rsid w:val="00790993"/>
    <w:rsid w:val="0079556C"/>
    <w:rsid w:val="007A4762"/>
    <w:rsid w:val="007B0B41"/>
    <w:rsid w:val="007B13CB"/>
    <w:rsid w:val="007B21CF"/>
    <w:rsid w:val="007B6A45"/>
    <w:rsid w:val="007D17FB"/>
    <w:rsid w:val="007E1C26"/>
    <w:rsid w:val="007F1EC3"/>
    <w:rsid w:val="007F380D"/>
    <w:rsid w:val="007F57CB"/>
    <w:rsid w:val="007F5909"/>
    <w:rsid w:val="00804B85"/>
    <w:rsid w:val="00811CD8"/>
    <w:rsid w:val="00813150"/>
    <w:rsid w:val="00821002"/>
    <w:rsid w:val="00823989"/>
    <w:rsid w:val="0082493B"/>
    <w:rsid w:val="00831927"/>
    <w:rsid w:val="00834CCF"/>
    <w:rsid w:val="00836024"/>
    <w:rsid w:val="00836A8C"/>
    <w:rsid w:val="00841863"/>
    <w:rsid w:val="00843AAD"/>
    <w:rsid w:val="00844FE3"/>
    <w:rsid w:val="00855C75"/>
    <w:rsid w:val="008575EC"/>
    <w:rsid w:val="00861823"/>
    <w:rsid w:val="008777B1"/>
    <w:rsid w:val="00877B47"/>
    <w:rsid w:val="008920E6"/>
    <w:rsid w:val="008926DB"/>
    <w:rsid w:val="00893850"/>
    <w:rsid w:val="00897D26"/>
    <w:rsid w:val="008A4E10"/>
    <w:rsid w:val="008B3B48"/>
    <w:rsid w:val="008B5C33"/>
    <w:rsid w:val="008B7644"/>
    <w:rsid w:val="008C6AC1"/>
    <w:rsid w:val="008C71AD"/>
    <w:rsid w:val="008D04B0"/>
    <w:rsid w:val="008D105E"/>
    <w:rsid w:val="008D346A"/>
    <w:rsid w:val="008D4227"/>
    <w:rsid w:val="008D5518"/>
    <w:rsid w:val="008D7A0A"/>
    <w:rsid w:val="008E5236"/>
    <w:rsid w:val="008E6DB8"/>
    <w:rsid w:val="008E725B"/>
    <w:rsid w:val="00904FBD"/>
    <w:rsid w:val="009108F6"/>
    <w:rsid w:val="00916024"/>
    <w:rsid w:val="009170F0"/>
    <w:rsid w:val="009215B7"/>
    <w:rsid w:val="00922AAE"/>
    <w:rsid w:val="00924BD8"/>
    <w:rsid w:val="0092631D"/>
    <w:rsid w:val="009304E2"/>
    <w:rsid w:val="00932263"/>
    <w:rsid w:val="00941390"/>
    <w:rsid w:val="0095446D"/>
    <w:rsid w:val="00955C29"/>
    <w:rsid w:val="00961B47"/>
    <w:rsid w:val="00966475"/>
    <w:rsid w:val="009759A8"/>
    <w:rsid w:val="0098031C"/>
    <w:rsid w:val="00980C22"/>
    <w:rsid w:val="00993547"/>
    <w:rsid w:val="009A2291"/>
    <w:rsid w:val="009A3A93"/>
    <w:rsid w:val="009C1B9E"/>
    <w:rsid w:val="009D3418"/>
    <w:rsid w:val="009E079E"/>
    <w:rsid w:val="009E3FDB"/>
    <w:rsid w:val="009F66BE"/>
    <w:rsid w:val="00A130EA"/>
    <w:rsid w:val="00A1401C"/>
    <w:rsid w:val="00A15610"/>
    <w:rsid w:val="00A20DB1"/>
    <w:rsid w:val="00A2291A"/>
    <w:rsid w:val="00A276D7"/>
    <w:rsid w:val="00A36E8D"/>
    <w:rsid w:val="00A4248C"/>
    <w:rsid w:val="00A42EF2"/>
    <w:rsid w:val="00A43716"/>
    <w:rsid w:val="00A43EB8"/>
    <w:rsid w:val="00A46D82"/>
    <w:rsid w:val="00A513A2"/>
    <w:rsid w:val="00A53343"/>
    <w:rsid w:val="00A54C07"/>
    <w:rsid w:val="00A55381"/>
    <w:rsid w:val="00A60C80"/>
    <w:rsid w:val="00A635A9"/>
    <w:rsid w:val="00A665E0"/>
    <w:rsid w:val="00A77A87"/>
    <w:rsid w:val="00A82A67"/>
    <w:rsid w:val="00A85CC3"/>
    <w:rsid w:val="00A97D78"/>
    <w:rsid w:val="00AA54B4"/>
    <w:rsid w:val="00AA7045"/>
    <w:rsid w:val="00AB306C"/>
    <w:rsid w:val="00AB4367"/>
    <w:rsid w:val="00AB6554"/>
    <w:rsid w:val="00AC1191"/>
    <w:rsid w:val="00AC40F4"/>
    <w:rsid w:val="00AC637C"/>
    <w:rsid w:val="00AD645C"/>
    <w:rsid w:val="00AD76ED"/>
    <w:rsid w:val="00AE2575"/>
    <w:rsid w:val="00AE353F"/>
    <w:rsid w:val="00AE5D81"/>
    <w:rsid w:val="00AE60EF"/>
    <w:rsid w:val="00AF04C8"/>
    <w:rsid w:val="00AF1F98"/>
    <w:rsid w:val="00B03AD1"/>
    <w:rsid w:val="00B13298"/>
    <w:rsid w:val="00B201B5"/>
    <w:rsid w:val="00B30924"/>
    <w:rsid w:val="00B342E8"/>
    <w:rsid w:val="00B356D1"/>
    <w:rsid w:val="00B36F53"/>
    <w:rsid w:val="00B4169B"/>
    <w:rsid w:val="00B473E4"/>
    <w:rsid w:val="00B568C5"/>
    <w:rsid w:val="00B6006C"/>
    <w:rsid w:val="00B663D5"/>
    <w:rsid w:val="00B7420A"/>
    <w:rsid w:val="00B86B83"/>
    <w:rsid w:val="00B9147E"/>
    <w:rsid w:val="00B91A73"/>
    <w:rsid w:val="00B9460F"/>
    <w:rsid w:val="00B9575B"/>
    <w:rsid w:val="00B96CFF"/>
    <w:rsid w:val="00BA4FC6"/>
    <w:rsid w:val="00BA5676"/>
    <w:rsid w:val="00BA5C09"/>
    <w:rsid w:val="00BA6F35"/>
    <w:rsid w:val="00BB19CB"/>
    <w:rsid w:val="00BB5C02"/>
    <w:rsid w:val="00BB5F45"/>
    <w:rsid w:val="00BC1E88"/>
    <w:rsid w:val="00BC6C3D"/>
    <w:rsid w:val="00BD70AC"/>
    <w:rsid w:val="00BE1C37"/>
    <w:rsid w:val="00BE3AF6"/>
    <w:rsid w:val="00BE7158"/>
    <w:rsid w:val="00BE7A45"/>
    <w:rsid w:val="00BF2FEC"/>
    <w:rsid w:val="00C03A37"/>
    <w:rsid w:val="00C20C8E"/>
    <w:rsid w:val="00C37F30"/>
    <w:rsid w:val="00C4341E"/>
    <w:rsid w:val="00C468BC"/>
    <w:rsid w:val="00C50632"/>
    <w:rsid w:val="00C514A7"/>
    <w:rsid w:val="00C51CF0"/>
    <w:rsid w:val="00C55182"/>
    <w:rsid w:val="00C606B8"/>
    <w:rsid w:val="00C64D3E"/>
    <w:rsid w:val="00C75638"/>
    <w:rsid w:val="00C76531"/>
    <w:rsid w:val="00C809B1"/>
    <w:rsid w:val="00C80E6B"/>
    <w:rsid w:val="00C86A3E"/>
    <w:rsid w:val="00C87FAC"/>
    <w:rsid w:val="00C97AF8"/>
    <w:rsid w:val="00CB056D"/>
    <w:rsid w:val="00CB566F"/>
    <w:rsid w:val="00CB5B28"/>
    <w:rsid w:val="00CB76C4"/>
    <w:rsid w:val="00CC52C6"/>
    <w:rsid w:val="00CC64F9"/>
    <w:rsid w:val="00CC690A"/>
    <w:rsid w:val="00CC7560"/>
    <w:rsid w:val="00CE383B"/>
    <w:rsid w:val="00CE47D1"/>
    <w:rsid w:val="00D13D5F"/>
    <w:rsid w:val="00D16294"/>
    <w:rsid w:val="00D21667"/>
    <w:rsid w:val="00D231FA"/>
    <w:rsid w:val="00D33614"/>
    <w:rsid w:val="00D37CE7"/>
    <w:rsid w:val="00D52395"/>
    <w:rsid w:val="00D57574"/>
    <w:rsid w:val="00D64724"/>
    <w:rsid w:val="00D718AF"/>
    <w:rsid w:val="00D7450A"/>
    <w:rsid w:val="00D7672E"/>
    <w:rsid w:val="00D83F4E"/>
    <w:rsid w:val="00D85382"/>
    <w:rsid w:val="00D9005B"/>
    <w:rsid w:val="00D93C19"/>
    <w:rsid w:val="00D97241"/>
    <w:rsid w:val="00DA059B"/>
    <w:rsid w:val="00DA17B6"/>
    <w:rsid w:val="00DA5A76"/>
    <w:rsid w:val="00DA685A"/>
    <w:rsid w:val="00DB1C97"/>
    <w:rsid w:val="00DD39C7"/>
    <w:rsid w:val="00DD4B65"/>
    <w:rsid w:val="00DE5DF9"/>
    <w:rsid w:val="00DF20A0"/>
    <w:rsid w:val="00DF4191"/>
    <w:rsid w:val="00DF48AE"/>
    <w:rsid w:val="00DF6B42"/>
    <w:rsid w:val="00E01958"/>
    <w:rsid w:val="00E102CD"/>
    <w:rsid w:val="00E11A4E"/>
    <w:rsid w:val="00E137E9"/>
    <w:rsid w:val="00E15AA0"/>
    <w:rsid w:val="00E16789"/>
    <w:rsid w:val="00E16A42"/>
    <w:rsid w:val="00E31F27"/>
    <w:rsid w:val="00E320E7"/>
    <w:rsid w:val="00E37493"/>
    <w:rsid w:val="00E5435C"/>
    <w:rsid w:val="00E54719"/>
    <w:rsid w:val="00E6133D"/>
    <w:rsid w:val="00E6400F"/>
    <w:rsid w:val="00E76D17"/>
    <w:rsid w:val="00E833C9"/>
    <w:rsid w:val="00EA0F55"/>
    <w:rsid w:val="00EA3486"/>
    <w:rsid w:val="00EA45E1"/>
    <w:rsid w:val="00EB031A"/>
    <w:rsid w:val="00EC37BB"/>
    <w:rsid w:val="00ED1221"/>
    <w:rsid w:val="00ED2E29"/>
    <w:rsid w:val="00ED41CB"/>
    <w:rsid w:val="00EE12F6"/>
    <w:rsid w:val="00EE47E5"/>
    <w:rsid w:val="00EE5334"/>
    <w:rsid w:val="00EE6A4E"/>
    <w:rsid w:val="00EF137B"/>
    <w:rsid w:val="00F04B52"/>
    <w:rsid w:val="00F12C16"/>
    <w:rsid w:val="00F2352D"/>
    <w:rsid w:val="00F302DB"/>
    <w:rsid w:val="00F47570"/>
    <w:rsid w:val="00F5561B"/>
    <w:rsid w:val="00F649EE"/>
    <w:rsid w:val="00F66F21"/>
    <w:rsid w:val="00F67036"/>
    <w:rsid w:val="00F717C0"/>
    <w:rsid w:val="00F8252C"/>
    <w:rsid w:val="00F839A7"/>
    <w:rsid w:val="00F86089"/>
    <w:rsid w:val="00F95E77"/>
    <w:rsid w:val="00F97F22"/>
    <w:rsid w:val="00FA0E68"/>
    <w:rsid w:val="00FA2388"/>
    <w:rsid w:val="00FA7CF5"/>
    <w:rsid w:val="00FB2497"/>
    <w:rsid w:val="00FC4F80"/>
    <w:rsid w:val="00FD0D03"/>
    <w:rsid w:val="00FD70BB"/>
    <w:rsid w:val="00FD7B5D"/>
    <w:rsid w:val="00FE0218"/>
    <w:rsid w:val="00FE4B76"/>
    <w:rsid w:val="00FE7FE5"/>
    <w:rsid w:val="00FF0175"/>
    <w:rsid w:val="00FF3C26"/>
    <w:rsid w:val="00FF4F16"/>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22619"/>
  <w14:defaultImageDpi w14:val="32767"/>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F38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F38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D76ED"/>
    <w:rPr>
      <w:color w:val="605E5C"/>
      <w:shd w:val="clear" w:color="auto" w:fill="E1DFDD"/>
    </w:rPr>
  </w:style>
  <w:style w:type="paragraph" w:styleId="ListParagraph">
    <w:name w:val="List Paragraph"/>
    <w:basedOn w:val="Normal"/>
    <w:uiPriority w:val="34"/>
    <w:qFormat/>
    <w:rsid w:val="007F380D"/>
    <w:pPr>
      <w:ind w:left="720"/>
      <w:contextualSpacing/>
    </w:pPr>
  </w:style>
  <w:style w:type="character" w:customStyle="1" w:styleId="Heading2Char">
    <w:name w:val="Heading 2 Char"/>
    <w:basedOn w:val="DefaultParagraphFont"/>
    <w:link w:val="Heading2"/>
    <w:uiPriority w:val="9"/>
    <w:semiHidden/>
    <w:rsid w:val="007F380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F380D"/>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780328"/>
    <w:pPr>
      <w:tabs>
        <w:tab w:val="left" w:pos="624"/>
      </w:tabs>
      <w:spacing w:after="240"/>
      <w:ind w:left="624" w:hanging="624"/>
    </w:pPr>
  </w:style>
  <w:style w:type="character" w:styleId="LineNumber">
    <w:name w:val="line number"/>
    <w:basedOn w:val="DefaultParagraphFont"/>
    <w:uiPriority w:val="99"/>
    <w:semiHidden/>
    <w:unhideWhenUsed/>
    <w:rsid w:val="0056523B"/>
  </w:style>
  <w:style w:type="character" w:styleId="PlaceholderText">
    <w:name w:val="Placeholder Text"/>
    <w:basedOn w:val="DefaultParagraphFont"/>
    <w:uiPriority w:val="99"/>
    <w:semiHidden/>
    <w:rsid w:val="00A276D7"/>
    <w:rPr>
      <w:color w:val="808080"/>
    </w:rPr>
  </w:style>
  <w:style w:type="paragraph" w:styleId="Revision">
    <w:name w:val="Revision"/>
    <w:hidden/>
    <w:uiPriority w:val="99"/>
    <w:semiHidden/>
    <w:rsid w:val="00D93C19"/>
    <w:pPr>
      <w:spacing w:after="0"/>
    </w:pPr>
  </w:style>
  <w:style w:type="character" w:customStyle="1" w:styleId="il">
    <w:name w:val="il"/>
    <w:basedOn w:val="DefaultParagraphFont"/>
    <w:rsid w:val="00147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739">
      <w:bodyDiv w:val="1"/>
      <w:marLeft w:val="0"/>
      <w:marRight w:val="0"/>
      <w:marTop w:val="0"/>
      <w:marBottom w:val="0"/>
      <w:divBdr>
        <w:top w:val="none" w:sz="0" w:space="0" w:color="auto"/>
        <w:left w:val="none" w:sz="0" w:space="0" w:color="auto"/>
        <w:bottom w:val="none" w:sz="0" w:space="0" w:color="auto"/>
        <w:right w:val="none" w:sz="0" w:space="0" w:color="auto"/>
      </w:divBdr>
    </w:div>
    <w:div w:id="180434189">
      <w:bodyDiv w:val="1"/>
      <w:marLeft w:val="0"/>
      <w:marRight w:val="0"/>
      <w:marTop w:val="0"/>
      <w:marBottom w:val="0"/>
      <w:divBdr>
        <w:top w:val="none" w:sz="0" w:space="0" w:color="auto"/>
        <w:left w:val="none" w:sz="0" w:space="0" w:color="auto"/>
        <w:bottom w:val="none" w:sz="0" w:space="0" w:color="auto"/>
        <w:right w:val="none" w:sz="0" w:space="0" w:color="auto"/>
      </w:divBdr>
    </w:div>
    <w:div w:id="61776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AirChem/F0A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xxxx@xxxx.xxx"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0275-232B-4382-BF98-8D28A500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63923</Words>
  <Characters>364367</Characters>
  <Application>Microsoft Office Word</Application>
  <DocSecurity>0</DocSecurity>
  <Lines>3036</Lines>
  <Paragraphs>854</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427436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Baublitz, Colleen (she/her/hers)</cp:lastModifiedBy>
  <cp:revision>3</cp:revision>
  <cp:lastPrinted>2023-06-15T20:48:00Z</cp:lastPrinted>
  <dcterms:created xsi:type="dcterms:W3CDTF">2023-06-15T20:49:00Z</dcterms:created>
  <dcterms:modified xsi:type="dcterms:W3CDTF">2023-06-15T21:07:00Z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id="DwRQ5GGE"/&gt;&lt;style id="http://www.zotero.org/styles/pnas"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