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DDE9E" w14:textId="6604EFE1" w:rsidR="00112093" w:rsidRDefault="000730CA">
      <w:pPr>
        <w:pStyle w:val="Title"/>
      </w:pPr>
      <w:r>
        <w:t xml:space="preserve">Simulations of </w:t>
      </w:r>
      <w:r w:rsidR="00A96E2A">
        <w:t>OSIRIS-REx</w:t>
      </w:r>
      <w:r w:rsidR="00CE13C8">
        <w:t xml:space="preserve"> Atmospheric Entry </w:t>
      </w:r>
      <w:r w:rsidR="00133B5B">
        <w:t>for</w:t>
      </w:r>
      <w:r w:rsidR="00CE13C8">
        <w:t xml:space="preserve"> Comparisons with Data from the Imaging Campaign</w:t>
      </w:r>
    </w:p>
    <w:p w14:paraId="0D63F269" w14:textId="55063C9A" w:rsidR="003442E4" w:rsidRDefault="003442E4" w:rsidP="003442E4">
      <w:pPr>
        <w:pStyle w:val="AuthorNames"/>
      </w:pPr>
      <w:r>
        <w:t>Dinesh K. Prabhu</w:t>
      </w:r>
      <w:r>
        <w:rPr>
          <w:rStyle w:val="FootnoteReference"/>
        </w:rPr>
        <w:footnoteReference w:id="1"/>
      </w:r>
    </w:p>
    <w:p w14:paraId="4E576682" w14:textId="77777777" w:rsidR="003442E4" w:rsidRDefault="003442E4" w:rsidP="003442E4">
      <w:pPr>
        <w:pStyle w:val="AuthorAffiliations"/>
      </w:pPr>
      <w:r>
        <w:t>AMA, Inc. at NASA Ames Research Center, Moffett Field, CA 94035, USA</w:t>
      </w:r>
    </w:p>
    <w:p w14:paraId="6762A625" w14:textId="0F134599" w:rsidR="00914996" w:rsidRDefault="00914996" w:rsidP="00914996">
      <w:pPr>
        <w:pStyle w:val="Abstract"/>
      </w:pPr>
      <w:r>
        <w:t xml:space="preserve">Results from </w:t>
      </w:r>
      <w:r w:rsidR="00646147">
        <w:t xml:space="preserve">pre-flight </w:t>
      </w:r>
      <w:r>
        <w:t xml:space="preserve">flow and radiation simulations for the </w:t>
      </w:r>
      <w:r w:rsidR="00133B5B">
        <w:t>OSIRIS-REx</w:t>
      </w:r>
      <w:r>
        <w:t xml:space="preserve"> Sample Return Capsule along </w:t>
      </w:r>
      <w:r w:rsidR="00133B5B">
        <w:t>a candidate entry</w:t>
      </w:r>
      <w:r>
        <w:t xml:space="preserve"> trajectory are presented. </w:t>
      </w:r>
      <w:r w:rsidR="00B11068">
        <w:t>These results are from pre-flight simulations in support of the observation campaign. Details of the methodology for computing temporal variation of spectral irradiance on an instrument onboard an aerial observation platform are presented along with a sampling of results</w:t>
      </w:r>
      <w:r>
        <w:t>.</w:t>
      </w:r>
      <w:r w:rsidR="00B11068">
        <w:t xml:space="preserve"> An attempt is made to </w:t>
      </w:r>
      <w:r w:rsidR="00343C17">
        <w:t>use the methodology presented to assess the level of elemental sodium in the shock layer</w:t>
      </w:r>
      <w:r w:rsidR="00B11068">
        <w:t>. The final paper</w:t>
      </w:r>
      <w:r w:rsidR="00493A9A">
        <w:t xml:space="preserve"> will be based on the actual flight trajectory and will include comparisons of predictions with calibrated spectrometric data.</w:t>
      </w:r>
    </w:p>
    <w:p w14:paraId="74A217EB" w14:textId="77777777" w:rsidR="00112093" w:rsidRDefault="00112093" w:rsidP="00112093">
      <w:pPr>
        <w:pStyle w:val="Heading1"/>
        <w:numPr>
          <w:ilvl w:val="0"/>
          <w:numId w:val="2"/>
        </w:numPr>
      </w:pPr>
      <w:r>
        <w:t>Introduction</w:t>
      </w:r>
    </w:p>
    <w:p w14:paraId="097C8850" w14:textId="6FDDFDD8" w:rsidR="00112093" w:rsidRDefault="00646147">
      <w:pPr>
        <w:pStyle w:val="Text"/>
        <w:keepNext/>
        <w:framePr w:dropCap="drop" w:lines="2" w:wrap="around" w:vAnchor="text" w:hAnchor="text"/>
        <w:spacing w:line="459" w:lineRule="exact"/>
        <w:ind w:firstLine="0"/>
        <w:rPr>
          <w:position w:val="-5"/>
          <w:sz w:val="58"/>
        </w:rPr>
      </w:pPr>
      <w:r>
        <w:rPr>
          <w:position w:val="-5"/>
          <w:sz w:val="58"/>
        </w:rPr>
        <w:t>S</w:t>
      </w:r>
    </w:p>
    <w:p w14:paraId="7E3461DF" w14:textId="29B2ED2C" w:rsidR="00F02A34" w:rsidRDefault="00646147" w:rsidP="00A82660">
      <w:pPr>
        <w:pStyle w:val="Text"/>
        <w:ind w:firstLine="0"/>
      </w:pPr>
      <w:r>
        <w:t>pectrometric</w:t>
      </w:r>
      <w:r w:rsidR="00E16C4A">
        <w:t xml:space="preserve"> </w:t>
      </w:r>
      <w:r>
        <w:t>imaging</w:t>
      </w:r>
      <w:r w:rsidR="00077F70">
        <w:t xml:space="preserve">, using an airborne platform, </w:t>
      </w:r>
      <w:r>
        <w:t>of a capsule entering Earth’s atmosphere at hyperbolic speeds has reached a certain level of maturity, having been applied to four missions now (see Table 1)</w:t>
      </w:r>
      <w:r w:rsidR="00E16C4A">
        <w:t>.</w:t>
      </w:r>
      <w:r>
        <w:t xml:space="preserve"> </w:t>
      </w:r>
      <w:r w:rsidR="00F02A34">
        <w:t xml:space="preserve"> </w:t>
      </w:r>
      <w:r w:rsidR="00810F47">
        <w:t xml:space="preserve">The technique was first applied to NASA’s Stardust mission </w:t>
      </w:r>
      <w:r w:rsidR="00810F47" w:rsidRPr="002078D0">
        <w:rPr>
          <w:color w:val="FF0000"/>
        </w:rPr>
        <w:t>[</w:t>
      </w:r>
      <w:r w:rsidR="002078D0" w:rsidRPr="002078D0">
        <w:rPr>
          <w:color w:val="FF0000"/>
        </w:rPr>
        <w:t>1</w:t>
      </w:r>
      <w:r w:rsidR="00810F47" w:rsidRPr="002078D0">
        <w:rPr>
          <w:color w:val="FF0000"/>
        </w:rPr>
        <w:t>]</w:t>
      </w:r>
      <w:r w:rsidR="00810F47">
        <w:t xml:space="preserve"> and then refined for the two Hayabusa missions </w:t>
      </w:r>
      <w:r w:rsidR="00810F47" w:rsidRPr="002078D0">
        <w:rPr>
          <w:color w:val="FF0000"/>
        </w:rPr>
        <w:t>[</w:t>
      </w:r>
      <w:r w:rsidR="002078D0" w:rsidRPr="002078D0">
        <w:rPr>
          <w:color w:val="FF0000"/>
        </w:rPr>
        <w:t>2</w:t>
      </w:r>
      <w:r w:rsidR="00810F47" w:rsidRPr="002078D0">
        <w:rPr>
          <w:color w:val="FF0000"/>
        </w:rPr>
        <w:t>,</w:t>
      </w:r>
      <w:r w:rsidR="002078D0" w:rsidRPr="002078D0">
        <w:rPr>
          <w:color w:val="FF0000"/>
        </w:rPr>
        <w:t>3</w:t>
      </w:r>
      <w:r w:rsidR="00810F47" w:rsidRPr="002078D0">
        <w:rPr>
          <w:color w:val="FF0000"/>
        </w:rPr>
        <w:t>]</w:t>
      </w:r>
      <w:r w:rsidR="00810F47">
        <w:t>. The latest application of th</w:t>
      </w:r>
      <w:r w:rsidR="00077F70">
        <w:t>is</w:t>
      </w:r>
      <w:r w:rsidR="00810F47">
        <w:t xml:space="preserve"> technique is NASA’s OSIRIS-REx </w:t>
      </w:r>
      <w:r w:rsidR="00350196">
        <w:t>(</w:t>
      </w:r>
      <w:r w:rsidR="00350196" w:rsidRPr="00350196">
        <w:rPr>
          <w:i/>
          <w:iCs/>
        </w:rPr>
        <w:t>O</w:t>
      </w:r>
      <w:r w:rsidR="00350196">
        <w:t xml:space="preserve">rigins, </w:t>
      </w:r>
      <w:r w:rsidR="00350196" w:rsidRPr="00350196">
        <w:rPr>
          <w:i/>
          <w:iCs/>
        </w:rPr>
        <w:t>S</w:t>
      </w:r>
      <w:r w:rsidR="00350196">
        <w:t xml:space="preserve">pectral </w:t>
      </w:r>
      <w:r w:rsidR="00350196" w:rsidRPr="00350196">
        <w:rPr>
          <w:i/>
          <w:iCs/>
        </w:rPr>
        <w:t>I</w:t>
      </w:r>
      <w:r w:rsidR="00350196">
        <w:t xml:space="preserve">nterpretation, </w:t>
      </w:r>
      <w:r w:rsidR="00350196" w:rsidRPr="00350196">
        <w:rPr>
          <w:i/>
          <w:iCs/>
        </w:rPr>
        <w:t>R</w:t>
      </w:r>
      <w:r w:rsidR="00350196">
        <w:t xml:space="preserve">esource </w:t>
      </w:r>
      <w:r w:rsidR="00350196" w:rsidRPr="00350196">
        <w:rPr>
          <w:i/>
          <w:iCs/>
        </w:rPr>
        <w:t>I</w:t>
      </w:r>
      <w:r w:rsidR="00350196">
        <w:t xml:space="preserve">dentification, </w:t>
      </w:r>
      <w:r w:rsidR="00350196" w:rsidRPr="00350196">
        <w:rPr>
          <w:i/>
          <w:iCs/>
        </w:rPr>
        <w:t>S</w:t>
      </w:r>
      <w:r w:rsidR="00350196">
        <w:t xml:space="preserve">ecurity, </w:t>
      </w:r>
      <w:r w:rsidR="00350196" w:rsidRPr="00350196">
        <w:rPr>
          <w:i/>
          <w:iCs/>
        </w:rPr>
        <w:t>R</w:t>
      </w:r>
      <w:r w:rsidR="00350196">
        <w:t xml:space="preserve">egolith </w:t>
      </w:r>
      <w:r w:rsidR="00350196" w:rsidRPr="00350196">
        <w:rPr>
          <w:i/>
          <w:iCs/>
        </w:rPr>
        <w:t>Ex</w:t>
      </w:r>
      <w:r w:rsidR="00350196">
        <w:t xml:space="preserve">plorer) </w:t>
      </w:r>
      <w:r w:rsidR="00810F47">
        <w:t>mission.</w:t>
      </w:r>
      <w:r w:rsidR="00350196">
        <w:t xml:space="preserve"> </w:t>
      </w:r>
      <w:r w:rsidR="00077F70">
        <w:t>In this mission, the</w:t>
      </w:r>
      <w:r w:rsidR="00350196">
        <w:t xml:space="preserve"> </w:t>
      </w:r>
      <w:r w:rsidR="00F9519D">
        <w:t>S</w:t>
      </w:r>
      <w:r w:rsidR="00350196">
        <w:t xml:space="preserve">ample </w:t>
      </w:r>
      <w:r w:rsidR="00F9519D">
        <w:t>R</w:t>
      </w:r>
      <w:r w:rsidR="00350196">
        <w:t xml:space="preserve">eturn </w:t>
      </w:r>
      <w:r w:rsidR="00F9519D">
        <w:t>C</w:t>
      </w:r>
      <w:r w:rsidR="00350196">
        <w:t>apsule (SRC), almost identical to the previously flown Stardust, entered Earth’s atmosphere on September 24, 2023</w:t>
      </w:r>
      <w:r w:rsidR="008E5C01">
        <w:t xml:space="preserve"> and landed safely in Utah Test and Training Range (UTTR), the same place where the Stardust SRC landed; the two Hayabusa capsules landed in the Woomera Test Range (WTR) in Australia.</w:t>
      </w:r>
    </w:p>
    <w:p w14:paraId="34692190" w14:textId="77777777" w:rsidR="006C4090" w:rsidRDefault="006C4090" w:rsidP="00A82660">
      <w:pPr>
        <w:pStyle w:val="Text"/>
        <w:ind w:firstLine="0"/>
      </w:pPr>
    </w:p>
    <w:p w14:paraId="4AA03918" w14:textId="69DAE300" w:rsidR="004B4197" w:rsidRPr="00E41C90" w:rsidRDefault="00E41C90" w:rsidP="00E41C90">
      <w:pPr>
        <w:pStyle w:val="Text"/>
        <w:ind w:firstLine="0"/>
        <w:jc w:val="center"/>
        <w:rPr>
          <w:b/>
          <w:bCs/>
          <w:sz w:val="18"/>
          <w:szCs w:val="18"/>
        </w:rPr>
      </w:pPr>
      <w:r w:rsidRPr="00E41C90">
        <w:rPr>
          <w:b/>
          <w:bCs/>
          <w:sz w:val="18"/>
          <w:szCs w:val="18"/>
        </w:rPr>
        <w:t xml:space="preserve">Table 1. </w:t>
      </w:r>
      <w:r w:rsidR="00810F47">
        <w:rPr>
          <w:b/>
          <w:bCs/>
          <w:sz w:val="18"/>
          <w:szCs w:val="18"/>
        </w:rPr>
        <w:t>List of Earth-entry missions to date that have used spectrometric imaging.</w:t>
      </w:r>
    </w:p>
    <w:tbl>
      <w:tblPr>
        <w:tblStyle w:val="TableGrid"/>
        <w:tblW w:w="9360"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1170"/>
        <w:gridCol w:w="1260"/>
        <w:gridCol w:w="1260"/>
        <w:gridCol w:w="1710"/>
        <w:gridCol w:w="2250"/>
      </w:tblGrid>
      <w:tr w:rsidR="00D87975" w14:paraId="0AD61F15" w14:textId="12ECE932" w:rsidTr="000B3477">
        <w:tc>
          <w:tcPr>
            <w:tcW w:w="1710" w:type="dxa"/>
            <w:tcBorders>
              <w:top w:val="double" w:sz="4" w:space="0" w:color="auto"/>
              <w:bottom w:val="single" w:sz="4" w:space="0" w:color="auto"/>
            </w:tcBorders>
            <w:vAlign w:val="bottom"/>
          </w:tcPr>
          <w:p w14:paraId="0B027BB6" w14:textId="51030C3A" w:rsidR="00D87975" w:rsidRPr="00D87975" w:rsidRDefault="00D87975" w:rsidP="000B3477">
            <w:pPr>
              <w:pStyle w:val="Text"/>
              <w:ind w:firstLine="0"/>
              <w:jc w:val="left"/>
              <w:rPr>
                <w:b/>
                <w:bCs/>
                <w:sz w:val="18"/>
                <w:szCs w:val="18"/>
              </w:rPr>
            </w:pPr>
            <w:r w:rsidRPr="00D87975">
              <w:rPr>
                <w:b/>
                <w:bCs/>
                <w:sz w:val="18"/>
                <w:szCs w:val="18"/>
              </w:rPr>
              <w:t>Mission</w:t>
            </w:r>
            <w:r w:rsidR="008E5C01">
              <w:rPr>
                <w:b/>
                <w:bCs/>
                <w:sz w:val="18"/>
                <w:szCs w:val="18"/>
              </w:rPr>
              <w:t>/Agency</w:t>
            </w:r>
          </w:p>
        </w:tc>
        <w:tc>
          <w:tcPr>
            <w:tcW w:w="1170" w:type="dxa"/>
            <w:tcBorders>
              <w:top w:val="double" w:sz="4" w:space="0" w:color="auto"/>
              <w:bottom w:val="single" w:sz="4" w:space="0" w:color="auto"/>
            </w:tcBorders>
            <w:vAlign w:val="bottom"/>
          </w:tcPr>
          <w:p w14:paraId="79509ABB" w14:textId="31FC256F" w:rsidR="00D87975" w:rsidRPr="00D87975" w:rsidRDefault="008E5C01" w:rsidP="000B3477">
            <w:pPr>
              <w:pStyle w:val="Text"/>
              <w:ind w:firstLine="0"/>
              <w:jc w:val="left"/>
              <w:rPr>
                <w:b/>
                <w:bCs/>
                <w:sz w:val="18"/>
                <w:szCs w:val="18"/>
              </w:rPr>
            </w:pPr>
            <w:r>
              <w:rPr>
                <w:b/>
                <w:bCs/>
                <w:sz w:val="18"/>
                <w:szCs w:val="18"/>
              </w:rPr>
              <w:t xml:space="preserve">Entry </w:t>
            </w:r>
            <w:r w:rsidR="00D87975" w:rsidRPr="00D87975">
              <w:rPr>
                <w:b/>
                <w:bCs/>
                <w:sz w:val="18"/>
                <w:szCs w:val="18"/>
              </w:rPr>
              <w:t>Date</w:t>
            </w:r>
          </w:p>
        </w:tc>
        <w:tc>
          <w:tcPr>
            <w:tcW w:w="1260" w:type="dxa"/>
            <w:tcBorders>
              <w:top w:val="double" w:sz="4" w:space="0" w:color="auto"/>
              <w:bottom w:val="single" w:sz="4" w:space="0" w:color="auto"/>
            </w:tcBorders>
            <w:vAlign w:val="bottom"/>
          </w:tcPr>
          <w:p w14:paraId="244CE452" w14:textId="3DB2B312" w:rsidR="00D87975" w:rsidRPr="00D87975" w:rsidRDefault="00D87975" w:rsidP="000B3477">
            <w:pPr>
              <w:pStyle w:val="Text"/>
              <w:ind w:firstLine="0"/>
              <w:jc w:val="left"/>
              <w:rPr>
                <w:b/>
                <w:bCs/>
                <w:sz w:val="18"/>
                <w:szCs w:val="18"/>
              </w:rPr>
            </w:pPr>
            <w:r w:rsidRPr="00D87975">
              <w:rPr>
                <w:b/>
                <w:bCs/>
                <w:sz w:val="18"/>
                <w:szCs w:val="18"/>
              </w:rPr>
              <w:t>Landing Site</w:t>
            </w:r>
          </w:p>
        </w:tc>
        <w:tc>
          <w:tcPr>
            <w:tcW w:w="1260" w:type="dxa"/>
            <w:tcBorders>
              <w:top w:val="double" w:sz="4" w:space="0" w:color="auto"/>
              <w:bottom w:val="single" w:sz="4" w:space="0" w:color="auto"/>
            </w:tcBorders>
            <w:vAlign w:val="bottom"/>
          </w:tcPr>
          <w:p w14:paraId="34DFDAB5" w14:textId="443DA00C" w:rsidR="00D87975" w:rsidRPr="00D87975" w:rsidRDefault="00D87975" w:rsidP="000B3477">
            <w:pPr>
              <w:pStyle w:val="Text"/>
              <w:ind w:firstLine="0"/>
              <w:jc w:val="left"/>
              <w:rPr>
                <w:b/>
                <w:bCs/>
                <w:sz w:val="18"/>
                <w:szCs w:val="18"/>
              </w:rPr>
            </w:pPr>
            <w:r w:rsidRPr="00D87975">
              <w:rPr>
                <w:b/>
                <w:bCs/>
                <w:sz w:val="18"/>
                <w:szCs w:val="18"/>
              </w:rPr>
              <w:t>SRC dia</w:t>
            </w:r>
            <w:r>
              <w:rPr>
                <w:b/>
                <w:bCs/>
                <w:sz w:val="18"/>
                <w:szCs w:val="18"/>
              </w:rPr>
              <w:t>.</w:t>
            </w:r>
            <w:r w:rsidRPr="00D87975">
              <w:rPr>
                <w:b/>
                <w:bCs/>
                <w:sz w:val="18"/>
                <w:szCs w:val="18"/>
              </w:rPr>
              <w:t xml:space="preserve"> (m)</w:t>
            </w:r>
            <w:r w:rsidR="000B3477">
              <w:rPr>
                <w:b/>
                <w:bCs/>
                <w:sz w:val="18"/>
                <w:szCs w:val="18"/>
              </w:rPr>
              <w:t xml:space="preserve"> </w:t>
            </w:r>
            <w:r w:rsidR="00646147">
              <w:rPr>
                <w:b/>
                <w:bCs/>
                <w:sz w:val="18"/>
                <w:szCs w:val="18"/>
              </w:rPr>
              <w:t>(</w:t>
            </w:r>
            <w:r w:rsidR="000B3477">
              <w:rPr>
                <w:b/>
                <w:bCs/>
                <w:sz w:val="18"/>
                <w:szCs w:val="18"/>
              </w:rPr>
              <w:t>Mass (kg)</w:t>
            </w:r>
            <w:r w:rsidR="00646147">
              <w:rPr>
                <w:b/>
                <w:bCs/>
                <w:sz w:val="18"/>
                <w:szCs w:val="18"/>
              </w:rPr>
              <w:t>)</w:t>
            </w:r>
          </w:p>
        </w:tc>
        <w:tc>
          <w:tcPr>
            <w:tcW w:w="1710" w:type="dxa"/>
            <w:tcBorders>
              <w:top w:val="double" w:sz="4" w:space="0" w:color="auto"/>
              <w:bottom w:val="single" w:sz="4" w:space="0" w:color="auto"/>
            </w:tcBorders>
            <w:vAlign w:val="bottom"/>
          </w:tcPr>
          <w:p w14:paraId="3D159AE0" w14:textId="36EA587F" w:rsidR="00D87975" w:rsidRPr="00D87975" w:rsidRDefault="00D87975" w:rsidP="000B3477">
            <w:pPr>
              <w:pStyle w:val="Text"/>
              <w:ind w:firstLine="0"/>
              <w:jc w:val="left"/>
              <w:rPr>
                <w:b/>
                <w:bCs/>
                <w:sz w:val="18"/>
                <w:szCs w:val="18"/>
              </w:rPr>
            </w:pPr>
            <w:r w:rsidRPr="00D87975">
              <w:rPr>
                <w:b/>
                <w:bCs/>
                <w:sz w:val="18"/>
                <w:szCs w:val="18"/>
              </w:rPr>
              <w:t>Entry speed (km/s)</w:t>
            </w:r>
          </w:p>
        </w:tc>
        <w:tc>
          <w:tcPr>
            <w:tcW w:w="2250" w:type="dxa"/>
            <w:tcBorders>
              <w:top w:val="double" w:sz="4" w:space="0" w:color="auto"/>
              <w:bottom w:val="single" w:sz="4" w:space="0" w:color="auto"/>
            </w:tcBorders>
            <w:vAlign w:val="bottom"/>
          </w:tcPr>
          <w:p w14:paraId="25BACC87" w14:textId="42A69F64" w:rsidR="00D87975" w:rsidRPr="00D87975" w:rsidRDefault="00D87975" w:rsidP="000B3477">
            <w:pPr>
              <w:pStyle w:val="Text"/>
              <w:ind w:firstLine="0"/>
              <w:jc w:val="left"/>
              <w:rPr>
                <w:b/>
                <w:bCs/>
                <w:sz w:val="18"/>
                <w:szCs w:val="18"/>
              </w:rPr>
            </w:pPr>
            <w:r w:rsidRPr="00D87975">
              <w:rPr>
                <w:b/>
                <w:bCs/>
                <w:sz w:val="18"/>
                <w:szCs w:val="18"/>
              </w:rPr>
              <w:t xml:space="preserve">Aerial </w:t>
            </w:r>
            <w:r w:rsidR="008E5C01">
              <w:rPr>
                <w:b/>
                <w:bCs/>
                <w:sz w:val="18"/>
                <w:szCs w:val="18"/>
              </w:rPr>
              <w:t xml:space="preserve">Obs. </w:t>
            </w:r>
            <w:r w:rsidRPr="00D87975">
              <w:rPr>
                <w:b/>
                <w:bCs/>
                <w:sz w:val="18"/>
                <w:szCs w:val="18"/>
              </w:rPr>
              <w:t>Platforms</w:t>
            </w:r>
          </w:p>
        </w:tc>
      </w:tr>
      <w:tr w:rsidR="00D87975" w14:paraId="2C404B59" w14:textId="0A4514B6" w:rsidTr="000B3477">
        <w:tc>
          <w:tcPr>
            <w:tcW w:w="1710" w:type="dxa"/>
            <w:tcBorders>
              <w:top w:val="single" w:sz="4" w:space="0" w:color="auto"/>
            </w:tcBorders>
          </w:tcPr>
          <w:p w14:paraId="53732D7D" w14:textId="3BA1AC52" w:rsidR="00D87975" w:rsidRPr="00D87975" w:rsidRDefault="00D87975" w:rsidP="00D87975">
            <w:pPr>
              <w:pStyle w:val="Text"/>
              <w:ind w:firstLine="0"/>
              <w:rPr>
                <w:sz w:val="18"/>
                <w:szCs w:val="18"/>
              </w:rPr>
            </w:pPr>
            <w:r w:rsidRPr="00D87975">
              <w:rPr>
                <w:sz w:val="18"/>
                <w:szCs w:val="18"/>
              </w:rPr>
              <w:t>Stardust/NASA</w:t>
            </w:r>
          </w:p>
        </w:tc>
        <w:tc>
          <w:tcPr>
            <w:tcW w:w="1170" w:type="dxa"/>
            <w:tcBorders>
              <w:top w:val="single" w:sz="4" w:space="0" w:color="auto"/>
            </w:tcBorders>
          </w:tcPr>
          <w:p w14:paraId="04A4EB7B" w14:textId="71947790" w:rsidR="00D87975" w:rsidRPr="00D87975" w:rsidRDefault="00D87975" w:rsidP="00D87975">
            <w:pPr>
              <w:pStyle w:val="Text"/>
              <w:ind w:firstLine="0"/>
              <w:jc w:val="left"/>
              <w:rPr>
                <w:sz w:val="18"/>
                <w:szCs w:val="18"/>
              </w:rPr>
            </w:pPr>
            <w:r w:rsidRPr="00D87975">
              <w:rPr>
                <w:sz w:val="18"/>
                <w:szCs w:val="18"/>
              </w:rPr>
              <w:t>15 Jan. 2006</w:t>
            </w:r>
          </w:p>
        </w:tc>
        <w:tc>
          <w:tcPr>
            <w:tcW w:w="1260" w:type="dxa"/>
            <w:tcBorders>
              <w:top w:val="single" w:sz="4" w:space="0" w:color="auto"/>
            </w:tcBorders>
          </w:tcPr>
          <w:p w14:paraId="45EA83B5" w14:textId="328CD304" w:rsidR="00D87975" w:rsidRPr="00D87975" w:rsidRDefault="00D87975" w:rsidP="00D87975">
            <w:pPr>
              <w:pStyle w:val="Text"/>
              <w:ind w:firstLine="0"/>
              <w:rPr>
                <w:sz w:val="18"/>
                <w:szCs w:val="18"/>
              </w:rPr>
            </w:pPr>
            <w:r w:rsidRPr="00D87975">
              <w:rPr>
                <w:sz w:val="18"/>
                <w:szCs w:val="18"/>
              </w:rPr>
              <w:t>UTTR, USA</w:t>
            </w:r>
          </w:p>
        </w:tc>
        <w:tc>
          <w:tcPr>
            <w:tcW w:w="1260" w:type="dxa"/>
            <w:tcBorders>
              <w:top w:val="single" w:sz="4" w:space="0" w:color="auto"/>
            </w:tcBorders>
          </w:tcPr>
          <w:p w14:paraId="50CB8F2B" w14:textId="0E5A1288" w:rsidR="00D87975" w:rsidRPr="00D87975" w:rsidRDefault="00D87975" w:rsidP="00D87975">
            <w:pPr>
              <w:pStyle w:val="Text"/>
              <w:ind w:firstLine="0"/>
              <w:rPr>
                <w:sz w:val="18"/>
                <w:szCs w:val="18"/>
              </w:rPr>
            </w:pPr>
            <w:r w:rsidRPr="00D87975">
              <w:rPr>
                <w:sz w:val="18"/>
                <w:szCs w:val="18"/>
              </w:rPr>
              <w:t>0.811</w:t>
            </w:r>
            <w:r w:rsidR="000B3477">
              <w:rPr>
                <w:sz w:val="18"/>
                <w:szCs w:val="18"/>
              </w:rPr>
              <w:t xml:space="preserve"> </w:t>
            </w:r>
            <w:r w:rsidR="00810F47">
              <w:rPr>
                <w:sz w:val="18"/>
                <w:szCs w:val="18"/>
              </w:rPr>
              <w:t>(</w:t>
            </w:r>
            <w:r w:rsidR="000B3477">
              <w:rPr>
                <w:sz w:val="18"/>
                <w:szCs w:val="18"/>
              </w:rPr>
              <w:t>46</w:t>
            </w:r>
            <w:r w:rsidR="00646147">
              <w:rPr>
                <w:sz w:val="18"/>
                <w:szCs w:val="18"/>
              </w:rPr>
              <w:t>)</w:t>
            </w:r>
          </w:p>
        </w:tc>
        <w:tc>
          <w:tcPr>
            <w:tcW w:w="1710" w:type="dxa"/>
            <w:tcBorders>
              <w:top w:val="single" w:sz="4" w:space="0" w:color="auto"/>
            </w:tcBorders>
          </w:tcPr>
          <w:p w14:paraId="2CB2A1B5" w14:textId="79EAA013" w:rsidR="00D87975" w:rsidRPr="00D87975" w:rsidRDefault="00D87975" w:rsidP="00D87975">
            <w:pPr>
              <w:pStyle w:val="Text"/>
              <w:ind w:firstLine="0"/>
              <w:rPr>
                <w:sz w:val="18"/>
                <w:szCs w:val="18"/>
              </w:rPr>
            </w:pPr>
            <w:r w:rsidRPr="00D87975">
              <w:rPr>
                <w:sz w:val="18"/>
                <w:szCs w:val="18"/>
              </w:rPr>
              <w:t>12.9 (inertial)</w:t>
            </w:r>
          </w:p>
        </w:tc>
        <w:tc>
          <w:tcPr>
            <w:tcW w:w="2250" w:type="dxa"/>
            <w:tcBorders>
              <w:top w:val="single" w:sz="4" w:space="0" w:color="auto"/>
            </w:tcBorders>
          </w:tcPr>
          <w:p w14:paraId="17385067" w14:textId="197553FF" w:rsidR="00D87975" w:rsidRPr="00D87975" w:rsidRDefault="00D87975" w:rsidP="00D87975">
            <w:pPr>
              <w:pStyle w:val="Text"/>
              <w:ind w:firstLine="0"/>
              <w:rPr>
                <w:sz w:val="18"/>
                <w:szCs w:val="18"/>
              </w:rPr>
            </w:pPr>
            <w:r w:rsidRPr="00D87975">
              <w:rPr>
                <w:sz w:val="18"/>
                <w:szCs w:val="18"/>
              </w:rPr>
              <w:t>NASA N817 (DC-8)</w:t>
            </w:r>
          </w:p>
        </w:tc>
      </w:tr>
      <w:tr w:rsidR="00D87975" w14:paraId="119D7B29" w14:textId="6671416E" w:rsidTr="000B3477">
        <w:tc>
          <w:tcPr>
            <w:tcW w:w="1710" w:type="dxa"/>
          </w:tcPr>
          <w:p w14:paraId="3997704C" w14:textId="0D6A01F3" w:rsidR="00D87975" w:rsidRPr="00D87975" w:rsidRDefault="00D87975" w:rsidP="00D87975">
            <w:pPr>
              <w:pStyle w:val="Text"/>
              <w:ind w:firstLine="0"/>
              <w:rPr>
                <w:sz w:val="18"/>
                <w:szCs w:val="18"/>
              </w:rPr>
            </w:pPr>
            <w:r w:rsidRPr="00D87975">
              <w:rPr>
                <w:sz w:val="18"/>
                <w:szCs w:val="18"/>
              </w:rPr>
              <w:t>Hayabusa/JAXA</w:t>
            </w:r>
          </w:p>
        </w:tc>
        <w:tc>
          <w:tcPr>
            <w:tcW w:w="1170" w:type="dxa"/>
          </w:tcPr>
          <w:p w14:paraId="01BBDAB8" w14:textId="27F5B0A7" w:rsidR="00D87975" w:rsidRPr="00D87975" w:rsidRDefault="00D87975" w:rsidP="00D87975">
            <w:pPr>
              <w:pStyle w:val="Text"/>
              <w:ind w:firstLine="0"/>
              <w:jc w:val="left"/>
              <w:rPr>
                <w:sz w:val="18"/>
                <w:szCs w:val="18"/>
              </w:rPr>
            </w:pPr>
            <w:r w:rsidRPr="00D87975">
              <w:rPr>
                <w:sz w:val="18"/>
                <w:szCs w:val="18"/>
              </w:rPr>
              <w:t>13 Jun. 2010</w:t>
            </w:r>
          </w:p>
        </w:tc>
        <w:tc>
          <w:tcPr>
            <w:tcW w:w="1260" w:type="dxa"/>
          </w:tcPr>
          <w:p w14:paraId="1EC286C8" w14:textId="0E2F03DD" w:rsidR="00D87975" w:rsidRPr="00D87975" w:rsidRDefault="00D87975" w:rsidP="00D87975">
            <w:pPr>
              <w:pStyle w:val="Text"/>
              <w:ind w:firstLine="0"/>
              <w:rPr>
                <w:sz w:val="18"/>
                <w:szCs w:val="18"/>
              </w:rPr>
            </w:pPr>
            <w:r w:rsidRPr="00D87975">
              <w:rPr>
                <w:sz w:val="18"/>
                <w:szCs w:val="18"/>
              </w:rPr>
              <w:t xml:space="preserve">WTR, </w:t>
            </w:r>
            <w:r>
              <w:rPr>
                <w:sz w:val="18"/>
                <w:szCs w:val="18"/>
              </w:rPr>
              <w:t>Aus.</w:t>
            </w:r>
          </w:p>
        </w:tc>
        <w:tc>
          <w:tcPr>
            <w:tcW w:w="1260" w:type="dxa"/>
          </w:tcPr>
          <w:p w14:paraId="27B97A81" w14:textId="11A8B037" w:rsidR="00D87975" w:rsidRPr="00D87975" w:rsidRDefault="00D87975" w:rsidP="00D87975">
            <w:pPr>
              <w:pStyle w:val="Text"/>
              <w:ind w:firstLine="0"/>
              <w:rPr>
                <w:sz w:val="18"/>
                <w:szCs w:val="18"/>
              </w:rPr>
            </w:pPr>
            <w:r w:rsidRPr="00D87975">
              <w:rPr>
                <w:sz w:val="18"/>
                <w:szCs w:val="18"/>
              </w:rPr>
              <w:t>0.413</w:t>
            </w:r>
            <w:r w:rsidR="000B3477">
              <w:rPr>
                <w:sz w:val="18"/>
                <w:szCs w:val="18"/>
              </w:rPr>
              <w:t xml:space="preserve"> </w:t>
            </w:r>
            <w:r w:rsidR="00810F47">
              <w:rPr>
                <w:sz w:val="18"/>
                <w:szCs w:val="18"/>
              </w:rPr>
              <w:t>(</w:t>
            </w:r>
            <w:r w:rsidR="000B3477">
              <w:rPr>
                <w:sz w:val="18"/>
                <w:szCs w:val="18"/>
              </w:rPr>
              <w:t>16</w:t>
            </w:r>
            <w:r w:rsidR="00646147">
              <w:rPr>
                <w:sz w:val="18"/>
                <w:szCs w:val="18"/>
              </w:rPr>
              <w:t>)</w:t>
            </w:r>
          </w:p>
        </w:tc>
        <w:tc>
          <w:tcPr>
            <w:tcW w:w="1710" w:type="dxa"/>
          </w:tcPr>
          <w:p w14:paraId="7CE822FB" w14:textId="1C298981" w:rsidR="00D87975" w:rsidRPr="00D87975" w:rsidRDefault="00D87975" w:rsidP="00D87975">
            <w:pPr>
              <w:pStyle w:val="Text"/>
              <w:ind w:firstLine="0"/>
              <w:rPr>
                <w:sz w:val="18"/>
                <w:szCs w:val="18"/>
              </w:rPr>
            </w:pPr>
            <w:r w:rsidRPr="00D87975">
              <w:rPr>
                <w:sz w:val="18"/>
                <w:szCs w:val="18"/>
              </w:rPr>
              <w:t>12.2 (inertial)</w:t>
            </w:r>
          </w:p>
        </w:tc>
        <w:tc>
          <w:tcPr>
            <w:tcW w:w="2250" w:type="dxa"/>
          </w:tcPr>
          <w:p w14:paraId="21E7F3C7" w14:textId="16FB9151" w:rsidR="00D87975" w:rsidRPr="00D87975" w:rsidRDefault="00D87975" w:rsidP="00D87975">
            <w:pPr>
              <w:pStyle w:val="Text"/>
              <w:ind w:firstLine="0"/>
              <w:rPr>
                <w:sz w:val="18"/>
                <w:szCs w:val="18"/>
              </w:rPr>
            </w:pPr>
            <w:r w:rsidRPr="00D87975">
              <w:rPr>
                <w:sz w:val="18"/>
                <w:szCs w:val="18"/>
              </w:rPr>
              <w:t>NASA N817 (DC-8)</w:t>
            </w:r>
          </w:p>
        </w:tc>
      </w:tr>
      <w:tr w:rsidR="00D87975" w14:paraId="1778F492" w14:textId="5A7FD276" w:rsidTr="000B3477">
        <w:tc>
          <w:tcPr>
            <w:tcW w:w="1710" w:type="dxa"/>
          </w:tcPr>
          <w:p w14:paraId="618A94A1" w14:textId="45B6109A" w:rsidR="00D87975" w:rsidRPr="00D87975" w:rsidRDefault="00D87975" w:rsidP="00D87975">
            <w:pPr>
              <w:pStyle w:val="Text"/>
              <w:ind w:firstLine="0"/>
              <w:rPr>
                <w:sz w:val="18"/>
                <w:szCs w:val="18"/>
              </w:rPr>
            </w:pPr>
            <w:r w:rsidRPr="00D87975">
              <w:rPr>
                <w:sz w:val="18"/>
                <w:szCs w:val="18"/>
              </w:rPr>
              <w:t>Hayabusa2/JAXA</w:t>
            </w:r>
          </w:p>
        </w:tc>
        <w:tc>
          <w:tcPr>
            <w:tcW w:w="1170" w:type="dxa"/>
          </w:tcPr>
          <w:p w14:paraId="1C74E24C" w14:textId="2A2ABAB4" w:rsidR="00D87975" w:rsidRPr="00D87975" w:rsidRDefault="00D87975" w:rsidP="00D87975">
            <w:pPr>
              <w:pStyle w:val="Text"/>
              <w:ind w:firstLine="0"/>
              <w:jc w:val="left"/>
              <w:rPr>
                <w:sz w:val="18"/>
                <w:szCs w:val="18"/>
              </w:rPr>
            </w:pPr>
            <w:r w:rsidRPr="00D87975">
              <w:rPr>
                <w:sz w:val="18"/>
                <w:szCs w:val="18"/>
              </w:rPr>
              <w:t>5 Dec. 2020</w:t>
            </w:r>
          </w:p>
        </w:tc>
        <w:tc>
          <w:tcPr>
            <w:tcW w:w="1260" w:type="dxa"/>
          </w:tcPr>
          <w:p w14:paraId="4B1A301C" w14:textId="66E0AF38" w:rsidR="00D87975" w:rsidRPr="00D87975" w:rsidRDefault="00D87975" w:rsidP="00D87975">
            <w:pPr>
              <w:pStyle w:val="Text"/>
              <w:ind w:firstLine="0"/>
              <w:rPr>
                <w:sz w:val="18"/>
                <w:szCs w:val="18"/>
              </w:rPr>
            </w:pPr>
            <w:r w:rsidRPr="00D87975">
              <w:rPr>
                <w:sz w:val="18"/>
                <w:szCs w:val="18"/>
              </w:rPr>
              <w:t xml:space="preserve">WTR, </w:t>
            </w:r>
            <w:r>
              <w:rPr>
                <w:sz w:val="18"/>
                <w:szCs w:val="18"/>
              </w:rPr>
              <w:t>Aus.</w:t>
            </w:r>
          </w:p>
        </w:tc>
        <w:tc>
          <w:tcPr>
            <w:tcW w:w="1260" w:type="dxa"/>
          </w:tcPr>
          <w:p w14:paraId="46B48C58" w14:textId="47015EBC" w:rsidR="00D87975" w:rsidRPr="00D87975" w:rsidRDefault="00D87975" w:rsidP="00D87975">
            <w:pPr>
              <w:pStyle w:val="Text"/>
              <w:ind w:firstLine="0"/>
              <w:rPr>
                <w:sz w:val="18"/>
                <w:szCs w:val="18"/>
              </w:rPr>
            </w:pPr>
            <w:r w:rsidRPr="00D87975">
              <w:rPr>
                <w:sz w:val="18"/>
                <w:szCs w:val="18"/>
              </w:rPr>
              <w:t>0.413</w:t>
            </w:r>
            <w:r w:rsidR="000B3477">
              <w:rPr>
                <w:sz w:val="18"/>
                <w:szCs w:val="18"/>
              </w:rPr>
              <w:t xml:space="preserve"> </w:t>
            </w:r>
            <w:r w:rsidR="00810F47">
              <w:rPr>
                <w:sz w:val="18"/>
                <w:szCs w:val="18"/>
              </w:rPr>
              <w:t>(</w:t>
            </w:r>
            <w:r w:rsidR="000B3477">
              <w:rPr>
                <w:sz w:val="18"/>
                <w:szCs w:val="18"/>
              </w:rPr>
              <w:t>16</w:t>
            </w:r>
            <w:r w:rsidR="00646147">
              <w:rPr>
                <w:sz w:val="18"/>
                <w:szCs w:val="18"/>
              </w:rPr>
              <w:t>)</w:t>
            </w:r>
          </w:p>
        </w:tc>
        <w:tc>
          <w:tcPr>
            <w:tcW w:w="1710" w:type="dxa"/>
          </w:tcPr>
          <w:p w14:paraId="4DF067C1" w14:textId="386B8936" w:rsidR="00D87975" w:rsidRPr="00D87975" w:rsidRDefault="00D87975" w:rsidP="00D87975">
            <w:pPr>
              <w:pStyle w:val="Text"/>
              <w:ind w:firstLine="0"/>
              <w:rPr>
                <w:sz w:val="18"/>
                <w:szCs w:val="18"/>
              </w:rPr>
            </w:pPr>
            <w:r w:rsidRPr="00D87975">
              <w:rPr>
                <w:sz w:val="18"/>
                <w:szCs w:val="18"/>
              </w:rPr>
              <w:t>12.0 (inertial)</w:t>
            </w:r>
          </w:p>
        </w:tc>
        <w:tc>
          <w:tcPr>
            <w:tcW w:w="2250" w:type="dxa"/>
          </w:tcPr>
          <w:p w14:paraId="75381730" w14:textId="1A7F0494" w:rsidR="00D87975" w:rsidRPr="00D87975" w:rsidRDefault="00D87975" w:rsidP="00D87975">
            <w:pPr>
              <w:pStyle w:val="Text"/>
              <w:ind w:firstLine="0"/>
              <w:rPr>
                <w:sz w:val="18"/>
                <w:szCs w:val="18"/>
              </w:rPr>
            </w:pPr>
            <w:r w:rsidRPr="00D87975">
              <w:rPr>
                <w:sz w:val="18"/>
                <w:szCs w:val="18"/>
              </w:rPr>
              <w:t>NASA N992 (GIII)</w:t>
            </w:r>
          </w:p>
          <w:p w14:paraId="74B9E968" w14:textId="20AC67CB" w:rsidR="00D87975" w:rsidRPr="00D87975" w:rsidRDefault="00D87975" w:rsidP="00D87975">
            <w:pPr>
              <w:pStyle w:val="Text"/>
              <w:ind w:firstLine="0"/>
              <w:rPr>
                <w:sz w:val="18"/>
                <w:szCs w:val="18"/>
              </w:rPr>
            </w:pPr>
            <w:r w:rsidRPr="00D87975">
              <w:rPr>
                <w:sz w:val="18"/>
                <w:szCs w:val="18"/>
              </w:rPr>
              <w:t>NASA N520 (GIII)</w:t>
            </w:r>
          </w:p>
        </w:tc>
      </w:tr>
      <w:tr w:rsidR="00D87975" w14:paraId="59703635" w14:textId="1B3C343E" w:rsidTr="000B3477">
        <w:tc>
          <w:tcPr>
            <w:tcW w:w="1710" w:type="dxa"/>
          </w:tcPr>
          <w:p w14:paraId="164B4E66" w14:textId="7D6E8C2E" w:rsidR="00D87975" w:rsidRPr="00D87975" w:rsidRDefault="00D87975" w:rsidP="00D87975">
            <w:pPr>
              <w:pStyle w:val="Text"/>
              <w:ind w:firstLine="0"/>
              <w:rPr>
                <w:sz w:val="18"/>
                <w:szCs w:val="18"/>
              </w:rPr>
            </w:pPr>
            <w:r w:rsidRPr="00D87975">
              <w:rPr>
                <w:sz w:val="18"/>
                <w:szCs w:val="18"/>
              </w:rPr>
              <w:t>OSIRIS-REx/NASA</w:t>
            </w:r>
          </w:p>
        </w:tc>
        <w:tc>
          <w:tcPr>
            <w:tcW w:w="1170" w:type="dxa"/>
          </w:tcPr>
          <w:p w14:paraId="620B4BDC" w14:textId="49EC3196" w:rsidR="00D87975" w:rsidRPr="00D87975" w:rsidRDefault="00D87975" w:rsidP="00D87975">
            <w:pPr>
              <w:pStyle w:val="Text"/>
              <w:ind w:firstLine="0"/>
              <w:jc w:val="left"/>
              <w:rPr>
                <w:sz w:val="18"/>
                <w:szCs w:val="18"/>
              </w:rPr>
            </w:pPr>
            <w:r w:rsidRPr="00D87975">
              <w:rPr>
                <w:sz w:val="18"/>
                <w:szCs w:val="18"/>
              </w:rPr>
              <w:t>24 Sep. 2023</w:t>
            </w:r>
          </w:p>
        </w:tc>
        <w:tc>
          <w:tcPr>
            <w:tcW w:w="1260" w:type="dxa"/>
          </w:tcPr>
          <w:p w14:paraId="666A2896" w14:textId="7C1947EE" w:rsidR="00D87975" w:rsidRPr="00D87975" w:rsidRDefault="00D87975" w:rsidP="00D87975">
            <w:pPr>
              <w:pStyle w:val="Text"/>
              <w:ind w:firstLine="0"/>
              <w:rPr>
                <w:sz w:val="18"/>
                <w:szCs w:val="18"/>
              </w:rPr>
            </w:pPr>
            <w:r w:rsidRPr="00D87975">
              <w:rPr>
                <w:sz w:val="18"/>
                <w:szCs w:val="18"/>
              </w:rPr>
              <w:t>UTTR, USA</w:t>
            </w:r>
          </w:p>
        </w:tc>
        <w:tc>
          <w:tcPr>
            <w:tcW w:w="1260" w:type="dxa"/>
          </w:tcPr>
          <w:p w14:paraId="11A3F164" w14:textId="72874135" w:rsidR="00D87975" w:rsidRPr="00D87975" w:rsidRDefault="00D87975" w:rsidP="00D87975">
            <w:pPr>
              <w:pStyle w:val="Text"/>
              <w:ind w:firstLine="0"/>
              <w:rPr>
                <w:sz w:val="18"/>
                <w:szCs w:val="18"/>
              </w:rPr>
            </w:pPr>
            <w:r w:rsidRPr="00D87975">
              <w:rPr>
                <w:sz w:val="18"/>
                <w:szCs w:val="18"/>
              </w:rPr>
              <w:t>0.811</w:t>
            </w:r>
            <w:r w:rsidR="000B3477">
              <w:rPr>
                <w:sz w:val="18"/>
                <w:szCs w:val="18"/>
              </w:rPr>
              <w:t xml:space="preserve"> </w:t>
            </w:r>
            <w:r w:rsidR="00810F47">
              <w:rPr>
                <w:sz w:val="18"/>
                <w:szCs w:val="18"/>
              </w:rPr>
              <w:t>(</w:t>
            </w:r>
            <w:r w:rsidR="000B3477">
              <w:rPr>
                <w:sz w:val="18"/>
                <w:szCs w:val="18"/>
              </w:rPr>
              <w:t>55</w:t>
            </w:r>
            <w:r w:rsidR="00646147">
              <w:rPr>
                <w:sz w:val="18"/>
                <w:szCs w:val="18"/>
              </w:rPr>
              <w:t>)</w:t>
            </w:r>
          </w:p>
        </w:tc>
        <w:tc>
          <w:tcPr>
            <w:tcW w:w="1710" w:type="dxa"/>
          </w:tcPr>
          <w:p w14:paraId="325F5E36" w14:textId="76529548" w:rsidR="00D87975" w:rsidRPr="00D87975" w:rsidRDefault="00D87975" w:rsidP="00D87975">
            <w:pPr>
              <w:pStyle w:val="Text"/>
              <w:ind w:firstLine="0"/>
              <w:rPr>
                <w:sz w:val="18"/>
                <w:szCs w:val="18"/>
              </w:rPr>
            </w:pPr>
            <w:r w:rsidRPr="00D87975">
              <w:rPr>
                <w:sz w:val="18"/>
                <w:szCs w:val="18"/>
              </w:rPr>
              <w:t>12.4 (est. relative)</w:t>
            </w:r>
          </w:p>
        </w:tc>
        <w:tc>
          <w:tcPr>
            <w:tcW w:w="2250" w:type="dxa"/>
          </w:tcPr>
          <w:p w14:paraId="5E27A271" w14:textId="3811AC71" w:rsidR="00D87975" w:rsidRPr="00D87975" w:rsidRDefault="00D87975" w:rsidP="00D87975">
            <w:pPr>
              <w:pStyle w:val="Text"/>
              <w:ind w:firstLine="0"/>
              <w:rPr>
                <w:sz w:val="18"/>
                <w:szCs w:val="18"/>
              </w:rPr>
            </w:pPr>
            <w:r w:rsidRPr="00D87975">
              <w:rPr>
                <w:sz w:val="18"/>
                <w:szCs w:val="18"/>
              </w:rPr>
              <w:t>NASA N522 (GIV)</w:t>
            </w:r>
          </w:p>
          <w:p w14:paraId="0B36B7E1" w14:textId="25C915F0" w:rsidR="00D87975" w:rsidRPr="00D87975" w:rsidRDefault="00D87975" w:rsidP="00D87975">
            <w:pPr>
              <w:pStyle w:val="Text"/>
              <w:ind w:firstLine="0"/>
              <w:rPr>
                <w:sz w:val="18"/>
                <w:szCs w:val="18"/>
              </w:rPr>
            </w:pPr>
            <w:r w:rsidRPr="00D87975">
              <w:rPr>
                <w:sz w:val="18"/>
                <w:szCs w:val="18"/>
              </w:rPr>
              <w:t>NASA N992 (GIII)</w:t>
            </w:r>
          </w:p>
          <w:p w14:paraId="75BC69AB" w14:textId="1C566501" w:rsidR="00D87975" w:rsidRPr="00D87975" w:rsidRDefault="00D87975" w:rsidP="00D87975">
            <w:pPr>
              <w:pStyle w:val="Text"/>
              <w:ind w:firstLine="0"/>
              <w:rPr>
                <w:sz w:val="18"/>
                <w:szCs w:val="18"/>
              </w:rPr>
            </w:pPr>
            <w:r w:rsidRPr="00D87975">
              <w:rPr>
                <w:sz w:val="18"/>
                <w:szCs w:val="18"/>
              </w:rPr>
              <w:t>NASA N927 (WB-57)</w:t>
            </w:r>
          </w:p>
          <w:p w14:paraId="6FACF2EE" w14:textId="25BFBD0C" w:rsidR="00D87975" w:rsidRPr="00D87975" w:rsidRDefault="00D87975" w:rsidP="00D87975">
            <w:pPr>
              <w:pStyle w:val="Text"/>
              <w:ind w:firstLine="0"/>
              <w:rPr>
                <w:sz w:val="18"/>
                <w:szCs w:val="18"/>
              </w:rPr>
            </w:pPr>
            <w:r w:rsidRPr="00D87975">
              <w:rPr>
                <w:sz w:val="18"/>
                <w:szCs w:val="18"/>
              </w:rPr>
              <w:t>Falcon 990EX</w:t>
            </w:r>
          </w:p>
        </w:tc>
      </w:tr>
    </w:tbl>
    <w:p w14:paraId="724431B4" w14:textId="77777777" w:rsidR="006C4090" w:rsidRDefault="006C4090" w:rsidP="00A82660">
      <w:pPr>
        <w:pStyle w:val="Text"/>
        <w:ind w:firstLine="0"/>
      </w:pPr>
    </w:p>
    <w:p w14:paraId="40A65E45" w14:textId="75431685" w:rsidR="001761AC" w:rsidRDefault="00343C17" w:rsidP="001761AC">
      <w:pPr>
        <w:pStyle w:val="Text"/>
      </w:pPr>
      <w:r>
        <w:t>One the one hand, i</w:t>
      </w:r>
      <w:r w:rsidR="002078D0">
        <w:t>n the absence of any instrumentation/sensors built into the thermal protection system around an entry capsule, an airborne spectrometric imaging campaign is a valuable alternative</w:t>
      </w:r>
      <w:r w:rsidR="009D77CF">
        <w:t xml:space="preserve"> method to obtain data to verify the simulation tools used in aerothermal design of the thermal protection system.</w:t>
      </w:r>
      <w:r w:rsidR="00D735D4">
        <w:t xml:space="preserve"> Irradiance measurements</w:t>
      </w:r>
      <w:r w:rsidR="009D77CF">
        <w:t xml:space="preserve"> </w:t>
      </w:r>
      <w:r w:rsidR="00D735D4">
        <w:t xml:space="preserve">provide temporal and spectral resolution of two primary sources of radiance from the SRC: (i) a volumetric source representing the shock-heated gas mixture around the entry capsule, and (ii) an areal source representing the aerodynamically-heated surface of the capsule. Since the radiating object, </w:t>
      </w:r>
      <w:r w:rsidR="00D735D4">
        <w:rPr>
          <w:i/>
          <w:iCs/>
        </w:rPr>
        <w:t>i.e.</w:t>
      </w:r>
      <w:r w:rsidR="00D735D4">
        <w:t>, the SRC, is imaged from a distance orders of magnitude larger than the geometric length scale (</w:t>
      </w:r>
      <w:r w:rsidR="00D735D4">
        <w:rPr>
          <w:i/>
          <w:iCs/>
        </w:rPr>
        <w:t>e.g.</w:t>
      </w:r>
      <w:r w:rsidR="00D735D4">
        <w:t xml:space="preserve">, the base diameter) of the object, there is no spatial resolution of either the flow field or the capsule. Consequently, the radiance is homogenized or spatially averaged with subsequent transmission through the intervening atmosphere. Nevertheless, the relative magnitude of measured irradiance of the two sources allows one to discern certain characteristics of the radiance, </w:t>
      </w:r>
      <w:r w:rsidR="00D735D4">
        <w:rPr>
          <w:i/>
          <w:iCs/>
        </w:rPr>
        <w:t>e.g.</w:t>
      </w:r>
      <w:r w:rsidR="00D735D4">
        <w:t>, the surface temperature that develops as a consequence of the imposed aerothermal environments. Post-flight analysis of measured irradiance allows one to assess the conservatism in the aerothermal design and thus lead to a more informed margins policy</w:t>
      </w:r>
      <w:r>
        <w:t xml:space="preserve">, which is usually </w:t>
      </w:r>
      <w:r>
        <w:lastRenderedPageBreak/>
        <w:t xml:space="preserve">driven by ground testing and/or limited flight data. On the other hand, if there are sensors built into the thermal protection system around the entry capsule, an airborne imaging campaign would obtain supplementary data and thus provide a self-consistent and more complete data set for </w:t>
      </w:r>
      <w:r w:rsidR="00E0684A">
        <w:t xml:space="preserve">better </w:t>
      </w:r>
      <w:r>
        <w:t>validation of simulation tools.</w:t>
      </w:r>
    </w:p>
    <w:p w14:paraId="68B8B606" w14:textId="658C55D2" w:rsidR="00B034A1" w:rsidRPr="008E10EF" w:rsidRDefault="00B034A1" w:rsidP="001761AC">
      <w:pPr>
        <w:pStyle w:val="Text"/>
      </w:pPr>
      <w:r>
        <w:t xml:space="preserve">The present work is an application of tools and techniques developed initially for the Stardust entry imaging mission </w:t>
      </w:r>
      <w:r w:rsidRPr="008E10EF">
        <w:rPr>
          <w:color w:val="FF0000"/>
        </w:rPr>
        <w:t>[4]</w:t>
      </w:r>
      <w:r w:rsidR="008E10EF">
        <w:t xml:space="preserve">. These tools and techniques, with refinements in the process and/or modeling, were </w:t>
      </w:r>
      <w:r w:rsidR="004B1425">
        <w:t xml:space="preserve">used </w:t>
      </w:r>
      <w:r w:rsidR="008E10EF">
        <w:t>subsequent imaging campaigns</w:t>
      </w:r>
      <w:r w:rsidR="004B1425">
        <w:t xml:space="preserve"> –</w:t>
      </w:r>
      <w:r w:rsidR="008E10EF">
        <w:t xml:space="preserve"> Hayabusa </w:t>
      </w:r>
      <w:r w:rsidR="008E10EF" w:rsidRPr="008E10EF">
        <w:rPr>
          <w:color w:val="FF0000"/>
        </w:rPr>
        <w:t>[5]</w:t>
      </w:r>
      <w:r w:rsidR="008E10EF">
        <w:t xml:space="preserve"> and Hayabusa2 </w:t>
      </w:r>
      <w:r w:rsidR="008E10EF" w:rsidRPr="008E10EF">
        <w:rPr>
          <w:color w:val="FF0000"/>
        </w:rPr>
        <w:t>[6]</w:t>
      </w:r>
      <w:r w:rsidR="008E10EF">
        <w:t xml:space="preserve">. Given the as-flown or best-estimated trajectory (BET) for the entry capsule, the process consists of predicting the flowfield around the entry capsule at several points along the trajectory, computing the radiance on to an imaging plane, transmitting the integrated (in solid angle) radiance to the instrument, and finally scanning the predicted irradiance with the instrument function for each spectrometer used in the campaign. In the present work, the flowfields are computed using </w:t>
      </w:r>
      <w:r w:rsidR="008E10EF" w:rsidRPr="008E10EF">
        <w:rPr>
          <w:i/>
          <w:iCs/>
          <w:smallCaps/>
        </w:rPr>
        <w:t>Dplr</w:t>
      </w:r>
      <w:r w:rsidR="008E10EF">
        <w:t xml:space="preserve"> </w:t>
      </w:r>
      <w:r w:rsidR="008E10EF" w:rsidRPr="008E10EF">
        <w:rPr>
          <w:color w:val="FF0000"/>
        </w:rPr>
        <w:t>[7,8]</w:t>
      </w:r>
      <w:r w:rsidR="008E10EF">
        <w:t xml:space="preserve"> and the radiance distributions are computed using </w:t>
      </w:r>
      <w:r w:rsidR="008E10EF" w:rsidRPr="008E10EF">
        <w:rPr>
          <w:i/>
          <w:iCs/>
          <w:smallCaps/>
        </w:rPr>
        <w:t>Neqair</w:t>
      </w:r>
      <w:r w:rsidR="008E10EF" w:rsidRPr="008E10EF">
        <w:rPr>
          <w:smallCaps/>
        </w:rPr>
        <w:t xml:space="preserve"> </w:t>
      </w:r>
      <w:r w:rsidR="008E10EF" w:rsidRPr="008E10EF">
        <w:rPr>
          <w:color w:val="FF0000"/>
        </w:rPr>
        <w:t>[9,10]</w:t>
      </w:r>
      <w:r w:rsidR="008E10EF">
        <w:t xml:space="preserve">. </w:t>
      </w:r>
      <w:r w:rsidR="00497972">
        <w:t>Computation of the</w:t>
      </w:r>
      <w:r w:rsidR="008E10EF">
        <w:t xml:space="preserve"> radiance distribution at each time point </w:t>
      </w:r>
      <w:r w:rsidR="00497972">
        <w:t xml:space="preserve">from the computed flowfield </w:t>
      </w:r>
      <w:r w:rsidR="008E10EF">
        <w:t xml:space="preserve">is accomplished using an in-house software utility, </w:t>
      </w:r>
      <w:r w:rsidR="008E10EF" w:rsidRPr="008E10EF">
        <w:rPr>
          <w:i/>
          <w:iCs/>
          <w:smallCaps/>
        </w:rPr>
        <w:t>Stardust_Lines</w:t>
      </w:r>
      <w:r w:rsidR="008E10EF">
        <w:t xml:space="preserve"> </w:t>
      </w:r>
      <w:r w:rsidR="008E10EF" w:rsidRPr="008E10EF">
        <w:rPr>
          <w:color w:val="FF0000"/>
        </w:rPr>
        <w:t>[11]</w:t>
      </w:r>
      <w:r w:rsidR="00497972">
        <w:t>, which constructs lines of sight normal to an imaging plane for a specified combination of view angle and slant range determined the airborne platform.</w:t>
      </w:r>
      <w:r w:rsidR="004B1425">
        <w:t xml:space="preserve"> The wavelength range covered in the radiance computations is dictated by the instruments used in measurements. In the present work, a wavelength range of 300-2100 nm is considered</w:t>
      </w:r>
      <w:r w:rsidR="00CC33E7">
        <w:t>,</w:t>
      </w:r>
      <w:r w:rsidR="004B1425">
        <w:t xml:space="preserve"> and the instrument function is that of CALSPEC </w:t>
      </w:r>
      <w:r w:rsidR="00E4722F" w:rsidRPr="00E4722F">
        <w:rPr>
          <w:color w:val="FF0000"/>
        </w:rPr>
        <w:t>[12]</w:t>
      </w:r>
      <w:r w:rsidR="00E4722F">
        <w:t xml:space="preserve"> </w:t>
      </w:r>
      <w:r w:rsidR="004B1425">
        <w:t>used in the Haybusa2 imaging campaign.</w:t>
      </w:r>
    </w:p>
    <w:p w14:paraId="48DC70FF" w14:textId="36BDA5BF" w:rsidR="00F52601" w:rsidRPr="004712E0" w:rsidRDefault="00685005" w:rsidP="00F52601">
      <w:pPr>
        <w:pStyle w:val="Text"/>
      </w:pPr>
      <w:r>
        <w:t>In what follows, d</w:t>
      </w:r>
      <w:r w:rsidRPr="00685005">
        <w:t>etails of the methodology for computing temporal variation of spectral irradiance on an instrument onboard an aerial observation platform are presented along with a sampling of results. An attempt is made to use the methodology presented to assess the level of elemental sodium in the shock layer</w:t>
      </w:r>
      <w:r w:rsidR="00F52601">
        <w:t>.</w:t>
      </w:r>
    </w:p>
    <w:p w14:paraId="5C667CA3" w14:textId="000C19B3" w:rsidR="00112093" w:rsidRDefault="00732EDE" w:rsidP="00112093">
      <w:pPr>
        <w:pStyle w:val="Heading1"/>
        <w:numPr>
          <w:ilvl w:val="0"/>
          <w:numId w:val="2"/>
        </w:numPr>
      </w:pPr>
      <w:r>
        <w:t>Methodology</w:t>
      </w:r>
    </w:p>
    <w:p w14:paraId="263E4DA3" w14:textId="15F5C9F3" w:rsidR="007C48CF" w:rsidRDefault="007C48CF" w:rsidP="007C48CF">
      <w:pPr>
        <w:pStyle w:val="Text"/>
        <w:ind w:firstLine="0"/>
      </w:pPr>
      <w:r>
        <w:t xml:space="preserve">The </w:t>
      </w:r>
      <w:r w:rsidR="00FB0ABE">
        <w:t>methodology used in the present work</w:t>
      </w:r>
      <w:r w:rsidR="00830256">
        <w:t>,</w:t>
      </w:r>
      <w:r w:rsidR="00A235B0">
        <w:t xml:space="preserve"> conceptualized in Fig</w:t>
      </w:r>
      <w:r w:rsidR="00F9519D">
        <w:t>.</w:t>
      </w:r>
      <w:r w:rsidR="00A235B0">
        <w:t xml:space="preserve"> 1</w:t>
      </w:r>
      <w:r w:rsidR="009C01B0">
        <w:t>a</w:t>
      </w:r>
      <w:r w:rsidR="00FB0ABE">
        <w:t xml:space="preserve">, is essentially similar to that adopted for Hayabusa2 simulations </w:t>
      </w:r>
      <w:r w:rsidR="00FB0ABE" w:rsidRPr="00822153">
        <w:rPr>
          <w:color w:val="FF0000"/>
        </w:rPr>
        <w:t>[</w:t>
      </w:r>
      <w:r w:rsidR="00685005">
        <w:rPr>
          <w:color w:val="FF0000"/>
        </w:rPr>
        <w:t>6</w:t>
      </w:r>
      <w:r w:rsidR="00FB0ABE" w:rsidRPr="00822153">
        <w:rPr>
          <w:color w:val="FF0000"/>
        </w:rPr>
        <w:t>]</w:t>
      </w:r>
      <w:r w:rsidR="00FB0ABE">
        <w:t xml:space="preserve">. </w:t>
      </w:r>
      <w:r w:rsidR="0013041E">
        <w:t xml:space="preserve"> Briefly, the source of radiation, </w:t>
      </w:r>
      <w:r w:rsidR="0013041E" w:rsidRPr="007A704F">
        <w:rPr>
          <w:i/>
          <w:iCs/>
        </w:rPr>
        <w:t>i.e.</w:t>
      </w:r>
      <w:r w:rsidR="0013041E">
        <w:t xml:space="preserve">, the </w:t>
      </w:r>
      <w:r w:rsidR="00112821">
        <w:t>aerodynamically-</w:t>
      </w:r>
      <w:r w:rsidR="0013041E">
        <w:t>heated capsule</w:t>
      </w:r>
      <w:r w:rsidR="00E4134C">
        <w:t>,</w:t>
      </w:r>
      <w:r w:rsidR="0013041E">
        <w:t xml:space="preserve"> surrounded by </w:t>
      </w:r>
      <w:r w:rsidR="0066679C">
        <w:t xml:space="preserve">a </w:t>
      </w:r>
      <w:r w:rsidR="0013041E">
        <w:t>shock-heated gas</w:t>
      </w:r>
      <w:r w:rsidR="0066679C">
        <w:t xml:space="preserve"> mixture</w:t>
      </w:r>
      <w:r w:rsidR="0013041E">
        <w:t>, radiates</w:t>
      </w:r>
      <w:r w:rsidR="009C01B0">
        <w:t xml:space="preserve"> (over all wavelengths)</w:t>
      </w:r>
      <w:r w:rsidR="0013041E">
        <w:t xml:space="preserve"> into the field of view of </w:t>
      </w:r>
      <w:r w:rsidR="006B33A9">
        <w:t>an</w:t>
      </w:r>
      <w:r w:rsidR="0013041E">
        <w:t xml:space="preserve"> instrument onboard the airborne platform</w:t>
      </w:r>
      <w:r w:rsidR="0066679C">
        <w:t xml:space="preserve"> (Fig. 1a)</w:t>
      </w:r>
      <w:r w:rsidR="0013041E">
        <w:t xml:space="preserve">. </w:t>
      </w:r>
      <w:r w:rsidR="0066679C">
        <w:t>Th</w:t>
      </w:r>
      <w:r w:rsidR="00E4134C">
        <w:t>is</w:t>
      </w:r>
      <w:r w:rsidR="0066679C">
        <w:t xml:space="preserve"> </w:t>
      </w:r>
      <w:r w:rsidR="009C01B0">
        <w:t xml:space="preserve">spectral </w:t>
      </w:r>
      <w:r w:rsidR="0066679C">
        <w:t xml:space="preserve">radiance </w:t>
      </w:r>
      <w:r w:rsidR="006B33A9">
        <w:t xml:space="preserve">(in </w:t>
      </w:r>
      <w:r w:rsidR="006B33A9" w:rsidRPr="0013041E">
        <w:t>units of W.cm</w:t>
      </w:r>
      <w:r w:rsidR="006B33A9" w:rsidRPr="0013041E">
        <w:rPr>
          <w:vertAlign w:val="superscript"/>
        </w:rPr>
        <w:t>-2</w:t>
      </w:r>
      <w:r w:rsidR="006B33A9" w:rsidRPr="0013041E">
        <w:t>.µm</w:t>
      </w:r>
      <w:r w:rsidR="006B33A9" w:rsidRPr="0013041E">
        <w:rPr>
          <w:vertAlign w:val="superscript"/>
        </w:rPr>
        <w:t>-1</w:t>
      </w:r>
      <w:r w:rsidR="006B33A9">
        <w:t>.sr</w:t>
      </w:r>
      <w:r w:rsidR="006B33A9" w:rsidRPr="0013041E">
        <w:rPr>
          <w:vertAlign w:val="superscript"/>
        </w:rPr>
        <w:t>-1</w:t>
      </w:r>
      <w:r w:rsidR="006B33A9">
        <w:t xml:space="preserve">) of the source </w:t>
      </w:r>
      <w:r w:rsidR="0066679C">
        <w:t xml:space="preserve">is </w:t>
      </w:r>
      <w:r w:rsidR="009C01B0">
        <w:t xml:space="preserve">first </w:t>
      </w:r>
      <w:r w:rsidR="0066679C">
        <w:t xml:space="preserve">captured on an imaging plane (Fig. </w:t>
      </w:r>
      <w:r w:rsidR="00FB0ABE">
        <w:t>1</w:t>
      </w:r>
      <w:r w:rsidR="0066679C">
        <w:t>b</w:t>
      </w:r>
      <w:r w:rsidR="006B33A9">
        <w:t>)</w:t>
      </w:r>
      <w:r w:rsidR="00E4134C">
        <w:t>.</w:t>
      </w:r>
      <w:r w:rsidR="006B33A9">
        <w:t xml:space="preserve"> The imaging</w:t>
      </w:r>
      <w:r w:rsidR="0066679C">
        <w:t xml:space="preserve"> </w:t>
      </w:r>
      <w:r w:rsidR="00FB0ABE">
        <w:t xml:space="preserve">plane </w:t>
      </w:r>
      <w:r w:rsidR="0066679C">
        <w:t>is discretized by a large number of lines of sight</w:t>
      </w:r>
      <w:r w:rsidR="00FB0ABE">
        <w:t xml:space="preserve"> (normal to the plane)</w:t>
      </w:r>
      <w:r w:rsidR="00E4134C">
        <w:t>,</w:t>
      </w:r>
      <w:r w:rsidR="0066679C">
        <w:t xml:space="preserve"> </w:t>
      </w:r>
      <w:r w:rsidR="009C01B0">
        <w:t>some of which</w:t>
      </w:r>
      <w:r w:rsidR="0066679C">
        <w:t xml:space="preserve"> intersect the </w:t>
      </w:r>
      <w:r w:rsidR="00BC1C3D">
        <w:t>capsule</w:t>
      </w:r>
      <w:r w:rsidR="0066679C">
        <w:t xml:space="preserve"> surface</w:t>
      </w:r>
      <w:r w:rsidR="00FB0ABE">
        <w:t>.</w:t>
      </w:r>
      <w:r w:rsidR="006B33A9">
        <w:t xml:space="preserve"> </w:t>
      </w:r>
      <w:r w:rsidR="00FB0ABE">
        <w:t>A line-by-line</w:t>
      </w:r>
      <w:r w:rsidR="006B33A9">
        <w:t xml:space="preserve"> radiative transfer code is used </w:t>
      </w:r>
      <w:r w:rsidR="006161AA">
        <w:t xml:space="preserve">to compute spectral radiance </w:t>
      </w:r>
      <w:r w:rsidR="006B33A9">
        <w:t xml:space="preserve">along each line of </w:t>
      </w:r>
      <w:r w:rsidR="006161AA">
        <w:t xml:space="preserve">sight with high resolution </w:t>
      </w:r>
      <w:r w:rsidR="00FB0ABE">
        <w:t>in wavelength</w:t>
      </w:r>
      <w:r w:rsidR="0066679C">
        <w:t xml:space="preserve">. </w:t>
      </w:r>
      <w:r w:rsidR="0013041E">
        <w:t>Th</w:t>
      </w:r>
      <w:r w:rsidR="006161AA">
        <w:t>e individual</w:t>
      </w:r>
      <w:r w:rsidR="0013041E">
        <w:t xml:space="preserve"> </w:t>
      </w:r>
      <w:r w:rsidR="00EB67D2">
        <w:t xml:space="preserve">spectral </w:t>
      </w:r>
      <w:r w:rsidR="0013041E">
        <w:t>radiance</w:t>
      </w:r>
      <w:r w:rsidR="006161AA">
        <w:t>s,</w:t>
      </w:r>
      <w:r w:rsidR="0013041E">
        <w:t xml:space="preserve"> </w:t>
      </w:r>
      <w:r w:rsidR="007A704F">
        <w:t>after</w:t>
      </w:r>
      <w:r w:rsidR="0013041E">
        <w:t xml:space="preserve"> attenuation by the intervening atmosphere</w:t>
      </w:r>
      <w:r w:rsidR="006161AA">
        <w:t>,</w:t>
      </w:r>
      <w:r w:rsidR="0013041E">
        <w:t xml:space="preserve"> </w:t>
      </w:r>
      <w:r w:rsidR="006161AA">
        <w:t>are summed</w:t>
      </w:r>
      <w:r w:rsidR="0013041E">
        <w:t xml:space="preserve">, </w:t>
      </w:r>
      <w:r w:rsidR="0013041E" w:rsidRPr="007A704F">
        <w:rPr>
          <w:i/>
          <w:iCs/>
        </w:rPr>
        <w:t>i.e.</w:t>
      </w:r>
      <w:r w:rsidR="0013041E">
        <w:t xml:space="preserve">, </w:t>
      </w:r>
      <w:r w:rsidR="006161AA">
        <w:t xml:space="preserve">integrated over </w:t>
      </w:r>
      <w:r w:rsidR="0013041E">
        <w:t>the solid angle (of the field of view)</w:t>
      </w:r>
      <w:r w:rsidR="006161AA">
        <w:t xml:space="preserve"> to obtain the spectral irradiance (in </w:t>
      </w:r>
      <w:r w:rsidR="006161AA" w:rsidRPr="0013041E">
        <w:t>units of W.cm</w:t>
      </w:r>
      <w:r w:rsidR="006161AA" w:rsidRPr="0013041E">
        <w:rPr>
          <w:vertAlign w:val="superscript"/>
        </w:rPr>
        <w:t>-2</w:t>
      </w:r>
      <w:r w:rsidR="006161AA" w:rsidRPr="0013041E">
        <w:t>.µm</w:t>
      </w:r>
      <w:r w:rsidR="006161AA" w:rsidRPr="0013041E">
        <w:rPr>
          <w:vertAlign w:val="superscript"/>
        </w:rPr>
        <w:t>-1</w:t>
      </w:r>
      <w:r w:rsidR="006161AA">
        <w:t>) on the instrument</w:t>
      </w:r>
      <w:r w:rsidR="0013041E">
        <w:t>.</w:t>
      </w:r>
      <w:r w:rsidR="006161AA">
        <w:t xml:space="preserve"> The high-resolution spectral irradiance is then convolved with the slit function of the instrument</w:t>
      </w:r>
      <w:r w:rsidR="00FB0ABE">
        <w:t xml:space="preserve">, which then allows </w:t>
      </w:r>
      <w:r w:rsidR="006161AA">
        <w:t xml:space="preserve">one-to-one comparisons with measured data. Given that the distance of the airborne platform is orders of magnitude larger than the size of the SRC, the summation of radiance </w:t>
      </w:r>
      <w:r w:rsidR="006161AA" w:rsidRPr="0013041E">
        <w:t xml:space="preserve">over the imaging plane is </w:t>
      </w:r>
      <w:r w:rsidR="006161AA">
        <w:t xml:space="preserve">essentially homogenization </w:t>
      </w:r>
      <w:r w:rsidR="006161AA" w:rsidRPr="0013041E">
        <w:t xml:space="preserve">to a point source, which is what the </w:t>
      </w:r>
      <w:r w:rsidR="006161AA">
        <w:t>SRC</w:t>
      </w:r>
      <w:r w:rsidR="006161AA" w:rsidRPr="0013041E">
        <w:t xml:space="preserve"> </w:t>
      </w:r>
      <w:r w:rsidR="006161AA">
        <w:t>appears</w:t>
      </w:r>
      <w:r w:rsidR="006161AA" w:rsidRPr="0013041E">
        <w:t xml:space="preserve"> to</w:t>
      </w:r>
      <w:r w:rsidR="006161AA">
        <w:t xml:space="preserve"> the</w:t>
      </w:r>
      <w:r w:rsidR="006161AA" w:rsidRPr="0013041E">
        <w:t xml:space="preserve"> observing aircraft</w:t>
      </w:r>
      <w:r w:rsidR="006161AA">
        <w:t xml:space="preserve">. </w:t>
      </w:r>
      <w:r w:rsidR="00D77932">
        <w:t>In other words,</w:t>
      </w:r>
      <w:r w:rsidR="006161AA">
        <w:t xml:space="preserve"> while the airborne instruments provide temporal and spectral resolution of the radiating source, they do not </w:t>
      </w:r>
      <w:r w:rsidR="00D77932">
        <w:t>resolve the source spatially</w:t>
      </w:r>
      <w:r w:rsidR="00F9519D">
        <w:t xml:space="preserve"> </w:t>
      </w:r>
      <w:r w:rsidR="00F9519D" w:rsidRPr="00F9519D">
        <w:rPr>
          <w:color w:val="FF0000"/>
        </w:rPr>
        <w:t>[</w:t>
      </w:r>
      <w:r w:rsidR="00F9519D">
        <w:rPr>
          <w:color w:val="FF0000"/>
        </w:rPr>
        <w:t>3,12</w:t>
      </w:r>
      <w:r w:rsidR="00F9519D" w:rsidRPr="00F9519D">
        <w:rPr>
          <w:color w:val="FF0000"/>
        </w:rPr>
        <w:t>]</w:t>
      </w:r>
      <w:r w:rsidR="006161AA">
        <w:t xml:space="preserve">. </w:t>
      </w:r>
      <w:r w:rsidR="00E4134C">
        <w:t>T</w:t>
      </w:r>
      <w:r w:rsidR="00AD5353">
        <w:t>he current methodology does</w:t>
      </w:r>
      <w:r w:rsidR="00E4134C">
        <w:t xml:space="preserve"> not</w:t>
      </w:r>
      <w:r w:rsidR="00AD5353">
        <w:t xml:space="preserve"> </w:t>
      </w:r>
      <w:r w:rsidR="00CC33E7">
        <w:t>consider</w:t>
      </w:r>
      <w:r w:rsidR="00AD5353">
        <w:t xml:space="preserve"> background solar radiation for a daytime entry; OSIRIS-REx was a daytime entry, unlike the other three missions – Stardust, Hayabusa and Hayabusa2 </w:t>
      </w:r>
      <w:r w:rsidR="00A11A7C">
        <w:t>(</w:t>
      </w:r>
      <w:r w:rsidR="00AD5353">
        <w:t>listed in Table 1</w:t>
      </w:r>
      <w:r w:rsidR="00A11A7C">
        <w:t>) – which were nighttime entries</w:t>
      </w:r>
      <w:r w:rsidR="00AD5353">
        <w:t>. The assumption</w:t>
      </w:r>
      <w:r w:rsidR="00A11A7C">
        <w:t xml:space="preserve"> in the present work</w:t>
      </w:r>
      <w:r w:rsidR="00AD5353">
        <w:t xml:space="preserve"> is that compensation for the solar background is handled at the instrument level and not in the simulations.</w:t>
      </w:r>
    </w:p>
    <w:p w14:paraId="106A0F7B" w14:textId="4FE0AE69" w:rsidR="00265E07" w:rsidRDefault="00265E07" w:rsidP="007C48CF">
      <w:pPr>
        <w:pStyle w:val="Text"/>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805C2" w14:paraId="14F2D642" w14:textId="77777777" w:rsidTr="002805C2">
        <w:tc>
          <w:tcPr>
            <w:tcW w:w="4675" w:type="dxa"/>
            <w:vAlign w:val="center"/>
          </w:tcPr>
          <w:p w14:paraId="1ADE71D2" w14:textId="77777777" w:rsidR="002805C2" w:rsidRDefault="002805C2" w:rsidP="002805C2">
            <w:pPr>
              <w:pStyle w:val="Text"/>
              <w:spacing w:before="60" w:after="60"/>
              <w:ind w:firstLine="0"/>
              <w:jc w:val="center"/>
            </w:pPr>
            <w:r>
              <w:rPr>
                <w:noProof/>
              </w:rPr>
              <w:drawing>
                <wp:inline distT="0" distB="0" distL="0" distR="0" wp14:anchorId="05AE809F" wp14:editId="08659E86">
                  <wp:extent cx="2432304" cy="1463040"/>
                  <wp:effectExtent l="0" t="0" r="0" b="0"/>
                  <wp:docPr id="49" name="Picture 4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pe&#10;&#10;Description automatically generated with low confidence"/>
                          <pic:cNvPicPr/>
                        </pic:nvPicPr>
                        <pic:blipFill>
                          <a:blip r:embed="rId8"/>
                          <a:stretch>
                            <a:fillRect/>
                          </a:stretch>
                        </pic:blipFill>
                        <pic:spPr>
                          <a:xfrm>
                            <a:off x="0" y="0"/>
                            <a:ext cx="2432304" cy="1463040"/>
                          </a:xfrm>
                          <a:prstGeom prst="rect">
                            <a:avLst/>
                          </a:prstGeom>
                        </pic:spPr>
                      </pic:pic>
                    </a:graphicData>
                  </a:graphic>
                </wp:inline>
              </w:drawing>
            </w:r>
          </w:p>
        </w:tc>
        <w:tc>
          <w:tcPr>
            <w:tcW w:w="4675" w:type="dxa"/>
            <w:vAlign w:val="center"/>
          </w:tcPr>
          <w:p w14:paraId="28D1D55B" w14:textId="2AED7A64" w:rsidR="002805C2" w:rsidRDefault="002805C2" w:rsidP="002805C2">
            <w:pPr>
              <w:pStyle w:val="Text"/>
              <w:spacing w:before="60" w:after="60"/>
              <w:ind w:firstLine="0"/>
              <w:jc w:val="center"/>
            </w:pPr>
            <w:r>
              <w:rPr>
                <w:noProof/>
              </w:rPr>
              <w:drawing>
                <wp:inline distT="0" distB="0" distL="0" distR="0" wp14:anchorId="737D2684" wp14:editId="4E694DE5">
                  <wp:extent cx="2350008" cy="1600200"/>
                  <wp:effectExtent l="0" t="0" r="0" b="0"/>
                  <wp:docPr id="50" name="Picture 5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10;&#10;Description automatically generated"/>
                          <pic:cNvPicPr/>
                        </pic:nvPicPr>
                        <pic:blipFill>
                          <a:blip r:embed="rId9"/>
                          <a:stretch>
                            <a:fillRect/>
                          </a:stretch>
                        </pic:blipFill>
                        <pic:spPr>
                          <a:xfrm>
                            <a:off x="0" y="0"/>
                            <a:ext cx="2350008" cy="1600200"/>
                          </a:xfrm>
                          <a:prstGeom prst="rect">
                            <a:avLst/>
                          </a:prstGeom>
                        </pic:spPr>
                      </pic:pic>
                    </a:graphicData>
                  </a:graphic>
                </wp:inline>
              </w:drawing>
            </w:r>
          </w:p>
        </w:tc>
      </w:tr>
      <w:tr w:rsidR="002805C2" w:rsidRPr="00A235B0" w14:paraId="31AEBC5A" w14:textId="77777777" w:rsidTr="002805C2">
        <w:tc>
          <w:tcPr>
            <w:tcW w:w="4675" w:type="dxa"/>
            <w:vAlign w:val="center"/>
          </w:tcPr>
          <w:p w14:paraId="2B2C0F7A" w14:textId="700240F4" w:rsidR="002805C2" w:rsidRPr="00A235B0" w:rsidRDefault="002805C2" w:rsidP="002805C2">
            <w:pPr>
              <w:pStyle w:val="Text"/>
              <w:spacing w:before="60" w:after="60"/>
              <w:ind w:firstLine="0"/>
              <w:jc w:val="center"/>
              <w:rPr>
                <w:b/>
                <w:bCs/>
                <w:noProof/>
                <w:sz w:val="18"/>
                <w:szCs w:val="18"/>
              </w:rPr>
            </w:pPr>
            <w:r w:rsidRPr="00A235B0">
              <w:rPr>
                <w:b/>
                <w:bCs/>
                <w:noProof/>
                <w:sz w:val="18"/>
                <w:szCs w:val="18"/>
              </w:rPr>
              <w:t>(a)</w:t>
            </w:r>
            <w:r w:rsidR="00A235B0" w:rsidRPr="00A235B0">
              <w:rPr>
                <w:b/>
                <w:bCs/>
                <w:noProof/>
                <w:sz w:val="18"/>
                <w:szCs w:val="18"/>
              </w:rPr>
              <w:t xml:space="preserve"> Observation a/c and SRC</w:t>
            </w:r>
          </w:p>
        </w:tc>
        <w:tc>
          <w:tcPr>
            <w:tcW w:w="4675" w:type="dxa"/>
            <w:vAlign w:val="center"/>
          </w:tcPr>
          <w:p w14:paraId="545A9263" w14:textId="06EC2B67" w:rsidR="002805C2" w:rsidRPr="00A235B0" w:rsidRDefault="00A235B0" w:rsidP="002805C2">
            <w:pPr>
              <w:pStyle w:val="Text"/>
              <w:spacing w:before="60" w:after="60"/>
              <w:ind w:firstLine="0"/>
              <w:jc w:val="center"/>
              <w:rPr>
                <w:b/>
                <w:bCs/>
                <w:noProof/>
                <w:sz w:val="18"/>
                <w:szCs w:val="18"/>
              </w:rPr>
            </w:pPr>
            <w:r w:rsidRPr="00A235B0">
              <w:rPr>
                <w:b/>
                <w:bCs/>
                <w:noProof/>
                <w:sz w:val="18"/>
                <w:szCs w:val="18"/>
              </w:rPr>
              <w:t>(b) Radiance and irradiance</w:t>
            </w:r>
          </w:p>
        </w:tc>
      </w:tr>
      <w:tr w:rsidR="00863EA2" w14:paraId="32E3639D" w14:textId="77777777" w:rsidTr="002805C2">
        <w:tc>
          <w:tcPr>
            <w:tcW w:w="9350" w:type="dxa"/>
            <w:gridSpan w:val="2"/>
          </w:tcPr>
          <w:p w14:paraId="43125F6B" w14:textId="5D2C7251" w:rsidR="00863EA2" w:rsidRDefault="002805C2" w:rsidP="007C48CF">
            <w:pPr>
              <w:pStyle w:val="Text"/>
              <w:ind w:firstLine="0"/>
            </w:pPr>
            <w:r w:rsidRPr="00D71A68">
              <w:rPr>
                <w:b/>
                <w:bCs/>
                <w:sz w:val="18"/>
                <w:szCs w:val="18"/>
              </w:rPr>
              <w:t xml:space="preserve">Figure </w:t>
            </w:r>
            <w:r>
              <w:rPr>
                <w:b/>
                <w:bCs/>
                <w:sz w:val="18"/>
                <w:szCs w:val="18"/>
              </w:rPr>
              <w:t>1</w:t>
            </w:r>
            <w:r w:rsidRPr="00D71A68">
              <w:rPr>
                <w:b/>
                <w:bCs/>
                <w:sz w:val="18"/>
                <w:szCs w:val="18"/>
              </w:rPr>
              <w:t xml:space="preserve">. </w:t>
            </w:r>
            <w:r>
              <w:rPr>
                <w:b/>
                <w:bCs/>
                <w:sz w:val="18"/>
                <w:szCs w:val="18"/>
              </w:rPr>
              <w:t xml:space="preserve">(a) </w:t>
            </w:r>
            <w:r w:rsidR="00A235B0">
              <w:rPr>
                <w:b/>
                <w:bCs/>
                <w:sz w:val="18"/>
                <w:szCs w:val="18"/>
              </w:rPr>
              <w:t>Schematic overview of the imaging process – exaggerated scale</w:t>
            </w:r>
            <w:r>
              <w:rPr>
                <w:b/>
                <w:bCs/>
                <w:sz w:val="18"/>
                <w:szCs w:val="18"/>
              </w:rPr>
              <w:t>.</w:t>
            </w:r>
            <w:r w:rsidR="00A235B0">
              <w:rPr>
                <w:b/>
                <w:bCs/>
                <w:sz w:val="18"/>
                <w:szCs w:val="18"/>
              </w:rPr>
              <w:t xml:space="preserve"> Emission from the shock-heated gases and surface re-radiation </w:t>
            </w:r>
            <w:r w:rsidR="00A235B0">
              <w:rPr>
                <w:b/>
                <w:bCs/>
                <w:i/>
                <w:iCs/>
                <w:sz w:val="18"/>
                <w:szCs w:val="18"/>
              </w:rPr>
              <w:t>within the field of view</w:t>
            </w:r>
            <w:r w:rsidR="00A235B0" w:rsidRPr="00A235B0">
              <w:rPr>
                <w:b/>
                <w:bCs/>
                <w:sz w:val="18"/>
                <w:szCs w:val="18"/>
              </w:rPr>
              <w:t xml:space="preserve"> </w:t>
            </w:r>
            <w:r w:rsidR="00A235B0">
              <w:rPr>
                <w:b/>
                <w:bCs/>
                <w:sz w:val="18"/>
                <w:szCs w:val="18"/>
              </w:rPr>
              <w:t>contribute to the radiance observed from the aircraft. (b) Radiance (units of W.cm</w:t>
            </w:r>
            <w:r w:rsidR="00A235B0" w:rsidRPr="00A235B0">
              <w:rPr>
                <w:b/>
                <w:bCs/>
                <w:sz w:val="18"/>
                <w:szCs w:val="18"/>
                <w:vertAlign w:val="superscript"/>
              </w:rPr>
              <w:t>-2</w:t>
            </w:r>
            <w:r w:rsidR="00A235B0">
              <w:rPr>
                <w:b/>
                <w:bCs/>
                <w:sz w:val="18"/>
                <w:szCs w:val="18"/>
              </w:rPr>
              <w:t>.µm</w:t>
            </w:r>
            <w:r w:rsidR="00A235B0" w:rsidRPr="00A235B0">
              <w:rPr>
                <w:b/>
                <w:bCs/>
                <w:sz w:val="18"/>
                <w:szCs w:val="18"/>
                <w:vertAlign w:val="superscript"/>
              </w:rPr>
              <w:t>-1</w:t>
            </w:r>
            <w:r w:rsidR="00A235B0">
              <w:rPr>
                <w:b/>
                <w:bCs/>
                <w:sz w:val="18"/>
                <w:szCs w:val="18"/>
              </w:rPr>
              <w:t>.sr</w:t>
            </w:r>
            <w:r w:rsidR="00A235B0" w:rsidRPr="00A235B0">
              <w:rPr>
                <w:b/>
                <w:bCs/>
                <w:sz w:val="18"/>
                <w:szCs w:val="18"/>
                <w:vertAlign w:val="superscript"/>
              </w:rPr>
              <w:t>-1</w:t>
            </w:r>
            <w:r w:rsidR="00A235B0">
              <w:rPr>
                <w:b/>
                <w:bCs/>
                <w:sz w:val="18"/>
                <w:szCs w:val="18"/>
              </w:rPr>
              <w:t xml:space="preserve">) from the object is captured on the imaging plane (surface of a sphere whose radius is the slant length of the sight vector) and the view angle is the angle the sight vector makes with the velocity vector of the spacecraft. </w:t>
            </w:r>
          </w:p>
        </w:tc>
      </w:tr>
    </w:tbl>
    <w:p w14:paraId="6A9C4FA0" w14:textId="014E1690" w:rsidR="00A11A7C" w:rsidRDefault="0013041E" w:rsidP="00A11A7C">
      <w:pPr>
        <w:pStyle w:val="Heading1"/>
        <w:numPr>
          <w:ilvl w:val="0"/>
          <w:numId w:val="2"/>
        </w:numPr>
      </w:pPr>
      <w:r>
        <w:lastRenderedPageBreak/>
        <w:tab/>
      </w:r>
      <w:r w:rsidR="00A11A7C">
        <w:t>Preliminary Results</w:t>
      </w:r>
    </w:p>
    <w:p w14:paraId="7C1DA41B" w14:textId="687CE206" w:rsidR="0013041E" w:rsidRDefault="0084458C" w:rsidP="0013041E">
      <w:pPr>
        <w:pStyle w:val="Text"/>
        <w:ind w:firstLine="0"/>
      </w:pPr>
      <w:r>
        <w:t>Each step</w:t>
      </w:r>
      <w:r w:rsidR="0013041E">
        <w:t xml:space="preserve"> of the methodology </w:t>
      </w:r>
      <w:r w:rsidR="00644FCC">
        <w:t>is</w:t>
      </w:r>
      <w:r w:rsidR="0013041E">
        <w:t xml:space="preserve"> described in what follows.</w:t>
      </w:r>
      <w:r w:rsidR="007A704F">
        <w:t xml:space="preserve"> At the time of writing the present extended abstract, a best estimated trajectory (BET) for the SRC was not available. Therefore, the focus of the present work is to catalog the results of pre-flight computations which helped in setting the ranges of various instruments onboard the airborne observation platforms.  </w:t>
      </w:r>
    </w:p>
    <w:p w14:paraId="3DEEBDA1" w14:textId="77777777" w:rsidR="007C48CF" w:rsidRDefault="007C48CF" w:rsidP="004434DF">
      <w:pPr>
        <w:pStyle w:val="Text"/>
      </w:pPr>
    </w:p>
    <w:p w14:paraId="7F3B15E9" w14:textId="73EEEA3D" w:rsidR="006F2D9B" w:rsidRPr="00970F86" w:rsidRDefault="00CD4695" w:rsidP="00970F86">
      <w:pPr>
        <w:pStyle w:val="Text"/>
        <w:numPr>
          <w:ilvl w:val="0"/>
          <w:numId w:val="30"/>
        </w:numPr>
        <w:ind w:left="0" w:firstLine="0"/>
        <w:rPr>
          <w:b/>
          <w:bCs/>
        </w:rPr>
      </w:pPr>
      <w:r>
        <w:rPr>
          <w:b/>
          <w:bCs/>
        </w:rPr>
        <w:t xml:space="preserve">SRC Configuration and Flight </w:t>
      </w:r>
      <w:r w:rsidR="006F2D9B" w:rsidRPr="00970F86">
        <w:rPr>
          <w:b/>
          <w:bCs/>
        </w:rPr>
        <w:t>Trajectory</w:t>
      </w:r>
    </w:p>
    <w:p w14:paraId="17C4C397" w14:textId="2A71C721" w:rsidR="003236D9" w:rsidRDefault="00C30FE8" w:rsidP="00D801C8">
      <w:pPr>
        <w:pStyle w:val="Text"/>
        <w:ind w:firstLine="270"/>
      </w:pPr>
      <w:r>
        <w:t xml:space="preserve">The generatrix of the </w:t>
      </w:r>
      <w:r w:rsidR="0062587C">
        <w:t xml:space="preserve">OSIRIS-REx </w:t>
      </w:r>
      <w:r>
        <w:t>SRC is shown in Fig.</w:t>
      </w:r>
      <w:r w:rsidR="00036217">
        <w:t>2</w:t>
      </w:r>
      <w:r>
        <w:t>a.</w:t>
      </w:r>
      <w:r w:rsidR="003236D9">
        <w:t xml:space="preserve"> </w:t>
      </w:r>
      <w:r w:rsidR="007D28A6">
        <w:t xml:space="preserve">The 0.8 m diameter, 60° blunted sphere-cone configuration is identical to the Stardust SRC. </w:t>
      </w:r>
      <w:r w:rsidR="003236D9">
        <w:t>Since the SRC has rotational symmetry, its three-dimensional representation is constructed quite easily</w:t>
      </w:r>
      <w:r w:rsidR="00AD5353">
        <w:t xml:space="preserve"> by rotating the generatrix about the roll axis</w:t>
      </w:r>
      <w:r w:rsidR="003236D9">
        <w:t>.</w:t>
      </w:r>
      <w:r>
        <w:t xml:space="preserve"> </w:t>
      </w:r>
    </w:p>
    <w:p w14:paraId="5F7E483A" w14:textId="67BDFF97" w:rsidR="00401023" w:rsidRDefault="00A4117A" w:rsidP="00D801C8">
      <w:pPr>
        <w:pStyle w:val="Text"/>
        <w:ind w:firstLine="270"/>
      </w:pPr>
      <w:r>
        <w:t xml:space="preserve">A nominal </w:t>
      </w:r>
      <w:r w:rsidR="00FE5801">
        <w:t>flight trajectory of the SRC</w:t>
      </w:r>
      <w:r w:rsidR="003E05A4">
        <w:t xml:space="preserve"> </w:t>
      </w:r>
      <w:r w:rsidR="00FE5801">
        <w:t xml:space="preserve">is </w:t>
      </w:r>
      <w:r w:rsidR="003E05A4">
        <w:t xml:space="preserve">constructed with </w:t>
      </w:r>
      <w:r w:rsidR="003E05A4" w:rsidRPr="00685005">
        <w:rPr>
          <w:i/>
          <w:iCs/>
          <w:smallCaps/>
          <w:color w:val="000000" w:themeColor="text1"/>
        </w:rPr>
        <w:t>Traj</w:t>
      </w:r>
      <w:r w:rsidR="003E05A4" w:rsidRPr="00685005">
        <w:rPr>
          <w:color w:val="000000" w:themeColor="text1"/>
        </w:rPr>
        <w:t xml:space="preserve"> </w:t>
      </w:r>
      <w:r w:rsidR="00FE5801" w:rsidRPr="00822153">
        <w:rPr>
          <w:color w:val="FF0000"/>
        </w:rPr>
        <w:t>[</w:t>
      </w:r>
      <w:r w:rsidR="00685005">
        <w:rPr>
          <w:color w:val="FF0000"/>
        </w:rPr>
        <w:t>13</w:t>
      </w:r>
      <w:r w:rsidR="00FE5801" w:rsidRPr="00822153">
        <w:rPr>
          <w:color w:val="FF0000"/>
        </w:rPr>
        <w:t>]</w:t>
      </w:r>
      <w:r w:rsidR="00FE5801">
        <w:t xml:space="preserve"> </w:t>
      </w:r>
      <w:r w:rsidR="003E05A4">
        <w:t>using an</w:t>
      </w:r>
      <w:r w:rsidR="00C30FE8">
        <w:t xml:space="preserve"> entry state provided in the work of White </w:t>
      </w:r>
      <w:r w:rsidR="00C30FE8">
        <w:rPr>
          <w:i/>
          <w:iCs/>
        </w:rPr>
        <w:t>et al</w:t>
      </w:r>
      <w:r w:rsidR="00C30FE8">
        <w:t xml:space="preserve">. </w:t>
      </w:r>
      <w:r w:rsidRPr="00822153">
        <w:rPr>
          <w:color w:val="FF0000"/>
        </w:rPr>
        <w:t>[</w:t>
      </w:r>
      <w:r w:rsidR="00685005">
        <w:rPr>
          <w:color w:val="FF0000"/>
        </w:rPr>
        <w:t>14</w:t>
      </w:r>
      <w:r w:rsidRPr="00822153">
        <w:rPr>
          <w:color w:val="FF0000"/>
        </w:rPr>
        <w:t>]</w:t>
      </w:r>
      <w:r>
        <w:t xml:space="preserve"> and</w:t>
      </w:r>
      <w:r w:rsidR="00401023">
        <w:t xml:space="preserve"> the US 1976 Standard Atmosphere </w:t>
      </w:r>
      <w:r w:rsidR="00FE5801" w:rsidRPr="00822153">
        <w:rPr>
          <w:color w:val="FF0000"/>
        </w:rPr>
        <w:t>[</w:t>
      </w:r>
      <w:r w:rsidR="00685005">
        <w:rPr>
          <w:color w:val="FF0000"/>
        </w:rPr>
        <w:t>15</w:t>
      </w:r>
      <w:r w:rsidR="00FE5801" w:rsidRPr="00822153">
        <w:rPr>
          <w:color w:val="FF0000"/>
        </w:rPr>
        <w:t>]</w:t>
      </w:r>
      <w:r w:rsidR="00FE5801">
        <w:t>. This</w:t>
      </w:r>
      <w:r w:rsidR="00401023">
        <w:t xml:space="preserve"> trajectory</w:t>
      </w:r>
      <w:r w:rsidR="00FE5801">
        <w:t>, shown in Fig. 2b</w:t>
      </w:r>
      <w:r w:rsidR="001C17CC">
        <w:t xml:space="preserve"> as an altitude-velocity map</w:t>
      </w:r>
      <w:r w:rsidR="00FE5801">
        <w:t xml:space="preserve">, is compared with </w:t>
      </w:r>
      <w:r w:rsidR="00401023">
        <w:t>the BETs of Stardust and Hayabusa</w:t>
      </w:r>
      <w:r>
        <w:t>2</w:t>
      </w:r>
      <w:r w:rsidR="00401023">
        <w:t>. The differences between the Stardust and OSIRIS-REx trajectories</w:t>
      </w:r>
      <w:r w:rsidR="007E5C82">
        <w:t>, despite identical vehicle geometries,</w:t>
      </w:r>
      <w:r w:rsidR="00401023">
        <w:t xml:space="preserve"> are due to differences in mass, velocity, and flight path angle</w:t>
      </w:r>
      <w:r w:rsidR="00036217">
        <w:t xml:space="preserve"> at entry interface (EI)</w:t>
      </w:r>
      <w:r w:rsidR="001C17CC">
        <w:t xml:space="preserve"> of the two SRCs</w:t>
      </w:r>
      <w:r w:rsidR="00401023">
        <w:t>.</w:t>
      </w:r>
    </w:p>
    <w:p w14:paraId="49FB53B7" w14:textId="10E8D5F9" w:rsidR="00A65065" w:rsidRPr="00C30FE8" w:rsidRDefault="00644FCC" w:rsidP="00D801C8">
      <w:pPr>
        <w:pStyle w:val="Text"/>
        <w:ind w:firstLine="270"/>
      </w:pPr>
      <w:r>
        <w:t>F</w:t>
      </w:r>
      <w:r w:rsidR="00401023">
        <w:t>our regions</w:t>
      </w:r>
      <w:r w:rsidR="008F7DE6">
        <w:t xml:space="preserve"> of the atmosphere</w:t>
      </w:r>
      <w:r w:rsidR="00401023">
        <w:t xml:space="preserve"> – </w:t>
      </w:r>
      <w:r w:rsidR="008F7DE6">
        <w:t xml:space="preserve">the </w:t>
      </w:r>
      <w:r w:rsidR="00401023">
        <w:t>troposphere, stratosphere, mesosphere, and thermosphere –</w:t>
      </w:r>
      <w:r w:rsidR="008F7DE6">
        <w:t xml:space="preserve">  </w:t>
      </w:r>
      <w:r w:rsidR="00401023">
        <w:t xml:space="preserve">are called out in the </w:t>
      </w:r>
      <w:r w:rsidR="007E5C82">
        <w:t xml:space="preserve">altitude-velocity </w:t>
      </w:r>
      <w:r w:rsidR="00401023">
        <w:t>map</w:t>
      </w:r>
      <w:r w:rsidR="00036217">
        <w:t>, and</w:t>
      </w:r>
      <w:r w:rsidR="00401023">
        <w:t xml:space="preserve"> </w:t>
      </w:r>
      <w:r w:rsidR="00036217">
        <w:t>t</w:t>
      </w:r>
      <w:r w:rsidR="00401023">
        <w:t>he interfaces between the</w:t>
      </w:r>
      <w:r w:rsidR="000440E1">
        <w:t>se</w:t>
      </w:r>
      <w:r w:rsidR="00401023">
        <w:t xml:space="preserve"> regions are shown as dotted lines </w:t>
      </w:r>
      <w:r w:rsidR="000440E1">
        <w:t>(</w:t>
      </w:r>
      <w:r w:rsidR="00401023">
        <w:t xml:space="preserve">to denote </w:t>
      </w:r>
      <w:r w:rsidR="000440E1">
        <w:t xml:space="preserve">them </w:t>
      </w:r>
      <w:r w:rsidR="00401023">
        <w:t>as being notional</w:t>
      </w:r>
      <w:r w:rsidR="000440E1">
        <w:t>)</w:t>
      </w:r>
      <w:r w:rsidR="00401023">
        <w:t xml:space="preserve">. Also shown in Fig. 2b are three shaded regions. The lowest of these is the region where the observation aircraft operated. Above this is the ozone layer, which being a strong absorber of radiation below 290 nm, precludes any irradiance measurement at wavelengths below this limit. Finally, the topmost shaded layer, denoted as a metal vapor layer, represents the region that </w:t>
      </w:r>
      <w:r w:rsidR="006A0E6A">
        <w:t xml:space="preserve">is </w:t>
      </w:r>
      <w:r w:rsidR="00401023">
        <w:t xml:space="preserve">most likely </w:t>
      </w:r>
      <w:r w:rsidR="006A0E6A">
        <w:t>to have</w:t>
      </w:r>
      <w:r w:rsidR="00401023">
        <w:t xml:space="preserve"> metal content from the constant bombardment of Earth’s atmosphere by meteors and dust.</w:t>
      </w:r>
    </w:p>
    <w:p w14:paraId="4CBE972D" w14:textId="77777777" w:rsidR="00AF1EDB" w:rsidRPr="0063448A" w:rsidRDefault="00AF1EDB" w:rsidP="0063448A">
      <w:pPr>
        <w:pStyle w:val="References"/>
        <w:rPr>
          <w:sz w:val="20"/>
        </w:rPr>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6024"/>
      </w:tblGrid>
      <w:tr w:rsidR="00F6261B" w14:paraId="05282176" w14:textId="77777777" w:rsidTr="00F80A11">
        <w:trPr>
          <w:jc w:val="center"/>
        </w:trPr>
        <w:tc>
          <w:tcPr>
            <w:tcW w:w="3336" w:type="dxa"/>
            <w:vAlign w:val="center"/>
          </w:tcPr>
          <w:p w14:paraId="4546860B" w14:textId="77777777" w:rsidR="00F6261B" w:rsidRDefault="00F6261B" w:rsidP="00A26022">
            <w:pPr>
              <w:pStyle w:val="References"/>
              <w:spacing w:before="40"/>
              <w:ind w:firstLine="0"/>
              <w:jc w:val="center"/>
            </w:pPr>
            <w:r>
              <w:rPr>
                <w:noProof/>
              </w:rPr>
              <w:drawing>
                <wp:inline distT="0" distB="0" distL="0" distR="0" wp14:anchorId="50A28938" wp14:editId="3D7F253D">
                  <wp:extent cx="1975104" cy="1828800"/>
                  <wp:effectExtent l="0" t="0" r="6350" b="0"/>
                  <wp:docPr id="521253131" name="Picture 1"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53131" name="Picture 1" descr="A diagram of a triangle&#10;&#10;Description automatically generated"/>
                          <pic:cNvPicPr preferRelativeResize="0"/>
                        </pic:nvPicPr>
                        <pic:blipFill rotWithShape="1">
                          <a:blip r:embed="rId10"/>
                          <a:srcRect l="15255" t="14226" r="15032" b="13157"/>
                          <a:stretch/>
                        </pic:blipFill>
                        <pic:spPr bwMode="auto">
                          <a:xfrm>
                            <a:off x="0" y="0"/>
                            <a:ext cx="1975104"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6024" w:type="dxa"/>
            <w:vAlign w:val="center"/>
          </w:tcPr>
          <w:p w14:paraId="3D912AEA" w14:textId="77777777" w:rsidR="00F6261B" w:rsidRDefault="00F6261B" w:rsidP="00A26022">
            <w:pPr>
              <w:pStyle w:val="References"/>
              <w:spacing w:before="40"/>
              <w:ind w:firstLine="0"/>
              <w:jc w:val="center"/>
            </w:pPr>
            <w:r>
              <w:rPr>
                <w:noProof/>
              </w:rPr>
              <w:drawing>
                <wp:inline distT="0" distB="0" distL="0" distR="0" wp14:anchorId="1E37F9F5" wp14:editId="418B3E9A">
                  <wp:extent cx="3163824" cy="2286000"/>
                  <wp:effectExtent l="0" t="0" r="0" b="0"/>
                  <wp:docPr id="1794930806" name="Picture 2" descr="A graph of a graph showing the different types of lay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30806" name="Picture 2" descr="A graph of a graph showing the different types of layers&#10;&#10;Description automatically generated with medium confidence"/>
                          <pic:cNvPicPr preferRelativeResize="0"/>
                        </pic:nvPicPr>
                        <pic:blipFill>
                          <a:blip r:embed="rId11"/>
                          <a:stretch>
                            <a:fillRect/>
                          </a:stretch>
                        </pic:blipFill>
                        <pic:spPr>
                          <a:xfrm>
                            <a:off x="0" y="0"/>
                            <a:ext cx="3163824" cy="2286000"/>
                          </a:xfrm>
                          <a:prstGeom prst="rect">
                            <a:avLst/>
                          </a:prstGeom>
                        </pic:spPr>
                      </pic:pic>
                    </a:graphicData>
                  </a:graphic>
                </wp:inline>
              </w:drawing>
            </w:r>
          </w:p>
        </w:tc>
      </w:tr>
      <w:tr w:rsidR="00F6261B" w:rsidRPr="003A58AD" w14:paraId="008B0519" w14:textId="77777777" w:rsidTr="00F80A11">
        <w:trPr>
          <w:jc w:val="center"/>
        </w:trPr>
        <w:tc>
          <w:tcPr>
            <w:tcW w:w="3336" w:type="dxa"/>
          </w:tcPr>
          <w:p w14:paraId="6F986629" w14:textId="77777777" w:rsidR="00F6261B" w:rsidRPr="003A58AD" w:rsidRDefault="00F6261B" w:rsidP="00A26022">
            <w:pPr>
              <w:pStyle w:val="References"/>
              <w:spacing w:before="40" w:after="40"/>
              <w:ind w:firstLine="0"/>
              <w:jc w:val="center"/>
              <w:rPr>
                <w:b/>
                <w:bCs/>
              </w:rPr>
            </w:pPr>
            <w:r w:rsidRPr="003A58AD">
              <w:rPr>
                <w:b/>
                <w:bCs/>
              </w:rPr>
              <w:t>(a) SRC generatrix</w:t>
            </w:r>
          </w:p>
        </w:tc>
        <w:tc>
          <w:tcPr>
            <w:tcW w:w="6024" w:type="dxa"/>
          </w:tcPr>
          <w:p w14:paraId="449418DF" w14:textId="77777777" w:rsidR="00F6261B" w:rsidRPr="003A58AD" w:rsidRDefault="00F6261B" w:rsidP="00A26022">
            <w:pPr>
              <w:pStyle w:val="References"/>
              <w:spacing w:before="40" w:after="40"/>
              <w:ind w:firstLine="0"/>
              <w:jc w:val="center"/>
              <w:rPr>
                <w:b/>
                <w:bCs/>
              </w:rPr>
            </w:pPr>
            <w:r w:rsidRPr="003A58AD">
              <w:rPr>
                <w:b/>
                <w:bCs/>
              </w:rPr>
              <w:t xml:space="preserve">(b) Altitude </w:t>
            </w:r>
            <w:r w:rsidRPr="003A58AD">
              <w:rPr>
                <w:b/>
                <w:bCs/>
                <w:i/>
                <w:iCs/>
              </w:rPr>
              <w:t>vs.</w:t>
            </w:r>
            <w:r w:rsidRPr="003A58AD">
              <w:rPr>
                <w:b/>
                <w:bCs/>
              </w:rPr>
              <w:t xml:space="preserve"> Velocity map</w:t>
            </w:r>
          </w:p>
        </w:tc>
      </w:tr>
      <w:tr w:rsidR="00F6261B" w14:paraId="2A898603" w14:textId="77777777" w:rsidTr="00F80A11">
        <w:trPr>
          <w:jc w:val="center"/>
        </w:trPr>
        <w:tc>
          <w:tcPr>
            <w:tcW w:w="9360" w:type="dxa"/>
            <w:gridSpan w:val="2"/>
          </w:tcPr>
          <w:p w14:paraId="704F3AA4" w14:textId="08431711" w:rsidR="00F6261B" w:rsidRPr="00FE6C89" w:rsidRDefault="00F6261B" w:rsidP="00A26022">
            <w:pPr>
              <w:pStyle w:val="References"/>
              <w:spacing w:before="40" w:after="40"/>
              <w:ind w:firstLine="0"/>
              <w:jc w:val="left"/>
              <w:rPr>
                <w:b/>
                <w:bCs/>
              </w:rPr>
            </w:pPr>
            <w:r>
              <w:rPr>
                <w:b/>
                <w:bCs/>
              </w:rPr>
              <w:t>Figure 2.</w:t>
            </w:r>
            <w:r w:rsidR="00C91EEF">
              <w:rPr>
                <w:b/>
                <w:bCs/>
              </w:rPr>
              <w:t xml:space="preserve"> (a) Generatrix of the SRC, and (b) Altitude-Velocity maps for Stardust and Hayabusa2 BETs and a nominal 3DOF trajectory (constructed using </w:t>
            </w:r>
            <w:r w:rsidR="00C91EEF" w:rsidRPr="00C91EEF">
              <w:rPr>
                <w:b/>
                <w:bCs/>
                <w:i/>
                <w:iCs/>
                <w:smallCaps/>
              </w:rPr>
              <w:t>Traj</w:t>
            </w:r>
            <w:r w:rsidR="00C91EEF">
              <w:rPr>
                <w:b/>
                <w:bCs/>
              </w:rPr>
              <w:t xml:space="preserve">) </w:t>
            </w:r>
            <w:r w:rsidR="00C91EEF" w:rsidRPr="00C91EEF">
              <w:rPr>
                <w:b/>
                <w:bCs/>
              </w:rPr>
              <w:t>of</w:t>
            </w:r>
            <w:r w:rsidR="00C91EEF">
              <w:rPr>
                <w:b/>
                <w:bCs/>
              </w:rPr>
              <w:t xml:space="preserve"> the OSIRIS-REx SRC. </w:t>
            </w:r>
          </w:p>
        </w:tc>
      </w:tr>
    </w:tbl>
    <w:p w14:paraId="667BA759" w14:textId="30CFF758" w:rsidR="00D801C8" w:rsidRDefault="00D801C8" w:rsidP="004434DF">
      <w:pPr>
        <w:pStyle w:val="Text"/>
      </w:pPr>
    </w:p>
    <w:p w14:paraId="3751292B" w14:textId="77777777" w:rsidR="00AF1EDB" w:rsidRDefault="00AF1EDB" w:rsidP="00AF1EDB">
      <w:pPr>
        <w:pStyle w:val="References"/>
        <w:rPr>
          <w:sz w:val="20"/>
        </w:rPr>
      </w:pPr>
      <w:r>
        <w:rPr>
          <w:sz w:val="20"/>
        </w:rPr>
        <w:t xml:space="preserve">The symbols along the flight trajectory of the OSIRIS-REx SRC are the points selected for detailed flow computations and correspond to roughly 30 s (from </w:t>
      </w:r>
      <w:r>
        <w:rPr>
          <w:i/>
          <w:iCs/>
          <w:sz w:val="20"/>
        </w:rPr>
        <w:t>t</w:t>
      </w:r>
      <w:r>
        <w:rPr>
          <w:sz w:val="20"/>
        </w:rPr>
        <w:t xml:space="preserve"> = 33 s to </w:t>
      </w:r>
      <w:r>
        <w:rPr>
          <w:i/>
          <w:iCs/>
          <w:sz w:val="20"/>
        </w:rPr>
        <w:t>t</w:t>
      </w:r>
      <w:r>
        <w:rPr>
          <w:sz w:val="20"/>
        </w:rPr>
        <w:t xml:space="preserve"> = 63 s) of the spectrometric observation period. During most of the observation period, the flight of the SRC is in the mesosphere.</w:t>
      </w:r>
    </w:p>
    <w:p w14:paraId="251525A0" w14:textId="77777777" w:rsidR="00AF1EDB" w:rsidRDefault="00AF1EDB" w:rsidP="004434DF">
      <w:pPr>
        <w:pStyle w:val="Text"/>
      </w:pPr>
    </w:p>
    <w:p w14:paraId="56C0A87E" w14:textId="52FCF5C7" w:rsidR="006F2D9B" w:rsidRPr="00970F86" w:rsidRDefault="00C214FE" w:rsidP="00D801C8">
      <w:pPr>
        <w:pStyle w:val="Text"/>
        <w:numPr>
          <w:ilvl w:val="0"/>
          <w:numId w:val="30"/>
        </w:numPr>
        <w:ind w:left="360"/>
        <w:rPr>
          <w:b/>
          <w:bCs/>
        </w:rPr>
      </w:pPr>
      <w:r>
        <w:rPr>
          <w:b/>
          <w:bCs/>
        </w:rPr>
        <w:t>Flowfield Computations</w:t>
      </w:r>
    </w:p>
    <w:p w14:paraId="7A4A489E" w14:textId="1DAA730D" w:rsidR="00C92686" w:rsidRPr="00B43A8E" w:rsidRDefault="0013041E" w:rsidP="006C6E6E">
      <w:pPr>
        <w:pStyle w:val="Text"/>
        <w:ind w:firstLine="270"/>
      </w:pPr>
      <w:r>
        <w:t xml:space="preserve">Detailed flow computations are performed </w:t>
      </w:r>
      <w:r w:rsidR="00F97158">
        <w:t xml:space="preserve">using v4.05.1b2 of the flow solver </w:t>
      </w:r>
      <w:r w:rsidR="00F97158" w:rsidRPr="00A65065">
        <w:rPr>
          <w:i/>
          <w:iCs/>
          <w:smallCaps/>
        </w:rPr>
        <w:t>Dplr</w:t>
      </w:r>
      <w:r w:rsidR="00F97158">
        <w:t xml:space="preserve"> </w:t>
      </w:r>
      <w:r w:rsidR="00F97158" w:rsidRPr="002C5D84">
        <w:rPr>
          <w:color w:val="FF0000"/>
        </w:rPr>
        <w:t>[</w:t>
      </w:r>
      <w:r w:rsidR="00685005">
        <w:rPr>
          <w:color w:val="FF0000"/>
        </w:rPr>
        <w:t>8</w:t>
      </w:r>
      <w:r w:rsidR="00F97158" w:rsidRPr="002C5D84">
        <w:rPr>
          <w:color w:val="FF0000"/>
        </w:rPr>
        <w:t>]</w:t>
      </w:r>
      <w:r w:rsidR="00F97158">
        <w:t xml:space="preserve"> </w:t>
      </w:r>
      <w:r>
        <w:t>at point</w:t>
      </w:r>
      <w:r w:rsidR="00C214FE">
        <w:t>s</w:t>
      </w:r>
      <w:r>
        <w:t xml:space="preserve"> selected</w:t>
      </w:r>
      <w:r w:rsidR="00C214FE">
        <w:t xml:space="preserve"> (symbols in Fig. 2a) along the flight trajectory</w:t>
      </w:r>
      <w:r>
        <w:t xml:space="preserve">. Since the </w:t>
      </w:r>
      <w:r w:rsidR="00A65065">
        <w:t xml:space="preserve">flight of </w:t>
      </w:r>
      <w:r w:rsidR="006A0E6A">
        <w:t>the SRC</w:t>
      </w:r>
      <w:r w:rsidR="00A65065">
        <w:t xml:space="preserve"> is ballistic (</w:t>
      </w:r>
      <w:r w:rsidR="00A65065" w:rsidRPr="006A0E6A">
        <w:rPr>
          <w:i/>
          <w:iCs/>
        </w:rPr>
        <w:t>i.e</w:t>
      </w:r>
      <w:r w:rsidR="006A0E6A" w:rsidRPr="006A0E6A">
        <w:rPr>
          <w:i/>
          <w:iCs/>
        </w:rPr>
        <w:t>.</w:t>
      </w:r>
      <w:r w:rsidR="00A65065">
        <w:t xml:space="preserve">, </w:t>
      </w:r>
      <w:r w:rsidR="006A0E6A" w:rsidRPr="006A0E6A">
        <w:rPr>
          <w:i/>
          <w:iCs/>
        </w:rPr>
        <w:t>C</w:t>
      </w:r>
      <w:r w:rsidR="006A0E6A" w:rsidRPr="006A0E6A">
        <w:rPr>
          <w:i/>
          <w:iCs/>
          <w:vertAlign w:val="subscript"/>
        </w:rPr>
        <w:t>L</w:t>
      </w:r>
      <w:r w:rsidR="006A0E6A">
        <w:t xml:space="preserve"> </w:t>
      </w:r>
      <w:r w:rsidR="00A65065">
        <w:t xml:space="preserve">= 0, ignoring small oscillations </w:t>
      </w:r>
      <w:r w:rsidR="007F6FA7">
        <w:t>in angle of attack</w:t>
      </w:r>
      <w:r w:rsidR="00A65065">
        <w:t>), axisymmetric computations are sufficient</w:t>
      </w:r>
      <w:r w:rsidR="00FB6571">
        <w:t>. T</w:t>
      </w:r>
      <w:r w:rsidR="00C92686">
        <w:t xml:space="preserve">he axisymmetric flow solutions are easily converted into equivalent 3D solutions using </w:t>
      </w:r>
      <w:r w:rsidR="00541EF1">
        <w:t>an in-house utility software called</w:t>
      </w:r>
      <w:r w:rsidR="00C92686">
        <w:t xml:space="preserve"> </w:t>
      </w:r>
      <w:r w:rsidR="00C92686" w:rsidRPr="000B1DAD">
        <w:rPr>
          <w:i/>
          <w:smallCaps/>
        </w:rPr>
        <w:t>Revolve_Grid</w:t>
      </w:r>
      <w:r w:rsidR="00C92686">
        <w:t xml:space="preserve"> </w:t>
      </w:r>
      <w:r w:rsidR="00C92686" w:rsidRPr="004B7D99">
        <w:rPr>
          <w:color w:val="FF0000"/>
        </w:rPr>
        <w:t>[</w:t>
      </w:r>
      <w:r w:rsidR="00685005">
        <w:rPr>
          <w:color w:val="FF0000"/>
        </w:rPr>
        <w:t>11</w:t>
      </w:r>
      <w:r w:rsidR="00C92686" w:rsidRPr="004B7D99">
        <w:rPr>
          <w:color w:val="FF0000"/>
        </w:rPr>
        <w:t>]</w:t>
      </w:r>
      <w:r w:rsidR="00FB6571">
        <w:t>;</w:t>
      </w:r>
      <w:r w:rsidR="0063448A">
        <w:t xml:space="preserve"> </w:t>
      </w:r>
      <w:r w:rsidR="00FB6571">
        <w:t>t</w:t>
      </w:r>
      <w:r w:rsidR="0063448A">
        <w:t>hree-dimensional solutions are needed for radiance computations.</w:t>
      </w:r>
      <w:r w:rsidR="00FC6032">
        <w:t xml:space="preserve"> While </w:t>
      </w:r>
      <w:r w:rsidR="00FC6032" w:rsidRPr="002C5D84">
        <w:rPr>
          <w:i/>
          <w:iCs/>
          <w:smallCaps/>
        </w:rPr>
        <w:t>Dplr</w:t>
      </w:r>
      <w:r w:rsidR="00FC6032">
        <w:t xml:space="preserve"> is used to determine convective heating, v15.2.2 of </w:t>
      </w:r>
      <w:r w:rsidR="00FC6032" w:rsidRPr="002C5D84">
        <w:rPr>
          <w:i/>
          <w:iCs/>
          <w:smallCaps/>
        </w:rPr>
        <w:t>Neqair</w:t>
      </w:r>
      <w:r w:rsidR="00FC6032">
        <w:t xml:space="preserve"> </w:t>
      </w:r>
      <w:r w:rsidR="00FC6032" w:rsidRPr="002C5D84">
        <w:rPr>
          <w:color w:val="FF0000"/>
        </w:rPr>
        <w:t>[</w:t>
      </w:r>
      <w:r w:rsidR="00685005">
        <w:rPr>
          <w:color w:val="FF0000"/>
        </w:rPr>
        <w:t>10</w:t>
      </w:r>
      <w:r w:rsidR="00FC6032" w:rsidRPr="002C5D84">
        <w:rPr>
          <w:color w:val="FF0000"/>
        </w:rPr>
        <w:t>]</w:t>
      </w:r>
      <w:r w:rsidR="00FC6032">
        <w:t xml:space="preserve"> is used at select spatial locations to determine radiative heating </w:t>
      </w:r>
      <w:r w:rsidR="00FC6032">
        <w:rPr>
          <w:i/>
          <w:iCs/>
        </w:rPr>
        <w:t>from</w:t>
      </w:r>
      <w:r w:rsidR="00FC6032">
        <w:t xml:space="preserve"> the shock-heated gas mixture around the SRC </w:t>
      </w:r>
      <w:r w:rsidR="00FC6032">
        <w:rPr>
          <w:i/>
          <w:iCs/>
        </w:rPr>
        <w:t>to</w:t>
      </w:r>
      <w:r w:rsidR="00FC6032">
        <w:t xml:space="preserve"> </w:t>
      </w:r>
      <w:r w:rsidR="00FC6032">
        <w:lastRenderedPageBreak/>
        <w:t>the surface of the SRC</w:t>
      </w:r>
      <w:r w:rsidR="004B7D99">
        <w:t>.</w:t>
      </w:r>
      <w:r w:rsidR="00B43A8E">
        <w:t xml:space="preserve"> </w:t>
      </w:r>
      <w:r w:rsidR="00B43A8E">
        <w:rPr>
          <w:i/>
          <w:iCs/>
        </w:rPr>
        <w:t>Both</w:t>
      </w:r>
      <w:r w:rsidR="00B43A8E">
        <w:t xml:space="preserve"> convective and radiative heating distributions over the surface of the SRC are needed to compute the response of the materials (PICA and SLA-561V) that make up the thermal protection system.</w:t>
      </w:r>
    </w:p>
    <w:p w14:paraId="7E16EF0B" w14:textId="5680BA89" w:rsidR="00F97158" w:rsidRDefault="00101CB4" w:rsidP="006C6E6E">
      <w:pPr>
        <w:pStyle w:val="Text"/>
        <w:ind w:firstLine="270"/>
      </w:pPr>
      <w:r>
        <w:t xml:space="preserve">At each point selected along the flight trajectory, the ambient density and temperature, and SRC velocity (relative to the atmosphere) are used in flow computations. </w:t>
      </w:r>
      <w:r w:rsidR="004735AB">
        <w:t>T</w:t>
      </w:r>
      <w:r w:rsidR="00F564C8">
        <w:t xml:space="preserve">he </w:t>
      </w:r>
      <w:r>
        <w:t>requisite gas</w:t>
      </w:r>
      <w:r w:rsidR="00F564C8">
        <w:t xml:space="preserve"> composition, in terms of mole and mass fractions of constituent species, used in the present work is </w:t>
      </w:r>
      <w:r>
        <w:t>provided</w:t>
      </w:r>
      <w:r w:rsidR="00F564C8">
        <w:t xml:space="preserve"> in Table 2</w:t>
      </w:r>
      <w:r>
        <w:t>. The trace species CO2 and H2O are included to see if the shock-layer radiation signature will show significant contributions from CN and/or H, which have been observed in entries of Stardust, Hayabusa, and Hayabusa2.</w:t>
      </w:r>
    </w:p>
    <w:p w14:paraId="761C3775" w14:textId="77777777" w:rsidR="00F97158" w:rsidRDefault="00F97158" w:rsidP="00F97158">
      <w:pPr>
        <w:pStyle w:val="Text"/>
        <w:ind w:firstLine="270"/>
      </w:pPr>
    </w:p>
    <w:p w14:paraId="338889A0" w14:textId="77777777" w:rsidR="00F97158" w:rsidRPr="00B651F6" w:rsidRDefault="00F97158" w:rsidP="00F97158">
      <w:pPr>
        <w:pStyle w:val="Text"/>
        <w:ind w:firstLine="0"/>
        <w:jc w:val="center"/>
        <w:rPr>
          <w:b/>
          <w:bCs/>
          <w:sz w:val="18"/>
          <w:szCs w:val="18"/>
        </w:rPr>
      </w:pPr>
      <w:r w:rsidRPr="00E41C90">
        <w:rPr>
          <w:b/>
          <w:bCs/>
          <w:sz w:val="18"/>
          <w:szCs w:val="18"/>
        </w:rPr>
        <w:t xml:space="preserve">Table </w:t>
      </w:r>
      <w:r>
        <w:rPr>
          <w:b/>
          <w:bCs/>
          <w:sz w:val="18"/>
          <w:szCs w:val="18"/>
        </w:rPr>
        <w:t>2</w:t>
      </w:r>
      <w:r w:rsidRPr="00E41C90">
        <w:rPr>
          <w:b/>
          <w:bCs/>
          <w:sz w:val="18"/>
          <w:szCs w:val="18"/>
        </w:rPr>
        <w:t xml:space="preserve">. </w:t>
      </w:r>
      <w:r>
        <w:rPr>
          <w:b/>
          <w:bCs/>
          <w:sz w:val="18"/>
          <w:szCs w:val="18"/>
        </w:rPr>
        <w:t>Composition of the ambient atmosphere.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1121"/>
        <w:gridCol w:w="1271"/>
        <w:gridCol w:w="1261"/>
      </w:tblGrid>
      <w:tr w:rsidR="00F97158" w14:paraId="4403FF06" w14:textId="77777777" w:rsidTr="00650777">
        <w:trPr>
          <w:jc w:val="center"/>
        </w:trPr>
        <w:tc>
          <w:tcPr>
            <w:tcW w:w="0" w:type="auto"/>
            <w:tcBorders>
              <w:top w:val="double" w:sz="4" w:space="0" w:color="auto"/>
              <w:bottom w:val="single" w:sz="4" w:space="0" w:color="auto"/>
            </w:tcBorders>
          </w:tcPr>
          <w:p w14:paraId="18149E5D" w14:textId="77777777" w:rsidR="00F97158" w:rsidRPr="00E37877" w:rsidRDefault="00F97158" w:rsidP="00650777">
            <w:pPr>
              <w:pStyle w:val="Text"/>
              <w:ind w:firstLine="0"/>
              <w:jc w:val="center"/>
              <w:rPr>
                <w:b/>
                <w:bCs/>
                <w:sz w:val="18"/>
                <w:szCs w:val="18"/>
              </w:rPr>
            </w:pPr>
            <w:r w:rsidRPr="00E37877">
              <w:rPr>
                <w:b/>
                <w:bCs/>
                <w:sz w:val="18"/>
                <w:szCs w:val="18"/>
              </w:rPr>
              <w:t>Species</w:t>
            </w:r>
          </w:p>
        </w:tc>
        <w:tc>
          <w:tcPr>
            <w:tcW w:w="0" w:type="auto"/>
            <w:tcBorders>
              <w:top w:val="double" w:sz="4" w:space="0" w:color="auto"/>
              <w:bottom w:val="single" w:sz="4" w:space="0" w:color="auto"/>
            </w:tcBorders>
          </w:tcPr>
          <w:p w14:paraId="6A0C0417" w14:textId="77777777" w:rsidR="00F97158" w:rsidRPr="00E37877" w:rsidRDefault="00F97158" w:rsidP="00650777">
            <w:pPr>
              <w:pStyle w:val="Text"/>
              <w:ind w:firstLine="0"/>
              <w:jc w:val="center"/>
              <w:rPr>
                <w:b/>
                <w:bCs/>
                <w:sz w:val="18"/>
                <w:szCs w:val="18"/>
              </w:rPr>
            </w:pPr>
            <w:r w:rsidRPr="00E37877">
              <w:rPr>
                <w:b/>
                <w:bCs/>
                <w:sz w:val="18"/>
                <w:szCs w:val="18"/>
              </w:rPr>
              <w:t>Molar mass</w:t>
            </w:r>
          </w:p>
          <w:p w14:paraId="6A05C9EF" w14:textId="77777777" w:rsidR="00F97158" w:rsidRPr="00E37877" w:rsidRDefault="00F97158" w:rsidP="00650777">
            <w:pPr>
              <w:pStyle w:val="Text"/>
              <w:ind w:firstLine="0"/>
              <w:jc w:val="center"/>
              <w:rPr>
                <w:sz w:val="18"/>
                <w:szCs w:val="18"/>
              </w:rPr>
            </w:pPr>
            <w:r w:rsidRPr="00E37877">
              <w:rPr>
                <w:sz w:val="18"/>
                <w:szCs w:val="18"/>
              </w:rPr>
              <w:t>(kg/kmol)</w:t>
            </w:r>
          </w:p>
        </w:tc>
        <w:tc>
          <w:tcPr>
            <w:tcW w:w="0" w:type="auto"/>
            <w:tcBorders>
              <w:top w:val="double" w:sz="4" w:space="0" w:color="auto"/>
              <w:bottom w:val="single" w:sz="4" w:space="0" w:color="auto"/>
            </w:tcBorders>
          </w:tcPr>
          <w:p w14:paraId="7B20BF05" w14:textId="77777777" w:rsidR="00F97158" w:rsidRPr="00E37877" w:rsidRDefault="00F97158" w:rsidP="00650777">
            <w:pPr>
              <w:pStyle w:val="Text"/>
              <w:ind w:firstLine="0"/>
              <w:jc w:val="center"/>
              <w:rPr>
                <w:b/>
                <w:bCs/>
                <w:sz w:val="18"/>
                <w:szCs w:val="18"/>
              </w:rPr>
            </w:pPr>
            <w:r w:rsidRPr="00E37877">
              <w:rPr>
                <w:b/>
                <w:bCs/>
                <w:sz w:val="18"/>
                <w:szCs w:val="18"/>
              </w:rPr>
              <w:t>Mass fraction</w:t>
            </w:r>
          </w:p>
          <w:p w14:paraId="324D23EB" w14:textId="77777777" w:rsidR="00F97158" w:rsidRPr="00E37877" w:rsidRDefault="00F97158" w:rsidP="00650777">
            <w:pPr>
              <w:pStyle w:val="Text"/>
              <w:ind w:firstLine="0"/>
              <w:jc w:val="center"/>
              <w:rPr>
                <w:sz w:val="18"/>
                <w:szCs w:val="18"/>
              </w:rPr>
            </w:pPr>
            <w:r w:rsidRPr="00E37877">
              <w:rPr>
                <w:sz w:val="18"/>
                <w:szCs w:val="18"/>
              </w:rPr>
              <w:t>(Y</w:t>
            </w:r>
            <w:r w:rsidRPr="00E37877">
              <w:rPr>
                <w:sz w:val="18"/>
                <w:szCs w:val="18"/>
                <w:vertAlign w:val="subscript"/>
              </w:rPr>
              <w:t>s</w:t>
            </w:r>
            <w:r w:rsidRPr="00E37877">
              <w:rPr>
                <w:sz w:val="18"/>
                <w:szCs w:val="18"/>
              </w:rPr>
              <w:t>)</w:t>
            </w:r>
          </w:p>
        </w:tc>
        <w:tc>
          <w:tcPr>
            <w:tcW w:w="0" w:type="auto"/>
            <w:tcBorders>
              <w:top w:val="double" w:sz="4" w:space="0" w:color="auto"/>
              <w:bottom w:val="single" w:sz="4" w:space="0" w:color="auto"/>
            </w:tcBorders>
          </w:tcPr>
          <w:p w14:paraId="5467C703" w14:textId="77777777" w:rsidR="00F97158" w:rsidRPr="00E37877" w:rsidRDefault="00F97158" w:rsidP="00650777">
            <w:pPr>
              <w:pStyle w:val="Text"/>
              <w:ind w:firstLine="0"/>
              <w:jc w:val="center"/>
              <w:rPr>
                <w:b/>
                <w:bCs/>
                <w:sz w:val="18"/>
                <w:szCs w:val="18"/>
              </w:rPr>
            </w:pPr>
            <w:r w:rsidRPr="00E37877">
              <w:rPr>
                <w:b/>
                <w:bCs/>
                <w:sz w:val="18"/>
                <w:szCs w:val="18"/>
              </w:rPr>
              <w:t>Mole fraction</w:t>
            </w:r>
          </w:p>
          <w:p w14:paraId="2C4A935C" w14:textId="77777777" w:rsidR="00F97158" w:rsidRPr="00E37877" w:rsidRDefault="00F97158" w:rsidP="00650777">
            <w:pPr>
              <w:pStyle w:val="Text"/>
              <w:ind w:firstLine="0"/>
              <w:jc w:val="center"/>
              <w:rPr>
                <w:sz w:val="18"/>
                <w:szCs w:val="18"/>
              </w:rPr>
            </w:pPr>
            <w:r w:rsidRPr="00E37877">
              <w:rPr>
                <w:sz w:val="18"/>
                <w:szCs w:val="18"/>
              </w:rPr>
              <w:t>(X</w:t>
            </w:r>
            <w:r w:rsidRPr="00E37877">
              <w:rPr>
                <w:sz w:val="18"/>
                <w:szCs w:val="18"/>
                <w:vertAlign w:val="subscript"/>
              </w:rPr>
              <w:t>s</w:t>
            </w:r>
            <w:r w:rsidRPr="00E37877">
              <w:rPr>
                <w:sz w:val="18"/>
                <w:szCs w:val="18"/>
              </w:rPr>
              <w:t>)</w:t>
            </w:r>
          </w:p>
        </w:tc>
      </w:tr>
      <w:tr w:rsidR="00F97158" w14:paraId="5D417524" w14:textId="77777777" w:rsidTr="00650777">
        <w:trPr>
          <w:jc w:val="center"/>
        </w:trPr>
        <w:tc>
          <w:tcPr>
            <w:tcW w:w="0" w:type="auto"/>
            <w:vAlign w:val="bottom"/>
          </w:tcPr>
          <w:p w14:paraId="685B5169" w14:textId="77777777" w:rsidR="00F97158" w:rsidRPr="00E37877" w:rsidRDefault="00F97158" w:rsidP="00650777">
            <w:pPr>
              <w:pStyle w:val="Text"/>
              <w:ind w:firstLine="0"/>
              <w:jc w:val="center"/>
              <w:rPr>
                <w:sz w:val="18"/>
                <w:szCs w:val="18"/>
              </w:rPr>
            </w:pPr>
            <w:r w:rsidRPr="00E37877">
              <w:rPr>
                <w:color w:val="000000"/>
                <w:sz w:val="18"/>
                <w:szCs w:val="18"/>
              </w:rPr>
              <w:t>N</w:t>
            </w:r>
            <w:r w:rsidRPr="00E37877">
              <w:rPr>
                <w:color w:val="000000"/>
                <w:sz w:val="18"/>
                <w:szCs w:val="18"/>
                <w:vertAlign w:val="subscript"/>
              </w:rPr>
              <w:t>2</w:t>
            </w:r>
          </w:p>
        </w:tc>
        <w:tc>
          <w:tcPr>
            <w:tcW w:w="0" w:type="auto"/>
            <w:vAlign w:val="bottom"/>
          </w:tcPr>
          <w:p w14:paraId="124F06E2" w14:textId="77777777" w:rsidR="00F97158" w:rsidRPr="00E37877" w:rsidRDefault="00F97158" w:rsidP="00650777">
            <w:pPr>
              <w:pStyle w:val="Text"/>
              <w:ind w:firstLine="0"/>
              <w:jc w:val="center"/>
              <w:rPr>
                <w:sz w:val="18"/>
                <w:szCs w:val="18"/>
              </w:rPr>
            </w:pPr>
            <w:r w:rsidRPr="00E37877">
              <w:rPr>
                <w:color w:val="000000"/>
                <w:sz w:val="18"/>
                <w:szCs w:val="18"/>
              </w:rPr>
              <w:t>28.01348</w:t>
            </w:r>
          </w:p>
        </w:tc>
        <w:tc>
          <w:tcPr>
            <w:tcW w:w="0" w:type="auto"/>
            <w:vAlign w:val="bottom"/>
          </w:tcPr>
          <w:p w14:paraId="7CC7C87E" w14:textId="005DC0F3" w:rsidR="00F97158" w:rsidRPr="00E37877" w:rsidRDefault="005B259F" w:rsidP="00650777">
            <w:pPr>
              <w:pStyle w:val="Text"/>
              <w:ind w:firstLine="0"/>
              <w:jc w:val="center"/>
              <w:rPr>
                <w:sz w:val="18"/>
                <w:szCs w:val="18"/>
              </w:rPr>
            </w:pPr>
            <w:r>
              <w:rPr>
                <w:color w:val="000000"/>
                <w:sz w:val="18"/>
                <w:szCs w:val="18"/>
              </w:rPr>
              <w:t>0.7551</w:t>
            </w:r>
            <w:r w:rsidR="00B43A8E">
              <w:rPr>
                <w:color w:val="000000"/>
                <w:sz w:val="18"/>
                <w:szCs w:val="18"/>
              </w:rPr>
              <w:t>49</w:t>
            </w:r>
          </w:p>
        </w:tc>
        <w:tc>
          <w:tcPr>
            <w:tcW w:w="0" w:type="auto"/>
            <w:vAlign w:val="bottom"/>
          </w:tcPr>
          <w:p w14:paraId="1763730D" w14:textId="4BD23059" w:rsidR="00F97158" w:rsidRPr="00E37877" w:rsidRDefault="005B259F" w:rsidP="00650777">
            <w:pPr>
              <w:pStyle w:val="Text"/>
              <w:ind w:firstLine="0"/>
              <w:jc w:val="center"/>
              <w:rPr>
                <w:sz w:val="18"/>
                <w:szCs w:val="18"/>
              </w:rPr>
            </w:pPr>
            <w:r>
              <w:rPr>
                <w:color w:val="000000"/>
                <w:sz w:val="18"/>
                <w:szCs w:val="18"/>
              </w:rPr>
              <w:t>0.</w:t>
            </w:r>
            <w:r w:rsidR="00F97158" w:rsidRPr="00E37877">
              <w:rPr>
                <w:color w:val="000000"/>
                <w:sz w:val="18"/>
                <w:szCs w:val="18"/>
              </w:rPr>
              <w:t>78</w:t>
            </w:r>
            <w:r w:rsidR="004B7D99">
              <w:rPr>
                <w:color w:val="000000"/>
                <w:sz w:val="18"/>
                <w:szCs w:val="18"/>
              </w:rPr>
              <w:t>0813</w:t>
            </w:r>
          </w:p>
        </w:tc>
      </w:tr>
      <w:tr w:rsidR="00F97158" w14:paraId="6526F50B" w14:textId="77777777" w:rsidTr="00650777">
        <w:trPr>
          <w:jc w:val="center"/>
        </w:trPr>
        <w:tc>
          <w:tcPr>
            <w:tcW w:w="0" w:type="auto"/>
            <w:vAlign w:val="bottom"/>
          </w:tcPr>
          <w:p w14:paraId="3337C17E" w14:textId="77777777" w:rsidR="00F97158" w:rsidRPr="00E37877" w:rsidRDefault="00F97158" w:rsidP="00650777">
            <w:pPr>
              <w:pStyle w:val="Text"/>
              <w:ind w:firstLine="0"/>
              <w:jc w:val="center"/>
              <w:rPr>
                <w:sz w:val="18"/>
                <w:szCs w:val="18"/>
              </w:rPr>
            </w:pPr>
            <w:r w:rsidRPr="00E37877">
              <w:rPr>
                <w:color w:val="000000"/>
                <w:sz w:val="18"/>
                <w:szCs w:val="18"/>
              </w:rPr>
              <w:t>O</w:t>
            </w:r>
            <w:r w:rsidRPr="00E37877">
              <w:rPr>
                <w:color w:val="000000"/>
                <w:sz w:val="18"/>
                <w:szCs w:val="18"/>
                <w:vertAlign w:val="subscript"/>
              </w:rPr>
              <w:t>2</w:t>
            </w:r>
          </w:p>
        </w:tc>
        <w:tc>
          <w:tcPr>
            <w:tcW w:w="0" w:type="auto"/>
            <w:vAlign w:val="bottom"/>
          </w:tcPr>
          <w:p w14:paraId="7D06C953" w14:textId="77777777" w:rsidR="00F97158" w:rsidRPr="00E37877" w:rsidRDefault="00F97158" w:rsidP="00650777">
            <w:pPr>
              <w:pStyle w:val="Text"/>
              <w:ind w:firstLine="0"/>
              <w:jc w:val="center"/>
              <w:rPr>
                <w:sz w:val="18"/>
                <w:szCs w:val="18"/>
              </w:rPr>
            </w:pPr>
            <w:r w:rsidRPr="00E37877">
              <w:rPr>
                <w:color w:val="000000"/>
                <w:sz w:val="18"/>
                <w:szCs w:val="18"/>
              </w:rPr>
              <w:t>31.9988</w:t>
            </w:r>
          </w:p>
        </w:tc>
        <w:tc>
          <w:tcPr>
            <w:tcW w:w="0" w:type="auto"/>
            <w:vAlign w:val="bottom"/>
          </w:tcPr>
          <w:p w14:paraId="08666B18" w14:textId="27BFC88D" w:rsidR="00F97158" w:rsidRPr="00E37877" w:rsidRDefault="005B259F" w:rsidP="00650777">
            <w:pPr>
              <w:pStyle w:val="Text"/>
              <w:ind w:firstLine="0"/>
              <w:jc w:val="center"/>
              <w:rPr>
                <w:sz w:val="18"/>
                <w:szCs w:val="18"/>
              </w:rPr>
            </w:pPr>
            <w:r>
              <w:rPr>
                <w:color w:val="000000"/>
                <w:sz w:val="18"/>
                <w:szCs w:val="18"/>
              </w:rPr>
              <w:t>0.23143</w:t>
            </w:r>
            <w:r w:rsidR="00B43A8E">
              <w:rPr>
                <w:color w:val="000000"/>
                <w:sz w:val="18"/>
                <w:szCs w:val="18"/>
              </w:rPr>
              <w:t>1</w:t>
            </w:r>
          </w:p>
        </w:tc>
        <w:tc>
          <w:tcPr>
            <w:tcW w:w="0" w:type="auto"/>
            <w:vAlign w:val="bottom"/>
          </w:tcPr>
          <w:p w14:paraId="5C272799" w14:textId="160D0ABC" w:rsidR="00F97158" w:rsidRPr="00E37877" w:rsidRDefault="004B7D99" w:rsidP="00650777">
            <w:pPr>
              <w:pStyle w:val="Text"/>
              <w:ind w:firstLine="0"/>
              <w:jc w:val="center"/>
              <w:rPr>
                <w:sz w:val="18"/>
                <w:szCs w:val="18"/>
              </w:rPr>
            </w:pPr>
            <w:r>
              <w:rPr>
                <w:color w:val="000000"/>
                <w:sz w:val="18"/>
                <w:szCs w:val="18"/>
              </w:rPr>
              <w:t>0.209493</w:t>
            </w:r>
          </w:p>
        </w:tc>
      </w:tr>
      <w:tr w:rsidR="00F97158" w14:paraId="33D4D8B7" w14:textId="77777777" w:rsidTr="00650777">
        <w:trPr>
          <w:jc w:val="center"/>
        </w:trPr>
        <w:tc>
          <w:tcPr>
            <w:tcW w:w="0" w:type="auto"/>
            <w:vAlign w:val="bottom"/>
          </w:tcPr>
          <w:p w14:paraId="22938662" w14:textId="77777777" w:rsidR="00F97158" w:rsidRPr="00E37877" w:rsidRDefault="00F97158" w:rsidP="00650777">
            <w:pPr>
              <w:pStyle w:val="Text"/>
              <w:ind w:firstLine="0"/>
              <w:jc w:val="center"/>
              <w:rPr>
                <w:sz w:val="18"/>
                <w:szCs w:val="18"/>
              </w:rPr>
            </w:pPr>
            <w:r w:rsidRPr="00E37877">
              <w:rPr>
                <w:color w:val="000000"/>
                <w:sz w:val="18"/>
                <w:szCs w:val="18"/>
              </w:rPr>
              <w:t>Ar</w:t>
            </w:r>
          </w:p>
        </w:tc>
        <w:tc>
          <w:tcPr>
            <w:tcW w:w="0" w:type="auto"/>
            <w:vAlign w:val="bottom"/>
          </w:tcPr>
          <w:p w14:paraId="109719D9" w14:textId="77777777" w:rsidR="00F97158" w:rsidRPr="00E37877" w:rsidRDefault="00F97158" w:rsidP="00650777">
            <w:pPr>
              <w:pStyle w:val="Text"/>
              <w:ind w:firstLine="0"/>
              <w:jc w:val="center"/>
              <w:rPr>
                <w:sz w:val="18"/>
                <w:szCs w:val="18"/>
              </w:rPr>
            </w:pPr>
            <w:r w:rsidRPr="00E37877">
              <w:rPr>
                <w:color w:val="000000"/>
                <w:sz w:val="18"/>
                <w:szCs w:val="18"/>
              </w:rPr>
              <w:t>39.948</w:t>
            </w:r>
          </w:p>
        </w:tc>
        <w:tc>
          <w:tcPr>
            <w:tcW w:w="0" w:type="auto"/>
            <w:vAlign w:val="bottom"/>
          </w:tcPr>
          <w:p w14:paraId="0FC74ECF" w14:textId="061DFE2F" w:rsidR="00F97158" w:rsidRPr="00E37877" w:rsidRDefault="00B43A8E" w:rsidP="00650777">
            <w:pPr>
              <w:pStyle w:val="Text"/>
              <w:ind w:firstLine="0"/>
              <w:jc w:val="center"/>
              <w:rPr>
                <w:sz w:val="18"/>
                <w:szCs w:val="18"/>
              </w:rPr>
            </w:pPr>
            <w:r>
              <w:rPr>
                <w:color w:val="000000"/>
                <w:sz w:val="18"/>
                <w:szCs w:val="18"/>
              </w:rPr>
              <w:t>0.012</w:t>
            </w:r>
            <w:r w:rsidR="004B7D99">
              <w:rPr>
                <w:color w:val="000000"/>
                <w:sz w:val="18"/>
                <w:szCs w:val="18"/>
              </w:rPr>
              <w:t>824</w:t>
            </w:r>
          </w:p>
        </w:tc>
        <w:tc>
          <w:tcPr>
            <w:tcW w:w="0" w:type="auto"/>
            <w:vAlign w:val="bottom"/>
          </w:tcPr>
          <w:p w14:paraId="6C271EC8" w14:textId="78AABD5E" w:rsidR="00F97158" w:rsidRPr="00E37877" w:rsidRDefault="004B7D99" w:rsidP="00650777">
            <w:pPr>
              <w:pStyle w:val="Text"/>
              <w:ind w:firstLine="0"/>
              <w:jc w:val="center"/>
              <w:rPr>
                <w:sz w:val="18"/>
                <w:szCs w:val="18"/>
              </w:rPr>
            </w:pPr>
            <w:r>
              <w:rPr>
                <w:sz w:val="18"/>
                <w:szCs w:val="18"/>
              </w:rPr>
              <w:t>0.009298</w:t>
            </w:r>
          </w:p>
        </w:tc>
      </w:tr>
      <w:tr w:rsidR="00F97158" w14:paraId="58821F96" w14:textId="77777777" w:rsidTr="00650777">
        <w:trPr>
          <w:jc w:val="center"/>
        </w:trPr>
        <w:tc>
          <w:tcPr>
            <w:tcW w:w="0" w:type="auto"/>
            <w:vAlign w:val="bottom"/>
          </w:tcPr>
          <w:p w14:paraId="078ABA47" w14:textId="77777777" w:rsidR="00F97158" w:rsidRPr="00E37877" w:rsidRDefault="00F97158" w:rsidP="00650777">
            <w:pPr>
              <w:pStyle w:val="Text"/>
              <w:ind w:firstLine="0"/>
              <w:jc w:val="center"/>
              <w:rPr>
                <w:sz w:val="18"/>
                <w:szCs w:val="18"/>
              </w:rPr>
            </w:pPr>
            <w:r w:rsidRPr="00E37877">
              <w:rPr>
                <w:color w:val="000000"/>
                <w:sz w:val="18"/>
                <w:szCs w:val="18"/>
              </w:rPr>
              <w:t>CO</w:t>
            </w:r>
            <w:r w:rsidRPr="00E37877">
              <w:rPr>
                <w:color w:val="000000"/>
                <w:sz w:val="18"/>
                <w:szCs w:val="18"/>
                <w:vertAlign w:val="subscript"/>
              </w:rPr>
              <w:t>2</w:t>
            </w:r>
          </w:p>
        </w:tc>
        <w:tc>
          <w:tcPr>
            <w:tcW w:w="0" w:type="auto"/>
            <w:vAlign w:val="bottom"/>
          </w:tcPr>
          <w:p w14:paraId="7018E871" w14:textId="77777777" w:rsidR="00F97158" w:rsidRPr="00E37877" w:rsidRDefault="00F97158" w:rsidP="00650777">
            <w:pPr>
              <w:pStyle w:val="Text"/>
              <w:ind w:firstLine="0"/>
              <w:jc w:val="center"/>
              <w:rPr>
                <w:sz w:val="18"/>
                <w:szCs w:val="18"/>
              </w:rPr>
            </w:pPr>
            <w:r w:rsidRPr="00E37877">
              <w:rPr>
                <w:color w:val="000000"/>
                <w:sz w:val="18"/>
                <w:szCs w:val="18"/>
              </w:rPr>
              <w:t>44.0095</w:t>
            </w:r>
          </w:p>
        </w:tc>
        <w:tc>
          <w:tcPr>
            <w:tcW w:w="0" w:type="auto"/>
            <w:vAlign w:val="bottom"/>
          </w:tcPr>
          <w:p w14:paraId="069A2F2A" w14:textId="749E9C0B" w:rsidR="00F97158" w:rsidRPr="00E37877" w:rsidRDefault="004B7D99" w:rsidP="00650777">
            <w:pPr>
              <w:pStyle w:val="Text"/>
              <w:ind w:firstLine="0"/>
              <w:jc w:val="center"/>
              <w:rPr>
                <w:sz w:val="18"/>
                <w:szCs w:val="18"/>
              </w:rPr>
            </w:pPr>
            <w:r>
              <w:rPr>
                <w:color w:val="000000"/>
                <w:sz w:val="18"/>
                <w:szCs w:val="18"/>
              </w:rPr>
              <w:t>0.000593</w:t>
            </w:r>
          </w:p>
        </w:tc>
        <w:tc>
          <w:tcPr>
            <w:tcW w:w="0" w:type="auto"/>
            <w:vAlign w:val="bottom"/>
          </w:tcPr>
          <w:p w14:paraId="64101853" w14:textId="56974EFB" w:rsidR="00F97158" w:rsidRPr="00E37877" w:rsidRDefault="004B7D99" w:rsidP="00650777">
            <w:pPr>
              <w:pStyle w:val="Text"/>
              <w:ind w:firstLine="0"/>
              <w:jc w:val="center"/>
              <w:rPr>
                <w:sz w:val="18"/>
                <w:szCs w:val="18"/>
              </w:rPr>
            </w:pPr>
            <w:r>
              <w:rPr>
                <w:color w:val="000000"/>
                <w:sz w:val="18"/>
                <w:szCs w:val="18"/>
              </w:rPr>
              <w:t>0.000390</w:t>
            </w:r>
          </w:p>
        </w:tc>
      </w:tr>
      <w:tr w:rsidR="00F97158" w14:paraId="559B9132" w14:textId="77777777" w:rsidTr="00650777">
        <w:trPr>
          <w:jc w:val="center"/>
        </w:trPr>
        <w:tc>
          <w:tcPr>
            <w:tcW w:w="0" w:type="auto"/>
            <w:tcBorders>
              <w:bottom w:val="double" w:sz="4" w:space="0" w:color="auto"/>
            </w:tcBorders>
            <w:vAlign w:val="bottom"/>
          </w:tcPr>
          <w:p w14:paraId="1302ABDD" w14:textId="77777777" w:rsidR="00F97158" w:rsidRPr="00E37877" w:rsidRDefault="00F97158" w:rsidP="00650777">
            <w:pPr>
              <w:pStyle w:val="Text"/>
              <w:ind w:firstLine="0"/>
              <w:jc w:val="center"/>
              <w:rPr>
                <w:sz w:val="18"/>
                <w:szCs w:val="18"/>
              </w:rPr>
            </w:pPr>
            <w:r w:rsidRPr="00E37877">
              <w:rPr>
                <w:color w:val="000000"/>
                <w:sz w:val="18"/>
                <w:szCs w:val="18"/>
              </w:rPr>
              <w:t>H</w:t>
            </w:r>
            <w:r w:rsidRPr="00E37877">
              <w:rPr>
                <w:color w:val="000000"/>
                <w:sz w:val="18"/>
                <w:szCs w:val="18"/>
                <w:vertAlign w:val="subscript"/>
              </w:rPr>
              <w:t>2</w:t>
            </w:r>
            <w:r w:rsidRPr="00E37877">
              <w:rPr>
                <w:color w:val="000000"/>
                <w:sz w:val="18"/>
                <w:szCs w:val="18"/>
              </w:rPr>
              <w:t>O</w:t>
            </w:r>
          </w:p>
        </w:tc>
        <w:tc>
          <w:tcPr>
            <w:tcW w:w="0" w:type="auto"/>
            <w:tcBorders>
              <w:bottom w:val="double" w:sz="4" w:space="0" w:color="auto"/>
            </w:tcBorders>
            <w:vAlign w:val="bottom"/>
          </w:tcPr>
          <w:p w14:paraId="6888061D" w14:textId="77777777" w:rsidR="00F97158" w:rsidRPr="00E37877" w:rsidRDefault="00F97158" w:rsidP="00650777">
            <w:pPr>
              <w:pStyle w:val="Text"/>
              <w:ind w:firstLine="0"/>
              <w:jc w:val="center"/>
              <w:rPr>
                <w:sz w:val="18"/>
                <w:szCs w:val="18"/>
              </w:rPr>
            </w:pPr>
            <w:r w:rsidRPr="00E37877">
              <w:rPr>
                <w:color w:val="000000"/>
                <w:sz w:val="18"/>
                <w:szCs w:val="18"/>
              </w:rPr>
              <w:t>18.01528</w:t>
            </w:r>
          </w:p>
        </w:tc>
        <w:tc>
          <w:tcPr>
            <w:tcW w:w="0" w:type="auto"/>
            <w:tcBorders>
              <w:bottom w:val="double" w:sz="4" w:space="0" w:color="auto"/>
            </w:tcBorders>
            <w:vAlign w:val="bottom"/>
          </w:tcPr>
          <w:p w14:paraId="455F75A7" w14:textId="2C65D27B" w:rsidR="00F97158" w:rsidRPr="00E37877" w:rsidRDefault="004B7D99" w:rsidP="00650777">
            <w:pPr>
              <w:pStyle w:val="Text"/>
              <w:ind w:firstLine="0"/>
              <w:jc w:val="center"/>
              <w:rPr>
                <w:sz w:val="18"/>
                <w:szCs w:val="18"/>
              </w:rPr>
            </w:pPr>
            <w:r>
              <w:rPr>
                <w:color w:val="000000"/>
                <w:sz w:val="18"/>
                <w:szCs w:val="18"/>
              </w:rPr>
              <w:t>0.000003</w:t>
            </w:r>
          </w:p>
        </w:tc>
        <w:tc>
          <w:tcPr>
            <w:tcW w:w="0" w:type="auto"/>
            <w:tcBorders>
              <w:bottom w:val="double" w:sz="4" w:space="0" w:color="auto"/>
            </w:tcBorders>
            <w:vAlign w:val="bottom"/>
          </w:tcPr>
          <w:p w14:paraId="7A316FD1" w14:textId="0E85042F" w:rsidR="00F97158" w:rsidRPr="00E37877" w:rsidRDefault="004B7D99" w:rsidP="00650777">
            <w:pPr>
              <w:pStyle w:val="Text"/>
              <w:ind w:firstLine="0"/>
              <w:jc w:val="center"/>
              <w:rPr>
                <w:sz w:val="18"/>
                <w:szCs w:val="18"/>
              </w:rPr>
            </w:pPr>
            <w:r>
              <w:rPr>
                <w:color w:val="000000"/>
                <w:sz w:val="18"/>
                <w:szCs w:val="18"/>
              </w:rPr>
              <w:t>0.000005</w:t>
            </w:r>
          </w:p>
        </w:tc>
      </w:tr>
    </w:tbl>
    <w:p w14:paraId="2EE7DD92" w14:textId="77777777" w:rsidR="00F97158" w:rsidRDefault="00F97158" w:rsidP="006C6E6E">
      <w:pPr>
        <w:pStyle w:val="Text"/>
        <w:ind w:firstLine="270"/>
      </w:pPr>
    </w:p>
    <w:p w14:paraId="2024E99A" w14:textId="198F2BD8" w:rsidR="00C31F92" w:rsidRDefault="00642DAA" w:rsidP="006C6E6E">
      <w:pPr>
        <w:pStyle w:val="Text"/>
        <w:ind w:firstLine="270"/>
      </w:pPr>
      <w:r>
        <w:t xml:space="preserve">A </w:t>
      </w:r>
      <w:r w:rsidR="006A0E6A">
        <w:t>30</w:t>
      </w:r>
      <w:r>
        <w:t>-sp</w:t>
      </w:r>
      <w:r w:rsidR="006C6E6E">
        <w:t>ecies</w:t>
      </w:r>
      <w:r>
        <w:t xml:space="preserve"> (</w:t>
      </w:r>
      <w:r w:rsidR="00202482" w:rsidRPr="00202482">
        <w:t>CH</w:t>
      </w:r>
      <w:r w:rsidR="00202482" w:rsidRPr="00202482">
        <w:rPr>
          <w:vertAlign w:val="subscript"/>
        </w:rPr>
        <w:t>4</w:t>
      </w:r>
      <w:r w:rsidR="00202482">
        <w:t xml:space="preserve">, </w:t>
      </w:r>
      <w:r w:rsidR="00202482" w:rsidRPr="00202482">
        <w:t>CH</w:t>
      </w:r>
      <w:r w:rsidR="00202482" w:rsidRPr="00202482">
        <w:rPr>
          <w:vertAlign w:val="subscript"/>
        </w:rPr>
        <w:t>3</w:t>
      </w:r>
      <w:r w:rsidR="00202482">
        <w:t>,</w:t>
      </w:r>
      <w:r w:rsidR="00202482" w:rsidRPr="00202482">
        <w:t xml:space="preserve"> CH</w:t>
      </w:r>
      <w:r w:rsidR="00202482" w:rsidRPr="00202482">
        <w:rPr>
          <w:vertAlign w:val="subscript"/>
        </w:rPr>
        <w:t>2</w:t>
      </w:r>
      <w:r w:rsidR="00202482">
        <w:t>,</w:t>
      </w:r>
      <w:r w:rsidR="00202482" w:rsidRPr="00202482">
        <w:t xml:space="preserve"> H</w:t>
      </w:r>
      <w:r w:rsidR="00202482" w:rsidRPr="00202482">
        <w:rPr>
          <w:vertAlign w:val="subscript"/>
        </w:rPr>
        <w:t>2</w:t>
      </w:r>
      <w:r w:rsidR="00202482" w:rsidRPr="00202482">
        <w:t>O</w:t>
      </w:r>
      <w:r w:rsidR="00202482">
        <w:t>,</w:t>
      </w:r>
      <w:r w:rsidR="00202482" w:rsidRPr="00202482">
        <w:t xml:space="preserve"> CO</w:t>
      </w:r>
      <w:r w:rsidR="00202482" w:rsidRPr="00202482">
        <w:rPr>
          <w:vertAlign w:val="subscript"/>
        </w:rPr>
        <w:t>2</w:t>
      </w:r>
      <w:r w:rsidR="00202482">
        <w:t>,</w:t>
      </w:r>
      <w:r w:rsidR="00202482" w:rsidRPr="00202482">
        <w:t xml:space="preserve"> CO</w:t>
      </w:r>
      <w:r w:rsidR="00202482">
        <w:t>,</w:t>
      </w:r>
      <w:r w:rsidR="00202482" w:rsidRPr="00202482">
        <w:t xml:space="preserve"> CO</w:t>
      </w:r>
      <w:r w:rsidR="00202482" w:rsidRPr="00202482">
        <w:rPr>
          <w:vertAlign w:val="superscript"/>
        </w:rPr>
        <w:t>+</w:t>
      </w:r>
      <w:r w:rsidR="00202482">
        <w:t>,</w:t>
      </w:r>
      <w:r w:rsidR="00202482" w:rsidRPr="00202482">
        <w:t xml:space="preserve"> C</w:t>
      </w:r>
      <w:r w:rsidR="00202482" w:rsidRPr="00202482">
        <w:rPr>
          <w:vertAlign w:val="subscript"/>
        </w:rPr>
        <w:t>2</w:t>
      </w:r>
      <w:r w:rsidR="00202482">
        <w:t>,</w:t>
      </w:r>
      <w:r w:rsidR="00202482" w:rsidRPr="00202482">
        <w:t xml:space="preserve"> N</w:t>
      </w:r>
      <w:r w:rsidR="00202482" w:rsidRPr="00202482">
        <w:rPr>
          <w:vertAlign w:val="subscript"/>
        </w:rPr>
        <w:t>2</w:t>
      </w:r>
      <w:r w:rsidR="00202482">
        <w:t>,</w:t>
      </w:r>
      <w:r w:rsidR="00202482" w:rsidRPr="00202482">
        <w:t xml:space="preserve"> N</w:t>
      </w:r>
      <w:r w:rsidR="00202482" w:rsidRPr="00202482">
        <w:rPr>
          <w:vertAlign w:val="subscript"/>
        </w:rPr>
        <w:t>2</w:t>
      </w:r>
      <w:r w:rsidR="00202482" w:rsidRPr="00202482">
        <w:rPr>
          <w:vertAlign w:val="superscript"/>
        </w:rPr>
        <w:t>+</w:t>
      </w:r>
      <w:r w:rsidR="00202482">
        <w:t>,</w:t>
      </w:r>
      <w:r w:rsidR="00202482" w:rsidRPr="00202482">
        <w:t xml:space="preserve"> O</w:t>
      </w:r>
      <w:r w:rsidR="00202482" w:rsidRPr="00202482">
        <w:rPr>
          <w:vertAlign w:val="subscript"/>
        </w:rPr>
        <w:t>2</w:t>
      </w:r>
      <w:r w:rsidR="00202482">
        <w:t>,</w:t>
      </w:r>
      <w:r w:rsidR="00202482" w:rsidRPr="00202482">
        <w:t xml:space="preserve"> O</w:t>
      </w:r>
      <w:r w:rsidR="00202482" w:rsidRPr="00202482">
        <w:rPr>
          <w:vertAlign w:val="subscript"/>
        </w:rPr>
        <w:t>2</w:t>
      </w:r>
      <w:r w:rsidR="00202482" w:rsidRPr="00202482">
        <w:rPr>
          <w:vertAlign w:val="superscript"/>
        </w:rPr>
        <w:t>+</w:t>
      </w:r>
      <w:r w:rsidR="00202482">
        <w:t>,</w:t>
      </w:r>
      <w:r w:rsidR="00202482" w:rsidRPr="00202482">
        <w:t xml:space="preserve"> H</w:t>
      </w:r>
      <w:r w:rsidR="00202482" w:rsidRPr="00202482">
        <w:rPr>
          <w:vertAlign w:val="subscript"/>
        </w:rPr>
        <w:t>2</w:t>
      </w:r>
      <w:r w:rsidR="00202482">
        <w:t>,</w:t>
      </w:r>
      <w:r w:rsidR="00202482" w:rsidRPr="00202482">
        <w:t xml:space="preserve"> CH</w:t>
      </w:r>
      <w:r w:rsidR="00202482">
        <w:t>,</w:t>
      </w:r>
      <w:r w:rsidR="00202482" w:rsidRPr="00202482">
        <w:t xml:space="preserve"> OH</w:t>
      </w:r>
      <w:r w:rsidR="00202482">
        <w:t>,</w:t>
      </w:r>
      <w:r w:rsidR="00202482" w:rsidRPr="00202482">
        <w:t xml:space="preserve"> NO</w:t>
      </w:r>
      <w:r w:rsidR="00202482">
        <w:t>,</w:t>
      </w:r>
      <w:r w:rsidR="00202482" w:rsidRPr="00202482">
        <w:t xml:space="preserve"> NO</w:t>
      </w:r>
      <w:r w:rsidR="00202482" w:rsidRPr="00202482">
        <w:rPr>
          <w:vertAlign w:val="superscript"/>
        </w:rPr>
        <w:t>+</w:t>
      </w:r>
      <w:r w:rsidR="00202482">
        <w:t>,</w:t>
      </w:r>
      <w:r w:rsidR="00202482" w:rsidRPr="00202482">
        <w:t xml:space="preserve"> CN</w:t>
      </w:r>
      <w:r w:rsidR="00202482">
        <w:t>,</w:t>
      </w:r>
      <w:r w:rsidR="00202482" w:rsidRPr="00202482">
        <w:t xml:space="preserve"> CN</w:t>
      </w:r>
      <w:r w:rsidR="00202482" w:rsidRPr="00202482">
        <w:rPr>
          <w:vertAlign w:val="superscript"/>
        </w:rPr>
        <w:t>+</w:t>
      </w:r>
      <w:r w:rsidR="00202482">
        <w:t>,</w:t>
      </w:r>
      <w:r w:rsidR="00202482" w:rsidRPr="00202482">
        <w:t xml:space="preserve"> C</w:t>
      </w:r>
      <w:r w:rsidR="00202482">
        <w:t>,</w:t>
      </w:r>
      <w:r w:rsidR="00202482" w:rsidRPr="00202482">
        <w:t xml:space="preserve"> C</w:t>
      </w:r>
      <w:r w:rsidR="00202482" w:rsidRPr="00202482">
        <w:rPr>
          <w:vertAlign w:val="superscript"/>
        </w:rPr>
        <w:t>+</w:t>
      </w:r>
      <w:r w:rsidR="00202482">
        <w:t>,</w:t>
      </w:r>
      <w:r w:rsidR="00202482" w:rsidRPr="00202482">
        <w:t xml:space="preserve"> N</w:t>
      </w:r>
      <w:r w:rsidR="00202482">
        <w:t>,</w:t>
      </w:r>
      <w:r w:rsidR="00202482" w:rsidRPr="00202482">
        <w:t xml:space="preserve"> N</w:t>
      </w:r>
      <w:r w:rsidR="00202482" w:rsidRPr="00202482">
        <w:rPr>
          <w:vertAlign w:val="superscript"/>
        </w:rPr>
        <w:t>+</w:t>
      </w:r>
      <w:r w:rsidR="00202482">
        <w:t>,</w:t>
      </w:r>
      <w:r w:rsidR="00202482" w:rsidRPr="00202482">
        <w:t xml:space="preserve"> H</w:t>
      </w:r>
      <w:r w:rsidR="00202482">
        <w:t>,</w:t>
      </w:r>
      <w:r w:rsidR="00202482" w:rsidRPr="00202482">
        <w:t xml:space="preserve"> H</w:t>
      </w:r>
      <w:r w:rsidR="00202482" w:rsidRPr="00202482">
        <w:rPr>
          <w:vertAlign w:val="superscript"/>
        </w:rPr>
        <w:t>+</w:t>
      </w:r>
      <w:r w:rsidR="00202482">
        <w:t>,</w:t>
      </w:r>
      <w:r w:rsidR="00202482" w:rsidRPr="00202482">
        <w:t xml:space="preserve"> O</w:t>
      </w:r>
      <w:r w:rsidR="00202482">
        <w:t>,</w:t>
      </w:r>
      <w:r w:rsidR="00202482" w:rsidRPr="00202482">
        <w:t xml:space="preserve"> O</w:t>
      </w:r>
      <w:r w:rsidR="00202482" w:rsidRPr="00202482">
        <w:rPr>
          <w:vertAlign w:val="superscript"/>
        </w:rPr>
        <w:t>+</w:t>
      </w:r>
      <w:r w:rsidR="00202482">
        <w:t>,</w:t>
      </w:r>
      <w:r w:rsidR="00202482" w:rsidRPr="00202482">
        <w:t xml:space="preserve"> Ar</w:t>
      </w:r>
      <w:r w:rsidR="00202482">
        <w:t>,</w:t>
      </w:r>
      <w:r w:rsidR="00202482" w:rsidRPr="00202482">
        <w:t xml:space="preserve"> Ar</w:t>
      </w:r>
      <w:r w:rsidR="00202482" w:rsidRPr="00202482">
        <w:rPr>
          <w:vertAlign w:val="superscript"/>
        </w:rPr>
        <w:t>+</w:t>
      </w:r>
      <w:r w:rsidR="00202482">
        <w:t>,</w:t>
      </w:r>
      <w:r w:rsidR="00202482" w:rsidRPr="00202482">
        <w:t xml:space="preserve"> e</w:t>
      </w:r>
      <w:r w:rsidR="00202482" w:rsidRPr="00202482">
        <w:rPr>
          <w:vertAlign w:val="superscript"/>
        </w:rPr>
        <w:t>–</w:t>
      </w:r>
      <w:r>
        <w:t>)</w:t>
      </w:r>
      <w:r w:rsidR="00FB6571">
        <w:t xml:space="preserve"> </w:t>
      </w:r>
      <w:r>
        <w:t xml:space="preserve">model is employed with a 2-temperature model and </w:t>
      </w:r>
      <w:r w:rsidR="00C92686">
        <w:t xml:space="preserve">a </w:t>
      </w:r>
      <w:r>
        <w:t>chemical mechanism</w:t>
      </w:r>
      <w:r w:rsidR="00C92686">
        <w:t xml:space="preserve"> (</w:t>
      </w:r>
      <w:r>
        <w:t>kinetics</w:t>
      </w:r>
      <w:r w:rsidR="00C92686">
        <w:t>)</w:t>
      </w:r>
      <w:r>
        <w:t xml:space="preserve"> due to </w:t>
      </w:r>
      <w:r w:rsidR="00202482">
        <w:t>Cruden</w:t>
      </w:r>
      <w:r>
        <w:t xml:space="preserve"> </w:t>
      </w:r>
      <w:r w:rsidRPr="004B7D99">
        <w:rPr>
          <w:color w:val="FF0000"/>
        </w:rPr>
        <w:t>[</w:t>
      </w:r>
      <w:r w:rsidR="00685005">
        <w:rPr>
          <w:color w:val="FF0000"/>
        </w:rPr>
        <w:t>16</w:t>
      </w:r>
      <w:r w:rsidRPr="004B7D99">
        <w:rPr>
          <w:color w:val="FF0000"/>
        </w:rPr>
        <w:t>]</w:t>
      </w:r>
      <w:r>
        <w:t>.</w:t>
      </w:r>
      <w:r w:rsidR="006C6E6E">
        <w:t xml:space="preserve"> The number of species is expanded from the usual 11-species air model to accommodate CO</w:t>
      </w:r>
      <w:r w:rsidR="006C6E6E" w:rsidRPr="00C214FE">
        <w:rPr>
          <w:vertAlign w:val="subscript"/>
        </w:rPr>
        <w:t>2</w:t>
      </w:r>
      <w:r w:rsidR="006C6E6E">
        <w:t>, H</w:t>
      </w:r>
      <w:r w:rsidR="006C6E6E" w:rsidRPr="00C214FE">
        <w:rPr>
          <w:vertAlign w:val="subscript"/>
        </w:rPr>
        <w:t>2</w:t>
      </w:r>
      <w:r w:rsidR="006C6E6E">
        <w:t xml:space="preserve">O, and Ar as </w:t>
      </w:r>
      <w:r w:rsidR="00FB6571">
        <w:t xml:space="preserve">additional </w:t>
      </w:r>
      <w:r w:rsidR="006C6E6E">
        <w:t xml:space="preserve">atmospheric constituents and </w:t>
      </w:r>
      <w:r w:rsidR="00C92686">
        <w:t xml:space="preserve">also </w:t>
      </w:r>
      <w:r w:rsidR="006C6E6E">
        <w:t xml:space="preserve">in anticipation of </w:t>
      </w:r>
      <w:r w:rsidR="00C92686">
        <w:t xml:space="preserve">including </w:t>
      </w:r>
      <w:r w:rsidR="001A776B">
        <w:t>ablation products</w:t>
      </w:r>
      <w:r w:rsidR="007F6FA7">
        <w:t xml:space="preserve"> </w:t>
      </w:r>
      <w:r w:rsidR="00C92686">
        <w:t xml:space="preserve">from the PICA heatshield </w:t>
      </w:r>
      <w:r w:rsidR="007F6FA7">
        <w:t>in the final simulations</w:t>
      </w:r>
      <w:r w:rsidR="001A776B">
        <w:t xml:space="preserve">. </w:t>
      </w:r>
      <w:r w:rsidR="007F6FA7">
        <w:t xml:space="preserve">For the present work, the surface is assumed to be one that allows atomic species O, N, and H </w:t>
      </w:r>
      <w:r w:rsidR="007F6FA7">
        <w:softHyphen/>
        <w:t>to recombine to O</w:t>
      </w:r>
      <w:r w:rsidR="007F6FA7" w:rsidRPr="001A776B">
        <w:rPr>
          <w:vertAlign w:val="subscript"/>
        </w:rPr>
        <w:t>2</w:t>
      </w:r>
      <w:r w:rsidR="007F6FA7">
        <w:t>, N</w:t>
      </w:r>
      <w:r w:rsidR="007F6FA7" w:rsidRPr="001A776B">
        <w:rPr>
          <w:vertAlign w:val="subscript"/>
        </w:rPr>
        <w:t>2</w:t>
      </w:r>
      <w:r w:rsidR="007F6FA7">
        <w:t>, and H</w:t>
      </w:r>
      <w:r w:rsidR="007F6FA7" w:rsidRPr="001A776B">
        <w:rPr>
          <w:vertAlign w:val="subscript"/>
        </w:rPr>
        <w:t>2</w:t>
      </w:r>
      <w:r w:rsidR="007F6FA7">
        <w:t xml:space="preserve">, respectively, and one that neutralizes cations. Furthermore, </w:t>
      </w:r>
      <w:r w:rsidR="00FB6571">
        <w:t xml:space="preserve">the </w:t>
      </w:r>
      <w:r>
        <w:t xml:space="preserve">surface is assumed to be in radiative equilibrium </w:t>
      </w:r>
      <w:r w:rsidR="00C92686">
        <w:t xml:space="preserve">with a constant </w:t>
      </w:r>
      <w:r w:rsidR="006C6E6E">
        <w:t xml:space="preserve">emissivity </w:t>
      </w:r>
      <w:r w:rsidR="00C92686">
        <w:t>of</w:t>
      </w:r>
      <w:r w:rsidR="006C6E6E">
        <w:t xml:space="preserve"> 0.85</w:t>
      </w:r>
      <w:r w:rsidR="007F6FA7">
        <w:t xml:space="preserve">. </w:t>
      </w:r>
      <w:r>
        <w:t xml:space="preserve">Since the flow solver does not consider conduction of heat through the thickness of material, the surface temperatures resulting from the re-radiation boundary condition will be higher than observed. </w:t>
      </w:r>
      <w:r w:rsidR="007F6FA7">
        <w:t>A</w:t>
      </w:r>
      <w:r>
        <w:t xml:space="preserve"> materials thermal response solver, such as </w:t>
      </w:r>
      <w:r w:rsidRPr="00642DAA">
        <w:rPr>
          <w:i/>
          <w:iCs/>
          <w:smallCaps/>
        </w:rPr>
        <w:t>Fiat</w:t>
      </w:r>
      <w:r>
        <w:t xml:space="preserve"> </w:t>
      </w:r>
      <w:r w:rsidRPr="004B7D99">
        <w:rPr>
          <w:color w:val="FF0000"/>
        </w:rPr>
        <w:t>[</w:t>
      </w:r>
      <w:r w:rsidR="00685005">
        <w:rPr>
          <w:color w:val="FF0000"/>
        </w:rPr>
        <w:t>17</w:t>
      </w:r>
      <w:r w:rsidRPr="004B7D99">
        <w:rPr>
          <w:color w:val="FF0000"/>
        </w:rPr>
        <w:t>]</w:t>
      </w:r>
      <w:r w:rsidR="006C6E6E">
        <w:t xml:space="preserve">, or </w:t>
      </w:r>
      <w:r w:rsidR="006C6E6E" w:rsidRPr="00C92686">
        <w:rPr>
          <w:i/>
          <w:iCs/>
          <w:smallCaps/>
        </w:rPr>
        <w:t>Pato</w:t>
      </w:r>
      <w:r w:rsidR="006C6E6E">
        <w:t xml:space="preserve"> </w:t>
      </w:r>
      <w:r w:rsidR="006C6E6E" w:rsidRPr="004B7D99">
        <w:rPr>
          <w:color w:val="FF0000"/>
        </w:rPr>
        <w:t>[</w:t>
      </w:r>
      <w:r w:rsidR="00685005">
        <w:rPr>
          <w:color w:val="FF0000"/>
        </w:rPr>
        <w:t>18</w:t>
      </w:r>
      <w:r w:rsidR="006C6E6E" w:rsidRPr="004B7D99">
        <w:rPr>
          <w:color w:val="FF0000"/>
        </w:rPr>
        <w:t>]</w:t>
      </w:r>
      <w:r>
        <w:t>, is necessary</w:t>
      </w:r>
      <w:r w:rsidR="007F6FA7">
        <w:t xml:space="preserve"> to </w:t>
      </w:r>
      <w:r w:rsidR="005843F6">
        <w:t>obtain more realistic values surface temperature</w:t>
      </w:r>
      <w:r>
        <w:t>.</w:t>
      </w:r>
      <w:r w:rsidR="009955F8">
        <w:t xml:space="preserve"> </w:t>
      </w:r>
    </w:p>
    <w:p w14:paraId="553C9B2F" w14:textId="2380F2C9" w:rsidR="00C92686" w:rsidRDefault="00C92686" w:rsidP="00C92686">
      <w:pPr>
        <w:pStyle w:val="Text"/>
        <w:ind w:firstLine="270"/>
      </w:pPr>
      <w:r>
        <w:t xml:space="preserve">The temporal variations of </w:t>
      </w:r>
      <w:r w:rsidR="001C17CC">
        <w:t xml:space="preserve">computed </w:t>
      </w:r>
      <w:r>
        <w:t>heat fluxes – convective, radiative, and total –</w:t>
      </w:r>
      <w:r w:rsidR="008166B1">
        <w:t xml:space="preserve"> at the apex of the heatshield (</w:t>
      </w:r>
      <w:r w:rsidR="001C17CC">
        <w:rPr>
          <w:i/>
          <w:iCs/>
        </w:rPr>
        <w:t>i.e.</w:t>
      </w:r>
      <w:r w:rsidR="001C17CC">
        <w:t xml:space="preserve">, the </w:t>
      </w:r>
      <w:r w:rsidR="008166B1">
        <w:t>stagnation point)</w:t>
      </w:r>
      <w:r>
        <w:t xml:space="preserve"> are shown in Fig. 3a, and th</w:t>
      </w:r>
      <w:r w:rsidR="008166B1">
        <w:t>at of the pressure are shown in same figure</w:t>
      </w:r>
      <w:r>
        <w:t>.</w:t>
      </w:r>
      <w:r w:rsidR="008166B1">
        <w:t xml:space="preserve"> The peak values and the corresponding times (from EI) are called out in the figure. The peak radiative, total, and convective heat fluxes are spaced roughly 2 seconds apart with the peak radiative heating occurring at </w:t>
      </w:r>
      <w:r w:rsidR="008166B1">
        <w:rPr>
          <w:i/>
          <w:iCs/>
        </w:rPr>
        <w:t>t</w:t>
      </w:r>
      <w:r w:rsidR="008166B1">
        <w:t xml:space="preserve"> = 47.5 s, peak total (radiative + convective) heating occurring at </w:t>
      </w:r>
      <w:r w:rsidR="008166B1">
        <w:rPr>
          <w:i/>
          <w:iCs/>
        </w:rPr>
        <w:t>t</w:t>
      </w:r>
      <w:r w:rsidR="008166B1">
        <w:t xml:space="preserve"> = 49.5 s, and peak convective heating occurring at </w:t>
      </w:r>
      <w:r w:rsidR="008166B1">
        <w:rPr>
          <w:i/>
          <w:iCs/>
        </w:rPr>
        <w:t>t</w:t>
      </w:r>
      <w:r w:rsidR="008166B1">
        <w:t xml:space="preserve"> = 51.5 s.</w:t>
      </w:r>
      <w:r w:rsidR="009440F0">
        <w:t xml:space="preserve"> Peak dynamic pressure occurs at </w:t>
      </w:r>
      <w:r w:rsidR="009440F0" w:rsidRPr="009440F0">
        <w:rPr>
          <w:i/>
          <w:iCs/>
        </w:rPr>
        <w:t>t</w:t>
      </w:r>
      <w:r w:rsidR="009440F0">
        <w:t xml:space="preserve"> = 63 s.</w:t>
      </w:r>
      <w:r w:rsidR="00101CB4">
        <w:t xml:space="preserve"> </w:t>
      </w:r>
    </w:p>
    <w:p w14:paraId="7A4B718F" w14:textId="119EB663" w:rsidR="00101CB4" w:rsidRPr="00101CB4" w:rsidRDefault="00101CB4" w:rsidP="00C92686">
      <w:pPr>
        <w:pStyle w:val="Text"/>
        <w:ind w:firstLine="270"/>
      </w:pPr>
      <w:r>
        <w:t xml:space="preserve">In the present work, only laminar flow solutions have been computed at all time points except at </w:t>
      </w:r>
      <w:r>
        <w:rPr>
          <w:i/>
          <w:iCs/>
        </w:rPr>
        <w:t>t</w:t>
      </w:r>
      <w:r>
        <w:t xml:space="preserve"> = 53.5 s, where an additional turbulent flow solution has been computed. Examination of laminar solutions with both momentum thickness Reynolds number (</w:t>
      </w:r>
      <m:oMath>
        <m:sSub>
          <m:sSubPr>
            <m:ctrlPr>
              <w:rPr>
                <w:rFonts w:ascii="Cambria Math" w:hAnsi="Cambria Math"/>
                <w:i/>
              </w:rPr>
            </m:ctrlPr>
          </m:sSubPr>
          <m:e>
            <m:r>
              <w:rPr>
                <w:rFonts w:ascii="Cambria Math" w:hAnsi="Cambria Math"/>
              </w:rPr>
              <m:t>Re</m:t>
            </m:r>
          </m:e>
          <m:sub>
            <m:r>
              <w:rPr>
                <w:rFonts w:ascii="Cambria Math" w:hAnsi="Cambria Math"/>
              </w:rPr>
              <m:t>θ</m:t>
            </m:r>
          </m:sub>
        </m:sSub>
      </m:oMath>
      <w:r>
        <w:t xml:space="preserve">) </w:t>
      </w:r>
      <w:r w:rsidR="00946062">
        <w:t>and roughness Reynolds number (</w:t>
      </w:r>
      <m:oMath>
        <m:sSub>
          <m:sSubPr>
            <m:ctrlPr>
              <w:rPr>
                <w:rFonts w:ascii="Cambria Math" w:hAnsi="Cambria Math"/>
                <w:i/>
              </w:rPr>
            </m:ctrlPr>
          </m:sSubPr>
          <m:e>
            <m:r>
              <w:rPr>
                <w:rFonts w:ascii="Cambria Math" w:hAnsi="Cambria Math"/>
              </w:rPr>
              <m:t>Re</m:t>
            </m:r>
          </m:e>
          <m:sub>
            <m:r>
              <w:rPr>
                <w:rFonts w:ascii="Cambria Math" w:hAnsi="Cambria Math"/>
              </w:rPr>
              <m:t>kk</m:t>
            </m:r>
          </m:sub>
        </m:sSub>
      </m:oMath>
      <w:r w:rsidR="00946062">
        <w:t>) criteria did not indicate the possibility of the flow transitioning from laminar to turbulent.</w:t>
      </w:r>
    </w:p>
    <w:p w14:paraId="246C6153" w14:textId="77777777" w:rsidR="00F6261B" w:rsidRDefault="00F6261B" w:rsidP="00F6261B">
      <w:pPr>
        <w:pStyle w:val="References"/>
      </w:pPr>
    </w:p>
    <w:tbl>
      <w:tblPr>
        <w:tblStyle w:val="TableGrid"/>
        <w:tblW w:w="9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4646"/>
      </w:tblGrid>
      <w:tr w:rsidR="00F6261B" w14:paraId="3861D2C3" w14:textId="77777777" w:rsidTr="00F80A11">
        <w:trPr>
          <w:jc w:val="center"/>
        </w:trPr>
        <w:tc>
          <w:tcPr>
            <w:tcW w:w="4446" w:type="dxa"/>
            <w:vAlign w:val="center"/>
          </w:tcPr>
          <w:p w14:paraId="6CDE7648" w14:textId="77777777" w:rsidR="00F6261B" w:rsidRDefault="00F6261B" w:rsidP="00A26022">
            <w:pPr>
              <w:pStyle w:val="References"/>
              <w:spacing w:before="40"/>
              <w:ind w:firstLine="0"/>
              <w:jc w:val="center"/>
            </w:pPr>
            <w:r>
              <w:rPr>
                <w:noProof/>
              </w:rPr>
              <w:drawing>
                <wp:inline distT="0" distB="0" distL="0" distR="0" wp14:anchorId="1EF55D59" wp14:editId="77D23DBF">
                  <wp:extent cx="2843784" cy="2057400"/>
                  <wp:effectExtent l="0" t="0" r="1270" b="0"/>
                  <wp:docPr id="1830790682" name="Picture 3" descr="A graph of a graph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790682" name="Picture 3" descr="A graph of a graph with numbers and symbols&#10;&#10;Description automatically generated with medium confidence"/>
                          <pic:cNvPicPr/>
                        </pic:nvPicPr>
                        <pic:blipFill>
                          <a:blip r:embed="rId12"/>
                          <a:stretch>
                            <a:fillRect/>
                          </a:stretch>
                        </pic:blipFill>
                        <pic:spPr>
                          <a:xfrm>
                            <a:off x="0" y="0"/>
                            <a:ext cx="2843784" cy="2057400"/>
                          </a:xfrm>
                          <a:prstGeom prst="rect">
                            <a:avLst/>
                          </a:prstGeom>
                        </pic:spPr>
                      </pic:pic>
                    </a:graphicData>
                  </a:graphic>
                </wp:inline>
              </w:drawing>
            </w:r>
          </w:p>
        </w:tc>
        <w:tc>
          <w:tcPr>
            <w:tcW w:w="4896" w:type="dxa"/>
            <w:vAlign w:val="center"/>
          </w:tcPr>
          <w:p w14:paraId="2D6C8CC9" w14:textId="642C3BC2" w:rsidR="00F6261B" w:rsidRDefault="00EB2B96" w:rsidP="00A26022">
            <w:pPr>
              <w:pStyle w:val="References"/>
              <w:spacing w:before="40"/>
              <w:ind w:firstLine="0"/>
              <w:jc w:val="center"/>
            </w:pPr>
            <w:r>
              <w:rPr>
                <w:noProof/>
              </w:rPr>
              <w:drawing>
                <wp:inline distT="0" distB="0" distL="0" distR="0" wp14:anchorId="0FFD7D90" wp14:editId="5797D015">
                  <wp:extent cx="2313432" cy="2057400"/>
                  <wp:effectExtent l="0" t="0" r="0" b="0"/>
                  <wp:docPr id="1929033961" name="Picture 1" descr="A diagram of a blue and green sphe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33961" name="Picture 1" descr="A diagram of a blue and green sphere&#10;&#10;Description automatically generated"/>
                          <pic:cNvPicPr/>
                        </pic:nvPicPr>
                        <pic:blipFill>
                          <a:blip r:embed="rId13"/>
                          <a:stretch>
                            <a:fillRect/>
                          </a:stretch>
                        </pic:blipFill>
                        <pic:spPr>
                          <a:xfrm>
                            <a:off x="0" y="0"/>
                            <a:ext cx="2313432" cy="2057400"/>
                          </a:xfrm>
                          <a:prstGeom prst="rect">
                            <a:avLst/>
                          </a:prstGeom>
                        </pic:spPr>
                      </pic:pic>
                    </a:graphicData>
                  </a:graphic>
                </wp:inline>
              </w:drawing>
            </w:r>
          </w:p>
        </w:tc>
      </w:tr>
      <w:tr w:rsidR="00F6261B" w14:paraId="435D7E38" w14:textId="77777777" w:rsidTr="00F80A11">
        <w:trPr>
          <w:jc w:val="center"/>
        </w:trPr>
        <w:tc>
          <w:tcPr>
            <w:tcW w:w="4446" w:type="dxa"/>
          </w:tcPr>
          <w:p w14:paraId="1BDF5138" w14:textId="77777777" w:rsidR="00F6261B" w:rsidRPr="003A58AD" w:rsidRDefault="00F6261B" w:rsidP="00A26022">
            <w:pPr>
              <w:pStyle w:val="References"/>
              <w:spacing w:before="40" w:after="40"/>
              <w:ind w:firstLine="0"/>
              <w:jc w:val="center"/>
              <w:rPr>
                <w:b/>
                <w:bCs/>
              </w:rPr>
            </w:pPr>
            <w:r>
              <w:rPr>
                <w:b/>
                <w:bCs/>
              </w:rPr>
              <w:t>(a) Stagnation point environments</w:t>
            </w:r>
          </w:p>
        </w:tc>
        <w:tc>
          <w:tcPr>
            <w:tcW w:w="4896" w:type="dxa"/>
          </w:tcPr>
          <w:p w14:paraId="613B84AB" w14:textId="033B69CC" w:rsidR="00F6261B" w:rsidRPr="003A58AD" w:rsidRDefault="00F6261B" w:rsidP="00A26022">
            <w:pPr>
              <w:pStyle w:val="References"/>
              <w:spacing w:before="40" w:after="40"/>
              <w:ind w:firstLine="0"/>
              <w:jc w:val="center"/>
              <w:rPr>
                <w:b/>
                <w:bCs/>
              </w:rPr>
            </w:pPr>
            <w:r>
              <w:rPr>
                <w:b/>
                <w:bCs/>
              </w:rPr>
              <w:t xml:space="preserve">(b) </w:t>
            </w:r>
            <w:r w:rsidR="00874CCD">
              <w:rPr>
                <w:b/>
                <w:bCs/>
              </w:rPr>
              <w:t>Temperature isosurfaces</w:t>
            </w:r>
          </w:p>
        </w:tc>
      </w:tr>
      <w:tr w:rsidR="00F6261B" w14:paraId="0698434D" w14:textId="77777777" w:rsidTr="00F80A11">
        <w:trPr>
          <w:jc w:val="center"/>
        </w:trPr>
        <w:tc>
          <w:tcPr>
            <w:tcW w:w="9342" w:type="dxa"/>
            <w:gridSpan w:val="2"/>
          </w:tcPr>
          <w:p w14:paraId="74C00BF9" w14:textId="11A47171" w:rsidR="00F6261B" w:rsidRPr="00874CCD" w:rsidRDefault="00F6261B" w:rsidP="00874CCD">
            <w:pPr>
              <w:pStyle w:val="References"/>
              <w:spacing w:before="40" w:after="40"/>
              <w:ind w:firstLine="0"/>
              <w:rPr>
                <w:b/>
                <w:bCs/>
              </w:rPr>
            </w:pPr>
            <w:r>
              <w:rPr>
                <w:b/>
                <w:bCs/>
              </w:rPr>
              <w:t>Figure 3.</w:t>
            </w:r>
            <w:r w:rsidR="00A11A7C">
              <w:rPr>
                <w:b/>
                <w:bCs/>
              </w:rPr>
              <w:t xml:space="preserve"> (a) Histories of heat flux – convective, radiative, and total – and pressure at the stagnation point of the SRC, and (b</w:t>
            </w:r>
            <w:r w:rsidR="00874CCD">
              <w:rPr>
                <w:b/>
                <w:bCs/>
              </w:rPr>
              <w:t xml:space="preserve">) isosurfaces (translucent) of temperature – 2500 K, 5000 K, and 15000 K – at </w:t>
            </w:r>
            <w:r w:rsidR="00874CCD">
              <w:rPr>
                <w:b/>
                <w:bCs/>
                <w:i/>
                <w:iCs/>
              </w:rPr>
              <w:t xml:space="preserve">t </w:t>
            </w:r>
            <w:r w:rsidR="00874CCD">
              <w:rPr>
                <w:b/>
                <w:bCs/>
              </w:rPr>
              <w:t>= 53.5 s (from EI).</w:t>
            </w:r>
          </w:p>
        </w:tc>
      </w:tr>
    </w:tbl>
    <w:p w14:paraId="1A5A8D8F" w14:textId="77777777" w:rsidR="00F6261B" w:rsidRDefault="00F6261B" w:rsidP="00F6261B">
      <w:pPr>
        <w:pStyle w:val="References"/>
      </w:pPr>
    </w:p>
    <w:p w14:paraId="5C5DDF85" w14:textId="284B42D1" w:rsidR="008166B1" w:rsidRPr="00CE6A1F" w:rsidRDefault="00874CCD" w:rsidP="008166B1">
      <w:pPr>
        <w:pStyle w:val="Text"/>
        <w:ind w:firstLine="270"/>
      </w:pPr>
      <w:r>
        <w:lastRenderedPageBreak/>
        <w:t xml:space="preserve">A typical </w:t>
      </w:r>
      <w:r w:rsidR="001C17CC">
        <w:t xml:space="preserve">3D </w:t>
      </w:r>
      <w:r>
        <w:t xml:space="preserve">flow field solution at </w:t>
      </w:r>
      <w:r>
        <w:rPr>
          <w:i/>
          <w:iCs/>
        </w:rPr>
        <w:t>t</w:t>
      </w:r>
      <w:r>
        <w:t xml:space="preserve"> = 53.5 s (from EI) is shown i</w:t>
      </w:r>
      <w:r w:rsidR="008166B1">
        <w:t>n Fig. 3b</w:t>
      </w:r>
      <w:r>
        <w:t>. The three-dimensional volume is constructed from the computed axisymmetric solution using the software utility</w:t>
      </w:r>
      <w:r w:rsidR="00C72082">
        <w:t xml:space="preserve"> </w:t>
      </w:r>
      <w:r w:rsidR="00C72082" w:rsidRPr="00946062">
        <w:rPr>
          <w:i/>
          <w:iCs/>
          <w:smallCaps/>
        </w:rPr>
        <w:t>Revolve_Grid</w:t>
      </w:r>
      <w:r w:rsidR="00C72082">
        <w:t xml:space="preserve"> </w:t>
      </w:r>
      <w:r w:rsidR="00C72082" w:rsidRPr="00101CB4">
        <w:rPr>
          <w:color w:val="FF0000"/>
        </w:rPr>
        <w:t>[</w:t>
      </w:r>
      <w:r w:rsidR="00685005">
        <w:rPr>
          <w:color w:val="FF0000"/>
        </w:rPr>
        <w:t>11</w:t>
      </w:r>
      <w:r w:rsidR="00C72082" w:rsidRPr="00101CB4">
        <w:rPr>
          <w:color w:val="FF0000"/>
        </w:rPr>
        <w:t>]</w:t>
      </w:r>
      <w:r w:rsidR="00C72082">
        <w:t>. The translucent surfaces that envelop the SRC are isotherms corresponding to</w:t>
      </w:r>
      <w:r>
        <w:t xml:space="preserve"> 2500 K, 5000 K, and 15000 K. </w:t>
      </w:r>
      <w:r w:rsidR="00C72082">
        <w:t xml:space="preserve">The spectral radiance from this volume, including the </w:t>
      </w:r>
      <w:r w:rsidR="00946062">
        <w:t xml:space="preserve">aerodynamically-heated </w:t>
      </w:r>
      <w:r w:rsidR="00C72082">
        <w:t>SRC, is computed at each time point.</w:t>
      </w:r>
      <w:r w:rsidR="00CE6A1F">
        <w:t xml:space="preserve"> </w:t>
      </w:r>
    </w:p>
    <w:p w14:paraId="581A506C" w14:textId="77777777" w:rsidR="00D801C8" w:rsidRDefault="00D801C8" w:rsidP="00D801C8">
      <w:pPr>
        <w:pStyle w:val="Text"/>
      </w:pPr>
    </w:p>
    <w:p w14:paraId="08DF33E8" w14:textId="27A73163" w:rsidR="006F2D9B" w:rsidRPr="00970F86" w:rsidRDefault="00731940" w:rsidP="00D801C8">
      <w:pPr>
        <w:pStyle w:val="Text"/>
        <w:numPr>
          <w:ilvl w:val="0"/>
          <w:numId w:val="30"/>
        </w:numPr>
        <w:ind w:left="360"/>
        <w:rPr>
          <w:b/>
          <w:bCs/>
        </w:rPr>
      </w:pPr>
      <w:r>
        <w:rPr>
          <w:b/>
          <w:bCs/>
        </w:rPr>
        <w:t xml:space="preserve">Spectral </w:t>
      </w:r>
      <w:r w:rsidR="006F2D9B" w:rsidRPr="00970F86">
        <w:rPr>
          <w:b/>
          <w:bCs/>
        </w:rPr>
        <w:t>Radiance</w:t>
      </w:r>
    </w:p>
    <w:p w14:paraId="77562022" w14:textId="23F339F0" w:rsidR="00DE433C" w:rsidRDefault="00DE433C" w:rsidP="000B1DAD">
      <w:pPr>
        <w:pStyle w:val="Text"/>
      </w:pPr>
      <w:r>
        <w:t xml:space="preserve">Two parameters – the slant range and view angle – are needed to compute the spectral energy flux </w:t>
      </w:r>
      <w:r w:rsidR="00CE6A1F">
        <w:t xml:space="preserve">(or irradiance) </w:t>
      </w:r>
      <w:r>
        <w:t xml:space="preserve">on the instrument sensor. The slant range is the magnitude of the </w:t>
      </w:r>
      <w:r w:rsidR="007E710F">
        <w:t xml:space="preserve">sight </w:t>
      </w:r>
      <w:r>
        <w:t>vector from the observation platform to a point on the SRC surface</w:t>
      </w:r>
      <w:r w:rsidR="001C17CC">
        <w:t>. The</w:t>
      </w:r>
      <w:r>
        <w:t xml:space="preserve"> view angle is the angle included between the sight vector</w:t>
      </w:r>
      <w:r w:rsidR="007E710F">
        <w:t xml:space="preserve"> and the velocity vector of the SRC. In this convention, a view angle of 0° means that the SRC is viewed head on.</w:t>
      </w:r>
      <w:r w:rsidR="003C7A89">
        <w:t xml:space="preserve"> The slant range and view angle depend on the flight path of the observation aircraft.</w:t>
      </w:r>
      <w:r w:rsidR="009A7CE8">
        <w:t xml:space="preserve"> Of the four aircraft deployed, three of them – N992, N522, and N927 – had all the NASA instruments on board. The fourth aircraft, Falcon 990EX, had instruments of international team members.</w:t>
      </w:r>
    </w:p>
    <w:p w14:paraId="1DB552CC" w14:textId="6A4F14FB" w:rsidR="003C7A89" w:rsidRDefault="003C7A89" w:rsidP="000B1DAD">
      <w:pPr>
        <w:pStyle w:val="Text"/>
      </w:pPr>
      <w:r>
        <w:t xml:space="preserve">The slant range and view angle time histories for the aircraft N992 are shown in Fig. 4a, and for the aircraft N522 in Fig. 4b. </w:t>
      </w:r>
      <w:r w:rsidR="009A7CE8">
        <w:t xml:space="preserve">These time histories are from the proposed flight paths and not as-flown data. The actual flight paths were not available at the time of writing this extended abstract. </w:t>
      </w:r>
      <w:r>
        <w:t xml:space="preserve">For N992, the view angle increases from 7.5° to 21° while the slant range decreases from roughly 400 km down to about 100 km. For angles less than 30° the backshell of the SRC does not come into view because the SRC is a 60° blunted sphere-cone. From the previous experience with Hayabusa2 </w:t>
      </w:r>
      <w:r w:rsidRPr="00946062">
        <w:rPr>
          <w:color w:val="FF0000"/>
        </w:rPr>
        <w:t>[</w:t>
      </w:r>
      <w:r w:rsidR="00685005">
        <w:rPr>
          <w:color w:val="FF0000"/>
        </w:rPr>
        <w:t>6</w:t>
      </w:r>
      <w:r w:rsidRPr="00946062">
        <w:rPr>
          <w:color w:val="FF0000"/>
        </w:rPr>
        <w:t>]</w:t>
      </w:r>
      <w:r>
        <w:t xml:space="preserve">, </w:t>
      </w:r>
      <w:r w:rsidR="009A7CE8">
        <w:t>it is known</w:t>
      </w:r>
      <w:r>
        <w:t xml:space="preserve"> that irradiance is not as sensitive to view angle as it is to slant range, and irradiance varies at the inverse square of the slant range.</w:t>
      </w:r>
      <w:r w:rsidR="009A7CE8">
        <w:t xml:space="preserve"> Therefore, the instruments on this aircraft would measure rapidly increasing irradiance, with levels</w:t>
      </w:r>
      <w:r w:rsidR="00541EF1">
        <w:t xml:space="preserve"> decreasing</w:t>
      </w:r>
      <w:r w:rsidR="009A7CE8">
        <w:t xml:space="preserve"> past peak heating, even if the slant range is much smaller than at entry. This is because the SRC starts cooling (relatively speaking)</w:t>
      </w:r>
      <w:r w:rsidR="00946062">
        <w:t xml:space="preserve"> past the peak heating point</w:t>
      </w:r>
      <w:r w:rsidR="009A7CE8">
        <w:t>.</w:t>
      </w:r>
      <w:r>
        <w:t xml:space="preserve"> For N522, the view angle increases from about 44° to abut 160° while the slant range decreases very slowly betwee</w:t>
      </w:r>
      <w:r w:rsidR="009A7CE8">
        <w:t xml:space="preserve">n 300 km and 200 km. </w:t>
      </w:r>
      <w:r w:rsidR="00541EF1">
        <w:t>The measured irradiance would be less sensitive to slant range and would be more sensitive to the backshell and wake environments.</w:t>
      </w:r>
    </w:p>
    <w:p w14:paraId="2E4AEB29" w14:textId="77777777" w:rsidR="00F6261B" w:rsidRDefault="00F6261B" w:rsidP="00F6261B">
      <w:pPr>
        <w:pStyle w:val="References"/>
      </w:pPr>
    </w:p>
    <w:tbl>
      <w:tblPr>
        <w:tblStyle w:val="TableGrid"/>
        <w:tblW w:w="93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4824"/>
      </w:tblGrid>
      <w:tr w:rsidR="00F6261B" w14:paraId="104AE26E" w14:textId="77777777" w:rsidTr="00F80A11">
        <w:trPr>
          <w:jc w:val="center"/>
        </w:trPr>
        <w:tc>
          <w:tcPr>
            <w:tcW w:w="4554" w:type="dxa"/>
            <w:vAlign w:val="center"/>
          </w:tcPr>
          <w:p w14:paraId="0B2C4888" w14:textId="77777777" w:rsidR="00F6261B" w:rsidRDefault="00F6261B" w:rsidP="00A26022">
            <w:pPr>
              <w:pStyle w:val="References"/>
              <w:spacing w:before="40"/>
              <w:ind w:firstLine="0"/>
              <w:jc w:val="center"/>
            </w:pPr>
            <w:r>
              <w:rPr>
                <w:noProof/>
              </w:rPr>
              <w:drawing>
                <wp:inline distT="0" distB="0" distL="0" distR="0" wp14:anchorId="2D529895" wp14:editId="79DB9439">
                  <wp:extent cx="2688336" cy="1828800"/>
                  <wp:effectExtent l="0" t="0" r="4445" b="0"/>
                  <wp:docPr id="439925251" name="Picture 5" descr="A graph of a distance and 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25251" name="Picture 5" descr="A graph of a distance and angle&#10;&#10;Description automatically generated"/>
                          <pic:cNvPicPr/>
                        </pic:nvPicPr>
                        <pic:blipFill>
                          <a:blip r:embed="rId14"/>
                          <a:stretch>
                            <a:fillRect/>
                          </a:stretch>
                        </pic:blipFill>
                        <pic:spPr>
                          <a:xfrm>
                            <a:off x="0" y="0"/>
                            <a:ext cx="2688336" cy="1828800"/>
                          </a:xfrm>
                          <a:prstGeom prst="rect">
                            <a:avLst/>
                          </a:prstGeom>
                        </pic:spPr>
                      </pic:pic>
                    </a:graphicData>
                  </a:graphic>
                </wp:inline>
              </w:drawing>
            </w:r>
          </w:p>
        </w:tc>
        <w:tc>
          <w:tcPr>
            <w:tcW w:w="4824" w:type="dxa"/>
            <w:vAlign w:val="center"/>
          </w:tcPr>
          <w:p w14:paraId="3CE74B92" w14:textId="79EC7600" w:rsidR="00F6261B" w:rsidRDefault="003C7A89" w:rsidP="00A26022">
            <w:pPr>
              <w:pStyle w:val="References"/>
              <w:spacing w:before="40"/>
              <w:ind w:firstLine="0"/>
              <w:jc w:val="center"/>
            </w:pPr>
            <w:r>
              <w:rPr>
                <w:noProof/>
              </w:rPr>
              <w:drawing>
                <wp:inline distT="0" distB="0" distL="0" distR="0" wp14:anchorId="7F77CEC3" wp14:editId="45254A23">
                  <wp:extent cx="2688336" cy="1828800"/>
                  <wp:effectExtent l="0" t="0" r="4445" b="0"/>
                  <wp:docPr id="1691193350" name="Picture 7" descr="A graph of a distance and 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93350" name="Picture 7" descr="A graph of a distance and angle&#10;&#10;Description automatically generated"/>
                          <pic:cNvPicPr/>
                        </pic:nvPicPr>
                        <pic:blipFill>
                          <a:blip r:embed="rId15"/>
                          <a:stretch>
                            <a:fillRect/>
                          </a:stretch>
                        </pic:blipFill>
                        <pic:spPr>
                          <a:xfrm>
                            <a:off x="0" y="0"/>
                            <a:ext cx="2688336" cy="1828800"/>
                          </a:xfrm>
                          <a:prstGeom prst="rect">
                            <a:avLst/>
                          </a:prstGeom>
                        </pic:spPr>
                      </pic:pic>
                    </a:graphicData>
                  </a:graphic>
                </wp:inline>
              </w:drawing>
            </w:r>
          </w:p>
        </w:tc>
      </w:tr>
      <w:tr w:rsidR="00F6261B" w14:paraId="3300D588" w14:textId="77777777" w:rsidTr="00F80A11">
        <w:trPr>
          <w:jc w:val="center"/>
        </w:trPr>
        <w:tc>
          <w:tcPr>
            <w:tcW w:w="4554" w:type="dxa"/>
          </w:tcPr>
          <w:p w14:paraId="23DD46E4" w14:textId="07CBB4EF" w:rsidR="00F6261B" w:rsidRPr="003A58AD" w:rsidRDefault="00F6261B" w:rsidP="00A26022">
            <w:pPr>
              <w:pStyle w:val="References"/>
              <w:spacing w:before="40" w:after="40"/>
              <w:ind w:firstLine="0"/>
              <w:jc w:val="center"/>
              <w:rPr>
                <w:b/>
                <w:bCs/>
              </w:rPr>
            </w:pPr>
            <w:r>
              <w:rPr>
                <w:b/>
                <w:bCs/>
              </w:rPr>
              <w:t>(a) N992</w:t>
            </w:r>
          </w:p>
        </w:tc>
        <w:tc>
          <w:tcPr>
            <w:tcW w:w="4824" w:type="dxa"/>
          </w:tcPr>
          <w:p w14:paraId="7AF563C1" w14:textId="2CE8E7ED" w:rsidR="00F6261B" w:rsidRPr="003A58AD" w:rsidRDefault="003C7A89" w:rsidP="00A26022">
            <w:pPr>
              <w:pStyle w:val="References"/>
              <w:spacing w:before="40" w:after="40"/>
              <w:ind w:firstLine="0"/>
              <w:jc w:val="center"/>
              <w:rPr>
                <w:b/>
                <w:bCs/>
              </w:rPr>
            </w:pPr>
            <w:r>
              <w:rPr>
                <w:b/>
                <w:bCs/>
              </w:rPr>
              <w:t>(b) N522</w:t>
            </w:r>
          </w:p>
        </w:tc>
      </w:tr>
      <w:tr w:rsidR="00F6261B" w14:paraId="752F9875" w14:textId="77777777" w:rsidTr="00F80A11">
        <w:trPr>
          <w:jc w:val="center"/>
        </w:trPr>
        <w:tc>
          <w:tcPr>
            <w:tcW w:w="9378" w:type="dxa"/>
            <w:gridSpan w:val="2"/>
          </w:tcPr>
          <w:p w14:paraId="420C83F8" w14:textId="70BF9200" w:rsidR="00F6261B" w:rsidRPr="00BC1394" w:rsidRDefault="00F6261B" w:rsidP="00A26022">
            <w:pPr>
              <w:pStyle w:val="References"/>
              <w:spacing w:before="40" w:after="40"/>
              <w:ind w:firstLine="0"/>
              <w:jc w:val="left"/>
              <w:rPr>
                <w:b/>
                <w:bCs/>
              </w:rPr>
            </w:pPr>
            <w:r>
              <w:rPr>
                <w:b/>
                <w:bCs/>
              </w:rPr>
              <w:t>Figure 4.</w:t>
            </w:r>
            <w:r w:rsidR="00BC1394">
              <w:rPr>
                <w:b/>
                <w:bCs/>
              </w:rPr>
              <w:t xml:space="preserve"> Slant range and view angle time histories for: (a) N992 and (b) N522 aircraft. It is assumed that </w:t>
            </w:r>
            <w:r w:rsidR="00BC1394">
              <w:rPr>
                <w:b/>
                <w:bCs/>
                <w:i/>
                <w:iCs/>
              </w:rPr>
              <w:t>t</w:t>
            </w:r>
            <w:r w:rsidR="00BC1394">
              <w:rPr>
                <w:b/>
                <w:bCs/>
              </w:rPr>
              <w:t xml:space="preserve"> = 0 for both aircraft coincides with </w:t>
            </w:r>
            <w:r w:rsidR="00BC1394">
              <w:rPr>
                <w:b/>
                <w:bCs/>
                <w:i/>
                <w:iCs/>
              </w:rPr>
              <w:t>t</w:t>
            </w:r>
            <w:r w:rsidR="00BC1394">
              <w:rPr>
                <w:b/>
                <w:bCs/>
              </w:rPr>
              <w:t xml:space="preserve"> = 0 for the flight trajectory.</w:t>
            </w:r>
          </w:p>
        </w:tc>
      </w:tr>
    </w:tbl>
    <w:p w14:paraId="3DF8B8C4" w14:textId="77777777" w:rsidR="00F6261B" w:rsidRDefault="00F6261B" w:rsidP="00F6261B">
      <w:pPr>
        <w:pStyle w:val="References"/>
      </w:pPr>
    </w:p>
    <w:p w14:paraId="3F96E37F" w14:textId="6E1D13E3" w:rsidR="00BC1394" w:rsidRPr="00BC1394" w:rsidRDefault="00BC1394" w:rsidP="00BC1394">
      <w:pPr>
        <w:pStyle w:val="Text"/>
      </w:pPr>
      <w:r>
        <w:t xml:space="preserve">It is tacitly assumed here that the clocks of the observation aircraft (and the instruments onboard) are synchronized with that of the SRC. For the SRC, </w:t>
      </w:r>
      <w:r>
        <w:rPr>
          <w:i/>
          <w:iCs/>
        </w:rPr>
        <w:t>t</w:t>
      </w:r>
      <w:r>
        <w:t xml:space="preserve"> = 0 is reckoned at EI. The consequence of unsynchronized clocks in examined later in the present paper.</w:t>
      </w:r>
    </w:p>
    <w:p w14:paraId="20DC9E05" w14:textId="70EA6CED" w:rsidR="00822153" w:rsidRDefault="00946062" w:rsidP="00BC1394">
      <w:pPr>
        <w:pStyle w:val="Text"/>
      </w:pPr>
      <w:r>
        <w:t xml:space="preserve">Computation of radiance using </w:t>
      </w:r>
      <w:r w:rsidRPr="00946062">
        <w:rPr>
          <w:i/>
          <w:iCs/>
          <w:smallCaps/>
        </w:rPr>
        <w:t>Neqair</w:t>
      </w:r>
      <w:r>
        <w:t xml:space="preserve"> </w:t>
      </w:r>
      <w:r w:rsidRPr="008B1CE6">
        <w:rPr>
          <w:color w:val="FF0000"/>
        </w:rPr>
        <w:t>[</w:t>
      </w:r>
      <w:r w:rsidR="00685005">
        <w:rPr>
          <w:color w:val="FF0000"/>
        </w:rPr>
        <w:t>10</w:t>
      </w:r>
      <w:r w:rsidRPr="008B1CE6">
        <w:rPr>
          <w:color w:val="FF0000"/>
        </w:rPr>
        <w:t>]</w:t>
      </w:r>
      <w:r>
        <w:t xml:space="preserve"> is straightforward. </w:t>
      </w:r>
      <w:r w:rsidR="00541EF1" w:rsidRPr="00946062">
        <w:t>As</w:t>
      </w:r>
      <w:r w:rsidR="00541EF1">
        <w:t xml:space="preserve"> shown in Fig. </w:t>
      </w:r>
      <w:r>
        <w:t>1</w:t>
      </w:r>
      <w:r w:rsidR="00541EF1">
        <w:t xml:space="preserve">b, the radiance from flowfield (Fig. 3b) is captured on an imaging plane (a small rectangular patch on a sphere whose radius is the slant length from the observing aircraft and the SRC). The imaging plane is divided into small area elements, and lines of sight perpendicular to the imaging plane are constructed using an in-house software utility </w:t>
      </w:r>
      <w:r w:rsidR="00541EF1" w:rsidRPr="00946062">
        <w:rPr>
          <w:i/>
          <w:iCs/>
          <w:smallCaps/>
        </w:rPr>
        <w:t>Stardust_Lines</w:t>
      </w:r>
      <w:r w:rsidR="00541EF1">
        <w:t xml:space="preserve"> </w:t>
      </w:r>
      <w:r w:rsidR="00541EF1" w:rsidRPr="00685005">
        <w:rPr>
          <w:color w:val="FF0000"/>
        </w:rPr>
        <w:t>[</w:t>
      </w:r>
      <w:r w:rsidR="00685005">
        <w:rPr>
          <w:color w:val="FF0000"/>
        </w:rPr>
        <w:t>11</w:t>
      </w:r>
      <w:r w:rsidR="00541EF1" w:rsidRPr="00685005">
        <w:rPr>
          <w:color w:val="FF0000"/>
        </w:rPr>
        <w:t>]</w:t>
      </w:r>
      <w:r w:rsidR="00541EF1">
        <w:t xml:space="preserve">. This plane is large enough to accommodate the entire 3D volume solution from flow computations. The lines of sight that intersect the body are terminated at the point of intersection, while the other lines of sight are terminated at the outer boundary of flow volume grid – the outer boundary is at ambient conditions). The initial value of radiance is either </w:t>
      </w:r>
      <w:r>
        <w:t>zero</w:t>
      </w:r>
      <w:r w:rsidR="00541EF1">
        <w:t xml:space="preserve"> at the ambient condition termination point, or </w:t>
      </w:r>
      <m:oMath>
        <m:sSub>
          <m:sSubPr>
            <m:ctrlPr>
              <w:rPr>
                <w:rFonts w:ascii="Cambria Math" w:hAnsi="Cambria Math"/>
                <w:i/>
              </w:rPr>
            </m:ctrlPr>
          </m:sSubPr>
          <m:e>
            <m:r>
              <w:rPr>
                <w:rFonts w:ascii="Cambria Math" w:hAnsi="Cambria Math"/>
              </w:rPr>
              <m:t>B</m:t>
            </m:r>
          </m:e>
          <m:sub>
            <m:r>
              <w:rPr>
                <w:rFonts w:ascii="Cambria Math" w:hAnsi="Cambria Math"/>
              </w:rPr>
              <m:t>λ</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m:t>
            </m:r>
          </m:sub>
        </m:sSub>
        <m:r>
          <w:rPr>
            <w:rFonts w:ascii="Cambria Math" w:hAnsi="Cambria Math"/>
          </w:rPr>
          <m:t>)</m:t>
        </m:r>
      </m:oMath>
      <w:r w:rsidR="00541EF1">
        <w:t xml:space="preserve"> (blackbody function evaluated at </w:t>
      </w:r>
      <m:oMath>
        <m:sSub>
          <m:sSubPr>
            <m:ctrlPr>
              <w:rPr>
                <w:rFonts w:ascii="Cambria Math" w:hAnsi="Cambria Math"/>
                <w:i/>
              </w:rPr>
            </m:ctrlPr>
          </m:sSubPr>
          <m:e>
            <m:r>
              <w:rPr>
                <w:rFonts w:ascii="Cambria Math" w:hAnsi="Cambria Math"/>
              </w:rPr>
              <m:t>T</m:t>
            </m:r>
          </m:e>
          <m:sub>
            <m:r>
              <w:rPr>
                <w:rFonts w:ascii="Cambria Math" w:hAnsi="Cambria Math"/>
              </w:rPr>
              <m:t>w</m:t>
            </m:r>
          </m:sub>
        </m:sSub>
      </m:oMath>
      <w:r w:rsidR="00541EF1">
        <w:t>) at surface termination point. Radiance transport from the initial point to the imaging plane is computed for each line of sight</w:t>
      </w:r>
      <w:r>
        <w:t xml:space="preserve"> for wavelength ranges of 290–1000 nm, and 1000-2100 nm, all with high resolution</w:t>
      </w:r>
      <w:r w:rsidR="00541EF1">
        <w:t xml:space="preserve">. </w:t>
      </w:r>
      <w:r>
        <w:t xml:space="preserve">Lines and bands of all relevant species, and associated continua (bound-free or free-free) are included in the computations. </w:t>
      </w:r>
      <w:r w:rsidR="00541EF1">
        <w:t xml:space="preserve">The number of lines of sight (equivalently the </w:t>
      </w:r>
      <w:r w:rsidR="00541EF1">
        <w:lastRenderedPageBreak/>
        <w:t xml:space="preserve">number of area elements of the imaging plane) is based on prior experience with the Stardust and Hayabusa2 computations. </w:t>
      </w:r>
      <w:r>
        <w:t xml:space="preserve">One special feature of </w:t>
      </w:r>
      <w:r w:rsidRPr="00BC1394">
        <w:rPr>
          <w:i/>
          <w:iCs/>
          <w:smallCaps/>
        </w:rPr>
        <w:t>Neqair</w:t>
      </w:r>
      <w:r>
        <w:t xml:space="preserve"> is </w:t>
      </w:r>
      <w:r w:rsidR="00BC1394">
        <w:t>its</w:t>
      </w:r>
      <w:r>
        <w:t xml:space="preserve"> ability to move the lines of sight in an adaptive manner</w:t>
      </w:r>
      <w:r w:rsidR="00BC1394">
        <w:t xml:space="preserve"> to increase the line density in regions of high radiance. </w:t>
      </w:r>
    </w:p>
    <w:p w14:paraId="4A6BB804" w14:textId="066455B6" w:rsidR="00F6261B" w:rsidRPr="008F3D26" w:rsidRDefault="00DE046C" w:rsidP="00DE046C">
      <w:pPr>
        <w:pStyle w:val="Text"/>
      </w:pPr>
      <w:r>
        <w:t xml:space="preserve">In an attempt </w:t>
      </w:r>
      <w:r w:rsidR="00EA4A25">
        <w:t xml:space="preserve">to determine </w:t>
      </w:r>
      <w:r>
        <w:t>the relative contributions of volumetric and areal parts of the SRC flow field to radiance</w:t>
      </w:r>
      <w:r w:rsidR="008F3D26">
        <w:t xml:space="preserve">, two flow computations are performed at </w:t>
      </w:r>
      <w:r w:rsidR="008F3D26">
        <w:rPr>
          <w:i/>
          <w:iCs/>
        </w:rPr>
        <w:t>t</w:t>
      </w:r>
      <w:r w:rsidR="008F3D26">
        <w:t xml:space="preserve"> = 53.5 s along the flight trajectory. </w:t>
      </w:r>
      <w:r w:rsidR="00EA4A25">
        <w:t>In t</w:t>
      </w:r>
      <w:r w:rsidR="008F3D26">
        <w:t>he first calculation</w:t>
      </w:r>
      <w:r w:rsidR="00EA4A25">
        <w:t xml:space="preserve">, </w:t>
      </w:r>
      <w:r w:rsidR="008F3D26">
        <w:t>the baseline case</w:t>
      </w:r>
      <w:r w:rsidR="00EA4A25">
        <w:t xml:space="preserve">, </w:t>
      </w:r>
      <w:r w:rsidR="008F3D26">
        <w:t xml:space="preserve"> the surface of the SRC re-radiates (to a 0 K sink) incident heating with an emissivity of 0.85; there is </w:t>
      </w:r>
      <w:r w:rsidR="00EA4A25">
        <w:t xml:space="preserve">no </w:t>
      </w:r>
      <w:r w:rsidR="008F3D26">
        <w:t xml:space="preserve">conduction of the incident heat flux through the thickness of the thermal protection material. </w:t>
      </w:r>
      <w:r w:rsidR="00BC1394">
        <w:t xml:space="preserve"> </w:t>
      </w:r>
      <w:r w:rsidR="008F3D26">
        <w:t>T</w:t>
      </w:r>
      <w:r>
        <w:t xml:space="preserve">he distribution of radiance on part of the imaging plane is shown </w:t>
      </w:r>
      <w:r w:rsidR="008F3D26">
        <w:t>in Fig. 5a</w:t>
      </w:r>
      <w:r w:rsidR="00EA4A25">
        <w:t xml:space="preserve"> for this case</w:t>
      </w:r>
      <w:r>
        <w:t>.</w:t>
      </w:r>
      <w:r w:rsidR="008F3D26">
        <w:t xml:space="preserve"> In the second computation </w:t>
      </w:r>
      <w:r>
        <w:t xml:space="preserve">the surface of the entire SRC is </w:t>
      </w:r>
      <w:r w:rsidR="00EA4A25">
        <w:t xml:space="preserve">assumed to be at </w:t>
      </w:r>
      <w:r>
        <w:t>a</w:t>
      </w:r>
      <w:r w:rsidR="008F3D26">
        <w:t xml:space="preserve"> fixed</w:t>
      </w:r>
      <w:r>
        <w:t xml:space="preserve"> temperature of 300 K, </w:t>
      </w:r>
      <w:r>
        <w:rPr>
          <w:i/>
          <w:iCs/>
        </w:rPr>
        <w:t>i.e.</w:t>
      </w:r>
      <w:r>
        <w:t xml:space="preserve">, a cold wall. </w:t>
      </w:r>
      <w:r w:rsidR="008F3D26">
        <w:t>The distribution of radiance on part of the imaging plane is shown in Fig. 5b</w:t>
      </w:r>
      <w:r w:rsidR="00EA4A25">
        <w:t xml:space="preserve"> for this second case</w:t>
      </w:r>
      <w:r w:rsidR="008F3D26">
        <w:t xml:space="preserve">. The contour map shows the distribution of radiance from the shock layer alone since the radiance from the cold SRC surface is negligibly small. The radiance from the shock layer is about 50 times lower than the first case. In a third calculation, the entire shock layer around the SRC is replaced by the conditions of the ambient atmosphere, </w:t>
      </w:r>
      <w:r w:rsidR="008F3D26">
        <w:rPr>
          <w:i/>
          <w:iCs/>
        </w:rPr>
        <w:t>i.e.</w:t>
      </w:r>
      <w:r w:rsidR="008F3D26">
        <w:t xml:space="preserve">, the aerodynamically-heated SRC is suspended in the ambient atmosphere. The resulting radiance distribution, shown in Fig. 5c, compares very well with distribution shown in Fig. 5a. </w:t>
      </w:r>
      <w:r w:rsidR="00FF08D7">
        <w:t>The conclusion from these qualitative results is that the radiating surface of the SRC is the dominant contributor to total radiance</w:t>
      </w:r>
      <w:r w:rsidR="00F47730">
        <w:t>, which points to the need for consideration of material thermal response to obtain better estimates of surface temperature</w:t>
      </w:r>
      <w:r w:rsidR="00FF08D7">
        <w:t xml:space="preserve">. </w:t>
      </w:r>
      <w:r w:rsidR="004D50E8">
        <w:t>This observation could be useful in the interpretation of measured data (irradiance).</w:t>
      </w:r>
    </w:p>
    <w:p w14:paraId="7B58DC57" w14:textId="77777777" w:rsidR="00B651F6" w:rsidRDefault="00B651F6" w:rsidP="00B651F6">
      <w:pPr>
        <w:pStyle w:val="Text"/>
        <w:ind w:left="575" w:firstLine="0"/>
      </w:pPr>
    </w:p>
    <w:tbl>
      <w:tblPr>
        <w:tblStyle w:val="TableGrid"/>
        <w:tblW w:w="92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1"/>
        <w:gridCol w:w="3105"/>
        <w:gridCol w:w="3474"/>
      </w:tblGrid>
      <w:tr w:rsidR="00B651F6" w14:paraId="684D3630" w14:textId="77777777" w:rsidTr="008B1CE6">
        <w:trPr>
          <w:jc w:val="center"/>
        </w:trPr>
        <w:tc>
          <w:tcPr>
            <w:tcW w:w="9252" w:type="dxa"/>
            <w:gridSpan w:val="3"/>
            <w:vAlign w:val="center"/>
          </w:tcPr>
          <w:p w14:paraId="1B09F6C9" w14:textId="57FAB332" w:rsidR="00B651F6" w:rsidRDefault="00780B85" w:rsidP="003E2F51">
            <w:pPr>
              <w:pStyle w:val="References"/>
              <w:spacing w:before="40"/>
              <w:ind w:firstLine="0"/>
              <w:jc w:val="center"/>
            </w:pPr>
            <w:r>
              <w:rPr>
                <w:noProof/>
              </w:rPr>
              <w:drawing>
                <wp:inline distT="0" distB="0" distL="0" distR="0" wp14:anchorId="47B95FD4" wp14:editId="056D8694">
                  <wp:extent cx="5742432" cy="1828800"/>
                  <wp:effectExtent l="0" t="0" r="0" b="0"/>
                  <wp:docPr id="598536678"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36678" name="Picture 1" descr="A close-up of a graph&#10;&#10;Description automatically generated"/>
                          <pic:cNvPicPr/>
                        </pic:nvPicPr>
                        <pic:blipFill>
                          <a:blip r:embed="rId16"/>
                          <a:stretch>
                            <a:fillRect/>
                          </a:stretch>
                        </pic:blipFill>
                        <pic:spPr>
                          <a:xfrm>
                            <a:off x="0" y="0"/>
                            <a:ext cx="5742432" cy="1828800"/>
                          </a:xfrm>
                          <a:prstGeom prst="rect">
                            <a:avLst/>
                          </a:prstGeom>
                        </pic:spPr>
                      </pic:pic>
                    </a:graphicData>
                  </a:graphic>
                </wp:inline>
              </w:drawing>
            </w:r>
          </w:p>
        </w:tc>
      </w:tr>
      <w:tr w:rsidR="00BC1394" w:rsidRPr="006D03ED" w14:paraId="4C670F9E" w14:textId="77777777" w:rsidTr="008B1CE6">
        <w:trPr>
          <w:jc w:val="center"/>
        </w:trPr>
        <w:tc>
          <w:tcPr>
            <w:tcW w:w="2724" w:type="dxa"/>
            <w:vAlign w:val="center"/>
          </w:tcPr>
          <w:p w14:paraId="2F705BE5" w14:textId="658708CA" w:rsidR="00BC1394" w:rsidRPr="006D03ED" w:rsidRDefault="00BC1394" w:rsidP="003E2F51">
            <w:pPr>
              <w:pStyle w:val="References"/>
              <w:spacing w:before="40"/>
              <w:ind w:firstLine="0"/>
              <w:jc w:val="center"/>
              <w:rPr>
                <w:b/>
                <w:bCs/>
                <w:noProof/>
              </w:rPr>
            </w:pPr>
            <w:r w:rsidRPr="006D03ED">
              <w:rPr>
                <w:b/>
                <w:bCs/>
                <w:noProof/>
              </w:rPr>
              <w:t xml:space="preserve">(a) </w:t>
            </w:r>
            <w:r w:rsidR="006D03ED" w:rsidRPr="006D03ED">
              <w:rPr>
                <w:b/>
                <w:bCs/>
                <w:noProof/>
              </w:rPr>
              <w:t>Hot SRC + Shock Layer</w:t>
            </w:r>
          </w:p>
        </w:tc>
        <w:tc>
          <w:tcPr>
            <w:tcW w:w="3264" w:type="dxa"/>
            <w:vAlign w:val="center"/>
          </w:tcPr>
          <w:p w14:paraId="04822D85" w14:textId="486FD8A0" w:rsidR="00BC1394" w:rsidRPr="006D03ED" w:rsidRDefault="006D03ED" w:rsidP="003E2F51">
            <w:pPr>
              <w:pStyle w:val="References"/>
              <w:spacing w:before="40"/>
              <w:ind w:firstLine="0"/>
              <w:jc w:val="center"/>
              <w:rPr>
                <w:b/>
                <w:bCs/>
                <w:noProof/>
              </w:rPr>
            </w:pPr>
            <w:r w:rsidRPr="006D03ED">
              <w:rPr>
                <w:b/>
                <w:bCs/>
                <w:noProof/>
              </w:rPr>
              <w:t>(b) Cold SRC + Shock Layer</w:t>
            </w:r>
          </w:p>
        </w:tc>
        <w:tc>
          <w:tcPr>
            <w:tcW w:w="3264" w:type="dxa"/>
            <w:vAlign w:val="center"/>
          </w:tcPr>
          <w:p w14:paraId="42F1AC2D" w14:textId="5060CA81" w:rsidR="00BC1394" w:rsidRPr="006D03ED" w:rsidRDefault="006D03ED" w:rsidP="003E2F51">
            <w:pPr>
              <w:pStyle w:val="References"/>
              <w:spacing w:before="40"/>
              <w:ind w:firstLine="0"/>
              <w:jc w:val="center"/>
              <w:rPr>
                <w:b/>
                <w:bCs/>
                <w:noProof/>
              </w:rPr>
            </w:pPr>
            <w:r w:rsidRPr="006D03ED">
              <w:rPr>
                <w:b/>
                <w:bCs/>
                <w:noProof/>
              </w:rPr>
              <w:t>(c) Hot SRC + Ambient Atmosphere</w:t>
            </w:r>
          </w:p>
        </w:tc>
      </w:tr>
      <w:tr w:rsidR="00B651F6" w14:paraId="1DE5D348" w14:textId="77777777" w:rsidTr="008B1CE6">
        <w:trPr>
          <w:jc w:val="center"/>
        </w:trPr>
        <w:tc>
          <w:tcPr>
            <w:tcW w:w="9252" w:type="dxa"/>
            <w:gridSpan w:val="3"/>
          </w:tcPr>
          <w:p w14:paraId="7524BFFA" w14:textId="36A02E5E" w:rsidR="00B651F6" w:rsidRPr="003A58AD" w:rsidRDefault="00B651F6" w:rsidP="004B0B33">
            <w:pPr>
              <w:pStyle w:val="References"/>
              <w:spacing w:before="40" w:after="40"/>
              <w:ind w:firstLine="0"/>
              <w:rPr>
                <w:b/>
                <w:bCs/>
              </w:rPr>
            </w:pPr>
            <w:r>
              <w:rPr>
                <w:b/>
                <w:bCs/>
              </w:rPr>
              <w:t xml:space="preserve">Figure </w:t>
            </w:r>
            <w:r w:rsidR="00BC1394">
              <w:rPr>
                <w:b/>
                <w:bCs/>
              </w:rPr>
              <w:t>5</w:t>
            </w:r>
            <w:r>
              <w:rPr>
                <w:b/>
                <w:bCs/>
              </w:rPr>
              <w:t>.</w:t>
            </w:r>
            <w:r w:rsidR="006D03ED">
              <w:rPr>
                <w:b/>
                <w:bCs/>
              </w:rPr>
              <w:t xml:space="preserve"> Radiance contours on the imaging plane for: (a) entire shock layer, including the heated SRC, (b) entire shock layer, with the SRC at a temperature of 300 K, and (c) just the heated SRC imbedded in the ambient atmosphere.</w:t>
            </w:r>
            <w:r w:rsidR="004B0B33">
              <w:rPr>
                <w:b/>
                <w:bCs/>
              </w:rPr>
              <w:t xml:space="preserve"> The slant range and view angle for these computations are 176 km and 14.1°, respectively.</w:t>
            </w:r>
          </w:p>
        </w:tc>
      </w:tr>
    </w:tbl>
    <w:p w14:paraId="323555A4" w14:textId="77777777" w:rsidR="000B1DAD" w:rsidRDefault="000B1DAD" w:rsidP="002560ED">
      <w:pPr>
        <w:pStyle w:val="Text"/>
        <w:ind w:firstLine="0"/>
      </w:pPr>
    </w:p>
    <w:p w14:paraId="74972E70" w14:textId="53C5359A" w:rsidR="00931E89" w:rsidRDefault="00931E89" w:rsidP="00931E89">
      <w:pPr>
        <w:pStyle w:val="Text"/>
      </w:pPr>
      <w:r>
        <w:t xml:space="preserve">The computed radiance on the imaging plane is converted to an irradiance by </w:t>
      </w:r>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L</m:t>
                </m:r>
              </m:e>
              <m:sup>
                <m:r>
                  <w:rPr>
                    <w:rFonts w:ascii="Cambria Math" w:hAnsi="Cambria Math"/>
                  </w:rPr>
                  <m:t>2</m:t>
                </m:r>
              </m:sup>
            </m:sSup>
          </m:den>
        </m:f>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I</m:t>
                </m:r>
              </m:e>
              <m:sub>
                <m:r>
                  <w:rPr>
                    <w:rFonts w:ascii="Cambria Math" w:hAnsi="Cambria Math"/>
                  </w:rPr>
                  <m:t>λ</m:t>
                </m:r>
              </m:sub>
            </m:sSub>
            <m:r>
              <w:rPr>
                <w:rFonts w:ascii="Cambria Math" w:hAnsi="Cambria Math"/>
              </w:rPr>
              <m:t>dA</m:t>
            </m:r>
          </m:e>
        </m:nary>
      </m:oMath>
      <w:r>
        <w:t xml:space="preserve">, where </w:t>
      </w:r>
      <m:oMath>
        <m:r>
          <w:rPr>
            <w:rFonts w:ascii="Cambria Math" w:hAnsi="Cambria Math"/>
          </w:rPr>
          <m:t>L</m:t>
        </m:r>
      </m:oMath>
      <w:r>
        <w:t xml:space="preserve"> is the slant length/range and </w:t>
      </w:r>
      <m:oMath>
        <m:r>
          <w:rPr>
            <w:rFonts w:ascii="Cambria Math" w:hAnsi="Cambria Math"/>
          </w:rPr>
          <m:t>dA</m:t>
        </m:r>
      </m:oMath>
      <w:r>
        <w:t xml:space="preserve"> is the area element. However, before this conversion is made, radiance gathered at the imaging plane has to be transported through the intervening atmosphere between the source and instrument</w:t>
      </w:r>
      <w:r w:rsidR="00CC33E7">
        <w:t>.</w:t>
      </w:r>
    </w:p>
    <w:p w14:paraId="4367C303" w14:textId="332504E5" w:rsidR="002560ED" w:rsidRDefault="002560ED" w:rsidP="002560ED">
      <w:pPr>
        <w:pStyle w:val="Text"/>
        <w:ind w:firstLine="0"/>
      </w:pPr>
    </w:p>
    <w:p w14:paraId="377C7756" w14:textId="7612E767" w:rsidR="006F2D9B" w:rsidRPr="00970F86" w:rsidRDefault="00731940" w:rsidP="00D801C8">
      <w:pPr>
        <w:pStyle w:val="Text"/>
        <w:numPr>
          <w:ilvl w:val="0"/>
          <w:numId w:val="30"/>
        </w:numPr>
        <w:ind w:left="360"/>
        <w:rPr>
          <w:b/>
          <w:bCs/>
        </w:rPr>
      </w:pPr>
      <w:r>
        <w:rPr>
          <w:b/>
          <w:bCs/>
        </w:rPr>
        <w:t>Atmospheric</w:t>
      </w:r>
      <w:r w:rsidR="006F2D9B" w:rsidRPr="00970F86">
        <w:rPr>
          <w:b/>
          <w:bCs/>
        </w:rPr>
        <w:t xml:space="preserve"> Transmission</w:t>
      </w:r>
    </w:p>
    <w:p w14:paraId="77A40275" w14:textId="3F228AC0" w:rsidR="004C190D" w:rsidRPr="00717D72" w:rsidRDefault="00ED31B8" w:rsidP="004C190D">
      <w:pPr>
        <w:pStyle w:val="Text"/>
        <w:ind w:firstLine="270"/>
      </w:pPr>
      <w:r>
        <w:rPr>
          <w:color w:val="000000" w:themeColor="text1"/>
        </w:rPr>
        <w:t>The</w:t>
      </w:r>
      <w:r w:rsidR="00717D72">
        <w:rPr>
          <w:color w:val="000000" w:themeColor="text1"/>
        </w:rPr>
        <w:t xml:space="preserve"> penultimate step is to transmit the summed radiance on the imaging plane down to the instrument</w:t>
      </w:r>
      <w:r w:rsidR="00717D72" w:rsidRPr="00597284">
        <w:rPr>
          <w:color w:val="000000" w:themeColor="text1"/>
        </w:rPr>
        <w:t>.</w:t>
      </w:r>
      <w:r w:rsidR="00717D72">
        <w:rPr>
          <w:color w:val="000000" w:themeColor="text1"/>
        </w:rPr>
        <w:t xml:space="preserve"> Such a computation requires consideration of the intervening atmosphere. Usually</w:t>
      </w:r>
      <w:r w:rsidR="00CC33E7">
        <w:rPr>
          <w:color w:val="000000" w:themeColor="text1"/>
        </w:rPr>
        <w:t>,</w:t>
      </w:r>
      <w:r w:rsidR="00717D72">
        <w:rPr>
          <w:color w:val="000000" w:themeColor="text1"/>
        </w:rPr>
        <w:t xml:space="preserve"> one would employ a code such as </w:t>
      </w:r>
      <w:r w:rsidR="00717D72" w:rsidRPr="006F3562">
        <w:rPr>
          <w:i/>
          <w:smallCaps/>
          <w:color w:val="000000" w:themeColor="text1"/>
        </w:rPr>
        <w:t>Modtran</w:t>
      </w:r>
      <w:r w:rsidR="00717D72">
        <w:rPr>
          <w:color w:val="000000" w:themeColor="text1"/>
        </w:rPr>
        <w:t xml:space="preserve"> </w:t>
      </w:r>
      <w:r w:rsidR="00717D72" w:rsidRPr="00717D72">
        <w:rPr>
          <w:color w:val="FF0000"/>
        </w:rPr>
        <w:t>[1</w:t>
      </w:r>
      <w:r w:rsidR="00685005">
        <w:rPr>
          <w:color w:val="FF0000"/>
        </w:rPr>
        <w:t>9</w:t>
      </w:r>
      <w:r w:rsidR="00717D72" w:rsidRPr="00717D72">
        <w:rPr>
          <w:color w:val="FF0000"/>
        </w:rPr>
        <w:t>]</w:t>
      </w:r>
      <w:r w:rsidR="00717D72">
        <w:rPr>
          <w:color w:val="000000" w:themeColor="text1"/>
        </w:rPr>
        <w:t xml:space="preserve"> to determine the transmission coefficient for the atmosphere. In the present work, however, the atmospheric spectral transmission coefficient is computed using </w:t>
      </w:r>
      <w:r w:rsidR="00717D72" w:rsidRPr="006F3562">
        <w:rPr>
          <w:i/>
          <w:smallCaps/>
          <w:color w:val="000000" w:themeColor="text1"/>
        </w:rPr>
        <w:t>Neqair</w:t>
      </w:r>
      <w:r w:rsidR="00717D72">
        <w:rPr>
          <w:color w:val="000000" w:themeColor="text1"/>
        </w:rPr>
        <w:t xml:space="preserve"> itself </w:t>
      </w:r>
      <w:r w:rsidR="00717D72" w:rsidRPr="004A12A7">
        <w:rPr>
          <w:color w:val="000000" w:themeColor="text1"/>
        </w:rPr>
        <w:t xml:space="preserve">as a separate step to the imaging computation. Atmospheric species and temperature profiles are obtained from </w:t>
      </w:r>
      <w:r w:rsidR="00717D72" w:rsidRPr="003D6A7E">
        <w:rPr>
          <w:i/>
          <w:iCs/>
          <w:smallCaps/>
          <w:color w:val="000000" w:themeColor="text1"/>
        </w:rPr>
        <w:t>Earth</w:t>
      </w:r>
      <w:r w:rsidR="00717D72">
        <w:rPr>
          <w:i/>
          <w:iCs/>
          <w:smallCaps/>
          <w:color w:val="000000" w:themeColor="text1"/>
        </w:rPr>
        <w:t>–</w:t>
      </w:r>
      <w:r w:rsidR="00717D72" w:rsidRPr="003D6A7E">
        <w:rPr>
          <w:i/>
          <w:iCs/>
          <w:smallCaps/>
          <w:color w:val="000000" w:themeColor="text1"/>
        </w:rPr>
        <w:t>GRAM</w:t>
      </w:r>
      <w:r w:rsidR="00717D72" w:rsidRPr="003D6A7E">
        <w:rPr>
          <w:i/>
          <w:iCs/>
          <w:color w:val="000000" w:themeColor="text1"/>
        </w:rPr>
        <w:t xml:space="preserve"> 2016</w:t>
      </w:r>
      <w:r w:rsidR="00717D72">
        <w:rPr>
          <w:i/>
          <w:iCs/>
          <w:color w:val="000000" w:themeColor="text1"/>
        </w:rPr>
        <w:t xml:space="preserve"> </w:t>
      </w:r>
      <w:r w:rsidR="00717D72" w:rsidRPr="00717D72">
        <w:rPr>
          <w:color w:val="FF0000"/>
        </w:rPr>
        <w:t>[</w:t>
      </w:r>
      <w:r w:rsidR="00685005">
        <w:rPr>
          <w:color w:val="FF0000"/>
        </w:rPr>
        <w:t>20</w:t>
      </w:r>
      <w:r w:rsidR="00717D72" w:rsidRPr="00717D72">
        <w:rPr>
          <w:color w:val="FF0000"/>
        </w:rPr>
        <w:t>]</w:t>
      </w:r>
      <w:r w:rsidR="00717D72" w:rsidRPr="004A12A7">
        <w:rPr>
          <w:color w:val="000000" w:themeColor="text1"/>
        </w:rPr>
        <w:t xml:space="preserve"> using the latitude, longitude and altitude of the spacecraft and observation aircraft, and converted to line</w:t>
      </w:r>
      <w:r w:rsidR="00CC33E7">
        <w:rPr>
          <w:color w:val="000000" w:themeColor="text1"/>
        </w:rPr>
        <w:t>-</w:t>
      </w:r>
      <w:r w:rsidR="00717D72" w:rsidRPr="004A12A7">
        <w:rPr>
          <w:color w:val="000000" w:themeColor="text1"/>
        </w:rPr>
        <w:t>of</w:t>
      </w:r>
      <w:r w:rsidR="00CC33E7">
        <w:rPr>
          <w:color w:val="000000" w:themeColor="text1"/>
        </w:rPr>
        <w:t>-</w:t>
      </w:r>
      <w:r w:rsidR="00717D72" w:rsidRPr="004A12A7">
        <w:rPr>
          <w:color w:val="000000" w:themeColor="text1"/>
        </w:rPr>
        <w:t xml:space="preserve">sight format by </w:t>
      </w:r>
      <w:r w:rsidR="00042829" w:rsidRPr="00993006">
        <w:rPr>
          <w:i/>
          <w:iCs/>
          <w:smallCaps/>
          <w:color w:val="000000" w:themeColor="text1"/>
        </w:rPr>
        <w:t>Neqair</w:t>
      </w:r>
      <w:r w:rsidR="00717D72" w:rsidRPr="004A12A7">
        <w:rPr>
          <w:color w:val="000000" w:themeColor="text1"/>
        </w:rPr>
        <w:t xml:space="preserve">’s converter tool.  </w:t>
      </w:r>
      <w:r w:rsidR="00717D72" w:rsidRPr="00993006">
        <w:rPr>
          <w:i/>
          <w:iCs/>
          <w:smallCaps/>
          <w:color w:val="000000" w:themeColor="text1"/>
        </w:rPr>
        <w:t>Neqair</w:t>
      </w:r>
      <w:r w:rsidR="00717D72" w:rsidRPr="004A12A7">
        <w:rPr>
          <w:color w:val="000000" w:themeColor="text1"/>
        </w:rPr>
        <w:t xml:space="preserve"> is then run in transmission mode using the </w:t>
      </w:r>
      <w:r w:rsidR="00717D72">
        <w:rPr>
          <w:i/>
          <w:smallCaps/>
          <w:color w:val="000000" w:themeColor="text1"/>
        </w:rPr>
        <w:t>Hi</w:t>
      </w:r>
      <w:r w:rsidR="00717D72" w:rsidRPr="006F3562">
        <w:rPr>
          <w:i/>
          <w:smallCaps/>
          <w:color w:val="000000" w:themeColor="text1"/>
        </w:rPr>
        <w:t>tran</w:t>
      </w:r>
      <w:r w:rsidR="00717D72" w:rsidRPr="004A12A7">
        <w:rPr>
          <w:color w:val="000000" w:themeColor="text1"/>
        </w:rPr>
        <w:t xml:space="preserve"> linelist </w:t>
      </w:r>
      <w:r w:rsidR="00717D72" w:rsidRPr="00717D72">
        <w:rPr>
          <w:color w:val="FF0000"/>
        </w:rPr>
        <w:t>[2</w:t>
      </w:r>
      <w:r w:rsidR="00685005">
        <w:rPr>
          <w:color w:val="FF0000"/>
        </w:rPr>
        <w:t>1</w:t>
      </w:r>
      <w:r w:rsidR="00717D72" w:rsidRPr="00717D72">
        <w:rPr>
          <w:color w:val="FF0000"/>
        </w:rPr>
        <w:t>]</w:t>
      </w:r>
      <w:r w:rsidR="00717D72" w:rsidRPr="004A12A7">
        <w:rPr>
          <w:color w:val="000000" w:themeColor="text1"/>
        </w:rPr>
        <w:t xml:space="preserve"> to compute absorption by O</w:t>
      </w:r>
      <w:r w:rsidR="00717D72" w:rsidRPr="003D6A7E">
        <w:rPr>
          <w:color w:val="000000" w:themeColor="text1"/>
          <w:vertAlign w:val="subscript"/>
        </w:rPr>
        <w:t>3</w:t>
      </w:r>
      <w:r w:rsidR="00717D72" w:rsidRPr="004A12A7">
        <w:rPr>
          <w:color w:val="000000" w:themeColor="text1"/>
        </w:rPr>
        <w:t>, H</w:t>
      </w:r>
      <w:r w:rsidR="00717D72" w:rsidRPr="003D6A7E">
        <w:rPr>
          <w:color w:val="000000" w:themeColor="text1"/>
          <w:vertAlign w:val="subscript"/>
        </w:rPr>
        <w:t>2</w:t>
      </w:r>
      <w:r w:rsidR="00717D72" w:rsidRPr="004A12A7">
        <w:rPr>
          <w:color w:val="000000" w:themeColor="text1"/>
        </w:rPr>
        <w:t>O, N</w:t>
      </w:r>
      <w:r w:rsidR="00717D72" w:rsidRPr="003D6A7E">
        <w:rPr>
          <w:color w:val="000000" w:themeColor="text1"/>
          <w:vertAlign w:val="subscript"/>
        </w:rPr>
        <w:t>2</w:t>
      </w:r>
      <w:r w:rsidR="00717D72" w:rsidRPr="004A12A7">
        <w:rPr>
          <w:color w:val="000000" w:themeColor="text1"/>
        </w:rPr>
        <w:t>O, CH</w:t>
      </w:r>
      <w:r w:rsidR="00717D72" w:rsidRPr="003D6A7E">
        <w:rPr>
          <w:color w:val="000000" w:themeColor="text1"/>
          <w:vertAlign w:val="subscript"/>
        </w:rPr>
        <w:t>4</w:t>
      </w:r>
      <w:r w:rsidR="00717D72" w:rsidRPr="004A12A7">
        <w:rPr>
          <w:color w:val="000000" w:themeColor="text1"/>
        </w:rPr>
        <w:t xml:space="preserve">, and CO, and the Leiden database </w:t>
      </w:r>
      <w:r w:rsidR="00717D72" w:rsidRPr="00717D72">
        <w:rPr>
          <w:color w:val="FF0000"/>
        </w:rPr>
        <w:t>[2</w:t>
      </w:r>
      <w:r w:rsidR="00685005">
        <w:rPr>
          <w:color w:val="FF0000"/>
        </w:rPr>
        <w:t>2</w:t>
      </w:r>
      <w:r w:rsidR="00717D72" w:rsidRPr="00717D72">
        <w:rPr>
          <w:color w:val="FF0000"/>
        </w:rPr>
        <w:t>]</w:t>
      </w:r>
      <w:r w:rsidR="00717D72" w:rsidRPr="004A12A7">
        <w:rPr>
          <w:color w:val="000000" w:themeColor="text1"/>
        </w:rPr>
        <w:t xml:space="preserve"> for photodissociation and photoionization of O</w:t>
      </w:r>
      <w:r w:rsidR="00717D72" w:rsidRPr="00074958">
        <w:rPr>
          <w:color w:val="000000" w:themeColor="text1"/>
          <w:vertAlign w:val="subscript"/>
        </w:rPr>
        <w:t>2</w:t>
      </w:r>
      <w:r w:rsidR="00717D72" w:rsidRPr="004A12A7">
        <w:rPr>
          <w:color w:val="000000" w:themeColor="text1"/>
        </w:rPr>
        <w:t xml:space="preserve"> (Schumann-Runge continuum) and other air species.  Absorption by other species, including atoms, CO</w:t>
      </w:r>
      <w:r w:rsidR="00717D72" w:rsidRPr="00074958">
        <w:rPr>
          <w:color w:val="000000" w:themeColor="text1"/>
          <w:vertAlign w:val="subscript"/>
        </w:rPr>
        <w:t>2</w:t>
      </w:r>
      <w:r w:rsidR="00717D72" w:rsidRPr="004A12A7">
        <w:rPr>
          <w:color w:val="000000" w:themeColor="text1"/>
        </w:rPr>
        <w:t xml:space="preserve"> and bound O</w:t>
      </w:r>
      <w:r w:rsidR="00717D72" w:rsidRPr="00074958">
        <w:rPr>
          <w:color w:val="000000" w:themeColor="text1"/>
          <w:vertAlign w:val="subscript"/>
        </w:rPr>
        <w:t>2</w:t>
      </w:r>
      <w:r w:rsidR="00717D72" w:rsidRPr="004A12A7">
        <w:rPr>
          <w:color w:val="000000" w:themeColor="text1"/>
        </w:rPr>
        <w:t xml:space="preserve"> Schumann-Runge, is computed by the existing </w:t>
      </w:r>
      <w:r w:rsidR="00717D72" w:rsidRPr="00993006">
        <w:rPr>
          <w:i/>
          <w:iCs/>
          <w:smallCaps/>
          <w:color w:val="000000" w:themeColor="text1"/>
        </w:rPr>
        <w:t>Neqair</w:t>
      </w:r>
      <w:r w:rsidR="00717D72" w:rsidRPr="004A12A7">
        <w:rPr>
          <w:color w:val="000000" w:themeColor="text1"/>
        </w:rPr>
        <w:t xml:space="preserve"> databases.  Rayleigh scattering is also computed in </w:t>
      </w:r>
      <w:r w:rsidR="00717D72" w:rsidRPr="00993006">
        <w:rPr>
          <w:i/>
          <w:iCs/>
          <w:smallCaps/>
          <w:color w:val="000000" w:themeColor="text1"/>
        </w:rPr>
        <w:t>Neqair</w:t>
      </w:r>
      <w:r w:rsidR="00717D72" w:rsidRPr="004A12A7">
        <w:rPr>
          <w:color w:val="000000" w:themeColor="text1"/>
        </w:rPr>
        <w:t>, but scattering by high altitude particles is neglected</w:t>
      </w:r>
      <w:r w:rsidR="00717D72">
        <w:rPr>
          <w:color w:val="000000" w:themeColor="text1"/>
        </w:rPr>
        <w:t>. Spectral transmission coefficient data are computed for each time point selected along the best-estimated trajectory</w:t>
      </w:r>
      <w:r w:rsidR="004C190D">
        <w:t xml:space="preserve">. </w:t>
      </w:r>
      <w:r w:rsidR="00717D72">
        <w:t xml:space="preserve">Atmospheric transmission as functions of wavelength predicted by </w:t>
      </w:r>
      <w:r w:rsidR="00717D72" w:rsidRPr="00993006">
        <w:rPr>
          <w:i/>
          <w:iCs/>
          <w:smallCaps/>
          <w:color w:val="000000" w:themeColor="text1"/>
        </w:rPr>
        <w:t>Neqair</w:t>
      </w:r>
      <w:r w:rsidR="00717D72">
        <w:t xml:space="preserve"> (present work) and </w:t>
      </w:r>
      <w:proofErr w:type="spellStart"/>
      <w:r w:rsidR="00717D72" w:rsidRPr="006F3562">
        <w:rPr>
          <w:i/>
          <w:smallCaps/>
          <w:color w:val="000000" w:themeColor="text1"/>
        </w:rPr>
        <w:t>Modtran</w:t>
      </w:r>
      <w:proofErr w:type="spellEnd"/>
      <w:r w:rsidR="00717D72">
        <w:t xml:space="preserve"> compare very well</w:t>
      </w:r>
      <w:r w:rsidR="0027146B">
        <w:t xml:space="preserve">, ignoring the significant differences in the absorption peaks, </w:t>
      </w:r>
      <w:r w:rsidR="00042829">
        <w:t xml:space="preserve">as seen in Fig. </w:t>
      </w:r>
      <w:r w:rsidR="004B0B33">
        <w:t>6</w:t>
      </w:r>
      <w:r w:rsidR="00042829">
        <w:t>.</w:t>
      </w:r>
      <w:r w:rsidR="0027146B">
        <w:t xml:space="preserve"> Although these absorption peaks differ, the impact of these in computed irradiance was not as much, at least not in the Hayabusa2 simulations </w:t>
      </w:r>
      <w:r w:rsidR="0027146B" w:rsidRPr="0027146B">
        <w:rPr>
          <w:color w:val="FF0000"/>
        </w:rPr>
        <w:t>[6]</w:t>
      </w:r>
      <w:r w:rsidR="0027146B">
        <w:t>.</w:t>
      </w:r>
    </w:p>
    <w:p w14:paraId="69FF2D93" w14:textId="77777777" w:rsidR="004C190D" w:rsidRDefault="004C190D" w:rsidP="004C190D">
      <w:pPr>
        <w:pStyle w:val="Text"/>
        <w:ind w:left="575" w:firstLine="0"/>
      </w:pPr>
    </w:p>
    <w:tbl>
      <w:tblPr>
        <w:tblStyle w:val="TableGrid"/>
        <w:tblW w:w="92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F666C6" w14:paraId="6B32522A" w14:textId="77777777" w:rsidTr="00042829">
        <w:trPr>
          <w:jc w:val="center"/>
        </w:trPr>
        <w:tc>
          <w:tcPr>
            <w:tcW w:w="9252" w:type="dxa"/>
            <w:vAlign w:val="center"/>
          </w:tcPr>
          <w:p w14:paraId="26963314" w14:textId="55AD429D" w:rsidR="00F666C6" w:rsidRDefault="00BF0A71" w:rsidP="00F8146A">
            <w:pPr>
              <w:pStyle w:val="References"/>
              <w:spacing w:before="40"/>
              <w:ind w:firstLine="0"/>
              <w:jc w:val="center"/>
            </w:pPr>
            <w:r>
              <w:rPr>
                <w:noProof/>
              </w:rPr>
              <w:drawing>
                <wp:inline distT="0" distB="0" distL="0" distR="0" wp14:anchorId="1842F8C3" wp14:editId="297B5C42">
                  <wp:extent cx="2313432" cy="2057400"/>
                  <wp:effectExtent l="0" t="0" r="0" b="0"/>
                  <wp:docPr id="4371539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53978" name="Picture 437153978"/>
                          <pic:cNvPicPr/>
                        </pic:nvPicPr>
                        <pic:blipFill>
                          <a:blip r:embed="rId17"/>
                          <a:stretch>
                            <a:fillRect/>
                          </a:stretch>
                        </pic:blipFill>
                        <pic:spPr>
                          <a:xfrm>
                            <a:off x="0" y="0"/>
                            <a:ext cx="2313432" cy="2057400"/>
                          </a:xfrm>
                          <a:prstGeom prst="rect">
                            <a:avLst/>
                          </a:prstGeom>
                        </pic:spPr>
                      </pic:pic>
                    </a:graphicData>
                  </a:graphic>
                </wp:inline>
              </w:drawing>
            </w:r>
          </w:p>
        </w:tc>
      </w:tr>
      <w:tr w:rsidR="00F666C6" w14:paraId="2CA02567" w14:textId="77777777" w:rsidTr="00042829">
        <w:trPr>
          <w:jc w:val="center"/>
        </w:trPr>
        <w:tc>
          <w:tcPr>
            <w:tcW w:w="9252" w:type="dxa"/>
          </w:tcPr>
          <w:p w14:paraId="3123271C" w14:textId="2F090731" w:rsidR="00F666C6" w:rsidRPr="003A58AD" w:rsidRDefault="00F666C6" w:rsidP="001B5B0C">
            <w:pPr>
              <w:pStyle w:val="References"/>
              <w:spacing w:before="40" w:after="40"/>
              <w:ind w:firstLine="0"/>
              <w:rPr>
                <w:b/>
                <w:bCs/>
              </w:rPr>
            </w:pPr>
            <w:r>
              <w:rPr>
                <w:b/>
                <w:bCs/>
              </w:rPr>
              <w:t xml:space="preserve">Figure </w:t>
            </w:r>
            <w:r w:rsidR="004B0B33">
              <w:rPr>
                <w:b/>
                <w:bCs/>
              </w:rPr>
              <w:t>6</w:t>
            </w:r>
            <w:r>
              <w:rPr>
                <w:b/>
                <w:bCs/>
              </w:rPr>
              <w:t>.</w:t>
            </w:r>
            <w:r w:rsidR="001B5B0C">
              <w:rPr>
                <w:b/>
                <w:bCs/>
              </w:rPr>
              <w:t xml:space="preserve"> </w:t>
            </w:r>
            <w:r w:rsidR="001B5B0C" w:rsidRPr="001B5B0C">
              <w:rPr>
                <w:b/>
                <w:bCs/>
              </w:rPr>
              <w:t xml:space="preserve">Comparison of transmission coefficients from </w:t>
            </w:r>
            <w:r w:rsidR="001B5B0C" w:rsidRPr="00042829">
              <w:rPr>
                <w:b/>
                <w:bCs/>
                <w:i/>
                <w:iCs/>
                <w:smallCaps/>
              </w:rPr>
              <w:t>M</w:t>
            </w:r>
            <w:r w:rsidR="00042829">
              <w:rPr>
                <w:b/>
                <w:bCs/>
                <w:i/>
                <w:iCs/>
                <w:smallCaps/>
              </w:rPr>
              <w:t>odtran</w:t>
            </w:r>
            <w:r w:rsidR="001B5B0C" w:rsidRPr="001B5B0C">
              <w:rPr>
                <w:b/>
                <w:bCs/>
              </w:rPr>
              <w:t xml:space="preserve"> and </w:t>
            </w:r>
            <w:r w:rsidR="001B5B0C" w:rsidRPr="00042829">
              <w:rPr>
                <w:b/>
                <w:bCs/>
                <w:i/>
                <w:iCs/>
                <w:smallCaps/>
              </w:rPr>
              <w:t>N</w:t>
            </w:r>
            <w:r w:rsidR="00042829">
              <w:rPr>
                <w:b/>
                <w:bCs/>
                <w:i/>
                <w:iCs/>
                <w:smallCaps/>
              </w:rPr>
              <w:t>eqair</w:t>
            </w:r>
            <w:r w:rsidR="001B5B0C" w:rsidRPr="001B5B0C">
              <w:rPr>
                <w:b/>
                <w:bCs/>
              </w:rPr>
              <w:t xml:space="preserve">. The </w:t>
            </w:r>
            <w:r w:rsidR="001B5B0C" w:rsidRPr="00042829">
              <w:rPr>
                <w:b/>
                <w:bCs/>
                <w:i/>
                <w:iCs/>
                <w:smallCaps/>
              </w:rPr>
              <w:t>N</w:t>
            </w:r>
            <w:r w:rsidR="00042829">
              <w:rPr>
                <w:b/>
                <w:bCs/>
                <w:i/>
                <w:iCs/>
                <w:smallCaps/>
              </w:rPr>
              <w:t>eqair</w:t>
            </w:r>
            <w:r w:rsidR="001B5B0C" w:rsidRPr="001B5B0C">
              <w:rPr>
                <w:b/>
                <w:bCs/>
              </w:rPr>
              <w:t xml:space="preserve"> result does not include any particulate scattering, but does include Rayleigh scattering, photodissociation and line-by-line absorption coefficient.</w:t>
            </w:r>
          </w:p>
        </w:tc>
      </w:tr>
    </w:tbl>
    <w:p w14:paraId="3CB84471" w14:textId="77777777" w:rsidR="002560ED" w:rsidRDefault="002560ED" w:rsidP="002560ED">
      <w:pPr>
        <w:pStyle w:val="Text"/>
        <w:ind w:left="575" w:firstLine="0"/>
      </w:pPr>
    </w:p>
    <w:p w14:paraId="04267CD2" w14:textId="478C0C0D" w:rsidR="002560ED" w:rsidRPr="00970F86" w:rsidRDefault="00731940" w:rsidP="002560ED">
      <w:pPr>
        <w:pStyle w:val="Text"/>
        <w:numPr>
          <w:ilvl w:val="0"/>
          <w:numId w:val="30"/>
        </w:numPr>
        <w:ind w:left="360"/>
        <w:rPr>
          <w:b/>
          <w:bCs/>
        </w:rPr>
      </w:pPr>
      <w:r>
        <w:rPr>
          <w:b/>
          <w:bCs/>
        </w:rPr>
        <w:t>Spectral Irradiance</w:t>
      </w:r>
    </w:p>
    <w:p w14:paraId="538F28A1" w14:textId="415DF1CF" w:rsidR="002560ED" w:rsidRDefault="00042829" w:rsidP="002560ED">
      <w:pPr>
        <w:pStyle w:val="Text"/>
        <w:ind w:firstLine="270"/>
      </w:pPr>
      <w:r w:rsidRPr="00597284">
        <w:rPr>
          <w:color w:val="000000" w:themeColor="text1"/>
        </w:rPr>
        <w:t>The final step is to convolve the high-resolution spectral irradiance with the instrument slit function.</w:t>
      </w:r>
      <w:r>
        <w:rPr>
          <w:color w:val="000000" w:themeColor="text1"/>
        </w:rPr>
        <w:t xml:space="preserve"> In the present work,</w:t>
      </w:r>
      <w:r w:rsidRPr="00597284">
        <w:rPr>
          <w:color w:val="000000" w:themeColor="text1"/>
        </w:rPr>
        <w:t xml:space="preserve"> </w:t>
      </w:r>
      <w:r>
        <w:rPr>
          <w:color w:val="000000" w:themeColor="text1"/>
        </w:rPr>
        <w:t>i</w:t>
      </w:r>
      <w:r w:rsidRPr="00597284">
        <w:rPr>
          <w:color w:val="000000" w:themeColor="text1"/>
        </w:rPr>
        <w:t>t is assumed that the slit function is Gaussian</w:t>
      </w:r>
      <w:r>
        <w:rPr>
          <w:color w:val="000000" w:themeColor="text1"/>
        </w:rPr>
        <w:t xml:space="preserve">. The </w:t>
      </w:r>
      <w:r w:rsidRPr="00597284">
        <w:rPr>
          <w:color w:val="000000" w:themeColor="text1"/>
        </w:rPr>
        <w:t>full-width at half maximum (F</w:t>
      </w:r>
      <w:r>
        <w:rPr>
          <w:color w:val="000000" w:themeColor="text1"/>
        </w:rPr>
        <w:t>WH</w:t>
      </w:r>
      <w:r w:rsidRPr="00597284">
        <w:rPr>
          <w:color w:val="000000" w:themeColor="text1"/>
        </w:rPr>
        <w:t>M)</w:t>
      </w:r>
      <w:r>
        <w:rPr>
          <w:color w:val="000000" w:themeColor="text1"/>
        </w:rPr>
        <w:t xml:space="preserve"> depends on the instrument. Since these values were not available at the time of writing this paper, a value of 0.84 nm of the CALSPEC instrument (from the Hayabusa2 imaging campaign </w:t>
      </w:r>
      <w:r w:rsidRPr="004B0B33">
        <w:rPr>
          <w:color w:val="FF0000"/>
        </w:rPr>
        <w:t>[</w:t>
      </w:r>
      <w:r w:rsidR="00685005">
        <w:rPr>
          <w:color w:val="FF0000"/>
        </w:rPr>
        <w:t>12</w:t>
      </w:r>
      <w:r w:rsidRPr="004B0B33">
        <w:rPr>
          <w:color w:val="FF0000"/>
        </w:rPr>
        <w:t>]</w:t>
      </w:r>
      <w:r>
        <w:rPr>
          <w:color w:val="000000" w:themeColor="text1"/>
        </w:rPr>
        <w:t>) is used as a representative value of FWHM.</w:t>
      </w:r>
      <w:r w:rsidRPr="00597284">
        <w:rPr>
          <w:color w:val="000000" w:themeColor="text1"/>
        </w:rPr>
        <w:t xml:space="preserve"> </w:t>
      </w:r>
      <w:r>
        <w:rPr>
          <w:color w:val="000000" w:themeColor="text1"/>
        </w:rPr>
        <w:t xml:space="preserve">The convolution is then performed by </w:t>
      </w:r>
      <w:r w:rsidRPr="00993006">
        <w:rPr>
          <w:i/>
          <w:iCs/>
          <w:smallCaps/>
          <w:color w:val="000000" w:themeColor="text1"/>
        </w:rPr>
        <w:t>Neqair</w:t>
      </w:r>
      <w:r w:rsidRPr="003D6A7E">
        <w:rPr>
          <w:color w:val="000000" w:themeColor="text1"/>
        </w:rPr>
        <w:t xml:space="preserve"> </w:t>
      </w:r>
      <w:r>
        <w:rPr>
          <w:color w:val="000000" w:themeColor="text1"/>
        </w:rPr>
        <w:t>to obtain the</w:t>
      </w:r>
      <w:r w:rsidRPr="003D6A7E">
        <w:rPr>
          <w:color w:val="000000" w:themeColor="text1"/>
        </w:rPr>
        <w:t xml:space="preserve"> scanned spectral irradiance</w:t>
      </w:r>
      <w:r>
        <w:t>, thus allowing direct comparison of predictions and measurements.</w:t>
      </w:r>
    </w:p>
    <w:p w14:paraId="705678CE" w14:textId="77777777" w:rsidR="00984F4D" w:rsidRDefault="00984F4D" w:rsidP="00984F4D">
      <w:pPr>
        <w:pStyle w:val="Text"/>
        <w:ind w:left="575" w:firstLine="0"/>
      </w:pPr>
    </w:p>
    <w:p w14:paraId="7DA56DE7" w14:textId="541E728A" w:rsidR="00984F4D" w:rsidRPr="00984F4D" w:rsidRDefault="00984F4D" w:rsidP="00984F4D">
      <w:pPr>
        <w:pStyle w:val="Text"/>
        <w:numPr>
          <w:ilvl w:val="0"/>
          <w:numId w:val="30"/>
        </w:numPr>
        <w:ind w:left="360"/>
        <w:rPr>
          <w:b/>
          <w:bCs/>
        </w:rPr>
      </w:pPr>
      <w:r>
        <w:rPr>
          <w:b/>
          <w:bCs/>
        </w:rPr>
        <w:t>Temporal Variation of Irradiance</w:t>
      </w:r>
    </w:p>
    <w:p w14:paraId="034214A6" w14:textId="1E93D27C" w:rsidR="00042829" w:rsidRPr="00474B3F" w:rsidRDefault="00042829" w:rsidP="002560ED">
      <w:pPr>
        <w:pStyle w:val="Text"/>
        <w:ind w:firstLine="270"/>
      </w:pPr>
      <w:r>
        <w:t xml:space="preserve">Putting together all of the steps discussed so far results in the waterfall plots (Figs. </w:t>
      </w:r>
      <w:r w:rsidR="00960B4B">
        <w:t>7</w:t>
      </w:r>
      <w:r>
        <w:t xml:space="preserve">a and </w:t>
      </w:r>
      <w:r w:rsidR="00960B4B">
        <w:t>7</w:t>
      </w:r>
      <w:r>
        <w:t>b) of irradiance for the two NASA aircraft – N992 and N522.</w:t>
      </w:r>
      <w:r w:rsidR="00474B3F">
        <w:t xml:space="preserve"> The differences in the predictions for the two aircraft are interesting in that N522, which is less influenced by the surface temperature of the SRC, shows stronger atomic line emission </w:t>
      </w:r>
      <w:r w:rsidR="00474B3F">
        <w:rPr>
          <w:i/>
          <w:iCs/>
        </w:rPr>
        <w:t>and</w:t>
      </w:r>
      <w:r w:rsidR="00474B3F">
        <w:t xml:space="preserve"> increased emission signature at the low wavelength end</w:t>
      </w:r>
      <w:r w:rsidR="003E23EC">
        <w:t xml:space="preserve"> towards the end of the measurement period</w:t>
      </w:r>
      <w:r w:rsidR="00474B3F">
        <w:t>. Some of these differences remain to be investigated.</w:t>
      </w:r>
    </w:p>
    <w:p w14:paraId="3E7B9880" w14:textId="77777777" w:rsidR="00F666C6" w:rsidRDefault="00F666C6" w:rsidP="004C190D">
      <w:pPr>
        <w:pStyle w:val="Text"/>
        <w:ind w:left="575" w:firstLine="0"/>
      </w:pPr>
    </w:p>
    <w:tbl>
      <w:tblPr>
        <w:tblStyle w:val="TableGrid"/>
        <w:tblW w:w="9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896"/>
      </w:tblGrid>
      <w:tr w:rsidR="00F6261B" w14:paraId="3FDCC41F" w14:textId="77777777" w:rsidTr="00042829">
        <w:trPr>
          <w:jc w:val="center"/>
        </w:trPr>
        <w:tc>
          <w:tcPr>
            <w:tcW w:w="9342" w:type="dxa"/>
            <w:gridSpan w:val="2"/>
            <w:vAlign w:val="center"/>
          </w:tcPr>
          <w:p w14:paraId="7EEF5D57" w14:textId="77777777" w:rsidR="00F6261B" w:rsidRDefault="00F6261B" w:rsidP="00A26022">
            <w:pPr>
              <w:pStyle w:val="References"/>
              <w:spacing w:before="40"/>
              <w:ind w:firstLine="0"/>
              <w:jc w:val="center"/>
            </w:pPr>
            <w:r>
              <w:rPr>
                <w:noProof/>
              </w:rPr>
              <w:drawing>
                <wp:inline distT="0" distB="0" distL="0" distR="0" wp14:anchorId="68B0BD28" wp14:editId="27E99146">
                  <wp:extent cx="5138928" cy="2286000"/>
                  <wp:effectExtent l="0" t="0" r="5080" b="0"/>
                  <wp:docPr id="186497169" name="Picture 10"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7169" name="Picture 10" descr="A diagram of a graph&#10;&#10;Description automatically generated with medium confidence"/>
                          <pic:cNvPicPr/>
                        </pic:nvPicPr>
                        <pic:blipFill>
                          <a:blip r:embed="rId18"/>
                          <a:stretch>
                            <a:fillRect/>
                          </a:stretch>
                        </pic:blipFill>
                        <pic:spPr>
                          <a:xfrm>
                            <a:off x="0" y="0"/>
                            <a:ext cx="5138928" cy="2286000"/>
                          </a:xfrm>
                          <a:prstGeom prst="rect">
                            <a:avLst/>
                          </a:prstGeom>
                        </pic:spPr>
                      </pic:pic>
                    </a:graphicData>
                  </a:graphic>
                </wp:inline>
              </w:drawing>
            </w:r>
          </w:p>
        </w:tc>
      </w:tr>
      <w:tr w:rsidR="00F6261B" w14:paraId="76A513CA" w14:textId="77777777" w:rsidTr="00042829">
        <w:trPr>
          <w:jc w:val="center"/>
        </w:trPr>
        <w:tc>
          <w:tcPr>
            <w:tcW w:w="4446" w:type="dxa"/>
          </w:tcPr>
          <w:p w14:paraId="135CBA4C" w14:textId="77777777" w:rsidR="00F6261B" w:rsidRPr="003A58AD" w:rsidRDefault="00F6261B" w:rsidP="00A26022">
            <w:pPr>
              <w:pStyle w:val="References"/>
              <w:spacing w:before="40" w:after="40"/>
              <w:ind w:firstLine="0"/>
              <w:jc w:val="center"/>
              <w:rPr>
                <w:b/>
                <w:bCs/>
              </w:rPr>
            </w:pPr>
            <w:r>
              <w:rPr>
                <w:b/>
                <w:bCs/>
              </w:rPr>
              <w:t>(a) N992</w:t>
            </w:r>
          </w:p>
        </w:tc>
        <w:tc>
          <w:tcPr>
            <w:tcW w:w="4896" w:type="dxa"/>
          </w:tcPr>
          <w:p w14:paraId="6763B1B3" w14:textId="77777777" w:rsidR="00F6261B" w:rsidRPr="003A58AD" w:rsidRDefault="00F6261B" w:rsidP="00A26022">
            <w:pPr>
              <w:pStyle w:val="References"/>
              <w:spacing w:before="40" w:after="40"/>
              <w:ind w:firstLine="0"/>
              <w:jc w:val="center"/>
              <w:rPr>
                <w:b/>
                <w:bCs/>
              </w:rPr>
            </w:pPr>
            <w:r>
              <w:rPr>
                <w:b/>
                <w:bCs/>
              </w:rPr>
              <w:t>(b) N522</w:t>
            </w:r>
          </w:p>
        </w:tc>
      </w:tr>
      <w:tr w:rsidR="00F6261B" w14:paraId="17A2C05A" w14:textId="77777777" w:rsidTr="00042829">
        <w:trPr>
          <w:jc w:val="center"/>
        </w:trPr>
        <w:tc>
          <w:tcPr>
            <w:tcW w:w="9342" w:type="dxa"/>
            <w:gridSpan w:val="2"/>
          </w:tcPr>
          <w:p w14:paraId="35F51E93" w14:textId="7D3D8413" w:rsidR="00F6261B" w:rsidRPr="003A58AD" w:rsidRDefault="00F6261B" w:rsidP="004A6E21">
            <w:pPr>
              <w:pStyle w:val="References"/>
              <w:spacing w:before="40" w:after="40"/>
              <w:ind w:firstLine="0"/>
              <w:rPr>
                <w:b/>
                <w:bCs/>
              </w:rPr>
            </w:pPr>
            <w:r>
              <w:rPr>
                <w:b/>
                <w:bCs/>
              </w:rPr>
              <w:t xml:space="preserve">Figure </w:t>
            </w:r>
            <w:r w:rsidR="00960B4B">
              <w:rPr>
                <w:b/>
                <w:bCs/>
              </w:rPr>
              <w:t>7</w:t>
            </w:r>
            <w:r>
              <w:rPr>
                <w:b/>
                <w:bCs/>
              </w:rPr>
              <w:t>.</w:t>
            </w:r>
            <w:r w:rsidR="004A6E21">
              <w:rPr>
                <w:b/>
                <w:bCs/>
              </w:rPr>
              <w:t xml:space="preserve"> Spectral i</w:t>
            </w:r>
            <w:r w:rsidR="004A6E21" w:rsidRPr="004A6E21">
              <w:rPr>
                <w:b/>
                <w:bCs/>
              </w:rPr>
              <w:t xml:space="preserve">rradiance (in units of </w:t>
            </w:r>
            <w:r w:rsidR="004A6E21" w:rsidRPr="004A6E21">
              <w:rPr>
                <w:rFonts w:ascii="Symbol" w:hAnsi="Symbol"/>
                <w:b/>
                <w:bCs/>
              </w:rPr>
              <w:t></w:t>
            </w:r>
            <w:r w:rsidR="004A6E21" w:rsidRPr="004A6E21">
              <w:rPr>
                <w:b/>
                <w:bCs/>
              </w:rPr>
              <w:t>W.m</w:t>
            </w:r>
            <w:r w:rsidR="004A6E21" w:rsidRPr="004A6E21">
              <w:rPr>
                <w:b/>
                <w:bCs/>
                <w:vertAlign w:val="superscript"/>
              </w:rPr>
              <w:t>-2</w:t>
            </w:r>
            <w:r w:rsidR="004A6E21" w:rsidRPr="004A6E21">
              <w:rPr>
                <w:b/>
                <w:bCs/>
              </w:rPr>
              <w:t>.</w:t>
            </w:r>
            <w:r w:rsidR="004A6E21" w:rsidRPr="004A6E21">
              <w:rPr>
                <w:rFonts w:ascii="Symbol" w:hAnsi="Symbol"/>
                <w:b/>
                <w:bCs/>
              </w:rPr>
              <w:t></w:t>
            </w:r>
            <w:r w:rsidR="004A6E21" w:rsidRPr="004A6E21">
              <w:rPr>
                <w:b/>
                <w:bCs/>
              </w:rPr>
              <w:t>m</w:t>
            </w:r>
            <w:r w:rsidR="004A6E21" w:rsidRPr="004A6E21">
              <w:rPr>
                <w:b/>
                <w:bCs/>
                <w:vertAlign w:val="superscript"/>
              </w:rPr>
              <w:t>-1</w:t>
            </w:r>
            <w:r w:rsidR="004A6E21" w:rsidRPr="004A6E21">
              <w:rPr>
                <w:b/>
                <w:bCs/>
              </w:rPr>
              <w:t xml:space="preserve">) as a function of time (in units of s) and wavelength (in units of nm) </w:t>
            </w:r>
            <w:r w:rsidR="004A6E21">
              <w:rPr>
                <w:b/>
                <w:bCs/>
              </w:rPr>
              <w:t xml:space="preserve">for: </w:t>
            </w:r>
            <w:r w:rsidR="004A6E21" w:rsidRPr="004A6E21">
              <w:rPr>
                <w:b/>
                <w:bCs/>
              </w:rPr>
              <w:t xml:space="preserve">(a) </w:t>
            </w:r>
            <w:r w:rsidR="004A6E21">
              <w:rPr>
                <w:b/>
                <w:bCs/>
              </w:rPr>
              <w:t>spectrometer on N992, and (b) for a spectrometer on N522. The spectral irradiances are computed by scanning the corresponding high-resolution irradiance with a gaussian function (representing the instrument slit) with a FHWM of 0.84 nm.</w:t>
            </w:r>
          </w:p>
        </w:tc>
      </w:tr>
    </w:tbl>
    <w:p w14:paraId="4ADF453F" w14:textId="77777777" w:rsidR="00A35F56" w:rsidRDefault="00A35F56"/>
    <w:p w14:paraId="7BC72A99" w14:textId="13C2A311" w:rsidR="00EB733B" w:rsidRDefault="008B7AFE" w:rsidP="00984F4D">
      <w:pPr>
        <w:pStyle w:val="Text"/>
        <w:ind w:firstLine="270"/>
      </w:pPr>
      <w:r>
        <w:rPr>
          <w:color w:val="000000" w:themeColor="text1"/>
        </w:rPr>
        <w:lastRenderedPageBreak/>
        <w:t xml:space="preserve">For </w:t>
      </w:r>
      <w:r>
        <w:rPr>
          <w:i/>
          <w:iCs/>
          <w:color w:val="000000" w:themeColor="text1"/>
        </w:rPr>
        <w:t>t</w:t>
      </w:r>
      <w:r>
        <w:rPr>
          <w:color w:val="000000" w:themeColor="text1"/>
        </w:rPr>
        <w:t xml:space="preserve"> = 53.5 s along the flight trajectory of the SRC, the computed spectral irradiances are shown in Figs. 8a and 8b for N992 and N522, respectively</w:t>
      </w:r>
      <w:r w:rsidR="00EB733B">
        <w:t>.</w:t>
      </w:r>
      <w:r>
        <w:t xml:space="preserve"> These figures provide the quantitative information corresponding to the contour plots shown in Figs. 5a–5c. The green curves in the two plots are for the case of a cold wall (</w:t>
      </w:r>
      <m:oMath>
        <m:sSub>
          <m:sSubPr>
            <m:ctrlPr>
              <w:rPr>
                <w:rFonts w:ascii="Cambria Math" w:hAnsi="Cambria Math"/>
                <w:i/>
              </w:rPr>
            </m:ctrlPr>
          </m:sSubPr>
          <m:e>
            <m:r>
              <w:rPr>
                <w:rFonts w:ascii="Cambria Math" w:hAnsi="Cambria Math"/>
              </w:rPr>
              <m:t>T</m:t>
            </m:r>
          </m:e>
          <m:sub>
            <m:r>
              <w:rPr>
                <w:rFonts w:ascii="Cambria Math" w:hAnsi="Cambria Math"/>
              </w:rPr>
              <m:t>w</m:t>
            </m:r>
          </m:sub>
        </m:sSub>
      </m:oMath>
      <w:r>
        <w:t xml:space="preserve"> = 300 K) with the computed shock layer. Since the wall temperature is low, there is negligibly small radiance from the surface. The spectral features seen are the lines of the atomic species N and O, and the band structure close to 300 nm is the N</w:t>
      </w:r>
      <w:r w:rsidRPr="008B7AFE">
        <w:rPr>
          <w:vertAlign w:val="subscript"/>
        </w:rPr>
        <w:t>2</w:t>
      </w:r>
      <w:r w:rsidRPr="008B7AFE">
        <w:rPr>
          <w:vertAlign w:val="superscript"/>
        </w:rPr>
        <w:t>+</w:t>
      </w:r>
      <w:r>
        <w:t xml:space="preserve"> 1</w:t>
      </w:r>
      <w:r w:rsidRPr="008B7AFE">
        <w:rPr>
          <w:vertAlign w:val="superscript"/>
        </w:rPr>
        <w:t>st</w:t>
      </w:r>
      <w:r>
        <w:t xml:space="preserve"> Negative system. The blue curve in each figure corresponds to the aerodynamically heated SRC imbedded in the ambient atmosphere, </w:t>
      </w:r>
      <w:r>
        <w:rPr>
          <w:i/>
          <w:iCs/>
        </w:rPr>
        <w:t>i.e.</w:t>
      </w:r>
      <w:r>
        <w:t>, there is not shock layer around the SRC</w:t>
      </w:r>
      <w:r w:rsidR="00A35D90">
        <w:t>. The irradiance is then simply that of a blackbody at the area-averaged value of temperature on the visible portion of the SRC. The red curve is the combination of the two solutions. The figures show that it is the areal portion of radiance that dominates over the volumetric portion. Although the disparity between the areal and volumetric portions is marked for N922, it is relatively less so for N522. The interesting feature in Fig. 8b is the influence on wall temperature on the band structure between 300–460 nm, and the cause remains to be investigated.</w:t>
      </w:r>
    </w:p>
    <w:p w14:paraId="1EC39F03" w14:textId="77777777" w:rsidR="00CE2249" w:rsidRDefault="00CE2249" w:rsidP="00CE2249">
      <w:pPr>
        <w:pStyle w:val="Text"/>
        <w:ind w:left="575" w:firstLine="0"/>
      </w:pPr>
    </w:p>
    <w:tbl>
      <w:tblPr>
        <w:tblStyle w:val="TableGrid"/>
        <w:tblW w:w="9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62"/>
      </w:tblGrid>
      <w:tr w:rsidR="00CE2249" w14:paraId="1C36DB6C" w14:textId="77777777" w:rsidTr="00092121">
        <w:trPr>
          <w:jc w:val="center"/>
        </w:trPr>
        <w:tc>
          <w:tcPr>
            <w:tcW w:w="9342" w:type="dxa"/>
            <w:gridSpan w:val="2"/>
            <w:vAlign w:val="center"/>
          </w:tcPr>
          <w:p w14:paraId="51B808CF" w14:textId="3397AA9C" w:rsidR="00CE2249" w:rsidRDefault="00CE2249" w:rsidP="00092121">
            <w:pPr>
              <w:pStyle w:val="References"/>
              <w:spacing w:before="40"/>
              <w:ind w:firstLine="0"/>
              <w:jc w:val="center"/>
            </w:pPr>
            <w:r>
              <w:rPr>
                <w:noProof/>
              </w:rPr>
              <w:drawing>
                <wp:inline distT="0" distB="0" distL="0" distR="0" wp14:anchorId="5C78E1C3" wp14:editId="42C8E785">
                  <wp:extent cx="4114800" cy="1828800"/>
                  <wp:effectExtent l="0" t="0" r="0" b="0"/>
                  <wp:docPr id="981249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49495" name="Picture 981249495"/>
                          <pic:cNvPicPr/>
                        </pic:nvPicPr>
                        <pic:blipFill>
                          <a:blip r:embed="rId19"/>
                          <a:stretch>
                            <a:fillRect/>
                          </a:stretch>
                        </pic:blipFill>
                        <pic:spPr>
                          <a:xfrm>
                            <a:off x="0" y="0"/>
                            <a:ext cx="4114800" cy="1828800"/>
                          </a:xfrm>
                          <a:prstGeom prst="rect">
                            <a:avLst/>
                          </a:prstGeom>
                        </pic:spPr>
                      </pic:pic>
                    </a:graphicData>
                  </a:graphic>
                </wp:inline>
              </w:drawing>
            </w:r>
          </w:p>
        </w:tc>
      </w:tr>
      <w:tr w:rsidR="00CE2249" w14:paraId="35122606" w14:textId="77777777" w:rsidTr="00CE2249">
        <w:trPr>
          <w:jc w:val="center"/>
        </w:trPr>
        <w:tc>
          <w:tcPr>
            <w:tcW w:w="4680" w:type="dxa"/>
          </w:tcPr>
          <w:p w14:paraId="7F8C7920" w14:textId="77777777" w:rsidR="00CE2249" w:rsidRPr="003A58AD" w:rsidRDefault="00CE2249" w:rsidP="00092121">
            <w:pPr>
              <w:pStyle w:val="References"/>
              <w:spacing w:before="40" w:after="40"/>
              <w:ind w:firstLine="0"/>
              <w:jc w:val="center"/>
              <w:rPr>
                <w:b/>
                <w:bCs/>
              </w:rPr>
            </w:pPr>
            <w:r>
              <w:rPr>
                <w:b/>
                <w:bCs/>
              </w:rPr>
              <w:t>(a) N992</w:t>
            </w:r>
          </w:p>
        </w:tc>
        <w:tc>
          <w:tcPr>
            <w:tcW w:w="4662" w:type="dxa"/>
          </w:tcPr>
          <w:p w14:paraId="4B0FB7FC" w14:textId="77777777" w:rsidR="00CE2249" w:rsidRPr="003A58AD" w:rsidRDefault="00CE2249" w:rsidP="00092121">
            <w:pPr>
              <w:pStyle w:val="References"/>
              <w:spacing w:before="40" w:after="40"/>
              <w:ind w:firstLine="0"/>
              <w:jc w:val="center"/>
              <w:rPr>
                <w:b/>
                <w:bCs/>
              </w:rPr>
            </w:pPr>
            <w:r>
              <w:rPr>
                <w:b/>
                <w:bCs/>
              </w:rPr>
              <w:t>(b) N522</w:t>
            </w:r>
          </w:p>
        </w:tc>
      </w:tr>
      <w:tr w:rsidR="00CE2249" w14:paraId="63F711B4" w14:textId="77777777" w:rsidTr="00092121">
        <w:trPr>
          <w:jc w:val="center"/>
        </w:trPr>
        <w:tc>
          <w:tcPr>
            <w:tcW w:w="9342" w:type="dxa"/>
            <w:gridSpan w:val="2"/>
          </w:tcPr>
          <w:p w14:paraId="1449881A" w14:textId="2964EABE" w:rsidR="00CE2249" w:rsidRPr="003A58AD" w:rsidRDefault="00CE2249" w:rsidP="00092121">
            <w:pPr>
              <w:pStyle w:val="References"/>
              <w:spacing w:before="40" w:after="40"/>
              <w:ind w:firstLine="0"/>
              <w:rPr>
                <w:b/>
                <w:bCs/>
              </w:rPr>
            </w:pPr>
            <w:r>
              <w:rPr>
                <w:b/>
                <w:bCs/>
              </w:rPr>
              <w:t xml:space="preserve">Figure </w:t>
            </w:r>
            <w:r w:rsidR="00EB733B">
              <w:rPr>
                <w:b/>
                <w:bCs/>
              </w:rPr>
              <w:t>8</w:t>
            </w:r>
            <w:r>
              <w:rPr>
                <w:b/>
                <w:bCs/>
              </w:rPr>
              <w:t xml:space="preserve">. </w:t>
            </w:r>
            <w:r w:rsidR="00984F4D">
              <w:rPr>
                <w:b/>
                <w:bCs/>
              </w:rPr>
              <w:t>Spectral irradiance</w:t>
            </w:r>
            <w:r w:rsidR="0039458A">
              <w:rPr>
                <w:b/>
                <w:bCs/>
              </w:rPr>
              <w:t xml:space="preserve"> at </w:t>
            </w:r>
            <w:r w:rsidR="0039458A">
              <w:rPr>
                <w:b/>
                <w:bCs/>
                <w:i/>
                <w:iCs/>
              </w:rPr>
              <w:t>t</w:t>
            </w:r>
            <w:r w:rsidR="0039458A">
              <w:rPr>
                <w:b/>
                <w:bCs/>
              </w:rPr>
              <w:t xml:space="preserve"> = 53.5 s</w:t>
            </w:r>
            <w:r w:rsidR="00984F4D">
              <w:rPr>
                <w:b/>
                <w:bCs/>
              </w:rPr>
              <w:t xml:space="preserve"> for: (a) </w:t>
            </w:r>
            <w:r w:rsidR="0039458A">
              <w:rPr>
                <w:b/>
                <w:bCs/>
              </w:rPr>
              <w:t>N992 for three solutions – hot wall+shock layer (red line), cold wall+shock layer (green line), and hot wall+ambient atmosphere (blue line)</w:t>
            </w:r>
            <w:r w:rsidR="00984F4D">
              <w:rPr>
                <w:b/>
                <w:bCs/>
              </w:rPr>
              <w:t>,</w:t>
            </w:r>
            <w:r w:rsidR="0039458A">
              <w:rPr>
                <w:b/>
                <w:bCs/>
              </w:rPr>
              <w:t xml:space="preserve"> and</w:t>
            </w:r>
            <w:r w:rsidR="00984F4D">
              <w:rPr>
                <w:b/>
                <w:bCs/>
              </w:rPr>
              <w:t xml:space="preserve"> (b) </w:t>
            </w:r>
            <w:r w:rsidR="0039458A">
              <w:rPr>
                <w:b/>
                <w:bCs/>
              </w:rPr>
              <w:t>N522 for three solutions – hot wall+shock layer (red line), cold wall+shock layer (green line), and hot wall+ambient atmosphere (blue line)</w:t>
            </w:r>
            <w:r w:rsidR="00984F4D">
              <w:rPr>
                <w:b/>
                <w:bCs/>
              </w:rPr>
              <w:t xml:space="preserve">. The slant range and view angle for </w:t>
            </w:r>
            <w:r w:rsidR="0039458A">
              <w:rPr>
                <w:b/>
                <w:bCs/>
              </w:rPr>
              <w:t>N992 are</w:t>
            </w:r>
            <w:r w:rsidR="00984F4D">
              <w:rPr>
                <w:b/>
                <w:bCs/>
              </w:rPr>
              <w:t xml:space="preserve"> 176 km and 14.1°, respectively</w:t>
            </w:r>
            <w:r w:rsidR="0039458A">
              <w:rPr>
                <w:b/>
                <w:bCs/>
              </w:rPr>
              <w:t>, and for N522 are 216.4 km and 92.8°, respectively.</w:t>
            </w:r>
          </w:p>
        </w:tc>
      </w:tr>
    </w:tbl>
    <w:p w14:paraId="031A1F5E" w14:textId="77777777" w:rsidR="00CE2249" w:rsidRDefault="00CE2249" w:rsidP="00EB733B">
      <w:pPr>
        <w:pStyle w:val="Text"/>
        <w:ind w:firstLine="0"/>
      </w:pPr>
    </w:p>
    <w:p w14:paraId="08236B28" w14:textId="2B70B332" w:rsidR="00731940" w:rsidRDefault="00731940" w:rsidP="00731940">
      <w:pPr>
        <w:pStyle w:val="Text"/>
        <w:ind w:firstLine="270"/>
      </w:pPr>
      <w:r>
        <w:t xml:space="preserve">Computed spectral irradiances over the extended wavelength range 1000-2100 nm are shown in Figs. 9a and 9b at </w:t>
      </w:r>
      <w:r>
        <w:rPr>
          <w:i/>
          <w:iCs/>
        </w:rPr>
        <w:t>t</w:t>
      </w:r>
      <w:r>
        <w:t xml:space="preserve"> = 53.5 s along the flight trajectory of the SRC. The spectral features in the IR wavelength range are not as intense as the features in the visible region. The wavelength corresponding to the peak irradiance from the areal contribution perhaps corresponds to a temperature given by Wien’s displacement law – </w:t>
      </w:r>
      <m:oMath>
        <m:sSub>
          <m:sSubPr>
            <m:ctrlPr>
              <w:rPr>
                <w:rFonts w:ascii="Cambria Math" w:hAnsi="Cambria Math"/>
                <w:i/>
              </w:rPr>
            </m:ctrlPr>
          </m:sSubPr>
          <m:e>
            <m:r>
              <w:rPr>
                <w:rFonts w:ascii="Cambria Math" w:hAnsi="Cambria Math"/>
              </w:rPr>
              <m:t>λ</m:t>
            </m:r>
          </m:e>
          <m:sub>
            <m:r>
              <m:rPr>
                <m:sty m:val="p"/>
              </m:rPr>
              <w:rPr>
                <w:rFonts w:ascii="Cambria Math" w:hAnsi="Cambria Math"/>
              </w:rPr>
              <m:t>peak</m:t>
            </m:r>
          </m:sub>
        </m:sSub>
        <m:r>
          <w:rPr>
            <w:rFonts w:ascii="Cambria Math" w:hAnsi="Cambria Math"/>
          </w:rPr>
          <m:t>=</m:t>
        </m:r>
        <m:f>
          <m:fPr>
            <m:type m:val="lin"/>
            <m:ctrlPr>
              <w:rPr>
                <w:rFonts w:ascii="Cambria Math" w:hAnsi="Cambria Math"/>
                <w:i/>
              </w:rPr>
            </m:ctrlPr>
          </m:fPr>
          <m:num>
            <m:r>
              <w:rPr>
                <w:rFonts w:ascii="Cambria Math" w:hAnsi="Cambria Math"/>
              </w:rPr>
              <m:t>b</m:t>
            </m:r>
          </m:num>
          <m:den>
            <m:r>
              <w:rPr>
                <w:rFonts w:ascii="Cambria Math" w:hAnsi="Cambria Math"/>
              </w:rPr>
              <m:t>T</m:t>
            </m:r>
          </m:den>
        </m:f>
      </m:oMath>
      <w:r>
        <w:t xml:space="preserve">, </w:t>
      </w:r>
      <m:oMath>
        <m:r>
          <w:rPr>
            <w:rFonts w:ascii="Cambria Math" w:hAnsi="Cambria Math"/>
          </w:rPr>
          <m:t>b</m:t>
        </m:r>
      </m:oMath>
      <w:r>
        <w:t xml:space="preserve"> ≈ 2898 µm.K. Whether the inferred temperature corresponds to an area-averaged temperature remains to be investigated.</w:t>
      </w:r>
    </w:p>
    <w:p w14:paraId="0382EF42" w14:textId="77777777" w:rsidR="00731940" w:rsidRDefault="00731940" w:rsidP="00EB733B">
      <w:pPr>
        <w:pStyle w:val="Text"/>
        <w:ind w:firstLine="0"/>
      </w:pPr>
    </w:p>
    <w:tbl>
      <w:tblPr>
        <w:tblStyle w:val="TableGrid"/>
        <w:tblW w:w="9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62"/>
      </w:tblGrid>
      <w:tr w:rsidR="00CE2249" w14:paraId="44D681EC" w14:textId="77777777" w:rsidTr="00092121">
        <w:trPr>
          <w:jc w:val="center"/>
        </w:trPr>
        <w:tc>
          <w:tcPr>
            <w:tcW w:w="9342" w:type="dxa"/>
            <w:gridSpan w:val="2"/>
            <w:vAlign w:val="center"/>
          </w:tcPr>
          <w:p w14:paraId="1C31FD7E" w14:textId="34EDBF43" w:rsidR="00CE2249" w:rsidRDefault="00CE2249" w:rsidP="00092121">
            <w:pPr>
              <w:pStyle w:val="References"/>
              <w:spacing w:before="40"/>
              <w:ind w:firstLine="0"/>
              <w:jc w:val="center"/>
            </w:pPr>
            <w:r>
              <w:rPr>
                <w:noProof/>
              </w:rPr>
              <w:drawing>
                <wp:inline distT="0" distB="0" distL="0" distR="0" wp14:anchorId="1FCF45D5" wp14:editId="3066A7D8">
                  <wp:extent cx="4114800" cy="1828800"/>
                  <wp:effectExtent l="0" t="0" r="0" b="0"/>
                  <wp:docPr id="1861981860" name="Picture 2" descr="A comparison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81860" name="Picture 2" descr="A comparison of a graph&#10;&#10;Description automatically generated"/>
                          <pic:cNvPicPr/>
                        </pic:nvPicPr>
                        <pic:blipFill>
                          <a:blip r:embed="rId20"/>
                          <a:stretch>
                            <a:fillRect/>
                          </a:stretch>
                        </pic:blipFill>
                        <pic:spPr>
                          <a:xfrm>
                            <a:off x="0" y="0"/>
                            <a:ext cx="4114800" cy="1828800"/>
                          </a:xfrm>
                          <a:prstGeom prst="rect">
                            <a:avLst/>
                          </a:prstGeom>
                        </pic:spPr>
                      </pic:pic>
                    </a:graphicData>
                  </a:graphic>
                </wp:inline>
              </w:drawing>
            </w:r>
          </w:p>
        </w:tc>
      </w:tr>
      <w:tr w:rsidR="00CE2249" w14:paraId="2FCC094C" w14:textId="77777777" w:rsidTr="00CE2249">
        <w:trPr>
          <w:jc w:val="center"/>
        </w:trPr>
        <w:tc>
          <w:tcPr>
            <w:tcW w:w="4680" w:type="dxa"/>
          </w:tcPr>
          <w:p w14:paraId="74431F96" w14:textId="77777777" w:rsidR="00CE2249" w:rsidRPr="003A58AD" w:rsidRDefault="00CE2249" w:rsidP="00092121">
            <w:pPr>
              <w:pStyle w:val="References"/>
              <w:spacing w:before="40" w:after="40"/>
              <w:ind w:firstLine="0"/>
              <w:jc w:val="center"/>
              <w:rPr>
                <w:b/>
                <w:bCs/>
              </w:rPr>
            </w:pPr>
            <w:r>
              <w:rPr>
                <w:b/>
                <w:bCs/>
              </w:rPr>
              <w:t>(a) N992</w:t>
            </w:r>
          </w:p>
        </w:tc>
        <w:tc>
          <w:tcPr>
            <w:tcW w:w="4662" w:type="dxa"/>
          </w:tcPr>
          <w:p w14:paraId="4E1FAA10" w14:textId="77777777" w:rsidR="00CE2249" w:rsidRPr="003A58AD" w:rsidRDefault="00CE2249" w:rsidP="00092121">
            <w:pPr>
              <w:pStyle w:val="References"/>
              <w:spacing w:before="40" w:after="40"/>
              <w:ind w:firstLine="0"/>
              <w:jc w:val="center"/>
              <w:rPr>
                <w:b/>
                <w:bCs/>
              </w:rPr>
            </w:pPr>
            <w:r>
              <w:rPr>
                <w:b/>
                <w:bCs/>
              </w:rPr>
              <w:t>(b) N522</w:t>
            </w:r>
          </w:p>
        </w:tc>
      </w:tr>
      <w:tr w:rsidR="00CE2249" w14:paraId="68E154D7" w14:textId="77777777" w:rsidTr="00092121">
        <w:trPr>
          <w:jc w:val="center"/>
        </w:trPr>
        <w:tc>
          <w:tcPr>
            <w:tcW w:w="9342" w:type="dxa"/>
            <w:gridSpan w:val="2"/>
          </w:tcPr>
          <w:p w14:paraId="418D6826" w14:textId="6D664636" w:rsidR="00CE2249" w:rsidRPr="003A58AD" w:rsidRDefault="00CE2249" w:rsidP="00092121">
            <w:pPr>
              <w:pStyle w:val="References"/>
              <w:spacing w:before="40" w:after="40"/>
              <w:ind w:firstLine="0"/>
              <w:rPr>
                <w:b/>
                <w:bCs/>
              </w:rPr>
            </w:pPr>
            <w:r>
              <w:rPr>
                <w:b/>
                <w:bCs/>
              </w:rPr>
              <w:t xml:space="preserve">Figure </w:t>
            </w:r>
            <w:r w:rsidR="00EB733B">
              <w:rPr>
                <w:b/>
                <w:bCs/>
              </w:rPr>
              <w:t>9</w:t>
            </w:r>
            <w:r>
              <w:rPr>
                <w:b/>
                <w:bCs/>
              </w:rPr>
              <w:t xml:space="preserve">. </w:t>
            </w:r>
            <w:r w:rsidR="0039458A">
              <w:rPr>
                <w:b/>
                <w:bCs/>
              </w:rPr>
              <w:t xml:space="preserve">Spectral irradiance at </w:t>
            </w:r>
            <w:r w:rsidR="0039458A">
              <w:rPr>
                <w:b/>
                <w:bCs/>
                <w:i/>
                <w:iCs/>
              </w:rPr>
              <w:t>t</w:t>
            </w:r>
            <w:r w:rsidR="0039458A">
              <w:rPr>
                <w:b/>
                <w:bCs/>
              </w:rPr>
              <w:t xml:space="preserve"> = 53.5 s for: (a) N992 for three wavelength regions – 300-1000 nm (red line), 1000-1700 nm (green line), and 1700-2100 nm (blue line), and (b) N522 for three wavelength regions – 300-1000 nm (red line), 1000-1700 nm (green line), and 1700-2100 nm (blue line). The slant range and view angle for N992 are 176 km and 14.1°, respectively, and for N522 are 216.4 km and 92.8°, respectively.</w:t>
            </w:r>
          </w:p>
        </w:tc>
      </w:tr>
    </w:tbl>
    <w:p w14:paraId="1699FF76" w14:textId="77777777" w:rsidR="00CE2249" w:rsidRDefault="00CE2249" w:rsidP="00A35F56">
      <w:pPr>
        <w:pStyle w:val="Text"/>
        <w:ind w:firstLine="270"/>
      </w:pPr>
    </w:p>
    <w:p w14:paraId="5B680DA5" w14:textId="79F4EC47" w:rsidR="00CE2249" w:rsidRDefault="00CE2249" w:rsidP="00CE2249">
      <w:pPr>
        <w:pStyle w:val="Text"/>
        <w:ind w:firstLine="270"/>
      </w:pPr>
      <w:r>
        <w:t xml:space="preserve">At this point, all simulations needed for pre-flight predictions of irradiance levels to be expected for different instruments are complete. Since the simulations are based on somewhat conservative assumptions of a fully catalytic wall and a passive surface, </w:t>
      </w:r>
      <w:r>
        <w:rPr>
          <w:i/>
          <w:iCs/>
        </w:rPr>
        <w:t>i.e.</w:t>
      </w:r>
      <w:r>
        <w:t xml:space="preserve">, the thermal protection material does not respond to the imposed aerothermal environments, the predicted spectral irradiances should be considered upper bounds. In reality, the material thermal response will </w:t>
      </w:r>
      <w:r>
        <w:rPr>
          <w:i/>
          <w:iCs/>
        </w:rPr>
        <w:t>decrease</w:t>
      </w:r>
      <w:r>
        <w:t xml:space="preserve"> the surface temperature at every time point, thus reducing the areal contribution to radiance; the volumetric contribution from the shock layer depends only on the chemical kinetics and thermodynamic properties of the constituent species.</w:t>
      </w:r>
      <w:r w:rsidR="001249BA">
        <w:t xml:space="preserve"> Since spectral irradiance is dominated by the areal contribution of the SRC, comparison of baseline predictions (axisymmetric, laminar flow, and fully catalytic surface) with spectrometric measurements will allow exploration of the role of material response (including surface catalycity) and perhaps flow transition as well. Furthermore, computations of the 3D flow fields around the SRC will allow the exploration of the influence of angle of attack as well.</w:t>
      </w:r>
    </w:p>
    <w:p w14:paraId="2250E134" w14:textId="669D6334" w:rsidR="00112093" w:rsidRPr="008678FB" w:rsidRDefault="002C5DA8" w:rsidP="00B33D94">
      <w:pPr>
        <w:pStyle w:val="Text"/>
        <w:ind w:firstLine="270"/>
      </w:pPr>
      <w:r>
        <w:t>The methodology developed thus far is useful in verifying some aspects of shock-layer chemical kinetics and gas-surface interaction</w:t>
      </w:r>
      <w:r w:rsidR="00B33D94">
        <w:t>.</w:t>
      </w:r>
      <w:r>
        <w:t xml:space="preserve"> </w:t>
      </w:r>
      <w:r w:rsidR="00A077F8">
        <w:t xml:space="preserve">Since the radiating SRC is essentially a point source to the instrument onboard the aircraft, spectrometric measurements are spatially averaged values of radiance, </w:t>
      </w:r>
      <w:r w:rsidR="001249BA">
        <w:rPr>
          <w:i/>
          <w:iCs/>
        </w:rPr>
        <w:t>i.e.</w:t>
      </w:r>
      <w:r w:rsidR="001249BA">
        <w:t xml:space="preserve">, any spatial gradient information is lost. However, that does not preclude the use of the methodology to explore/explain spectral features seen in the measurements. For instance, irradiance measurements have always shown spectral lines corresponding to Na (sodium), Ca (calcium), K (potassium), and H (hydrogen), and band features corresponding to CN (see </w:t>
      </w:r>
      <w:r w:rsidR="001249BA" w:rsidRPr="001249BA">
        <w:rPr>
          <w:color w:val="FF0000"/>
        </w:rPr>
        <w:t>[</w:t>
      </w:r>
      <w:r w:rsidR="00626FFA">
        <w:rPr>
          <w:color w:val="FF0000"/>
        </w:rPr>
        <w:t>12</w:t>
      </w:r>
      <w:r w:rsidR="001249BA" w:rsidRPr="001249BA">
        <w:rPr>
          <w:color w:val="FF0000"/>
        </w:rPr>
        <w:t>]</w:t>
      </w:r>
      <w:r w:rsidR="001249BA">
        <w:t xml:space="preserve">, </w:t>
      </w:r>
      <w:r w:rsidR="008C5F85" w:rsidRPr="001249BA">
        <w:rPr>
          <w:color w:val="FF0000"/>
        </w:rPr>
        <w:t>[</w:t>
      </w:r>
      <w:r w:rsidR="008C5F85">
        <w:rPr>
          <w:color w:val="FF0000"/>
        </w:rPr>
        <w:t>23</w:t>
      </w:r>
      <w:r w:rsidR="008C5F85" w:rsidRPr="001249BA">
        <w:rPr>
          <w:color w:val="FF0000"/>
        </w:rPr>
        <w:t>]</w:t>
      </w:r>
      <w:r w:rsidR="008C5F85">
        <w:t xml:space="preserve">, </w:t>
      </w:r>
      <w:r w:rsidR="001249BA" w:rsidRPr="001249BA">
        <w:rPr>
          <w:color w:val="FF0000"/>
        </w:rPr>
        <w:t>[</w:t>
      </w:r>
      <w:r w:rsidR="00626FFA">
        <w:rPr>
          <w:color w:val="FF0000"/>
        </w:rPr>
        <w:t>2</w:t>
      </w:r>
      <w:r w:rsidR="008C5F85">
        <w:rPr>
          <w:color w:val="FF0000"/>
        </w:rPr>
        <w:t>4</w:t>
      </w:r>
      <w:r w:rsidR="001249BA" w:rsidRPr="001249BA">
        <w:rPr>
          <w:color w:val="FF0000"/>
        </w:rPr>
        <w:t>]</w:t>
      </w:r>
      <w:r w:rsidR="001249BA">
        <w:t>). These features are commonly attributed</w:t>
      </w:r>
      <w:r w:rsidR="008678FB">
        <w:t xml:space="preserve"> to emissions from pyrolysis products from the thermal protection material</w:t>
      </w:r>
      <w:r w:rsidR="00A41AB8">
        <w:t xml:space="preserve"> </w:t>
      </w:r>
      <w:r w:rsidR="00A41AB8" w:rsidRPr="00A41AB8">
        <w:rPr>
          <w:color w:val="FF0000"/>
        </w:rPr>
        <w:t>[25]</w:t>
      </w:r>
      <w:r w:rsidR="008678FB">
        <w:t>. This attribution is difficult to square away with the fact that spectra from meteors (</w:t>
      </w:r>
      <w:r w:rsidR="008678FB">
        <w:rPr>
          <w:i/>
          <w:iCs/>
        </w:rPr>
        <w:t>e.g.</w:t>
      </w:r>
      <w:r w:rsidR="008678FB">
        <w:t xml:space="preserve">, see Refs. </w:t>
      </w:r>
      <w:r w:rsidR="008678FB" w:rsidRPr="008678FB">
        <w:rPr>
          <w:color w:val="FF0000"/>
        </w:rPr>
        <w:t>[</w:t>
      </w:r>
      <w:r w:rsidR="00626FFA">
        <w:rPr>
          <w:color w:val="FF0000"/>
        </w:rPr>
        <w:t>2</w:t>
      </w:r>
      <w:r w:rsidR="00A41AB8">
        <w:rPr>
          <w:color w:val="FF0000"/>
        </w:rPr>
        <w:t>6</w:t>
      </w:r>
      <w:r w:rsidR="008678FB" w:rsidRPr="008678FB">
        <w:rPr>
          <w:color w:val="FF0000"/>
        </w:rPr>
        <w:t>]</w:t>
      </w:r>
      <w:r w:rsidR="008678FB">
        <w:t xml:space="preserve"> and </w:t>
      </w:r>
      <w:r w:rsidR="008678FB" w:rsidRPr="008678FB">
        <w:rPr>
          <w:color w:val="FF0000"/>
        </w:rPr>
        <w:t>[</w:t>
      </w:r>
      <w:r w:rsidR="008C5F85">
        <w:rPr>
          <w:color w:val="FF0000"/>
        </w:rPr>
        <w:t>2</w:t>
      </w:r>
      <w:r w:rsidR="00A41AB8">
        <w:rPr>
          <w:color w:val="FF0000"/>
        </w:rPr>
        <w:t>7</w:t>
      </w:r>
      <w:r w:rsidR="008678FB" w:rsidRPr="008678FB">
        <w:rPr>
          <w:color w:val="FF0000"/>
        </w:rPr>
        <w:t>]</w:t>
      </w:r>
      <w:r w:rsidR="008678FB">
        <w:t xml:space="preserve">) also show some of the same features. Some of the elements could be part </w:t>
      </w:r>
      <w:r w:rsidR="00030F1A">
        <w:t>of the materials that make up a meteor and emit due to vaporization of meteors. However, entry capsules rely on blowing of pyrolysis gases into the wall-bounded shear layer and it is unlikely that these gases get into the inviscid part of the shock layer where the temperatures are high – a requisite to see strong lines in emission. It is possible, however, there is spallation of particles from the thermal protection material and that these particles vaporize in the inviscid part of the shock layer. Regardless of the mechanism that leads to line emissions, the current methodology can be used to: (a) determine the number density of elements to match their line intensities, and (b) determine whether the boundary layer plays any significant role.</w:t>
      </w:r>
      <w:r w:rsidR="00226125">
        <w:t xml:space="preserve"> </w:t>
      </w:r>
    </w:p>
    <w:p w14:paraId="35114593" w14:textId="77777777" w:rsidR="00F6261B" w:rsidRDefault="00F6261B" w:rsidP="00F6261B">
      <w:pPr>
        <w:pStyle w:val="References"/>
        <w:ind w:firstLine="0"/>
      </w:pPr>
    </w:p>
    <w:p w14:paraId="334B08D4" w14:textId="3BF72265" w:rsidR="00960B4B" w:rsidRPr="00960B4B" w:rsidRDefault="00960B4B" w:rsidP="00960B4B">
      <w:pPr>
        <w:pStyle w:val="Text"/>
        <w:numPr>
          <w:ilvl w:val="0"/>
          <w:numId w:val="30"/>
        </w:numPr>
        <w:ind w:left="360"/>
        <w:rPr>
          <w:b/>
          <w:bCs/>
        </w:rPr>
      </w:pPr>
      <w:r>
        <w:rPr>
          <w:b/>
          <w:bCs/>
        </w:rPr>
        <w:t>Sodium D Line</w:t>
      </w:r>
    </w:p>
    <w:p w14:paraId="48176893" w14:textId="3AFED675" w:rsidR="00F6261B" w:rsidRPr="004441FF" w:rsidRDefault="003A044C" w:rsidP="00A62B67">
      <w:pPr>
        <w:pStyle w:val="References"/>
        <w:rPr>
          <w:sz w:val="20"/>
        </w:rPr>
      </w:pPr>
      <w:r w:rsidRPr="004441FF">
        <w:rPr>
          <w:sz w:val="20"/>
        </w:rPr>
        <w:t>The spectral line seen at 589 nm in the spectrometric data from Stardust, Hayabusa, and Hayabusa2 entries</w:t>
      </w:r>
      <w:r w:rsidR="00077DEF" w:rsidRPr="004441FF">
        <w:rPr>
          <w:sz w:val="20"/>
        </w:rPr>
        <w:t xml:space="preserve"> (</w:t>
      </w:r>
      <w:r w:rsidR="00077DEF" w:rsidRPr="004441FF">
        <w:rPr>
          <w:color w:val="FF0000"/>
          <w:sz w:val="20"/>
        </w:rPr>
        <w:t>[</w:t>
      </w:r>
      <w:r w:rsidR="00BC1AEA">
        <w:rPr>
          <w:color w:val="FF0000"/>
          <w:sz w:val="20"/>
        </w:rPr>
        <w:t>23</w:t>
      </w:r>
      <w:r w:rsidR="00077DEF" w:rsidRPr="004441FF">
        <w:rPr>
          <w:color w:val="FF0000"/>
          <w:sz w:val="20"/>
        </w:rPr>
        <w:t>]</w:t>
      </w:r>
      <w:r w:rsidR="00077DEF" w:rsidRPr="004441FF">
        <w:rPr>
          <w:sz w:val="20"/>
        </w:rPr>
        <w:t xml:space="preserve">, </w:t>
      </w:r>
      <w:r w:rsidR="00077DEF" w:rsidRPr="004441FF">
        <w:rPr>
          <w:color w:val="FF0000"/>
          <w:sz w:val="20"/>
        </w:rPr>
        <w:t>[</w:t>
      </w:r>
      <w:r w:rsidR="00CB28F8">
        <w:rPr>
          <w:color w:val="FF0000"/>
          <w:sz w:val="20"/>
        </w:rPr>
        <w:t>24</w:t>
      </w:r>
      <w:r w:rsidR="00077DEF" w:rsidRPr="004441FF">
        <w:rPr>
          <w:color w:val="FF0000"/>
          <w:sz w:val="20"/>
        </w:rPr>
        <w:t>]</w:t>
      </w:r>
      <w:r w:rsidR="00077DEF" w:rsidRPr="004441FF">
        <w:rPr>
          <w:sz w:val="20"/>
        </w:rPr>
        <w:t xml:space="preserve">, </w:t>
      </w:r>
      <w:r w:rsidR="00077DEF" w:rsidRPr="004441FF">
        <w:rPr>
          <w:color w:val="FF0000"/>
          <w:sz w:val="20"/>
        </w:rPr>
        <w:t>[</w:t>
      </w:r>
      <w:r w:rsidR="00CB28F8">
        <w:rPr>
          <w:color w:val="FF0000"/>
          <w:sz w:val="20"/>
        </w:rPr>
        <w:t>12</w:t>
      </w:r>
      <w:r w:rsidR="00077DEF" w:rsidRPr="004441FF">
        <w:rPr>
          <w:color w:val="FF0000"/>
          <w:sz w:val="20"/>
        </w:rPr>
        <w:t>]</w:t>
      </w:r>
      <w:r w:rsidR="00077DEF" w:rsidRPr="004441FF">
        <w:rPr>
          <w:sz w:val="20"/>
        </w:rPr>
        <w:t>)</w:t>
      </w:r>
      <w:r w:rsidRPr="004441FF">
        <w:rPr>
          <w:sz w:val="20"/>
        </w:rPr>
        <w:t xml:space="preserve"> is </w:t>
      </w:r>
      <w:r w:rsidR="00BC1C3D" w:rsidRPr="004441FF">
        <w:rPr>
          <w:sz w:val="20"/>
        </w:rPr>
        <w:t>unambiguously</w:t>
      </w:r>
      <w:r w:rsidRPr="004441FF">
        <w:rPr>
          <w:sz w:val="20"/>
        </w:rPr>
        <w:t xml:space="preserve"> due to elemental sodium (Na) and not due its cation, or even </w:t>
      </w:r>
      <w:r w:rsidR="009973AD" w:rsidRPr="004441FF">
        <w:rPr>
          <w:sz w:val="20"/>
        </w:rPr>
        <w:t xml:space="preserve">a </w:t>
      </w:r>
      <w:r w:rsidRPr="004441FF">
        <w:rPr>
          <w:sz w:val="20"/>
        </w:rPr>
        <w:t>sodium-bearing compound. Sodium, like all alkali metals (</w:t>
      </w:r>
      <w:r w:rsidR="009973AD" w:rsidRPr="004441FF">
        <w:rPr>
          <w:sz w:val="20"/>
        </w:rPr>
        <w:t xml:space="preserve">Li, </w:t>
      </w:r>
      <w:r w:rsidRPr="004441FF">
        <w:rPr>
          <w:sz w:val="20"/>
        </w:rPr>
        <w:t xml:space="preserve">K, </w:t>
      </w:r>
      <w:r w:rsidR="009973AD" w:rsidRPr="004441FF">
        <w:rPr>
          <w:sz w:val="20"/>
        </w:rPr>
        <w:t>Rb, …)</w:t>
      </w:r>
      <w:r w:rsidR="00077DEF" w:rsidRPr="004441FF">
        <w:rPr>
          <w:sz w:val="20"/>
        </w:rPr>
        <w:t xml:space="preserve"> is very reactive and does not occur in elemental form in nature. Instead of considering various compounds of Na and including chemical kinetics of these compounds in the shock layer, a simpler, but </w:t>
      </w:r>
      <w:r w:rsidR="00077DEF" w:rsidRPr="004441FF">
        <w:rPr>
          <w:i/>
          <w:iCs/>
          <w:sz w:val="20"/>
        </w:rPr>
        <w:t>ad hoc</w:t>
      </w:r>
      <w:r w:rsidR="00077DEF" w:rsidRPr="004441FF">
        <w:rPr>
          <w:sz w:val="20"/>
        </w:rPr>
        <w:t>, strategy is employed in the present work. In a first set of computations, a fixed number of Na atoms is added to every point in the flow field (including the surface of the SRC). The usual spectral radiance/irradiance computations (steps outlined in the preceding subsections) are performed to determine the number density at which there is noticeable emission of Na in the spectral irradiance. Next, for the number density at which the emission of Na is the strongest, that value is added only to the boundary-layer around the SRC and spectral radiance/irradiance computations performed again to see if there is any optical output from the boundary layer.</w:t>
      </w:r>
    </w:p>
    <w:p w14:paraId="29657C58" w14:textId="1A69D894" w:rsidR="002F10C9" w:rsidRPr="004441FF" w:rsidRDefault="00CC33E7" w:rsidP="002F10C9">
      <w:pPr>
        <w:pStyle w:val="References"/>
        <w:rPr>
          <w:sz w:val="20"/>
        </w:rPr>
      </w:pPr>
      <w:r w:rsidRPr="004441FF">
        <w:rPr>
          <w:sz w:val="20"/>
        </w:rPr>
        <w:t>For</w:t>
      </w:r>
      <w:r w:rsidR="002F10C9" w:rsidRPr="004441FF">
        <w:rPr>
          <w:sz w:val="20"/>
        </w:rPr>
        <w:t xml:space="preserve"> illustrating the procedure, computations are performed at </w:t>
      </w:r>
      <w:r w:rsidR="002F10C9" w:rsidRPr="004441FF">
        <w:rPr>
          <w:i/>
          <w:iCs/>
          <w:sz w:val="20"/>
        </w:rPr>
        <w:t>t</w:t>
      </w:r>
      <w:r w:rsidR="002F10C9" w:rsidRPr="004441FF">
        <w:rPr>
          <w:sz w:val="20"/>
        </w:rPr>
        <w:t xml:space="preserve"> = 53.5 s along the flight trajectory of the SRC. At this time point, the SRC is at an altitude of 59.7 km and has a velocity of 10.4 km/s. This altitude is well below the 80 km cut off of the metal vapor layer of the thermosphere around Earth. </w:t>
      </w:r>
      <w:r w:rsidR="00297E7D" w:rsidRPr="004441FF">
        <w:rPr>
          <w:sz w:val="20"/>
        </w:rPr>
        <w:t>Three values of Na number density – 5</w:t>
      </w:r>
      <w:r w:rsidR="00297E7D" w:rsidRPr="004441FF">
        <w:rPr>
          <w:sz w:val="20"/>
        </w:rPr>
        <w:sym w:font="Symbol" w:char="F0B4"/>
      </w:r>
      <w:r w:rsidR="00297E7D" w:rsidRPr="004441FF">
        <w:rPr>
          <w:sz w:val="20"/>
        </w:rPr>
        <w:t>10</w:t>
      </w:r>
      <w:r w:rsidR="00297E7D" w:rsidRPr="004441FF">
        <w:rPr>
          <w:sz w:val="20"/>
          <w:vertAlign w:val="superscript"/>
        </w:rPr>
        <w:t>7</w:t>
      </w:r>
      <w:r w:rsidR="00297E7D" w:rsidRPr="004441FF">
        <w:rPr>
          <w:sz w:val="20"/>
        </w:rPr>
        <w:t>/cc, 5</w:t>
      </w:r>
      <w:r w:rsidR="00297E7D" w:rsidRPr="004441FF">
        <w:rPr>
          <w:sz w:val="20"/>
        </w:rPr>
        <w:sym w:font="Symbol" w:char="F0B4"/>
      </w:r>
      <w:r w:rsidR="00297E7D" w:rsidRPr="004441FF">
        <w:rPr>
          <w:sz w:val="20"/>
        </w:rPr>
        <w:t>10</w:t>
      </w:r>
      <w:r w:rsidR="00297E7D" w:rsidRPr="004441FF">
        <w:rPr>
          <w:sz w:val="20"/>
          <w:vertAlign w:val="superscript"/>
        </w:rPr>
        <w:t>8</w:t>
      </w:r>
      <w:r w:rsidR="00297E7D" w:rsidRPr="004441FF">
        <w:rPr>
          <w:sz w:val="20"/>
        </w:rPr>
        <w:t>/cc, and 5</w:t>
      </w:r>
      <w:r w:rsidR="00297E7D" w:rsidRPr="004441FF">
        <w:rPr>
          <w:sz w:val="20"/>
        </w:rPr>
        <w:sym w:font="Symbol" w:char="F0B4"/>
      </w:r>
      <w:r w:rsidR="00297E7D" w:rsidRPr="004441FF">
        <w:rPr>
          <w:sz w:val="20"/>
        </w:rPr>
        <w:t>10</w:t>
      </w:r>
      <w:r w:rsidR="00297E7D" w:rsidRPr="004441FF">
        <w:rPr>
          <w:sz w:val="20"/>
          <w:vertAlign w:val="superscript"/>
        </w:rPr>
        <w:t>9</w:t>
      </w:r>
      <w:r w:rsidR="00297E7D" w:rsidRPr="004441FF">
        <w:rPr>
          <w:sz w:val="20"/>
        </w:rPr>
        <w:t>/cc – are considered. In each radiance/irradiance computation, this amount of elemental sodium is added to every point in the computed flowfield to construct a new flowfield without any spatial gradients in the Na distribution. The resulting spectral irradiances in the wavelength region 300-900 nm are compared in Fig. 10a. The strongest emission from Na is for the case of 5</w:t>
      </w:r>
      <w:r w:rsidR="00297E7D" w:rsidRPr="004441FF">
        <w:rPr>
          <w:sz w:val="20"/>
        </w:rPr>
        <w:sym w:font="Symbol" w:char="F0B4"/>
      </w:r>
      <w:r w:rsidR="00297E7D" w:rsidRPr="004441FF">
        <w:rPr>
          <w:sz w:val="20"/>
        </w:rPr>
        <w:t>10</w:t>
      </w:r>
      <w:r w:rsidR="00297E7D" w:rsidRPr="004441FF">
        <w:rPr>
          <w:sz w:val="20"/>
          <w:vertAlign w:val="superscript"/>
        </w:rPr>
        <w:t>9</w:t>
      </w:r>
      <w:r w:rsidR="00297E7D" w:rsidRPr="004441FF">
        <w:rPr>
          <w:sz w:val="20"/>
        </w:rPr>
        <w:t>/cc, which is not surprising. The inset in Fig. 10a provides a magnified view of the D line of sodium (the doublet is not resolved).</w:t>
      </w:r>
      <w:r w:rsidR="00D84C6B" w:rsidRPr="004441FF">
        <w:rPr>
          <w:sz w:val="20"/>
        </w:rPr>
        <w:t xml:space="preserve"> Next, confining the value of 5</w:t>
      </w:r>
      <w:r w:rsidR="00D84C6B" w:rsidRPr="004441FF">
        <w:rPr>
          <w:sz w:val="20"/>
        </w:rPr>
        <w:sym w:font="Symbol" w:char="F0B4"/>
      </w:r>
      <w:r w:rsidR="00D84C6B" w:rsidRPr="004441FF">
        <w:rPr>
          <w:sz w:val="20"/>
        </w:rPr>
        <w:t>10</w:t>
      </w:r>
      <w:r w:rsidR="00D84C6B" w:rsidRPr="004441FF">
        <w:rPr>
          <w:sz w:val="20"/>
          <w:vertAlign w:val="superscript"/>
        </w:rPr>
        <w:t>9</w:t>
      </w:r>
      <w:r w:rsidR="00D84C6B" w:rsidRPr="004441FF">
        <w:rPr>
          <w:sz w:val="20"/>
        </w:rPr>
        <w:t xml:space="preserve">/cc to just the boundary layer (determined using the software utility </w:t>
      </w:r>
      <w:r w:rsidR="00D84C6B" w:rsidRPr="004441FF">
        <w:rPr>
          <w:i/>
          <w:iCs/>
          <w:smallCaps/>
          <w:sz w:val="20"/>
        </w:rPr>
        <w:t>Blayer</w:t>
      </w:r>
      <w:r w:rsidR="00D84C6B" w:rsidRPr="004441FF">
        <w:rPr>
          <w:sz w:val="20"/>
        </w:rPr>
        <w:t xml:space="preserve"> </w:t>
      </w:r>
      <w:r w:rsidR="00D84C6B" w:rsidRPr="004441FF">
        <w:rPr>
          <w:color w:val="FF0000"/>
          <w:sz w:val="20"/>
        </w:rPr>
        <w:t>[</w:t>
      </w:r>
      <w:r w:rsidR="00BC1AEA">
        <w:rPr>
          <w:color w:val="FF0000"/>
          <w:sz w:val="20"/>
        </w:rPr>
        <w:t>11</w:t>
      </w:r>
      <w:r w:rsidR="00D84C6B" w:rsidRPr="004441FF">
        <w:rPr>
          <w:color w:val="FF0000"/>
          <w:sz w:val="20"/>
        </w:rPr>
        <w:t>]</w:t>
      </w:r>
      <w:r w:rsidR="00D84C6B" w:rsidRPr="004441FF">
        <w:rPr>
          <w:sz w:val="20"/>
        </w:rPr>
        <w:t>) around the SRC, radiance/irradiance computations are repeated. The resulting spectral irradiance is compared with that from the case where sodium is added to the entire flowfield. Clearly, there is no emission from sodium in the boundary layer. Although not shown here, additional computations with sodium number density as high as 5</w:t>
      </w:r>
      <w:r w:rsidR="00D84C6B" w:rsidRPr="004441FF">
        <w:rPr>
          <w:sz w:val="20"/>
        </w:rPr>
        <w:sym w:font="Symbol" w:char="F0B4"/>
      </w:r>
      <w:r w:rsidR="00D84C6B" w:rsidRPr="004441FF">
        <w:rPr>
          <w:sz w:val="20"/>
        </w:rPr>
        <w:t>10</w:t>
      </w:r>
      <w:r w:rsidR="00D84C6B" w:rsidRPr="004441FF">
        <w:rPr>
          <w:sz w:val="20"/>
          <w:vertAlign w:val="superscript"/>
        </w:rPr>
        <w:t>15</w:t>
      </w:r>
      <w:r w:rsidR="00D84C6B" w:rsidRPr="004441FF">
        <w:rPr>
          <w:sz w:val="20"/>
        </w:rPr>
        <w:t>/cc yielded no noticeable signal.</w:t>
      </w:r>
    </w:p>
    <w:p w14:paraId="0179AC69" w14:textId="484C0169" w:rsidR="00D4405E" w:rsidRPr="004441FF" w:rsidRDefault="00D4405E" w:rsidP="002F10C9">
      <w:pPr>
        <w:pStyle w:val="References"/>
        <w:rPr>
          <w:sz w:val="20"/>
        </w:rPr>
      </w:pPr>
      <w:r w:rsidRPr="004441FF">
        <w:rPr>
          <w:sz w:val="20"/>
        </w:rPr>
        <w:t xml:space="preserve">The reason for these results is partially explained by the distributions of temperature and enthalpy, and species mole fractions and total number density along the stagnation line of SRC at this flight condition. The temperatures (translational and vibrational) profiles and total enthalpy profile are shown in Fig. 11a. Also shown in the figure is the approximate location of the boundary-layer edge. The boundary layer occupies only about a third of the shock layer </w:t>
      </w:r>
      <w:r w:rsidRPr="004441FF">
        <w:rPr>
          <w:sz w:val="20"/>
        </w:rPr>
        <w:lastRenderedPageBreak/>
        <w:t>thickness and has rapidly diminishing temperature from the edge to the wall. When sodium is added to the entire flowfield, the high temperatures (≈10000 K) in the inviscid portion of the shock layer are sufficient for strong emission when the number density reaches about 5</w:t>
      </w:r>
      <w:r w:rsidRPr="004441FF">
        <w:rPr>
          <w:sz w:val="20"/>
        </w:rPr>
        <w:sym w:font="Symbol" w:char="F0B4"/>
      </w:r>
      <w:r w:rsidRPr="004441FF">
        <w:rPr>
          <w:sz w:val="20"/>
        </w:rPr>
        <w:t>10</w:t>
      </w:r>
      <w:r w:rsidRPr="004441FF">
        <w:rPr>
          <w:sz w:val="20"/>
          <w:vertAlign w:val="superscript"/>
        </w:rPr>
        <w:t>9</w:t>
      </w:r>
      <w:r w:rsidRPr="004441FF">
        <w:rPr>
          <w:sz w:val="20"/>
        </w:rPr>
        <w:t>/cc. The temperatures within the boundary layer are not high enough for sodium emission.</w:t>
      </w:r>
    </w:p>
    <w:p w14:paraId="515EC7C1" w14:textId="243FE5A6" w:rsidR="00D4405E" w:rsidRPr="004441FF" w:rsidRDefault="00D4405E" w:rsidP="002F10C9">
      <w:pPr>
        <w:pStyle w:val="References"/>
        <w:rPr>
          <w:sz w:val="20"/>
        </w:rPr>
      </w:pPr>
      <w:r w:rsidRPr="004441FF">
        <w:rPr>
          <w:sz w:val="20"/>
        </w:rPr>
        <w:t>Although the value of 5</w:t>
      </w:r>
      <w:r w:rsidRPr="004441FF">
        <w:rPr>
          <w:sz w:val="20"/>
        </w:rPr>
        <w:sym w:font="Symbol" w:char="F0B4"/>
      </w:r>
      <w:r w:rsidRPr="004441FF">
        <w:rPr>
          <w:sz w:val="20"/>
        </w:rPr>
        <w:t>10</w:t>
      </w:r>
      <w:r w:rsidRPr="004441FF">
        <w:rPr>
          <w:sz w:val="20"/>
          <w:vertAlign w:val="superscript"/>
        </w:rPr>
        <w:t>9</w:t>
      </w:r>
      <w:r w:rsidRPr="004441FF">
        <w:rPr>
          <w:sz w:val="20"/>
        </w:rPr>
        <w:t xml:space="preserve">/cc as sodium number density might appear to be large, it is very small in terms of mole fraction. In Fig. 11b, the mole fractions of neutral species and free electrons along the stagnation line are shown along with the total number density of the gas mixture. </w:t>
      </w:r>
      <w:r w:rsidR="004441FF" w:rsidRPr="004441FF">
        <w:rPr>
          <w:sz w:val="20"/>
        </w:rPr>
        <w:t>The value of total number density is approximately 5</w:t>
      </w:r>
      <w:r w:rsidR="004441FF" w:rsidRPr="004441FF">
        <w:rPr>
          <w:sz w:val="20"/>
        </w:rPr>
        <w:sym w:font="Symbol" w:char="F0B4"/>
      </w:r>
      <w:r w:rsidR="004441FF" w:rsidRPr="004441FF">
        <w:rPr>
          <w:sz w:val="20"/>
        </w:rPr>
        <w:t>10</w:t>
      </w:r>
      <w:r w:rsidR="004441FF" w:rsidRPr="004441FF">
        <w:rPr>
          <w:sz w:val="20"/>
          <w:vertAlign w:val="superscript"/>
        </w:rPr>
        <w:t>17</w:t>
      </w:r>
      <w:r w:rsidR="004441FF" w:rsidRPr="004441FF">
        <w:rPr>
          <w:sz w:val="20"/>
        </w:rPr>
        <w:t>/cc (black dashed line), which means that the mole fraction of</w:t>
      </w:r>
      <w:r w:rsidR="00BC1AEA">
        <w:rPr>
          <w:sz w:val="20"/>
        </w:rPr>
        <w:t xml:space="preserve"> elemental</w:t>
      </w:r>
      <w:r w:rsidR="004441FF" w:rsidRPr="004441FF">
        <w:rPr>
          <w:sz w:val="20"/>
        </w:rPr>
        <w:t xml:space="preserve"> sodium is 2.5</w:t>
      </w:r>
      <w:r w:rsidR="004441FF" w:rsidRPr="004441FF">
        <w:rPr>
          <w:sz w:val="20"/>
        </w:rPr>
        <w:sym w:font="Symbol" w:char="F0B4"/>
      </w:r>
      <w:r w:rsidR="004441FF" w:rsidRPr="004441FF">
        <w:rPr>
          <w:sz w:val="20"/>
        </w:rPr>
        <w:t>10</w:t>
      </w:r>
      <w:r w:rsidR="004441FF" w:rsidRPr="004441FF">
        <w:rPr>
          <w:sz w:val="20"/>
          <w:vertAlign w:val="superscript"/>
        </w:rPr>
        <w:t>-8</w:t>
      </w:r>
      <w:r w:rsidR="00E51556">
        <w:rPr>
          <w:sz w:val="20"/>
        </w:rPr>
        <w:t>.</w:t>
      </w:r>
      <w:r w:rsidR="004441FF" w:rsidRPr="004441FF">
        <w:rPr>
          <w:sz w:val="20"/>
        </w:rPr>
        <w:t xml:space="preserve"> However, </w:t>
      </w:r>
      <w:r w:rsidR="004441FF">
        <w:rPr>
          <w:sz w:val="20"/>
        </w:rPr>
        <w:t xml:space="preserve">a fixed value of number density would imply significant reduction in mole fraction in the coolest portion of the boundary layer, where the total number density reaches </w:t>
      </w:r>
      <w:r w:rsidR="004441FF" w:rsidRPr="004441FF">
        <w:rPr>
          <w:sz w:val="20"/>
        </w:rPr>
        <w:t>10</w:t>
      </w:r>
      <w:r w:rsidR="004441FF">
        <w:rPr>
          <w:sz w:val="20"/>
          <w:vertAlign w:val="superscript"/>
        </w:rPr>
        <w:t>1</w:t>
      </w:r>
      <w:r w:rsidR="004441FF" w:rsidRPr="004441FF">
        <w:rPr>
          <w:sz w:val="20"/>
          <w:vertAlign w:val="superscript"/>
        </w:rPr>
        <w:t>8</w:t>
      </w:r>
      <w:r w:rsidR="004441FF">
        <w:rPr>
          <w:sz w:val="20"/>
        </w:rPr>
        <w:t>/cc.</w:t>
      </w:r>
      <w:r w:rsidR="00BC1AEA">
        <w:rPr>
          <w:sz w:val="20"/>
        </w:rPr>
        <w:t xml:space="preserve"> In hindsight, it would have been better to specify a mole fraction of elemental sodium rather than a number density.</w:t>
      </w:r>
    </w:p>
    <w:p w14:paraId="71E2303C" w14:textId="77777777" w:rsidR="00F6261B" w:rsidRDefault="00F6261B" w:rsidP="00F6261B">
      <w:pPr>
        <w:pStyle w:val="References"/>
      </w:pPr>
    </w:p>
    <w:tbl>
      <w:tblPr>
        <w:tblStyle w:val="TableGrid"/>
        <w:tblW w:w="9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62"/>
      </w:tblGrid>
      <w:tr w:rsidR="00F6261B" w14:paraId="69399C32" w14:textId="77777777" w:rsidTr="00A62B67">
        <w:trPr>
          <w:jc w:val="center"/>
        </w:trPr>
        <w:tc>
          <w:tcPr>
            <w:tcW w:w="9342" w:type="dxa"/>
            <w:gridSpan w:val="2"/>
            <w:vAlign w:val="center"/>
          </w:tcPr>
          <w:p w14:paraId="0D614FA8" w14:textId="77777777" w:rsidR="00F6261B" w:rsidRDefault="00F6261B" w:rsidP="00A26022">
            <w:pPr>
              <w:pStyle w:val="References"/>
              <w:spacing w:before="40"/>
              <w:ind w:firstLine="0"/>
              <w:jc w:val="center"/>
            </w:pPr>
            <w:r>
              <w:rPr>
                <w:noProof/>
              </w:rPr>
              <w:drawing>
                <wp:inline distT="0" distB="0" distL="0" distR="0" wp14:anchorId="530A90B8" wp14:editId="6D41CABB">
                  <wp:extent cx="4114800" cy="1828800"/>
                  <wp:effectExtent l="0" t="0" r="0" b="0"/>
                  <wp:docPr id="920983058" name="Picture 6" descr="A graph of a graph of a graph of a graph of a graph of a graph of a graph of a graph of a graph of a graph of a graph of a graph of a graph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983058" name="Picture 6" descr="A graph of a graph of a graph of a graph of a graph of a graph of a graph of a graph of a graph of a graph of a graph of a graph of a graph of&#10;&#10;Description automatically generated"/>
                          <pic:cNvPicPr/>
                        </pic:nvPicPr>
                        <pic:blipFill>
                          <a:blip r:embed="rId21"/>
                          <a:stretch>
                            <a:fillRect/>
                          </a:stretch>
                        </pic:blipFill>
                        <pic:spPr>
                          <a:xfrm>
                            <a:off x="0" y="0"/>
                            <a:ext cx="4114800" cy="1828800"/>
                          </a:xfrm>
                          <a:prstGeom prst="rect">
                            <a:avLst/>
                          </a:prstGeom>
                        </pic:spPr>
                      </pic:pic>
                    </a:graphicData>
                  </a:graphic>
                </wp:inline>
              </w:drawing>
            </w:r>
          </w:p>
        </w:tc>
      </w:tr>
      <w:tr w:rsidR="009C4B24" w:rsidRPr="00297E7D" w14:paraId="02F5435A" w14:textId="77777777" w:rsidTr="00984F4D">
        <w:trPr>
          <w:jc w:val="center"/>
        </w:trPr>
        <w:tc>
          <w:tcPr>
            <w:tcW w:w="4680" w:type="dxa"/>
            <w:vAlign w:val="center"/>
          </w:tcPr>
          <w:p w14:paraId="09E7B4A4" w14:textId="423485E5" w:rsidR="009C4B24" w:rsidRPr="00297E7D" w:rsidRDefault="00297E7D" w:rsidP="00A26022">
            <w:pPr>
              <w:pStyle w:val="References"/>
              <w:spacing w:before="40"/>
              <w:ind w:firstLine="0"/>
              <w:jc w:val="center"/>
              <w:rPr>
                <w:b/>
                <w:bCs/>
                <w:noProof/>
              </w:rPr>
            </w:pPr>
            <w:r w:rsidRPr="00297E7D">
              <w:rPr>
                <w:b/>
                <w:bCs/>
                <w:noProof/>
              </w:rPr>
              <w:t xml:space="preserve">(a) </w:t>
            </w:r>
            <w:r>
              <w:rPr>
                <w:b/>
                <w:bCs/>
                <w:noProof/>
              </w:rPr>
              <w:t>Na added to all flowfield points</w:t>
            </w:r>
          </w:p>
        </w:tc>
        <w:tc>
          <w:tcPr>
            <w:tcW w:w="4662" w:type="dxa"/>
            <w:vAlign w:val="center"/>
          </w:tcPr>
          <w:p w14:paraId="16382522" w14:textId="282E137D" w:rsidR="009C4B24" w:rsidRPr="00297E7D" w:rsidRDefault="00297E7D" w:rsidP="00A26022">
            <w:pPr>
              <w:pStyle w:val="References"/>
              <w:spacing w:before="40"/>
              <w:ind w:firstLine="0"/>
              <w:jc w:val="center"/>
              <w:rPr>
                <w:b/>
                <w:bCs/>
                <w:noProof/>
              </w:rPr>
            </w:pPr>
            <w:r>
              <w:rPr>
                <w:b/>
                <w:bCs/>
                <w:noProof/>
              </w:rPr>
              <w:t>(b) Na added in the boundary layer only</w:t>
            </w:r>
          </w:p>
        </w:tc>
      </w:tr>
      <w:tr w:rsidR="00F6261B" w:rsidRPr="00BC1AEA" w14:paraId="05D65344" w14:textId="77777777" w:rsidTr="00A62B67">
        <w:trPr>
          <w:jc w:val="center"/>
        </w:trPr>
        <w:tc>
          <w:tcPr>
            <w:tcW w:w="9342" w:type="dxa"/>
            <w:gridSpan w:val="2"/>
          </w:tcPr>
          <w:p w14:paraId="622A24E5" w14:textId="38E01ADA" w:rsidR="00F6261B" w:rsidRPr="00BC1AEA" w:rsidRDefault="00F6261B" w:rsidP="00D84C6B">
            <w:pPr>
              <w:pStyle w:val="References"/>
              <w:spacing w:before="40" w:after="40"/>
              <w:ind w:firstLine="0"/>
              <w:rPr>
                <w:b/>
                <w:bCs/>
                <w:szCs w:val="18"/>
              </w:rPr>
            </w:pPr>
            <w:r w:rsidRPr="00BC1AEA">
              <w:rPr>
                <w:b/>
                <w:bCs/>
                <w:szCs w:val="18"/>
              </w:rPr>
              <w:t>Figure 1</w:t>
            </w:r>
            <w:r w:rsidR="00297E7D" w:rsidRPr="00BC1AEA">
              <w:rPr>
                <w:b/>
                <w:bCs/>
                <w:szCs w:val="18"/>
              </w:rPr>
              <w:t>0</w:t>
            </w:r>
            <w:r w:rsidRPr="00BC1AEA">
              <w:rPr>
                <w:b/>
                <w:bCs/>
                <w:szCs w:val="18"/>
              </w:rPr>
              <w:t xml:space="preserve">. </w:t>
            </w:r>
            <w:r w:rsidR="00D84C6B" w:rsidRPr="00BC1AEA">
              <w:rPr>
                <w:b/>
                <w:bCs/>
                <w:szCs w:val="18"/>
              </w:rPr>
              <w:t xml:space="preserve">Spectral irradiance at </w:t>
            </w:r>
            <w:r w:rsidR="00D84C6B" w:rsidRPr="00BC1AEA">
              <w:rPr>
                <w:b/>
                <w:bCs/>
                <w:i/>
                <w:iCs/>
                <w:szCs w:val="18"/>
              </w:rPr>
              <w:t>t</w:t>
            </w:r>
            <w:r w:rsidR="00D84C6B" w:rsidRPr="00BC1AEA">
              <w:rPr>
                <w:b/>
                <w:bCs/>
                <w:szCs w:val="18"/>
              </w:rPr>
              <w:t xml:space="preserve"> = 53.5 s for: (a) three values of sodium number density – 5</w:t>
            </w:r>
            <w:r w:rsidR="00D84C6B" w:rsidRPr="00BC1AEA">
              <w:rPr>
                <w:b/>
                <w:bCs/>
                <w:szCs w:val="18"/>
              </w:rPr>
              <w:sym w:font="Symbol" w:char="F0B4"/>
            </w:r>
            <w:r w:rsidR="00D84C6B" w:rsidRPr="00BC1AEA">
              <w:rPr>
                <w:b/>
                <w:bCs/>
                <w:szCs w:val="18"/>
              </w:rPr>
              <w:t>10</w:t>
            </w:r>
            <w:r w:rsidR="00D84C6B" w:rsidRPr="00BC1AEA">
              <w:rPr>
                <w:b/>
                <w:bCs/>
                <w:szCs w:val="18"/>
                <w:vertAlign w:val="superscript"/>
              </w:rPr>
              <w:t>7</w:t>
            </w:r>
            <w:r w:rsidR="00D84C6B" w:rsidRPr="00BC1AEA">
              <w:rPr>
                <w:b/>
                <w:bCs/>
                <w:szCs w:val="18"/>
              </w:rPr>
              <w:t>/cc (red line), 5</w:t>
            </w:r>
            <w:r w:rsidR="00D84C6B" w:rsidRPr="00BC1AEA">
              <w:rPr>
                <w:b/>
                <w:bCs/>
                <w:szCs w:val="18"/>
              </w:rPr>
              <w:sym w:font="Symbol" w:char="F0B4"/>
            </w:r>
            <w:r w:rsidR="00D84C6B" w:rsidRPr="00BC1AEA">
              <w:rPr>
                <w:b/>
                <w:bCs/>
                <w:szCs w:val="18"/>
              </w:rPr>
              <w:t>10</w:t>
            </w:r>
            <w:r w:rsidR="00D84C6B" w:rsidRPr="00BC1AEA">
              <w:rPr>
                <w:b/>
                <w:bCs/>
                <w:szCs w:val="18"/>
                <w:vertAlign w:val="superscript"/>
              </w:rPr>
              <w:t>8</w:t>
            </w:r>
            <w:r w:rsidR="00D84C6B" w:rsidRPr="00BC1AEA">
              <w:rPr>
                <w:b/>
                <w:bCs/>
                <w:szCs w:val="18"/>
              </w:rPr>
              <w:t>/cc (blue line), and 5</w:t>
            </w:r>
            <w:r w:rsidR="00D84C6B" w:rsidRPr="00BC1AEA">
              <w:rPr>
                <w:b/>
                <w:bCs/>
                <w:szCs w:val="18"/>
              </w:rPr>
              <w:sym w:font="Symbol" w:char="F0B4"/>
            </w:r>
            <w:r w:rsidR="00D84C6B" w:rsidRPr="00BC1AEA">
              <w:rPr>
                <w:b/>
                <w:bCs/>
                <w:szCs w:val="18"/>
              </w:rPr>
              <w:t>10</w:t>
            </w:r>
            <w:r w:rsidR="00D84C6B" w:rsidRPr="00BC1AEA">
              <w:rPr>
                <w:b/>
                <w:bCs/>
                <w:szCs w:val="18"/>
                <w:vertAlign w:val="superscript"/>
              </w:rPr>
              <w:t>9</w:t>
            </w:r>
            <w:r w:rsidR="00D84C6B" w:rsidRPr="00BC1AEA">
              <w:rPr>
                <w:b/>
                <w:bCs/>
                <w:szCs w:val="18"/>
              </w:rPr>
              <w:t>/cc (green line), and (b) 5</w:t>
            </w:r>
            <w:r w:rsidR="00D84C6B" w:rsidRPr="00BC1AEA">
              <w:rPr>
                <w:b/>
                <w:bCs/>
                <w:szCs w:val="18"/>
              </w:rPr>
              <w:sym w:font="Symbol" w:char="F0B4"/>
            </w:r>
            <w:r w:rsidR="00D84C6B" w:rsidRPr="00BC1AEA">
              <w:rPr>
                <w:b/>
                <w:bCs/>
                <w:szCs w:val="18"/>
              </w:rPr>
              <w:t>10</w:t>
            </w:r>
            <w:r w:rsidR="00D84C6B" w:rsidRPr="00BC1AEA">
              <w:rPr>
                <w:b/>
                <w:bCs/>
                <w:szCs w:val="18"/>
                <w:vertAlign w:val="superscript"/>
              </w:rPr>
              <w:t>9</w:t>
            </w:r>
            <w:r w:rsidR="00D84C6B" w:rsidRPr="00BC1AEA">
              <w:rPr>
                <w:b/>
                <w:bCs/>
                <w:szCs w:val="18"/>
              </w:rPr>
              <w:t>/cc (blue line) added to just the boundary layer around the SRC.</w:t>
            </w:r>
          </w:p>
        </w:tc>
      </w:tr>
    </w:tbl>
    <w:p w14:paraId="0F966051" w14:textId="77777777" w:rsidR="00297E7D" w:rsidRDefault="00297E7D" w:rsidP="004441FF">
      <w:pPr>
        <w:pStyle w:val="References"/>
        <w:ind w:firstLine="0"/>
      </w:pPr>
    </w:p>
    <w:tbl>
      <w:tblPr>
        <w:tblStyle w:val="TableGrid"/>
        <w:tblW w:w="9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62"/>
      </w:tblGrid>
      <w:tr w:rsidR="00297E7D" w14:paraId="0543A996" w14:textId="77777777" w:rsidTr="00322CBE">
        <w:trPr>
          <w:jc w:val="center"/>
        </w:trPr>
        <w:tc>
          <w:tcPr>
            <w:tcW w:w="9342" w:type="dxa"/>
            <w:gridSpan w:val="2"/>
            <w:vAlign w:val="center"/>
          </w:tcPr>
          <w:p w14:paraId="16F9B93A" w14:textId="77777777" w:rsidR="00297E7D" w:rsidRDefault="00297E7D" w:rsidP="00322CBE">
            <w:pPr>
              <w:pStyle w:val="References"/>
              <w:spacing w:before="40"/>
              <w:ind w:firstLine="0"/>
              <w:jc w:val="center"/>
            </w:pPr>
            <w:r>
              <w:rPr>
                <w:noProof/>
              </w:rPr>
              <w:drawing>
                <wp:inline distT="0" distB="0" distL="0" distR="0" wp14:anchorId="7A708E34" wp14:editId="100B49CB">
                  <wp:extent cx="4114800" cy="1828800"/>
                  <wp:effectExtent l="0" t="0" r="0" b="0"/>
                  <wp:docPr id="398319608" name="Picture 3" descr="A graph of a graph of a number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19608" name="Picture 3" descr="A graph of a graph of a number of different colored lines&#10;&#10;Description automatically generated with medium confidence"/>
                          <pic:cNvPicPr/>
                        </pic:nvPicPr>
                        <pic:blipFill>
                          <a:blip r:embed="rId22"/>
                          <a:stretch>
                            <a:fillRect/>
                          </a:stretch>
                        </pic:blipFill>
                        <pic:spPr>
                          <a:xfrm>
                            <a:off x="0" y="0"/>
                            <a:ext cx="4114800" cy="1828800"/>
                          </a:xfrm>
                          <a:prstGeom prst="rect">
                            <a:avLst/>
                          </a:prstGeom>
                        </pic:spPr>
                      </pic:pic>
                    </a:graphicData>
                  </a:graphic>
                </wp:inline>
              </w:drawing>
            </w:r>
          </w:p>
        </w:tc>
      </w:tr>
      <w:tr w:rsidR="00297E7D" w:rsidRPr="00984F4D" w14:paraId="20A3A6BB" w14:textId="77777777" w:rsidTr="00322CBE">
        <w:trPr>
          <w:jc w:val="center"/>
        </w:trPr>
        <w:tc>
          <w:tcPr>
            <w:tcW w:w="4680" w:type="dxa"/>
            <w:vAlign w:val="center"/>
          </w:tcPr>
          <w:p w14:paraId="0FCD85DC" w14:textId="77777777" w:rsidR="00297E7D" w:rsidRPr="00984F4D" w:rsidRDefault="00297E7D" w:rsidP="00322CBE">
            <w:pPr>
              <w:pStyle w:val="References"/>
              <w:spacing w:before="40"/>
              <w:ind w:firstLine="0"/>
              <w:jc w:val="center"/>
              <w:rPr>
                <w:b/>
                <w:bCs/>
                <w:noProof/>
              </w:rPr>
            </w:pPr>
            <w:r w:rsidRPr="00984F4D">
              <w:rPr>
                <w:b/>
                <w:bCs/>
                <w:noProof/>
              </w:rPr>
              <w:t>(a) Temperatures and total enthalpy</w:t>
            </w:r>
          </w:p>
        </w:tc>
        <w:tc>
          <w:tcPr>
            <w:tcW w:w="4662" w:type="dxa"/>
            <w:vAlign w:val="center"/>
          </w:tcPr>
          <w:p w14:paraId="5A94FC65" w14:textId="77777777" w:rsidR="00297E7D" w:rsidRPr="00984F4D" w:rsidRDefault="00297E7D" w:rsidP="00322CBE">
            <w:pPr>
              <w:pStyle w:val="References"/>
              <w:spacing w:before="40"/>
              <w:ind w:firstLine="0"/>
              <w:jc w:val="center"/>
              <w:rPr>
                <w:b/>
                <w:bCs/>
                <w:noProof/>
              </w:rPr>
            </w:pPr>
            <w:r w:rsidRPr="00984F4D">
              <w:rPr>
                <w:b/>
                <w:bCs/>
                <w:noProof/>
              </w:rPr>
              <w:t>(b) Species mole fractions and total number density</w:t>
            </w:r>
          </w:p>
        </w:tc>
      </w:tr>
      <w:tr w:rsidR="00297E7D" w:rsidRPr="00BC1AEA" w14:paraId="5057D997" w14:textId="77777777" w:rsidTr="00322CBE">
        <w:trPr>
          <w:jc w:val="center"/>
        </w:trPr>
        <w:tc>
          <w:tcPr>
            <w:tcW w:w="9342" w:type="dxa"/>
            <w:gridSpan w:val="2"/>
          </w:tcPr>
          <w:p w14:paraId="414006F6" w14:textId="73F848EF" w:rsidR="00297E7D" w:rsidRPr="00BC1AEA" w:rsidRDefault="00297E7D" w:rsidP="004441FF">
            <w:pPr>
              <w:pStyle w:val="References"/>
              <w:spacing w:before="40" w:after="40"/>
              <w:ind w:firstLine="0"/>
              <w:rPr>
                <w:b/>
                <w:bCs/>
                <w:szCs w:val="18"/>
              </w:rPr>
            </w:pPr>
            <w:r w:rsidRPr="00BC1AEA">
              <w:rPr>
                <w:b/>
                <w:bCs/>
                <w:szCs w:val="18"/>
              </w:rPr>
              <w:t>Figure 1</w:t>
            </w:r>
            <w:r w:rsidR="00D84C6B" w:rsidRPr="00BC1AEA">
              <w:rPr>
                <w:b/>
                <w:bCs/>
                <w:szCs w:val="18"/>
              </w:rPr>
              <w:t>1</w:t>
            </w:r>
            <w:r w:rsidRPr="00BC1AEA">
              <w:rPr>
                <w:b/>
                <w:bCs/>
                <w:szCs w:val="18"/>
              </w:rPr>
              <w:t xml:space="preserve">. </w:t>
            </w:r>
            <w:r w:rsidR="004441FF" w:rsidRPr="00BC1AEA">
              <w:rPr>
                <w:b/>
                <w:bCs/>
                <w:szCs w:val="18"/>
              </w:rPr>
              <w:t xml:space="preserve">Stagnation line profiles at </w:t>
            </w:r>
            <w:r w:rsidR="004441FF" w:rsidRPr="00BC1AEA">
              <w:rPr>
                <w:b/>
                <w:bCs/>
                <w:i/>
                <w:iCs/>
                <w:szCs w:val="18"/>
              </w:rPr>
              <w:t>t</w:t>
            </w:r>
            <w:r w:rsidR="004441FF" w:rsidRPr="00BC1AEA">
              <w:rPr>
                <w:b/>
                <w:bCs/>
                <w:szCs w:val="18"/>
              </w:rPr>
              <w:t xml:space="preserve"> = 53.5 s for: (a) temperatures – translational (red line), vibrational (blue line), and specific total enthalpy (green line), and (b) mole fractions and total number density (dashed line). The grey dotted line denotes the boundary layer edge.</w:t>
            </w:r>
          </w:p>
        </w:tc>
      </w:tr>
    </w:tbl>
    <w:p w14:paraId="554367F8" w14:textId="77777777" w:rsidR="00297E7D" w:rsidRDefault="00297E7D" w:rsidP="00297E7D">
      <w:pPr>
        <w:pStyle w:val="References"/>
      </w:pPr>
    </w:p>
    <w:p w14:paraId="41BD2937" w14:textId="6AB22BC4" w:rsidR="004441FF" w:rsidRPr="004441FF" w:rsidRDefault="00BC1AEA" w:rsidP="004441FF">
      <w:pPr>
        <w:pStyle w:val="References"/>
        <w:rPr>
          <w:sz w:val="20"/>
        </w:rPr>
      </w:pPr>
      <w:r>
        <w:rPr>
          <w:sz w:val="20"/>
        </w:rPr>
        <w:t>Although one can conclude that the emission of elemental sodium seen in the spectral irradiance is due its presence in the inviscid part of the shock layer, the analysis does not provide any information about the origin of this element</w:t>
      </w:r>
      <w:r w:rsidR="004441FF">
        <w:rPr>
          <w:sz w:val="20"/>
        </w:rPr>
        <w:t>.</w:t>
      </w:r>
      <w:r>
        <w:rPr>
          <w:sz w:val="20"/>
        </w:rPr>
        <w:t xml:space="preserve"> If, for the sake of argument, one assumes that elemental sodium appears in the shock layer due to the decomposition of a sodium-bearing compound across the bow shock, </w:t>
      </w:r>
      <w:r w:rsidR="0036062A">
        <w:rPr>
          <w:sz w:val="20"/>
        </w:rPr>
        <w:t>then there is still the issue of chemical kinetics involving this compound. If, for instance, the sodium-bearing compound is its oxide, Na2O, then the decomposition of this compound across the normal shock does not result in elemental sodium. It is more likely to obtain the cation, Na</w:t>
      </w:r>
      <w:r w:rsidR="0036062A" w:rsidRPr="0036062A">
        <w:rPr>
          <w:sz w:val="20"/>
          <w:vertAlign w:val="superscript"/>
        </w:rPr>
        <w:t>+</w:t>
      </w:r>
      <w:r w:rsidR="0036062A">
        <w:rPr>
          <w:sz w:val="20"/>
        </w:rPr>
        <w:t>, in the shock layer for the velocity considered in the example</w:t>
      </w:r>
      <w:r w:rsidR="003D69AB">
        <w:rPr>
          <w:sz w:val="20"/>
        </w:rPr>
        <w:t xml:space="preserve"> – a simple equilibrium normal shock calculation </w:t>
      </w:r>
      <w:r w:rsidR="003D69AB" w:rsidRPr="003D69AB">
        <w:rPr>
          <w:color w:val="FF0000"/>
          <w:sz w:val="20"/>
        </w:rPr>
        <w:t>[2</w:t>
      </w:r>
      <w:r w:rsidR="00A41AB8">
        <w:rPr>
          <w:color w:val="FF0000"/>
          <w:sz w:val="20"/>
        </w:rPr>
        <w:t>8</w:t>
      </w:r>
      <w:r w:rsidR="003D69AB" w:rsidRPr="003D69AB">
        <w:rPr>
          <w:color w:val="FF0000"/>
          <w:sz w:val="20"/>
        </w:rPr>
        <w:t>]</w:t>
      </w:r>
      <w:r w:rsidR="003D69AB">
        <w:rPr>
          <w:sz w:val="20"/>
        </w:rPr>
        <w:t xml:space="preserve"> yields this result</w:t>
      </w:r>
      <w:r w:rsidR="0036062A">
        <w:rPr>
          <w:sz w:val="20"/>
        </w:rPr>
        <w:t>.</w:t>
      </w:r>
      <w:r w:rsidR="003D69AB">
        <w:rPr>
          <w:sz w:val="20"/>
        </w:rPr>
        <w:t xml:space="preserve"> </w:t>
      </w:r>
      <w:r w:rsidR="00767FB8">
        <w:rPr>
          <w:sz w:val="20"/>
        </w:rPr>
        <w:t>Spallation of microparticles from the heatshield material into the shock layer is another possibility. However, a</w:t>
      </w:r>
      <w:r w:rsidR="003D69AB">
        <w:rPr>
          <w:sz w:val="20"/>
        </w:rPr>
        <w:t xml:space="preserve">rcjet tests of PICA </w:t>
      </w:r>
      <w:r w:rsidR="003D69AB" w:rsidRPr="00767FB8">
        <w:rPr>
          <w:color w:val="FF0000"/>
          <w:sz w:val="20"/>
        </w:rPr>
        <w:t>[</w:t>
      </w:r>
      <w:r w:rsidR="00A41AB8">
        <w:rPr>
          <w:color w:val="FF0000"/>
          <w:sz w:val="20"/>
        </w:rPr>
        <w:t>29</w:t>
      </w:r>
      <w:r w:rsidR="00767FB8" w:rsidRPr="00767FB8">
        <w:rPr>
          <w:color w:val="FF0000"/>
          <w:sz w:val="20"/>
        </w:rPr>
        <w:t>,</w:t>
      </w:r>
      <w:r w:rsidR="00A41AB8">
        <w:rPr>
          <w:color w:val="FF0000"/>
          <w:sz w:val="20"/>
        </w:rPr>
        <w:t>30</w:t>
      </w:r>
      <w:r w:rsidR="003D69AB" w:rsidRPr="00767FB8">
        <w:rPr>
          <w:color w:val="FF0000"/>
          <w:sz w:val="20"/>
        </w:rPr>
        <w:t>]</w:t>
      </w:r>
      <w:r w:rsidR="003D69AB">
        <w:rPr>
          <w:sz w:val="20"/>
        </w:rPr>
        <w:t xml:space="preserve"> do not show this emission</w:t>
      </w:r>
      <w:r w:rsidR="00767FB8">
        <w:rPr>
          <w:sz w:val="20"/>
        </w:rPr>
        <w:t>. The spallation hypothesis is perhaps worth pursuing.</w:t>
      </w:r>
    </w:p>
    <w:p w14:paraId="486BE941" w14:textId="1A9419FF" w:rsidR="006C7986" w:rsidRDefault="006C7986" w:rsidP="006C7986">
      <w:pPr>
        <w:pStyle w:val="Heading1"/>
        <w:numPr>
          <w:ilvl w:val="0"/>
          <w:numId w:val="2"/>
        </w:numPr>
      </w:pPr>
      <w:r>
        <w:lastRenderedPageBreak/>
        <w:t>Conclusions and Proposed Paper</w:t>
      </w:r>
    </w:p>
    <w:p w14:paraId="292EC437" w14:textId="1F45C0AE" w:rsidR="00767FB8" w:rsidRDefault="00CF0CDA" w:rsidP="00D019F3">
      <w:pPr>
        <w:pStyle w:val="Text"/>
      </w:pPr>
      <w:r>
        <w:t xml:space="preserve">The present abstract </w:t>
      </w:r>
      <w:r w:rsidR="00767FB8">
        <w:t>presents the methodology for predicting the irradiance on a spectrometer onboard an airborne observation platform</w:t>
      </w:r>
      <w:r w:rsidR="00387206">
        <w:t>.</w:t>
      </w:r>
      <w:r w:rsidR="00767FB8">
        <w:t xml:space="preserve"> The results presented are from pre-flight simulations because the best-estimated entry trajectory is yet to be provided and so are the calibrated data from the various instruments used in the imaging campaign. It is anticipated that all these data will be available early 2024, at least well ahead of the AIAA summer conferences. The final paper will include:</w:t>
      </w:r>
    </w:p>
    <w:p w14:paraId="5AE67B1C" w14:textId="4DA9AD48" w:rsidR="00C876C2" w:rsidRDefault="00767FB8" w:rsidP="00767FB8">
      <w:pPr>
        <w:pStyle w:val="Text"/>
        <w:numPr>
          <w:ilvl w:val="0"/>
          <w:numId w:val="34"/>
        </w:numPr>
        <w:ind w:left="630"/>
      </w:pPr>
      <w:r>
        <w:t>Flow computations along several time points along the best-estimated trajectory</w:t>
      </w:r>
      <w:r w:rsidR="007E278F">
        <w:t xml:space="preserve"> (BET)</w:t>
      </w:r>
      <w:r>
        <w:t>. These computations will be based on correcting some of the reaction rates in the 30-species model and a more relaxed surface catalysis model instead of a fully catalytic one, which is relevant for aerothermal design.</w:t>
      </w:r>
    </w:p>
    <w:p w14:paraId="071338B0" w14:textId="7AEEE657" w:rsidR="00767FB8" w:rsidRDefault="00767FB8" w:rsidP="00767FB8">
      <w:pPr>
        <w:pStyle w:val="Text"/>
        <w:numPr>
          <w:ilvl w:val="0"/>
          <w:numId w:val="34"/>
        </w:numPr>
        <w:ind w:left="630"/>
      </w:pPr>
      <w:r>
        <w:t>Flow and material thermal response coupling to determine a better estimate of surface tempera</w:t>
      </w:r>
      <w:r w:rsidR="007E278F">
        <w:t xml:space="preserve">ture – the surface temperature is key to determining the areal contribution to radiance/irradiance. Materials thermal response computations will require flow solutions for the entry capsule in the thermosphere (freestream density is too small for a continuum </w:t>
      </w:r>
      <w:r w:rsidR="009E25F3">
        <w:t xml:space="preserve">approximation to be valid) because the heat pulse needs to be closed at early entry time. To that end, the use of </w:t>
      </w:r>
      <w:r w:rsidR="009E25F3" w:rsidRPr="009E25F3">
        <w:rPr>
          <w:i/>
          <w:iCs/>
          <w:smallCaps/>
        </w:rPr>
        <w:t>Sparta</w:t>
      </w:r>
      <w:r w:rsidR="009E25F3">
        <w:t xml:space="preserve"> </w:t>
      </w:r>
      <w:r w:rsidR="009E25F3" w:rsidRPr="009E25F3">
        <w:rPr>
          <w:color w:val="FF0000"/>
        </w:rPr>
        <w:t>[</w:t>
      </w:r>
      <w:r w:rsidR="00A41AB8">
        <w:rPr>
          <w:color w:val="FF0000"/>
        </w:rPr>
        <w:t>31</w:t>
      </w:r>
      <w:r w:rsidR="009E25F3" w:rsidRPr="009E25F3">
        <w:rPr>
          <w:color w:val="FF0000"/>
        </w:rPr>
        <w:t>]</w:t>
      </w:r>
      <w:r w:rsidR="009E25F3">
        <w:t xml:space="preserve"> will be explored.</w:t>
      </w:r>
    </w:p>
    <w:p w14:paraId="4107712C" w14:textId="2876EB30" w:rsidR="007E278F" w:rsidRDefault="007E278F" w:rsidP="00767FB8">
      <w:pPr>
        <w:pStyle w:val="Text"/>
        <w:numPr>
          <w:ilvl w:val="0"/>
          <w:numId w:val="34"/>
        </w:numPr>
        <w:ind w:left="630"/>
      </w:pPr>
      <w:r>
        <w:t>Sensitivity of predicted irradiance to mismatch in timing between trajectory and instruments will be established.</w:t>
      </w:r>
    </w:p>
    <w:p w14:paraId="4D6C7F2B" w14:textId="28237FE6" w:rsidR="007E278F" w:rsidRDefault="007E278F" w:rsidP="00767FB8">
      <w:pPr>
        <w:pStyle w:val="Text"/>
        <w:numPr>
          <w:ilvl w:val="0"/>
          <w:numId w:val="34"/>
        </w:numPr>
        <w:ind w:left="630"/>
      </w:pPr>
      <w:r>
        <w:t>Sensitivity of predicted irradiance to angle of attack changes at one or two time points along the BET will be explored.</w:t>
      </w:r>
    </w:p>
    <w:p w14:paraId="763CCEAD" w14:textId="17FD1F0F" w:rsidR="007E278F" w:rsidRDefault="007E278F" w:rsidP="00767FB8">
      <w:pPr>
        <w:pStyle w:val="Text"/>
        <w:numPr>
          <w:ilvl w:val="0"/>
          <w:numId w:val="34"/>
        </w:numPr>
        <w:ind w:left="630"/>
      </w:pPr>
      <w:r>
        <w:t>Estimates of elemental mole fractions of pertinent species that are not included in the shock-layer chemistry model but observed in flight.</w:t>
      </w:r>
    </w:p>
    <w:p w14:paraId="016F2CB6" w14:textId="386E1D04" w:rsidR="007E278F" w:rsidRDefault="007E278F" w:rsidP="00767FB8">
      <w:pPr>
        <w:pStyle w:val="Text"/>
        <w:numPr>
          <w:ilvl w:val="0"/>
          <w:numId w:val="34"/>
        </w:numPr>
        <w:ind w:left="630"/>
      </w:pPr>
      <w:r>
        <w:t>Correlation of data from two or more observation platforms so that the influence of view angle and slant range are consistent across all platforms.</w:t>
      </w:r>
    </w:p>
    <w:p w14:paraId="29A8A967" w14:textId="31A80518" w:rsidR="007E278F" w:rsidRDefault="007E278F" w:rsidP="00767FB8">
      <w:pPr>
        <w:pStyle w:val="Text"/>
        <w:numPr>
          <w:ilvl w:val="0"/>
          <w:numId w:val="34"/>
        </w:numPr>
        <w:ind w:left="630"/>
      </w:pPr>
      <w:r>
        <w:t>The concept of areal-average temperature to provide guidance on the choice of surface boundary condition.</w:t>
      </w:r>
    </w:p>
    <w:p w14:paraId="1F1E25A6" w14:textId="77777777" w:rsidR="00112093" w:rsidRDefault="00112093">
      <w:pPr>
        <w:pStyle w:val="Heading1"/>
      </w:pPr>
      <w:r>
        <w:t>Acknowledgments</w:t>
      </w:r>
    </w:p>
    <w:p w14:paraId="62970395" w14:textId="62276924" w:rsidR="00112093" w:rsidRPr="00F666C6" w:rsidRDefault="00823A57">
      <w:pPr>
        <w:pStyle w:val="Text"/>
      </w:pPr>
      <w:r w:rsidRPr="00823A57">
        <w:t>The present work was supported by NASA Contract NNA15BB15C to AMA, Inc.</w:t>
      </w:r>
      <w:r w:rsidR="00116222">
        <w:t xml:space="preserve"> </w:t>
      </w:r>
      <w:r w:rsidR="00C809A9">
        <w:t>The author thank</w:t>
      </w:r>
      <w:r w:rsidR="00767FB8">
        <w:t>s</w:t>
      </w:r>
      <w:r w:rsidR="00C809A9">
        <w:t xml:space="preserve"> </w:t>
      </w:r>
      <w:r w:rsidR="007D4C27">
        <w:t xml:space="preserve">the entire </w:t>
      </w:r>
      <w:r w:rsidR="00F666C6">
        <w:t>HORIS</w:t>
      </w:r>
      <w:r w:rsidR="007D4C27">
        <w:t xml:space="preserve"> team for all the illuminating discussions</w:t>
      </w:r>
      <w:r w:rsidR="00767FB8">
        <w:t xml:space="preserve"> leading up the date of entry of SRC</w:t>
      </w:r>
      <w:r w:rsidR="00116222">
        <w:t>.</w:t>
      </w:r>
      <w:r w:rsidR="00F666C6">
        <w:t xml:space="preserve"> Thanks are due to Rob Conn (AMA @ NASA Langley Research Center) for flight trajectories of both the SRC and observation aircraft, Brett Cruden (AMA @ NASA Ames Research Center) for </w:t>
      </w:r>
      <w:r w:rsidR="00190EA3">
        <w:t>constructing the 30-species chemistry model</w:t>
      </w:r>
      <w:r w:rsidR="007153AA">
        <w:t xml:space="preserve">, </w:t>
      </w:r>
      <w:r w:rsidR="00F666C6">
        <w:t>the atmospheric transmittance data</w:t>
      </w:r>
      <w:r w:rsidR="00190EA3">
        <w:t>,</w:t>
      </w:r>
      <w:r w:rsidR="00F666C6">
        <w:t xml:space="preserve"> and v15.2.2 of </w:t>
      </w:r>
      <w:r w:rsidR="00F666C6" w:rsidRPr="00F666C6">
        <w:rPr>
          <w:i/>
          <w:iCs/>
          <w:smallCaps/>
        </w:rPr>
        <w:t>Neqair</w:t>
      </w:r>
      <w:r w:rsidR="00F666C6">
        <w:t>, and David Saunders (AMA @ NASA Ames Research Center) for enhancing the software tools to allow view angles greater than 90°.</w:t>
      </w:r>
    </w:p>
    <w:p w14:paraId="56715766" w14:textId="77777777" w:rsidR="00112093" w:rsidRDefault="00112093">
      <w:pPr>
        <w:pStyle w:val="Heading1"/>
      </w:pPr>
      <w:r>
        <w:t>References</w:t>
      </w:r>
    </w:p>
    <w:p w14:paraId="66BAE0FC" w14:textId="232D95B9" w:rsidR="00312E3A" w:rsidRPr="00597284" w:rsidRDefault="00312E3A" w:rsidP="00312E3A">
      <w:pPr>
        <w:pStyle w:val="References"/>
        <w:rPr>
          <w:color w:val="000000" w:themeColor="text1"/>
        </w:rPr>
      </w:pPr>
      <w:r>
        <w:rPr>
          <w:color w:val="000000" w:themeColor="text1"/>
          <w:vertAlign w:val="superscript"/>
        </w:rPr>
        <w:t>1</w:t>
      </w:r>
      <w:r w:rsidRPr="00597284">
        <w:rPr>
          <w:color w:val="000000" w:themeColor="text1"/>
        </w:rPr>
        <w:t>“Stardust Airborne Observation Campaign Support,” NASA Engineering and Safety Center Report, RP-06-80, Aug, 2006.</w:t>
      </w:r>
    </w:p>
    <w:p w14:paraId="24D4CF77" w14:textId="07A76695" w:rsidR="00D14154" w:rsidRDefault="00D14154" w:rsidP="00D14154">
      <w:pPr>
        <w:pStyle w:val="References"/>
      </w:pPr>
      <w:r>
        <w:rPr>
          <w:vertAlign w:val="superscript"/>
        </w:rPr>
        <w:t>2</w:t>
      </w:r>
      <w:r>
        <w:t>Cassell, A. M., Allen, G. A., Winter, M. W., Grinstead, J. H., Antimisaris, M. E., Albers, J, and Jenniskens, P. M., “Hayabusa Reentry: Trajectory Analysis and Observation Mission Design,” AIAA Paper 2011-3330, 42nd AIAA Thermophysics Conference, June 2011.</w:t>
      </w:r>
    </w:p>
    <w:p w14:paraId="13A138D1" w14:textId="132280FA" w:rsidR="00312E3A" w:rsidRDefault="00312E3A" w:rsidP="00312E3A">
      <w:pPr>
        <w:pStyle w:val="References"/>
      </w:pPr>
      <w:r>
        <w:rPr>
          <w:vertAlign w:val="superscript"/>
        </w:rPr>
        <w:t>3</w:t>
      </w:r>
      <w:r>
        <w:t xml:space="preserve">Scott, C. F., Jr., Inman, J. A., </w:t>
      </w:r>
      <w:r>
        <w:rPr>
          <w:i/>
          <w:iCs/>
        </w:rPr>
        <w:t>et al</w:t>
      </w:r>
      <w:r>
        <w:t>.,  “</w:t>
      </w:r>
      <w:r w:rsidRPr="00312E3A">
        <w:t>SCIFLI Airborne Observation of the Hayabusa2 Sample Return Capsule Re-Entry</w:t>
      </w:r>
      <w:r>
        <w:t xml:space="preserve">,” AIAA Paper </w:t>
      </w:r>
      <w:r w:rsidRPr="00312E3A">
        <w:t>2022-3798</w:t>
      </w:r>
      <w:r>
        <w:t>, AIAA AVIATION 2022 Forum, Chicago, IL, June 2022.</w:t>
      </w:r>
    </w:p>
    <w:p w14:paraId="2485F0FE" w14:textId="6EA64AC8" w:rsidR="001E1CE3" w:rsidRDefault="00406C58" w:rsidP="00406C58">
      <w:pPr>
        <w:pStyle w:val="References"/>
      </w:pPr>
      <w:r>
        <w:rPr>
          <w:vertAlign w:val="superscript"/>
        </w:rPr>
        <w:t>4</w:t>
      </w:r>
      <w:r>
        <w:t xml:space="preserve">Liu, Y., Prabhu, D., Trumble, K. A., Saunders, D., and Jenniskens, P., “Radiation Modeling for the Reentry of the Stardust Sample Return Capsule,” </w:t>
      </w:r>
      <w:r w:rsidRPr="00406C58">
        <w:rPr>
          <w:i/>
          <w:iCs/>
        </w:rPr>
        <w:t>Journal of Spacecraft &amp; Rockets</w:t>
      </w:r>
      <w:r>
        <w:t>, Vol. 47, No. 5, 2010, pp. 741–752.</w:t>
      </w:r>
    </w:p>
    <w:p w14:paraId="49543C3C" w14:textId="3930C195" w:rsidR="00E0684A" w:rsidRDefault="00E0684A" w:rsidP="00E0684A">
      <w:pPr>
        <w:pStyle w:val="References"/>
      </w:pPr>
      <w:r>
        <w:rPr>
          <w:szCs w:val="18"/>
          <w:vertAlign w:val="superscript"/>
        </w:rPr>
        <w:t>5</w:t>
      </w:r>
      <w:r w:rsidRPr="004D29BA">
        <w:rPr>
          <w:szCs w:val="18"/>
        </w:rPr>
        <w:t>Winter, M., McDaniel, R., Chen, Y.-K., Liu, Y., Saunders, D., and Jenniskens, P. M., “Radiation</w:t>
      </w:r>
      <w:r w:rsidRPr="004712E0">
        <w:t xml:space="preserve"> Modeling for Reentry of Hayabusa Sample Return Capsule,</w:t>
      </w:r>
      <w:r>
        <w:t>”</w:t>
      </w:r>
      <w:r w:rsidRPr="004712E0">
        <w:t xml:space="preserve"> </w:t>
      </w:r>
      <w:r w:rsidRPr="004712E0">
        <w:rPr>
          <w:i/>
          <w:iCs/>
        </w:rPr>
        <w:t>Journal of Spacecraft &amp; Rockets</w:t>
      </w:r>
      <w:r w:rsidRPr="004712E0">
        <w:t>, Vol. 56, No. 4, 2019, pp. 1152</w:t>
      </w:r>
      <w:r>
        <w:t>–</w:t>
      </w:r>
      <w:r w:rsidRPr="004712E0">
        <w:t>1164.</w:t>
      </w:r>
    </w:p>
    <w:p w14:paraId="1520F59F" w14:textId="1B6B2F39" w:rsidR="00E0684A" w:rsidRDefault="00E0684A" w:rsidP="00E0684A">
      <w:pPr>
        <w:pStyle w:val="References"/>
      </w:pPr>
      <w:r>
        <w:rPr>
          <w:vertAlign w:val="superscript"/>
        </w:rPr>
        <w:t>6</w:t>
      </w:r>
      <w:r>
        <w:t>Prabhu, D. K., Saunders, D. A., C</w:t>
      </w:r>
      <w:r w:rsidRPr="00BF6231">
        <w:t xml:space="preserve">ruden , B. A., and </w:t>
      </w:r>
      <w:r>
        <w:t>Grinstead, J. H.</w:t>
      </w:r>
      <w:r w:rsidRPr="00BF6231">
        <w:t xml:space="preserve">, </w:t>
      </w:r>
      <w:r>
        <w:t>“</w:t>
      </w:r>
      <w:r w:rsidRPr="00894A56">
        <w:t>Simulations of Hayabusa2 Atmospheric Entry and Comparisons with Data from the Imaging Campaign</w:t>
      </w:r>
      <w:r w:rsidRPr="00BF6231">
        <w:t>,</w:t>
      </w:r>
      <w:r>
        <w:t>” AIAA Paper 2022-3800, AIAA AVIATION 2022 Forum, Chicago, IL, June 2022</w:t>
      </w:r>
      <w:r w:rsidRPr="00BF6231">
        <w:t>.</w:t>
      </w:r>
    </w:p>
    <w:p w14:paraId="3F0CA793" w14:textId="34F542B6" w:rsidR="00F9562D" w:rsidRDefault="00F9562D" w:rsidP="00F9562D">
      <w:pPr>
        <w:pStyle w:val="References"/>
      </w:pPr>
      <w:r>
        <w:rPr>
          <w:vertAlign w:val="superscript"/>
        </w:rPr>
        <w:t>7</w:t>
      </w:r>
      <w:r>
        <w:t xml:space="preserve">Wright, M., Candler, G., and Bose, D., “Data-Parallel Line Relaxation Method for the Navier-Stokes Equations,” </w:t>
      </w:r>
      <w:r w:rsidRPr="00E657D8">
        <w:rPr>
          <w:i/>
          <w:iCs/>
        </w:rPr>
        <w:t>AIAA Journal</w:t>
      </w:r>
      <w:r>
        <w:t>, Vol. 36, No. 9, 1998, pp. 1603-1609.</w:t>
      </w:r>
    </w:p>
    <w:p w14:paraId="1892D20A" w14:textId="6A419FA6" w:rsidR="00F9562D" w:rsidRPr="004D29BA" w:rsidRDefault="00F9562D" w:rsidP="00F9562D">
      <w:pPr>
        <w:pStyle w:val="References"/>
        <w:rPr>
          <w:szCs w:val="18"/>
        </w:rPr>
      </w:pPr>
      <w:r>
        <w:rPr>
          <w:vertAlign w:val="superscript"/>
        </w:rPr>
        <w:t>8</w:t>
      </w:r>
      <w:r w:rsidRPr="004D29BA">
        <w:rPr>
          <w:szCs w:val="18"/>
        </w:rPr>
        <w:t>Wright, M. W., White, T., and Mangini, N., “Data Parallel Line</w:t>
      </w:r>
      <w:r>
        <w:rPr>
          <w:szCs w:val="18"/>
        </w:rPr>
        <w:t xml:space="preserve"> </w:t>
      </w:r>
      <w:r w:rsidRPr="004D29BA">
        <w:rPr>
          <w:szCs w:val="18"/>
        </w:rPr>
        <w:t>Relaxation (DPLR) Code User Manual Acadia–Version 4.01.1,” NASA</w:t>
      </w:r>
      <w:r>
        <w:rPr>
          <w:szCs w:val="18"/>
        </w:rPr>
        <w:t xml:space="preserve"> </w:t>
      </w:r>
      <w:r w:rsidRPr="004D29BA">
        <w:rPr>
          <w:szCs w:val="18"/>
        </w:rPr>
        <w:t>TM-2009-215388, Oct. 2009.</w:t>
      </w:r>
    </w:p>
    <w:p w14:paraId="63858413" w14:textId="54CB8013" w:rsidR="00F9562D" w:rsidRDefault="00F9562D" w:rsidP="00F9562D">
      <w:pPr>
        <w:pStyle w:val="References"/>
      </w:pPr>
      <w:r>
        <w:rPr>
          <w:vertAlign w:val="superscript"/>
        </w:rPr>
        <w:t>9</w:t>
      </w:r>
      <w:r>
        <w:t>Whiting, E., Park, C., Liu, Y., Arnold, J., and Paterson, J., “NEQAIR96, Nonequilibrium and Equilibrium Radiative Transport and Spectra Program: User's Manual,” NASA Reference Publication 1389, December 1996.</w:t>
      </w:r>
    </w:p>
    <w:p w14:paraId="183981D5" w14:textId="53CCC020" w:rsidR="00F9562D" w:rsidRDefault="00F9562D" w:rsidP="00F9562D">
      <w:pPr>
        <w:pStyle w:val="References"/>
      </w:pPr>
      <w:r>
        <w:rPr>
          <w:vertAlign w:val="superscript"/>
        </w:rPr>
        <w:t>10</w:t>
      </w:r>
      <w:r w:rsidRPr="00BF6231">
        <w:t xml:space="preserve">Cruden , B. A., and Brandis, A. M., </w:t>
      </w:r>
      <w:r>
        <w:t>“</w:t>
      </w:r>
      <w:r w:rsidRPr="00BF6231">
        <w:t>Updates to the NEQAIR Radiation Solver,</w:t>
      </w:r>
      <w:r>
        <w:t>”</w:t>
      </w:r>
      <w:r w:rsidRPr="00BF6231">
        <w:t xml:space="preserve"> </w:t>
      </w:r>
      <w:r w:rsidRPr="00BF6231">
        <w:rPr>
          <w:i/>
          <w:iCs/>
        </w:rPr>
        <w:t>Radiation in High Temperature Gases</w:t>
      </w:r>
      <w:r w:rsidRPr="00BF6231">
        <w:t>. St. Andrews, UK, 2014.</w:t>
      </w:r>
    </w:p>
    <w:p w14:paraId="3F82B5A5" w14:textId="73B93044" w:rsidR="008E10EF" w:rsidRDefault="008E10EF" w:rsidP="008E10EF">
      <w:pPr>
        <w:pStyle w:val="References"/>
      </w:pPr>
      <w:r>
        <w:rPr>
          <w:vertAlign w:val="superscript"/>
        </w:rPr>
        <w:t>11</w:t>
      </w:r>
      <w:r>
        <w:t>Saunders</w:t>
      </w:r>
      <w:r w:rsidRPr="009955F8">
        <w:t xml:space="preserve">, D. </w:t>
      </w:r>
      <w:r>
        <w:t>A</w:t>
      </w:r>
      <w:r w:rsidRPr="009955F8">
        <w:t xml:space="preserve">., </w:t>
      </w:r>
      <w:r>
        <w:t xml:space="preserve">and </w:t>
      </w:r>
      <w:r w:rsidRPr="009955F8">
        <w:t>W</w:t>
      </w:r>
      <w:r>
        <w:t>h</w:t>
      </w:r>
      <w:r w:rsidRPr="009955F8">
        <w:t>i</w:t>
      </w:r>
      <w:r>
        <w:t>te</w:t>
      </w:r>
      <w:r w:rsidRPr="009955F8">
        <w:t xml:space="preserve">, </w:t>
      </w:r>
      <w:r>
        <w:t>T. R</w:t>
      </w:r>
      <w:r w:rsidRPr="009955F8">
        <w:t>.,</w:t>
      </w:r>
      <w:r w:rsidRPr="009955F8">
        <w:rPr>
          <w:vertAlign w:val="superscript"/>
        </w:rPr>
        <w:t xml:space="preserve"> </w:t>
      </w:r>
      <w:r w:rsidRPr="00823A57">
        <w:t>http://sourceforge.net/projects/cfdutilities/.</w:t>
      </w:r>
    </w:p>
    <w:p w14:paraId="18DB3E82" w14:textId="6139DC2E" w:rsidR="004B1425" w:rsidRPr="007F39A5" w:rsidRDefault="004B1425" w:rsidP="004B1425">
      <w:pPr>
        <w:pStyle w:val="References"/>
        <w:rPr>
          <w:color w:val="000000" w:themeColor="text1"/>
        </w:rPr>
      </w:pPr>
      <w:r>
        <w:rPr>
          <w:color w:val="000000" w:themeColor="text1"/>
          <w:vertAlign w:val="superscript"/>
        </w:rPr>
        <w:t>12</w:t>
      </w:r>
      <w:r>
        <w:rPr>
          <w:color w:val="000000" w:themeColor="text1"/>
        </w:rPr>
        <w:t>Scriven, G.</w:t>
      </w:r>
      <w:r w:rsidRPr="007F39A5">
        <w:rPr>
          <w:color w:val="000000" w:themeColor="text1"/>
        </w:rPr>
        <w:t xml:space="preserve"> R., </w:t>
      </w:r>
      <w:r>
        <w:rPr>
          <w:color w:val="000000" w:themeColor="text1"/>
        </w:rPr>
        <w:t xml:space="preserve">Scott, </w:t>
      </w:r>
      <w:r w:rsidRPr="007F39A5">
        <w:rPr>
          <w:color w:val="000000" w:themeColor="text1"/>
        </w:rPr>
        <w:t>C</w:t>
      </w:r>
      <w:r>
        <w:rPr>
          <w:color w:val="000000" w:themeColor="text1"/>
        </w:rPr>
        <w:t>.</w:t>
      </w:r>
      <w:r w:rsidRPr="007F39A5">
        <w:rPr>
          <w:color w:val="000000" w:themeColor="text1"/>
        </w:rPr>
        <w:t xml:space="preserve"> F., </w:t>
      </w:r>
      <w:r>
        <w:rPr>
          <w:color w:val="000000" w:themeColor="text1"/>
        </w:rPr>
        <w:t xml:space="preserve">Inman, </w:t>
      </w:r>
      <w:r w:rsidRPr="007F39A5">
        <w:rPr>
          <w:color w:val="000000" w:themeColor="text1"/>
        </w:rPr>
        <w:t>J</w:t>
      </w:r>
      <w:r>
        <w:rPr>
          <w:color w:val="000000" w:themeColor="text1"/>
        </w:rPr>
        <w:t>.</w:t>
      </w:r>
      <w:r w:rsidRPr="007F39A5">
        <w:rPr>
          <w:color w:val="000000" w:themeColor="text1"/>
        </w:rPr>
        <w:t xml:space="preserve"> A</w:t>
      </w:r>
      <w:r>
        <w:rPr>
          <w:color w:val="000000" w:themeColor="text1"/>
        </w:rPr>
        <w:t>.</w:t>
      </w:r>
      <w:r w:rsidRPr="007F39A5">
        <w:rPr>
          <w:color w:val="000000" w:themeColor="text1"/>
        </w:rPr>
        <w:t xml:space="preserve">, </w:t>
      </w:r>
      <w:r>
        <w:rPr>
          <w:color w:val="000000" w:themeColor="text1"/>
        </w:rPr>
        <w:t xml:space="preserve">Tanno, </w:t>
      </w:r>
      <w:r w:rsidRPr="007F39A5">
        <w:rPr>
          <w:color w:val="000000" w:themeColor="text1"/>
        </w:rPr>
        <w:t>H</w:t>
      </w:r>
      <w:r>
        <w:rPr>
          <w:color w:val="000000" w:themeColor="text1"/>
        </w:rPr>
        <w:t>.</w:t>
      </w:r>
      <w:r w:rsidRPr="007F39A5">
        <w:rPr>
          <w:color w:val="000000" w:themeColor="text1"/>
        </w:rPr>
        <w:t xml:space="preserve">, </w:t>
      </w:r>
      <w:r>
        <w:rPr>
          <w:color w:val="000000" w:themeColor="text1"/>
        </w:rPr>
        <w:t xml:space="preserve">Yamada, </w:t>
      </w:r>
      <w:r w:rsidRPr="007F39A5">
        <w:rPr>
          <w:color w:val="000000" w:themeColor="text1"/>
        </w:rPr>
        <w:t>T</w:t>
      </w:r>
      <w:r>
        <w:rPr>
          <w:color w:val="000000" w:themeColor="text1"/>
        </w:rPr>
        <w:t>.</w:t>
      </w:r>
      <w:r w:rsidRPr="007F39A5">
        <w:rPr>
          <w:color w:val="000000" w:themeColor="text1"/>
        </w:rPr>
        <w:t xml:space="preserve">, </w:t>
      </w:r>
      <w:r>
        <w:rPr>
          <w:color w:val="000000" w:themeColor="text1"/>
        </w:rPr>
        <w:t xml:space="preserve">Johnston, </w:t>
      </w:r>
      <w:r w:rsidRPr="007F39A5">
        <w:rPr>
          <w:color w:val="000000" w:themeColor="text1"/>
        </w:rPr>
        <w:t>C</w:t>
      </w:r>
      <w:r>
        <w:rPr>
          <w:color w:val="000000" w:themeColor="text1"/>
        </w:rPr>
        <w:t>. O.</w:t>
      </w:r>
      <w:r w:rsidRPr="007F39A5">
        <w:rPr>
          <w:color w:val="000000" w:themeColor="text1"/>
        </w:rPr>
        <w:t xml:space="preserve">, </w:t>
      </w:r>
      <w:r>
        <w:rPr>
          <w:color w:val="000000" w:themeColor="text1"/>
        </w:rPr>
        <w:t xml:space="preserve">Prabhu, </w:t>
      </w:r>
      <w:r w:rsidRPr="007F39A5">
        <w:rPr>
          <w:color w:val="000000" w:themeColor="text1"/>
        </w:rPr>
        <w:t>D</w:t>
      </w:r>
      <w:r>
        <w:rPr>
          <w:color w:val="000000" w:themeColor="text1"/>
        </w:rPr>
        <w:t>. K.</w:t>
      </w:r>
      <w:r w:rsidRPr="007F39A5">
        <w:rPr>
          <w:color w:val="000000" w:themeColor="text1"/>
        </w:rPr>
        <w:t xml:space="preserve">, </w:t>
      </w:r>
      <w:r>
        <w:rPr>
          <w:color w:val="000000" w:themeColor="text1"/>
        </w:rPr>
        <w:t xml:space="preserve">Conn, </w:t>
      </w:r>
      <w:r w:rsidRPr="007F39A5">
        <w:rPr>
          <w:color w:val="000000" w:themeColor="text1"/>
        </w:rPr>
        <w:t>R</w:t>
      </w:r>
      <w:r>
        <w:rPr>
          <w:color w:val="000000" w:themeColor="text1"/>
        </w:rPr>
        <w:t>., “</w:t>
      </w:r>
      <w:r w:rsidRPr="007F39A5">
        <w:rPr>
          <w:color w:val="000000" w:themeColor="text1"/>
        </w:rPr>
        <w:t>Hayabusa2 SHARC Spectro-Radiometric Calibration and Analysis</w:t>
      </w:r>
      <w:r>
        <w:rPr>
          <w:color w:val="000000" w:themeColor="text1"/>
        </w:rPr>
        <w:t>,” AIAA AVIATION 2022, Chicago, IL.</w:t>
      </w:r>
    </w:p>
    <w:p w14:paraId="659E2861" w14:textId="200C09D2" w:rsidR="00685005" w:rsidRDefault="00685005" w:rsidP="00685005">
      <w:pPr>
        <w:pStyle w:val="References"/>
      </w:pPr>
      <w:r>
        <w:rPr>
          <w:vertAlign w:val="superscript"/>
        </w:rPr>
        <w:lastRenderedPageBreak/>
        <w:t>13</w:t>
      </w:r>
      <w:r>
        <w:t xml:space="preserve">Allen, G. A., Jr., Wright, M. J., and Gage, P., “The Trajectory Program (Traj): Reference Manual and User’s </w:t>
      </w:r>
      <w:r w:rsidR="00BC1C3D">
        <w:t>Guide,” NASA</w:t>
      </w:r>
      <w:r>
        <w:t xml:space="preserve"> TM-2005-212847, 2005.</w:t>
      </w:r>
    </w:p>
    <w:p w14:paraId="0B5F65C9" w14:textId="0D70EC09" w:rsidR="00685005" w:rsidRDefault="00685005" w:rsidP="00685005">
      <w:pPr>
        <w:pStyle w:val="References"/>
      </w:pPr>
      <w:r>
        <w:rPr>
          <w:vertAlign w:val="superscript"/>
        </w:rPr>
        <w:t>14</w:t>
      </w:r>
      <w:r>
        <w:t>White, T., Maddock, R., Kazemba, C., Winski, R., and Adams, D., “Detailed Design of an Earth Entry Vehicle for Comet Surface Sample Return,” 14</w:t>
      </w:r>
      <w:r w:rsidRPr="00111A93">
        <w:rPr>
          <w:vertAlign w:val="superscript"/>
        </w:rPr>
        <w:t>th</w:t>
      </w:r>
      <w:r>
        <w:t xml:space="preserve"> International Planetary Probes Workshop, The Hague, Netherlands, June 2017.</w:t>
      </w:r>
    </w:p>
    <w:p w14:paraId="65D097CD" w14:textId="57F97981" w:rsidR="00685005" w:rsidRDefault="00685005" w:rsidP="00685005">
      <w:pPr>
        <w:pStyle w:val="References"/>
      </w:pPr>
      <w:r>
        <w:rPr>
          <w:vertAlign w:val="superscript"/>
        </w:rPr>
        <w:t>15</w:t>
      </w:r>
      <w:r>
        <w:t>NOAA/NASA/USAF, “US Standard Atmosphere, 1976,” NOAA–S/T 76-1562, US Govt. Printing Office, 1975.</w:t>
      </w:r>
    </w:p>
    <w:p w14:paraId="59AF1A95" w14:textId="6B4E3C78" w:rsidR="00E0684A" w:rsidRDefault="00685005" w:rsidP="00406C58">
      <w:pPr>
        <w:pStyle w:val="References"/>
      </w:pPr>
      <w:r>
        <w:rPr>
          <w:vertAlign w:val="superscript"/>
        </w:rPr>
        <w:t>16</w:t>
      </w:r>
      <w:r w:rsidRPr="00BF6231">
        <w:t xml:space="preserve">Cruden , B. A., </w:t>
      </w:r>
      <w:r w:rsidR="00C4648C">
        <w:t>“</w:t>
      </w:r>
      <w:r w:rsidR="00C4648C" w:rsidRPr="00C4648C">
        <w:t>On the Fluid Dynamics Boundary Condition in Ablating or Blowing Flows,</w:t>
      </w:r>
      <w:r w:rsidR="00C4648C">
        <w:t>”</w:t>
      </w:r>
      <w:r w:rsidR="00C4648C" w:rsidRPr="00C4648C">
        <w:t xml:space="preserve"> </w:t>
      </w:r>
      <w:r w:rsidR="00C4648C">
        <w:t xml:space="preserve">AIAA Paper 2023-3614, </w:t>
      </w:r>
      <w:r w:rsidR="00C4648C" w:rsidRPr="00C4648C">
        <w:t xml:space="preserve">AIAA AVIATION 2023 Forum, </w:t>
      </w:r>
      <w:r w:rsidR="00C4648C">
        <w:t xml:space="preserve">San Diego, CA, </w:t>
      </w:r>
      <w:r w:rsidR="00C4648C" w:rsidRPr="00C4648C">
        <w:t>2023</w:t>
      </w:r>
      <w:r w:rsidR="00C4648C">
        <w:rPr>
          <w:i/>
          <w:iCs/>
        </w:rPr>
        <w:t>.</w:t>
      </w:r>
    </w:p>
    <w:p w14:paraId="1E5A7639" w14:textId="03E4E999" w:rsidR="004D29BA" w:rsidRPr="004D29BA" w:rsidRDefault="004D29BA" w:rsidP="004D29BA">
      <w:pPr>
        <w:pStyle w:val="References"/>
        <w:rPr>
          <w:szCs w:val="18"/>
        </w:rPr>
      </w:pPr>
      <w:r>
        <w:rPr>
          <w:vertAlign w:val="superscript"/>
        </w:rPr>
        <w:t>1</w:t>
      </w:r>
      <w:r w:rsidR="00685005">
        <w:rPr>
          <w:vertAlign w:val="superscript"/>
        </w:rPr>
        <w:t>7</w:t>
      </w:r>
      <w:r w:rsidRPr="004D29BA">
        <w:rPr>
          <w:szCs w:val="18"/>
        </w:rPr>
        <w:t>Chen, Y.-K., and Milos, F. S., “Ablation and Thermal Analysis Program</w:t>
      </w:r>
      <w:r>
        <w:rPr>
          <w:szCs w:val="18"/>
        </w:rPr>
        <w:t xml:space="preserve"> </w:t>
      </w:r>
      <w:r w:rsidRPr="004D29BA">
        <w:rPr>
          <w:szCs w:val="18"/>
        </w:rPr>
        <w:t xml:space="preserve">for Spacecraft Heatshield Analysis,” </w:t>
      </w:r>
      <w:r w:rsidRPr="004D29BA">
        <w:rPr>
          <w:i/>
          <w:iCs/>
          <w:szCs w:val="18"/>
        </w:rPr>
        <w:t>Journal of Spacecraft and Rockets</w:t>
      </w:r>
      <w:r w:rsidRPr="004D29BA">
        <w:rPr>
          <w:szCs w:val="18"/>
        </w:rPr>
        <w:t>,</w:t>
      </w:r>
      <w:r>
        <w:rPr>
          <w:szCs w:val="18"/>
        </w:rPr>
        <w:t xml:space="preserve"> </w:t>
      </w:r>
      <w:r w:rsidRPr="004D29BA">
        <w:rPr>
          <w:szCs w:val="18"/>
        </w:rPr>
        <w:t>Vol. 36, No. 3, 1999, pp. 475–483.</w:t>
      </w:r>
    </w:p>
    <w:p w14:paraId="422C105C" w14:textId="287B0A0B" w:rsidR="00262F1C" w:rsidRDefault="00262F1C" w:rsidP="00262F1C">
      <w:pPr>
        <w:pStyle w:val="References"/>
      </w:pPr>
      <w:r>
        <w:rPr>
          <w:vertAlign w:val="superscript"/>
        </w:rPr>
        <w:t>1</w:t>
      </w:r>
      <w:r w:rsidR="00685005">
        <w:rPr>
          <w:vertAlign w:val="superscript"/>
        </w:rPr>
        <w:t>8</w:t>
      </w:r>
      <w:r w:rsidRPr="0043038B">
        <w:t>Lachaud</w:t>
      </w:r>
      <w:r>
        <w:t>, J.,</w:t>
      </w:r>
      <w:r w:rsidRPr="0043038B">
        <w:t xml:space="preserve"> </w:t>
      </w:r>
      <w:r w:rsidRPr="0043038B">
        <w:rPr>
          <w:i/>
          <w:iCs/>
        </w:rPr>
        <w:t>et al</w:t>
      </w:r>
      <w:r w:rsidRPr="0043038B">
        <w:t>.,</w:t>
      </w:r>
      <w:r>
        <w:t xml:space="preserve"> “</w:t>
      </w:r>
      <w:r w:rsidRPr="0043038B">
        <w:t xml:space="preserve">A Generic Local Thermal Equilibrium Model </w:t>
      </w:r>
      <w:r>
        <w:t>f</w:t>
      </w:r>
      <w:r w:rsidRPr="0043038B">
        <w:t xml:space="preserve">or Porous Reactive Materials Submitted </w:t>
      </w:r>
      <w:r>
        <w:t>t</w:t>
      </w:r>
      <w:r w:rsidRPr="0043038B">
        <w:t>o High Temperatures</w:t>
      </w:r>
      <w:r>
        <w:t>,”</w:t>
      </w:r>
      <w:r w:rsidRPr="0043038B">
        <w:t xml:space="preserve"> </w:t>
      </w:r>
      <w:r w:rsidRPr="0043038B">
        <w:rPr>
          <w:i/>
          <w:iCs/>
        </w:rPr>
        <w:t>Int</w:t>
      </w:r>
      <w:r>
        <w:rPr>
          <w:i/>
          <w:iCs/>
        </w:rPr>
        <w:t>ernational</w:t>
      </w:r>
      <w:r w:rsidRPr="0043038B">
        <w:rPr>
          <w:i/>
          <w:iCs/>
        </w:rPr>
        <w:t xml:space="preserve"> J</w:t>
      </w:r>
      <w:r>
        <w:rPr>
          <w:i/>
          <w:iCs/>
        </w:rPr>
        <w:t>ournal of</w:t>
      </w:r>
      <w:r w:rsidRPr="0043038B">
        <w:rPr>
          <w:i/>
          <w:iCs/>
        </w:rPr>
        <w:t xml:space="preserve"> Heat</w:t>
      </w:r>
      <w:r>
        <w:rPr>
          <w:i/>
          <w:iCs/>
        </w:rPr>
        <w:t xml:space="preserve"> and</w:t>
      </w:r>
      <w:r w:rsidRPr="0043038B">
        <w:rPr>
          <w:i/>
          <w:iCs/>
        </w:rPr>
        <w:t xml:space="preserve"> Mass Tran</w:t>
      </w:r>
      <w:r>
        <w:rPr>
          <w:i/>
          <w:iCs/>
        </w:rPr>
        <w:t>sfer</w:t>
      </w:r>
      <w:r w:rsidRPr="0043038B">
        <w:t xml:space="preserve">, </w:t>
      </w:r>
      <w:r>
        <w:t xml:space="preserve">Vol. </w:t>
      </w:r>
      <w:r w:rsidRPr="0043038B">
        <w:t xml:space="preserve">108, </w:t>
      </w:r>
      <w:r>
        <w:t xml:space="preserve">pp. </w:t>
      </w:r>
      <w:r w:rsidRPr="0043038B">
        <w:t>1406–1417</w:t>
      </w:r>
      <w:r>
        <w:t>, 2017</w:t>
      </w:r>
      <w:r w:rsidRPr="00823A57">
        <w:t>.</w:t>
      </w:r>
    </w:p>
    <w:p w14:paraId="4192D7E4" w14:textId="08E180BA" w:rsidR="00346D43" w:rsidRDefault="00346D43" w:rsidP="00346D43">
      <w:pPr>
        <w:pStyle w:val="References"/>
      </w:pPr>
      <w:r>
        <w:rPr>
          <w:vertAlign w:val="superscript"/>
        </w:rPr>
        <w:t>1</w:t>
      </w:r>
      <w:r w:rsidR="00685005">
        <w:rPr>
          <w:vertAlign w:val="superscript"/>
        </w:rPr>
        <w:t>9</w:t>
      </w:r>
      <w:r>
        <w:t>Anderson, G. P., Berk, A., Acharya, P. K.,</w:t>
      </w:r>
      <w:r w:rsidR="00BC1C3D">
        <w:t xml:space="preserve"> </w:t>
      </w:r>
      <w:r>
        <w:t xml:space="preserve">Matthew, M.W., Bernstein, L. S., Chetwynd, J. H., Dothe, H., Adler-Golden, S.M., Ratkowski, A. J., Felde, G. W., et al., “MODTRAN4: Radiative Transfer Modeling for Remote Sensing,” </w:t>
      </w:r>
      <w:r w:rsidRPr="00732EDE">
        <w:rPr>
          <w:i/>
          <w:iCs/>
        </w:rPr>
        <w:t xml:space="preserve">Proceedings of SPIE, </w:t>
      </w:r>
      <w:r w:rsidRPr="00732EDE">
        <w:t>Algorithms for Multispectral, Hyperspectral, and Ultraspectral Imagery VI</w:t>
      </w:r>
      <w:r>
        <w:t>, S. S. Chen, and M. R. Descour (Eds.), Vol. 4049, Aug. 2000, pp. 176–183.</w:t>
      </w:r>
    </w:p>
    <w:p w14:paraId="3902874E" w14:textId="6A0A063D" w:rsidR="00685005" w:rsidRPr="00597284" w:rsidRDefault="00685005" w:rsidP="00685005">
      <w:pPr>
        <w:pStyle w:val="References"/>
        <w:rPr>
          <w:color w:val="000000" w:themeColor="text1"/>
        </w:rPr>
      </w:pPr>
      <w:r>
        <w:rPr>
          <w:color w:val="000000" w:themeColor="text1"/>
          <w:vertAlign w:val="superscript"/>
        </w:rPr>
        <w:t>20</w:t>
      </w:r>
      <w:r>
        <w:rPr>
          <w:color w:val="000000" w:themeColor="text1"/>
        </w:rPr>
        <w:t>White</w:t>
      </w:r>
      <w:r w:rsidRPr="00597284">
        <w:rPr>
          <w:color w:val="000000" w:themeColor="text1"/>
        </w:rPr>
        <w:t xml:space="preserve">, </w:t>
      </w:r>
      <w:r>
        <w:rPr>
          <w:color w:val="000000" w:themeColor="text1"/>
        </w:rPr>
        <w:t>P. W.</w:t>
      </w:r>
      <w:r w:rsidRPr="00597284">
        <w:rPr>
          <w:color w:val="000000" w:themeColor="text1"/>
        </w:rPr>
        <w:t>,</w:t>
      </w:r>
      <w:r>
        <w:rPr>
          <w:color w:val="000000" w:themeColor="text1"/>
        </w:rPr>
        <w:t xml:space="preserve"> Hoffman, J.,</w:t>
      </w:r>
      <w:r w:rsidRPr="00597284">
        <w:rPr>
          <w:color w:val="000000" w:themeColor="text1"/>
        </w:rPr>
        <w:t xml:space="preserve"> “</w:t>
      </w:r>
      <w:r w:rsidRPr="00ED31B8">
        <w:rPr>
          <w:color w:val="000000" w:themeColor="text1"/>
        </w:rPr>
        <w:t>Earth Global Reference Atmospheric Model</w:t>
      </w:r>
      <w:r>
        <w:rPr>
          <w:color w:val="000000" w:themeColor="text1"/>
        </w:rPr>
        <w:t xml:space="preserve"> </w:t>
      </w:r>
      <w:r w:rsidRPr="00ED31B8">
        <w:rPr>
          <w:color w:val="000000" w:themeColor="text1"/>
        </w:rPr>
        <w:t>(Earth-GRAM): User Guide</w:t>
      </w:r>
      <w:r w:rsidRPr="00597284">
        <w:rPr>
          <w:color w:val="000000" w:themeColor="text1"/>
        </w:rPr>
        <w:t>,</w:t>
      </w:r>
      <w:r>
        <w:rPr>
          <w:color w:val="000000" w:themeColor="text1"/>
        </w:rPr>
        <w:t>” NASA/TM-20210022157, September 2021</w:t>
      </w:r>
      <w:r w:rsidRPr="00597284">
        <w:rPr>
          <w:color w:val="000000" w:themeColor="text1"/>
        </w:rPr>
        <w:t>.</w:t>
      </w:r>
    </w:p>
    <w:p w14:paraId="429F1D73" w14:textId="7A875EC3" w:rsidR="00685005" w:rsidRDefault="00685005" w:rsidP="00685005">
      <w:pPr>
        <w:pStyle w:val="References"/>
        <w:rPr>
          <w:color w:val="000000" w:themeColor="text1"/>
        </w:rPr>
      </w:pPr>
      <w:r>
        <w:rPr>
          <w:vertAlign w:val="superscript"/>
        </w:rPr>
        <w:t>21</w:t>
      </w:r>
      <w:r w:rsidRPr="004A12A7">
        <w:rPr>
          <w:color w:val="000000" w:themeColor="text1"/>
        </w:rPr>
        <w:t xml:space="preserve">L.S. Rothman, I.E. Gordon, Y. Babikov, A. Barbe, D. Chris Benner, P.F. Bernath, M. Birk, L. Bizzocchi, V. Boudon, L.R. Brown, A. Campargue, K. Chance, E.A. Cohen, L.H. Coudert, V.M. Devi, B.J. Drouin, A. Fayt, J.-M. Flaud, R.R. Gamache, J.J. Harrison, J.-M. Hartmann, C. Hill, J.T. Hodges, D. Jacquemart, A. Jolly, J. Lamouroux, R.J. Le Roy, G. Li, D.A. Long, O.M. Lyulin, C.J. Mackie, S.T. Massie, S. Mikhailenko, H.S.P. Müller, O.V. Naumenko, A.V. Nikitin, J. Orphal, V. Perevalov, A. Perrin, E.R. Polovtseva, C. Richard, M.A.H. Smith, E. Starikova, K. Sung, S. Tashkun, J. Tennyson, G.C. Toon, Vl.G. Tyuterev, G. Wagner, </w:t>
      </w:r>
      <w:r>
        <w:rPr>
          <w:color w:val="000000" w:themeColor="text1"/>
        </w:rPr>
        <w:t>“</w:t>
      </w:r>
      <w:r w:rsidRPr="004A12A7">
        <w:rPr>
          <w:color w:val="000000" w:themeColor="text1"/>
        </w:rPr>
        <w:t>The HITRAN2012 Molecular Spectroscopic Database</w:t>
      </w:r>
      <w:r>
        <w:rPr>
          <w:color w:val="000000" w:themeColor="text1"/>
        </w:rPr>
        <w:t>,”</w:t>
      </w:r>
      <w:r w:rsidRPr="004A12A7">
        <w:rPr>
          <w:color w:val="000000" w:themeColor="text1"/>
        </w:rPr>
        <w:t xml:space="preserve"> </w:t>
      </w:r>
      <w:r w:rsidRPr="004A12A7">
        <w:rPr>
          <w:i/>
          <w:iCs/>
          <w:color w:val="000000" w:themeColor="text1"/>
        </w:rPr>
        <w:t>J.</w:t>
      </w:r>
      <w:r>
        <w:rPr>
          <w:i/>
          <w:iCs/>
          <w:color w:val="000000" w:themeColor="text1"/>
        </w:rPr>
        <w:t xml:space="preserve"> </w:t>
      </w:r>
      <w:r w:rsidRPr="004A12A7">
        <w:rPr>
          <w:i/>
          <w:iCs/>
          <w:color w:val="000000" w:themeColor="text1"/>
        </w:rPr>
        <w:t>Quant. Spectrosc. Radiat. Transfer</w:t>
      </w:r>
      <w:r w:rsidRPr="004A12A7">
        <w:rPr>
          <w:color w:val="000000" w:themeColor="text1"/>
        </w:rPr>
        <w:t xml:space="preserve">, </w:t>
      </w:r>
      <w:r>
        <w:rPr>
          <w:color w:val="000000" w:themeColor="text1"/>
        </w:rPr>
        <w:t xml:space="preserve">Vol. </w:t>
      </w:r>
      <w:r w:rsidRPr="004A12A7">
        <w:rPr>
          <w:color w:val="000000" w:themeColor="text1"/>
        </w:rPr>
        <w:t>130, 4-50 (2013).</w:t>
      </w:r>
    </w:p>
    <w:p w14:paraId="6D39994B" w14:textId="059B0E89" w:rsidR="00685005" w:rsidRPr="00597284" w:rsidRDefault="00685005" w:rsidP="00685005">
      <w:pPr>
        <w:pStyle w:val="References"/>
        <w:rPr>
          <w:color w:val="000000" w:themeColor="text1"/>
        </w:rPr>
      </w:pPr>
      <w:r>
        <w:rPr>
          <w:vertAlign w:val="superscript"/>
        </w:rPr>
        <w:t>22</w:t>
      </w:r>
      <w:r w:rsidRPr="003D6A7E">
        <w:rPr>
          <w:color w:val="000000" w:themeColor="text1"/>
        </w:rPr>
        <w:t>Schöier, F. L. ; van der Tak, F. F. S. ; van Dishoeck, E. F. ; Black, J. H.</w:t>
      </w:r>
      <w:r>
        <w:rPr>
          <w:color w:val="000000" w:themeColor="text1"/>
        </w:rPr>
        <w:t>, “</w:t>
      </w:r>
      <w:r w:rsidRPr="003D6A7E">
        <w:rPr>
          <w:color w:val="000000" w:themeColor="text1"/>
        </w:rPr>
        <w:t>An atomic and molecular database for analysis of submillimetre line observations</w:t>
      </w:r>
      <w:r>
        <w:rPr>
          <w:color w:val="000000" w:themeColor="text1"/>
        </w:rPr>
        <w:t xml:space="preserve">,” </w:t>
      </w:r>
      <w:r w:rsidRPr="003D6A7E">
        <w:rPr>
          <w:i/>
          <w:iCs/>
          <w:color w:val="000000" w:themeColor="text1"/>
        </w:rPr>
        <w:t>Astronomy and Astrophysics</w:t>
      </w:r>
      <w:r w:rsidRPr="003D6A7E">
        <w:rPr>
          <w:color w:val="000000" w:themeColor="text1"/>
        </w:rPr>
        <w:t xml:space="preserve">, Volume 432, Issue 1, March </w:t>
      </w:r>
      <w:r>
        <w:rPr>
          <w:color w:val="000000" w:themeColor="text1"/>
        </w:rPr>
        <w:t>11,</w:t>
      </w:r>
      <w:r w:rsidRPr="003D6A7E">
        <w:rPr>
          <w:color w:val="000000" w:themeColor="text1"/>
        </w:rPr>
        <w:t xml:space="preserve"> 2005, pp.</w:t>
      </w:r>
      <w:r>
        <w:rPr>
          <w:color w:val="000000" w:themeColor="text1"/>
        </w:rPr>
        <w:t xml:space="preserve"> </w:t>
      </w:r>
      <w:r w:rsidRPr="003D6A7E">
        <w:rPr>
          <w:color w:val="000000" w:themeColor="text1"/>
        </w:rPr>
        <w:t>369</w:t>
      </w:r>
      <w:r>
        <w:rPr>
          <w:color w:val="000000" w:themeColor="text1"/>
        </w:rPr>
        <w:t>–</w:t>
      </w:r>
      <w:r w:rsidRPr="003D6A7E">
        <w:rPr>
          <w:color w:val="000000" w:themeColor="text1"/>
        </w:rPr>
        <w:t>379</w:t>
      </w:r>
      <w:r>
        <w:rPr>
          <w:color w:val="000000" w:themeColor="text1"/>
        </w:rPr>
        <w:t>.</w:t>
      </w:r>
    </w:p>
    <w:p w14:paraId="54397A74" w14:textId="7371AB94" w:rsidR="00BC1AEA" w:rsidRPr="00597284" w:rsidRDefault="00BC1AEA" w:rsidP="00BC1AEA">
      <w:pPr>
        <w:pStyle w:val="References"/>
        <w:rPr>
          <w:color w:val="000000" w:themeColor="text1"/>
        </w:rPr>
      </w:pPr>
      <w:r>
        <w:rPr>
          <w:color w:val="000000" w:themeColor="text1"/>
          <w:szCs w:val="18"/>
          <w:vertAlign w:val="superscript"/>
        </w:rPr>
        <w:t>23</w:t>
      </w:r>
      <w:r w:rsidRPr="00597284">
        <w:rPr>
          <w:color w:val="000000" w:themeColor="text1"/>
          <w:szCs w:val="18"/>
        </w:rPr>
        <w:t>Jenniskens, P. M., “</w:t>
      </w:r>
      <w:r>
        <w:rPr>
          <w:color w:val="000000" w:themeColor="text1"/>
          <w:szCs w:val="18"/>
        </w:rPr>
        <w:t>Observations of the Stardust Sample Return Capsule Entry with a Slitless Echelle Spectrograph</w:t>
      </w:r>
      <w:r w:rsidRPr="00597284">
        <w:rPr>
          <w:color w:val="000000" w:themeColor="text1"/>
        </w:rPr>
        <w:t xml:space="preserve">,” </w:t>
      </w:r>
      <w:r w:rsidRPr="00597284">
        <w:rPr>
          <w:i/>
          <w:iCs/>
          <w:color w:val="000000" w:themeColor="text1"/>
        </w:rPr>
        <w:t>Journal of Spacecraft &amp; Rockets</w:t>
      </w:r>
      <w:r w:rsidRPr="00597284">
        <w:rPr>
          <w:color w:val="000000" w:themeColor="text1"/>
        </w:rPr>
        <w:t xml:space="preserve">, Vol. </w:t>
      </w:r>
      <w:r>
        <w:rPr>
          <w:color w:val="000000" w:themeColor="text1"/>
        </w:rPr>
        <w:t>47</w:t>
      </w:r>
      <w:r w:rsidRPr="00597284">
        <w:rPr>
          <w:color w:val="000000" w:themeColor="text1"/>
        </w:rPr>
        <w:t>, 201</w:t>
      </w:r>
      <w:r>
        <w:rPr>
          <w:color w:val="000000" w:themeColor="text1"/>
        </w:rPr>
        <w:t>0</w:t>
      </w:r>
      <w:r w:rsidRPr="00597284">
        <w:rPr>
          <w:color w:val="000000" w:themeColor="text1"/>
        </w:rPr>
        <w:t xml:space="preserve">, pp. </w:t>
      </w:r>
      <w:r>
        <w:rPr>
          <w:color w:val="000000" w:themeColor="text1"/>
        </w:rPr>
        <w:t>718–735</w:t>
      </w:r>
      <w:r w:rsidRPr="00597284">
        <w:rPr>
          <w:color w:val="000000" w:themeColor="text1"/>
        </w:rPr>
        <w:t>.</w:t>
      </w:r>
    </w:p>
    <w:p w14:paraId="397667EA" w14:textId="7984154D" w:rsidR="008C5F85" w:rsidRDefault="008C5F85" w:rsidP="008C5F85">
      <w:pPr>
        <w:pStyle w:val="References"/>
      </w:pPr>
      <w:r>
        <w:rPr>
          <w:color w:val="000000" w:themeColor="text1"/>
          <w:vertAlign w:val="superscript"/>
        </w:rPr>
        <w:t>24</w:t>
      </w:r>
      <w:r>
        <w:rPr>
          <w:color w:val="000000" w:themeColor="text1"/>
        </w:rPr>
        <w:t>Grinstead, J. H., Jenniskens, P. M., Cassell, A. M., Albers, J., Winter, M., “</w:t>
      </w:r>
      <w:r w:rsidRPr="00626FFA">
        <w:rPr>
          <w:color w:val="000000" w:themeColor="text1"/>
        </w:rPr>
        <w:t>Airborne Observation of the Hayabusa Sample Return</w:t>
      </w:r>
      <w:r>
        <w:rPr>
          <w:color w:val="000000" w:themeColor="text1"/>
        </w:rPr>
        <w:t xml:space="preserve"> </w:t>
      </w:r>
      <w:r w:rsidRPr="00626FFA">
        <w:rPr>
          <w:color w:val="000000" w:themeColor="text1"/>
        </w:rPr>
        <w:t>Capsule Re-entry</w:t>
      </w:r>
      <w:r>
        <w:rPr>
          <w:color w:val="000000" w:themeColor="text1"/>
        </w:rPr>
        <w:t xml:space="preserve">,” </w:t>
      </w:r>
      <w:r>
        <w:t>42</w:t>
      </w:r>
      <w:r w:rsidRPr="00626FFA">
        <w:rPr>
          <w:vertAlign w:val="superscript"/>
        </w:rPr>
        <w:t>nd</w:t>
      </w:r>
      <w:r>
        <w:t xml:space="preserve"> AIAA Thermophysics Conference, Honolulu, HI, Jan. 2011.</w:t>
      </w:r>
    </w:p>
    <w:p w14:paraId="74B17E17" w14:textId="09E89477" w:rsidR="00A41AB8" w:rsidRDefault="00A41AB8" w:rsidP="00A41AB8">
      <w:pPr>
        <w:pStyle w:val="References"/>
        <w:rPr>
          <w:color w:val="000000" w:themeColor="text1"/>
        </w:rPr>
      </w:pPr>
      <w:r>
        <w:rPr>
          <w:color w:val="000000" w:themeColor="text1"/>
          <w:vertAlign w:val="superscript"/>
        </w:rPr>
        <w:t>25</w:t>
      </w:r>
      <w:r>
        <w:rPr>
          <w:color w:val="000000" w:themeColor="text1"/>
        </w:rPr>
        <w:t>Zhong, J., and Levin, D., “</w:t>
      </w:r>
      <w:r w:rsidRPr="007D66F9">
        <w:rPr>
          <w:color w:val="000000" w:themeColor="text1"/>
        </w:rPr>
        <w:t>Modeling of Sodium Radiation from Reentry Flows</w:t>
      </w:r>
      <w:r>
        <w:rPr>
          <w:color w:val="000000" w:themeColor="text1"/>
        </w:rPr>
        <w:t xml:space="preserve"> </w:t>
      </w:r>
      <w:r w:rsidRPr="007D66F9">
        <w:rPr>
          <w:color w:val="000000" w:themeColor="text1"/>
        </w:rPr>
        <w:t>at High Altitudes</w:t>
      </w:r>
      <w:r>
        <w:rPr>
          <w:color w:val="000000" w:themeColor="text1"/>
        </w:rPr>
        <w:t xml:space="preserve">,” </w:t>
      </w:r>
      <w:r w:rsidRPr="004D29BA">
        <w:rPr>
          <w:i/>
          <w:iCs/>
          <w:szCs w:val="18"/>
        </w:rPr>
        <w:t>Journal of Spacecraft and Rockets</w:t>
      </w:r>
      <w:r w:rsidRPr="004D29BA">
        <w:rPr>
          <w:szCs w:val="18"/>
        </w:rPr>
        <w:t>,</w:t>
      </w:r>
      <w:r>
        <w:rPr>
          <w:szCs w:val="18"/>
        </w:rPr>
        <w:t xml:space="preserve"> </w:t>
      </w:r>
      <w:r w:rsidRPr="004D29BA">
        <w:rPr>
          <w:szCs w:val="18"/>
        </w:rPr>
        <w:t xml:space="preserve">Vol. </w:t>
      </w:r>
      <w:r>
        <w:rPr>
          <w:szCs w:val="18"/>
        </w:rPr>
        <w:t>47</w:t>
      </w:r>
      <w:r w:rsidRPr="004D29BA">
        <w:rPr>
          <w:szCs w:val="18"/>
        </w:rPr>
        <w:t xml:space="preserve">, No. </w:t>
      </w:r>
      <w:r>
        <w:rPr>
          <w:szCs w:val="18"/>
        </w:rPr>
        <w:t>5</w:t>
      </w:r>
      <w:r w:rsidRPr="004D29BA">
        <w:rPr>
          <w:szCs w:val="18"/>
        </w:rPr>
        <w:t xml:space="preserve">, </w:t>
      </w:r>
      <w:r>
        <w:rPr>
          <w:szCs w:val="18"/>
        </w:rPr>
        <w:t>2010</w:t>
      </w:r>
      <w:r w:rsidRPr="004D29BA">
        <w:rPr>
          <w:szCs w:val="18"/>
        </w:rPr>
        <w:t xml:space="preserve">, pp. </w:t>
      </w:r>
      <w:r>
        <w:rPr>
          <w:szCs w:val="18"/>
        </w:rPr>
        <w:t>757</w:t>
      </w:r>
      <w:r w:rsidRPr="004D29BA">
        <w:rPr>
          <w:szCs w:val="18"/>
        </w:rPr>
        <w:t>–</w:t>
      </w:r>
      <w:r>
        <w:rPr>
          <w:szCs w:val="18"/>
        </w:rPr>
        <w:t>764</w:t>
      </w:r>
      <w:r>
        <w:t>.</w:t>
      </w:r>
    </w:p>
    <w:p w14:paraId="7127783E" w14:textId="65FC312D" w:rsidR="008C5F85" w:rsidRDefault="008C5F85" w:rsidP="008C5F85">
      <w:pPr>
        <w:pStyle w:val="References"/>
        <w:rPr>
          <w:color w:val="000000" w:themeColor="text1"/>
        </w:rPr>
      </w:pPr>
      <w:r>
        <w:rPr>
          <w:color w:val="000000" w:themeColor="text1"/>
          <w:vertAlign w:val="superscript"/>
        </w:rPr>
        <w:t>2</w:t>
      </w:r>
      <w:r w:rsidR="00A41AB8">
        <w:rPr>
          <w:color w:val="000000" w:themeColor="text1"/>
          <w:vertAlign w:val="superscript"/>
        </w:rPr>
        <w:t>6</w:t>
      </w:r>
      <w:r>
        <w:rPr>
          <w:color w:val="000000" w:themeColor="text1"/>
        </w:rPr>
        <w:t xml:space="preserve">Borovicka, J., </w:t>
      </w:r>
      <w:proofErr w:type="spellStart"/>
      <w:r>
        <w:rPr>
          <w:color w:val="000000" w:themeColor="text1"/>
        </w:rPr>
        <w:t>Koten</w:t>
      </w:r>
      <w:proofErr w:type="spellEnd"/>
      <w:r>
        <w:rPr>
          <w:color w:val="000000" w:themeColor="text1"/>
        </w:rPr>
        <w:t xml:space="preserve">, P., </w:t>
      </w:r>
      <w:proofErr w:type="spellStart"/>
      <w:r>
        <w:rPr>
          <w:color w:val="000000" w:themeColor="text1"/>
        </w:rPr>
        <w:t>Spurny</w:t>
      </w:r>
      <w:proofErr w:type="spellEnd"/>
      <w:r>
        <w:rPr>
          <w:color w:val="000000" w:themeColor="text1"/>
        </w:rPr>
        <w:t xml:space="preserve">, P. </w:t>
      </w:r>
      <w:proofErr w:type="spellStart"/>
      <w:r>
        <w:rPr>
          <w:color w:val="000000" w:themeColor="text1"/>
        </w:rPr>
        <w:t>Bocek</w:t>
      </w:r>
      <w:proofErr w:type="spellEnd"/>
      <w:r>
        <w:rPr>
          <w:color w:val="000000" w:themeColor="text1"/>
        </w:rPr>
        <w:t>, J., and Stork, R.., “</w:t>
      </w:r>
      <w:r w:rsidRPr="00EE4D2D">
        <w:rPr>
          <w:color w:val="000000" w:themeColor="text1"/>
        </w:rPr>
        <w:t>A survey of meteor spectra and orbits: evidence for three populations of Na-free meteoroids</w:t>
      </w:r>
      <w:r>
        <w:rPr>
          <w:color w:val="000000" w:themeColor="text1"/>
        </w:rPr>
        <w:t xml:space="preserve">,” </w:t>
      </w:r>
      <w:r>
        <w:rPr>
          <w:i/>
          <w:iCs/>
          <w:color w:val="000000" w:themeColor="text1"/>
        </w:rPr>
        <w:t>Icarus</w:t>
      </w:r>
      <w:r w:rsidRPr="007E278F">
        <w:rPr>
          <w:color w:val="000000" w:themeColor="text1"/>
        </w:rPr>
        <w:t xml:space="preserve">, </w:t>
      </w:r>
      <w:r>
        <w:rPr>
          <w:color w:val="000000" w:themeColor="text1"/>
        </w:rPr>
        <w:t>Vol. 174</w:t>
      </w:r>
      <w:r>
        <w:t>, 2005, pp. 15–30.</w:t>
      </w:r>
    </w:p>
    <w:p w14:paraId="123CDD7C" w14:textId="2C8A0D42" w:rsidR="008C5F85" w:rsidRDefault="008C5F85" w:rsidP="008C5F85">
      <w:pPr>
        <w:pStyle w:val="References"/>
        <w:rPr>
          <w:color w:val="000000" w:themeColor="text1"/>
        </w:rPr>
      </w:pPr>
      <w:r>
        <w:rPr>
          <w:color w:val="000000" w:themeColor="text1"/>
          <w:vertAlign w:val="superscript"/>
        </w:rPr>
        <w:t>2</w:t>
      </w:r>
      <w:r w:rsidR="00A41AB8">
        <w:rPr>
          <w:color w:val="000000" w:themeColor="text1"/>
          <w:vertAlign w:val="superscript"/>
        </w:rPr>
        <w:t>7</w:t>
      </w:r>
      <w:r>
        <w:rPr>
          <w:color w:val="000000" w:themeColor="text1"/>
        </w:rPr>
        <w:t xml:space="preserve">Trigo-Rodriguez, J. M., and </w:t>
      </w:r>
      <w:proofErr w:type="spellStart"/>
      <w:r>
        <w:rPr>
          <w:color w:val="000000" w:themeColor="text1"/>
        </w:rPr>
        <w:t>Llorca</w:t>
      </w:r>
      <w:proofErr w:type="spellEnd"/>
      <w:r>
        <w:rPr>
          <w:color w:val="000000" w:themeColor="text1"/>
        </w:rPr>
        <w:t>, J., “</w:t>
      </w:r>
      <w:r w:rsidRPr="00A24F7D">
        <w:rPr>
          <w:color w:val="000000" w:themeColor="text1"/>
        </w:rPr>
        <w:t>On the sodium overabundance in cometary meteoroids</w:t>
      </w:r>
      <w:r>
        <w:rPr>
          <w:color w:val="000000" w:themeColor="text1"/>
        </w:rPr>
        <w:t xml:space="preserve">,” </w:t>
      </w:r>
      <w:r>
        <w:rPr>
          <w:i/>
          <w:iCs/>
          <w:color w:val="000000" w:themeColor="text1"/>
        </w:rPr>
        <w:t>Advances in Space Research</w:t>
      </w:r>
      <w:r w:rsidRPr="007E278F">
        <w:rPr>
          <w:color w:val="000000" w:themeColor="text1"/>
        </w:rPr>
        <w:t xml:space="preserve">, </w:t>
      </w:r>
      <w:r>
        <w:rPr>
          <w:color w:val="000000" w:themeColor="text1"/>
        </w:rPr>
        <w:t>Vol. 139</w:t>
      </w:r>
      <w:r>
        <w:t>, 2007, pp. 517–525.</w:t>
      </w:r>
    </w:p>
    <w:p w14:paraId="6808EC22" w14:textId="656C5048" w:rsidR="003D69AB" w:rsidRDefault="003D69AB" w:rsidP="003D69AB">
      <w:pPr>
        <w:pStyle w:val="References"/>
        <w:rPr>
          <w:color w:val="000000" w:themeColor="text1"/>
        </w:rPr>
      </w:pPr>
      <w:r>
        <w:rPr>
          <w:color w:val="000000" w:themeColor="text1"/>
          <w:vertAlign w:val="superscript"/>
        </w:rPr>
        <w:t>2</w:t>
      </w:r>
      <w:r w:rsidR="00A41AB8">
        <w:rPr>
          <w:color w:val="000000" w:themeColor="text1"/>
          <w:vertAlign w:val="superscript"/>
        </w:rPr>
        <w:t>8</w:t>
      </w:r>
      <w:r w:rsidRPr="00D63484">
        <w:rPr>
          <w:color w:val="000000" w:themeColor="text1"/>
        </w:rPr>
        <w:t>Gordon, S., and McBride, B. J., “Computer program for calculations of complex chemical equilibrium compositions, rocket performance, incident and reflected shock, and Chapman-Jouguet detonations,” NASA/SP-273, 1976</w:t>
      </w:r>
      <w:r>
        <w:rPr>
          <w:color w:val="000000" w:themeColor="text1"/>
        </w:rPr>
        <w:t>.</w:t>
      </w:r>
    </w:p>
    <w:p w14:paraId="40B16475" w14:textId="427FBC7C" w:rsidR="003D69AB" w:rsidRDefault="003D69AB" w:rsidP="003D69AB">
      <w:pPr>
        <w:pStyle w:val="References"/>
        <w:rPr>
          <w:color w:val="000000" w:themeColor="text1"/>
        </w:rPr>
      </w:pPr>
      <w:r>
        <w:rPr>
          <w:color w:val="000000" w:themeColor="text1"/>
          <w:vertAlign w:val="superscript"/>
        </w:rPr>
        <w:t>2</w:t>
      </w:r>
      <w:r w:rsidR="00A41AB8">
        <w:rPr>
          <w:color w:val="000000" w:themeColor="text1"/>
          <w:vertAlign w:val="superscript"/>
        </w:rPr>
        <w:t>9</w:t>
      </w:r>
      <w:r>
        <w:rPr>
          <w:color w:val="000000" w:themeColor="text1"/>
        </w:rPr>
        <w:t>Raiche, G. A., and Driver, D. M., “</w:t>
      </w:r>
      <w:r w:rsidRPr="003D69AB">
        <w:rPr>
          <w:color w:val="000000" w:themeColor="text1"/>
        </w:rPr>
        <w:t>Shock Layer Optical Attenuation and Emission Spectroscopy Measurements During Arc Jet Testing with Ablating Models</w:t>
      </w:r>
      <w:r>
        <w:rPr>
          <w:color w:val="000000" w:themeColor="text1"/>
        </w:rPr>
        <w:t xml:space="preserve">,” AIAA Paper 2004-825, </w:t>
      </w:r>
      <w:r>
        <w:t>42nd AIAA Aerospace Sciences Meeting, Reno, NV, Jan. 2004</w:t>
      </w:r>
      <w:r>
        <w:rPr>
          <w:color w:val="000000" w:themeColor="text1"/>
        </w:rPr>
        <w:t>.</w:t>
      </w:r>
    </w:p>
    <w:p w14:paraId="771BD0AC" w14:textId="25ED7AE6" w:rsidR="003D69AB" w:rsidRDefault="00A41AB8" w:rsidP="003D69AB">
      <w:pPr>
        <w:pStyle w:val="References"/>
        <w:rPr>
          <w:color w:val="000000" w:themeColor="text1"/>
        </w:rPr>
      </w:pPr>
      <w:r>
        <w:rPr>
          <w:color w:val="000000" w:themeColor="text1"/>
          <w:vertAlign w:val="superscript"/>
        </w:rPr>
        <w:t>30</w:t>
      </w:r>
      <w:r w:rsidR="003D69AB">
        <w:rPr>
          <w:color w:val="000000" w:themeColor="text1"/>
        </w:rPr>
        <w:t>Park, C., Raiche, G. A.</w:t>
      </w:r>
      <w:r w:rsidR="00BC1C3D">
        <w:rPr>
          <w:color w:val="000000" w:themeColor="text1"/>
        </w:rPr>
        <w:t>,</w:t>
      </w:r>
      <w:r w:rsidR="003D69AB">
        <w:rPr>
          <w:color w:val="000000" w:themeColor="text1"/>
        </w:rPr>
        <w:t xml:space="preserve"> II, and Driver, D. M., “Radiation of Spalled Particles in Shock Layers,” AIAA Paper 2004-1349, </w:t>
      </w:r>
      <w:r w:rsidR="003D69AB">
        <w:t>42nd AIAA Aerospace Sciences Meeting, Reno, NV, Jan. 2004</w:t>
      </w:r>
      <w:r w:rsidR="003D69AB">
        <w:rPr>
          <w:color w:val="000000" w:themeColor="text1"/>
        </w:rPr>
        <w:t>.</w:t>
      </w:r>
    </w:p>
    <w:p w14:paraId="65B10866" w14:textId="1F49C8DA" w:rsidR="007E278F" w:rsidRDefault="00A41AB8" w:rsidP="007E278F">
      <w:pPr>
        <w:pStyle w:val="References"/>
        <w:rPr>
          <w:color w:val="000000" w:themeColor="text1"/>
        </w:rPr>
      </w:pPr>
      <w:r>
        <w:rPr>
          <w:color w:val="000000" w:themeColor="text1"/>
          <w:vertAlign w:val="superscript"/>
        </w:rPr>
        <w:t>31</w:t>
      </w:r>
      <w:r w:rsidR="007E278F">
        <w:rPr>
          <w:color w:val="000000" w:themeColor="text1"/>
        </w:rPr>
        <w:t xml:space="preserve">Plimpton, S. J., </w:t>
      </w:r>
      <w:r w:rsidR="007E278F">
        <w:rPr>
          <w:i/>
          <w:iCs/>
          <w:color w:val="000000" w:themeColor="text1"/>
        </w:rPr>
        <w:t>et al.</w:t>
      </w:r>
      <w:r w:rsidR="007E278F">
        <w:rPr>
          <w:color w:val="000000" w:themeColor="text1"/>
        </w:rPr>
        <w:t>, “</w:t>
      </w:r>
      <w:r w:rsidR="007E278F" w:rsidRPr="007E278F">
        <w:rPr>
          <w:color w:val="000000" w:themeColor="text1"/>
        </w:rPr>
        <w:t>Direct Simulation Monte Carlo on petaflop supercomputers and beyond</w:t>
      </w:r>
      <w:r w:rsidR="007E278F">
        <w:rPr>
          <w:color w:val="000000" w:themeColor="text1"/>
        </w:rPr>
        <w:t xml:space="preserve">,” </w:t>
      </w:r>
      <w:r w:rsidR="007E278F" w:rsidRPr="007E278F">
        <w:rPr>
          <w:i/>
          <w:iCs/>
          <w:color w:val="000000" w:themeColor="text1"/>
        </w:rPr>
        <w:t>Phys. Fluids</w:t>
      </w:r>
      <w:r w:rsidR="007E278F" w:rsidRPr="007E278F">
        <w:rPr>
          <w:color w:val="000000" w:themeColor="text1"/>
        </w:rPr>
        <w:t>, 31(8)</w:t>
      </w:r>
      <w:r w:rsidR="007E278F">
        <w:t>, 2019</w:t>
      </w:r>
      <w:r w:rsidR="007E278F">
        <w:rPr>
          <w:color w:val="000000" w:themeColor="text1"/>
        </w:rPr>
        <w:t>.</w:t>
      </w:r>
    </w:p>
    <w:p w14:paraId="424E7636" w14:textId="77777777" w:rsidR="00717D72" w:rsidRDefault="00717D72" w:rsidP="00823A57">
      <w:pPr>
        <w:pStyle w:val="References"/>
      </w:pPr>
    </w:p>
    <w:p w14:paraId="4C8A4FB6" w14:textId="77777777" w:rsidR="00F9519D" w:rsidRDefault="00F9519D" w:rsidP="00823A57">
      <w:pPr>
        <w:pStyle w:val="References"/>
      </w:pPr>
    </w:p>
    <w:p w14:paraId="3DCE5E52" w14:textId="77777777" w:rsidR="00F9519D" w:rsidRDefault="00F9519D" w:rsidP="00F9519D">
      <w:pPr>
        <w:pStyle w:val="References"/>
      </w:pPr>
    </w:p>
    <w:p w14:paraId="6BC6FE5D" w14:textId="77777777" w:rsidR="00626FFA" w:rsidRDefault="00626FFA" w:rsidP="00626FFA">
      <w:pPr>
        <w:pStyle w:val="References"/>
      </w:pPr>
    </w:p>
    <w:p w14:paraId="676E74A1" w14:textId="77777777" w:rsidR="00A24F7D" w:rsidRDefault="00A24F7D" w:rsidP="00A24F7D">
      <w:pPr>
        <w:pStyle w:val="References"/>
      </w:pPr>
    </w:p>
    <w:p w14:paraId="336D9115" w14:textId="77777777" w:rsidR="00F9519D" w:rsidRDefault="00F9519D" w:rsidP="00F9519D">
      <w:pPr>
        <w:pStyle w:val="References"/>
      </w:pPr>
    </w:p>
    <w:p w14:paraId="113BCA58" w14:textId="77777777" w:rsidR="00F9519D" w:rsidRDefault="00F9519D" w:rsidP="00823A57">
      <w:pPr>
        <w:pStyle w:val="References"/>
      </w:pPr>
    </w:p>
    <w:sectPr w:rsidR="00F9519D" w:rsidSect="00CA629C">
      <w:footerReference w:type="even" r:id="rId23"/>
      <w:footerReference w:type="default" r:id="rId24"/>
      <w:pgSz w:w="12240" w:h="15840"/>
      <w:pgMar w:top="1440" w:right="1440" w:bottom="1440" w:left="1440"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38125" w14:textId="77777777" w:rsidR="00471B31" w:rsidRDefault="00471B31">
      <w:r>
        <w:separator/>
      </w:r>
    </w:p>
  </w:endnote>
  <w:endnote w:type="continuationSeparator" w:id="0">
    <w:p w14:paraId="6884FC7A" w14:textId="77777777" w:rsidR="00471B31" w:rsidRDefault="00471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ucida Grande">
    <w:altName w:val="Segoe UI"/>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E5363" w14:textId="77777777" w:rsidR="004434DF" w:rsidRDefault="004434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21D1EF" w14:textId="77777777" w:rsidR="004434DF" w:rsidRDefault="004434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67B8" w14:textId="49E0491C" w:rsidR="004434DF" w:rsidRDefault="004434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87BDE">
      <w:rPr>
        <w:rStyle w:val="PageNumber"/>
        <w:noProof/>
      </w:rPr>
      <w:t>3</w:t>
    </w:r>
    <w:r>
      <w:rPr>
        <w:rStyle w:val="PageNumber"/>
      </w:rPr>
      <w:fldChar w:fldCharType="end"/>
    </w:r>
  </w:p>
  <w:p w14:paraId="41110072" w14:textId="77777777" w:rsidR="004434DF" w:rsidRDefault="004434DF">
    <w:pPr>
      <w:pStyle w:val="Footer"/>
      <w:jc w:val="center"/>
    </w:pPr>
  </w:p>
  <w:p w14:paraId="444ADFF8" w14:textId="77777777" w:rsidR="004434DF" w:rsidRDefault="004434DF" w:rsidP="00CF0CDA">
    <w:pPr>
      <w:pStyle w:val="Footer"/>
      <w:jc w:val="center"/>
    </w:pPr>
    <w:r>
      <w:t>American Institute of Aeronautics and Astronautics</w:t>
    </w:r>
  </w:p>
  <w:p w14:paraId="077EFCAC" w14:textId="77777777" w:rsidR="004434DF" w:rsidRPr="006933E9" w:rsidRDefault="004434DF">
    <w:pPr>
      <w:pStyle w:val="Footer"/>
      <w:jc w:val="center"/>
      <w:rPr>
        <w:sz w:val="14"/>
      </w:rPr>
    </w:pPr>
  </w:p>
  <w:p w14:paraId="2DB00237" w14:textId="77777777" w:rsidR="004434DF" w:rsidRDefault="004434D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5B1BD" w14:textId="77777777" w:rsidR="00471B31" w:rsidRDefault="00471B31">
      <w:r>
        <w:separator/>
      </w:r>
    </w:p>
  </w:footnote>
  <w:footnote w:type="continuationSeparator" w:id="0">
    <w:p w14:paraId="097205BB" w14:textId="77777777" w:rsidR="00471B31" w:rsidRDefault="00471B31">
      <w:r>
        <w:continuationSeparator/>
      </w:r>
    </w:p>
  </w:footnote>
  <w:footnote w:id="1">
    <w:p w14:paraId="0A046431" w14:textId="33A80245" w:rsidR="003442E4" w:rsidRDefault="003442E4" w:rsidP="003442E4">
      <w:r>
        <w:rPr>
          <w:rStyle w:val="FootnoteReference"/>
        </w:rPr>
        <w:footnoteRef/>
      </w:r>
      <w:r>
        <w:t xml:space="preserve"> Sr. Research Scientist, Aerothermodynamics Branch, M/S 230-1, Associate Fellow AIAA.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29D9"/>
    <w:multiLevelType w:val="hybridMultilevel"/>
    <w:tmpl w:val="4C12DBB0"/>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 w15:restartNumberingAfterBreak="0">
    <w:nsid w:val="05E72F71"/>
    <w:multiLevelType w:val="multilevel"/>
    <w:tmpl w:val="15BE78DC"/>
    <w:lvl w:ilvl="0">
      <w:start w:val="1"/>
      <w:numFmt w:val="upperRoman"/>
      <w:lvlText w:val="%1."/>
      <w:lvlJc w:val="right"/>
      <w:pPr>
        <w:tabs>
          <w:tab w:val="num" w:pos="360"/>
        </w:tabs>
        <w:ind w:left="0" w:firstLine="0"/>
      </w:pPr>
      <w:rPr>
        <w:rFonts w:ascii="Times New Roman" w:hAnsi="Times New Roman"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6663112"/>
    <w:multiLevelType w:val="hybridMultilevel"/>
    <w:tmpl w:val="94CCD780"/>
    <w:lvl w:ilvl="0" w:tplc="3572D80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 w15:restartNumberingAfterBreak="0">
    <w:nsid w:val="09A54227"/>
    <w:multiLevelType w:val="hybridMultilevel"/>
    <w:tmpl w:val="4E9C4646"/>
    <w:lvl w:ilvl="0" w:tplc="C35C325E">
      <w:start w:val="1"/>
      <w:numFmt w:val="decimal"/>
      <w:pStyle w:val="Heading3"/>
      <w:lvlText w:val="%1."/>
      <w:lvlJc w:val="left"/>
      <w:pPr>
        <w:tabs>
          <w:tab w:val="num" w:pos="648"/>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C263C75"/>
    <w:multiLevelType w:val="hybridMultilevel"/>
    <w:tmpl w:val="4A842EDA"/>
    <w:lvl w:ilvl="0" w:tplc="43E22C5C">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5" w15:restartNumberingAfterBreak="0">
    <w:nsid w:val="0E6B467F"/>
    <w:multiLevelType w:val="hybridMultilevel"/>
    <w:tmpl w:val="1D9AF65E"/>
    <w:lvl w:ilvl="0" w:tplc="FFFFFFFF">
      <w:start w:val="1"/>
      <w:numFmt w:val="upperLetter"/>
      <w:lvlText w:val="%1."/>
      <w:lvlJc w:val="left"/>
      <w:pPr>
        <w:ind w:left="936" w:hanging="360"/>
      </w:pPr>
      <w:rPr>
        <w:rFonts w:hint="default"/>
      </w:rPr>
    </w:lvl>
    <w:lvl w:ilvl="1" w:tplc="FFFFFFFF" w:tentative="1">
      <w:start w:val="1"/>
      <w:numFmt w:val="lowerLetter"/>
      <w:lvlText w:val="%2."/>
      <w:lvlJc w:val="lef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6" w15:restartNumberingAfterBreak="0">
    <w:nsid w:val="13CD4ACF"/>
    <w:multiLevelType w:val="hybridMultilevel"/>
    <w:tmpl w:val="C76AA214"/>
    <w:lvl w:ilvl="0" w:tplc="606803D6">
      <w:start w:val="1"/>
      <w:numFmt w:val="upperLetter"/>
      <w:pStyle w:val="Heading2"/>
      <w:lvlText w:val="%1."/>
      <w:lvlJc w:val="left"/>
      <w:pPr>
        <w:tabs>
          <w:tab w:val="num" w:pos="360"/>
        </w:tabs>
        <w:ind w:left="0" w:firstLine="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B4F54E7"/>
    <w:multiLevelType w:val="hybridMultilevel"/>
    <w:tmpl w:val="C3E487AA"/>
    <w:lvl w:ilvl="0" w:tplc="3C78074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5580"/>
        </w:tabs>
        <w:ind w:left="5580" w:hanging="360"/>
      </w:pPr>
    </w:lvl>
    <w:lvl w:ilvl="2" w:tplc="0409001B" w:tentative="1">
      <w:start w:val="1"/>
      <w:numFmt w:val="lowerRoman"/>
      <w:lvlText w:val="%3."/>
      <w:lvlJc w:val="right"/>
      <w:pPr>
        <w:tabs>
          <w:tab w:val="num" w:pos="6300"/>
        </w:tabs>
        <w:ind w:left="6300" w:hanging="180"/>
      </w:pPr>
    </w:lvl>
    <w:lvl w:ilvl="3" w:tplc="0409000F" w:tentative="1">
      <w:start w:val="1"/>
      <w:numFmt w:val="decimal"/>
      <w:lvlText w:val="%4."/>
      <w:lvlJc w:val="left"/>
      <w:pPr>
        <w:tabs>
          <w:tab w:val="num" w:pos="7020"/>
        </w:tabs>
        <w:ind w:left="7020" w:hanging="360"/>
      </w:pPr>
    </w:lvl>
    <w:lvl w:ilvl="4" w:tplc="04090019" w:tentative="1">
      <w:start w:val="1"/>
      <w:numFmt w:val="lowerLetter"/>
      <w:lvlText w:val="%5."/>
      <w:lvlJc w:val="left"/>
      <w:pPr>
        <w:tabs>
          <w:tab w:val="num" w:pos="7740"/>
        </w:tabs>
        <w:ind w:left="7740" w:hanging="360"/>
      </w:pPr>
    </w:lvl>
    <w:lvl w:ilvl="5" w:tplc="0409001B" w:tentative="1">
      <w:start w:val="1"/>
      <w:numFmt w:val="lowerRoman"/>
      <w:lvlText w:val="%6."/>
      <w:lvlJc w:val="right"/>
      <w:pPr>
        <w:tabs>
          <w:tab w:val="num" w:pos="8460"/>
        </w:tabs>
        <w:ind w:left="8460" w:hanging="180"/>
      </w:pPr>
    </w:lvl>
    <w:lvl w:ilvl="6" w:tplc="0409000F" w:tentative="1">
      <w:start w:val="1"/>
      <w:numFmt w:val="decimal"/>
      <w:lvlText w:val="%7."/>
      <w:lvlJc w:val="left"/>
      <w:pPr>
        <w:tabs>
          <w:tab w:val="num" w:pos="9180"/>
        </w:tabs>
        <w:ind w:left="9180" w:hanging="360"/>
      </w:pPr>
    </w:lvl>
    <w:lvl w:ilvl="7" w:tplc="04090019" w:tentative="1">
      <w:start w:val="1"/>
      <w:numFmt w:val="lowerLetter"/>
      <w:lvlText w:val="%8."/>
      <w:lvlJc w:val="left"/>
      <w:pPr>
        <w:tabs>
          <w:tab w:val="num" w:pos="9900"/>
        </w:tabs>
        <w:ind w:left="9900" w:hanging="360"/>
      </w:pPr>
    </w:lvl>
    <w:lvl w:ilvl="8" w:tplc="0409001B" w:tentative="1">
      <w:start w:val="1"/>
      <w:numFmt w:val="lowerRoman"/>
      <w:lvlText w:val="%9."/>
      <w:lvlJc w:val="right"/>
      <w:pPr>
        <w:tabs>
          <w:tab w:val="num" w:pos="10620"/>
        </w:tabs>
        <w:ind w:left="10620" w:hanging="180"/>
      </w:pPr>
    </w:lvl>
  </w:abstractNum>
  <w:abstractNum w:abstractNumId="8" w15:restartNumberingAfterBreak="0">
    <w:nsid w:val="1C24356B"/>
    <w:multiLevelType w:val="hybridMultilevel"/>
    <w:tmpl w:val="5762A6B6"/>
    <w:lvl w:ilvl="0" w:tplc="C0FCD902">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9" w15:restartNumberingAfterBreak="0">
    <w:nsid w:val="1CF05DF9"/>
    <w:multiLevelType w:val="hybridMultilevel"/>
    <w:tmpl w:val="5762A6B6"/>
    <w:lvl w:ilvl="0" w:tplc="88A8CE80">
      <w:start w:val="1"/>
      <w:numFmt w:val="bullet"/>
      <w:lvlText w:val=""/>
      <w:lvlJc w:val="left"/>
      <w:pPr>
        <w:tabs>
          <w:tab w:val="num" w:pos="648"/>
        </w:tabs>
        <w:ind w:left="288"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0" w15:restartNumberingAfterBreak="0">
    <w:nsid w:val="2C631C8B"/>
    <w:multiLevelType w:val="hybridMultilevel"/>
    <w:tmpl w:val="CFE66962"/>
    <w:lvl w:ilvl="0" w:tplc="AD4C076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FD704F2"/>
    <w:multiLevelType w:val="hybridMultilevel"/>
    <w:tmpl w:val="72605AFA"/>
    <w:lvl w:ilvl="0" w:tplc="00130409">
      <w:start w:val="1"/>
      <w:numFmt w:val="upperRoman"/>
      <w:lvlText w:val="%1."/>
      <w:lvlJc w:val="right"/>
      <w:pPr>
        <w:tabs>
          <w:tab w:val="num" w:pos="180"/>
        </w:tabs>
        <w:ind w:left="180" w:hanging="180"/>
      </w:pPr>
      <w:rPr>
        <w:rFonts w:hint="default"/>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6C7284B"/>
    <w:multiLevelType w:val="hybridMultilevel"/>
    <w:tmpl w:val="DAE03EFA"/>
    <w:lvl w:ilvl="0" w:tplc="A9E08C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865185"/>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EB2A9DE">
      <w:start w:val="1"/>
      <w:numFmt w:val="bullet"/>
      <w:lvlText w:val=""/>
      <w:lvlJc w:val="left"/>
      <w:pPr>
        <w:tabs>
          <w:tab w:val="num" w:pos="648"/>
        </w:tabs>
        <w:ind w:left="360" w:hanging="72"/>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6463530"/>
    <w:multiLevelType w:val="hybridMultilevel"/>
    <w:tmpl w:val="461E5FB4"/>
    <w:lvl w:ilvl="0" w:tplc="0409000F">
      <w:start w:val="1"/>
      <w:numFmt w:val="decimal"/>
      <w:lvlText w:val="%1."/>
      <w:lvlJc w:val="left"/>
      <w:pPr>
        <w:ind w:left="1056" w:hanging="360"/>
      </w:pPr>
    </w:lvl>
    <w:lvl w:ilvl="1" w:tplc="04090019" w:tentative="1">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15" w15:restartNumberingAfterBreak="0">
    <w:nsid w:val="48AC3CC6"/>
    <w:multiLevelType w:val="hybridMultilevel"/>
    <w:tmpl w:val="5762A6B6"/>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6" w15:restartNumberingAfterBreak="0">
    <w:nsid w:val="565D013B"/>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3E22C5C">
      <w:start w:val="1"/>
      <w:numFmt w:val="bullet"/>
      <w:lvlText w:val=""/>
      <w:lvlJc w:val="left"/>
      <w:pPr>
        <w:tabs>
          <w:tab w:val="num" w:pos="648"/>
        </w:tabs>
        <w:ind w:left="288" w:firstLine="0"/>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DE84B1B"/>
    <w:multiLevelType w:val="multilevel"/>
    <w:tmpl w:val="CB74BFD0"/>
    <w:styleLink w:val="CurrentList1"/>
    <w:lvl w:ilvl="0">
      <w:start w:val="1"/>
      <w:numFmt w:val="decimal"/>
      <w:lvlText w:val="%1."/>
      <w:lvlJc w:val="left"/>
      <w:pPr>
        <w:ind w:left="936"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18" w15:restartNumberingAfterBreak="0">
    <w:nsid w:val="6160677B"/>
    <w:multiLevelType w:val="hybridMultilevel"/>
    <w:tmpl w:val="E9227B7C"/>
    <w:lvl w:ilvl="0" w:tplc="25221698">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9" w15:restartNumberingAfterBreak="0">
    <w:nsid w:val="6201068F"/>
    <w:multiLevelType w:val="hybridMultilevel"/>
    <w:tmpl w:val="AB183A2A"/>
    <w:lvl w:ilvl="0" w:tplc="1E9C550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3EF1209"/>
    <w:multiLevelType w:val="multilevel"/>
    <w:tmpl w:val="00290409"/>
    <w:lvl w:ilvl="0">
      <w:start w:val="1"/>
      <w:numFmt w:val="decimal"/>
      <w:suff w:val="space"/>
      <w:lvlText w:val="Chapter %1"/>
      <w:lvlJc w:val="left"/>
      <w:pPr>
        <w:ind w:left="0" w:firstLine="0"/>
      </w:pPr>
    </w:lvl>
    <w:lvl w:ilvl="1">
      <w:start w:val="1"/>
      <w:numFmt w:val="decimal"/>
      <w:lvlText w:val="%2)"/>
      <w:lvlJc w:val="left"/>
      <w:pPr>
        <w:tabs>
          <w:tab w:val="num" w:pos="648"/>
        </w:tabs>
        <w:ind w:left="576" w:hanging="288"/>
      </w:pPr>
      <w:rPr>
        <w:rFonts w:hint="default"/>
      </w:r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21" w15:restartNumberingAfterBreak="0">
    <w:nsid w:val="689B562C"/>
    <w:multiLevelType w:val="hybridMultilevel"/>
    <w:tmpl w:val="47D086B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23" w15:restartNumberingAfterBreak="0">
    <w:nsid w:val="740F41AC"/>
    <w:multiLevelType w:val="hybridMultilevel"/>
    <w:tmpl w:val="2B54A3C0"/>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4" w15:restartNumberingAfterBreak="0">
    <w:nsid w:val="77153AD0"/>
    <w:multiLevelType w:val="hybridMultilevel"/>
    <w:tmpl w:val="1D9AF65E"/>
    <w:lvl w:ilvl="0" w:tplc="04090015">
      <w:start w:val="1"/>
      <w:numFmt w:val="upperLetter"/>
      <w:lvlText w:val="%1."/>
      <w:lvlJc w:val="left"/>
      <w:pPr>
        <w:ind w:left="936"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5" w15:restartNumberingAfterBreak="0">
    <w:nsid w:val="79F46323"/>
    <w:multiLevelType w:val="multilevel"/>
    <w:tmpl w:val="ABCAF4A4"/>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296"/>
        </w:tabs>
        <w:ind w:left="1296" w:hanging="360"/>
      </w:pPr>
      <w:rPr>
        <w:rFonts w:hint="default"/>
      </w:rPr>
    </w:lvl>
    <w:lvl w:ilvl="2">
      <w:start w:val="1"/>
      <w:numFmt w:val="lowerRoman"/>
      <w:lvlText w:val="%3)"/>
      <w:lvlJc w:val="left"/>
      <w:pPr>
        <w:tabs>
          <w:tab w:val="num" w:pos="2016"/>
        </w:tabs>
        <w:ind w:left="1656" w:hanging="360"/>
      </w:pPr>
      <w:rPr>
        <w:rFonts w:hint="default"/>
      </w:rPr>
    </w:lvl>
    <w:lvl w:ilvl="3">
      <w:start w:val="1"/>
      <w:numFmt w:val="decimal"/>
      <w:lvlText w:val="(%4)"/>
      <w:lvlJc w:val="left"/>
      <w:pPr>
        <w:tabs>
          <w:tab w:val="num" w:pos="2016"/>
        </w:tabs>
        <w:ind w:left="2016" w:hanging="360"/>
      </w:pPr>
      <w:rPr>
        <w:rFonts w:hint="default"/>
      </w:rPr>
    </w:lvl>
    <w:lvl w:ilvl="4">
      <w:start w:val="1"/>
      <w:numFmt w:val="lowerLetter"/>
      <w:lvlText w:val="(%5)"/>
      <w:lvlJc w:val="left"/>
      <w:pPr>
        <w:tabs>
          <w:tab w:val="num" w:pos="2376"/>
        </w:tabs>
        <w:ind w:left="2376" w:hanging="360"/>
      </w:pPr>
      <w:rPr>
        <w:rFonts w:hint="default"/>
      </w:rPr>
    </w:lvl>
    <w:lvl w:ilvl="5">
      <w:start w:val="1"/>
      <w:numFmt w:val="lowerRoman"/>
      <w:lvlText w:val="(%6)"/>
      <w:lvlJc w:val="left"/>
      <w:pPr>
        <w:tabs>
          <w:tab w:val="num" w:pos="2736"/>
        </w:tabs>
        <w:ind w:left="2736" w:hanging="360"/>
      </w:pPr>
      <w:rPr>
        <w:rFonts w:hint="default"/>
      </w:rPr>
    </w:lvl>
    <w:lvl w:ilvl="6">
      <w:start w:val="1"/>
      <w:numFmt w:val="decimal"/>
      <w:lvlText w:val="%7."/>
      <w:lvlJc w:val="left"/>
      <w:pPr>
        <w:tabs>
          <w:tab w:val="num" w:pos="3096"/>
        </w:tabs>
        <w:ind w:left="3096" w:hanging="360"/>
      </w:pPr>
      <w:rPr>
        <w:rFonts w:hint="default"/>
      </w:rPr>
    </w:lvl>
    <w:lvl w:ilvl="7">
      <w:start w:val="1"/>
      <w:numFmt w:val="lowerLetter"/>
      <w:lvlText w:val="%8."/>
      <w:lvlJc w:val="left"/>
      <w:pPr>
        <w:tabs>
          <w:tab w:val="num" w:pos="3456"/>
        </w:tabs>
        <w:ind w:left="3456" w:hanging="360"/>
      </w:pPr>
      <w:rPr>
        <w:rFonts w:hint="default"/>
      </w:rPr>
    </w:lvl>
    <w:lvl w:ilvl="8">
      <w:start w:val="1"/>
      <w:numFmt w:val="lowerRoman"/>
      <w:lvlText w:val="%9."/>
      <w:lvlJc w:val="left"/>
      <w:pPr>
        <w:tabs>
          <w:tab w:val="num" w:pos="3816"/>
        </w:tabs>
        <w:ind w:left="3816" w:hanging="360"/>
      </w:pPr>
      <w:rPr>
        <w:rFonts w:hint="default"/>
      </w:rPr>
    </w:lvl>
  </w:abstractNum>
  <w:abstractNum w:abstractNumId="26" w15:restartNumberingAfterBreak="0">
    <w:nsid w:val="7D7C512F"/>
    <w:multiLevelType w:val="hybridMultilevel"/>
    <w:tmpl w:val="A45AB5C4"/>
    <w:lvl w:ilvl="0" w:tplc="44247232">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7" w15:restartNumberingAfterBreak="0">
    <w:nsid w:val="7DF316BC"/>
    <w:multiLevelType w:val="hybridMultilevel"/>
    <w:tmpl w:val="5762A6B6"/>
    <w:lvl w:ilvl="0" w:tplc="237E1962">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8" w15:restartNumberingAfterBreak="0">
    <w:nsid w:val="7F6646F6"/>
    <w:multiLevelType w:val="hybridMultilevel"/>
    <w:tmpl w:val="5762A6B6"/>
    <w:lvl w:ilvl="0" w:tplc="EDBC50CA">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16cid:durableId="1160971294">
    <w:abstractNumId w:val="10"/>
  </w:num>
  <w:num w:numId="2" w16cid:durableId="1515339267">
    <w:abstractNumId w:val="11"/>
  </w:num>
  <w:num w:numId="3" w16cid:durableId="1577352899">
    <w:abstractNumId w:val="6"/>
  </w:num>
  <w:num w:numId="4" w16cid:durableId="25102846">
    <w:abstractNumId w:val="21"/>
  </w:num>
  <w:num w:numId="5" w16cid:durableId="1711497327">
    <w:abstractNumId w:val="6"/>
    <w:lvlOverride w:ilvl="0">
      <w:startOverride w:val="1"/>
    </w:lvlOverride>
  </w:num>
  <w:num w:numId="6" w16cid:durableId="1272056381">
    <w:abstractNumId w:val="13"/>
  </w:num>
  <w:num w:numId="7" w16cid:durableId="597567748">
    <w:abstractNumId w:val="16"/>
  </w:num>
  <w:num w:numId="8" w16cid:durableId="976177749">
    <w:abstractNumId w:val="20"/>
  </w:num>
  <w:num w:numId="9" w16cid:durableId="2111389173">
    <w:abstractNumId w:val="23"/>
  </w:num>
  <w:num w:numId="10" w16cid:durableId="1308589248">
    <w:abstractNumId w:val="15"/>
  </w:num>
  <w:num w:numId="11" w16cid:durableId="1173953496">
    <w:abstractNumId w:val="25"/>
  </w:num>
  <w:num w:numId="12" w16cid:durableId="947421090">
    <w:abstractNumId w:val="4"/>
  </w:num>
  <w:num w:numId="13" w16cid:durableId="102964065">
    <w:abstractNumId w:val="8"/>
  </w:num>
  <w:num w:numId="14" w16cid:durableId="468714426">
    <w:abstractNumId w:val="27"/>
  </w:num>
  <w:num w:numId="15" w16cid:durableId="905529067">
    <w:abstractNumId w:val="9"/>
  </w:num>
  <w:num w:numId="16" w16cid:durableId="1624845534">
    <w:abstractNumId w:val="28"/>
  </w:num>
  <w:num w:numId="17" w16cid:durableId="1811049323">
    <w:abstractNumId w:val="3"/>
  </w:num>
  <w:num w:numId="18" w16cid:durableId="959334614">
    <w:abstractNumId w:val="6"/>
    <w:lvlOverride w:ilvl="0">
      <w:startOverride w:val="1"/>
    </w:lvlOverride>
  </w:num>
  <w:num w:numId="19" w16cid:durableId="1096436988">
    <w:abstractNumId w:val="6"/>
    <w:lvlOverride w:ilvl="0">
      <w:startOverride w:val="1"/>
    </w:lvlOverride>
  </w:num>
  <w:num w:numId="20" w16cid:durableId="762456505">
    <w:abstractNumId w:val="6"/>
  </w:num>
  <w:num w:numId="21" w16cid:durableId="1509901105">
    <w:abstractNumId w:val="6"/>
    <w:lvlOverride w:ilvl="0">
      <w:startOverride w:val="1"/>
    </w:lvlOverride>
  </w:num>
  <w:num w:numId="22" w16cid:durableId="1462117611">
    <w:abstractNumId w:val="22"/>
  </w:num>
  <w:num w:numId="23" w16cid:durableId="981689098">
    <w:abstractNumId w:val="7"/>
  </w:num>
  <w:num w:numId="24" w16cid:durableId="1514220117">
    <w:abstractNumId w:val="19"/>
  </w:num>
  <w:num w:numId="25" w16cid:durableId="426577277">
    <w:abstractNumId w:val="18"/>
  </w:num>
  <w:num w:numId="26" w16cid:durableId="593704265">
    <w:abstractNumId w:val="26"/>
  </w:num>
  <w:num w:numId="27" w16cid:durableId="1654872793">
    <w:abstractNumId w:val="1"/>
  </w:num>
  <w:num w:numId="28" w16cid:durableId="1071734032">
    <w:abstractNumId w:val="0"/>
  </w:num>
  <w:num w:numId="29" w16cid:durableId="72702246">
    <w:abstractNumId w:val="2"/>
  </w:num>
  <w:num w:numId="30" w16cid:durableId="1152982852">
    <w:abstractNumId w:val="24"/>
  </w:num>
  <w:num w:numId="31" w16cid:durableId="905652235">
    <w:abstractNumId w:val="17"/>
  </w:num>
  <w:num w:numId="32" w16cid:durableId="787696676">
    <w:abstractNumId w:val="12"/>
  </w:num>
  <w:num w:numId="33" w16cid:durableId="711460348">
    <w:abstractNumId w:val="5"/>
  </w:num>
  <w:num w:numId="34" w16cid:durableId="44172795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SystemFonts/>
  <w:proofState w:spelling="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8"/>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B16"/>
    <w:rsid w:val="0000351C"/>
    <w:rsid w:val="000046C2"/>
    <w:rsid w:val="000048CD"/>
    <w:rsid w:val="00005812"/>
    <w:rsid w:val="0001286D"/>
    <w:rsid w:val="00020C28"/>
    <w:rsid w:val="00030F1A"/>
    <w:rsid w:val="00036217"/>
    <w:rsid w:val="00042829"/>
    <w:rsid w:val="000440E1"/>
    <w:rsid w:val="000462F6"/>
    <w:rsid w:val="0004797B"/>
    <w:rsid w:val="000730CA"/>
    <w:rsid w:val="00077DEF"/>
    <w:rsid w:val="00077F70"/>
    <w:rsid w:val="00093996"/>
    <w:rsid w:val="000A06BD"/>
    <w:rsid w:val="000A4594"/>
    <w:rsid w:val="000B176B"/>
    <w:rsid w:val="000B1DAD"/>
    <w:rsid w:val="000B3477"/>
    <w:rsid w:val="000B5561"/>
    <w:rsid w:val="000C3805"/>
    <w:rsid w:val="000D001C"/>
    <w:rsid w:val="000D07C5"/>
    <w:rsid w:val="000E2208"/>
    <w:rsid w:val="000F4B2F"/>
    <w:rsid w:val="00101CB4"/>
    <w:rsid w:val="00105B3E"/>
    <w:rsid w:val="00111A93"/>
    <w:rsid w:val="00112093"/>
    <w:rsid w:val="00112821"/>
    <w:rsid w:val="00116222"/>
    <w:rsid w:val="001249BA"/>
    <w:rsid w:val="00125388"/>
    <w:rsid w:val="0013041E"/>
    <w:rsid w:val="00133B5B"/>
    <w:rsid w:val="0015309A"/>
    <w:rsid w:val="00154A4D"/>
    <w:rsid w:val="00154AAC"/>
    <w:rsid w:val="001750FE"/>
    <w:rsid w:val="00175459"/>
    <w:rsid w:val="001761AC"/>
    <w:rsid w:val="00190EA3"/>
    <w:rsid w:val="00193C12"/>
    <w:rsid w:val="001A776B"/>
    <w:rsid w:val="001A7E32"/>
    <w:rsid w:val="001B5B0C"/>
    <w:rsid w:val="001C17CC"/>
    <w:rsid w:val="001C4600"/>
    <w:rsid w:val="001C69B1"/>
    <w:rsid w:val="001D1AA9"/>
    <w:rsid w:val="001E1CE3"/>
    <w:rsid w:val="001F79A3"/>
    <w:rsid w:val="00202482"/>
    <w:rsid w:val="002078D0"/>
    <w:rsid w:val="002144F7"/>
    <w:rsid w:val="002245B7"/>
    <w:rsid w:val="00226125"/>
    <w:rsid w:val="00226860"/>
    <w:rsid w:val="00227BDC"/>
    <w:rsid w:val="002526FD"/>
    <w:rsid w:val="002560ED"/>
    <w:rsid w:val="00262F1C"/>
    <w:rsid w:val="00264D65"/>
    <w:rsid w:val="00265E07"/>
    <w:rsid w:val="0027146B"/>
    <w:rsid w:val="002805C2"/>
    <w:rsid w:val="00280CEB"/>
    <w:rsid w:val="00294976"/>
    <w:rsid w:val="00297E7D"/>
    <w:rsid w:val="002A1FED"/>
    <w:rsid w:val="002A6480"/>
    <w:rsid w:val="002B4AC0"/>
    <w:rsid w:val="002B7668"/>
    <w:rsid w:val="002C5D84"/>
    <w:rsid w:val="002C5DA8"/>
    <w:rsid w:val="002F10C9"/>
    <w:rsid w:val="002F72E2"/>
    <w:rsid w:val="002F765C"/>
    <w:rsid w:val="00302B16"/>
    <w:rsid w:val="00304711"/>
    <w:rsid w:val="00310504"/>
    <w:rsid w:val="00312E3A"/>
    <w:rsid w:val="003179AF"/>
    <w:rsid w:val="0032349E"/>
    <w:rsid w:val="003236D9"/>
    <w:rsid w:val="003379D5"/>
    <w:rsid w:val="00343C17"/>
    <w:rsid w:val="003442E4"/>
    <w:rsid w:val="00344ADB"/>
    <w:rsid w:val="00346D43"/>
    <w:rsid w:val="00350196"/>
    <w:rsid w:val="00355FD3"/>
    <w:rsid w:val="0036062A"/>
    <w:rsid w:val="00364434"/>
    <w:rsid w:val="003646FB"/>
    <w:rsid w:val="0036683E"/>
    <w:rsid w:val="00372BF7"/>
    <w:rsid w:val="00387206"/>
    <w:rsid w:val="0039458A"/>
    <w:rsid w:val="003A044C"/>
    <w:rsid w:val="003A25B0"/>
    <w:rsid w:val="003A58AD"/>
    <w:rsid w:val="003C7A89"/>
    <w:rsid w:val="003D69AB"/>
    <w:rsid w:val="003D6C5A"/>
    <w:rsid w:val="003E05A4"/>
    <w:rsid w:val="003E23EC"/>
    <w:rsid w:val="003E3CAC"/>
    <w:rsid w:val="003E467A"/>
    <w:rsid w:val="003F1BED"/>
    <w:rsid w:val="00401023"/>
    <w:rsid w:val="0040487C"/>
    <w:rsid w:val="00406C58"/>
    <w:rsid w:val="0042116D"/>
    <w:rsid w:val="0042295C"/>
    <w:rsid w:val="004249CD"/>
    <w:rsid w:val="0043038B"/>
    <w:rsid w:val="004311B5"/>
    <w:rsid w:val="00435B2F"/>
    <w:rsid w:val="004434DF"/>
    <w:rsid w:val="004441FF"/>
    <w:rsid w:val="00445268"/>
    <w:rsid w:val="00450E90"/>
    <w:rsid w:val="0045708C"/>
    <w:rsid w:val="0045758E"/>
    <w:rsid w:val="004633FA"/>
    <w:rsid w:val="00470220"/>
    <w:rsid w:val="004712E0"/>
    <w:rsid w:val="00471B31"/>
    <w:rsid w:val="004735AB"/>
    <w:rsid w:val="00473CFA"/>
    <w:rsid w:val="00474B3F"/>
    <w:rsid w:val="004759CF"/>
    <w:rsid w:val="004766F5"/>
    <w:rsid w:val="0047755E"/>
    <w:rsid w:val="00493A9A"/>
    <w:rsid w:val="00496D61"/>
    <w:rsid w:val="00497972"/>
    <w:rsid w:val="004A4790"/>
    <w:rsid w:val="004A6E21"/>
    <w:rsid w:val="004A75AD"/>
    <w:rsid w:val="004B0B33"/>
    <w:rsid w:val="004B1425"/>
    <w:rsid w:val="004B18C0"/>
    <w:rsid w:val="004B4197"/>
    <w:rsid w:val="004B7D99"/>
    <w:rsid w:val="004C190D"/>
    <w:rsid w:val="004C24B2"/>
    <w:rsid w:val="004D29BA"/>
    <w:rsid w:val="004D458F"/>
    <w:rsid w:val="004D50E8"/>
    <w:rsid w:val="004D63E4"/>
    <w:rsid w:val="004D760C"/>
    <w:rsid w:val="004E71D1"/>
    <w:rsid w:val="005058BB"/>
    <w:rsid w:val="00511465"/>
    <w:rsid w:val="00512D2D"/>
    <w:rsid w:val="00515E7E"/>
    <w:rsid w:val="00516DD6"/>
    <w:rsid w:val="0052331F"/>
    <w:rsid w:val="005259B9"/>
    <w:rsid w:val="00541EF1"/>
    <w:rsid w:val="00546674"/>
    <w:rsid w:val="00554220"/>
    <w:rsid w:val="0056133E"/>
    <w:rsid w:val="00564142"/>
    <w:rsid w:val="0056569D"/>
    <w:rsid w:val="00565740"/>
    <w:rsid w:val="0056580D"/>
    <w:rsid w:val="005843F6"/>
    <w:rsid w:val="00585CB9"/>
    <w:rsid w:val="0059365E"/>
    <w:rsid w:val="005A4349"/>
    <w:rsid w:val="005B259F"/>
    <w:rsid w:val="005B4EAE"/>
    <w:rsid w:val="005C7BFC"/>
    <w:rsid w:val="005F113F"/>
    <w:rsid w:val="005F156A"/>
    <w:rsid w:val="005F3351"/>
    <w:rsid w:val="00601FCF"/>
    <w:rsid w:val="00605A6A"/>
    <w:rsid w:val="006064F8"/>
    <w:rsid w:val="0060775B"/>
    <w:rsid w:val="00612AAC"/>
    <w:rsid w:val="006161AA"/>
    <w:rsid w:val="0062587C"/>
    <w:rsid w:val="00626FFA"/>
    <w:rsid w:val="0063254E"/>
    <w:rsid w:val="0063448A"/>
    <w:rsid w:val="00634E42"/>
    <w:rsid w:val="00642DAA"/>
    <w:rsid w:val="00644FCC"/>
    <w:rsid w:val="00646147"/>
    <w:rsid w:val="00651A2D"/>
    <w:rsid w:val="0066679C"/>
    <w:rsid w:val="00685005"/>
    <w:rsid w:val="00696736"/>
    <w:rsid w:val="006A0E6A"/>
    <w:rsid w:val="006B33A9"/>
    <w:rsid w:val="006B44A7"/>
    <w:rsid w:val="006B7B2B"/>
    <w:rsid w:val="006C4090"/>
    <w:rsid w:val="006C6E6E"/>
    <w:rsid w:val="006C7986"/>
    <w:rsid w:val="006D03ED"/>
    <w:rsid w:val="006D1352"/>
    <w:rsid w:val="006F25C8"/>
    <w:rsid w:val="006F2D9B"/>
    <w:rsid w:val="00705C31"/>
    <w:rsid w:val="007136EF"/>
    <w:rsid w:val="007138D3"/>
    <w:rsid w:val="007153AA"/>
    <w:rsid w:val="00717D72"/>
    <w:rsid w:val="007243F5"/>
    <w:rsid w:val="007251A8"/>
    <w:rsid w:val="00731940"/>
    <w:rsid w:val="00732EDE"/>
    <w:rsid w:val="0073443F"/>
    <w:rsid w:val="00747808"/>
    <w:rsid w:val="0075460A"/>
    <w:rsid w:val="00765262"/>
    <w:rsid w:val="00767FB8"/>
    <w:rsid w:val="00770AFE"/>
    <w:rsid w:val="0078034E"/>
    <w:rsid w:val="00780A08"/>
    <w:rsid w:val="00780B85"/>
    <w:rsid w:val="007810BB"/>
    <w:rsid w:val="00791F7F"/>
    <w:rsid w:val="0079581A"/>
    <w:rsid w:val="007978B4"/>
    <w:rsid w:val="007A279B"/>
    <w:rsid w:val="007A704F"/>
    <w:rsid w:val="007C0BCA"/>
    <w:rsid w:val="007C48CF"/>
    <w:rsid w:val="007C55DA"/>
    <w:rsid w:val="007D244C"/>
    <w:rsid w:val="007D28A6"/>
    <w:rsid w:val="007D4C27"/>
    <w:rsid w:val="007D55D1"/>
    <w:rsid w:val="007D66F9"/>
    <w:rsid w:val="007D73BF"/>
    <w:rsid w:val="007D7CAB"/>
    <w:rsid w:val="007E278F"/>
    <w:rsid w:val="007E5C82"/>
    <w:rsid w:val="007E5DDA"/>
    <w:rsid w:val="007E710F"/>
    <w:rsid w:val="007F6FA7"/>
    <w:rsid w:val="007F71BB"/>
    <w:rsid w:val="00800CCD"/>
    <w:rsid w:val="008071D6"/>
    <w:rsid w:val="00810F47"/>
    <w:rsid w:val="008166B1"/>
    <w:rsid w:val="00822153"/>
    <w:rsid w:val="00823A57"/>
    <w:rsid w:val="00824BF7"/>
    <w:rsid w:val="00830256"/>
    <w:rsid w:val="00835AA7"/>
    <w:rsid w:val="0084458C"/>
    <w:rsid w:val="0085046A"/>
    <w:rsid w:val="00863EA2"/>
    <w:rsid w:val="008678FB"/>
    <w:rsid w:val="00867EF7"/>
    <w:rsid w:val="008704B4"/>
    <w:rsid w:val="00874CCD"/>
    <w:rsid w:val="00875D72"/>
    <w:rsid w:val="008778D4"/>
    <w:rsid w:val="00885EC2"/>
    <w:rsid w:val="00887F77"/>
    <w:rsid w:val="00894A56"/>
    <w:rsid w:val="008951AA"/>
    <w:rsid w:val="008A2ECB"/>
    <w:rsid w:val="008A3EAF"/>
    <w:rsid w:val="008B1896"/>
    <w:rsid w:val="008B1CE6"/>
    <w:rsid w:val="008B7AFE"/>
    <w:rsid w:val="008C5F85"/>
    <w:rsid w:val="008C6FE1"/>
    <w:rsid w:val="008D0978"/>
    <w:rsid w:val="008E10EF"/>
    <w:rsid w:val="008E5C01"/>
    <w:rsid w:val="008F1935"/>
    <w:rsid w:val="008F3D26"/>
    <w:rsid w:val="008F4588"/>
    <w:rsid w:val="008F7DE6"/>
    <w:rsid w:val="00914996"/>
    <w:rsid w:val="00920627"/>
    <w:rsid w:val="00926DD2"/>
    <w:rsid w:val="00927898"/>
    <w:rsid w:val="00930F9B"/>
    <w:rsid w:val="00931E89"/>
    <w:rsid w:val="00933F35"/>
    <w:rsid w:val="009440F0"/>
    <w:rsid w:val="00946062"/>
    <w:rsid w:val="009518A6"/>
    <w:rsid w:val="0096098C"/>
    <w:rsid w:val="00960B4B"/>
    <w:rsid w:val="00965B96"/>
    <w:rsid w:val="00970F86"/>
    <w:rsid w:val="00984F4D"/>
    <w:rsid w:val="00986AF4"/>
    <w:rsid w:val="00987BDE"/>
    <w:rsid w:val="00990B5A"/>
    <w:rsid w:val="009955F8"/>
    <w:rsid w:val="009973AD"/>
    <w:rsid w:val="009A41D5"/>
    <w:rsid w:val="009A482C"/>
    <w:rsid w:val="009A7CE8"/>
    <w:rsid w:val="009B263C"/>
    <w:rsid w:val="009B6473"/>
    <w:rsid w:val="009C01B0"/>
    <w:rsid w:val="009C13D5"/>
    <w:rsid w:val="009C4B24"/>
    <w:rsid w:val="009C5BF7"/>
    <w:rsid w:val="009D2DAF"/>
    <w:rsid w:val="009D5D55"/>
    <w:rsid w:val="009D77CF"/>
    <w:rsid w:val="009E25F3"/>
    <w:rsid w:val="009F5B9E"/>
    <w:rsid w:val="00A077F8"/>
    <w:rsid w:val="00A1133B"/>
    <w:rsid w:val="00A11A7C"/>
    <w:rsid w:val="00A22621"/>
    <w:rsid w:val="00A235B0"/>
    <w:rsid w:val="00A24F7D"/>
    <w:rsid w:val="00A2599B"/>
    <w:rsid w:val="00A35D90"/>
    <w:rsid w:val="00A35F56"/>
    <w:rsid w:val="00A40ECC"/>
    <w:rsid w:val="00A4117A"/>
    <w:rsid w:val="00A41AB8"/>
    <w:rsid w:val="00A437A5"/>
    <w:rsid w:val="00A44287"/>
    <w:rsid w:val="00A541D8"/>
    <w:rsid w:val="00A56C5E"/>
    <w:rsid w:val="00A6133C"/>
    <w:rsid w:val="00A62B67"/>
    <w:rsid w:val="00A65065"/>
    <w:rsid w:val="00A743DB"/>
    <w:rsid w:val="00A80F54"/>
    <w:rsid w:val="00A8212C"/>
    <w:rsid w:val="00A82660"/>
    <w:rsid w:val="00A92345"/>
    <w:rsid w:val="00A9418D"/>
    <w:rsid w:val="00A96DB3"/>
    <w:rsid w:val="00A96E2A"/>
    <w:rsid w:val="00AC3413"/>
    <w:rsid w:val="00AD5353"/>
    <w:rsid w:val="00AD75F6"/>
    <w:rsid w:val="00AE5784"/>
    <w:rsid w:val="00AF1A67"/>
    <w:rsid w:val="00AF1EDB"/>
    <w:rsid w:val="00B034A1"/>
    <w:rsid w:val="00B04BC4"/>
    <w:rsid w:val="00B11068"/>
    <w:rsid w:val="00B1398B"/>
    <w:rsid w:val="00B21722"/>
    <w:rsid w:val="00B33D94"/>
    <w:rsid w:val="00B40A0A"/>
    <w:rsid w:val="00B41D62"/>
    <w:rsid w:val="00B42AF3"/>
    <w:rsid w:val="00B43A8E"/>
    <w:rsid w:val="00B450CB"/>
    <w:rsid w:val="00B651F6"/>
    <w:rsid w:val="00B7365A"/>
    <w:rsid w:val="00B966DA"/>
    <w:rsid w:val="00BA54AB"/>
    <w:rsid w:val="00BA5864"/>
    <w:rsid w:val="00BB3903"/>
    <w:rsid w:val="00BB6087"/>
    <w:rsid w:val="00BC1394"/>
    <w:rsid w:val="00BC1AEA"/>
    <w:rsid w:val="00BC1C3D"/>
    <w:rsid w:val="00BD35BE"/>
    <w:rsid w:val="00BD3DFE"/>
    <w:rsid w:val="00BD7AC9"/>
    <w:rsid w:val="00BE2325"/>
    <w:rsid w:val="00BE6B67"/>
    <w:rsid w:val="00BF0A71"/>
    <w:rsid w:val="00BF17BB"/>
    <w:rsid w:val="00BF5C0F"/>
    <w:rsid w:val="00BF6231"/>
    <w:rsid w:val="00C1174B"/>
    <w:rsid w:val="00C214FE"/>
    <w:rsid w:val="00C30FE8"/>
    <w:rsid w:val="00C31F92"/>
    <w:rsid w:val="00C340AD"/>
    <w:rsid w:val="00C34D6F"/>
    <w:rsid w:val="00C34EA2"/>
    <w:rsid w:val="00C35AF1"/>
    <w:rsid w:val="00C4648C"/>
    <w:rsid w:val="00C50715"/>
    <w:rsid w:val="00C507C1"/>
    <w:rsid w:val="00C518E4"/>
    <w:rsid w:val="00C53070"/>
    <w:rsid w:val="00C63278"/>
    <w:rsid w:val="00C641C0"/>
    <w:rsid w:val="00C71614"/>
    <w:rsid w:val="00C72082"/>
    <w:rsid w:val="00C72C68"/>
    <w:rsid w:val="00C7392B"/>
    <w:rsid w:val="00C77CC6"/>
    <w:rsid w:val="00C80357"/>
    <w:rsid w:val="00C809A9"/>
    <w:rsid w:val="00C81BCB"/>
    <w:rsid w:val="00C876C2"/>
    <w:rsid w:val="00C91EEF"/>
    <w:rsid w:val="00C92686"/>
    <w:rsid w:val="00C94416"/>
    <w:rsid w:val="00C971E9"/>
    <w:rsid w:val="00CA629C"/>
    <w:rsid w:val="00CB2553"/>
    <w:rsid w:val="00CB28F8"/>
    <w:rsid w:val="00CC2B70"/>
    <w:rsid w:val="00CC3188"/>
    <w:rsid w:val="00CC33E7"/>
    <w:rsid w:val="00CD2566"/>
    <w:rsid w:val="00CD4695"/>
    <w:rsid w:val="00CE13C8"/>
    <w:rsid w:val="00CE2249"/>
    <w:rsid w:val="00CE6A1F"/>
    <w:rsid w:val="00CE7F16"/>
    <w:rsid w:val="00CF0CDA"/>
    <w:rsid w:val="00CF4C94"/>
    <w:rsid w:val="00CF6815"/>
    <w:rsid w:val="00D014D0"/>
    <w:rsid w:val="00D019F3"/>
    <w:rsid w:val="00D117DB"/>
    <w:rsid w:val="00D14154"/>
    <w:rsid w:val="00D154EE"/>
    <w:rsid w:val="00D32F9C"/>
    <w:rsid w:val="00D33067"/>
    <w:rsid w:val="00D34307"/>
    <w:rsid w:val="00D356F7"/>
    <w:rsid w:val="00D370FA"/>
    <w:rsid w:val="00D40B40"/>
    <w:rsid w:val="00D41A0C"/>
    <w:rsid w:val="00D4405E"/>
    <w:rsid w:val="00D47569"/>
    <w:rsid w:val="00D50C56"/>
    <w:rsid w:val="00D56BD5"/>
    <w:rsid w:val="00D61CB3"/>
    <w:rsid w:val="00D711C6"/>
    <w:rsid w:val="00D71A68"/>
    <w:rsid w:val="00D735D4"/>
    <w:rsid w:val="00D77932"/>
    <w:rsid w:val="00D779F8"/>
    <w:rsid w:val="00D801C8"/>
    <w:rsid w:val="00D84C6B"/>
    <w:rsid w:val="00D84E1D"/>
    <w:rsid w:val="00D87975"/>
    <w:rsid w:val="00D92CF1"/>
    <w:rsid w:val="00D94854"/>
    <w:rsid w:val="00D97F51"/>
    <w:rsid w:val="00DA3266"/>
    <w:rsid w:val="00DC4F94"/>
    <w:rsid w:val="00DC6E77"/>
    <w:rsid w:val="00DD0B07"/>
    <w:rsid w:val="00DD5FAA"/>
    <w:rsid w:val="00DE046C"/>
    <w:rsid w:val="00DE329A"/>
    <w:rsid w:val="00DE433C"/>
    <w:rsid w:val="00DF043A"/>
    <w:rsid w:val="00DF5139"/>
    <w:rsid w:val="00E05235"/>
    <w:rsid w:val="00E0684A"/>
    <w:rsid w:val="00E1023A"/>
    <w:rsid w:val="00E16C4A"/>
    <w:rsid w:val="00E17F98"/>
    <w:rsid w:val="00E21CB9"/>
    <w:rsid w:val="00E26CE7"/>
    <w:rsid w:val="00E30521"/>
    <w:rsid w:val="00E37877"/>
    <w:rsid w:val="00E4134C"/>
    <w:rsid w:val="00E41C90"/>
    <w:rsid w:val="00E4255D"/>
    <w:rsid w:val="00E45091"/>
    <w:rsid w:val="00E4722F"/>
    <w:rsid w:val="00E51556"/>
    <w:rsid w:val="00E61FE1"/>
    <w:rsid w:val="00E625AC"/>
    <w:rsid w:val="00E632FA"/>
    <w:rsid w:val="00E6337F"/>
    <w:rsid w:val="00E657D8"/>
    <w:rsid w:val="00E6609E"/>
    <w:rsid w:val="00EA4A25"/>
    <w:rsid w:val="00EB2B96"/>
    <w:rsid w:val="00EB5902"/>
    <w:rsid w:val="00EB67D2"/>
    <w:rsid w:val="00EB733B"/>
    <w:rsid w:val="00ED0A5F"/>
    <w:rsid w:val="00ED31B8"/>
    <w:rsid w:val="00EF463A"/>
    <w:rsid w:val="00F02A34"/>
    <w:rsid w:val="00F0537E"/>
    <w:rsid w:val="00F25417"/>
    <w:rsid w:val="00F271D5"/>
    <w:rsid w:val="00F32AA5"/>
    <w:rsid w:val="00F350D9"/>
    <w:rsid w:val="00F41E36"/>
    <w:rsid w:val="00F42031"/>
    <w:rsid w:val="00F47730"/>
    <w:rsid w:val="00F52601"/>
    <w:rsid w:val="00F564C8"/>
    <w:rsid w:val="00F6261B"/>
    <w:rsid w:val="00F666C6"/>
    <w:rsid w:val="00F720CF"/>
    <w:rsid w:val="00F7244E"/>
    <w:rsid w:val="00F80A11"/>
    <w:rsid w:val="00F9519D"/>
    <w:rsid w:val="00F953B3"/>
    <w:rsid w:val="00F9562D"/>
    <w:rsid w:val="00F97158"/>
    <w:rsid w:val="00FB0ABE"/>
    <w:rsid w:val="00FB1C24"/>
    <w:rsid w:val="00FB205F"/>
    <w:rsid w:val="00FB50B4"/>
    <w:rsid w:val="00FB6571"/>
    <w:rsid w:val="00FC1638"/>
    <w:rsid w:val="00FC6032"/>
    <w:rsid w:val="00FD4C1B"/>
    <w:rsid w:val="00FE5801"/>
    <w:rsid w:val="00FE6C89"/>
    <w:rsid w:val="00FF08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f" fillcolor="white" stroke="f">
      <v:fill color="white" on="f"/>
      <v:stroke on="f"/>
    </o:shapedefaults>
    <o:shapelayout v:ext="edit">
      <o:idmap v:ext="edit" data="1"/>
    </o:shapelayout>
  </w:shapeDefaults>
  <w:doNotEmbedSmartTags/>
  <w:decimalSymbol w:val="."/>
  <w:listSeparator w:val=","/>
  <w14:docId w14:val="6B86DC6D"/>
  <w15:docId w15:val="{0A36BD99-B534-7543-87AB-778E6EF59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29C"/>
    <w:pPr>
      <w:jc w:val="both"/>
    </w:pPr>
  </w:style>
  <w:style w:type="paragraph" w:styleId="Heading1">
    <w:name w:val="heading 1"/>
    <w:basedOn w:val="Normal"/>
    <w:next w:val="Text"/>
    <w:qFormat/>
    <w:rsid w:val="000A01E9"/>
    <w:pPr>
      <w:keepNext/>
      <w:spacing w:before="240" w:after="60"/>
      <w:jc w:val="center"/>
      <w:outlineLvl w:val="0"/>
    </w:pPr>
    <w:rPr>
      <w:b/>
      <w:kern w:val="32"/>
      <w:sz w:val="22"/>
    </w:rPr>
  </w:style>
  <w:style w:type="paragraph" w:styleId="Heading2">
    <w:name w:val="heading 2"/>
    <w:basedOn w:val="Normal"/>
    <w:next w:val="Text"/>
    <w:qFormat/>
    <w:rsid w:val="00CA629C"/>
    <w:pPr>
      <w:numPr>
        <w:numId w:val="20"/>
      </w:numPr>
      <w:tabs>
        <w:tab w:val="left" w:pos="288"/>
      </w:tabs>
      <w:spacing w:before="240"/>
      <w:outlineLvl w:val="1"/>
    </w:pPr>
    <w:rPr>
      <w:b/>
    </w:rPr>
  </w:style>
  <w:style w:type="paragraph" w:styleId="Heading3">
    <w:name w:val="heading 3"/>
    <w:basedOn w:val="Normal"/>
    <w:next w:val="Text"/>
    <w:qFormat/>
    <w:rsid w:val="00CA629C"/>
    <w:pPr>
      <w:keepNext/>
      <w:numPr>
        <w:numId w:val="17"/>
      </w:numPr>
      <w:tabs>
        <w:tab w:val="clear" w:pos="648"/>
        <w:tab w:val="left" w:pos="288"/>
      </w:tabs>
      <w:ind w:left="0" w:firstLine="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A629C"/>
    <w:pPr>
      <w:tabs>
        <w:tab w:val="center" w:pos="4320"/>
        <w:tab w:val="right" w:pos="8640"/>
      </w:tabs>
      <w:autoSpaceDE w:val="0"/>
      <w:autoSpaceDN w:val="0"/>
    </w:pPr>
  </w:style>
  <w:style w:type="paragraph" w:styleId="Title">
    <w:name w:val="Title"/>
    <w:basedOn w:val="Normal"/>
    <w:next w:val="AuthorNames"/>
    <w:qFormat/>
    <w:rsid w:val="00CA629C"/>
    <w:pPr>
      <w:spacing w:after="480"/>
      <w:jc w:val="center"/>
      <w:outlineLvl w:val="0"/>
    </w:pPr>
    <w:rPr>
      <w:b/>
      <w:kern w:val="28"/>
      <w:sz w:val="36"/>
    </w:rPr>
  </w:style>
  <w:style w:type="paragraph" w:customStyle="1" w:styleId="AuthorNames">
    <w:name w:val="Author Names"/>
    <w:basedOn w:val="Normal"/>
    <w:next w:val="AuthorAffiliations"/>
    <w:rsid w:val="00CA629C"/>
    <w:pPr>
      <w:jc w:val="center"/>
    </w:pPr>
  </w:style>
  <w:style w:type="paragraph" w:customStyle="1" w:styleId="Abstract">
    <w:name w:val="Abstract"/>
    <w:basedOn w:val="Normal"/>
    <w:next w:val="Heading1"/>
    <w:rsid w:val="00CA629C"/>
    <w:pPr>
      <w:spacing w:before="480" w:after="480"/>
      <w:ind w:left="720" w:right="720" w:firstLine="288"/>
    </w:pPr>
    <w:rPr>
      <w:b/>
    </w:rPr>
  </w:style>
  <w:style w:type="character" w:styleId="FootnoteReference">
    <w:name w:val="footnote reference"/>
    <w:basedOn w:val="DefaultParagraphFont"/>
    <w:rsid w:val="00CA629C"/>
    <w:rPr>
      <w:sz w:val="20"/>
      <w:vertAlign w:val="superscript"/>
    </w:rPr>
  </w:style>
  <w:style w:type="paragraph" w:customStyle="1" w:styleId="Nomenclature">
    <w:name w:val="Nomenclature"/>
    <w:basedOn w:val="Normal"/>
    <w:rsid w:val="00CA629C"/>
    <w:pPr>
      <w:widowControl w:val="0"/>
      <w:tabs>
        <w:tab w:val="left" w:pos="864"/>
        <w:tab w:val="left" w:pos="1152"/>
      </w:tabs>
    </w:pPr>
  </w:style>
  <w:style w:type="paragraph" w:customStyle="1" w:styleId="AuthorAffiliations">
    <w:name w:val="Author Affiliations"/>
    <w:basedOn w:val="Normal"/>
    <w:next w:val="AuthorNames"/>
    <w:rsid w:val="00CA629C"/>
    <w:pPr>
      <w:spacing w:after="240"/>
      <w:jc w:val="center"/>
    </w:pPr>
    <w:rPr>
      <w:i/>
    </w:rPr>
  </w:style>
  <w:style w:type="character" w:styleId="Hyperlink">
    <w:name w:val="Hyperlink"/>
    <w:basedOn w:val="DefaultParagraphFont"/>
    <w:rsid w:val="00CA629C"/>
    <w:rPr>
      <w:rFonts w:ascii="Times New Roman" w:hAnsi="Times New Roman"/>
      <w:color w:val="auto"/>
      <w:sz w:val="20"/>
      <w:u w:val="single"/>
    </w:rPr>
  </w:style>
  <w:style w:type="paragraph" w:customStyle="1" w:styleId="Text">
    <w:name w:val="Text"/>
    <w:basedOn w:val="Normal"/>
    <w:rsid w:val="00CA629C"/>
    <w:pPr>
      <w:tabs>
        <w:tab w:val="left" w:pos="288"/>
      </w:tabs>
      <w:ind w:firstLine="288"/>
    </w:pPr>
  </w:style>
  <w:style w:type="paragraph" w:customStyle="1" w:styleId="Equation">
    <w:name w:val="Equation"/>
    <w:basedOn w:val="Normal"/>
    <w:next w:val="Text"/>
    <w:autoRedefine/>
    <w:rsid w:val="00CA629C"/>
    <w:pPr>
      <w:tabs>
        <w:tab w:val="center" w:pos="4680"/>
        <w:tab w:val="right" w:pos="9360"/>
      </w:tabs>
      <w:spacing w:before="240" w:after="240"/>
    </w:pPr>
  </w:style>
  <w:style w:type="paragraph" w:customStyle="1" w:styleId="BibliographicalReferenceNumbers">
    <w:name w:val="Bibliographical Reference Numbers"/>
    <w:basedOn w:val="Normal"/>
    <w:next w:val="Text"/>
    <w:rsid w:val="00CA629C"/>
    <w:rPr>
      <w:vertAlign w:val="superscript"/>
    </w:rPr>
  </w:style>
  <w:style w:type="paragraph" w:customStyle="1" w:styleId="Figure">
    <w:name w:val="Figure"/>
    <w:basedOn w:val="Normal"/>
    <w:next w:val="Text"/>
    <w:rsid w:val="00CA629C"/>
    <w:pPr>
      <w:framePr w:hSpace="187" w:vSpace="187" w:wrap="around" w:vAnchor="text" w:hAnchor="text" w:y="1"/>
    </w:pPr>
    <w:rPr>
      <w:b/>
    </w:rPr>
  </w:style>
  <w:style w:type="paragraph" w:customStyle="1" w:styleId="References">
    <w:name w:val="References"/>
    <w:basedOn w:val="Normal"/>
    <w:rsid w:val="00CA629C"/>
    <w:pPr>
      <w:ind w:firstLine="288"/>
    </w:pPr>
    <w:rPr>
      <w:sz w:val="18"/>
    </w:rPr>
  </w:style>
  <w:style w:type="paragraph" w:styleId="FootnoteText">
    <w:name w:val="footnote text"/>
    <w:basedOn w:val="Normal"/>
    <w:rsid w:val="00CA629C"/>
  </w:style>
  <w:style w:type="paragraph" w:customStyle="1" w:styleId="Footnote">
    <w:name w:val="Footnote"/>
    <w:basedOn w:val="Normal"/>
    <w:rsid w:val="00CA629C"/>
  </w:style>
  <w:style w:type="character" w:styleId="PageNumber">
    <w:name w:val="page number"/>
    <w:basedOn w:val="DefaultParagraphFont"/>
    <w:rsid w:val="00CA629C"/>
  </w:style>
  <w:style w:type="paragraph" w:styleId="Header">
    <w:name w:val="header"/>
    <w:basedOn w:val="Normal"/>
    <w:rsid w:val="00CA629C"/>
    <w:pPr>
      <w:tabs>
        <w:tab w:val="center" w:pos="4320"/>
        <w:tab w:val="right" w:pos="8640"/>
      </w:tabs>
    </w:pPr>
  </w:style>
  <w:style w:type="character" w:styleId="FollowedHyperlink">
    <w:name w:val="FollowedHyperlink"/>
    <w:basedOn w:val="DefaultParagraphFont"/>
    <w:rsid w:val="00CA629C"/>
    <w:rPr>
      <w:color w:val="800080"/>
      <w:u w:val="single"/>
    </w:rPr>
  </w:style>
  <w:style w:type="paragraph" w:customStyle="1" w:styleId="ExtendedQuote">
    <w:name w:val="Extended Quote"/>
    <w:basedOn w:val="Text"/>
    <w:rsid w:val="00CA629C"/>
    <w:pPr>
      <w:ind w:left="576" w:firstLine="0"/>
    </w:pPr>
    <w:rPr>
      <w:sz w:val="18"/>
    </w:rPr>
  </w:style>
  <w:style w:type="character" w:styleId="PlaceholderText">
    <w:name w:val="Placeholder Text"/>
    <w:basedOn w:val="DefaultParagraphFont"/>
    <w:uiPriority w:val="99"/>
    <w:semiHidden/>
    <w:rsid w:val="00280CEB"/>
    <w:rPr>
      <w:color w:val="808080"/>
    </w:rPr>
  </w:style>
  <w:style w:type="table" w:styleId="TableGrid">
    <w:name w:val="Table Grid"/>
    <w:basedOn w:val="TableNormal"/>
    <w:uiPriority w:val="59"/>
    <w:rsid w:val="005233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133C"/>
    <w:rPr>
      <w:rFonts w:ascii="Lucida Grande" w:hAnsi="Lucida Grande"/>
      <w:sz w:val="18"/>
      <w:szCs w:val="18"/>
    </w:rPr>
  </w:style>
  <w:style w:type="character" w:customStyle="1" w:styleId="BalloonTextChar">
    <w:name w:val="Balloon Text Char"/>
    <w:basedOn w:val="DefaultParagraphFont"/>
    <w:link w:val="BalloonText"/>
    <w:uiPriority w:val="99"/>
    <w:semiHidden/>
    <w:rsid w:val="00A6133C"/>
    <w:rPr>
      <w:rFonts w:ascii="Lucida Grande" w:hAnsi="Lucida Grande"/>
      <w:sz w:val="18"/>
      <w:szCs w:val="18"/>
    </w:rPr>
  </w:style>
  <w:style w:type="character" w:styleId="UnresolvedMention">
    <w:name w:val="Unresolved Mention"/>
    <w:basedOn w:val="DefaultParagraphFont"/>
    <w:uiPriority w:val="99"/>
    <w:semiHidden/>
    <w:unhideWhenUsed/>
    <w:rsid w:val="001761AC"/>
    <w:rPr>
      <w:color w:val="605E5C"/>
      <w:shd w:val="clear" w:color="auto" w:fill="E1DFDD"/>
    </w:rPr>
  </w:style>
  <w:style w:type="numbering" w:customStyle="1" w:styleId="CurrentList1">
    <w:name w:val="Current List1"/>
    <w:uiPriority w:val="99"/>
    <w:rsid w:val="00970F86"/>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2706">
      <w:bodyDiv w:val="1"/>
      <w:marLeft w:val="0"/>
      <w:marRight w:val="0"/>
      <w:marTop w:val="0"/>
      <w:marBottom w:val="0"/>
      <w:divBdr>
        <w:top w:val="none" w:sz="0" w:space="0" w:color="auto"/>
        <w:left w:val="none" w:sz="0" w:space="0" w:color="auto"/>
        <w:bottom w:val="none" w:sz="0" w:space="0" w:color="auto"/>
        <w:right w:val="none" w:sz="0" w:space="0" w:color="auto"/>
      </w:divBdr>
    </w:div>
    <w:div w:id="1093089804">
      <w:bodyDiv w:val="1"/>
      <w:marLeft w:val="0"/>
      <w:marRight w:val="0"/>
      <w:marTop w:val="0"/>
      <w:marBottom w:val="0"/>
      <w:divBdr>
        <w:top w:val="none" w:sz="0" w:space="0" w:color="auto"/>
        <w:left w:val="none" w:sz="0" w:space="0" w:color="auto"/>
        <w:bottom w:val="none" w:sz="0" w:space="0" w:color="auto"/>
        <w:right w:val="none" w:sz="0" w:space="0" w:color="auto"/>
      </w:divBdr>
      <w:divsChild>
        <w:div w:id="499347842">
          <w:marLeft w:val="0"/>
          <w:marRight w:val="0"/>
          <w:marTop w:val="0"/>
          <w:marBottom w:val="0"/>
          <w:divBdr>
            <w:top w:val="none" w:sz="0" w:space="0" w:color="auto"/>
            <w:left w:val="none" w:sz="0" w:space="0" w:color="auto"/>
            <w:bottom w:val="none" w:sz="0" w:space="0" w:color="auto"/>
            <w:right w:val="none" w:sz="0" w:space="0" w:color="auto"/>
          </w:divBdr>
          <w:divsChild>
            <w:div w:id="151797982">
              <w:marLeft w:val="0"/>
              <w:marRight w:val="0"/>
              <w:marTop w:val="0"/>
              <w:marBottom w:val="0"/>
              <w:divBdr>
                <w:top w:val="none" w:sz="0" w:space="0" w:color="auto"/>
                <w:left w:val="none" w:sz="0" w:space="0" w:color="auto"/>
                <w:bottom w:val="none" w:sz="0" w:space="0" w:color="auto"/>
                <w:right w:val="none" w:sz="0" w:space="0" w:color="auto"/>
              </w:divBdr>
              <w:divsChild>
                <w:div w:id="5297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wrenceg\Desktop\Ann%20Ames%207-8-13\AIAA_Papers_Template_Jun201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6E921-26ED-CF4C-A381-9E79582FDA79}">
  <ds:schemaRefs>
    <ds:schemaRef ds:uri="http://schemas.openxmlformats.org/officeDocument/2006/bibliography"/>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C:\Users\lawrenceg\Desktop\Ann Ames 7-8-13\AIAA_Papers_Template_Jun2013.dot</Template>
  <TotalTime>2196</TotalTime>
  <Pages>12</Pages>
  <Words>6840</Words>
  <Characters>38993</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Preparation of Papers for AIAA Technical Conferences</vt:lpstr>
    </vt:vector>
  </TitlesOfParts>
  <Company>AIAA</Company>
  <LinksUpToDate>false</LinksUpToDate>
  <CharactersWithSpaces>45742</CharactersWithSpaces>
  <SharedDoc>false</SharedDoc>
  <HLinks>
    <vt:vector size="48" baseType="variant">
      <vt:variant>
        <vt:i4>4718671</vt:i4>
      </vt:variant>
      <vt:variant>
        <vt:i4>24</vt:i4>
      </vt:variant>
      <vt:variant>
        <vt:i4>0</vt:i4>
      </vt:variant>
      <vt:variant>
        <vt:i4>5</vt:i4>
      </vt:variant>
      <vt:variant>
        <vt:lpwstr>http://www.geog.le.ac.uk/bgrg/lab.htm</vt:lpwstr>
      </vt:variant>
      <vt:variant>
        <vt:lpwstr/>
      </vt:variant>
      <vt:variant>
        <vt:i4>393284</vt:i4>
      </vt:variant>
      <vt:variant>
        <vt:i4>21</vt:i4>
      </vt:variant>
      <vt:variant>
        <vt:i4>0</vt:i4>
      </vt:variant>
      <vt:variant>
        <vt:i4>5</vt:i4>
      </vt:variant>
      <vt:variant>
        <vt:lpwstr>http://www.cp/umist.ac.uk/JCSE/vol1/vol1.html</vt:lpwstr>
      </vt:variant>
      <vt:variant>
        <vt:lpwstr/>
      </vt:variant>
      <vt:variant>
        <vt:i4>5767243</vt:i4>
      </vt:variant>
      <vt:variant>
        <vt:i4>18</vt:i4>
      </vt:variant>
      <vt:variant>
        <vt:i4>0</vt:i4>
      </vt:variant>
      <vt:variant>
        <vt:i4>5</vt:i4>
      </vt:variant>
      <vt:variant>
        <vt:lpwstr>http://www.mathtype.com/</vt:lpwstr>
      </vt:variant>
      <vt:variant>
        <vt:lpwstr/>
      </vt:variant>
      <vt:variant>
        <vt:i4>4128824</vt:i4>
      </vt:variant>
      <vt:variant>
        <vt:i4>12</vt:i4>
      </vt:variant>
      <vt:variant>
        <vt:i4>0</vt:i4>
      </vt:variant>
      <vt:variant>
        <vt:i4>5</vt:i4>
      </vt:variant>
      <vt:variant>
        <vt:lpwstr>http://www.aiaa.org/content.cfm?pageid=396</vt:lpwstr>
      </vt:variant>
      <vt:variant>
        <vt:lpwstr/>
      </vt:variant>
      <vt:variant>
        <vt:i4>5570662</vt:i4>
      </vt:variant>
      <vt:variant>
        <vt:i4>9</vt:i4>
      </vt:variant>
      <vt:variant>
        <vt:i4>0</vt:i4>
      </vt:variant>
      <vt:variant>
        <vt:i4>5</vt:i4>
      </vt:variant>
      <vt:variant>
        <vt:lpwstr>mailto:revisions@aiaa.org</vt:lpwstr>
      </vt:variant>
      <vt:variant>
        <vt:lpwstr/>
      </vt:variant>
      <vt:variant>
        <vt:i4>3342340</vt:i4>
      </vt:variant>
      <vt:variant>
        <vt:i4>6</vt:i4>
      </vt:variant>
      <vt:variant>
        <vt:i4>0</vt:i4>
      </vt:variant>
      <vt:variant>
        <vt:i4>5</vt:i4>
      </vt:variant>
      <vt:variant>
        <vt:lpwstr>mailto:custserv@aiaa.org</vt:lpwstr>
      </vt:variant>
      <vt:variant>
        <vt:lpwstr/>
      </vt:variant>
      <vt:variant>
        <vt:i4>7340153</vt:i4>
      </vt:variant>
      <vt:variant>
        <vt:i4>3</vt:i4>
      </vt:variant>
      <vt:variant>
        <vt:i4>0</vt:i4>
      </vt:variant>
      <vt:variant>
        <vt:i4>5</vt:i4>
      </vt:variant>
      <vt:variant>
        <vt:lpwstr>http://www.aiaa.org/visa-info/</vt:lpwstr>
      </vt:variant>
      <vt:variant>
        <vt:lpwstr/>
      </vt:variant>
      <vt:variant>
        <vt:i4>4128824</vt:i4>
      </vt:variant>
      <vt:variant>
        <vt:i4>0</vt:i4>
      </vt:variant>
      <vt:variant>
        <vt:i4>0</vt:i4>
      </vt:variant>
      <vt:variant>
        <vt:i4>5</vt:i4>
      </vt:variant>
      <vt:variant>
        <vt:lpwstr>http://www.aiaa.org/content.cfm?pageid=396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for AIAA Technical Conferences</dc:title>
  <dc:subject/>
  <dc:creator>lawrenceg</dc:creator>
  <cp:keywords/>
  <cp:lastModifiedBy>Dinesh K. Prabhu</cp:lastModifiedBy>
  <cp:revision>104</cp:revision>
  <cp:lastPrinted>2021-11-05T22:06:00Z</cp:lastPrinted>
  <dcterms:created xsi:type="dcterms:W3CDTF">2023-10-10T00:14:00Z</dcterms:created>
  <dcterms:modified xsi:type="dcterms:W3CDTF">2023-12-01T18:13:00Z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