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6451" w14:textId="77777777" w:rsidR="003B5AD3" w:rsidRDefault="003B5AD3" w:rsidP="006D5C28">
      <w:pPr>
        <w:rPr>
          <w:rFonts w:ascii="Arial" w:hAnsi="Arial" w:cs="Arial"/>
          <w:sz w:val="24"/>
          <w:szCs w:val="24"/>
        </w:rPr>
      </w:pPr>
    </w:p>
    <w:p w14:paraId="5BE96A67" w14:textId="77777777" w:rsidR="003B5AD3" w:rsidRDefault="003B5AD3" w:rsidP="003B5AD3">
      <w:pPr>
        <w:ind w:firstLine="720"/>
        <w:rPr>
          <w:rFonts w:asciiTheme="minorHAnsi" w:hAnsiTheme="minorHAnsi" w:cstheme="minorBidi"/>
        </w:rPr>
      </w:pPr>
      <w:r>
        <w:t>Quantum sensors rely on quantum mechanical properties, such as wave-particle duality, atomic energy levels, or entanglement, to measure physical, optical, or electromagnetic information from a target.  Examples include Rydberg sensors, nitrogen-vacancy magnetometers, HOM (Hong-</w:t>
      </w:r>
      <w:proofErr w:type="spellStart"/>
      <w:r>
        <w:t>Ou</w:t>
      </w:r>
      <w:proofErr w:type="spellEnd"/>
      <w:r>
        <w:t>-Mandel) interferometers, and SQUIDs (Superconducting Quantum Interference Devices).  In general, as quantum sensors rely on interrogation at the atomic and photonic level rather than on classical mechanical measurements, these technologies promise advantages over their traditional counterparts in sensitivity, accuracy, and SWaP (Size, Weight, and Power).  Conceptually, the use of quantum sensors unlocks the new phenomenology of sensor entanglement.  While an ultra-low TRL (Technology Readiness Level) prospect for most sensor types, multi-sensor entanglement is a high risk, high reward strategy with a potential for exquisite sensitivity and SWaP improvements entirely inaccessible to classical sensors.</w:t>
      </w:r>
    </w:p>
    <w:p w14:paraId="24A3CF15" w14:textId="6E478031" w:rsidR="003B5AD3" w:rsidRDefault="003B5AD3" w:rsidP="003B5AD3">
      <w:r>
        <w:tab/>
        <w:t>In March 2022, the National Science and Technology Council Subcommittee on Quantum Information Science released four recommendations for “bringing quantum sensors into fruition”</w:t>
      </w:r>
      <w:r w:rsidR="00643964">
        <w:rPr>
          <w:rStyle w:val="FootnoteReference"/>
        </w:rPr>
        <w:footnoteReference w:id="1"/>
      </w:r>
      <w:r>
        <w:t>, including prioritizing partnerships with end users, conducting feasibility studies, developing broadly applicable components, and streamlining technology transfer.  As a trio of organizations that span from basic science researchers to end-use customer, the Space Science and Technology (S&amp;T) Partnership Forum including the National Aeronautics and Space Administration (NASA), National Reconnaissance Office (NRO), and United States Space Force (USSF), is well-positioned to follow these recommendations to implement quantum sensors in space.</w:t>
      </w:r>
    </w:p>
    <w:p w14:paraId="3B4C0E0E" w14:textId="235C81C8" w:rsidR="003B5AD3" w:rsidRDefault="00120A93" w:rsidP="000704E0">
      <w:pPr>
        <w:ind w:firstLine="720"/>
      </w:pPr>
      <w:r w:rsidRPr="00120A93">
        <w:t xml:space="preserve">The </w:t>
      </w:r>
      <w:r>
        <w:t xml:space="preserve">Space </w:t>
      </w:r>
      <w:r w:rsidR="006045C4">
        <w:t>S&amp;T</w:t>
      </w:r>
      <w:r w:rsidRPr="00120A93">
        <w:t xml:space="preserve"> Partnership Forum was established in 2015 between NASA, </w:t>
      </w:r>
      <w:r>
        <w:t>NRO,</w:t>
      </w:r>
      <w:r w:rsidRPr="00120A93">
        <w:t xml:space="preserve"> and</w:t>
      </w:r>
      <w:r w:rsidR="006045C4">
        <w:t xml:space="preserve"> USSF </w:t>
      </w:r>
      <w:r w:rsidRPr="00120A93">
        <w:t>to identify synergistic efforts and technologies shared between the agencies, leveraging those synergies to influence science and technology portfolios at each agency in areas deemed pervasive and ready for collaboration.</w:t>
      </w:r>
      <w:r w:rsidR="000704E0">
        <w:t xml:space="preserve"> </w:t>
      </w:r>
      <w:r w:rsidR="003B5AD3">
        <w:t xml:space="preserve">Though the mission scopes of the three partners are distinct, quantum sensors are highly relevant to overlapping areas such as precision Position, Navigation, and Timing (PNT); electromagnetic field sensing; attitude control; communications; and gravimetry.  For example, magnetometers based on nitrogen-vacancy centers or SQUIDs may be used for geological magnetic field mapping, mineral or archaeological exploration, or magnetic anomaly detection.  Atomic electrometers, such as Rydberg sensors, provide low SWaP Radio Frequency (RF) to THz response with good sensitivity that may be used for communications or electric field sensing. </w:t>
      </w:r>
    </w:p>
    <w:p w14:paraId="6FC3F61E" w14:textId="0B6E451F" w:rsidR="003B5AD3" w:rsidRDefault="003B5AD3" w:rsidP="003B5AD3">
      <w:pPr>
        <w:ind w:firstLine="720"/>
      </w:pPr>
      <w:r>
        <w:t xml:space="preserve">In March 2023, the Space S&amp;T Partnership Forum kicked off a collaborative quantum sensing effort to accelerate the deployment of space-based quantum sensors for the three partner agencies. </w:t>
      </w:r>
      <w:r w:rsidR="000F7FF5">
        <w:t>Phase 1 of the effort</w:t>
      </w:r>
      <w:r>
        <w:t xml:space="preserve"> includes </w:t>
      </w:r>
      <w:r w:rsidR="000F7FF5">
        <w:t xml:space="preserve">strategy </w:t>
      </w:r>
      <w:r w:rsidR="0013749F">
        <w:t>development</w:t>
      </w:r>
      <w:r>
        <w:t xml:space="preserve"> to identify quantum sensors with promising potential for space science and operations, as well as the required infrastructures and supporting subsystems. In May 2023, the interagency group </w:t>
      </w:r>
      <w:r w:rsidR="00CC6D3B">
        <w:t>convened</w:t>
      </w:r>
      <w:r>
        <w:t xml:space="preserve"> for a Technical Exchange Meeting</w:t>
      </w:r>
      <w:r w:rsidR="00CC6D3B">
        <w:t xml:space="preserve"> (TEM)</w:t>
      </w:r>
      <w:r>
        <w:t xml:space="preserve"> to discuss quantum technologies of mutual interest. Further decomposition of the quantum technologies of mutual interest in the areas of </w:t>
      </w:r>
      <w:r w:rsidR="00BE4CAC">
        <w:t xml:space="preserve">atomic clocks, </w:t>
      </w:r>
      <w:r w:rsidR="000B616C">
        <w:t>atomic interferometers, magnetometers, Rydberg sensors, and superconducting nanowire single-photon detectors</w:t>
      </w:r>
      <w:r w:rsidR="00CC6D3B">
        <w:t xml:space="preserve"> (SNSPDs)</w:t>
      </w:r>
      <w:r>
        <w:t xml:space="preserve"> occurred through online interagency working groups</w:t>
      </w:r>
      <w:r w:rsidR="00CC6D3B">
        <w:t xml:space="preserve"> following the TEM</w:t>
      </w:r>
      <w:r>
        <w:t xml:space="preserve">. </w:t>
      </w:r>
      <w:r w:rsidR="00AB0C2A">
        <w:t>A</w:t>
      </w:r>
      <w:r w:rsidR="007060D1">
        <w:t xml:space="preserve"> final</w:t>
      </w:r>
      <w:r w:rsidR="007060D1" w:rsidRPr="007060D1">
        <w:t xml:space="preserve"> report </w:t>
      </w:r>
      <w:r w:rsidR="007060D1">
        <w:t>will provide</w:t>
      </w:r>
      <w:r w:rsidR="007060D1" w:rsidRPr="007060D1">
        <w:t xml:space="preserve"> findings and recommendations from </w:t>
      </w:r>
      <w:r w:rsidR="00AB0C2A">
        <w:t>the</w:t>
      </w:r>
      <w:r w:rsidR="007060D1" w:rsidRPr="007060D1">
        <w:t xml:space="preserve"> interagency exploration of space-based quantum sensing technologies to inform priorities and collaboration for the Principals of the Space </w:t>
      </w:r>
      <w:r w:rsidR="00AB0C2A">
        <w:t xml:space="preserve">S&amp;T </w:t>
      </w:r>
      <w:r w:rsidR="007060D1" w:rsidRPr="007060D1">
        <w:t>Partnership Forum.</w:t>
      </w:r>
    </w:p>
    <w:p w14:paraId="421BA126" w14:textId="77777777" w:rsidR="003B5AD3" w:rsidRDefault="003B5AD3" w:rsidP="006D5C28"/>
    <w:sectPr w:rsidR="003B5A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8ECD" w14:textId="77777777" w:rsidR="005A5033" w:rsidRDefault="005A5033" w:rsidP="007D32FF">
      <w:r>
        <w:separator/>
      </w:r>
    </w:p>
  </w:endnote>
  <w:endnote w:type="continuationSeparator" w:id="0">
    <w:p w14:paraId="21E0B2FC" w14:textId="77777777" w:rsidR="005A5033" w:rsidRDefault="005A5033" w:rsidP="007D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7F0F9" w14:textId="77777777" w:rsidR="005A5033" w:rsidRDefault="005A5033" w:rsidP="007D32FF">
      <w:r>
        <w:separator/>
      </w:r>
    </w:p>
  </w:footnote>
  <w:footnote w:type="continuationSeparator" w:id="0">
    <w:p w14:paraId="09B21201" w14:textId="77777777" w:rsidR="005A5033" w:rsidRDefault="005A5033" w:rsidP="007D32FF">
      <w:r>
        <w:continuationSeparator/>
      </w:r>
    </w:p>
  </w:footnote>
  <w:footnote w:id="1">
    <w:p w14:paraId="1B697E3B" w14:textId="139C5ABD" w:rsidR="00643964" w:rsidRDefault="00643964">
      <w:pPr>
        <w:pStyle w:val="FootnoteText"/>
      </w:pPr>
      <w:r>
        <w:rPr>
          <w:rStyle w:val="FootnoteReference"/>
        </w:rPr>
        <w:footnoteRef/>
      </w:r>
      <w:r>
        <w:t xml:space="preserve"> </w:t>
      </w:r>
      <w:hyperlink r:id="rId1" w:history="1">
        <w:r w:rsidRPr="007B36F8">
          <w:rPr>
            <w:rStyle w:val="Hyperlink"/>
          </w:rPr>
          <w:t>https://www.quantum.gov/wp-content/uploads/2022/03/BringingQuantumSensorstoFruition.pdf</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C28"/>
    <w:rsid w:val="00020813"/>
    <w:rsid w:val="000704E0"/>
    <w:rsid w:val="000B616C"/>
    <w:rsid w:val="000F7FF5"/>
    <w:rsid w:val="00120A93"/>
    <w:rsid w:val="0013749F"/>
    <w:rsid w:val="00182C95"/>
    <w:rsid w:val="0018525C"/>
    <w:rsid w:val="00196BC0"/>
    <w:rsid w:val="002B534C"/>
    <w:rsid w:val="00383539"/>
    <w:rsid w:val="00387068"/>
    <w:rsid w:val="003B5AD3"/>
    <w:rsid w:val="0049004A"/>
    <w:rsid w:val="004E120A"/>
    <w:rsid w:val="005A5033"/>
    <w:rsid w:val="006045C4"/>
    <w:rsid w:val="00643964"/>
    <w:rsid w:val="0067754D"/>
    <w:rsid w:val="006D5C28"/>
    <w:rsid w:val="006F3811"/>
    <w:rsid w:val="007060D1"/>
    <w:rsid w:val="007D32FF"/>
    <w:rsid w:val="00821D1B"/>
    <w:rsid w:val="0095115D"/>
    <w:rsid w:val="00A11A88"/>
    <w:rsid w:val="00AB0C2A"/>
    <w:rsid w:val="00B677FB"/>
    <w:rsid w:val="00BD4DB1"/>
    <w:rsid w:val="00BE4CAC"/>
    <w:rsid w:val="00CC6D3B"/>
    <w:rsid w:val="00DD0EA3"/>
    <w:rsid w:val="00ED1496"/>
    <w:rsid w:val="00F46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3789"/>
  <w15:chartTrackingRefBased/>
  <w15:docId w15:val="{370767D3-3DBF-4AC0-9ABF-1B6E4362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C2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C28"/>
    <w:rPr>
      <w:color w:val="0563C1"/>
      <w:u w:val="single"/>
    </w:rPr>
  </w:style>
  <w:style w:type="paragraph" w:styleId="NormalWeb">
    <w:name w:val="Normal (Web)"/>
    <w:basedOn w:val="Normal"/>
    <w:uiPriority w:val="99"/>
    <w:semiHidden/>
    <w:unhideWhenUsed/>
    <w:rsid w:val="006D5C28"/>
    <w:pPr>
      <w:spacing w:before="100" w:beforeAutospacing="1" w:after="100" w:afterAutospacing="1"/>
    </w:pPr>
  </w:style>
  <w:style w:type="paragraph" w:styleId="Header">
    <w:name w:val="header"/>
    <w:basedOn w:val="Normal"/>
    <w:link w:val="HeaderChar"/>
    <w:uiPriority w:val="99"/>
    <w:unhideWhenUsed/>
    <w:rsid w:val="007D32FF"/>
    <w:pPr>
      <w:tabs>
        <w:tab w:val="center" w:pos="4680"/>
        <w:tab w:val="right" w:pos="9360"/>
      </w:tabs>
    </w:pPr>
  </w:style>
  <w:style w:type="character" w:customStyle="1" w:styleId="HeaderChar">
    <w:name w:val="Header Char"/>
    <w:basedOn w:val="DefaultParagraphFont"/>
    <w:link w:val="Header"/>
    <w:uiPriority w:val="99"/>
    <w:rsid w:val="007D32FF"/>
    <w:rPr>
      <w:rFonts w:ascii="Calibri" w:hAnsi="Calibri" w:cs="Calibri"/>
    </w:rPr>
  </w:style>
  <w:style w:type="paragraph" w:styleId="Footer">
    <w:name w:val="footer"/>
    <w:basedOn w:val="Normal"/>
    <w:link w:val="FooterChar"/>
    <w:uiPriority w:val="99"/>
    <w:unhideWhenUsed/>
    <w:rsid w:val="007D32FF"/>
    <w:pPr>
      <w:tabs>
        <w:tab w:val="center" w:pos="4680"/>
        <w:tab w:val="right" w:pos="9360"/>
      </w:tabs>
    </w:pPr>
  </w:style>
  <w:style w:type="character" w:customStyle="1" w:styleId="FooterChar">
    <w:name w:val="Footer Char"/>
    <w:basedOn w:val="DefaultParagraphFont"/>
    <w:link w:val="Footer"/>
    <w:uiPriority w:val="99"/>
    <w:rsid w:val="007D32FF"/>
    <w:rPr>
      <w:rFonts w:ascii="Calibri" w:hAnsi="Calibri" w:cs="Calibri"/>
    </w:rPr>
  </w:style>
  <w:style w:type="paragraph" w:styleId="FootnoteText">
    <w:name w:val="footnote text"/>
    <w:basedOn w:val="Normal"/>
    <w:link w:val="FootnoteTextChar"/>
    <w:uiPriority w:val="99"/>
    <w:semiHidden/>
    <w:unhideWhenUsed/>
    <w:rsid w:val="00643964"/>
    <w:rPr>
      <w:sz w:val="20"/>
      <w:szCs w:val="20"/>
    </w:rPr>
  </w:style>
  <w:style w:type="character" w:customStyle="1" w:styleId="FootnoteTextChar">
    <w:name w:val="Footnote Text Char"/>
    <w:basedOn w:val="DefaultParagraphFont"/>
    <w:link w:val="FootnoteText"/>
    <w:uiPriority w:val="99"/>
    <w:semiHidden/>
    <w:rsid w:val="00643964"/>
    <w:rPr>
      <w:rFonts w:ascii="Calibri" w:hAnsi="Calibri" w:cs="Calibri"/>
      <w:sz w:val="20"/>
      <w:szCs w:val="20"/>
    </w:rPr>
  </w:style>
  <w:style w:type="character" w:styleId="FootnoteReference">
    <w:name w:val="footnote reference"/>
    <w:basedOn w:val="DefaultParagraphFont"/>
    <w:uiPriority w:val="99"/>
    <w:semiHidden/>
    <w:unhideWhenUsed/>
    <w:rsid w:val="00643964"/>
    <w:rPr>
      <w:vertAlign w:val="superscript"/>
    </w:rPr>
  </w:style>
  <w:style w:type="character" w:styleId="UnresolvedMention">
    <w:name w:val="Unresolved Mention"/>
    <w:basedOn w:val="DefaultParagraphFont"/>
    <w:uiPriority w:val="99"/>
    <w:semiHidden/>
    <w:unhideWhenUsed/>
    <w:rsid w:val="00643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942899">
      <w:bodyDiv w:val="1"/>
      <w:marLeft w:val="0"/>
      <w:marRight w:val="0"/>
      <w:marTop w:val="0"/>
      <w:marBottom w:val="0"/>
      <w:divBdr>
        <w:top w:val="none" w:sz="0" w:space="0" w:color="auto"/>
        <w:left w:val="none" w:sz="0" w:space="0" w:color="auto"/>
        <w:bottom w:val="none" w:sz="0" w:space="0" w:color="auto"/>
        <w:right w:val="none" w:sz="0" w:space="0" w:color="auto"/>
      </w:divBdr>
    </w:div>
    <w:div w:id="82955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quantum.gov/wp-content/uploads/2022/03/BringingQuantumSensorstoFrui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F300371AEF1149A6354DA625672D1B" ma:contentTypeVersion="15" ma:contentTypeDescription="Create a new document." ma:contentTypeScope="" ma:versionID="2e743994dbeefefb2b993a86b6a108a1">
  <xsd:schema xmlns:xsd="http://www.w3.org/2001/XMLSchema" xmlns:xs="http://www.w3.org/2001/XMLSchema" xmlns:p="http://schemas.microsoft.com/office/2006/metadata/properties" xmlns:ns2="d105b188-2caa-4c52-8fb8-84e657e174a4" xmlns:ns3="0a21020f-3184-48ea-bc55-0895933ad77e" xmlns:ns4="d900e117-17a0-4b24-9e47-511ef1d02c43" targetNamespace="http://schemas.microsoft.com/office/2006/metadata/properties" ma:root="true" ma:fieldsID="bbc0fa984671a6f6df57285d110238a1" ns2:_="" ns3:_="" ns4:_="">
    <xsd:import namespace="d105b188-2caa-4c52-8fb8-84e657e174a4"/>
    <xsd:import namespace="0a21020f-3184-48ea-bc55-0895933ad77e"/>
    <xsd:import namespace="d900e117-17a0-4b24-9e47-511ef1d02c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5b188-2caa-4c52-8fb8-84e657e17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21020f-3184-48ea-bc55-0895933ad77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ddb0072-04a0-4b46-8c25-da306e54a192}" ma:internalName="TaxCatchAll" ma:showField="CatchAllData" ma:web="0a21020f-3184-48ea-bc55-0895933ad7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900e117-17a0-4b24-9e47-511ef1d02c43" xsi:nil="true"/>
    <lcf76f155ced4ddcb4097134ff3c332f xmlns="d105b188-2caa-4c52-8fb8-84e657e174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7A7D19-BF6C-434D-9D62-E384E7024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5b188-2caa-4c52-8fb8-84e657e174a4"/>
    <ds:schemaRef ds:uri="0a21020f-3184-48ea-bc55-0895933ad77e"/>
    <ds:schemaRef ds:uri="d900e117-17a0-4b24-9e47-511ef1d0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EBA2-5375-4D1A-8DEE-CF786F2F26F5}">
  <ds:schemaRefs>
    <ds:schemaRef ds:uri="http://schemas.openxmlformats.org/officeDocument/2006/bibliography"/>
  </ds:schemaRefs>
</ds:datastoreItem>
</file>

<file path=customXml/itemProps3.xml><?xml version="1.0" encoding="utf-8"?>
<ds:datastoreItem xmlns:ds="http://schemas.openxmlformats.org/officeDocument/2006/customXml" ds:itemID="{97D20372-75AB-4D67-AE70-C31AF71BB093}">
  <ds:schemaRefs>
    <ds:schemaRef ds:uri="http://schemas.microsoft.com/office/2006/metadata/properties"/>
    <ds:schemaRef ds:uri="http://schemas.microsoft.com/office/infopath/2007/PartnerControls"/>
    <ds:schemaRef ds:uri="d900e117-17a0-4b24-9e47-511ef1d02c43"/>
    <ds:schemaRef ds:uri="d105b188-2caa-4c52-8fb8-84e657e174a4"/>
  </ds:schemaRefs>
</ds:datastoreItem>
</file>

<file path=customXml/itemProps4.xml><?xml version="1.0" encoding="utf-8"?>
<ds:datastoreItem xmlns:ds="http://schemas.openxmlformats.org/officeDocument/2006/customXml" ds:itemID="{987FB277-FD8C-4FC5-A234-FDC33C990B1E}">
  <ds:schemaRefs>
    <ds:schemaRef ds:uri="http://schemas.microsoft.com/sharepoint/v3/contenttype/forms"/>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Wusk, Grace C. (HQ-AJ000)</dc:creator>
  <cp:keywords/>
  <dc:description/>
  <cp:lastModifiedBy>Jones, Taelor N. (HQ-AJ000)[Total Solutions Inc]</cp:lastModifiedBy>
  <cp:revision>2</cp:revision>
  <dcterms:created xsi:type="dcterms:W3CDTF">2023-12-06T19:44:00Z</dcterms:created>
  <dcterms:modified xsi:type="dcterms:W3CDTF">2023-12-06T19:44:00Z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0x010100D7F300371AEF1149A6354DA625672D1B</vt:lpwstr>
  </property>
  <property fmtid="{D5CDD505-2E9C-101B-9397-08002B2CF9AE}" pid="3" name="MediaServiceImageTags">
    <vt:lpwstr/>
  </property>
</Properties>
</file>