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3BA00" w14:textId="6770ECEC" w:rsidR="005117AB" w:rsidRPr="00C64DAC" w:rsidRDefault="00C64DAC" w:rsidP="002567B7">
      <w:pPr>
        <w:pStyle w:val="NoSpacing"/>
        <w:jc w:val="both"/>
        <w:rPr>
          <w:rFonts w:ascii="Times New Roman" w:hAnsi="Times New Roman" w:cs="Times New Roman"/>
          <w:b/>
          <w:bCs/>
          <w:sz w:val="24"/>
          <w:szCs w:val="24"/>
        </w:rPr>
      </w:pPr>
      <w:r w:rsidRPr="00C64DAC">
        <w:rPr>
          <w:rFonts w:ascii="Times New Roman" w:hAnsi="Times New Roman" w:cs="Times New Roman"/>
          <w:b/>
          <w:bCs/>
          <w:sz w:val="24"/>
          <w:szCs w:val="24"/>
        </w:rPr>
        <w:t>In-Situ XRD/XRF to Support Life Detection on Mars</w:t>
      </w:r>
    </w:p>
    <w:p w14:paraId="723E0853" w14:textId="50D25C40" w:rsidR="00C64DAC" w:rsidRDefault="00C64DAC" w:rsidP="002567B7">
      <w:pPr>
        <w:pStyle w:val="NoSpacing"/>
        <w:jc w:val="both"/>
        <w:rPr>
          <w:rFonts w:ascii="Times New Roman" w:hAnsi="Times New Roman" w:cs="Times New Roman"/>
          <w:sz w:val="24"/>
          <w:szCs w:val="24"/>
        </w:rPr>
      </w:pPr>
    </w:p>
    <w:p w14:paraId="3129E615" w14:textId="1AC965E2" w:rsidR="00C64DAC" w:rsidRDefault="00C64DAC" w:rsidP="002567B7">
      <w:pPr>
        <w:pStyle w:val="NoSpacing"/>
        <w:jc w:val="both"/>
        <w:rPr>
          <w:rFonts w:ascii="Times New Roman" w:hAnsi="Times New Roman" w:cs="Times New Roman"/>
          <w:sz w:val="24"/>
          <w:szCs w:val="24"/>
        </w:rPr>
      </w:pPr>
      <w:r>
        <w:rPr>
          <w:rFonts w:ascii="Times New Roman" w:hAnsi="Times New Roman" w:cs="Times New Roman"/>
          <w:sz w:val="24"/>
          <w:szCs w:val="24"/>
        </w:rPr>
        <w:t>E. B. Rampe</w:t>
      </w:r>
      <w:r w:rsidR="00BA742B" w:rsidRPr="00BA742B">
        <w:rPr>
          <w:rFonts w:ascii="Times New Roman" w:hAnsi="Times New Roman" w:cs="Times New Roman"/>
          <w:sz w:val="24"/>
          <w:szCs w:val="24"/>
          <w:vertAlign w:val="superscript"/>
        </w:rPr>
        <w:t>1</w:t>
      </w:r>
      <w:r>
        <w:rPr>
          <w:rFonts w:ascii="Times New Roman" w:hAnsi="Times New Roman" w:cs="Times New Roman"/>
          <w:sz w:val="24"/>
          <w:szCs w:val="24"/>
        </w:rPr>
        <w:t>, D. F. Blake</w:t>
      </w:r>
      <w:r w:rsidR="00BA742B" w:rsidRPr="00BA742B">
        <w:rPr>
          <w:rFonts w:ascii="Times New Roman" w:hAnsi="Times New Roman" w:cs="Times New Roman"/>
          <w:sz w:val="24"/>
          <w:szCs w:val="24"/>
          <w:vertAlign w:val="superscript"/>
        </w:rPr>
        <w:t>2</w:t>
      </w:r>
      <w:r>
        <w:rPr>
          <w:rFonts w:ascii="Times New Roman" w:hAnsi="Times New Roman" w:cs="Times New Roman"/>
          <w:sz w:val="24"/>
          <w:szCs w:val="24"/>
        </w:rPr>
        <w:t>, P. Sarrazin</w:t>
      </w:r>
      <w:r w:rsidR="00BA742B" w:rsidRPr="00BA742B">
        <w:rPr>
          <w:rFonts w:ascii="Times New Roman" w:hAnsi="Times New Roman" w:cs="Times New Roman"/>
          <w:sz w:val="24"/>
          <w:szCs w:val="24"/>
          <w:vertAlign w:val="superscript"/>
        </w:rPr>
        <w:t>3</w:t>
      </w:r>
      <w:r>
        <w:rPr>
          <w:rFonts w:ascii="Times New Roman" w:hAnsi="Times New Roman" w:cs="Times New Roman"/>
          <w:sz w:val="24"/>
          <w:szCs w:val="24"/>
        </w:rPr>
        <w:t>, T. F. Bristow</w:t>
      </w:r>
      <w:r w:rsidR="00BA742B" w:rsidRPr="00BA742B">
        <w:rPr>
          <w:rFonts w:ascii="Times New Roman" w:hAnsi="Times New Roman" w:cs="Times New Roman"/>
          <w:sz w:val="24"/>
          <w:szCs w:val="24"/>
          <w:vertAlign w:val="superscript"/>
        </w:rPr>
        <w:t>2</w:t>
      </w:r>
      <w:r>
        <w:rPr>
          <w:rFonts w:ascii="Times New Roman" w:hAnsi="Times New Roman" w:cs="Times New Roman"/>
          <w:sz w:val="24"/>
          <w:szCs w:val="24"/>
        </w:rPr>
        <w:t>, M. Gailhanou</w:t>
      </w:r>
      <w:r w:rsidR="00BA742B" w:rsidRPr="00BA742B">
        <w:rPr>
          <w:rFonts w:ascii="Times New Roman" w:hAnsi="Times New Roman" w:cs="Times New Roman"/>
          <w:sz w:val="24"/>
          <w:szCs w:val="24"/>
          <w:vertAlign w:val="superscript"/>
        </w:rPr>
        <w:t>4</w:t>
      </w:r>
      <w:r>
        <w:rPr>
          <w:rFonts w:ascii="Times New Roman" w:hAnsi="Times New Roman" w:cs="Times New Roman"/>
          <w:sz w:val="24"/>
          <w:szCs w:val="24"/>
        </w:rPr>
        <w:t>, B. Lafuente</w:t>
      </w:r>
      <w:r w:rsidR="00BA742B" w:rsidRPr="00BA742B">
        <w:rPr>
          <w:rFonts w:ascii="Times New Roman" w:hAnsi="Times New Roman" w:cs="Times New Roman"/>
          <w:sz w:val="24"/>
          <w:szCs w:val="24"/>
          <w:vertAlign w:val="superscript"/>
        </w:rPr>
        <w:t>5</w:t>
      </w:r>
      <w:r>
        <w:rPr>
          <w:rFonts w:ascii="Times New Roman" w:hAnsi="Times New Roman" w:cs="Times New Roman"/>
          <w:sz w:val="24"/>
          <w:szCs w:val="24"/>
        </w:rPr>
        <w:t>, V. M. Tu</w:t>
      </w:r>
      <w:r w:rsidR="00BA742B" w:rsidRPr="00BA742B">
        <w:rPr>
          <w:rFonts w:ascii="Times New Roman" w:hAnsi="Times New Roman" w:cs="Times New Roman"/>
          <w:sz w:val="24"/>
          <w:szCs w:val="24"/>
          <w:vertAlign w:val="superscript"/>
        </w:rPr>
        <w:t>6</w:t>
      </w:r>
      <w:r>
        <w:rPr>
          <w:rFonts w:ascii="Times New Roman" w:hAnsi="Times New Roman" w:cs="Times New Roman"/>
          <w:sz w:val="24"/>
          <w:szCs w:val="24"/>
        </w:rPr>
        <w:t>, K. Zacny</w:t>
      </w:r>
      <w:r w:rsidR="00BA742B" w:rsidRPr="00BA742B">
        <w:rPr>
          <w:rFonts w:ascii="Times New Roman" w:hAnsi="Times New Roman" w:cs="Times New Roman"/>
          <w:sz w:val="24"/>
          <w:szCs w:val="24"/>
          <w:vertAlign w:val="superscript"/>
        </w:rPr>
        <w:t>7</w:t>
      </w:r>
      <w:r>
        <w:rPr>
          <w:rFonts w:ascii="Times New Roman" w:hAnsi="Times New Roman" w:cs="Times New Roman"/>
          <w:sz w:val="24"/>
          <w:szCs w:val="24"/>
        </w:rPr>
        <w:t>, R. T. Downs</w:t>
      </w:r>
      <w:r w:rsidR="00BA742B" w:rsidRPr="00BA742B">
        <w:rPr>
          <w:rFonts w:ascii="Times New Roman" w:hAnsi="Times New Roman" w:cs="Times New Roman"/>
          <w:sz w:val="24"/>
          <w:szCs w:val="24"/>
          <w:vertAlign w:val="superscript"/>
        </w:rPr>
        <w:t>8</w:t>
      </w:r>
      <w:r w:rsidR="00BA742B">
        <w:rPr>
          <w:rFonts w:ascii="Times New Roman" w:hAnsi="Times New Roman" w:cs="Times New Roman"/>
          <w:sz w:val="24"/>
          <w:szCs w:val="24"/>
        </w:rPr>
        <w:t xml:space="preserve">, </w:t>
      </w:r>
      <w:r w:rsidR="00BA742B" w:rsidRPr="00BA742B">
        <w:rPr>
          <w:rFonts w:ascii="Times New Roman" w:hAnsi="Times New Roman" w:cs="Times New Roman"/>
          <w:sz w:val="24"/>
          <w:szCs w:val="24"/>
          <w:vertAlign w:val="superscript"/>
        </w:rPr>
        <w:t>1</w:t>
      </w:r>
      <w:r w:rsidR="00BA742B">
        <w:rPr>
          <w:rFonts w:ascii="Times New Roman" w:hAnsi="Times New Roman" w:cs="Times New Roman"/>
          <w:sz w:val="24"/>
          <w:szCs w:val="24"/>
        </w:rPr>
        <w:t xml:space="preserve">NASA JSC, </w:t>
      </w:r>
      <w:r w:rsidR="00BA742B" w:rsidRPr="00BA742B">
        <w:rPr>
          <w:rFonts w:ascii="Times New Roman" w:hAnsi="Times New Roman" w:cs="Times New Roman"/>
          <w:sz w:val="24"/>
          <w:szCs w:val="24"/>
          <w:vertAlign w:val="superscript"/>
        </w:rPr>
        <w:t>2</w:t>
      </w:r>
      <w:r w:rsidR="00BA742B">
        <w:rPr>
          <w:rFonts w:ascii="Times New Roman" w:hAnsi="Times New Roman" w:cs="Times New Roman"/>
          <w:sz w:val="24"/>
          <w:szCs w:val="24"/>
        </w:rPr>
        <w:t xml:space="preserve">NASA Ames, </w:t>
      </w:r>
      <w:r w:rsidR="00BA742B" w:rsidRPr="00BA742B">
        <w:rPr>
          <w:rFonts w:ascii="Times New Roman" w:hAnsi="Times New Roman" w:cs="Times New Roman"/>
          <w:sz w:val="24"/>
          <w:szCs w:val="24"/>
          <w:vertAlign w:val="superscript"/>
        </w:rPr>
        <w:t>3</w:t>
      </w:r>
      <w:r w:rsidR="00BA742B">
        <w:rPr>
          <w:rFonts w:ascii="Times New Roman" w:hAnsi="Times New Roman" w:cs="Times New Roman"/>
          <w:sz w:val="24"/>
          <w:szCs w:val="24"/>
        </w:rPr>
        <w:t xml:space="preserve">eXaminart LLC, </w:t>
      </w:r>
      <w:r w:rsidR="004F7AF0" w:rsidRPr="00D57EB3">
        <w:rPr>
          <w:rFonts w:ascii="Times New Roman" w:hAnsi="Times New Roman" w:cs="Times New Roman"/>
          <w:sz w:val="24"/>
          <w:szCs w:val="24"/>
          <w:vertAlign w:val="superscript"/>
        </w:rPr>
        <w:t>4</w:t>
      </w:r>
      <w:r w:rsidR="004F7AF0">
        <w:rPr>
          <w:rFonts w:ascii="Times New Roman" w:hAnsi="Times New Roman" w:cs="Times New Roman"/>
          <w:sz w:val="24"/>
          <w:szCs w:val="24"/>
        </w:rPr>
        <w:t>CNRS</w:t>
      </w:r>
      <w:r w:rsidR="00D57EB3">
        <w:rPr>
          <w:rFonts w:ascii="Times New Roman" w:hAnsi="Times New Roman" w:cs="Times New Roman"/>
          <w:sz w:val="24"/>
          <w:szCs w:val="24"/>
        </w:rPr>
        <w:t xml:space="preserve"> – </w:t>
      </w:r>
      <w:proofErr w:type="spellStart"/>
      <w:r w:rsidR="00D57EB3">
        <w:rPr>
          <w:rFonts w:ascii="Times New Roman" w:hAnsi="Times New Roman" w:cs="Times New Roman"/>
          <w:sz w:val="24"/>
          <w:szCs w:val="24"/>
        </w:rPr>
        <w:t>Universite</w:t>
      </w:r>
      <w:proofErr w:type="spellEnd"/>
      <w:r w:rsidR="00D57EB3">
        <w:rPr>
          <w:rFonts w:ascii="Times New Roman" w:hAnsi="Times New Roman" w:cs="Times New Roman"/>
          <w:sz w:val="24"/>
          <w:szCs w:val="24"/>
        </w:rPr>
        <w:t xml:space="preserve"> Paul Cezanne</w:t>
      </w:r>
      <w:r w:rsidR="004F7AF0">
        <w:rPr>
          <w:rFonts w:ascii="Times New Roman" w:hAnsi="Times New Roman" w:cs="Times New Roman"/>
          <w:sz w:val="24"/>
          <w:szCs w:val="24"/>
        </w:rPr>
        <w:t xml:space="preserve">, </w:t>
      </w:r>
      <w:r w:rsidR="004F7AF0" w:rsidRPr="00D57EB3">
        <w:rPr>
          <w:rFonts w:ascii="Times New Roman" w:hAnsi="Times New Roman" w:cs="Times New Roman"/>
          <w:sz w:val="24"/>
          <w:szCs w:val="24"/>
          <w:vertAlign w:val="superscript"/>
        </w:rPr>
        <w:t>5</w:t>
      </w:r>
      <w:r w:rsidR="004F7AF0">
        <w:rPr>
          <w:rFonts w:ascii="Times New Roman" w:hAnsi="Times New Roman" w:cs="Times New Roman"/>
          <w:sz w:val="24"/>
          <w:szCs w:val="24"/>
        </w:rPr>
        <w:t xml:space="preserve">SETI, </w:t>
      </w:r>
      <w:r w:rsidR="004F7AF0" w:rsidRPr="00D57EB3">
        <w:rPr>
          <w:rFonts w:ascii="Times New Roman" w:hAnsi="Times New Roman" w:cs="Times New Roman"/>
          <w:sz w:val="24"/>
          <w:szCs w:val="24"/>
          <w:vertAlign w:val="superscript"/>
        </w:rPr>
        <w:t>6</w:t>
      </w:r>
      <w:r w:rsidR="004F7AF0">
        <w:rPr>
          <w:rFonts w:ascii="Times New Roman" w:hAnsi="Times New Roman" w:cs="Times New Roman"/>
          <w:sz w:val="24"/>
          <w:szCs w:val="24"/>
        </w:rPr>
        <w:t xml:space="preserve">Jacobs Jets-II NASA JSC, </w:t>
      </w:r>
      <w:r w:rsidR="004F7AF0" w:rsidRPr="00D57EB3">
        <w:rPr>
          <w:rFonts w:ascii="Times New Roman" w:hAnsi="Times New Roman" w:cs="Times New Roman"/>
          <w:sz w:val="24"/>
          <w:szCs w:val="24"/>
          <w:vertAlign w:val="superscript"/>
        </w:rPr>
        <w:t>7</w:t>
      </w:r>
      <w:r w:rsidR="004F7AF0">
        <w:rPr>
          <w:rFonts w:ascii="Times New Roman" w:hAnsi="Times New Roman" w:cs="Times New Roman"/>
          <w:sz w:val="24"/>
          <w:szCs w:val="24"/>
        </w:rPr>
        <w:t xml:space="preserve">Honeybee Robotics, </w:t>
      </w:r>
      <w:r w:rsidR="00D57EB3" w:rsidRPr="00D57EB3">
        <w:rPr>
          <w:rFonts w:ascii="Times New Roman" w:hAnsi="Times New Roman" w:cs="Times New Roman"/>
          <w:sz w:val="24"/>
          <w:szCs w:val="24"/>
          <w:vertAlign w:val="superscript"/>
        </w:rPr>
        <w:t>8</w:t>
      </w:r>
      <w:r w:rsidR="00D57EB3">
        <w:rPr>
          <w:rFonts w:ascii="Times New Roman" w:hAnsi="Times New Roman" w:cs="Times New Roman"/>
          <w:sz w:val="24"/>
          <w:szCs w:val="24"/>
        </w:rPr>
        <w:t>Univ. Arizona.</w:t>
      </w:r>
    </w:p>
    <w:p w14:paraId="4C7FAB7E" w14:textId="58E2CBC7" w:rsidR="002567B7" w:rsidRDefault="002567B7" w:rsidP="002567B7">
      <w:pPr>
        <w:pStyle w:val="NoSpacing"/>
        <w:jc w:val="both"/>
        <w:rPr>
          <w:rFonts w:ascii="Times New Roman" w:hAnsi="Times New Roman" w:cs="Times New Roman"/>
          <w:sz w:val="24"/>
          <w:szCs w:val="24"/>
        </w:rPr>
      </w:pPr>
    </w:p>
    <w:p w14:paraId="6FE4062F" w14:textId="1A1B2FCE" w:rsidR="006E7D78" w:rsidRDefault="00EF4F76" w:rsidP="006E7D78">
      <w:pPr>
        <w:pStyle w:val="Para"/>
        <w:spacing w:line="240" w:lineRule="auto"/>
        <w:ind w:firstLine="360"/>
        <w:rPr>
          <w:rFonts w:cs="Times New Roman"/>
        </w:rPr>
      </w:pPr>
      <w:r>
        <w:rPr>
          <w:rFonts w:cs="Times New Roman"/>
        </w:rPr>
        <w:t xml:space="preserve">X-ray diffraction </w:t>
      </w:r>
      <w:r w:rsidR="00BF1CCA">
        <w:rPr>
          <w:rFonts w:cs="Times New Roman"/>
        </w:rPr>
        <w:t>/</w:t>
      </w:r>
      <w:r w:rsidR="00A5192C">
        <w:rPr>
          <w:rFonts w:cs="Times New Roman"/>
        </w:rPr>
        <w:t xml:space="preserve"> </w:t>
      </w:r>
      <w:r w:rsidR="004A1322">
        <w:rPr>
          <w:rFonts w:cs="Times New Roman"/>
        </w:rPr>
        <w:t xml:space="preserve">X-ray fluorescence </w:t>
      </w:r>
      <w:r w:rsidR="00E84C38">
        <w:rPr>
          <w:rFonts w:cs="Times New Roman"/>
        </w:rPr>
        <w:t>(</w:t>
      </w:r>
      <w:r w:rsidR="00A5192C">
        <w:rPr>
          <w:rFonts w:cs="Times New Roman"/>
        </w:rPr>
        <w:t>XRD/</w:t>
      </w:r>
      <w:r w:rsidR="00E84C38">
        <w:rPr>
          <w:rFonts w:cs="Times New Roman"/>
        </w:rPr>
        <w:t xml:space="preserve">XRF) </w:t>
      </w:r>
      <w:r w:rsidR="00BF1CCA">
        <w:rPr>
          <w:rFonts w:cs="Times New Roman"/>
        </w:rPr>
        <w:t xml:space="preserve">analysis provides </w:t>
      </w:r>
      <w:r w:rsidR="004A1322">
        <w:rPr>
          <w:rFonts w:cs="Times New Roman"/>
        </w:rPr>
        <w:t xml:space="preserve">the most </w:t>
      </w:r>
      <w:r w:rsidR="006249C7">
        <w:rPr>
          <w:rFonts w:cs="Times New Roman"/>
        </w:rPr>
        <w:t xml:space="preserve">comprehensive </w:t>
      </w:r>
      <w:r w:rsidR="00BF1CCA">
        <w:rPr>
          <w:rFonts w:cs="Times New Roman"/>
        </w:rPr>
        <w:t xml:space="preserve">mineralogical / </w:t>
      </w:r>
      <w:r w:rsidR="006249C7">
        <w:rPr>
          <w:rFonts w:cs="Times New Roman"/>
        </w:rPr>
        <w:t>compositional characterization of rocks and soils</w:t>
      </w:r>
      <w:r w:rsidR="000F2160">
        <w:rPr>
          <w:rFonts w:cs="Times New Roman"/>
        </w:rPr>
        <w:t xml:space="preserve"> </w:t>
      </w:r>
      <w:r w:rsidR="00BF7C0D">
        <w:rPr>
          <w:rFonts w:cs="Times New Roman"/>
        </w:rPr>
        <w:t xml:space="preserve">of any </w:t>
      </w:r>
      <w:r w:rsidR="007F24EC">
        <w:rPr>
          <w:rFonts w:cs="Times New Roman"/>
        </w:rPr>
        <w:t>flight-</w:t>
      </w:r>
      <w:r w:rsidR="0096604A">
        <w:rPr>
          <w:rFonts w:cs="Times New Roman"/>
        </w:rPr>
        <w:t xml:space="preserve">capable </w:t>
      </w:r>
      <w:r w:rsidR="00A5192C">
        <w:rPr>
          <w:rFonts w:cs="Times New Roman"/>
        </w:rPr>
        <w:t>technique</w:t>
      </w:r>
      <w:r w:rsidR="00BF7C0D">
        <w:rPr>
          <w:rFonts w:cs="Times New Roman"/>
        </w:rPr>
        <w:t xml:space="preserve">. </w:t>
      </w:r>
      <w:r w:rsidR="00E6399E">
        <w:rPr>
          <w:rFonts w:cs="Times New Roman"/>
        </w:rPr>
        <w:t xml:space="preserve">XRD data </w:t>
      </w:r>
      <w:r w:rsidR="00760A47">
        <w:rPr>
          <w:rFonts w:cs="Times New Roman"/>
        </w:rPr>
        <w:t xml:space="preserve">provide quantitative mineralogy (including </w:t>
      </w:r>
      <w:r w:rsidR="00C714EF">
        <w:rPr>
          <w:rFonts w:cs="Times New Roman"/>
        </w:rPr>
        <w:t>abundance of X-ray amorphous materials)</w:t>
      </w:r>
      <w:r w:rsidR="005F6502">
        <w:rPr>
          <w:rFonts w:cs="Times New Roman"/>
        </w:rPr>
        <w:t xml:space="preserve"> and</w:t>
      </w:r>
      <w:r w:rsidR="00C714EF">
        <w:rPr>
          <w:rFonts w:cs="Times New Roman"/>
        </w:rPr>
        <w:t xml:space="preserve"> crystal chemistry</w:t>
      </w:r>
      <w:r w:rsidR="00A5192C">
        <w:rPr>
          <w:rFonts w:cs="Times New Roman"/>
        </w:rPr>
        <w:t xml:space="preserve"> (</w:t>
      </w:r>
      <w:r w:rsidR="00F10953">
        <w:rPr>
          <w:rFonts w:cs="Times New Roman"/>
        </w:rPr>
        <w:t xml:space="preserve">structure, </w:t>
      </w:r>
      <w:r w:rsidR="00A5192C">
        <w:rPr>
          <w:rFonts w:cs="Times New Roman"/>
        </w:rPr>
        <w:t>element</w:t>
      </w:r>
      <w:r w:rsidR="00572DAD">
        <w:rPr>
          <w:rFonts w:cs="Times New Roman"/>
        </w:rPr>
        <w:t>al</w:t>
      </w:r>
      <w:r w:rsidR="00A5192C">
        <w:rPr>
          <w:rFonts w:cs="Times New Roman"/>
        </w:rPr>
        <w:t xml:space="preserve"> composition and valence state)</w:t>
      </w:r>
      <w:r w:rsidR="005F6502">
        <w:rPr>
          <w:rFonts w:cs="Times New Roman"/>
        </w:rPr>
        <w:t xml:space="preserve">, and XRF data provide </w:t>
      </w:r>
      <w:r w:rsidR="00852A83">
        <w:rPr>
          <w:rFonts w:cs="Times New Roman"/>
        </w:rPr>
        <w:t xml:space="preserve">complimentary </w:t>
      </w:r>
      <w:r w:rsidR="00FB435B">
        <w:rPr>
          <w:rFonts w:cs="Times New Roman"/>
        </w:rPr>
        <w:t xml:space="preserve">major, minor, and some trace element abundances. </w:t>
      </w:r>
      <w:r w:rsidR="006A2363">
        <w:rPr>
          <w:rFonts w:cs="Times New Roman"/>
        </w:rPr>
        <w:t>B</w:t>
      </w:r>
      <w:r w:rsidR="005B1213">
        <w:rPr>
          <w:rFonts w:cs="Times New Roman"/>
        </w:rPr>
        <w:t xml:space="preserve">oth </w:t>
      </w:r>
      <w:r w:rsidR="006A2363">
        <w:rPr>
          <w:rFonts w:cs="Times New Roman"/>
        </w:rPr>
        <w:t>types of</w:t>
      </w:r>
      <w:r w:rsidR="005B1213">
        <w:rPr>
          <w:rFonts w:cs="Times New Roman"/>
        </w:rPr>
        <w:t xml:space="preserve"> data </w:t>
      </w:r>
      <w:r w:rsidR="006A2363">
        <w:rPr>
          <w:rFonts w:cs="Times New Roman"/>
        </w:rPr>
        <w:t>are</w:t>
      </w:r>
      <w:r w:rsidR="00544453">
        <w:rPr>
          <w:rFonts w:cs="Times New Roman"/>
        </w:rPr>
        <w:t xml:space="preserve"> </w:t>
      </w:r>
      <w:r w:rsidR="00B47288">
        <w:rPr>
          <w:rFonts w:cs="Times New Roman"/>
        </w:rPr>
        <w:t>important in</w:t>
      </w:r>
      <w:r w:rsidR="00544453">
        <w:rPr>
          <w:rFonts w:cs="Times New Roman"/>
        </w:rPr>
        <w:t xml:space="preserve"> </w:t>
      </w:r>
      <w:r w:rsidR="00572DAD">
        <w:rPr>
          <w:rFonts w:cs="Times New Roman"/>
        </w:rPr>
        <w:t xml:space="preserve">evaluating </w:t>
      </w:r>
      <w:r w:rsidR="00544453">
        <w:rPr>
          <w:rFonts w:cs="Times New Roman"/>
        </w:rPr>
        <w:t>habitability</w:t>
      </w:r>
      <w:r w:rsidR="00F10953">
        <w:rPr>
          <w:rFonts w:cs="Times New Roman"/>
        </w:rPr>
        <w:t xml:space="preserve"> (</w:t>
      </w:r>
      <w:r w:rsidR="00852A83">
        <w:rPr>
          <w:rFonts w:cs="Times New Roman"/>
        </w:rPr>
        <w:t>environment of formation</w:t>
      </w:r>
      <w:r w:rsidR="00F10953">
        <w:rPr>
          <w:rFonts w:cs="Times New Roman"/>
        </w:rPr>
        <w:t>)</w:t>
      </w:r>
      <w:r w:rsidR="00437E1E">
        <w:rPr>
          <w:rFonts w:cs="Times New Roman"/>
        </w:rPr>
        <w:t xml:space="preserve"> and biosignature preservation</w:t>
      </w:r>
      <w:r w:rsidR="00F83341">
        <w:rPr>
          <w:rFonts w:cs="Times New Roman"/>
        </w:rPr>
        <w:t>/degradation</w:t>
      </w:r>
      <w:r w:rsidR="00F10953">
        <w:rPr>
          <w:rFonts w:cs="Times New Roman"/>
        </w:rPr>
        <w:t xml:space="preserve"> (post-deposit</w:t>
      </w:r>
      <w:r w:rsidR="001920B9">
        <w:rPr>
          <w:rFonts w:cs="Times New Roman"/>
        </w:rPr>
        <w:t>i</w:t>
      </w:r>
      <w:r w:rsidR="00F10953">
        <w:rPr>
          <w:rFonts w:cs="Times New Roman"/>
        </w:rPr>
        <w:t>onal diagene</w:t>
      </w:r>
      <w:r w:rsidR="00B47288">
        <w:rPr>
          <w:rFonts w:cs="Times New Roman"/>
        </w:rPr>
        <w:t>tic change</w:t>
      </w:r>
      <w:r w:rsidR="00F10953">
        <w:rPr>
          <w:rFonts w:cs="Times New Roman"/>
        </w:rPr>
        <w:t>)</w:t>
      </w:r>
      <w:r w:rsidR="00437E1E">
        <w:rPr>
          <w:rFonts w:cs="Times New Roman"/>
        </w:rPr>
        <w:t>.</w:t>
      </w:r>
      <w:r w:rsidR="00F83341">
        <w:rPr>
          <w:rFonts w:cs="Times New Roman"/>
        </w:rPr>
        <w:t xml:space="preserve"> </w:t>
      </w:r>
      <w:r w:rsidR="00B47288">
        <w:rPr>
          <w:rFonts w:cs="Times New Roman"/>
        </w:rPr>
        <w:t>Whether or not a relict biosignature is detected</w:t>
      </w:r>
      <w:r w:rsidR="00BA623B">
        <w:rPr>
          <w:rFonts w:cs="Times New Roman"/>
        </w:rPr>
        <w:t xml:space="preserve">, the mineral assemblage and </w:t>
      </w:r>
      <w:r w:rsidR="00865C1F">
        <w:rPr>
          <w:rFonts w:cs="Times New Roman"/>
        </w:rPr>
        <w:t>its geochemistry</w:t>
      </w:r>
      <w:r w:rsidR="00BA623B">
        <w:rPr>
          <w:rFonts w:cs="Times New Roman"/>
        </w:rPr>
        <w:t xml:space="preserve"> can </w:t>
      </w:r>
      <w:r w:rsidR="00865C1F">
        <w:rPr>
          <w:rFonts w:cs="Times New Roman"/>
        </w:rPr>
        <w:t xml:space="preserve">be used to </w:t>
      </w:r>
      <w:r w:rsidR="00B47288">
        <w:rPr>
          <w:rFonts w:cs="Times New Roman"/>
        </w:rPr>
        <w:t xml:space="preserve">determine the habitability of </w:t>
      </w:r>
      <w:r w:rsidR="00572DAD">
        <w:rPr>
          <w:rFonts w:cs="Times New Roman"/>
        </w:rPr>
        <w:t>an</w:t>
      </w:r>
      <w:r w:rsidR="00B47288">
        <w:rPr>
          <w:rFonts w:cs="Times New Roman"/>
        </w:rPr>
        <w:t xml:space="preserve"> ancient environment</w:t>
      </w:r>
      <w:r w:rsidR="00F4066F">
        <w:rPr>
          <w:rFonts w:cs="Times New Roman"/>
        </w:rPr>
        <w:t xml:space="preserve"> (e.g., salinity, pH, </w:t>
      </w:r>
      <w:r w:rsidR="00DB3BE6">
        <w:rPr>
          <w:rFonts w:cs="Times New Roman"/>
        </w:rPr>
        <w:t xml:space="preserve">temperature), </w:t>
      </w:r>
      <w:r w:rsidR="00B47288">
        <w:rPr>
          <w:rFonts w:cs="Times New Roman"/>
        </w:rPr>
        <w:t xml:space="preserve">and </w:t>
      </w:r>
      <w:r w:rsidR="00572DAD">
        <w:rPr>
          <w:rFonts w:cs="Times New Roman"/>
        </w:rPr>
        <w:t xml:space="preserve">to </w:t>
      </w:r>
      <w:r w:rsidR="00DB3BE6">
        <w:rPr>
          <w:rFonts w:cs="Times New Roman"/>
        </w:rPr>
        <w:t>identify potential sources of energy</w:t>
      </w:r>
      <w:r w:rsidR="00852A83">
        <w:rPr>
          <w:rFonts w:cs="Times New Roman"/>
        </w:rPr>
        <w:t xml:space="preserve"> for life</w:t>
      </w:r>
      <w:r w:rsidR="00DB3BE6">
        <w:rPr>
          <w:rFonts w:cs="Times New Roman"/>
        </w:rPr>
        <w:t xml:space="preserve"> (e.g., elements in different redox states</w:t>
      </w:r>
      <w:r w:rsidR="00B47288">
        <w:rPr>
          <w:rFonts w:cs="Times New Roman"/>
        </w:rPr>
        <w:t xml:space="preserve">). In this respect, a null result (a habitable environment lacking evidence of life) can </w:t>
      </w:r>
      <w:r w:rsidR="00572DAD">
        <w:rPr>
          <w:rFonts w:cs="Times New Roman"/>
        </w:rPr>
        <w:t>play an important role</w:t>
      </w:r>
      <w:r w:rsidR="00CE342E">
        <w:rPr>
          <w:rFonts w:cs="Times New Roman"/>
        </w:rPr>
        <w:t xml:space="preserve"> </w:t>
      </w:r>
      <w:r w:rsidR="00BE5D4C">
        <w:rPr>
          <w:rFonts w:cs="Times New Roman"/>
        </w:rPr>
        <w:t>in</w:t>
      </w:r>
      <w:r w:rsidR="00B47288">
        <w:rPr>
          <w:rFonts w:cs="Times New Roman"/>
        </w:rPr>
        <w:t xml:space="preserve"> </w:t>
      </w:r>
      <w:r w:rsidR="00572DAD">
        <w:rPr>
          <w:rFonts w:cs="Times New Roman"/>
        </w:rPr>
        <w:t>constraining the parameters of the searc</w:t>
      </w:r>
      <w:r w:rsidR="00CE342E">
        <w:rPr>
          <w:rFonts w:cs="Times New Roman"/>
        </w:rPr>
        <w:t>h</w:t>
      </w:r>
      <w:r w:rsidR="006435EE">
        <w:rPr>
          <w:rFonts w:cs="Times New Roman"/>
        </w:rPr>
        <w:t xml:space="preserve">. </w:t>
      </w:r>
      <w:r w:rsidR="006A2363">
        <w:rPr>
          <w:rFonts w:cs="Times New Roman"/>
        </w:rPr>
        <w:t xml:space="preserve">Conversely, </w:t>
      </w:r>
      <w:r w:rsidR="00CE342E">
        <w:rPr>
          <w:rFonts w:cs="Times New Roman"/>
        </w:rPr>
        <w:t>diagenetic</w:t>
      </w:r>
      <w:r w:rsidR="006A2363">
        <w:rPr>
          <w:rFonts w:cs="Times New Roman"/>
        </w:rPr>
        <w:t xml:space="preserve"> alteration (</w:t>
      </w:r>
      <w:proofErr w:type="spellStart"/>
      <w:r w:rsidR="006A2363">
        <w:rPr>
          <w:rFonts w:cs="Times New Roman"/>
        </w:rPr>
        <w:t>taphonom</w:t>
      </w:r>
      <w:r w:rsidR="00BE5D4C">
        <w:rPr>
          <w:rFonts w:cs="Times New Roman"/>
        </w:rPr>
        <w:t>ic</w:t>
      </w:r>
      <w:proofErr w:type="spellEnd"/>
      <w:r w:rsidR="00BE5D4C">
        <w:rPr>
          <w:rFonts w:cs="Times New Roman"/>
        </w:rPr>
        <w:t xml:space="preserve"> change</w:t>
      </w:r>
      <w:r w:rsidR="006A2363">
        <w:rPr>
          <w:rFonts w:cs="Times New Roman"/>
        </w:rPr>
        <w:t xml:space="preserve">) resulting from </w:t>
      </w:r>
      <w:r w:rsidR="00CE342E">
        <w:rPr>
          <w:rFonts w:cs="Times New Roman"/>
        </w:rPr>
        <w:t xml:space="preserve">post-depositional </w:t>
      </w:r>
      <w:r w:rsidR="006A2363">
        <w:rPr>
          <w:rFonts w:cs="Times New Roman"/>
        </w:rPr>
        <w:t xml:space="preserve">variations in temperature, pressure or fluid chemistry </w:t>
      </w:r>
      <w:r w:rsidR="00CE342E">
        <w:rPr>
          <w:rFonts w:cs="Times New Roman"/>
        </w:rPr>
        <w:t xml:space="preserve">can </w:t>
      </w:r>
      <w:r w:rsidR="006A2363">
        <w:rPr>
          <w:rFonts w:cs="Times New Roman"/>
        </w:rPr>
        <w:t>preserve evidence of biogenicity</w:t>
      </w:r>
      <w:r w:rsidR="00CE342E">
        <w:rPr>
          <w:rFonts w:cs="Times New Roman"/>
        </w:rPr>
        <w:t xml:space="preserve">, </w:t>
      </w:r>
      <w:r w:rsidR="006A2363">
        <w:rPr>
          <w:rFonts w:cs="Times New Roman"/>
        </w:rPr>
        <w:t>erase such evidence completely</w:t>
      </w:r>
      <w:r w:rsidR="00CE342E">
        <w:rPr>
          <w:rFonts w:cs="Times New Roman"/>
        </w:rPr>
        <w:t xml:space="preserve"> or indeed can provide for post-depositional habitable conditions in the subsurface</w:t>
      </w:r>
      <w:r w:rsidR="006A2363">
        <w:rPr>
          <w:rFonts w:cs="Times New Roman"/>
        </w:rPr>
        <w:t xml:space="preserve">.  XRD / XRF </w:t>
      </w:r>
      <w:r w:rsidR="00CE342E">
        <w:rPr>
          <w:rFonts w:cs="Times New Roman"/>
        </w:rPr>
        <w:t>d</w:t>
      </w:r>
      <w:r w:rsidR="006A2363">
        <w:rPr>
          <w:rFonts w:cs="Times New Roman"/>
        </w:rPr>
        <w:t xml:space="preserve">ata are critical </w:t>
      </w:r>
      <w:r w:rsidR="00CE342E">
        <w:rPr>
          <w:rFonts w:cs="Times New Roman"/>
        </w:rPr>
        <w:t>to these determinations</w:t>
      </w:r>
      <w:r w:rsidR="006A2363">
        <w:rPr>
          <w:rFonts w:cs="Times New Roman"/>
        </w:rPr>
        <w:t>.</w:t>
      </w:r>
    </w:p>
    <w:p w14:paraId="348FA49F" w14:textId="3DA3B6A9" w:rsidR="002567B7" w:rsidRDefault="00606CC8" w:rsidP="006E7D78">
      <w:pPr>
        <w:pStyle w:val="Para"/>
        <w:spacing w:line="240" w:lineRule="auto"/>
        <w:ind w:firstLine="360"/>
        <w:rPr>
          <w:rFonts w:cs="Times New Roman"/>
        </w:rPr>
      </w:pPr>
      <w:r>
        <w:rPr>
          <w:rFonts w:cs="Times New Roman"/>
        </w:rPr>
        <w:t>The CheMin instrument on the Mars Science Laboratory</w:t>
      </w:r>
      <w:r w:rsidR="00163406">
        <w:rPr>
          <w:rFonts w:cs="Times New Roman"/>
        </w:rPr>
        <w:t xml:space="preserve"> (MSL)</w:t>
      </w:r>
      <w:r>
        <w:rPr>
          <w:rFonts w:cs="Times New Roman"/>
        </w:rPr>
        <w:t xml:space="preserve"> </w:t>
      </w:r>
      <w:r w:rsidRPr="00606CC8">
        <w:rPr>
          <w:rFonts w:cs="Times New Roman"/>
          <w:i/>
          <w:iCs/>
        </w:rPr>
        <w:t>Curiosity</w:t>
      </w:r>
      <w:r>
        <w:rPr>
          <w:rFonts w:cs="Times New Roman"/>
        </w:rPr>
        <w:t xml:space="preserve"> rover </w:t>
      </w:r>
      <w:r w:rsidR="002733F3">
        <w:rPr>
          <w:rFonts w:cs="Times New Roman"/>
        </w:rPr>
        <w:t>is the first XRD</w:t>
      </w:r>
      <w:r w:rsidR="00605EB2">
        <w:rPr>
          <w:rFonts w:cs="Times New Roman"/>
        </w:rPr>
        <w:t xml:space="preserve"> instrument flown in space. </w:t>
      </w:r>
      <w:r w:rsidR="009944FB">
        <w:rPr>
          <w:rFonts w:cs="Times New Roman"/>
        </w:rPr>
        <w:t xml:space="preserve">CheMin operates in transmission geometry with a Co X-ray source to minimize </w:t>
      </w:r>
      <w:r w:rsidR="008F4849">
        <w:rPr>
          <w:rFonts w:cs="Times New Roman"/>
        </w:rPr>
        <w:t xml:space="preserve">fluorescence from iron. Diffracted photons are collected </w:t>
      </w:r>
      <w:r w:rsidR="006B3087">
        <w:rPr>
          <w:rFonts w:cs="Times New Roman"/>
        </w:rPr>
        <w:t xml:space="preserve">with </w:t>
      </w:r>
      <w:r w:rsidR="008F4849">
        <w:rPr>
          <w:rFonts w:cs="Times New Roman"/>
        </w:rPr>
        <w:t xml:space="preserve">an energy-sensitive charge-coupled device (CCD). </w:t>
      </w:r>
      <w:r w:rsidR="007555D5">
        <w:rPr>
          <w:rFonts w:cs="Times New Roman"/>
        </w:rPr>
        <w:t xml:space="preserve">The position of the diffracted photons </w:t>
      </w:r>
      <w:r w:rsidR="005A1AF4">
        <w:rPr>
          <w:rFonts w:cs="Times New Roman"/>
        </w:rPr>
        <w:t xml:space="preserve">provides </w:t>
      </w:r>
      <w:r w:rsidR="00250FE8">
        <w:rPr>
          <w:rFonts w:cs="Times New Roman"/>
        </w:rPr>
        <w:t>structur</w:t>
      </w:r>
      <w:r w:rsidR="00CE6E42">
        <w:rPr>
          <w:rFonts w:cs="Times New Roman"/>
        </w:rPr>
        <w:t>al information for</w:t>
      </w:r>
      <w:r w:rsidR="00250FE8">
        <w:rPr>
          <w:rFonts w:cs="Times New Roman"/>
        </w:rPr>
        <w:t xml:space="preserve"> minerals</w:t>
      </w:r>
      <w:r w:rsidR="005A1AF4">
        <w:rPr>
          <w:rFonts w:cs="Times New Roman"/>
        </w:rPr>
        <w:t xml:space="preserve">, whereas the energy </w:t>
      </w:r>
      <w:r w:rsidR="00EF3934">
        <w:rPr>
          <w:rFonts w:cs="Times New Roman"/>
        </w:rPr>
        <w:t xml:space="preserve">of </w:t>
      </w:r>
      <w:r w:rsidR="008018AF">
        <w:rPr>
          <w:rFonts w:cs="Times New Roman"/>
        </w:rPr>
        <w:t xml:space="preserve">sample-generated X-ray fluorescence </w:t>
      </w:r>
      <w:r w:rsidR="00EF3934">
        <w:rPr>
          <w:rFonts w:cs="Times New Roman"/>
        </w:rPr>
        <w:t xml:space="preserve">photons </w:t>
      </w:r>
      <w:r w:rsidR="008018AF">
        <w:rPr>
          <w:rFonts w:cs="Times New Roman"/>
        </w:rPr>
        <w:t xml:space="preserve">provides </w:t>
      </w:r>
      <w:r w:rsidR="005A1AF4">
        <w:rPr>
          <w:rFonts w:cs="Times New Roman"/>
        </w:rPr>
        <w:t>elemental information</w:t>
      </w:r>
      <w:r w:rsidR="00EF3934">
        <w:rPr>
          <w:rFonts w:cs="Times New Roman"/>
        </w:rPr>
        <w:t xml:space="preserve">, </w:t>
      </w:r>
      <w:r w:rsidR="00250FE8">
        <w:rPr>
          <w:rFonts w:cs="Times New Roman"/>
        </w:rPr>
        <w:t xml:space="preserve">though </w:t>
      </w:r>
      <w:r w:rsidR="00EF3934">
        <w:rPr>
          <w:rFonts w:cs="Times New Roman"/>
        </w:rPr>
        <w:t>th</w:t>
      </w:r>
      <w:r w:rsidR="00250FE8">
        <w:rPr>
          <w:rFonts w:cs="Times New Roman"/>
        </w:rPr>
        <w:t>es</w:t>
      </w:r>
      <w:r w:rsidR="00EF3934">
        <w:rPr>
          <w:rFonts w:cs="Times New Roman"/>
        </w:rPr>
        <w:t xml:space="preserve">e XRF data are qualitative. </w:t>
      </w:r>
      <w:r w:rsidR="00E50034">
        <w:rPr>
          <w:rFonts w:cs="Times New Roman"/>
        </w:rPr>
        <w:t xml:space="preserve">Mineralogical data from the CheMin XRD </w:t>
      </w:r>
      <w:r w:rsidR="0039438E">
        <w:rPr>
          <w:rFonts w:cs="Times New Roman"/>
        </w:rPr>
        <w:t xml:space="preserve">identified </w:t>
      </w:r>
      <w:r w:rsidR="00B571F1">
        <w:rPr>
          <w:rFonts w:cs="Times New Roman"/>
        </w:rPr>
        <w:t>the three circumstances above: habitable depositional environment</w:t>
      </w:r>
      <w:r w:rsidR="00474E4E">
        <w:rPr>
          <w:rFonts w:cs="Times New Roman"/>
        </w:rPr>
        <w:t>s</w:t>
      </w:r>
      <w:r w:rsidR="00B571F1">
        <w:rPr>
          <w:rFonts w:cs="Times New Roman"/>
        </w:rPr>
        <w:t xml:space="preserve"> (e.g., Yellowknife Bay)</w:t>
      </w:r>
      <w:r w:rsidR="00474E4E">
        <w:rPr>
          <w:rFonts w:cs="Times New Roman"/>
        </w:rPr>
        <w:t>, habitable subsurface/diagenetic environments (</w:t>
      </w:r>
      <w:r w:rsidR="008A04C0">
        <w:rPr>
          <w:rFonts w:cs="Times New Roman"/>
        </w:rPr>
        <w:t xml:space="preserve">e.g., throughout the Murray formation), and diagenetic conditions that </w:t>
      </w:r>
      <w:r w:rsidR="003C0080">
        <w:rPr>
          <w:rFonts w:cs="Times New Roman"/>
        </w:rPr>
        <w:t xml:space="preserve">may </w:t>
      </w:r>
      <w:r w:rsidR="008A04C0">
        <w:rPr>
          <w:rFonts w:cs="Times New Roman"/>
        </w:rPr>
        <w:t xml:space="preserve">destroy evidence of habitability </w:t>
      </w:r>
      <w:r w:rsidR="003C0080">
        <w:rPr>
          <w:rFonts w:cs="Times New Roman"/>
        </w:rPr>
        <w:t>(e.g., oxidative and acidic environments at Vera Rubin ridge).</w:t>
      </w:r>
      <w:r w:rsidR="00CD79FF">
        <w:rPr>
          <w:rFonts w:cs="Times New Roman"/>
        </w:rPr>
        <w:t xml:space="preserve"> </w:t>
      </w:r>
    </w:p>
    <w:p w14:paraId="11FB70EB" w14:textId="329EBC2C" w:rsidR="002567B7" w:rsidRDefault="009F38AC" w:rsidP="002567B7">
      <w:pPr>
        <w:pStyle w:val="NoSpacing"/>
        <w:jc w:val="both"/>
        <w:rPr>
          <w:rFonts w:ascii="Times New Roman" w:hAnsi="Times New Roman" w:cs="Times New Roman"/>
          <w:sz w:val="24"/>
          <w:szCs w:val="24"/>
        </w:rPr>
      </w:pPr>
      <w:r>
        <w:rPr>
          <w:rFonts w:ascii="Times New Roman" w:hAnsi="Times New Roman" w:cs="Times New Roman"/>
          <w:sz w:val="24"/>
          <w:szCs w:val="24"/>
        </w:rPr>
        <w:tab/>
      </w:r>
      <w:r w:rsidR="00AB7FAD">
        <w:rPr>
          <w:rFonts w:ascii="Times New Roman" w:hAnsi="Times New Roman" w:cs="Times New Roman"/>
          <w:sz w:val="24"/>
          <w:szCs w:val="24"/>
        </w:rPr>
        <w:t xml:space="preserve">Technological advances </w:t>
      </w:r>
      <w:r w:rsidR="00E370AE">
        <w:rPr>
          <w:rFonts w:ascii="Times New Roman" w:hAnsi="Times New Roman" w:cs="Times New Roman"/>
          <w:sz w:val="24"/>
          <w:szCs w:val="24"/>
        </w:rPr>
        <w:t>in X-ray technology and lessons learned from the operation of CheMin on Mars have resulted in a next-generation XRD/XRF</w:t>
      </w:r>
      <w:r w:rsidR="009944FB">
        <w:rPr>
          <w:rFonts w:ascii="Times New Roman" w:hAnsi="Times New Roman" w:cs="Times New Roman"/>
          <w:sz w:val="24"/>
          <w:szCs w:val="24"/>
        </w:rPr>
        <w:t xml:space="preserve">, called CheMinX. </w:t>
      </w:r>
      <w:r w:rsidR="00C453D2">
        <w:rPr>
          <w:rFonts w:ascii="Times New Roman" w:hAnsi="Times New Roman" w:cs="Times New Roman"/>
          <w:sz w:val="24"/>
          <w:szCs w:val="24"/>
        </w:rPr>
        <w:t xml:space="preserve">Replacement of </w:t>
      </w:r>
      <w:proofErr w:type="spellStart"/>
      <w:r w:rsidR="00C453D2">
        <w:rPr>
          <w:rFonts w:ascii="Times New Roman" w:hAnsi="Times New Roman" w:cs="Times New Roman"/>
          <w:sz w:val="24"/>
          <w:szCs w:val="24"/>
        </w:rPr>
        <w:t>CheMin’s</w:t>
      </w:r>
      <w:proofErr w:type="spellEnd"/>
      <w:r w:rsidR="00C453D2">
        <w:rPr>
          <w:rFonts w:ascii="Times New Roman" w:hAnsi="Times New Roman" w:cs="Times New Roman"/>
          <w:sz w:val="24"/>
          <w:szCs w:val="24"/>
        </w:rPr>
        <w:t xml:space="preserve"> CCD with an array of hybrid pixel detectors and improvements in focusing optics </w:t>
      </w:r>
      <w:r w:rsidR="00C71220">
        <w:rPr>
          <w:rFonts w:ascii="Times New Roman" w:hAnsi="Times New Roman" w:cs="Times New Roman"/>
          <w:sz w:val="24"/>
          <w:szCs w:val="24"/>
        </w:rPr>
        <w:t xml:space="preserve">dramatically </w:t>
      </w:r>
      <w:r w:rsidR="00BA3771">
        <w:rPr>
          <w:rFonts w:ascii="Times New Roman" w:hAnsi="Times New Roman" w:cs="Times New Roman"/>
          <w:sz w:val="24"/>
          <w:szCs w:val="24"/>
        </w:rPr>
        <w:t>decrease analysis time (</w:t>
      </w:r>
      <w:r w:rsidR="0017694F">
        <w:rPr>
          <w:rFonts w:ascii="Times New Roman" w:hAnsi="Times New Roman" w:cs="Times New Roman"/>
          <w:sz w:val="24"/>
          <w:szCs w:val="24"/>
        </w:rPr>
        <w:t xml:space="preserve">15 minutes vs. </w:t>
      </w:r>
      <w:r w:rsidR="00163406">
        <w:rPr>
          <w:rFonts w:ascii="Times New Roman" w:hAnsi="Times New Roman" w:cs="Times New Roman"/>
          <w:sz w:val="24"/>
          <w:szCs w:val="24"/>
        </w:rPr>
        <w:t>22 hours for MSL-CheMin)</w:t>
      </w:r>
      <w:r w:rsidR="005D3671">
        <w:rPr>
          <w:rFonts w:ascii="Times New Roman" w:hAnsi="Times New Roman" w:cs="Times New Roman"/>
          <w:sz w:val="24"/>
          <w:szCs w:val="24"/>
        </w:rPr>
        <w:t xml:space="preserve"> and </w:t>
      </w:r>
      <w:r w:rsidR="00FC6161">
        <w:rPr>
          <w:rFonts w:ascii="Times New Roman" w:hAnsi="Times New Roman" w:cs="Times New Roman"/>
          <w:sz w:val="24"/>
          <w:szCs w:val="24"/>
        </w:rPr>
        <w:t xml:space="preserve">result in </w:t>
      </w:r>
      <w:r w:rsidR="005D3671">
        <w:rPr>
          <w:rFonts w:ascii="Times New Roman" w:hAnsi="Times New Roman" w:cs="Times New Roman"/>
          <w:sz w:val="24"/>
          <w:szCs w:val="24"/>
        </w:rPr>
        <w:t xml:space="preserve">a better angular resolution (0.18 vs. 0.30 </w:t>
      </w:r>
      <w:r w:rsidR="000A0DDA">
        <w:rPr>
          <w:rFonts w:ascii="Times New Roman" w:hAnsi="Times New Roman" w:cs="Times New Roman"/>
          <w:sz w:val="24"/>
          <w:szCs w:val="24"/>
        </w:rPr>
        <w:t>°</w:t>
      </w:r>
      <w:r w:rsidR="005D3671">
        <w:rPr>
          <w:rFonts w:ascii="Times New Roman" w:hAnsi="Times New Roman" w:cs="Times New Roman"/>
          <w:sz w:val="24"/>
          <w:szCs w:val="24"/>
        </w:rPr>
        <w:t>2</w:t>
      </w:r>
      <w:r w:rsidR="000A0DDA">
        <w:rPr>
          <w:rFonts w:ascii="Times New Roman" w:hAnsi="Times New Roman" w:cs="Times New Roman"/>
          <w:sz w:val="24"/>
          <w:szCs w:val="24"/>
        </w:rPr>
        <w:t>θ for MSL-CheMin</w:t>
      </w:r>
      <w:r w:rsidR="005D3671">
        <w:rPr>
          <w:rFonts w:ascii="Times New Roman" w:hAnsi="Times New Roman" w:cs="Times New Roman"/>
          <w:sz w:val="24"/>
          <w:szCs w:val="24"/>
        </w:rPr>
        <w:t xml:space="preserve">). This </w:t>
      </w:r>
      <w:r w:rsidR="000A0DDA">
        <w:rPr>
          <w:rFonts w:ascii="Times New Roman" w:hAnsi="Times New Roman" w:cs="Times New Roman"/>
          <w:sz w:val="24"/>
          <w:szCs w:val="24"/>
        </w:rPr>
        <w:t>increased resolution improves mineral detection</w:t>
      </w:r>
      <w:r w:rsidR="00EE4E6E">
        <w:rPr>
          <w:rFonts w:ascii="Times New Roman" w:hAnsi="Times New Roman" w:cs="Times New Roman"/>
          <w:sz w:val="24"/>
          <w:szCs w:val="24"/>
        </w:rPr>
        <w:t>,</w:t>
      </w:r>
      <w:r w:rsidR="000A0DDA">
        <w:rPr>
          <w:rFonts w:ascii="Times New Roman" w:hAnsi="Times New Roman" w:cs="Times New Roman"/>
          <w:sz w:val="24"/>
          <w:szCs w:val="24"/>
        </w:rPr>
        <w:t xml:space="preserve"> </w:t>
      </w:r>
      <w:r w:rsidR="00EE4E6E">
        <w:rPr>
          <w:rFonts w:ascii="Times New Roman" w:hAnsi="Times New Roman" w:cs="Times New Roman"/>
          <w:sz w:val="24"/>
          <w:szCs w:val="24"/>
        </w:rPr>
        <w:t xml:space="preserve">including </w:t>
      </w:r>
      <w:r w:rsidR="000A0DDA">
        <w:rPr>
          <w:rFonts w:ascii="Times New Roman" w:hAnsi="Times New Roman" w:cs="Times New Roman"/>
          <w:sz w:val="24"/>
          <w:szCs w:val="24"/>
        </w:rPr>
        <w:t xml:space="preserve">discrimination between types of pyroxenes, which is </w:t>
      </w:r>
      <w:r w:rsidR="00ED5056">
        <w:rPr>
          <w:rFonts w:ascii="Times New Roman" w:hAnsi="Times New Roman" w:cs="Times New Roman"/>
          <w:sz w:val="24"/>
          <w:szCs w:val="24"/>
        </w:rPr>
        <w:t xml:space="preserve">not possible </w:t>
      </w:r>
      <w:r w:rsidR="000A0DDA">
        <w:rPr>
          <w:rFonts w:ascii="Times New Roman" w:hAnsi="Times New Roman" w:cs="Times New Roman"/>
          <w:sz w:val="24"/>
          <w:szCs w:val="24"/>
        </w:rPr>
        <w:t>with MSL-CheMin data.</w:t>
      </w:r>
      <w:r w:rsidR="0060314D">
        <w:rPr>
          <w:rFonts w:ascii="Times New Roman" w:hAnsi="Times New Roman" w:cs="Times New Roman"/>
          <w:sz w:val="24"/>
          <w:szCs w:val="24"/>
        </w:rPr>
        <w:t xml:space="preserve"> </w:t>
      </w:r>
      <w:r w:rsidR="00330C5E">
        <w:rPr>
          <w:rFonts w:ascii="Times New Roman" w:hAnsi="Times New Roman" w:cs="Times New Roman"/>
          <w:sz w:val="24"/>
          <w:szCs w:val="24"/>
        </w:rPr>
        <w:t xml:space="preserve">The hybrid pixel detectors do not require cooling like the MSL-CheMin CCD, therefore reducing the power needed to operate CheMinX. </w:t>
      </w:r>
      <w:r w:rsidR="0060314D">
        <w:rPr>
          <w:rFonts w:ascii="Times New Roman" w:hAnsi="Times New Roman" w:cs="Times New Roman"/>
          <w:sz w:val="24"/>
          <w:szCs w:val="24"/>
        </w:rPr>
        <w:t xml:space="preserve">CheMinX has a silicon-drift detector (SDD) </w:t>
      </w:r>
      <w:r w:rsidR="00D56FA4">
        <w:rPr>
          <w:rFonts w:ascii="Times New Roman" w:hAnsi="Times New Roman" w:cs="Times New Roman"/>
          <w:sz w:val="24"/>
          <w:szCs w:val="24"/>
        </w:rPr>
        <w:t xml:space="preserve">to measure fluoresced photons, enabling the quantification </w:t>
      </w:r>
      <w:r w:rsidR="006A74E3">
        <w:rPr>
          <w:rFonts w:ascii="Times New Roman" w:hAnsi="Times New Roman" w:cs="Times New Roman"/>
          <w:sz w:val="24"/>
          <w:szCs w:val="24"/>
        </w:rPr>
        <w:t xml:space="preserve">of major, minor, and some trace elements via XRF. </w:t>
      </w:r>
      <w:r w:rsidR="002A0392">
        <w:rPr>
          <w:rFonts w:ascii="Times New Roman" w:hAnsi="Times New Roman" w:cs="Times New Roman"/>
          <w:sz w:val="24"/>
          <w:szCs w:val="24"/>
        </w:rPr>
        <w:t xml:space="preserve">XRD/XRF data are collected simultaneously </w:t>
      </w:r>
      <w:r w:rsidR="00414B90">
        <w:rPr>
          <w:rFonts w:ascii="Times New Roman" w:hAnsi="Times New Roman" w:cs="Times New Roman"/>
          <w:sz w:val="24"/>
          <w:szCs w:val="24"/>
        </w:rPr>
        <w:t>in CheMinX, obviating the need for multiple compositional instruments.</w:t>
      </w:r>
      <w:r w:rsidR="00BB7643">
        <w:rPr>
          <w:rFonts w:ascii="Times New Roman" w:hAnsi="Times New Roman" w:cs="Times New Roman"/>
          <w:sz w:val="24"/>
          <w:szCs w:val="24"/>
        </w:rPr>
        <w:t xml:space="preserve"> The CheMinX design also improve</w:t>
      </w:r>
      <w:r w:rsidR="00DE4C59">
        <w:rPr>
          <w:rFonts w:ascii="Times New Roman" w:hAnsi="Times New Roman" w:cs="Times New Roman"/>
          <w:sz w:val="24"/>
          <w:szCs w:val="24"/>
        </w:rPr>
        <w:t>s</w:t>
      </w:r>
      <w:r w:rsidR="00BB7643">
        <w:rPr>
          <w:rFonts w:ascii="Times New Roman" w:hAnsi="Times New Roman" w:cs="Times New Roman"/>
          <w:sz w:val="24"/>
          <w:szCs w:val="24"/>
        </w:rPr>
        <w:t xml:space="preserve"> upon MSL-</w:t>
      </w:r>
      <w:proofErr w:type="spellStart"/>
      <w:r w:rsidR="00BB7643">
        <w:rPr>
          <w:rFonts w:ascii="Times New Roman" w:hAnsi="Times New Roman" w:cs="Times New Roman"/>
          <w:sz w:val="24"/>
          <w:szCs w:val="24"/>
        </w:rPr>
        <w:t>CheMin’s</w:t>
      </w:r>
      <w:proofErr w:type="spellEnd"/>
      <w:r w:rsidR="00BB7643">
        <w:rPr>
          <w:rFonts w:ascii="Times New Roman" w:hAnsi="Times New Roman" w:cs="Times New Roman"/>
          <w:sz w:val="24"/>
          <w:szCs w:val="24"/>
        </w:rPr>
        <w:t xml:space="preserve"> sample handling. Instead of </w:t>
      </w:r>
      <w:r w:rsidR="00D16706">
        <w:rPr>
          <w:rFonts w:ascii="Times New Roman" w:hAnsi="Times New Roman" w:cs="Times New Roman"/>
          <w:sz w:val="24"/>
          <w:szCs w:val="24"/>
        </w:rPr>
        <w:t>sample cells on wheel</w:t>
      </w:r>
      <w:r w:rsidR="00AC6226">
        <w:rPr>
          <w:rFonts w:ascii="Times New Roman" w:hAnsi="Times New Roman" w:cs="Times New Roman"/>
          <w:sz w:val="24"/>
          <w:szCs w:val="24"/>
        </w:rPr>
        <w:t xml:space="preserve">, which </w:t>
      </w:r>
      <w:r w:rsidR="00D16706">
        <w:rPr>
          <w:rFonts w:ascii="Times New Roman" w:hAnsi="Times New Roman" w:cs="Times New Roman"/>
          <w:sz w:val="24"/>
          <w:szCs w:val="24"/>
        </w:rPr>
        <w:t xml:space="preserve">are often not reusable and </w:t>
      </w:r>
      <w:r w:rsidR="00AC6226">
        <w:rPr>
          <w:rFonts w:ascii="Times New Roman" w:hAnsi="Times New Roman" w:cs="Times New Roman"/>
          <w:sz w:val="24"/>
          <w:szCs w:val="24"/>
        </w:rPr>
        <w:t xml:space="preserve">add complexity in commanding the instrument, </w:t>
      </w:r>
      <w:r w:rsidR="00312331">
        <w:rPr>
          <w:rFonts w:ascii="Times New Roman" w:hAnsi="Times New Roman" w:cs="Times New Roman"/>
          <w:sz w:val="24"/>
          <w:szCs w:val="24"/>
        </w:rPr>
        <w:t>CheMinX has</w:t>
      </w:r>
      <w:r w:rsidR="00DC642E">
        <w:rPr>
          <w:rFonts w:ascii="Times New Roman" w:hAnsi="Times New Roman" w:cs="Times New Roman"/>
          <w:sz w:val="24"/>
          <w:szCs w:val="24"/>
        </w:rPr>
        <w:t xml:space="preserve"> single-use cells in a cartridge/dispenser configuration.</w:t>
      </w:r>
      <w:r w:rsidR="00BC463F">
        <w:rPr>
          <w:rFonts w:ascii="Times New Roman" w:hAnsi="Times New Roman" w:cs="Times New Roman"/>
          <w:sz w:val="24"/>
          <w:szCs w:val="24"/>
        </w:rPr>
        <w:t xml:space="preserve"> </w:t>
      </w:r>
      <w:r w:rsidR="00860A4D">
        <w:rPr>
          <w:rFonts w:ascii="Times New Roman" w:hAnsi="Times New Roman" w:cs="Times New Roman"/>
          <w:sz w:val="24"/>
          <w:szCs w:val="24"/>
        </w:rPr>
        <w:t xml:space="preserve">Because of these improvements, CheMinX is an ideal instrument for </w:t>
      </w:r>
      <w:r w:rsidR="00FF6E2B">
        <w:rPr>
          <w:rFonts w:ascii="Times New Roman" w:hAnsi="Times New Roman" w:cs="Times New Roman"/>
          <w:sz w:val="24"/>
          <w:szCs w:val="24"/>
        </w:rPr>
        <w:t>Discovery-</w:t>
      </w:r>
      <w:r w:rsidR="00FF6E2B">
        <w:rPr>
          <w:rFonts w:ascii="Times New Roman" w:hAnsi="Times New Roman" w:cs="Times New Roman"/>
          <w:sz w:val="24"/>
          <w:szCs w:val="24"/>
        </w:rPr>
        <w:lastRenderedPageBreak/>
        <w:t xml:space="preserve">class </w:t>
      </w:r>
      <w:r w:rsidR="00164CF1">
        <w:rPr>
          <w:rFonts w:ascii="Times New Roman" w:hAnsi="Times New Roman" w:cs="Times New Roman"/>
          <w:sz w:val="24"/>
          <w:szCs w:val="24"/>
        </w:rPr>
        <w:t xml:space="preserve">life-detection </w:t>
      </w:r>
      <w:r w:rsidR="00FF6E2B">
        <w:rPr>
          <w:rFonts w:ascii="Times New Roman" w:hAnsi="Times New Roman" w:cs="Times New Roman"/>
          <w:sz w:val="24"/>
          <w:szCs w:val="24"/>
        </w:rPr>
        <w:t xml:space="preserve">missions, including Mars Life </w:t>
      </w:r>
      <w:r w:rsidR="00351700">
        <w:rPr>
          <w:rFonts w:ascii="Times New Roman" w:hAnsi="Times New Roman" w:cs="Times New Roman"/>
          <w:sz w:val="24"/>
          <w:szCs w:val="24"/>
        </w:rPr>
        <w:t>Explorer</w:t>
      </w:r>
      <w:r w:rsidR="00C80F6A">
        <w:rPr>
          <w:rFonts w:ascii="Times New Roman" w:hAnsi="Times New Roman" w:cs="Times New Roman"/>
          <w:sz w:val="24"/>
          <w:szCs w:val="24"/>
        </w:rPr>
        <w:t xml:space="preserve"> </w:t>
      </w:r>
      <w:r w:rsidR="00164CF1">
        <w:rPr>
          <w:rFonts w:ascii="Times New Roman" w:hAnsi="Times New Roman" w:cs="Times New Roman"/>
          <w:sz w:val="24"/>
          <w:szCs w:val="24"/>
        </w:rPr>
        <w:t xml:space="preserve">that was </w:t>
      </w:r>
      <w:r w:rsidR="003B7EFA">
        <w:rPr>
          <w:rFonts w:ascii="Times New Roman" w:hAnsi="Times New Roman" w:cs="Times New Roman"/>
          <w:sz w:val="24"/>
          <w:szCs w:val="24"/>
        </w:rPr>
        <w:t>recommended for development in the</w:t>
      </w:r>
      <w:r w:rsidR="006F658F">
        <w:rPr>
          <w:rFonts w:ascii="Times New Roman" w:hAnsi="Times New Roman" w:cs="Times New Roman"/>
          <w:sz w:val="24"/>
          <w:szCs w:val="24"/>
        </w:rPr>
        <w:t xml:space="preserve"> Planetary Science and Astrobiology Decadal Survey 2023-2032</w:t>
      </w:r>
      <w:r w:rsidR="00351700">
        <w:rPr>
          <w:rFonts w:ascii="Times New Roman" w:hAnsi="Times New Roman" w:cs="Times New Roman"/>
          <w:sz w:val="24"/>
          <w:szCs w:val="24"/>
        </w:rPr>
        <w:t xml:space="preserve">. </w:t>
      </w:r>
    </w:p>
    <w:p w14:paraId="6838E456" w14:textId="699CB352" w:rsidR="002567B7" w:rsidRDefault="002567B7" w:rsidP="002567B7">
      <w:pPr>
        <w:pStyle w:val="NoSpacing"/>
        <w:jc w:val="both"/>
        <w:rPr>
          <w:rFonts w:ascii="Times New Roman" w:hAnsi="Times New Roman" w:cs="Times New Roman"/>
          <w:sz w:val="24"/>
          <w:szCs w:val="24"/>
        </w:rPr>
      </w:pPr>
    </w:p>
    <w:p w14:paraId="67AEBD1A" w14:textId="6963A1FE" w:rsidR="00414B90" w:rsidRDefault="00414B90" w:rsidP="002567B7">
      <w:pPr>
        <w:pStyle w:val="NoSpacing"/>
        <w:jc w:val="both"/>
        <w:rPr>
          <w:rFonts w:ascii="Times New Roman" w:hAnsi="Times New Roman" w:cs="Times New Roman"/>
          <w:sz w:val="24"/>
          <w:szCs w:val="24"/>
        </w:rPr>
      </w:pPr>
      <w:r>
        <w:rPr>
          <w:rFonts w:ascii="Times New Roman" w:hAnsi="Times New Roman" w:cs="Times New Roman"/>
          <w:sz w:val="24"/>
          <w:szCs w:val="24"/>
        </w:rPr>
        <w:t>Session Description:</w:t>
      </w:r>
    </w:p>
    <w:p w14:paraId="30C3FA3C" w14:textId="77777777" w:rsidR="00414B90" w:rsidRDefault="00414B90" w:rsidP="002567B7">
      <w:pPr>
        <w:pStyle w:val="NoSpacing"/>
        <w:jc w:val="both"/>
        <w:rPr>
          <w:rFonts w:ascii="Times New Roman" w:hAnsi="Times New Roman" w:cs="Times New Roman"/>
          <w:sz w:val="24"/>
          <w:szCs w:val="24"/>
        </w:rPr>
      </w:pPr>
    </w:p>
    <w:p w14:paraId="6AFBAB04" w14:textId="1C084D6F" w:rsidR="002567B7" w:rsidRPr="002567B7" w:rsidRDefault="002567B7" w:rsidP="002567B7">
      <w:pPr>
        <w:pStyle w:val="NoSpacing"/>
        <w:jc w:val="both"/>
        <w:rPr>
          <w:rFonts w:ascii="Times New Roman" w:hAnsi="Times New Roman" w:cs="Times New Roman"/>
          <w:b/>
          <w:bCs/>
          <w:sz w:val="24"/>
          <w:szCs w:val="24"/>
        </w:rPr>
      </w:pPr>
      <w:r w:rsidRPr="002567B7">
        <w:rPr>
          <w:rFonts w:ascii="Times New Roman" w:hAnsi="Times New Roman" w:cs="Times New Roman"/>
          <w:b/>
          <w:bCs/>
          <w:color w:val="262626"/>
          <w:sz w:val="24"/>
          <w:szCs w:val="24"/>
          <w:shd w:val="clear" w:color="auto" w:fill="FFFFFF"/>
        </w:rPr>
        <w:t>New In Situ Technologies for Searching for Signatures of Life on Mars</w:t>
      </w:r>
    </w:p>
    <w:p w14:paraId="52C4F7E2" w14:textId="439CFB14" w:rsidR="002567B7" w:rsidRPr="002567B7" w:rsidRDefault="002567B7" w:rsidP="002567B7">
      <w:pPr>
        <w:pStyle w:val="NoSpacing"/>
        <w:jc w:val="both"/>
        <w:rPr>
          <w:rFonts w:ascii="Times New Roman" w:hAnsi="Times New Roman" w:cs="Times New Roman"/>
          <w:sz w:val="24"/>
          <w:szCs w:val="24"/>
        </w:rPr>
      </w:pPr>
      <w:r w:rsidRPr="002567B7">
        <w:rPr>
          <w:rFonts w:ascii="Times New Roman" w:hAnsi="Times New Roman" w:cs="Times New Roman"/>
          <w:color w:val="000000"/>
          <w:sz w:val="24"/>
          <w:szCs w:val="24"/>
          <w:shd w:val="clear" w:color="auto" w:fill="FFFFFF"/>
        </w:rPr>
        <w:t>In situ analysis of biosignatures on Mars remains a challenge. Nevertheless, over the past two decades, substantial progress has been made on in situ technologies for life signature detection, spanning sample acquisition, processing, and analysis. Progress has resulted from field astrobiology studies of Mars analog sites on Earth as well as traditional flight opportunities (planetary, ISS, and cube-</w:t>
      </w:r>
      <w:proofErr w:type="spellStart"/>
      <w:r w:rsidRPr="002567B7">
        <w:rPr>
          <w:rFonts w:ascii="Times New Roman" w:hAnsi="Times New Roman" w:cs="Times New Roman"/>
          <w:color w:val="000000"/>
          <w:sz w:val="24"/>
          <w:szCs w:val="24"/>
          <w:shd w:val="clear" w:color="auto" w:fill="FFFFFF"/>
        </w:rPr>
        <w:t>sats</w:t>
      </w:r>
      <w:proofErr w:type="spellEnd"/>
      <w:r w:rsidRPr="002567B7">
        <w:rPr>
          <w:rFonts w:ascii="Times New Roman" w:hAnsi="Times New Roman" w:cs="Times New Roman"/>
          <w:color w:val="000000"/>
          <w:sz w:val="24"/>
          <w:szCs w:val="24"/>
          <w:shd w:val="clear" w:color="auto" w:fill="FFFFFF"/>
        </w:rPr>
        <w:t>) and commercial activities, resulting in new miniaturized instrumentation with improved in situ science capabilities. We encourage contributions that cover a broad development spectrum, from early concepts to laboratory prototypes, modified flight-proven instruments and new mission architectures. We are particularly interested in contributions that address detection challenges using innovative approaches. With human exploration of Mars on the horizon, search for biosignatures and extant life on Mars has become a critical and timely endeavor.</w:t>
      </w:r>
    </w:p>
    <w:sectPr w:rsidR="002567B7" w:rsidRPr="002567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7B7"/>
    <w:rsid w:val="0002017B"/>
    <w:rsid w:val="000A0DDA"/>
    <w:rsid w:val="000A3A12"/>
    <w:rsid w:val="000A6F5D"/>
    <w:rsid w:val="000C019D"/>
    <w:rsid w:val="000F2160"/>
    <w:rsid w:val="00140294"/>
    <w:rsid w:val="00163406"/>
    <w:rsid w:val="00164CF1"/>
    <w:rsid w:val="0017694F"/>
    <w:rsid w:val="001920B9"/>
    <w:rsid w:val="001D3BF8"/>
    <w:rsid w:val="00250FE8"/>
    <w:rsid w:val="002567B7"/>
    <w:rsid w:val="002733F3"/>
    <w:rsid w:val="002A0392"/>
    <w:rsid w:val="002D2840"/>
    <w:rsid w:val="00312331"/>
    <w:rsid w:val="00330C5E"/>
    <w:rsid w:val="00336FCE"/>
    <w:rsid w:val="00351700"/>
    <w:rsid w:val="003618E9"/>
    <w:rsid w:val="0039438E"/>
    <w:rsid w:val="003B7EFA"/>
    <w:rsid w:val="003C0080"/>
    <w:rsid w:val="00402AD9"/>
    <w:rsid w:val="00414B90"/>
    <w:rsid w:val="004216C1"/>
    <w:rsid w:val="00437E1E"/>
    <w:rsid w:val="00467819"/>
    <w:rsid w:val="00474E4E"/>
    <w:rsid w:val="00494FE5"/>
    <w:rsid w:val="004A1322"/>
    <w:rsid w:val="004A3FE2"/>
    <w:rsid w:val="004E1D56"/>
    <w:rsid w:val="004F7AF0"/>
    <w:rsid w:val="005117AB"/>
    <w:rsid w:val="00544453"/>
    <w:rsid w:val="00572DAD"/>
    <w:rsid w:val="005A1AF4"/>
    <w:rsid w:val="005B1213"/>
    <w:rsid w:val="005D3671"/>
    <w:rsid w:val="005D6ABB"/>
    <w:rsid w:val="005F6502"/>
    <w:rsid w:val="0060314D"/>
    <w:rsid w:val="00605EB2"/>
    <w:rsid w:val="00606CC8"/>
    <w:rsid w:val="006249C7"/>
    <w:rsid w:val="006435EE"/>
    <w:rsid w:val="006A2363"/>
    <w:rsid w:val="006A74E3"/>
    <w:rsid w:val="006B3087"/>
    <w:rsid w:val="006D5D93"/>
    <w:rsid w:val="006E7D78"/>
    <w:rsid w:val="006F658F"/>
    <w:rsid w:val="007101CA"/>
    <w:rsid w:val="007555D5"/>
    <w:rsid w:val="00760A47"/>
    <w:rsid w:val="0076550D"/>
    <w:rsid w:val="00783B20"/>
    <w:rsid w:val="007F2170"/>
    <w:rsid w:val="007F24EC"/>
    <w:rsid w:val="008018AF"/>
    <w:rsid w:val="00852A83"/>
    <w:rsid w:val="00855BEF"/>
    <w:rsid w:val="00860A4D"/>
    <w:rsid w:val="00865C1F"/>
    <w:rsid w:val="008A04C0"/>
    <w:rsid w:val="008F4849"/>
    <w:rsid w:val="0096604A"/>
    <w:rsid w:val="009944FB"/>
    <w:rsid w:val="009E63A7"/>
    <w:rsid w:val="009F38AC"/>
    <w:rsid w:val="00A50556"/>
    <w:rsid w:val="00A5192C"/>
    <w:rsid w:val="00AB7FAD"/>
    <w:rsid w:val="00AC6226"/>
    <w:rsid w:val="00B47288"/>
    <w:rsid w:val="00B571F1"/>
    <w:rsid w:val="00B7715A"/>
    <w:rsid w:val="00B84D4C"/>
    <w:rsid w:val="00BA3771"/>
    <w:rsid w:val="00BA623B"/>
    <w:rsid w:val="00BA742B"/>
    <w:rsid w:val="00BB7643"/>
    <w:rsid w:val="00BC463F"/>
    <w:rsid w:val="00BD55B9"/>
    <w:rsid w:val="00BE4564"/>
    <w:rsid w:val="00BE5D4C"/>
    <w:rsid w:val="00BF1CCA"/>
    <w:rsid w:val="00BF7C0D"/>
    <w:rsid w:val="00C453D2"/>
    <w:rsid w:val="00C64DAC"/>
    <w:rsid w:val="00C71220"/>
    <w:rsid w:val="00C714EF"/>
    <w:rsid w:val="00C80F6A"/>
    <w:rsid w:val="00C94A63"/>
    <w:rsid w:val="00CD79FF"/>
    <w:rsid w:val="00CE342E"/>
    <w:rsid w:val="00CE6E42"/>
    <w:rsid w:val="00D16706"/>
    <w:rsid w:val="00D2592B"/>
    <w:rsid w:val="00D45E5C"/>
    <w:rsid w:val="00D56FA4"/>
    <w:rsid w:val="00D57EB3"/>
    <w:rsid w:val="00DB3BE6"/>
    <w:rsid w:val="00DC642E"/>
    <w:rsid w:val="00DE4C59"/>
    <w:rsid w:val="00E264B4"/>
    <w:rsid w:val="00E370AE"/>
    <w:rsid w:val="00E50034"/>
    <w:rsid w:val="00E6399E"/>
    <w:rsid w:val="00E84C38"/>
    <w:rsid w:val="00ED5056"/>
    <w:rsid w:val="00EE4E6E"/>
    <w:rsid w:val="00EF3934"/>
    <w:rsid w:val="00EF4F76"/>
    <w:rsid w:val="00F10953"/>
    <w:rsid w:val="00F4066F"/>
    <w:rsid w:val="00F83341"/>
    <w:rsid w:val="00FB435B"/>
    <w:rsid w:val="00FC3731"/>
    <w:rsid w:val="00FC6161"/>
    <w:rsid w:val="00FF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5A359"/>
  <w15:chartTrackingRefBased/>
  <w15:docId w15:val="{5804771D-341D-4E42-BABF-B6A9FF0C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7B7"/>
    <w:pPr>
      <w:spacing w:after="0" w:line="240" w:lineRule="auto"/>
    </w:pPr>
  </w:style>
  <w:style w:type="paragraph" w:styleId="Revision">
    <w:name w:val="Revision"/>
    <w:hidden/>
    <w:uiPriority w:val="99"/>
    <w:semiHidden/>
    <w:rsid w:val="0096604A"/>
    <w:pPr>
      <w:spacing w:after="0" w:line="240" w:lineRule="auto"/>
    </w:pPr>
  </w:style>
  <w:style w:type="paragraph" w:customStyle="1" w:styleId="Para">
    <w:name w:val="Para"/>
    <w:basedOn w:val="Normal"/>
    <w:link w:val="ParaChar"/>
    <w:qFormat/>
    <w:rsid w:val="006A2363"/>
    <w:pPr>
      <w:spacing w:after="120" w:line="228" w:lineRule="auto"/>
      <w:jc w:val="both"/>
    </w:pPr>
    <w:rPr>
      <w:rFonts w:ascii="Times New Roman" w:eastAsia="Times New Roman" w:hAnsi="Times New Roman" w:cs="Times"/>
      <w:sz w:val="24"/>
      <w:szCs w:val="24"/>
    </w:rPr>
  </w:style>
  <w:style w:type="character" w:customStyle="1" w:styleId="ParaChar">
    <w:name w:val="Para Char"/>
    <w:basedOn w:val="DefaultParagraphFont"/>
    <w:link w:val="Para"/>
    <w:rsid w:val="006A2363"/>
    <w:rPr>
      <w:rFonts w:ascii="Times New Roman" w:eastAsia="Times New Roman" w:hAnsi="Times New Roman" w:cs="Times"/>
      <w:sz w:val="24"/>
      <w:szCs w:val="24"/>
    </w:rPr>
  </w:style>
  <w:style w:type="character" w:styleId="CommentReference">
    <w:name w:val="annotation reference"/>
    <w:basedOn w:val="DefaultParagraphFont"/>
    <w:uiPriority w:val="99"/>
    <w:semiHidden/>
    <w:unhideWhenUsed/>
    <w:rsid w:val="003618E9"/>
    <w:rPr>
      <w:sz w:val="16"/>
      <w:szCs w:val="16"/>
    </w:rPr>
  </w:style>
  <w:style w:type="paragraph" w:styleId="CommentText">
    <w:name w:val="annotation text"/>
    <w:basedOn w:val="Normal"/>
    <w:link w:val="CommentTextChar"/>
    <w:uiPriority w:val="99"/>
    <w:semiHidden/>
    <w:unhideWhenUsed/>
    <w:rsid w:val="003618E9"/>
    <w:pPr>
      <w:spacing w:line="240" w:lineRule="auto"/>
    </w:pPr>
    <w:rPr>
      <w:sz w:val="20"/>
      <w:szCs w:val="20"/>
    </w:rPr>
  </w:style>
  <w:style w:type="character" w:customStyle="1" w:styleId="CommentTextChar">
    <w:name w:val="Comment Text Char"/>
    <w:basedOn w:val="DefaultParagraphFont"/>
    <w:link w:val="CommentText"/>
    <w:uiPriority w:val="99"/>
    <w:semiHidden/>
    <w:rsid w:val="003618E9"/>
    <w:rPr>
      <w:sz w:val="20"/>
      <w:szCs w:val="20"/>
    </w:rPr>
  </w:style>
  <w:style w:type="paragraph" w:styleId="CommentSubject">
    <w:name w:val="annotation subject"/>
    <w:basedOn w:val="CommentText"/>
    <w:next w:val="CommentText"/>
    <w:link w:val="CommentSubjectChar"/>
    <w:uiPriority w:val="99"/>
    <w:semiHidden/>
    <w:unhideWhenUsed/>
    <w:rsid w:val="003618E9"/>
    <w:rPr>
      <w:b/>
      <w:bCs/>
    </w:rPr>
  </w:style>
  <w:style w:type="character" w:customStyle="1" w:styleId="CommentSubjectChar">
    <w:name w:val="Comment Subject Char"/>
    <w:basedOn w:val="CommentTextChar"/>
    <w:link w:val="CommentSubject"/>
    <w:uiPriority w:val="99"/>
    <w:semiHidden/>
    <w:rsid w:val="003618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763</Words>
  <Characters>4354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NASA OCIO</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Rampe, Elizabeth B. (JSC-XI311)</dc:creator>
  <cp:keywords/>
  <dc:description/>
  <cp:lastModifiedBy>Rampe, Elizabeth B. (JSC-XI311)</cp:lastModifiedBy>
  <cp:revision>10</cp:revision>
  <dcterms:created xsi:type="dcterms:W3CDTF">2023-12-26T22:34:00Z</dcterms:created>
  <dcterms:modified xsi:type="dcterms:W3CDTF">2023-12-27T13:36:00Z</dcterms:modified>
</cp:coreProperties>
</file>