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491C" w14:textId="065595B1" w:rsidR="00C22CA2" w:rsidRDefault="00997F0B" w:rsidP="00C22CA2">
      <w:pPr>
        <w:spacing w:line="240" w:lineRule="atLeast"/>
        <w:jc w:val="both"/>
        <w:rPr>
          <w:sz w:val="20"/>
        </w:rPr>
      </w:pPr>
      <w:r>
        <w:rPr>
          <w:b/>
          <w:sz w:val="20"/>
        </w:rPr>
        <w:t>Lessons From Pluto for Uranus Moons</w:t>
      </w:r>
      <w:r w:rsidR="00C22CA2">
        <w:rPr>
          <w:b/>
          <w:sz w:val="20"/>
        </w:rPr>
        <w:t>.</w:t>
      </w:r>
      <w:r w:rsidR="00C22CA2">
        <w:rPr>
          <w:sz w:val="20"/>
        </w:rPr>
        <w:t xml:space="preserve">  </w:t>
      </w:r>
      <w:r w:rsidR="00BE0129">
        <w:rPr>
          <w:sz w:val="20"/>
        </w:rPr>
        <w:t>J</w:t>
      </w:r>
      <w:r w:rsidR="00C22CA2">
        <w:rPr>
          <w:sz w:val="20"/>
        </w:rPr>
        <w:t xml:space="preserve">. </w:t>
      </w:r>
      <w:r w:rsidR="00BE0129">
        <w:rPr>
          <w:sz w:val="20"/>
        </w:rPr>
        <w:t>M</w:t>
      </w:r>
      <w:r w:rsidR="00C22CA2">
        <w:rPr>
          <w:sz w:val="20"/>
        </w:rPr>
        <w:t xml:space="preserve">. </w:t>
      </w:r>
      <w:r w:rsidR="00BE0129">
        <w:rPr>
          <w:sz w:val="20"/>
        </w:rPr>
        <w:t>Moore</w:t>
      </w:r>
      <w:r w:rsidR="00C22CA2">
        <w:rPr>
          <w:sz w:val="20"/>
          <w:vertAlign w:val="superscript"/>
        </w:rPr>
        <w:t>1</w:t>
      </w:r>
      <w:r w:rsidR="00CE5701">
        <w:rPr>
          <w:sz w:val="20"/>
        </w:rPr>
        <w:t>,</w:t>
      </w:r>
      <w:r w:rsidRPr="00997F0B">
        <w:rPr>
          <w:sz w:val="20"/>
        </w:rPr>
        <w:t xml:space="preserve"> </w:t>
      </w:r>
      <w:r>
        <w:rPr>
          <w:sz w:val="20"/>
        </w:rPr>
        <w:t>P. M. Schenk</w:t>
      </w:r>
      <w:r w:rsidR="00CE5701">
        <w:rPr>
          <w:sz w:val="20"/>
          <w:vertAlign w:val="superscript"/>
        </w:rPr>
        <w:t>2</w:t>
      </w:r>
      <w:r w:rsidR="00CE5701">
        <w:rPr>
          <w:sz w:val="20"/>
        </w:rPr>
        <w:t xml:space="preserve">, </w:t>
      </w:r>
      <w:r w:rsidR="00C22CA2">
        <w:rPr>
          <w:sz w:val="20"/>
        </w:rPr>
        <w:t>and</w:t>
      </w:r>
      <w:r>
        <w:rPr>
          <w:sz w:val="20"/>
        </w:rPr>
        <w:t xml:space="preserve"> </w:t>
      </w:r>
      <w:r>
        <w:rPr>
          <w:sz w:val="20"/>
        </w:rPr>
        <w:t>J. R. Spencer</w:t>
      </w:r>
      <w:r w:rsidR="00CE5701">
        <w:rPr>
          <w:sz w:val="20"/>
          <w:vertAlign w:val="superscript"/>
        </w:rPr>
        <w:t>3</w:t>
      </w:r>
      <w:r w:rsidR="00C22CA2">
        <w:rPr>
          <w:sz w:val="20"/>
        </w:rPr>
        <w:t xml:space="preserve">, </w:t>
      </w:r>
      <w:r w:rsidR="00C22CA2">
        <w:rPr>
          <w:sz w:val="20"/>
          <w:vertAlign w:val="superscript"/>
        </w:rPr>
        <w:t>1</w:t>
      </w:r>
      <w:r w:rsidR="00CE5701">
        <w:rPr>
          <w:sz w:val="20"/>
        </w:rPr>
        <w:t>Space Sciences Division, NASA Ames Research Center, Moffett Field, CA (jeff.moore@nasa.gov)</w:t>
      </w:r>
      <w:r w:rsidR="00C22CA2">
        <w:rPr>
          <w:sz w:val="20"/>
        </w:rPr>
        <w:t xml:space="preserve">, </w:t>
      </w:r>
      <w:r w:rsidR="00317895">
        <w:rPr>
          <w:sz w:val="20"/>
          <w:vertAlign w:val="superscript"/>
        </w:rPr>
        <w:t>2</w:t>
      </w:r>
      <w:r w:rsidR="00CE5701" w:rsidRPr="00CE5701">
        <w:rPr>
          <w:sz w:val="20"/>
        </w:rPr>
        <w:t xml:space="preserve">Lunar </w:t>
      </w:r>
      <w:r w:rsidR="00CE5701">
        <w:rPr>
          <w:sz w:val="20"/>
        </w:rPr>
        <w:t>and Planetary Institute, Houston, TX</w:t>
      </w:r>
      <w:r w:rsidR="00317895">
        <w:rPr>
          <w:sz w:val="20"/>
        </w:rPr>
        <w:t xml:space="preserve">, </w:t>
      </w:r>
      <w:r w:rsidR="00317895">
        <w:rPr>
          <w:sz w:val="20"/>
          <w:vertAlign w:val="superscript"/>
        </w:rPr>
        <w:t>3</w:t>
      </w:r>
      <w:r w:rsidR="00317895">
        <w:rPr>
          <w:sz w:val="20"/>
        </w:rPr>
        <w:t>Southwest Research Institute, Boulder, CO</w:t>
      </w:r>
      <w:r w:rsidR="00CE5701">
        <w:rPr>
          <w:sz w:val="20"/>
        </w:rPr>
        <w:t>.</w:t>
      </w:r>
    </w:p>
    <w:p w14:paraId="0EB1810E" w14:textId="77777777" w:rsidR="00C22CA2" w:rsidRDefault="00C22CA2" w:rsidP="00C22CA2">
      <w:pPr>
        <w:spacing w:line="240" w:lineRule="atLeast"/>
        <w:ind w:firstLine="288"/>
        <w:jc w:val="both"/>
        <w:rPr>
          <w:sz w:val="20"/>
        </w:rPr>
      </w:pPr>
    </w:p>
    <w:p w14:paraId="4AB0AD4F" w14:textId="77777777" w:rsidR="00C22CA2" w:rsidRDefault="00C22CA2" w:rsidP="00C22CA2">
      <w:pPr>
        <w:spacing w:line="240" w:lineRule="atLeast"/>
        <w:ind w:firstLine="288"/>
        <w:jc w:val="both"/>
        <w:rPr>
          <w:sz w:val="20"/>
        </w:rPr>
      </w:pPr>
    </w:p>
    <w:p w14:paraId="76F58484" w14:textId="77777777" w:rsidR="00C22CA2" w:rsidRDefault="00C22CA2" w:rsidP="00C22CA2">
      <w:pPr>
        <w:spacing w:line="240" w:lineRule="atLeast"/>
        <w:ind w:firstLine="288"/>
        <w:jc w:val="both"/>
        <w:rPr>
          <w:sz w:val="20"/>
        </w:rPr>
        <w:sectPr w:rsidR="00C22CA2">
          <w:headerReference w:type="even" r:id="rId7"/>
          <w:footerReference w:type="even" r:id="rId8"/>
          <w:pgSz w:w="12240" w:h="15840"/>
          <w:pgMar w:top="1440" w:right="1440" w:bottom="1440" w:left="1440" w:header="720" w:footer="720" w:gutter="0"/>
          <w:cols w:space="720"/>
          <w:docGrid w:linePitch="360"/>
        </w:sectPr>
      </w:pPr>
    </w:p>
    <w:p w14:paraId="74349D94" w14:textId="42789C87" w:rsidR="00C22CA2" w:rsidRPr="00C22CA2" w:rsidRDefault="00C22CA2" w:rsidP="00C227C9">
      <w:pPr>
        <w:spacing w:line="240" w:lineRule="atLeast"/>
        <w:ind w:firstLine="288"/>
        <w:jc w:val="both"/>
        <w:rPr>
          <w:sz w:val="20"/>
        </w:rPr>
      </w:pPr>
      <w:r w:rsidRPr="00C22CA2">
        <w:rPr>
          <w:b/>
          <w:sz w:val="20"/>
        </w:rPr>
        <w:t>Introduction</w:t>
      </w:r>
      <w:r w:rsidRPr="00C227C9">
        <w:rPr>
          <w:b/>
          <w:sz w:val="20"/>
        </w:rPr>
        <w:t>:</w:t>
      </w:r>
      <w:r w:rsidRPr="00C227C9">
        <w:rPr>
          <w:sz w:val="20"/>
        </w:rPr>
        <w:t xml:space="preserve">  </w:t>
      </w:r>
      <w:r w:rsidR="00C227C9" w:rsidRPr="00C227C9">
        <w:rPr>
          <w:rFonts w:ascii="Palatino" w:hAnsi="Palatino"/>
          <w:color w:val="222222"/>
          <w:sz w:val="20"/>
        </w:rPr>
        <w:t xml:space="preserve">Small patches of starkly different albedo on both </w:t>
      </w:r>
      <w:r w:rsidR="00C227C9" w:rsidRPr="00C227C9">
        <w:rPr>
          <w:color w:val="222222"/>
          <w:sz w:val="20"/>
        </w:rPr>
        <w:t xml:space="preserve">Oberon and Umbriel may be evidence for </w:t>
      </w:r>
      <w:r w:rsidR="00CE5701">
        <w:rPr>
          <w:color w:val="222222"/>
          <w:sz w:val="20"/>
        </w:rPr>
        <w:t xml:space="preserve">frost segregation and </w:t>
      </w:r>
      <w:r w:rsidR="00C227C9" w:rsidRPr="00C227C9">
        <w:rPr>
          <w:color w:val="222222"/>
          <w:sz w:val="20"/>
        </w:rPr>
        <w:t xml:space="preserve">volatile </w:t>
      </w:r>
      <w:r w:rsidR="00CE5701">
        <w:rPr>
          <w:color w:val="222222"/>
          <w:sz w:val="20"/>
        </w:rPr>
        <w:t>migration</w:t>
      </w:r>
      <w:r w:rsidR="00C227C9">
        <w:rPr>
          <w:color w:val="222222"/>
          <w:sz w:val="20"/>
        </w:rPr>
        <w:t>.  The high obliquity of the Uranian system makes it a good candidate for volatile transport activity.  CO</w:t>
      </w:r>
      <w:r w:rsidR="00C227C9" w:rsidRPr="00C227C9">
        <w:rPr>
          <w:color w:val="222222"/>
          <w:sz w:val="20"/>
          <w:vertAlign w:val="subscript"/>
        </w:rPr>
        <w:t>2</w:t>
      </w:r>
      <w:r w:rsidR="00C227C9">
        <w:rPr>
          <w:color w:val="222222"/>
          <w:sz w:val="20"/>
        </w:rPr>
        <w:t xml:space="preserve"> </w:t>
      </w:r>
      <w:r w:rsidR="00BE0129">
        <w:rPr>
          <w:color w:val="222222"/>
          <w:sz w:val="20"/>
        </w:rPr>
        <w:t xml:space="preserve">and </w:t>
      </w:r>
      <w:r w:rsidR="003C05E3" w:rsidRPr="00C227C9">
        <w:rPr>
          <w:sz w:val="20"/>
        </w:rPr>
        <w:t>ammonium</w:t>
      </w:r>
      <w:r w:rsidR="003C05E3">
        <w:rPr>
          <w:color w:val="222222"/>
          <w:sz w:val="20"/>
          <w:vertAlign w:val="subscript"/>
        </w:rPr>
        <w:t xml:space="preserve"> </w:t>
      </w:r>
      <w:r w:rsidR="00C227C9">
        <w:rPr>
          <w:color w:val="222222"/>
          <w:sz w:val="20"/>
        </w:rPr>
        <w:t xml:space="preserve">species have been detected on </w:t>
      </w:r>
      <w:r w:rsidR="00CE5701">
        <w:rPr>
          <w:color w:val="222222"/>
          <w:sz w:val="20"/>
        </w:rPr>
        <w:t>some</w:t>
      </w:r>
      <w:r w:rsidR="00C227C9">
        <w:rPr>
          <w:color w:val="222222"/>
          <w:sz w:val="20"/>
        </w:rPr>
        <w:t xml:space="preserve"> Uranian satellites, and CH</w:t>
      </w:r>
      <w:r w:rsidR="00C227C9" w:rsidRPr="00C227C9">
        <w:rPr>
          <w:color w:val="222222"/>
          <w:sz w:val="20"/>
          <w:vertAlign w:val="subscript"/>
        </w:rPr>
        <w:t>4</w:t>
      </w:r>
      <w:r w:rsidR="00C227C9">
        <w:rPr>
          <w:color w:val="222222"/>
          <w:sz w:val="20"/>
        </w:rPr>
        <w:t xml:space="preserve"> is at least theoretically viable as a resident volatile</w:t>
      </w:r>
      <w:r w:rsidRPr="00C227C9">
        <w:rPr>
          <w:sz w:val="20"/>
        </w:rPr>
        <w:t>.</w:t>
      </w:r>
      <w:r w:rsidR="00C227C9">
        <w:rPr>
          <w:sz w:val="20"/>
        </w:rPr>
        <w:t xml:space="preserve">  The OWL-recommended </w:t>
      </w:r>
      <w:r w:rsidR="000813B3">
        <w:rPr>
          <w:sz w:val="20"/>
        </w:rPr>
        <w:t>UOP</w:t>
      </w:r>
      <w:r w:rsidR="00C227C9">
        <w:rPr>
          <w:sz w:val="20"/>
        </w:rPr>
        <w:t xml:space="preserve"> Orbiter spacecraft should be equipped with instruments capable of evaluating the nature and exten</w:t>
      </w:r>
      <w:r w:rsidR="000813B3">
        <w:rPr>
          <w:sz w:val="20"/>
        </w:rPr>
        <w:t>t</w:t>
      </w:r>
      <w:r w:rsidR="00C227C9">
        <w:rPr>
          <w:sz w:val="20"/>
        </w:rPr>
        <w:t xml:space="preserve"> of volatile</w:t>
      </w:r>
      <w:r w:rsidR="00E17679">
        <w:rPr>
          <w:sz w:val="20"/>
        </w:rPr>
        <w:t>s</w:t>
      </w:r>
      <w:r w:rsidR="00C227C9">
        <w:rPr>
          <w:sz w:val="20"/>
        </w:rPr>
        <w:t xml:space="preserve"> in the Uranian satellite system.</w:t>
      </w:r>
    </w:p>
    <w:p w14:paraId="7FB39BB8" w14:textId="45401B16" w:rsidR="00C227C9" w:rsidRPr="00C227C9" w:rsidRDefault="00C227C9" w:rsidP="00C227C9">
      <w:pPr>
        <w:spacing w:line="240" w:lineRule="atLeast"/>
        <w:jc w:val="both"/>
        <w:rPr>
          <w:sz w:val="20"/>
        </w:rPr>
      </w:pPr>
      <w:r>
        <w:rPr>
          <w:b/>
          <w:sz w:val="20"/>
        </w:rPr>
        <w:t>Voyager Observations</w:t>
      </w:r>
      <w:r w:rsidR="00C22CA2" w:rsidRPr="00C22CA2">
        <w:rPr>
          <w:b/>
          <w:sz w:val="20"/>
        </w:rPr>
        <w:t>:</w:t>
      </w:r>
      <w:r w:rsidR="00C22CA2" w:rsidRPr="00C22CA2">
        <w:rPr>
          <w:sz w:val="20"/>
        </w:rPr>
        <w:t xml:space="preserve">  </w:t>
      </w:r>
      <w:r w:rsidRPr="00C227C9">
        <w:rPr>
          <w:i/>
          <w:iCs/>
          <w:sz w:val="20"/>
        </w:rPr>
        <w:t>Umbriel:</w:t>
      </w:r>
      <w:r>
        <w:rPr>
          <w:sz w:val="20"/>
        </w:rPr>
        <w:t xml:space="preserve"> </w:t>
      </w:r>
      <w:r w:rsidRPr="00C227C9">
        <w:rPr>
          <w:sz w:val="20"/>
        </w:rPr>
        <w:t xml:space="preserve">The nearly complete bright ring on the floor of 130-km crater </w:t>
      </w:r>
      <w:proofErr w:type="spellStart"/>
      <w:r w:rsidRPr="00C227C9">
        <w:rPr>
          <w:sz w:val="20"/>
        </w:rPr>
        <w:t>Wunda</w:t>
      </w:r>
      <w:proofErr w:type="spellEnd"/>
      <w:r w:rsidRPr="00C227C9">
        <w:rPr>
          <w:sz w:val="20"/>
        </w:rPr>
        <w:t xml:space="preserve"> (</w:t>
      </w:r>
      <w:r>
        <w:rPr>
          <w:sz w:val="20"/>
        </w:rPr>
        <w:t>Fig. 1a</w:t>
      </w:r>
      <w:r w:rsidRPr="00C227C9">
        <w:rPr>
          <w:sz w:val="20"/>
        </w:rPr>
        <w:t>) is superficially similar to the bright ring of N</w:t>
      </w:r>
      <w:r w:rsidRPr="00CE5701">
        <w:rPr>
          <w:sz w:val="20"/>
          <w:vertAlign w:val="subscript"/>
        </w:rPr>
        <w:t>2</w:t>
      </w:r>
      <w:r w:rsidRPr="00C227C9">
        <w:rPr>
          <w:sz w:val="20"/>
        </w:rPr>
        <w:t xml:space="preserve"> and CH</w:t>
      </w:r>
      <w:r w:rsidRPr="00CE5701">
        <w:rPr>
          <w:sz w:val="20"/>
          <w:vertAlign w:val="subscript"/>
        </w:rPr>
        <w:t>4</w:t>
      </w:r>
      <w:r w:rsidRPr="00C227C9">
        <w:rPr>
          <w:sz w:val="20"/>
        </w:rPr>
        <w:t xml:space="preserve"> ice on the floor of Pluto’s Elliott crater, with the ring surrounding central peaks in both cases.  This similarity may support the idea that these bright deposits are due to volatile accumulation in topographic lows.  On Umbriel the volatile would more likely be a bright CO</w:t>
      </w:r>
      <w:r w:rsidRPr="00C227C9">
        <w:rPr>
          <w:sz w:val="20"/>
          <w:vertAlign w:val="subscript"/>
        </w:rPr>
        <w:t>2</w:t>
      </w:r>
      <w:r w:rsidRPr="00C227C9">
        <w:rPr>
          <w:sz w:val="20"/>
        </w:rPr>
        <w:t>, or as yet undetected CH</w:t>
      </w:r>
      <w:r w:rsidRPr="00C227C9">
        <w:rPr>
          <w:sz w:val="20"/>
          <w:vertAlign w:val="subscript"/>
        </w:rPr>
        <w:t>4</w:t>
      </w:r>
      <w:r w:rsidRPr="00C227C9">
        <w:rPr>
          <w:sz w:val="20"/>
        </w:rPr>
        <w:t xml:space="preserve"> or ammonium ice.  At least one other crater of similar size, </w:t>
      </w:r>
      <w:proofErr w:type="spellStart"/>
      <w:r w:rsidRPr="00C227C9">
        <w:rPr>
          <w:sz w:val="20"/>
        </w:rPr>
        <w:t>Vuver</w:t>
      </w:r>
      <w:proofErr w:type="spellEnd"/>
      <w:r w:rsidRPr="00C227C9">
        <w:rPr>
          <w:sz w:val="20"/>
        </w:rPr>
        <w:t xml:space="preserve">, </w:t>
      </w:r>
      <w:r w:rsidR="00E17679">
        <w:rPr>
          <w:sz w:val="20"/>
        </w:rPr>
        <w:t xml:space="preserve">also </w:t>
      </w:r>
      <w:r w:rsidRPr="00C227C9">
        <w:rPr>
          <w:sz w:val="20"/>
        </w:rPr>
        <w:t>occurs at these</w:t>
      </w:r>
      <w:r w:rsidR="006B5BA8">
        <w:rPr>
          <w:sz w:val="20"/>
        </w:rPr>
        <w:t xml:space="preserve"> equatorial</w:t>
      </w:r>
      <w:r w:rsidRPr="00C227C9">
        <w:rPr>
          <w:sz w:val="20"/>
        </w:rPr>
        <w:t xml:space="preserve"> latitudes </w:t>
      </w:r>
      <w:r w:rsidR="006B5BA8">
        <w:rPr>
          <w:sz w:val="20"/>
        </w:rPr>
        <w:t xml:space="preserve">that exhibits a </w:t>
      </w:r>
      <w:r w:rsidR="00E17679">
        <w:rPr>
          <w:sz w:val="20"/>
        </w:rPr>
        <w:t xml:space="preserve">central </w:t>
      </w:r>
      <w:r w:rsidR="00460171">
        <w:rPr>
          <w:sz w:val="20"/>
        </w:rPr>
        <w:t>bright</w:t>
      </w:r>
      <w:r w:rsidR="006B5BA8">
        <w:rPr>
          <w:sz w:val="20"/>
        </w:rPr>
        <w:t xml:space="preserve"> patch.</w:t>
      </w:r>
      <w:r w:rsidRPr="00C227C9">
        <w:rPr>
          <w:sz w:val="20"/>
        </w:rPr>
        <w:t xml:space="preserve"> </w:t>
      </w:r>
      <w:r w:rsidR="006B5BA8">
        <w:rPr>
          <w:sz w:val="20"/>
        </w:rPr>
        <w:t>There are</w:t>
      </w:r>
      <w:r w:rsidRPr="00C227C9">
        <w:rPr>
          <w:sz w:val="20"/>
        </w:rPr>
        <w:t xml:space="preserve"> no</w:t>
      </w:r>
      <w:r w:rsidR="006B5BA8">
        <w:rPr>
          <w:sz w:val="20"/>
        </w:rPr>
        <w:t xml:space="preserve"> other</w:t>
      </w:r>
      <w:r w:rsidRPr="00C227C9">
        <w:rPr>
          <w:sz w:val="20"/>
        </w:rPr>
        <w:t xml:space="preserve"> obviously </w:t>
      </w:r>
      <w:r w:rsidR="00E17679">
        <w:rPr>
          <w:sz w:val="20"/>
        </w:rPr>
        <w:t>analogous</w:t>
      </w:r>
      <w:r w:rsidR="006B5BA8">
        <w:rPr>
          <w:sz w:val="20"/>
        </w:rPr>
        <w:t xml:space="preserve"> d</w:t>
      </w:r>
      <w:r w:rsidRPr="00C227C9">
        <w:rPr>
          <w:sz w:val="20"/>
        </w:rPr>
        <w:t>eposits on the Saturnian satellites (except perhaps Iapetus) or on the observed portions of the other Uranian moons</w:t>
      </w:r>
      <w:r w:rsidR="000813B3" w:rsidRPr="00C227C9">
        <w:rPr>
          <w:sz w:val="20"/>
        </w:rPr>
        <w:t>.</w:t>
      </w:r>
    </w:p>
    <w:p w14:paraId="218E2AAF" w14:textId="3D634222" w:rsidR="00C22CA2" w:rsidRPr="00C227C9" w:rsidRDefault="00C227C9" w:rsidP="00C22CA2">
      <w:pPr>
        <w:spacing w:line="240" w:lineRule="atLeast"/>
        <w:ind w:firstLine="288"/>
        <w:jc w:val="both"/>
        <w:rPr>
          <w:sz w:val="20"/>
        </w:rPr>
      </w:pPr>
      <w:r w:rsidRPr="00C227C9">
        <w:rPr>
          <w:i/>
          <w:iCs/>
          <w:sz w:val="20"/>
        </w:rPr>
        <w:t>Oberon</w:t>
      </w:r>
      <w:r w:rsidRPr="00C227C9">
        <w:rPr>
          <w:sz w:val="20"/>
        </w:rPr>
        <w:t xml:space="preserve"> exhibits some of the greatest apparent variability in albedo.  Bright and dark crater deposits (</w:t>
      </w:r>
      <w:r w:rsidR="00BE0129">
        <w:rPr>
          <w:sz w:val="20"/>
        </w:rPr>
        <w:t>Fig. 1b</w:t>
      </w:r>
      <w:r w:rsidRPr="00C227C9">
        <w:rPr>
          <w:sz w:val="20"/>
        </w:rPr>
        <w:t>) at Hamlet, Otello (rim diameters 205 and 114 km) and elsewhere suggest</w:t>
      </w:r>
      <w:r w:rsidR="000813B3">
        <w:rPr>
          <w:sz w:val="20"/>
        </w:rPr>
        <w:t xml:space="preserve"> either </w:t>
      </w:r>
      <w:r w:rsidR="006B5BA8">
        <w:rPr>
          <w:sz w:val="20"/>
        </w:rPr>
        <w:t xml:space="preserve">thermal </w:t>
      </w:r>
      <w:r w:rsidR="000813B3">
        <w:rPr>
          <w:sz w:val="20"/>
        </w:rPr>
        <w:t>segregation of initially intermixed material into its volatile components and its (dark) refractory components forming a floor lag, or else</w:t>
      </w:r>
      <w:r w:rsidRPr="00C227C9">
        <w:rPr>
          <w:sz w:val="20"/>
        </w:rPr>
        <w:t xml:space="preserve"> excavation of dark subsurface material and generation of bright impact related frosts or debris</w:t>
      </w:r>
      <w:r w:rsidR="00BE0129">
        <w:rPr>
          <w:sz w:val="20"/>
        </w:rPr>
        <w:t>.</w:t>
      </w:r>
      <w:r w:rsidRPr="00C227C9">
        <w:rPr>
          <w:sz w:val="20"/>
        </w:rPr>
        <w:t xml:space="preserve">  These crater deposits resemble those now associated with </w:t>
      </w:r>
      <w:r w:rsidR="00CE5701" w:rsidRPr="00CE5701">
        <w:rPr>
          <w:sz w:val="20"/>
        </w:rPr>
        <w:t>NH</w:t>
      </w:r>
      <w:r w:rsidR="00CE5701" w:rsidRPr="00CE5701">
        <w:rPr>
          <w:sz w:val="20"/>
          <w:vertAlign w:val="subscript"/>
        </w:rPr>
        <w:t>3</w:t>
      </w:r>
      <w:r w:rsidRPr="00C227C9">
        <w:rPr>
          <w:sz w:val="20"/>
        </w:rPr>
        <w:t xml:space="preserve"> in similar bright and dark craters on Charon.   To date, </w:t>
      </w:r>
      <w:r w:rsidR="00CE5701">
        <w:rPr>
          <w:color w:val="222222"/>
          <w:sz w:val="20"/>
        </w:rPr>
        <w:t>NH</w:t>
      </w:r>
      <w:r w:rsidR="00CE5701" w:rsidRPr="00C227C9">
        <w:rPr>
          <w:color w:val="222222"/>
          <w:sz w:val="20"/>
          <w:vertAlign w:val="subscript"/>
        </w:rPr>
        <w:t>3</w:t>
      </w:r>
      <w:r w:rsidRPr="00C227C9">
        <w:rPr>
          <w:sz w:val="20"/>
        </w:rPr>
        <w:t xml:space="preserve"> has only been identified on Miranda and possibly Ariel, but as ammonia was only identified on Charon by spacecraft it could also occur undetected on other </w:t>
      </w:r>
      <w:r w:rsidR="00CE5701" w:rsidRPr="00C227C9">
        <w:rPr>
          <w:sz w:val="20"/>
        </w:rPr>
        <w:t>Uranian</w:t>
      </w:r>
      <w:r w:rsidRPr="00C227C9">
        <w:rPr>
          <w:sz w:val="20"/>
        </w:rPr>
        <w:t xml:space="preserve"> satellites, especially within preserved crater deposits.</w:t>
      </w:r>
    </w:p>
    <w:p w14:paraId="6301D765" w14:textId="5B84BB76" w:rsidR="00C22CA2" w:rsidRPr="000147A0" w:rsidRDefault="000813B3" w:rsidP="000147A0">
      <w:pPr>
        <w:spacing w:line="240" w:lineRule="exact"/>
        <w:jc w:val="both"/>
      </w:pPr>
      <w:r>
        <w:rPr>
          <w:b/>
          <w:sz w:val="20"/>
        </w:rPr>
        <w:t>Frost Segregation</w:t>
      </w:r>
      <w:r w:rsidR="00C22CA2" w:rsidRPr="000147A0">
        <w:rPr>
          <w:b/>
          <w:sz w:val="20"/>
        </w:rPr>
        <w:t>:</w:t>
      </w:r>
      <w:r w:rsidR="00C22CA2" w:rsidRPr="000147A0">
        <w:rPr>
          <w:sz w:val="20"/>
        </w:rPr>
        <w:t xml:space="preserve">  </w:t>
      </w:r>
      <w:r w:rsidR="000147A0">
        <w:rPr>
          <w:sz w:val="20"/>
        </w:rPr>
        <w:t>T</w:t>
      </w:r>
      <w:r w:rsidR="000147A0" w:rsidRPr="000147A0">
        <w:rPr>
          <w:sz w:val="20"/>
        </w:rPr>
        <w:t xml:space="preserve">hermal segregation of </w:t>
      </w:r>
      <w:r w:rsidR="000147A0">
        <w:rPr>
          <w:sz w:val="20"/>
        </w:rPr>
        <w:t>H</w:t>
      </w:r>
      <w:r w:rsidR="000147A0" w:rsidRPr="000147A0">
        <w:rPr>
          <w:sz w:val="20"/>
          <w:vertAlign w:val="subscript"/>
        </w:rPr>
        <w:t>2</w:t>
      </w:r>
      <w:r w:rsidR="000147A0" w:rsidRPr="000147A0">
        <w:rPr>
          <w:sz w:val="20"/>
        </w:rPr>
        <w:t xml:space="preserve">O ice </w:t>
      </w:r>
      <w:r w:rsidR="000147A0">
        <w:rPr>
          <w:sz w:val="20"/>
        </w:rPr>
        <w:t>was first proposed for</w:t>
      </w:r>
      <w:r w:rsidR="000147A0" w:rsidRPr="000147A0">
        <w:rPr>
          <w:sz w:val="20"/>
        </w:rPr>
        <w:t xml:space="preserve"> Ganymede and</w:t>
      </w:r>
      <w:r w:rsidR="00CB51C9">
        <w:rPr>
          <w:sz w:val="20"/>
        </w:rPr>
        <w:t xml:space="preserve"> especially</w:t>
      </w:r>
      <w:r w:rsidR="000147A0" w:rsidRPr="000147A0">
        <w:rPr>
          <w:sz w:val="20"/>
        </w:rPr>
        <w:t xml:space="preserve"> </w:t>
      </w:r>
      <w:proofErr w:type="spellStart"/>
      <w:r w:rsidR="000147A0" w:rsidRPr="000147A0">
        <w:rPr>
          <w:sz w:val="20"/>
        </w:rPr>
        <w:t>Callisto</w:t>
      </w:r>
      <w:proofErr w:type="spellEnd"/>
      <w:r w:rsidR="0077301E">
        <w:rPr>
          <w:sz w:val="20"/>
        </w:rPr>
        <w:t>.</w:t>
      </w:r>
      <w:r w:rsidR="000147A0" w:rsidRPr="000147A0">
        <w:rPr>
          <w:sz w:val="20"/>
        </w:rPr>
        <w:t xml:space="preserve"> </w:t>
      </w:r>
      <w:r w:rsidR="0077301E">
        <w:rPr>
          <w:sz w:val="20"/>
        </w:rPr>
        <w:t>S</w:t>
      </w:r>
      <w:r w:rsidR="000147A0" w:rsidRPr="000147A0">
        <w:rPr>
          <w:sz w:val="20"/>
        </w:rPr>
        <w:t xml:space="preserve">ublimation is </w:t>
      </w:r>
      <w:r w:rsidR="0077301E">
        <w:rPr>
          <w:sz w:val="20"/>
        </w:rPr>
        <w:t xml:space="preserve">thought to be </w:t>
      </w:r>
      <w:r w:rsidR="000147A0" w:rsidRPr="000147A0">
        <w:rPr>
          <w:sz w:val="20"/>
        </w:rPr>
        <w:t>the most significant process for the redistribution of ice at sub-k</w:t>
      </w:r>
      <w:r w:rsidR="0077301E">
        <w:rPr>
          <w:sz w:val="20"/>
        </w:rPr>
        <w:t>m to km</w:t>
      </w:r>
      <w:r w:rsidR="000147A0" w:rsidRPr="000147A0">
        <w:rPr>
          <w:sz w:val="20"/>
        </w:rPr>
        <w:t xml:space="preserve"> scales</w:t>
      </w:r>
      <w:r w:rsidR="0077301E">
        <w:rPr>
          <w:sz w:val="20"/>
        </w:rPr>
        <w:t xml:space="preserve"> there</w:t>
      </w:r>
      <w:r w:rsidR="000147A0" w:rsidRPr="000147A0">
        <w:rPr>
          <w:sz w:val="20"/>
        </w:rPr>
        <w:t>. As ices sublime, the low albedo component of the surface materials remains behind</w:t>
      </w:r>
      <w:r w:rsidR="000147A0">
        <w:rPr>
          <w:sz w:val="20"/>
        </w:rPr>
        <w:t xml:space="preserve"> or moves down slope</w:t>
      </w:r>
      <w:r w:rsidR="000147A0" w:rsidRPr="000147A0">
        <w:rPr>
          <w:sz w:val="20"/>
        </w:rPr>
        <w:t xml:space="preserve"> to form a refractory-rich sublimation lag deposit.  The lag may eventually become thick </w:t>
      </w:r>
      <w:r w:rsidR="000147A0" w:rsidRPr="000147A0">
        <w:rPr>
          <w:sz w:val="20"/>
        </w:rPr>
        <w:t xml:space="preserve">enough to suppress any further sublimation from underneath.  </w:t>
      </w:r>
      <w:r w:rsidR="000147A0">
        <w:rPr>
          <w:sz w:val="20"/>
        </w:rPr>
        <w:t>The volatile</w:t>
      </w:r>
      <w:r w:rsidR="0077301E">
        <w:rPr>
          <w:sz w:val="20"/>
        </w:rPr>
        <w:t>(s)</w:t>
      </w:r>
      <w:r w:rsidR="000147A0">
        <w:rPr>
          <w:sz w:val="20"/>
        </w:rPr>
        <w:t xml:space="preserve"> </w:t>
      </w:r>
      <w:r w:rsidR="0077301E">
        <w:rPr>
          <w:sz w:val="20"/>
        </w:rPr>
        <w:t>create</w:t>
      </w:r>
      <w:r w:rsidR="000147A0">
        <w:rPr>
          <w:sz w:val="20"/>
        </w:rPr>
        <w:t xml:space="preserve"> a bright ice that may precipitate on local </w:t>
      </w:r>
      <w:r w:rsidR="0077301E">
        <w:rPr>
          <w:sz w:val="20"/>
        </w:rPr>
        <w:t>cold-trap</w:t>
      </w:r>
      <w:r w:rsidR="009316AB">
        <w:rPr>
          <w:sz w:val="20"/>
        </w:rPr>
        <w:t>-</w:t>
      </w:r>
      <w:r w:rsidR="000147A0">
        <w:rPr>
          <w:sz w:val="20"/>
        </w:rPr>
        <w:t>forming topographic crests</w:t>
      </w:r>
      <w:r w:rsidR="00B003DA">
        <w:rPr>
          <w:sz w:val="20"/>
        </w:rPr>
        <w:t xml:space="preserve"> as seen on </w:t>
      </w:r>
      <w:proofErr w:type="spellStart"/>
      <w:r w:rsidR="00B003DA">
        <w:rPr>
          <w:sz w:val="20"/>
        </w:rPr>
        <w:t>Callisto</w:t>
      </w:r>
      <w:proofErr w:type="spellEnd"/>
      <w:r w:rsidR="000147A0">
        <w:rPr>
          <w:sz w:val="20"/>
        </w:rPr>
        <w:t>.</w:t>
      </w:r>
    </w:p>
    <w:p w14:paraId="1CCF4EDB" w14:textId="38DFD62A" w:rsidR="00C22CA2" w:rsidRPr="00AB4267" w:rsidRDefault="000813B3" w:rsidP="00ED6D9D">
      <w:pPr>
        <w:spacing w:line="240" w:lineRule="exact"/>
        <w:jc w:val="both"/>
        <w:rPr>
          <w:sz w:val="20"/>
        </w:rPr>
      </w:pPr>
      <w:r>
        <w:rPr>
          <w:rStyle w:val="Strong"/>
          <w:sz w:val="20"/>
          <w:bdr w:val="none" w:sz="0" w:space="0" w:color="auto" w:frame="1"/>
        </w:rPr>
        <w:t>Volatile Migration</w:t>
      </w:r>
      <w:r w:rsidR="00C22CA2" w:rsidRPr="00C22CA2">
        <w:rPr>
          <w:rStyle w:val="Strong"/>
          <w:sz w:val="20"/>
          <w:bdr w:val="none" w:sz="0" w:space="0" w:color="auto" w:frame="1"/>
        </w:rPr>
        <w:t xml:space="preserve">: </w:t>
      </w:r>
      <w:r w:rsidR="00ED6D9D" w:rsidRPr="00AB4267">
        <w:rPr>
          <w:sz w:val="20"/>
        </w:rPr>
        <w:t xml:space="preserve">The notion of equatorial volatile precipitation during periods of high obliquity has been </w:t>
      </w:r>
      <w:r w:rsidR="00AB4267">
        <w:rPr>
          <w:sz w:val="20"/>
        </w:rPr>
        <w:t>proposed in Martian studies</w:t>
      </w:r>
      <w:r w:rsidR="00ED6D9D" w:rsidRPr="00AB4267">
        <w:rPr>
          <w:sz w:val="20"/>
        </w:rPr>
        <w:t>.</w:t>
      </w:r>
      <w:r w:rsidR="00AB4267">
        <w:rPr>
          <w:sz w:val="20"/>
        </w:rPr>
        <w:t xml:space="preserve"> It has been long recognized that obliquities </w:t>
      </w:r>
      <w:r w:rsidR="006A6108">
        <w:rPr>
          <w:sz w:val="20"/>
        </w:rPr>
        <w:t>~&gt;</w:t>
      </w:r>
      <w:r w:rsidR="00AB4267">
        <w:rPr>
          <w:sz w:val="20"/>
        </w:rPr>
        <w:t xml:space="preserve"> 60° result in </w:t>
      </w:r>
      <w:r w:rsidR="00E17679">
        <w:rPr>
          <w:sz w:val="20"/>
        </w:rPr>
        <w:t xml:space="preserve">annually averaged </w:t>
      </w:r>
      <w:r w:rsidR="00AB4267">
        <w:rPr>
          <w:sz w:val="20"/>
        </w:rPr>
        <w:t xml:space="preserve">net warmth of the poles relative to the low latitudes. </w:t>
      </w:r>
      <w:r w:rsidR="00ED6D9D" w:rsidRPr="00AB4267">
        <w:rPr>
          <w:sz w:val="20"/>
        </w:rPr>
        <w:t xml:space="preserve"> </w:t>
      </w:r>
      <w:r w:rsidR="006A6108">
        <w:rPr>
          <w:sz w:val="20"/>
        </w:rPr>
        <w:t>High obliquity excursions have</w:t>
      </w:r>
      <w:r w:rsidR="00ED6D9D" w:rsidRPr="00AB4267">
        <w:rPr>
          <w:sz w:val="20"/>
        </w:rPr>
        <w:t xml:space="preserve"> been used to explain the timing and duration of </w:t>
      </w:r>
      <w:r w:rsidR="00AB4267">
        <w:rPr>
          <w:sz w:val="20"/>
        </w:rPr>
        <w:t xml:space="preserve">Martian </w:t>
      </w:r>
      <w:r w:rsidR="00ED6D9D" w:rsidRPr="00AB4267">
        <w:rPr>
          <w:sz w:val="20"/>
        </w:rPr>
        <w:t>equatorial and mid-latitude fluvial features and other sedimentary deposits, but until seen at Pluto, such a</w:t>
      </w:r>
      <w:r w:rsidR="00E17679">
        <w:rPr>
          <w:sz w:val="20"/>
        </w:rPr>
        <w:t xml:space="preserve">n explanation </w:t>
      </w:r>
      <w:r w:rsidR="00ED6D9D" w:rsidRPr="00AB4267">
        <w:rPr>
          <w:sz w:val="20"/>
        </w:rPr>
        <w:t>had been purely hypothetical.</w:t>
      </w:r>
      <w:r w:rsidR="00AB4267">
        <w:rPr>
          <w:sz w:val="20"/>
        </w:rPr>
        <w:t xml:space="preserve">  Pluto exhibits strong latitudinal zoning of various volatiles, which are thought to represent both seasonal and long-term volatile migration under the influence of Pluto’s very high obliquity.</w:t>
      </w:r>
      <w:r w:rsidR="00ED6D9D" w:rsidRPr="00AB4267">
        <w:rPr>
          <w:sz w:val="20"/>
        </w:rPr>
        <w:t xml:space="preserve">  Bladed Terrain deposits</w:t>
      </w:r>
      <w:r w:rsidR="00AB4267">
        <w:rPr>
          <w:sz w:val="20"/>
        </w:rPr>
        <w:t xml:space="preserve"> there</w:t>
      </w:r>
      <w:r w:rsidR="00ED6D9D" w:rsidRPr="00AB4267">
        <w:rPr>
          <w:sz w:val="20"/>
        </w:rPr>
        <w:t xml:space="preserve"> are </w:t>
      </w:r>
      <w:r w:rsidR="00AB4267">
        <w:rPr>
          <w:sz w:val="20"/>
        </w:rPr>
        <w:t>an excellent example of</w:t>
      </w:r>
      <w:r w:rsidR="00ED6D9D" w:rsidRPr="00AB4267">
        <w:rPr>
          <w:sz w:val="20"/>
        </w:rPr>
        <w:t xml:space="preserve"> </w:t>
      </w:r>
      <w:r w:rsidR="00AB4267">
        <w:rPr>
          <w:sz w:val="20"/>
        </w:rPr>
        <w:t>this process</w:t>
      </w:r>
      <w:r w:rsidR="00ED6D9D" w:rsidRPr="00AB4267">
        <w:rPr>
          <w:sz w:val="20"/>
        </w:rPr>
        <w:t>.</w:t>
      </w:r>
      <w:r w:rsidR="006B5BA8">
        <w:rPr>
          <w:sz w:val="20"/>
        </w:rPr>
        <w:t xml:space="preserve">  Perhaps it’s not a coincidence that the frost deposits on Umbriel are near the equator.</w:t>
      </w:r>
    </w:p>
    <w:p w14:paraId="13E20064" w14:textId="5BB8EFAA" w:rsidR="00460171" w:rsidRDefault="00460171" w:rsidP="00460171">
      <w:pPr>
        <w:pStyle w:val="NormalWeb"/>
        <w:shd w:val="clear" w:color="auto" w:fill="FFFFFF"/>
        <w:spacing w:before="0" w:beforeAutospacing="0" w:after="0" w:afterAutospacing="0" w:line="240" w:lineRule="atLeast"/>
        <w:jc w:val="both"/>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2EB27272" wp14:editId="0EDD52AA">
            <wp:extent cx="2743200" cy="1371600"/>
            <wp:effectExtent l="0" t="0" r="0" b="0"/>
            <wp:docPr id="107459620" name="Picture 1" descr="A picture containing text, mammal, rod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9620" name="Picture 1" descr="A picture containing text, mammal, rodent&#10;&#10;Description automatically generated"/>
                    <pic:cNvPicPr/>
                  </pic:nvPicPr>
                  <pic:blipFill>
                    <a:blip r:embed="rId9"/>
                    <a:stretch>
                      <a:fillRect/>
                    </a:stretch>
                  </pic:blipFill>
                  <pic:spPr>
                    <a:xfrm>
                      <a:off x="0" y="0"/>
                      <a:ext cx="2743200" cy="1371600"/>
                    </a:xfrm>
                    <a:prstGeom prst="rect">
                      <a:avLst/>
                    </a:prstGeom>
                  </pic:spPr>
                </pic:pic>
              </a:graphicData>
            </a:graphic>
          </wp:inline>
        </w:drawing>
      </w:r>
    </w:p>
    <w:p w14:paraId="0B13AE61" w14:textId="30E4AC39" w:rsidR="00651775" w:rsidRPr="00B5714A" w:rsidRDefault="000813B3" w:rsidP="00C22CA2">
      <w:pPr>
        <w:pStyle w:val="NormalWeb"/>
        <w:shd w:val="clear" w:color="auto" w:fill="FFFFFF"/>
        <w:spacing w:before="0" w:beforeAutospacing="0" w:after="0" w:afterAutospacing="0" w:line="240" w:lineRule="atLeast"/>
        <w:ind w:firstLine="288"/>
        <w:jc w:val="both"/>
        <w:rPr>
          <w:rFonts w:ascii="Times New Roman" w:hAnsi="Times New Roman" w:cs="Times New Roman"/>
          <w:sz w:val="20"/>
          <w:szCs w:val="20"/>
        </w:rPr>
      </w:pPr>
      <w:r>
        <w:rPr>
          <w:rFonts w:ascii="Times New Roman" w:hAnsi="Times New Roman" w:cs="Times New Roman"/>
          <w:b/>
          <w:sz w:val="20"/>
          <w:szCs w:val="20"/>
        </w:rPr>
        <w:t xml:space="preserve">UOP Measurement </w:t>
      </w:r>
      <w:proofErr w:type="spellStart"/>
      <w:r>
        <w:rPr>
          <w:rFonts w:ascii="Times New Roman" w:hAnsi="Times New Roman" w:cs="Times New Roman"/>
          <w:b/>
          <w:sz w:val="20"/>
          <w:szCs w:val="20"/>
        </w:rPr>
        <w:t>Desirements</w:t>
      </w:r>
      <w:proofErr w:type="spellEnd"/>
      <w:r w:rsidR="00C22CA2" w:rsidRPr="00C22CA2">
        <w:rPr>
          <w:rFonts w:ascii="Times New Roman" w:hAnsi="Times New Roman" w:cs="Times New Roman"/>
          <w:b/>
          <w:sz w:val="20"/>
          <w:szCs w:val="20"/>
        </w:rPr>
        <w:t>:</w:t>
      </w:r>
      <w:r w:rsidR="00CB51C9">
        <w:rPr>
          <w:rFonts w:ascii="Times New Roman" w:hAnsi="Times New Roman" w:cs="Times New Roman"/>
          <w:b/>
          <w:sz w:val="20"/>
          <w:szCs w:val="20"/>
        </w:rPr>
        <w:t xml:space="preserve"> </w:t>
      </w:r>
      <w:r w:rsidR="00CB51C9" w:rsidRPr="00CB51C9">
        <w:rPr>
          <w:rFonts w:ascii="Times New Roman" w:hAnsi="Times New Roman" w:cs="Times New Roman"/>
          <w:bCs/>
          <w:sz w:val="20"/>
          <w:szCs w:val="20"/>
        </w:rPr>
        <w:t>The</w:t>
      </w:r>
      <w:r w:rsidR="00CB51C9">
        <w:rPr>
          <w:rFonts w:ascii="Times New Roman" w:hAnsi="Times New Roman" w:cs="Times New Roman"/>
          <w:sz w:val="20"/>
          <w:szCs w:val="20"/>
        </w:rPr>
        <w:t xml:space="preserve"> </w:t>
      </w:r>
      <w:r w:rsidR="00651775" w:rsidRPr="00CB51C9">
        <w:rPr>
          <w:rFonts w:ascii="Times New Roman" w:hAnsi="Times New Roman" w:cs="Times New Roman"/>
          <w:i/>
          <w:iCs/>
          <w:sz w:val="20"/>
          <w:szCs w:val="20"/>
        </w:rPr>
        <w:t>Galileo</w:t>
      </w:r>
      <w:r w:rsidR="00651775">
        <w:rPr>
          <w:rFonts w:ascii="Times New Roman" w:hAnsi="Times New Roman" w:cs="Times New Roman"/>
          <w:sz w:val="20"/>
          <w:szCs w:val="20"/>
        </w:rPr>
        <w:t xml:space="preserve">, </w:t>
      </w:r>
      <w:r w:rsidR="00651775" w:rsidRPr="00CB51C9">
        <w:rPr>
          <w:rFonts w:ascii="Times New Roman" w:hAnsi="Times New Roman" w:cs="Times New Roman"/>
          <w:i/>
          <w:iCs/>
          <w:sz w:val="20"/>
          <w:szCs w:val="20"/>
        </w:rPr>
        <w:t>Cassini</w:t>
      </w:r>
      <w:r w:rsidR="00651775">
        <w:rPr>
          <w:rFonts w:ascii="Times New Roman" w:hAnsi="Times New Roman" w:cs="Times New Roman"/>
          <w:sz w:val="20"/>
          <w:szCs w:val="20"/>
        </w:rPr>
        <w:t xml:space="preserve">, and </w:t>
      </w:r>
      <w:r w:rsidR="00651775" w:rsidRPr="00CB51C9">
        <w:rPr>
          <w:rFonts w:ascii="Times New Roman" w:hAnsi="Times New Roman" w:cs="Times New Roman"/>
          <w:i/>
          <w:iCs/>
          <w:sz w:val="20"/>
          <w:szCs w:val="20"/>
        </w:rPr>
        <w:t>New Horizons</w:t>
      </w:r>
      <w:r w:rsidR="00651775">
        <w:rPr>
          <w:rFonts w:ascii="Times New Roman" w:hAnsi="Times New Roman" w:cs="Times New Roman"/>
          <w:sz w:val="20"/>
          <w:szCs w:val="20"/>
        </w:rPr>
        <w:t xml:space="preserve"> experience</w:t>
      </w:r>
      <w:r w:rsidR="00CB51C9">
        <w:rPr>
          <w:rFonts w:ascii="Times New Roman" w:hAnsi="Times New Roman" w:cs="Times New Roman"/>
          <w:sz w:val="20"/>
          <w:szCs w:val="20"/>
        </w:rPr>
        <w:t>s</w:t>
      </w:r>
      <w:r w:rsidR="00651775">
        <w:rPr>
          <w:rFonts w:ascii="Times New Roman" w:hAnsi="Times New Roman" w:cs="Times New Roman"/>
          <w:sz w:val="20"/>
          <w:szCs w:val="20"/>
        </w:rPr>
        <w:t xml:space="preserve"> suggest that visible light imaging of surface features related to volatile erosion and deposition should be globally acquired at resolutions of ~250 m/pixel or better, ideally in stereo and in several colors.  The pinnacles and mass movements related </w:t>
      </w:r>
      <w:r w:rsidR="00651775" w:rsidRPr="00651775">
        <w:rPr>
          <w:rFonts w:ascii="Times New Roman" w:hAnsi="Times New Roman" w:cs="Times New Roman"/>
          <w:sz w:val="20"/>
          <w:szCs w:val="20"/>
        </w:rPr>
        <w:t xml:space="preserve">to </w:t>
      </w:r>
      <w:r w:rsidR="00651775" w:rsidRPr="00651775">
        <w:rPr>
          <w:rFonts w:ascii="Times New Roman" w:hAnsi="Times New Roman" w:cs="Times New Roman"/>
          <w:color w:val="222222"/>
          <w:sz w:val="20"/>
        </w:rPr>
        <w:t>frost segregation</w:t>
      </w:r>
      <w:r w:rsidR="00651775">
        <w:rPr>
          <w:rFonts w:ascii="Times New Roman" w:hAnsi="Times New Roman" w:cs="Times New Roman"/>
          <w:color w:val="222222"/>
          <w:sz w:val="20"/>
        </w:rPr>
        <w:t xml:space="preserve"> on </w:t>
      </w:r>
      <w:proofErr w:type="spellStart"/>
      <w:r w:rsidR="00651775">
        <w:rPr>
          <w:rFonts w:ascii="Times New Roman" w:hAnsi="Times New Roman" w:cs="Times New Roman"/>
          <w:color w:val="222222"/>
          <w:sz w:val="20"/>
        </w:rPr>
        <w:t>Callisto</w:t>
      </w:r>
      <w:proofErr w:type="spellEnd"/>
      <w:r w:rsidR="00651775">
        <w:rPr>
          <w:rFonts w:ascii="Times New Roman" w:hAnsi="Times New Roman" w:cs="Times New Roman"/>
          <w:color w:val="222222"/>
          <w:sz w:val="20"/>
        </w:rPr>
        <w:t xml:space="preserve"> were best characterized in images &lt;50 m/pixel.  Likewise compositional evaluation of this feature class on Pluto and Charon</w:t>
      </w:r>
      <w:r w:rsidR="00B63E8A">
        <w:rPr>
          <w:rFonts w:ascii="Times New Roman" w:hAnsi="Times New Roman" w:cs="Times New Roman"/>
          <w:color w:val="222222"/>
          <w:sz w:val="20"/>
        </w:rPr>
        <w:t>, for instance,</w:t>
      </w:r>
      <w:r w:rsidR="00651775">
        <w:rPr>
          <w:rFonts w:ascii="Times New Roman" w:hAnsi="Times New Roman" w:cs="Times New Roman"/>
          <w:color w:val="222222"/>
          <w:sz w:val="20"/>
        </w:rPr>
        <w:t xml:space="preserve"> were best done with imaging spectroscopy of at least </w:t>
      </w:r>
      <w:r w:rsidR="00B63E8A">
        <w:rPr>
          <w:rFonts w:ascii="Times New Roman" w:hAnsi="Times New Roman" w:cs="Times New Roman"/>
          <w:color w:val="222222"/>
          <w:sz w:val="20"/>
        </w:rPr>
        <w:t>~</w:t>
      </w:r>
      <w:r w:rsidR="00651775">
        <w:rPr>
          <w:rFonts w:ascii="Times New Roman" w:hAnsi="Times New Roman" w:cs="Times New Roman"/>
          <w:color w:val="222222"/>
          <w:sz w:val="20"/>
        </w:rPr>
        <w:t>1 km/pixel</w:t>
      </w:r>
      <w:r w:rsidR="00B63E8A">
        <w:rPr>
          <w:rFonts w:ascii="Times New Roman" w:hAnsi="Times New Roman" w:cs="Times New Roman"/>
          <w:color w:val="222222"/>
          <w:sz w:val="20"/>
        </w:rPr>
        <w:t xml:space="preserve"> spatial resolution</w:t>
      </w:r>
      <w:r w:rsidR="00651775">
        <w:rPr>
          <w:rFonts w:ascii="Times New Roman" w:hAnsi="Times New Roman" w:cs="Times New Roman"/>
          <w:color w:val="222222"/>
          <w:sz w:val="20"/>
        </w:rPr>
        <w:t xml:space="preserve"> </w:t>
      </w:r>
      <w:r w:rsidR="00B63E8A">
        <w:rPr>
          <w:rFonts w:ascii="Times New Roman" w:hAnsi="Times New Roman" w:cs="Times New Roman"/>
          <w:color w:val="222222"/>
          <w:sz w:val="20"/>
        </w:rPr>
        <w:t xml:space="preserve">and ~6 nm </w:t>
      </w:r>
      <w:r w:rsidR="00ED264D">
        <w:rPr>
          <w:rFonts w:ascii="Times New Roman" w:hAnsi="Times New Roman" w:cs="Times New Roman"/>
          <w:color w:val="222222"/>
          <w:sz w:val="20"/>
        </w:rPr>
        <w:t>spectral resolution</w:t>
      </w:r>
      <w:r w:rsidR="00B63E8A">
        <w:rPr>
          <w:rFonts w:ascii="Times New Roman" w:hAnsi="Times New Roman" w:cs="Times New Roman"/>
          <w:color w:val="222222"/>
          <w:sz w:val="20"/>
        </w:rPr>
        <w:t xml:space="preserve"> across a range of at least 1.2 to 2.5 </w:t>
      </w:r>
      <w:r w:rsidR="00B63E8A" w:rsidRPr="00B63E8A">
        <w:rPr>
          <w:rFonts w:ascii="Symbol" w:hAnsi="Symbol" w:cs="Times New Roman"/>
          <w:color w:val="222222"/>
          <w:sz w:val="20"/>
        </w:rPr>
        <w:t>m</w:t>
      </w:r>
      <w:r w:rsidR="00B63E8A">
        <w:rPr>
          <w:rFonts w:ascii="Times New Roman" w:hAnsi="Times New Roman" w:cs="Times New Roman"/>
          <w:color w:val="222222"/>
          <w:sz w:val="20"/>
        </w:rPr>
        <w:t>m.</w:t>
      </w:r>
      <w:r w:rsidR="00ED264D">
        <w:rPr>
          <w:rFonts w:ascii="Times New Roman" w:hAnsi="Times New Roman" w:cs="Times New Roman"/>
          <w:color w:val="222222"/>
          <w:sz w:val="20"/>
        </w:rPr>
        <w:t xml:space="preserve">  </w:t>
      </w:r>
      <w:r w:rsidR="00B5714A" w:rsidRPr="00B5714A">
        <w:rPr>
          <w:rFonts w:ascii="Times New Roman" w:hAnsi="Times New Roman" w:cs="Times New Roman"/>
          <w:sz w:val="20"/>
          <w:szCs w:val="20"/>
        </w:rPr>
        <w:t xml:space="preserve">UV </w:t>
      </w:r>
      <w:r w:rsidR="00460171">
        <w:rPr>
          <w:rFonts w:ascii="Times New Roman" w:hAnsi="Times New Roman" w:cs="Times New Roman"/>
          <w:sz w:val="20"/>
          <w:szCs w:val="20"/>
        </w:rPr>
        <w:t>and</w:t>
      </w:r>
      <w:r w:rsidR="00B5714A" w:rsidRPr="00B5714A">
        <w:rPr>
          <w:rFonts w:ascii="Times New Roman" w:hAnsi="Times New Roman" w:cs="Times New Roman"/>
          <w:sz w:val="20"/>
          <w:szCs w:val="20"/>
        </w:rPr>
        <w:t xml:space="preserve"> thermal IR</w:t>
      </w:r>
      <w:r w:rsidR="00B5714A">
        <w:rPr>
          <w:rFonts w:ascii="Times New Roman" w:hAnsi="Times New Roman" w:cs="Times New Roman"/>
          <w:sz w:val="20"/>
          <w:szCs w:val="20"/>
        </w:rPr>
        <w:t xml:space="preserve"> measurements of this feature class would also be potentially useful.  If at all possible UOP should arrive to collect data prior to the next equinox so that both poles of the satellites can be examined.</w:t>
      </w:r>
    </w:p>
    <w:p w14:paraId="6F685399" w14:textId="775CE09F" w:rsidR="006824D5" w:rsidRPr="00C22CA2" w:rsidRDefault="006824D5" w:rsidP="008C6380">
      <w:pPr>
        <w:pStyle w:val="NoSpacing"/>
        <w:jc w:val="both"/>
        <w:rPr>
          <w:rFonts w:ascii="Times New Roman" w:hAnsi="Times New Roman"/>
        </w:rPr>
      </w:pPr>
    </w:p>
    <w:sectPr w:rsidR="006824D5" w:rsidRPr="00C22CA2" w:rsidSect="00C22CA2">
      <w:type w:val="continuous"/>
      <w:pgSz w:w="12240" w:h="15840"/>
      <w:pgMar w:top="1440" w:right="1440" w:bottom="1440" w:left="1440" w:header="720" w:footer="720" w:gutter="0"/>
      <w:cols w:num="2" w:space="47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3A3C" w14:textId="77777777" w:rsidR="00CA4E1C" w:rsidRDefault="00CA4E1C">
      <w:r>
        <w:separator/>
      </w:r>
    </w:p>
  </w:endnote>
  <w:endnote w:type="continuationSeparator" w:id="0">
    <w:p w14:paraId="4F7BB529" w14:textId="77777777" w:rsidR="00CA4E1C" w:rsidRDefault="00CA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B705" w14:textId="77777777" w:rsidR="006A128D" w:rsidRDefault="006A12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2924" w14:textId="77777777" w:rsidR="00CA4E1C" w:rsidRDefault="00CA4E1C">
      <w:r>
        <w:separator/>
      </w:r>
    </w:p>
  </w:footnote>
  <w:footnote w:type="continuationSeparator" w:id="0">
    <w:p w14:paraId="569FDE1A" w14:textId="77777777" w:rsidR="00CA4E1C" w:rsidRDefault="00CA4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F282" w14:textId="77777777" w:rsidR="006A128D" w:rsidRDefault="006A128D">
    <w:pPr>
      <w:pStyle w:val="Header"/>
      <w:jc w:val="center"/>
    </w:pPr>
    <w:r>
      <w:t>SHORT TITLE HERE:  A. B. Author and C. D.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A2"/>
    <w:rsid w:val="000147A0"/>
    <w:rsid w:val="000275A9"/>
    <w:rsid w:val="000813B3"/>
    <w:rsid w:val="000A76A6"/>
    <w:rsid w:val="00122099"/>
    <w:rsid w:val="001510C6"/>
    <w:rsid w:val="001C6380"/>
    <w:rsid w:val="002412FE"/>
    <w:rsid w:val="00266950"/>
    <w:rsid w:val="00317895"/>
    <w:rsid w:val="00393D80"/>
    <w:rsid w:val="003A58C1"/>
    <w:rsid w:val="003B07C0"/>
    <w:rsid w:val="003C05E3"/>
    <w:rsid w:val="00455099"/>
    <w:rsid w:val="00460171"/>
    <w:rsid w:val="005A05C4"/>
    <w:rsid w:val="00622526"/>
    <w:rsid w:val="00651775"/>
    <w:rsid w:val="006824D5"/>
    <w:rsid w:val="006A128D"/>
    <w:rsid w:val="006A6108"/>
    <w:rsid w:val="006B5BA8"/>
    <w:rsid w:val="007666A2"/>
    <w:rsid w:val="0077301E"/>
    <w:rsid w:val="00792E20"/>
    <w:rsid w:val="007B5FDB"/>
    <w:rsid w:val="007F58C3"/>
    <w:rsid w:val="008C6380"/>
    <w:rsid w:val="009316AB"/>
    <w:rsid w:val="00997F0B"/>
    <w:rsid w:val="00A35664"/>
    <w:rsid w:val="00A365A6"/>
    <w:rsid w:val="00A4519B"/>
    <w:rsid w:val="00A53250"/>
    <w:rsid w:val="00AB4267"/>
    <w:rsid w:val="00AB69BF"/>
    <w:rsid w:val="00AC5C33"/>
    <w:rsid w:val="00B003DA"/>
    <w:rsid w:val="00B26AF6"/>
    <w:rsid w:val="00B5714A"/>
    <w:rsid w:val="00B63E8A"/>
    <w:rsid w:val="00B81EE3"/>
    <w:rsid w:val="00BB11C1"/>
    <w:rsid w:val="00BE0129"/>
    <w:rsid w:val="00C227C9"/>
    <w:rsid w:val="00C22CA2"/>
    <w:rsid w:val="00C957BF"/>
    <w:rsid w:val="00CA4E1C"/>
    <w:rsid w:val="00CB51C9"/>
    <w:rsid w:val="00CE15F3"/>
    <w:rsid w:val="00CE5701"/>
    <w:rsid w:val="00E17679"/>
    <w:rsid w:val="00E43065"/>
    <w:rsid w:val="00E44D8C"/>
    <w:rsid w:val="00EC3001"/>
    <w:rsid w:val="00ED264D"/>
    <w:rsid w:val="00ED6D9D"/>
    <w:rsid w:val="00F00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4B0A2"/>
  <w14:defaultImageDpi w14:val="0"/>
  <w15:docId w15:val="{265F17DB-641F-413D-82F7-EA6C782C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A2"/>
    <w:rPr>
      <w:rFonts w:ascii="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3065"/>
    <w:rPr>
      <w:rFonts w:asciiTheme="minorHAnsi" w:hAnsiTheme="minorHAnsi" w:cs="Times New Roman"/>
      <w:color w:val="0000FF"/>
      <w:u w:val="single"/>
    </w:rPr>
  </w:style>
  <w:style w:type="paragraph" w:styleId="NoSpacing">
    <w:name w:val="No Spacing"/>
    <w:uiPriority w:val="1"/>
    <w:qFormat/>
    <w:rsid w:val="003A58C1"/>
    <w:rPr>
      <w:rFonts w:eastAsiaTheme="minorEastAsia" w:cs="Times New Roman"/>
    </w:rPr>
  </w:style>
  <w:style w:type="table" w:customStyle="1" w:styleId="Style1">
    <w:name w:val="Style1"/>
    <w:basedOn w:val="TableNormal"/>
    <w:uiPriority w:val="99"/>
    <w:rsid w:val="002412FE"/>
    <w:rPr>
      <w:rFonts w:eastAsiaTheme="minorEastAsia" w:cs="Times New Roman"/>
      <w:color w:val="000000" w:themeColor="text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rFonts w:cs="Times New Roman"/>
        <w:b/>
        <w:color w:val="FFFFFF" w:themeColor="background1"/>
      </w:rPr>
      <w:tblPr/>
      <w:tcPr>
        <w:shd w:val="clear" w:color="auto" w:fill="31849B" w:themeFill="accent5" w:themeFillShade="BF"/>
      </w:tcPr>
    </w:tblStylePr>
    <w:tblStylePr w:type="band1Horz">
      <w:rPr>
        <w:rFonts w:cs="Times New Roman"/>
      </w:rPr>
      <w:tblPr/>
      <w:tcPr>
        <w:shd w:val="clear" w:color="auto" w:fill="DAEEF3" w:themeFill="accent5" w:themeFillTint="33"/>
      </w:tcPr>
    </w:tblStylePr>
  </w:style>
  <w:style w:type="table" w:styleId="GridTable4-Accent6">
    <w:name w:val="Grid Table 4 Accent 6"/>
    <w:basedOn w:val="TableNormal"/>
    <w:uiPriority w:val="49"/>
    <w:rsid w:val="00CE15F3"/>
    <w:rPr>
      <w:rFonts w:eastAsiaTheme="minorEastAsia"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Times New Roman"/>
        <w:b/>
        <w:bCs/>
      </w:rPr>
      <w:tblPr/>
      <w:tcPr>
        <w:tcBorders>
          <w:top w:val="double" w:sz="4" w:space="0" w:color="F79646" w:themeColor="accent6"/>
        </w:tcBorders>
      </w:tcPr>
    </w:tblStylePr>
    <w:tblStylePr w:type="firstCol">
      <w:rPr>
        <w:rFonts w:cs="Times New Roman"/>
        <w:b w:val="0"/>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paragraph" w:styleId="Footer">
    <w:name w:val="footer"/>
    <w:basedOn w:val="Normal"/>
    <w:link w:val="FooterChar"/>
    <w:uiPriority w:val="99"/>
    <w:rsid w:val="00C22CA2"/>
    <w:pPr>
      <w:tabs>
        <w:tab w:val="center" w:pos="4320"/>
        <w:tab w:val="right" w:pos="8640"/>
      </w:tabs>
    </w:pPr>
  </w:style>
  <w:style w:type="character" w:customStyle="1" w:styleId="FooterChar">
    <w:name w:val="Footer Char"/>
    <w:basedOn w:val="DefaultParagraphFont"/>
    <w:link w:val="Footer"/>
    <w:uiPriority w:val="99"/>
    <w:locked/>
    <w:rsid w:val="00C22CA2"/>
    <w:rPr>
      <w:rFonts w:ascii="Times New Roman" w:hAnsi="Times New Roman" w:cs="Times New Roman"/>
      <w:sz w:val="20"/>
      <w:szCs w:val="20"/>
    </w:rPr>
  </w:style>
  <w:style w:type="paragraph" w:styleId="Header">
    <w:name w:val="header"/>
    <w:basedOn w:val="Normal"/>
    <w:link w:val="HeaderChar"/>
    <w:uiPriority w:val="99"/>
    <w:rsid w:val="00C22CA2"/>
    <w:pPr>
      <w:tabs>
        <w:tab w:val="center" w:pos="4320"/>
        <w:tab w:val="right" w:pos="8640"/>
      </w:tabs>
    </w:pPr>
  </w:style>
  <w:style w:type="character" w:customStyle="1" w:styleId="HeaderChar">
    <w:name w:val="Header Char"/>
    <w:basedOn w:val="DefaultParagraphFont"/>
    <w:link w:val="Header"/>
    <w:uiPriority w:val="99"/>
    <w:locked/>
    <w:rsid w:val="00C22CA2"/>
    <w:rPr>
      <w:rFonts w:ascii="Times New Roman" w:hAnsi="Times New Roman" w:cs="Times New Roman"/>
      <w:sz w:val="20"/>
      <w:szCs w:val="20"/>
    </w:rPr>
  </w:style>
  <w:style w:type="paragraph" w:styleId="NormalWeb">
    <w:name w:val="Normal (Web)"/>
    <w:basedOn w:val="Normal"/>
    <w:uiPriority w:val="99"/>
    <w:unhideWhenUsed/>
    <w:rsid w:val="00C22CA2"/>
    <w:pPr>
      <w:spacing w:before="100" w:beforeAutospacing="1" w:after="100" w:afterAutospacing="1"/>
    </w:pPr>
    <w:rPr>
      <w:rFonts w:ascii="Calibri" w:hAnsi="Calibri" w:cs="Calibri"/>
      <w:sz w:val="24"/>
      <w:szCs w:val="24"/>
    </w:rPr>
  </w:style>
  <w:style w:type="character" w:styleId="Strong">
    <w:name w:val="Strong"/>
    <w:basedOn w:val="DefaultParagraphFont"/>
    <w:uiPriority w:val="22"/>
    <w:qFormat/>
    <w:rsid w:val="00C22CA2"/>
    <w:rPr>
      <w:b/>
    </w:rPr>
  </w:style>
  <w:style w:type="character" w:styleId="Emphasis">
    <w:name w:val="Emphasis"/>
    <w:basedOn w:val="DefaultParagraphFont"/>
    <w:uiPriority w:val="20"/>
    <w:qFormat/>
    <w:rsid w:val="00C22CA2"/>
    <w:rPr>
      <w:i/>
    </w:rPr>
  </w:style>
  <w:style w:type="character" w:styleId="FollowedHyperlink">
    <w:name w:val="FollowedHyperlink"/>
    <w:basedOn w:val="DefaultParagraphFont"/>
    <w:uiPriority w:val="99"/>
    <w:semiHidden/>
    <w:unhideWhenUsed/>
    <w:rsid w:val="000813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E198F-56A1-4A87-9FA2-0A4ABF3B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736</Words>
  <Characters>4001</Characters>
  <Application>Microsoft Office Word</Application>
  <DocSecurity>0</DocSecurity>
  <Lines>117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Linda</dc:creator>
  <cp:keywords/>
  <dc:description/>
  <cp:lastModifiedBy>Carrie Chavez</cp:lastModifiedBy>
  <cp:revision>2</cp:revision>
  <cp:lastPrinted>2023-04-05T00:04:00Z</cp:lastPrinted>
  <dcterms:created xsi:type="dcterms:W3CDTF">2024-01-09T14:06:00Z</dcterms:created>
  <dcterms:modified xsi:type="dcterms:W3CDTF">2024-01-09T14:06:00Z</dcterms:modified>
</cp:coreProperties>
</file>