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2A97A" w14:textId="77777777" w:rsidR="00481631" w:rsidRDefault="00481631" w:rsidP="00481631">
      <w:pPr>
        <w:rPr>
          <w:rFonts w:ascii="Arial" w:eastAsia="Times New Roman" w:hAnsi="Arial" w:cs="Arial"/>
          <w:b/>
          <w:bCs/>
          <w:color w:val="000000"/>
          <w:spacing w:val="-2"/>
          <w:kern w:val="0"/>
          <w:sz w:val="22"/>
          <w:szCs w:val="22"/>
          <w:lang w:val="en-GB"/>
          <w14:ligatures w14:val="none"/>
        </w:rPr>
      </w:pPr>
      <w:r w:rsidRPr="00481631">
        <w:rPr>
          <w:rFonts w:ascii="Arial" w:eastAsia="Times New Roman" w:hAnsi="Arial" w:cs="Arial"/>
          <w:b/>
          <w:bCs/>
          <w:color w:val="000000"/>
          <w:spacing w:val="-2"/>
          <w:kern w:val="0"/>
          <w:sz w:val="22"/>
          <w:szCs w:val="22"/>
          <w:lang w:val="en-GB"/>
          <w14:ligatures w14:val="none"/>
        </w:rPr>
        <w:t>The role of isotopes in understanding of the formation and evolution of the solar system</w:t>
      </w:r>
    </w:p>
    <w:p w14:paraId="41C381E5" w14:textId="612684BB" w:rsidR="00AB192F" w:rsidRPr="00481631" w:rsidRDefault="00AB192F" w:rsidP="00481631">
      <w:pPr>
        <w:rPr>
          <w:rFonts w:ascii="Calibri" w:eastAsia="Times New Roman" w:hAnsi="Calibri" w:cs="Calibri"/>
          <w:color w:val="000000"/>
          <w:kern w:val="0"/>
          <w:sz w:val="22"/>
          <w:szCs w:val="22"/>
          <w14:ligatures w14:val="none"/>
        </w:rPr>
      </w:pPr>
      <w:r>
        <w:rPr>
          <w:rFonts w:ascii="Arial" w:eastAsia="Times New Roman" w:hAnsi="Arial" w:cs="Arial"/>
          <w:b/>
          <w:bCs/>
          <w:color w:val="000000"/>
          <w:spacing w:val="-2"/>
          <w:kern w:val="0"/>
          <w:sz w:val="22"/>
          <w:szCs w:val="22"/>
          <w:lang w:val="en-GB"/>
          <w14:ligatures w14:val="none"/>
        </w:rPr>
        <w:t>Kathleen E. Mandt NASA Goddard Space Flight Center</w:t>
      </w:r>
    </w:p>
    <w:p w14:paraId="1E2C96F9" w14:textId="77777777" w:rsidR="00481631" w:rsidRPr="00481631" w:rsidRDefault="00481631" w:rsidP="00481631">
      <w:pPr>
        <w:rPr>
          <w:rFonts w:ascii="Calibri" w:eastAsia="Times New Roman" w:hAnsi="Calibri" w:cs="Calibri"/>
          <w:color w:val="000000"/>
          <w:kern w:val="0"/>
          <w:sz w:val="22"/>
          <w:szCs w:val="22"/>
          <w14:ligatures w14:val="none"/>
        </w:rPr>
      </w:pPr>
      <w:r w:rsidRPr="00481631">
        <w:rPr>
          <w:rFonts w:ascii="Arial" w:eastAsia="Times New Roman" w:hAnsi="Arial" w:cs="Arial"/>
          <w:b/>
          <w:bCs/>
          <w:color w:val="000000"/>
          <w:spacing w:val="-2"/>
          <w:kern w:val="0"/>
          <w:sz w:val="22"/>
          <w:szCs w:val="22"/>
          <w:lang w:val="en-GB"/>
          <w14:ligatures w14:val="none"/>
        </w:rPr>
        <w:t> </w:t>
      </w:r>
    </w:p>
    <w:p w14:paraId="2FA88648" w14:textId="77777777" w:rsidR="00481631" w:rsidRPr="00481631" w:rsidRDefault="00481631" w:rsidP="00481631">
      <w:pPr>
        <w:jc w:val="both"/>
        <w:rPr>
          <w:rFonts w:ascii="Calibri" w:eastAsia="Times New Roman" w:hAnsi="Calibri" w:cs="Calibri"/>
          <w:color w:val="000000"/>
          <w:kern w:val="0"/>
          <w:sz w:val="22"/>
          <w:szCs w:val="22"/>
          <w14:ligatures w14:val="none"/>
        </w:rPr>
      </w:pPr>
      <w:r w:rsidRPr="00481631">
        <w:rPr>
          <w:rFonts w:ascii="Arial" w:eastAsia="Times New Roman" w:hAnsi="Arial" w:cs="Arial"/>
          <w:color w:val="000000"/>
          <w:kern w:val="0"/>
          <w:sz w:val="22"/>
          <w:szCs w:val="22"/>
          <w14:ligatures w14:val="none"/>
        </w:rPr>
        <w:t>Comparative planetology via isotope geochemistry has played a critical role in advancing our understanding of the inventories of both volatiles and organics in the atmospheres of solar system bodies. For example, the </w:t>
      </w:r>
      <w:r w:rsidRPr="00481631">
        <w:rPr>
          <w:rFonts w:ascii="Arial" w:eastAsia="Times New Roman" w:hAnsi="Arial" w:cs="Arial"/>
          <w:color w:val="000000"/>
          <w:kern w:val="0"/>
          <w:sz w:val="22"/>
          <w:szCs w:val="22"/>
          <w:vertAlign w:val="superscript"/>
          <w14:ligatures w14:val="none"/>
        </w:rPr>
        <w:t>12</w:t>
      </w:r>
      <w:r w:rsidRPr="00481631">
        <w:rPr>
          <w:rFonts w:ascii="Arial" w:eastAsia="Times New Roman" w:hAnsi="Arial" w:cs="Arial"/>
          <w:color w:val="000000"/>
          <w:kern w:val="0"/>
          <w:sz w:val="22"/>
          <w:szCs w:val="22"/>
          <w14:ligatures w14:val="none"/>
        </w:rPr>
        <w:t>C/</w:t>
      </w:r>
      <w:r w:rsidRPr="00481631">
        <w:rPr>
          <w:rFonts w:ascii="Arial" w:eastAsia="Times New Roman" w:hAnsi="Arial" w:cs="Arial"/>
          <w:color w:val="000000"/>
          <w:kern w:val="0"/>
          <w:sz w:val="22"/>
          <w:szCs w:val="22"/>
          <w:vertAlign w:val="superscript"/>
          <w14:ligatures w14:val="none"/>
        </w:rPr>
        <w:t>13</w:t>
      </w:r>
      <w:r w:rsidRPr="00481631">
        <w:rPr>
          <w:rFonts w:ascii="Arial" w:eastAsia="Times New Roman" w:hAnsi="Arial" w:cs="Arial"/>
          <w:color w:val="000000"/>
          <w:kern w:val="0"/>
          <w:sz w:val="22"/>
          <w:szCs w:val="22"/>
          <w14:ligatures w14:val="none"/>
        </w:rPr>
        <w:t>C measured from atmospheric methane in Titan provided upper limits on the amount of time that methane has been present in the atmosphere, demonstrating that methane was only present in Titan’s atmosphere during at most the last 1 billion years (</w:t>
      </w:r>
      <w:proofErr w:type="spellStart"/>
      <w:r w:rsidRPr="00481631">
        <w:rPr>
          <w:rFonts w:ascii="Arial" w:eastAsia="Times New Roman" w:hAnsi="Arial" w:cs="Arial"/>
          <w:color w:val="000000"/>
          <w:kern w:val="0"/>
          <w:sz w:val="22"/>
          <w:szCs w:val="22"/>
          <w14:ligatures w14:val="none"/>
        </w:rPr>
        <w:t>Gyr</w:t>
      </w:r>
      <w:proofErr w:type="spellEnd"/>
      <w:r w:rsidRPr="00481631">
        <w:rPr>
          <w:rFonts w:ascii="Arial" w:eastAsia="Times New Roman" w:hAnsi="Arial" w:cs="Arial"/>
          <w:color w:val="000000"/>
          <w:kern w:val="0"/>
          <w:sz w:val="22"/>
          <w:szCs w:val="22"/>
          <w14:ligatures w14:val="none"/>
        </w:rPr>
        <w:t>). As another example, measurements of </w:t>
      </w:r>
      <w:r w:rsidRPr="00481631">
        <w:rPr>
          <w:rFonts w:ascii="Arial" w:eastAsia="Times New Roman" w:hAnsi="Arial" w:cs="Arial"/>
          <w:color w:val="000000"/>
          <w:kern w:val="0"/>
          <w:sz w:val="22"/>
          <w:szCs w:val="22"/>
          <w:vertAlign w:val="superscript"/>
          <w14:ligatures w14:val="none"/>
        </w:rPr>
        <w:t>14</w:t>
      </w:r>
      <w:r w:rsidRPr="00481631">
        <w:rPr>
          <w:rFonts w:ascii="Arial" w:eastAsia="Times New Roman" w:hAnsi="Arial" w:cs="Arial"/>
          <w:color w:val="000000"/>
          <w:kern w:val="0"/>
          <w:sz w:val="22"/>
          <w:szCs w:val="22"/>
          <w14:ligatures w14:val="none"/>
        </w:rPr>
        <w:t>N/</w:t>
      </w:r>
      <w:r w:rsidRPr="00481631">
        <w:rPr>
          <w:rFonts w:ascii="Arial" w:eastAsia="Times New Roman" w:hAnsi="Arial" w:cs="Arial"/>
          <w:color w:val="000000"/>
          <w:kern w:val="0"/>
          <w:sz w:val="22"/>
          <w:szCs w:val="22"/>
          <w:vertAlign w:val="superscript"/>
          <w14:ligatures w14:val="none"/>
        </w:rPr>
        <w:t>15</w:t>
      </w:r>
      <w:r w:rsidRPr="00481631">
        <w:rPr>
          <w:rFonts w:ascii="Arial" w:eastAsia="Times New Roman" w:hAnsi="Arial" w:cs="Arial"/>
          <w:color w:val="000000"/>
          <w:kern w:val="0"/>
          <w:sz w:val="22"/>
          <w:szCs w:val="22"/>
          <w14:ligatures w14:val="none"/>
        </w:rPr>
        <w:t>N in atmospheric HCN and N</w:t>
      </w:r>
      <w:r w:rsidRPr="00481631">
        <w:rPr>
          <w:rFonts w:ascii="Arial" w:eastAsia="Times New Roman" w:hAnsi="Arial" w:cs="Arial"/>
          <w:color w:val="000000"/>
          <w:kern w:val="0"/>
          <w:sz w:val="22"/>
          <w:szCs w:val="22"/>
          <w:vertAlign w:val="subscript"/>
          <w14:ligatures w14:val="none"/>
        </w:rPr>
        <w:t>2</w:t>
      </w:r>
      <w:r w:rsidRPr="00481631">
        <w:rPr>
          <w:rFonts w:ascii="Arial" w:eastAsia="Times New Roman" w:hAnsi="Arial" w:cs="Arial"/>
          <w:color w:val="000000"/>
          <w:kern w:val="0"/>
          <w:sz w:val="22"/>
          <w:szCs w:val="22"/>
          <w14:ligatures w14:val="none"/>
        </w:rPr>
        <w:t> provide direct evidence of how photochemistry influences stable isotopes. These observations were used to determine that Titan’s nitrogen originated as NH</w:t>
      </w:r>
      <w:r w:rsidRPr="00481631">
        <w:rPr>
          <w:rFonts w:ascii="Arial" w:eastAsia="Times New Roman" w:hAnsi="Arial" w:cs="Arial"/>
          <w:color w:val="000000"/>
          <w:kern w:val="0"/>
          <w:sz w:val="22"/>
          <w:szCs w:val="22"/>
          <w:vertAlign w:val="subscript"/>
          <w14:ligatures w14:val="none"/>
        </w:rPr>
        <w:t>3</w:t>
      </w:r>
      <w:r w:rsidRPr="00481631">
        <w:rPr>
          <w:rFonts w:ascii="Arial" w:eastAsia="Times New Roman" w:hAnsi="Arial" w:cs="Arial"/>
          <w:color w:val="000000"/>
          <w:kern w:val="0"/>
          <w:sz w:val="22"/>
          <w:szCs w:val="22"/>
          <w14:ligatures w14:val="none"/>
        </w:rPr>
        <w:t xml:space="preserve"> in the </w:t>
      </w:r>
      <w:proofErr w:type="spellStart"/>
      <w:r w:rsidRPr="00481631">
        <w:rPr>
          <w:rFonts w:ascii="Arial" w:eastAsia="Times New Roman" w:hAnsi="Arial" w:cs="Arial"/>
          <w:color w:val="000000"/>
          <w:kern w:val="0"/>
          <w:sz w:val="22"/>
          <w:szCs w:val="22"/>
          <w14:ligatures w14:val="none"/>
        </w:rPr>
        <w:t>protosolar</w:t>
      </w:r>
      <w:proofErr w:type="spellEnd"/>
      <w:r w:rsidRPr="00481631">
        <w:rPr>
          <w:rFonts w:ascii="Arial" w:eastAsia="Times New Roman" w:hAnsi="Arial" w:cs="Arial"/>
          <w:color w:val="000000"/>
          <w:kern w:val="0"/>
          <w:sz w:val="22"/>
          <w:szCs w:val="22"/>
          <w14:ligatures w14:val="none"/>
        </w:rPr>
        <w:t xml:space="preserve"> nebula, thus constraining the origin and delivery of volatiles to the Saturnian moon Titan. These measurements of </w:t>
      </w:r>
      <w:r w:rsidRPr="00481631">
        <w:rPr>
          <w:rFonts w:ascii="Arial" w:eastAsia="Times New Roman" w:hAnsi="Arial" w:cs="Arial"/>
          <w:color w:val="000000"/>
          <w:kern w:val="0"/>
          <w:sz w:val="22"/>
          <w:szCs w:val="22"/>
          <w:vertAlign w:val="superscript"/>
          <w14:ligatures w14:val="none"/>
        </w:rPr>
        <w:t>12</w:t>
      </w:r>
      <w:r w:rsidRPr="00481631">
        <w:rPr>
          <w:rFonts w:ascii="Arial" w:eastAsia="Times New Roman" w:hAnsi="Arial" w:cs="Arial"/>
          <w:color w:val="000000"/>
          <w:kern w:val="0"/>
          <w:sz w:val="22"/>
          <w:szCs w:val="22"/>
          <w14:ligatures w14:val="none"/>
        </w:rPr>
        <w:t>C/</w:t>
      </w:r>
      <w:r w:rsidRPr="00481631">
        <w:rPr>
          <w:rFonts w:ascii="Arial" w:eastAsia="Times New Roman" w:hAnsi="Arial" w:cs="Arial"/>
          <w:color w:val="000000"/>
          <w:kern w:val="0"/>
          <w:sz w:val="22"/>
          <w:szCs w:val="22"/>
          <w:vertAlign w:val="superscript"/>
          <w14:ligatures w14:val="none"/>
        </w:rPr>
        <w:t>13</w:t>
      </w:r>
      <w:r w:rsidRPr="00481631">
        <w:rPr>
          <w:rFonts w:ascii="Arial" w:eastAsia="Times New Roman" w:hAnsi="Arial" w:cs="Arial"/>
          <w:color w:val="000000"/>
          <w:kern w:val="0"/>
          <w:sz w:val="22"/>
          <w:szCs w:val="22"/>
          <w14:ligatures w14:val="none"/>
        </w:rPr>
        <w:t>C and </w:t>
      </w:r>
      <w:r w:rsidRPr="00481631">
        <w:rPr>
          <w:rFonts w:ascii="Arial" w:eastAsia="Times New Roman" w:hAnsi="Arial" w:cs="Arial"/>
          <w:color w:val="000000"/>
          <w:kern w:val="0"/>
          <w:sz w:val="22"/>
          <w:szCs w:val="22"/>
          <w:vertAlign w:val="superscript"/>
          <w14:ligatures w14:val="none"/>
        </w:rPr>
        <w:t>14</w:t>
      </w:r>
      <w:r w:rsidRPr="00481631">
        <w:rPr>
          <w:rFonts w:ascii="Arial" w:eastAsia="Times New Roman" w:hAnsi="Arial" w:cs="Arial"/>
          <w:color w:val="000000"/>
          <w:kern w:val="0"/>
          <w:sz w:val="22"/>
          <w:szCs w:val="22"/>
          <w14:ligatures w14:val="none"/>
        </w:rPr>
        <w:t>N/</w:t>
      </w:r>
      <w:r w:rsidRPr="00481631">
        <w:rPr>
          <w:rFonts w:ascii="Arial" w:eastAsia="Times New Roman" w:hAnsi="Arial" w:cs="Arial"/>
          <w:color w:val="000000"/>
          <w:kern w:val="0"/>
          <w:sz w:val="22"/>
          <w:szCs w:val="22"/>
          <w:vertAlign w:val="superscript"/>
          <w14:ligatures w14:val="none"/>
        </w:rPr>
        <w:t>15</w:t>
      </w:r>
      <w:r w:rsidRPr="00481631">
        <w:rPr>
          <w:rFonts w:ascii="Arial" w:eastAsia="Times New Roman" w:hAnsi="Arial" w:cs="Arial"/>
          <w:color w:val="000000"/>
          <w:kern w:val="0"/>
          <w:sz w:val="22"/>
          <w:szCs w:val="22"/>
          <w14:ligatures w14:val="none"/>
        </w:rPr>
        <w:t>N in Titan’s atmosphere were obtained with remote and in situ observations from the </w:t>
      </w:r>
      <w:r w:rsidRPr="00481631">
        <w:rPr>
          <w:rFonts w:ascii="Arial" w:eastAsia="Times New Roman" w:hAnsi="Arial" w:cs="Arial"/>
          <w:i/>
          <w:iCs/>
          <w:color w:val="000000"/>
          <w:kern w:val="0"/>
          <w:sz w:val="22"/>
          <w:szCs w:val="22"/>
          <w14:ligatures w14:val="none"/>
        </w:rPr>
        <w:t>Cassini</w:t>
      </w:r>
      <w:r w:rsidRPr="00481631">
        <w:rPr>
          <w:rFonts w:ascii="Arial" w:eastAsia="Times New Roman" w:hAnsi="Arial" w:cs="Arial"/>
          <w:color w:val="000000"/>
          <w:kern w:val="0"/>
          <w:sz w:val="22"/>
          <w:szCs w:val="22"/>
          <w14:ligatures w14:val="none"/>
        </w:rPr>
        <w:t> spacecraft in Saturn orbit. However, combining spacecraft observations like these throughout the solar system with Earth-based telescope observations, including both ground-based and from orbiting telescopes, produces far more powerful results. For example, the lower limit obtained for </w:t>
      </w:r>
      <w:r w:rsidRPr="00481631">
        <w:rPr>
          <w:rFonts w:ascii="Arial" w:eastAsia="Times New Roman" w:hAnsi="Arial" w:cs="Arial"/>
          <w:color w:val="000000"/>
          <w:kern w:val="0"/>
          <w:sz w:val="22"/>
          <w:szCs w:val="22"/>
          <w:vertAlign w:val="superscript"/>
          <w14:ligatures w14:val="none"/>
        </w:rPr>
        <w:t>14</w:t>
      </w:r>
      <w:r w:rsidRPr="00481631">
        <w:rPr>
          <w:rFonts w:ascii="Arial" w:eastAsia="Times New Roman" w:hAnsi="Arial" w:cs="Arial"/>
          <w:color w:val="000000"/>
          <w:kern w:val="0"/>
          <w:sz w:val="22"/>
          <w:szCs w:val="22"/>
          <w14:ligatures w14:val="none"/>
        </w:rPr>
        <w:t>N/</w:t>
      </w:r>
      <w:r w:rsidRPr="00481631">
        <w:rPr>
          <w:rFonts w:ascii="Arial" w:eastAsia="Times New Roman" w:hAnsi="Arial" w:cs="Arial"/>
          <w:color w:val="000000"/>
          <w:kern w:val="0"/>
          <w:sz w:val="22"/>
          <w:szCs w:val="22"/>
          <w:vertAlign w:val="superscript"/>
          <w14:ligatures w14:val="none"/>
        </w:rPr>
        <w:t>15</w:t>
      </w:r>
      <w:r w:rsidRPr="00481631">
        <w:rPr>
          <w:rFonts w:ascii="Arial" w:eastAsia="Times New Roman" w:hAnsi="Arial" w:cs="Arial"/>
          <w:color w:val="000000"/>
          <w:kern w:val="0"/>
          <w:sz w:val="22"/>
          <w:szCs w:val="22"/>
          <w14:ligatures w14:val="none"/>
        </w:rPr>
        <w:t>N in HCN in Pluto’s atmosphere by ALMA combined with </w:t>
      </w:r>
      <w:r w:rsidRPr="00481631">
        <w:rPr>
          <w:rFonts w:ascii="Arial" w:eastAsia="Times New Roman" w:hAnsi="Arial" w:cs="Arial"/>
          <w:i/>
          <w:iCs/>
          <w:color w:val="000000"/>
          <w:kern w:val="0"/>
          <w:sz w:val="22"/>
          <w:szCs w:val="22"/>
          <w14:ligatures w14:val="none"/>
        </w:rPr>
        <w:t>New Horizons</w:t>
      </w:r>
      <w:r w:rsidRPr="00481631">
        <w:rPr>
          <w:rFonts w:ascii="Arial" w:eastAsia="Times New Roman" w:hAnsi="Arial" w:cs="Arial"/>
          <w:color w:val="000000"/>
          <w:kern w:val="0"/>
          <w:sz w:val="22"/>
          <w:szCs w:val="22"/>
          <w14:ligatures w14:val="none"/>
        </w:rPr>
        <w:t xml:space="preserve"> observations of the atmospheric composition provides a valuable tool for determining the origin of nitrogen for Pluto if the influences of condensation and aerosol trapping on isotopes can be constrained. Isotopes measured at Jupiter and Saturn and their moons, combined with composition measurements from comets provide information on giant planet formation processes and primordial conditions when the solar system was forming. In </w:t>
      </w:r>
      <w:proofErr w:type="gramStart"/>
      <w:r w:rsidRPr="00481631">
        <w:rPr>
          <w:rFonts w:ascii="Arial" w:eastAsia="Times New Roman" w:hAnsi="Arial" w:cs="Arial"/>
          <w:color w:val="000000"/>
          <w:kern w:val="0"/>
          <w:sz w:val="22"/>
          <w:szCs w:val="22"/>
          <w14:ligatures w14:val="none"/>
        </w:rPr>
        <w:t>all of</w:t>
      </w:r>
      <w:proofErr w:type="gramEnd"/>
      <w:r w:rsidRPr="00481631">
        <w:rPr>
          <w:rFonts w:ascii="Arial" w:eastAsia="Times New Roman" w:hAnsi="Arial" w:cs="Arial"/>
          <w:color w:val="000000"/>
          <w:kern w:val="0"/>
          <w:sz w:val="22"/>
          <w:szCs w:val="22"/>
          <w14:ligatures w14:val="none"/>
        </w:rPr>
        <w:t xml:space="preserve"> these studies, measurements of isotope ratios in comets have served as a reference for processes in the </w:t>
      </w:r>
      <w:proofErr w:type="spellStart"/>
      <w:r w:rsidRPr="00481631">
        <w:rPr>
          <w:rFonts w:ascii="Arial" w:eastAsia="Times New Roman" w:hAnsi="Arial" w:cs="Arial"/>
          <w:color w:val="000000"/>
          <w:kern w:val="0"/>
          <w:sz w:val="22"/>
          <w:szCs w:val="22"/>
          <w14:ligatures w14:val="none"/>
        </w:rPr>
        <w:t>protosolar</w:t>
      </w:r>
      <w:proofErr w:type="spellEnd"/>
      <w:r w:rsidRPr="00481631">
        <w:rPr>
          <w:rFonts w:ascii="Arial" w:eastAsia="Times New Roman" w:hAnsi="Arial" w:cs="Arial"/>
          <w:color w:val="000000"/>
          <w:kern w:val="0"/>
          <w:sz w:val="22"/>
          <w:szCs w:val="22"/>
          <w14:ligatures w14:val="none"/>
        </w:rPr>
        <w:t xml:space="preserve"> nebula.</w:t>
      </w:r>
    </w:p>
    <w:p w14:paraId="6F3437FE" w14:textId="77777777" w:rsidR="00481631" w:rsidRPr="00481631" w:rsidRDefault="00481631" w:rsidP="00481631">
      <w:pPr>
        <w:rPr>
          <w:rFonts w:ascii="Times New Roman" w:eastAsia="Times New Roman" w:hAnsi="Times New Roman" w:cs="Times New Roman"/>
          <w:kern w:val="0"/>
          <w14:ligatures w14:val="none"/>
        </w:rPr>
      </w:pPr>
    </w:p>
    <w:p w14:paraId="2893F393" w14:textId="77777777" w:rsidR="00507140" w:rsidRDefault="00507140"/>
    <w:sectPr w:rsidR="005071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631"/>
    <w:rsid w:val="002F46CE"/>
    <w:rsid w:val="00481631"/>
    <w:rsid w:val="00507140"/>
    <w:rsid w:val="00AB192F"/>
    <w:rsid w:val="00BA5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D59ED4"/>
  <w15:chartTrackingRefBased/>
  <w15:docId w15:val="{A3D429E3-5EBB-B644-98F4-4810BC505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816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85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299</Words>
  <Characters>1709</Characters>
  <Application>Microsoft Office Word</Application>
  <DocSecurity>0</DocSecurity>
  <Lines>14</Lines>
  <Paragraphs>4</Paragraphs>
  <ScaleCrop>false</ScaleCrop>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Mandt, Kathy {she,her} (GSFC-6930)</dc:creator>
  <cp:keywords/>
  <dc:description/>
  <cp:lastModifiedBy>Mandt, Kathy {she,her} (GSFC-6930)</cp:lastModifiedBy>
  <cp:revision>3</cp:revision>
  <dcterms:created xsi:type="dcterms:W3CDTF">2024-01-10T17:30:00Z</dcterms:created>
  <dcterms:modified xsi:type="dcterms:W3CDTF">2024-01-10T17:31:00Z</dcterms:modified>
</cp:coreProperties>
</file>