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B54E" w14:textId="77777777" w:rsidR="003D6C1D" w:rsidRDefault="003D6C1D"/>
    <w:p w14:paraId="7762C589" w14:textId="3CBB17F4" w:rsidR="00C05FC3" w:rsidRPr="0015765B" w:rsidRDefault="00F25A53" w:rsidP="00F25A53">
      <w:pPr>
        <w:jc w:val="center"/>
        <w:rPr>
          <w:rFonts w:asciiTheme="majorBidi" w:hAnsiTheme="majorBidi" w:cstheme="majorBidi"/>
          <w:b/>
          <w:bCs/>
          <w:sz w:val="32"/>
          <w:szCs w:val="32"/>
        </w:rPr>
      </w:pPr>
      <w:r w:rsidRPr="0015765B">
        <w:rPr>
          <w:rFonts w:asciiTheme="majorBidi" w:hAnsiTheme="majorBidi" w:cstheme="majorBidi"/>
          <w:b/>
          <w:bCs/>
          <w:sz w:val="32"/>
          <w:szCs w:val="32"/>
        </w:rPr>
        <w:t>How Auroral Electron Precipitations Contribute to the Formation of Electron Heat Fluxes to the Ionosphere?</w:t>
      </w:r>
    </w:p>
    <w:p w14:paraId="3D3E8D30" w14:textId="77777777" w:rsidR="006A7726" w:rsidRPr="0015765B" w:rsidRDefault="006A7726" w:rsidP="00F25A53">
      <w:pPr>
        <w:autoSpaceDE w:val="0"/>
        <w:autoSpaceDN w:val="0"/>
        <w:adjustRightInd w:val="0"/>
        <w:jc w:val="center"/>
        <w:rPr>
          <w:rFonts w:asciiTheme="majorBidi" w:hAnsiTheme="majorBidi" w:cstheme="majorBidi"/>
          <w:i/>
          <w:iCs/>
          <w:color w:val="000000" w:themeColor="text1"/>
          <w:kern w:val="0"/>
          <w:sz w:val="28"/>
          <w:szCs w:val="28"/>
        </w:rPr>
      </w:pPr>
    </w:p>
    <w:p w14:paraId="1C30F79A" w14:textId="312E1367" w:rsidR="004F0929" w:rsidRPr="004F0929" w:rsidRDefault="004F0929" w:rsidP="004F0929">
      <w:pPr>
        <w:jc w:val="center"/>
        <w:rPr>
          <w:rFonts w:asciiTheme="majorBidi" w:hAnsiTheme="majorBidi" w:cstheme="majorBidi"/>
          <w:sz w:val="28"/>
          <w:szCs w:val="28"/>
        </w:rPr>
      </w:pPr>
      <w:r w:rsidRPr="004F0929">
        <w:rPr>
          <w:rFonts w:asciiTheme="majorBidi" w:hAnsiTheme="majorBidi" w:cstheme="majorBidi"/>
          <w:sz w:val="28"/>
          <w:szCs w:val="28"/>
        </w:rPr>
        <w:t>George V. Khazanov</w:t>
      </w:r>
      <w:r w:rsidRPr="004F0929">
        <w:rPr>
          <w:rFonts w:asciiTheme="majorBidi" w:hAnsiTheme="majorBidi" w:cstheme="majorBidi"/>
          <w:color w:val="000000"/>
          <w:vertAlign w:val="superscript"/>
          <w:lang w:eastAsia="en-US"/>
        </w:rPr>
        <w:t>1</w:t>
      </w:r>
      <w:r w:rsidRPr="004F0929">
        <w:rPr>
          <w:rFonts w:asciiTheme="majorBidi" w:hAnsiTheme="majorBidi" w:cstheme="majorBidi"/>
          <w:sz w:val="28"/>
          <w:szCs w:val="28"/>
        </w:rPr>
        <w:t>, Suk-Bin Kang</w:t>
      </w:r>
      <w:r w:rsidRPr="004F0929">
        <w:rPr>
          <w:rFonts w:asciiTheme="majorBidi" w:hAnsiTheme="majorBidi" w:cstheme="majorBidi"/>
          <w:color w:val="464646"/>
          <w:kern w:val="0"/>
          <w:vertAlign w:val="superscript"/>
        </w:rPr>
        <w:t>2</w:t>
      </w:r>
      <w:r w:rsidRPr="004F0929">
        <w:rPr>
          <w:rFonts w:asciiTheme="majorBidi" w:hAnsiTheme="majorBidi" w:cstheme="majorBidi"/>
          <w:color w:val="000000" w:themeColor="text1"/>
          <w:kern w:val="0"/>
          <w:sz w:val="28"/>
          <w:szCs w:val="28"/>
        </w:rPr>
        <w:t xml:space="preserve"> Alex Glocer</w:t>
      </w:r>
      <w:r w:rsidRPr="004F0929">
        <w:rPr>
          <w:rFonts w:asciiTheme="majorBidi" w:hAnsiTheme="majorBidi" w:cstheme="majorBidi"/>
          <w:color w:val="000000"/>
          <w:vertAlign w:val="superscript"/>
          <w:lang w:eastAsia="en-US"/>
        </w:rPr>
        <w:t>1</w:t>
      </w:r>
      <w:r w:rsidRPr="004F0929">
        <w:rPr>
          <w:rFonts w:asciiTheme="majorBidi" w:hAnsiTheme="majorBidi" w:cstheme="majorBidi"/>
          <w:color w:val="000000" w:themeColor="text1"/>
          <w:kern w:val="0"/>
          <w:sz w:val="28"/>
          <w:szCs w:val="28"/>
        </w:rPr>
        <w:t xml:space="preserve">, </w:t>
      </w:r>
      <w:r>
        <w:rPr>
          <w:rFonts w:asciiTheme="majorBidi" w:hAnsiTheme="majorBidi" w:cstheme="majorBidi"/>
          <w:color w:val="000000" w:themeColor="text1"/>
          <w:kern w:val="0"/>
          <w:sz w:val="28"/>
          <w:szCs w:val="28"/>
        </w:rPr>
        <w:t>and</w:t>
      </w:r>
      <w:r w:rsidRPr="004F0929">
        <w:rPr>
          <w:rFonts w:asciiTheme="majorBidi" w:hAnsiTheme="majorBidi" w:cstheme="majorBidi"/>
          <w:color w:val="000000" w:themeColor="text1"/>
          <w:kern w:val="0"/>
          <w:sz w:val="28"/>
          <w:szCs w:val="28"/>
        </w:rPr>
        <w:t xml:space="preserve"> Mei-Ching Fok</w:t>
      </w:r>
      <w:r w:rsidRPr="004F0929">
        <w:rPr>
          <w:rFonts w:asciiTheme="majorBidi" w:hAnsiTheme="majorBidi" w:cstheme="majorBidi"/>
          <w:color w:val="000000"/>
          <w:vertAlign w:val="superscript"/>
          <w:lang w:eastAsia="en-US"/>
        </w:rPr>
        <w:t>1</w:t>
      </w:r>
    </w:p>
    <w:p w14:paraId="1D978485" w14:textId="77777777" w:rsidR="004F0929" w:rsidRPr="00AC5ABC" w:rsidRDefault="004F0929" w:rsidP="004F0929">
      <w:pPr>
        <w:ind w:left="720"/>
        <w:jc w:val="center"/>
        <w:rPr>
          <w:rFonts w:asciiTheme="majorBidi" w:hAnsiTheme="majorBidi" w:cstheme="majorBidi"/>
          <w:color w:val="000000"/>
          <w:lang w:eastAsia="en-US"/>
        </w:rPr>
      </w:pPr>
      <w:r w:rsidRPr="00AC5ABC">
        <w:rPr>
          <w:rFonts w:asciiTheme="majorBidi" w:hAnsiTheme="majorBidi" w:cstheme="majorBidi"/>
          <w:color w:val="000000"/>
          <w:vertAlign w:val="superscript"/>
          <w:lang w:eastAsia="en-US"/>
        </w:rPr>
        <w:t>1</w:t>
      </w:r>
      <w:r w:rsidRPr="00AC5ABC">
        <w:rPr>
          <w:rFonts w:asciiTheme="majorBidi" w:hAnsiTheme="majorBidi" w:cstheme="majorBidi"/>
          <w:color w:val="000000"/>
          <w:lang w:eastAsia="en-US"/>
        </w:rPr>
        <w:t>NASA Goddard Space Flight Center, Greenbelt, MD, USA</w:t>
      </w:r>
    </w:p>
    <w:p w14:paraId="2434E48F" w14:textId="62B13E97" w:rsidR="004F0929" w:rsidRPr="004F0929" w:rsidRDefault="004F0929" w:rsidP="004F0929">
      <w:pPr>
        <w:ind w:left="720"/>
        <w:jc w:val="center"/>
        <w:rPr>
          <w:rFonts w:asciiTheme="majorBidi" w:hAnsiTheme="majorBidi" w:cstheme="majorBidi"/>
          <w:color w:val="000000"/>
          <w:lang w:eastAsia="en-US"/>
        </w:rPr>
      </w:pPr>
      <w:r w:rsidRPr="00AC5ABC">
        <w:rPr>
          <w:rFonts w:asciiTheme="majorBidi" w:hAnsiTheme="majorBidi" w:cstheme="majorBidi"/>
          <w:color w:val="464646"/>
          <w:kern w:val="0"/>
          <w:vertAlign w:val="superscript"/>
        </w:rPr>
        <w:t>2</w:t>
      </w:r>
      <w:r w:rsidRPr="00AC5ABC">
        <w:rPr>
          <w:rFonts w:asciiTheme="majorBidi" w:hAnsiTheme="majorBidi" w:cstheme="majorBidi"/>
          <w:color w:val="464646"/>
          <w:kern w:val="0"/>
        </w:rPr>
        <w:t>Department of Physics, Catholic University of America</w:t>
      </w:r>
    </w:p>
    <w:p w14:paraId="29A154FB" w14:textId="77777777" w:rsidR="006A7726" w:rsidRPr="0015765B" w:rsidRDefault="006A7726" w:rsidP="00F25A53">
      <w:pPr>
        <w:autoSpaceDE w:val="0"/>
        <w:autoSpaceDN w:val="0"/>
        <w:adjustRightInd w:val="0"/>
        <w:jc w:val="both"/>
        <w:rPr>
          <w:rFonts w:asciiTheme="majorBidi" w:hAnsiTheme="majorBidi" w:cstheme="majorBidi"/>
          <w:color w:val="000000" w:themeColor="text1"/>
          <w:kern w:val="0"/>
          <w:sz w:val="28"/>
          <w:szCs w:val="28"/>
        </w:rPr>
      </w:pPr>
    </w:p>
    <w:p w14:paraId="48395396" w14:textId="1E7AF23E" w:rsidR="00F25A53" w:rsidRPr="0015765B" w:rsidRDefault="00F25A53" w:rsidP="00F25A53">
      <w:pPr>
        <w:jc w:val="both"/>
        <w:rPr>
          <w:rFonts w:asciiTheme="majorBidi" w:hAnsiTheme="majorBidi" w:cstheme="majorBidi"/>
        </w:rPr>
      </w:pPr>
      <w:r w:rsidRPr="0015765B">
        <w:rPr>
          <w:rFonts w:asciiTheme="majorBidi" w:hAnsiTheme="majorBidi" w:cstheme="majorBidi"/>
        </w:rPr>
        <w:t xml:space="preserve">Electron heat fluxes (also called electron thermal fluxes) in the ionosphere are carried by thermal electrons whose energy is below a few eV. Electron heat fluxes greatly impact on electron temperature, which is a fundamental parameter in the ionospheric dynamics. At the high latitude in the auroral regions electron heat flux is originated dominantly from the magnetosphere through high-energy electron energy fluxes. High-energy electron fluxes in the diffuse auroral region can undergo multiple backscatters between the magnetically conjugated regions of both hemispheres, and different kind of wave-particle interactions along the magnetic field line. High-energy electron fluxes in discrete auroral region can be trapped below the auroral acceleration region and can also undergo backscatter and multiple reflection. These processes, in turn, amplify super-thermal electrons (&lt;~500-600 eV) that dominantly form electron heat fluxes through Coulomb collision between thermal electrons. Such electron heat fluxes play an important role to determine electron temperature profile in the ionosphere, which is one of the key parameters that controls the ionospheric dynamics. Thus, it is necessary to include electron heat flux as a topside energy input in all global ionospheric models. </w:t>
      </w:r>
      <w:r w:rsidR="0015765B" w:rsidRPr="0015765B">
        <w:rPr>
          <w:rFonts w:asciiTheme="majorBidi" w:hAnsiTheme="majorBidi" w:cstheme="majorBidi"/>
        </w:rPr>
        <w:t xml:space="preserve">We demonstrate all above results based on </w:t>
      </w:r>
      <w:proofErr w:type="spellStart"/>
      <w:r w:rsidR="0015765B" w:rsidRPr="0015765B">
        <w:rPr>
          <w:rFonts w:asciiTheme="majorBidi" w:hAnsiTheme="majorBidi" w:cstheme="majorBidi"/>
        </w:rPr>
        <w:t>SuperThermal</w:t>
      </w:r>
      <w:proofErr w:type="spellEnd"/>
      <w:r w:rsidR="0015765B" w:rsidRPr="0015765B">
        <w:rPr>
          <w:rFonts w:asciiTheme="majorBidi" w:hAnsiTheme="majorBidi" w:cstheme="majorBidi"/>
        </w:rPr>
        <w:t xml:space="preserve"> Electron Transport (</w:t>
      </w:r>
      <w:r w:rsidR="0015765B" w:rsidRPr="0015765B">
        <w:rPr>
          <w:rFonts w:asciiTheme="majorBidi" w:hAnsiTheme="majorBidi" w:cstheme="majorBidi"/>
          <w:color w:val="000000" w:themeColor="text1"/>
        </w:rPr>
        <w:t xml:space="preserve">STET), </w:t>
      </w:r>
      <w:proofErr w:type="spellStart"/>
      <w:r w:rsidR="0015765B" w:rsidRPr="0015765B">
        <w:rPr>
          <w:rFonts w:asciiTheme="majorBidi" w:hAnsiTheme="majorBidi" w:cstheme="majorBidi"/>
          <w:color w:val="000000"/>
        </w:rPr>
        <w:t>Superthermal</w:t>
      </w:r>
      <w:proofErr w:type="spellEnd"/>
      <w:r w:rsidR="0015765B" w:rsidRPr="0015765B">
        <w:rPr>
          <w:rFonts w:asciiTheme="majorBidi" w:hAnsiTheme="majorBidi" w:cstheme="majorBidi"/>
          <w:color w:val="000000"/>
        </w:rPr>
        <w:t xml:space="preserve"> Proton, Electron and Atomic Hydrogen </w:t>
      </w:r>
      <w:proofErr w:type="spellStart"/>
      <w:r w:rsidR="0015765B" w:rsidRPr="0015765B">
        <w:rPr>
          <w:rFonts w:asciiTheme="majorBidi" w:hAnsiTheme="majorBidi" w:cstheme="majorBidi"/>
          <w:color w:val="000000"/>
        </w:rPr>
        <w:t>tRansport</w:t>
      </w:r>
      <w:proofErr w:type="spellEnd"/>
      <w:r w:rsidR="0015765B" w:rsidRPr="0015765B">
        <w:rPr>
          <w:rFonts w:asciiTheme="majorBidi" w:hAnsiTheme="majorBidi" w:cstheme="majorBidi"/>
          <w:color w:val="000000"/>
        </w:rPr>
        <w:t xml:space="preserve"> in the Ionosphere and Thermosphere (SPEAH-RIT), and </w:t>
      </w:r>
      <w:r w:rsidR="0015765B" w:rsidRPr="0015765B">
        <w:rPr>
          <w:rFonts w:asciiTheme="majorBidi" w:hAnsiTheme="majorBidi" w:cstheme="majorBidi"/>
          <w:color w:val="000000" w:themeColor="text1"/>
        </w:rPr>
        <w:t xml:space="preserve">Comprehensive Inner Magnetosphere and </w:t>
      </w:r>
      <w:r w:rsidR="000769C4" w:rsidRPr="0015765B">
        <w:rPr>
          <w:rFonts w:asciiTheme="majorBidi" w:hAnsiTheme="majorBidi" w:cstheme="majorBidi"/>
          <w:color w:val="000000" w:themeColor="text1"/>
        </w:rPr>
        <w:t>Ionospheres</w:t>
      </w:r>
      <w:r w:rsidR="0015765B" w:rsidRPr="0015765B">
        <w:rPr>
          <w:rFonts w:asciiTheme="majorBidi" w:hAnsiTheme="majorBidi" w:cstheme="majorBidi"/>
          <w:color w:val="000000" w:themeColor="text1"/>
        </w:rPr>
        <w:t xml:space="preserve"> (CIMI) codes developed at NASA Goddard Space Flight Center.</w:t>
      </w:r>
    </w:p>
    <w:p w14:paraId="1284C459" w14:textId="6498066C" w:rsidR="00C05FC3" w:rsidRPr="0015765B" w:rsidRDefault="00C05FC3" w:rsidP="00F25A53">
      <w:pPr>
        <w:autoSpaceDE w:val="0"/>
        <w:autoSpaceDN w:val="0"/>
        <w:adjustRightInd w:val="0"/>
        <w:jc w:val="both"/>
        <w:rPr>
          <w:rFonts w:asciiTheme="majorBidi" w:hAnsiTheme="majorBidi" w:cstheme="majorBidi"/>
          <w:color w:val="000000" w:themeColor="text1"/>
          <w:kern w:val="0"/>
          <w:sz w:val="28"/>
          <w:szCs w:val="28"/>
        </w:rPr>
      </w:pPr>
    </w:p>
    <w:sectPr w:rsidR="00C05FC3" w:rsidRPr="0015765B" w:rsidSect="0042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C3"/>
    <w:rsid w:val="000769C4"/>
    <w:rsid w:val="00094BA1"/>
    <w:rsid w:val="0015765B"/>
    <w:rsid w:val="001B0482"/>
    <w:rsid w:val="003D6C1D"/>
    <w:rsid w:val="00425901"/>
    <w:rsid w:val="004F0929"/>
    <w:rsid w:val="00501BB0"/>
    <w:rsid w:val="005E7083"/>
    <w:rsid w:val="0069056D"/>
    <w:rsid w:val="006A7726"/>
    <w:rsid w:val="0074097F"/>
    <w:rsid w:val="008A4472"/>
    <w:rsid w:val="00BC19BB"/>
    <w:rsid w:val="00C05FC3"/>
    <w:rsid w:val="00F25A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DEF0"/>
  <w15:chartTrackingRefBased/>
  <w15:docId w15:val="{A4600427-88C2-1D49-BFC2-C3A58B84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Khazanov, George V. (GSFC-6730)</dc:creator>
  <cp:keywords/>
  <dc:description/>
  <cp:lastModifiedBy>Weidner, Christopher (GSFC-673.0)[ASRC FEDERAL SYSTEM SOLUTIONS]</cp:lastModifiedBy>
  <cp:revision>2</cp:revision>
  <dcterms:created xsi:type="dcterms:W3CDTF">2024-01-23T17:44:00Z</dcterms:created>
  <dcterms:modified xsi:type="dcterms:W3CDTF">2024-01-23T17:44:00Z</dcterms:modified>
</cp:coreProperties>
</file>