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D113" w14:textId="0F945F7A" w:rsidR="00112093" w:rsidRDefault="00492DE7">
      <w:pPr>
        <w:pStyle w:val="Title"/>
      </w:pPr>
      <w:bookmarkStart w:id="0" w:name="_Hlk156376221"/>
      <w:bookmarkEnd w:id="0"/>
      <w:r>
        <w:t>In-Situ Resource Utilization Modeling of a Lunar Water Processing System</w:t>
      </w:r>
    </w:p>
    <w:p w14:paraId="78858E21" w14:textId="07C36957" w:rsidR="00112093" w:rsidRDefault="00492DE7">
      <w:pPr>
        <w:pStyle w:val="AuthorNames"/>
      </w:pPr>
      <w:r>
        <w:t>Avery Carlson</w:t>
      </w:r>
      <w:r w:rsidR="00112093">
        <w:rPr>
          <w:rStyle w:val="FootnoteReference"/>
        </w:rPr>
        <w:footnoteReference w:id="1"/>
      </w:r>
      <w:r w:rsidR="00112093">
        <w:t xml:space="preserve"> and </w:t>
      </w:r>
      <w:r>
        <w:t>Noah Andersen</w:t>
      </w:r>
      <w:r w:rsidR="00112093">
        <w:rPr>
          <w:rStyle w:val="FootnoteReference"/>
        </w:rPr>
        <w:footnoteReference w:id="2"/>
      </w:r>
    </w:p>
    <w:p w14:paraId="36AA8C16" w14:textId="4E890BAB" w:rsidR="00112093" w:rsidRDefault="00492DE7">
      <w:pPr>
        <w:pStyle w:val="AuthorAffiliations"/>
      </w:pPr>
      <w:r>
        <w:t>Jacobs Technology</w:t>
      </w:r>
      <w:r w:rsidR="00112093">
        <w:t xml:space="preserve">, </w:t>
      </w:r>
      <w:r>
        <w:t>Houston</w:t>
      </w:r>
      <w:r w:rsidR="00112093">
        <w:t xml:space="preserve">, </w:t>
      </w:r>
      <w:r>
        <w:t>TX</w:t>
      </w:r>
      <w:r w:rsidR="00112093">
        <w:t xml:space="preserve">, </w:t>
      </w:r>
      <w:r>
        <w:t>77058, USA</w:t>
      </w:r>
    </w:p>
    <w:p w14:paraId="47CD0AD3" w14:textId="64973502" w:rsidR="00112093" w:rsidRDefault="00492DE7">
      <w:pPr>
        <w:pStyle w:val="AuthorNames"/>
      </w:pPr>
      <w:r>
        <w:t>Jacob Collins</w:t>
      </w:r>
      <w:r w:rsidR="00112093">
        <w:rPr>
          <w:rStyle w:val="FootnoteReference"/>
        </w:rPr>
        <w:footnoteReference w:id="3"/>
      </w:r>
    </w:p>
    <w:p w14:paraId="72F474DE" w14:textId="49DB22C4" w:rsidR="00112093" w:rsidRDefault="00492DE7" w:rsidP="00EA3E12">
      <w:pPr>
        <w:pStyle w:val="AuthorAffiliations"/>
      </w:pPr>
      <w:r>
        <w:t>NASA Johnson Space Center</w:t>
      </w:r>
      <w:r w:rsidR="00112093">
        <w:t xml:space="preserve">, </w:t>
      </w:r>
      <w:r>
        <w:t>Houston, TX, 77058, USA</w:t>
      </w:r>
    </w:p>
    <w:p w14:paraId="2734700C" w14:textId="0981FDF0" w:rsidR="00112093" w:rsidRDefault="00492DE7">
      <w:pPr>
        <w:pStyle w:val="Abstract"/>
      </w:pPr>
      <w:r w:rsidRPr="00BB1979">
        <w:t xml:space="preserve">A key </w:t>
      </w:r>
      <w:r>
        <w:t>element</w:t>
      </w:r>
      <w:r w:rsidRPr="00BB1979">
        <w:t xml:space="preserve"> of </w:t>
      </w:r>
      <w:r>
        <w:t xml:space="preserve">achieving a </w:t>
      </w:r>
      <w:r w:rsidRPr="00E9177B">
        <w:t>sustain</w:t>
      </w:r>
      <w:r>
        <w:t>ed</w:t>
      </w:r>
      <w:r w:rsidRPr="00E9177B">
        <w:t xml:space="preserve"> surface presence</w:t>
      </w:r>
      <w:r>
        <w:t>,</w:t>
      </w:r>
      <w:r w:rsidRPr="00E9177B">
        <w:t xml:space="preserve"> </w:t>
      </w:r>
      <w:r>
        <w:t xml:space="preserve">such as defined in NASA’s Artemis plan, </w:t>
      </w:r>
      <w:r w:rsidRPr="00BB1979">
        <w:t>is In-Situ Resource Utilization (ISRU)</w:t>
      </w:r>
      <w:r>
        <w:t>. ISRU</w:t>
      </w:r>
      <w:r w:rsidRPr="00BB1979">
        <w:t xml:space="preserve"> is the practice of using local resources to provide mission consumables</w:t>
      </w:r>
      <w:r>
        <w:t xml:space="preserve"> that </w:t>
      </w:r>
      <w:r w:rsidRPr="004B6584">
        <w:t>reduce system launch mass requirements</w:t>
      </w:r>
      <w:r>
        <w:t>,</w:t>
      </w:r>
      <w:r w:rsidRPr="004B6584">
        <w:t xml:space="preserve"> and regenerate resources (chiefly, water and oxygen) for propulsion and life support </w:t>
      </w:r>
      <w:r>
        <w:t>supporting both</w:t>
      </w:r>
      <w:r w:rsidRPr="004B6584">
        <w:t xml:space="preserve"> Lunar and Martian missions. </w:t>
      </w:r>
      <w:r>
        <w:t>ISRU</w:t>
      </w:r>
      <w:r w:rsidRPr="004B6584">
        <w:t xml:space="preserve"> </w:t>
      </w:r>
      <w:r>
        <w:t>systems require multiple</w:t>
      </w:r>
      <w:r w:rsidRPr="004B6584">
        <w:t xml:space="preserve"> complex processes, such as excavation, </w:t>
      </w:r>
      <w:r>
        <w:t>chemical reactors</w:t>
      </w:r>
      <w:r w:rsidRPr="004B6584">
        <w:t>, and electrolysis</w:t>
      </w:r>
      <w:r>
        <w:t xml:space="preserve"> subsystems that must operate in harmony to optimize </w:t>
      </w:r>
      <w:r w:rsidRPr="004B6584">
        <w:t xml:space="preserve">the overall system </w:t>
      </w:r>
      <w:r>
        <w:t xml:space="preserve">process </w:t>
      </w:r>
      <w:r w:rsidRPr="004B6584">
        <w:t xml:space="preserve">from beginning to end. The Mission Analysis and Integration Tool (MAIT) </w:t>
      </w:r>
      <w:r w:rsidR="00D23916">
        <w:t xml:space="preserve">was previously developed with MATLAB in FY22 to </w:t>
      </w:r>
      <w:r w:rsidRPr="004B6584">
        <w:t xml:space="preserve">connect individual subsystem models </w:t>
      </w:r>
      <w:r>
        <w:t>in</w:t>
      </w:r>
      <w:r w:rsidRPr="004B6584">
        <w:t xml:space="preserve">to a customized, flexible framework for </w:t>
      </w:r>
      <w:r>
        <w:t xml:space="preserve">the </w:t>
      </w:r>
      <w:r w:rsidRPr="004B6584">
        <w:t xml:space="preserve">purpose of technology downselect, optimization, and end-to-end process </w:t>
      </w:r>
      <w:r>
        <w:t>planning</w:t>
      </w:r>
      <w:r w:rsidRPr="004B6584">
        <w:t xml:space="preserve">. </w:t>
      </w:r>
      <w:r w:rsidR="00D23916">
        <w:t xml:space="preserve">Beginning in FY24, MAIT was leveraged and evolved using </w:t>
      </w:r>
      <w:r w:rsidRPr="004B6584">
        <w:t>MATLAB</w:t>
      </w:r>
      <w:r w:rsidR="009D0764">
        <w:t>/Simulink</w:t>
      </w:r>
      <w:r w:rsidRPr="004B6584">
        <w:t xml:space="preserve"> </w:t>
      </w:r>
      <w:r>
        <w:t>due to</w:t>
      </w:r>
      <w:r w:rsidRPr="004B6584">
        <w:t xml:space="preserve"> its ability to communicate with a vast number of other programming languages and makes up the backbone of data flow between inputs and outputs to the subsystem models. MAIT initially evaluated a suite of </w:t>
      </w:r>
      <w:r w:rsidR="00D23916">
        <w:t xml:space="preserve">ISRU-related </w:t>
      </w:r>
      <w:r w:rsidRPr="004B6584">
        <w:t xml:space="preserve">technologies, including the </w:t>
      </w:r>
      <w:r>
        <w:t xml:space="preserve">water processing </w:t>
      </w:r>
      <w:r w:rsidRPr="004B6584">
        <w:t xml:space="preserve">Lunar Auger Dryer for ISRU (LADI) </w:t>
      </w:r>
      <w:r>
        <w:t>system</w:t>
      </w:r>
      <w:r w:rsidR="00D23916">
        <w:t xml:space="preserve"> with integrated upstream excavation and downstream electrolysis subsystems</w:t>
      </w:r>
      <w:r w:rsidRPr="004B6584">
        <w:t xml:space="preserve">. With individual models consolidated, the MAIT tool generated over 60,000 cases during its parametric sweeps; these system iterations produced valuable insight </w:t>
      </w:r>
      <w:r>
        <w:t>into</w:t>
      </w:r>
      <w:r w:rsidRPr="004B6584">
        <w:t xml:space="preserve"> the optimal LADI geometry for minimizing energy demands, estimating carbothermal reactor and radiator mass relationships, and calculat</w:t>
      </w:r>
      <w:r>
        <w:t>ed the</w:t>
      </w:r>
      <w:r w:rsidRPr="004B6584">
        <w:t xml:space="preserve"> power dynamics of the electrolysis unit. </w:t>
      </w:r>
      <w:r w:rsidR="00CE1E12">
        <w:t>Advanced e</w:t>
      </w:r>
      <w:r w:rsidR="00CE1E12" w:rsidRPr="004B6584">
        <w:t xml:space="preserve">fforts </w:t>
      </w:r>
      <w:r w:rsidR="00CE1E12">
        <w:t xml:space="preserve">with advanced models will include examining multiple production targets </w:t>
      </w:r>
      <w:r w:rsidR="00CE1E12" w:rsidRPr="004B6584">
        <w:t xml:space="preserve">to </w:t>
      </w:r>
      <w:r w:rsidR="00CE1E12">
        <w:t xml:space="preserve">demonstrate the ability to </w:t>
      </w:r>
      <w:r>
        <w:t xml:space="preserve">scale ISRU </w:t>
      </w:r>
      <w:r w:rsidRPr="004B6584">
        <w:t xml:space="preserve">technologies </w:t>
      </w:r>
      <w:r>
        <w:t xml:space="preserve">supporting the </w:t>
      </w:r>
      <w:r w:rsidRPr="003E03E0">
        <w:t>Space Technology Mission Directorate</w:t>
      </w:r>
      <w:r>
        <w:t>’s</w:t>
      </w:r>
      <w:r w:rsidRPr="003E03E0">
        <w:t xml:space="preserve"> </w:t>
      </w:r>
      <w:r>
        <w:t>(STMD) commercialization</w:t>
      </w:r>
      <w:r w:rsidRPr="004B6584">
        <w:t xml:space="preserve"> strategy</w:t>
      </w:r>
      <w:r>
        <w:t xml:space="preserve"> and</w:t>
      </w:r>
      <w:r w:rsidRPr="004B6584">
        <w:t xml:space="preserve"> increase </w:t>
      </w:r>
      <w:r>
        <w:t xml:space="preserve">the </w:t>
      </w:r>
      <w:r w:rsidRPr="004B6584">
        <w:t xml:space="preserve">MAIT </w:t>
      </w:r>
      <w:r>
        <w:t xml:space="preserve">software </w:t>
      </w:r>
      <w:r w:rsidRPr="004B6584">
        <w:t>capability to handle a wide array of ISRU system models beyond the Lunar environment, e.g. production of propellant for a Martian lander.</w:t>
      </w:r>
    </w:p>
    <w:p w14:paraId="21BB3887" w14:textId="77777777" w:rsidR="00112093" w:rsidRDefault="00112093">
      <w:pPr>
        <w:pStyle w:val="Heading1"/>
      </w:pPr>
      <w:r>
        <w:t>Nomenclature</w:t>
      </w:r>
    </w:p>
    <w:p w14:paraId="7FD6847C" w14:textId="77777777" w:rsidR="00791897" w:rsidRDefault="00791897">
      <w:pPr>
        <w:pStyle w:val="Nomenclature"/>
        <w:rPr>
          <w:i/>
        </w:rPr>
        <w:sectPr w:rsidR="00791897" w:rsidSect="0033622B">
          <w:footerReference w:type="even" r:id="rId11"/>
          <w:footerReference w:type="default" r:id="rId12"/>
          <w:headerReference w:type="first" r:id="rId13"/>
          <w:footerReference w:type="first" r:id="rId14"/>
          <w:pgSz w:w="12240" w:h="15840"/>
          <w:pgMar w:top="1440" w:right="1440" w:bottom="1440" w:left="1440" w:header="360" w:footer="856" w:gutter="0"/>
          <w:cols w:space="720"/>
          <w:titlePg/>
          <w:docGrid w:linePitch="272"/>
        </w:sectPr>
      </w:pPr>
    </w:p>
    <w:p w14:paraId="103F0872" w14:textId="3877184C" w:rsidR="00D217C4" w:rsidRDefault="00D217C4">
      <w:pPr>
        <w:pStyle w:val="Nomenclature"/>
        <w:rPr>
          <w:i/>
        </w:rPr>
      </w:pPr>
      <w:r>
        <w:rPr>
          <w:i/>
        </w:rPr>
        <w:t>API</w:t>
      </w:r>
      <w:r>
        <w:tab/>
        <w:t>=</w:t>
      </w:r>
      <w:r>
        <w:tab/>
        <w:t xml:space="preserve">Application </w:t>
      </w:r>
      <w:r w:rsidR="00CE1E12">
        <w:t>P</w:t>
      </w:r>
      <w:r>
        <w:t xml:space="preserve">rogram </w:t>
      </w:r>
      <w:r w:rsidR="00CE1E12">
        <w:t>I</w:t>
      </w:r>
      <w:r>
        <w:t>nterface</w:t>
      </w:r>
    </w:p>
    <w:p w14:paraId="044B2765" w14:textId="48CA6D72" w:rsidR="00407D7E" w:rsidRDefault="00407D7E">
      <w:pPr>
        <w:pStyle w:val="Nomenclature"/>
        <w:rPr>
          <w:i/>
        </w:rPr>
      </w:pPr>
      <w:r>
        <w:rPr>
          <w:i/>
        </w:rPr>
        <w:t>ESM</w:t>
      </w:r>
      <w:r>
        <w:tab/>
        <w:t>=</w:t>
      </w:r>
      <w:r>
        <w:tab/>
        <w:t xml:space="preserve">Equivalent </w:t>
      </w:r>
      <w:r w:rsidR="00CE1E12">
        <w:t>S</w:t>
      </w:r>
      <w:r>
        <w:t xml:space="preserve">ystem </w:t>
      </w:r>
      <w:r w:rsidR="00CE1E12">
        <w:t>M</w:t>
      </w:r>
      <w:r>
        <w:t>ass</w:t>
      </w:r>
    </w:p>
    <w:p w14:paraId="22FA18F8" w14:textId="77777777" w:rsidR="002E184A" w:rsidRDefault="00492DE7">
      <w:pPr>
        <w:pStyle w:val="Nomenclature"/>
      </w:pPr>
      <w:r>
        <w:rPr>
          <w:i/>
        </w:rPr>
        <w:t>ISRU</w:t>
      </w:r>
      <w:r>
        <w:tab/>
        <w:t>=</w:t>
      </w:r>
      <w:r>
        <w:tab/>
        <w:t>In-Situ Resource Utilization</w:t>
      </w:r>
    </w:p>
    <w:p w14:paraId="463D14CB" w14:textId="57621BC0" w:rsidR="0097385F" w:rsidRDefault="0097385F">
      <w:pPr>
        <w:pStyle w:val="Nomenclature"/>
      </w:pPr>
      <w:r>
        <w:rPr>
          <w:i/>
        </w:rPr>
        <w:t>JSC</w:t>
      </w:r>
      <w:r>
        <w:tab/>
        <w:t>=</w:t>
      </w:r>
      <w:r>
        <w:tab/>
        <w:t>Johnson Space Center</w:t>
      </w:r>
    </w:p>
    <w:p w14:paraId="5018B965" w14:textId="4A210A1E" w:rsidR="00492DE7" w:rsidRPr="002E184A" w:rsidRDefault="002E184A">
      <w:pPr>
        <w:pStyle w:val="Nomenclature"/>
      </w:pPr>
      <w:r>
        <w:rPr>
          <w:i/>
        </w:rPr>
        <w:t>KPP</w:t>
      </w:r>
      <w:r>
        <w:tab/>
        <w:t>=</w:t>
      </w:r>
      <w:r>
        <w:tab/>
        <w:t xml:space="preserve">Key </w:t>
      </w:r>
      <w:r w:rsidR="00CE1E12">
        <w:t>P</w:t>
      </w:r>
      <w:r>
        <w:t xml:space="preserve">erformance </w:t>
      </w:r>
      <w:r w:rsidR="00CE1E12">
        <w:t>P</w:t>
      </w:r>
      <w:r>
        <w:t>arameter</w:t>
      </w:r>
    </w:p>
    <w:p w14:paraId="1F9CBE85" w14:textId="231AA42B" w:rsidR="00492DE7" w:rsidRDefault="00492DE7">
      <w:pPr>
        <w:pStyle w:val="Nomenclature"/>
        <w:rPr>
          <w:i/>
        </w:rPr>
      </w:pPr>
      <w:r>
        <w:rPr>
          <w:i/>
        </w:rPr>
        <w:t>LADI</w:t>
      </w:r>
      <w:r>
        <w:rPr>
          <w:i/>
        </w:rPr>
        <w:tab/>
      </w:r>
      <w:r>
        <w:t>=</w:t>
      </w:r>
      <w:r>
        <w:tab/>
        <w:t>Lunar Auger Dryer for ISRU</w:t>
      </w:r>
      <w:r>
        <w:rPr>
          <w:i/>
        </w:rPr>
        <w:t xml:space="preserve"> </w:t>
      </w:r>
    </w:p>
    <w:p w14:paraId="2674676A" w14:textId="21C1B72B" w:rsidR="00112093" w:rsidRDefault="00492DE7">
      <w:pPr>
        <w:pStyle w:val="Nomenclature"/>
      </w:pPr>
      <w:r>
        <w:rPr>
          <w:i/>
        </w:rPr>
        <w:t>M</w:t>
      </w:r>
      <w:r w:rsidR="00112093">
        <w:rPr>
          <w:i/>
        </w:rPr>
        <w:t>A</w:t>
      </w:r>
      <w:r>
        <w:rPr>
          <w:i/>
        </w:rPr>
        <w:t>IT</w:t>
      </w:r>
      <w:r w:rsidR="00112093">
        <w:tab/>
        <w:t>=</w:t>
      </w:r>
      <w:r w:rsidR="00112093">
        <w:tab/>
      </w:r>
      <w:r>
        <w:t>Mission Analysis and Integration Tool</w:t>
      </w:r>
    </w:p>
    <w:p w14:paraId="6D483DE4" w14:textId="0D7815B7" w:rsidR="00D82510" w:rsidRDefault="00D82510">
      <w:pPr>
        <w:pStyle w:val="Nomenclature"/>
      </w:pPr>
      <w:r>
        <w:rPr>
          <w:i/>
        </w:rPr>
        <w:t>MBSE</w:t>
      </w:r>
      <w:r>
        <w:tab/>
        <w:t>=</w:t>
      </w:r>
      <w:r>
        <w:tab/>
        <w:t>Model-</w:t>
      </w:r>
      <w:r w:rsidR="00CE1E12">
        <w:t>B</w:t>
      </w:r>
      <w:r>
        <w:t xml:space="preserve">ased </w:t>
      </w:r>
      <w:r w:rsidR="00CE1E12">
        <w:t>S</w:t>
      </w:r>
      <w:r>
        <w:t xml:space="preserve">ystem </w:t>
      </w:r>
      <w:r w:rsidR="00CE1E12">
        <w:t>E</w:t>
      </w:r>
      <w:r>
        <w:t>ngineering</w:t>
      </w:r>
    </w:p>
    <w:p w14:paraId="4B07FA11" w14:textId="6809BEE8" w:rsidR="00791897" w:rsidRDefault="00791897">
      <w:pPr>
        <w:pStyle w:val="Nomenclature"/>
      </w:pPr>
      <w:r>
        <w:rPr>
          <w:i/>
        </w:rPr>
        <w:t>mdot</w:t>
      </w:r>
      <w:r>
        <w:tab/>
        <w:t>=</w:t>
      </w:r>
      <w:r>
        <w:tab/>
        <w:t>mass array</w:t>
      </w:r>
    </w:p>
    <w:p w14:paraId="456EE450" w14:textId="36F67E57" w:rsidR="00F678F2" w:rsidRPr="00F678F2" w:rsidRDefault="00F678F2">
      <w:pPr>
        <w:pStyle w:val="Nomenclature"/>
      </w:pPr>
      <w:r>
        <w:rPr>
          <w:i/>
        </w:rPr>
        <w:t>MRE</w:t>
      </w:r>
      <w:r>
        <w:tab/>
        <w:t>=</w:t>
      </w:r>
      <w:r>
        <w:tab/>
        <w:t>Molten regolith extraction</w:t>
      </w:r>
    </w:p>
    <w:p w14:paraId="11AC6B0F" w14:textId="772113F8" w:rsidR="00D82510" w:rsidRDefault="00D82510">
      <w:pPr>
        <w:pStyle w:val="Nomenclature"/>
      </w:pPr>
      <w:r>
        <w:rPr>
          <w:i/>
        </w:rPr>
        <w:t>mt</w:t>
      </w:r>
      <w:r>
        <w:tab/>
        <w:t>=</w:t>
      </w:r>
      <w:r>
        <w:tab/>
        <w:t>metric ton (1,000 kg)</w:t>
      </w:r>
    </w:p>
    <w:p w14:paraId="77014894" w14:textId="012697DD" w:rsidR="00D82510" w:rsidRDefault="00D82510">
      <w:pPr>
        <w:pStyle w:val="Nomenclature"/>
      </w:pPr>
      <w:r>
        <w:rPr>
          <w:i/>
        </w:rPr>
        <w:t>PSR</w:t>
      </w:r>
      <w:r>
        <w:tab/>
        <w:t>=</w:t>
      </w:r>
      <w:r>
        <w:tab/>
      </w:r>
      <w:r w:rsidR="00754458">
        <w:t xml:space="preserve">Permanently </w:t>
      </w:r>
      <w:r w:rsidR="00CE1E12">
        <w:t>S</w:t>
      </w:r>
      <w:r>
        <w:t xml:space="preserve">hadowed </w:t>
      </w:r>
      <w:r w:rsidR="00CE1E12">
        <w:t>R</w:t>
      </w:r>
      <w:r>
        <w:t>egion</w:t>
      </w:r>
    </w:p>
    <w:p w14:paraId="18CC4D5A" w14:textId="204A24D7" w:rsidR="00F678F2" w:rsidRDefault="00F678F2">
      <w:pPr>
        <w:pStyle w:val="Nomenclature"/>
      </w:pPr>
      <w:r>
        <w:rPr>
          <w:i/>
        </w:rPr>
        <w:lastRenderedPageBreak/>
        <w:t>PEM</w:t>
      </w:r>
      <w:r>
        <w:tab/>
        <w:t>=</w:t>
      </w:r>
      <w:r>
        <w:tab/>
        <w:t xml:space="preserve">Proton </w:t>
      </w:r>
      <w:r w:rsidR="00CE1E12">
        <w:t>E</w:t>
      </w:r>
      <w:r>
        <w:t xml:space="preserve">xchange </w:t>
      </w:r>
      <w:r w:rsidR="00CE1E12">
        <w:t>M</w:t>
      </w:r>
      <w:r>
        <w:t>embrane</w:t>
      </w:r>
    </w:p>
    <w:p w14:paraId="06FA07E2" w14:textId="7161515F" w:rsidR="00492DE7" w:rsidRDefault="00492DE7" w:rsidP="00791897">
      <w:pPr>
        <w:pStyle w:val="Nomenclature"/>
        <w:jc w:val="left"/>
      </w:pPr>
      <w:r>
        <w:rPr>
          <w:i/>
        </w:rPr>
        <w:t>STMD</w:t>
      </w:r>
      <w:r>
        <w:tab/>
        <w:t>=</w:t>
      </w:r>
      <w:r>
        <w:tab/>
        <w:t>Science Technology Mission Directorate</w:t>
      </w:r>
    </w:p>
    <w:p w14:paraId="72601CA2" w14:textId="475D57DF" w:rsidR="009D5AE5" w:rsidRDefault="009D5AE5" w:rsidP="009D5AE5">
      <w:pPr>
        <w:pStyle w:val="Nomenclature"/>
      </w:pPr>
      <w:r>
        <w:rPr>
          <w:i/>
        </w:rPr>
        <w:t>TRL</w:t>
      </w:r>
      <w:r>
        <w:tab/>
        <w:t>=</w:t>
      </w:r>
      <w:r>
        <w:tab/>
        <w:t xml:space="preserve">Technology </w:t>
      </w:r>
      <w:r w:rsidR="00CE1E12">
        <w:t>R</w:t>
      </w:r>
      <w:r>
        <w:t xml:space="preserve">eadiness </w:t>
      </w:r>
      <w:r w:rsidR="00CE1E12">
        <w:t>L</w:t>
      </w:r>
      <w:r>
        <w:t>evel</w:t>
      </w:r>
    </w:p>
    <w:p w14:paraId="63A58B6C" w14:textId="77777777" w:rsidR="00791897" w:rsidRDefault="00791897">
      <w:pPr>
        <w:pStyle w:val="Nomenclature"/>
        <w:sectPr w:rsidR="00791897" w:rsidSect="0033622B">
          <w:type w:val="continuous"/>
          <w:pgSz w:w="12240" w:h="15840"/>
          <w:pgMar w:top="1440" w:right="1440" w:bottom="1440" w:left="1440" w:header="360" w:footer="856" w:gutter="0"/>
          <w:cols w:space="180"/>
          <w:titlePg/>
          <w:docGrid w:linePitch="272"/>
        </w:sectPr>
      </w:pPr>
    </w:p>
    <w:p w14:paraId="461450D3" w14:textId="77777777" w:rsidR="00112093" w:rsidRDefault="00112093" w:rsidP="003E01D4">
      <w:pPr>
        <w:pStyle w:val="Heading1"/>
        <w:numPr>
          <w:ilvl w:val="0"/>
          <w:numId w:val="1"/>
        </w:numPr>
      </w:pPr>
      <w:r>
        <w:t>Introduction</w:t>
      </w:r>
    </w:p>
    <w:p w14:paraId="146D9887" w14:textId="6F9F1907" w:rsidR="00112093" w:rsidRDefault="00D82510">
      <w:pPr>
        <w:pStyle w:val="Text"/>
        <w:keepNext/>
        <w:framePr w:dropCap="drop" w:lines="2" w:wrap="around" w:vAnchor="text" w:hAnchor="text"/>
        <w:spacing w:line="459" w:lineRule="exact"/>
        <w:ind w:firstLine="0"/>
        <w:rPr>
          <w:position w:val="-5"/>
          <w:sz w:val="58"/>
        </w:rPr>
      </w:pPr>
      <w:r>
        <w:rPr>
          <w:position w:val="-5"/>
          <w:sz w:val="58"/>
        </w:rPr>
        <w:t>A</w:t>
      </w:r>
    </w:p>
    <w:p w14:paraId="15978AAB" w14:textId="0AD2B80D" w:rsidR="00D82510" w:rsidRDefault="00D82510" w:rsidP="00D82510">
      <w:r>
        <w:t>critical element of NASA’s return to the Lunar surface</w:t>
      </w:r>
      <w:r w:rsidR="00CD70B5">
        <w:t xml:space="preserve"> with the</w:t>
      </w:r>
      <w:r w:rsidR="00754458">
        <w:t xml:space="preserve"> </w:t>
      </w:r>
      <w:r>
        <w:t>Artemis</w:t>
      </w:r>
      <w:r w:rsidR="00CD70B5">
        <w:t xml:space="preserve"> missions</w:t>
      </w:r>
      <w:r>
        <w:t xml:space="preserve"> and future planned missions to the Martian surface is the ability to generate usable material without compelling resupply launches </w:t>
      </w:r>
      <w:r w:rsidR="00EE6663">
        <w:t xml:space="preserve">from Earth </w:t>
      </w:r>
      <w:r>
        <w:t>into low earth orbit</w:t>
      </w:r>
      <w:r w:rsidR="00EE6663">
        <w:t xml:space="preserve"> and to the final destination</w:t>
      </w:r>
      <w:r>
        <w:t>. Previous studies of the Gear Ratio Effect estimate between 8 and 13 kg of launch mass is required to deliver 1 kg to a planetary surface, and that factor increases considerably if accounting for return journeys</w:t>
      </w:r>
      <w:r w:rsidR="00C30830">
        <w:rPr>
          <w:rStyle w:val="EndnoteReference"/>
        </w:rPr>
        <w:endnoteReference w:id="1"/>
      </w:r>
      <w:r>
        <w:t xml:space="preserve">. Incorporation of in situ resource utilization (ISRU) practices—i.e., the process of producing those mission consumables from local </w:t>
      </w:r>
      <w:r w:rsidR="00EE6663">
        <w:t>lunar/</w:t>
      </w:r>
      <w:r>
        <w:t xml:space="preserve">planetary resources—minimizes </w:t>
      </w:r>
      <w:r w:rsidR="00E411C7">
        <w:t xml:space="preserve">those </w:t>
      </w:r>
      <w:r>
        <w:t>system launch mass requirements</w:t>
      </w:r>
      <w:r w:rsidR="00CD70B5">
        <w:t>,</w:t>
      </w:r>
      <w:r>
        <w:t xml:space="preserve"> mainly through the production of propellant fuel components and life support resources. Modeling full ISRU technology architectures significantly impacts the design and optimization of individual unit processes, </w:t>
      </w:r>
      <w:r w:rsidR="006417EC">
        <w:t>and</w:t>
      </w:r>
      <w:r w:rsidR="006417EC">
        <w:t xml:space="preserve"> </w:t>
      </w:r>
      <w:r>
        <w:t>facilitates the</w:t>
      </w:r>
      <w:r w:rsidR="00E411C7">
        <w:t>ir introduction into service with NASA’s</w:t>
      </w:r>
      <w:r w:rsidR="00754458">
        <w:t xml:space="preserve"> </w:t>
      </w:r>
      <w:r>
        <w:t xml:space="preserve">logistical </w:t>
      </w:r>
      <w:r w:rsidR="00E411C7">
        <w:t xml:space="preserve">planning and </w:t>
      </w:r>
      <w:r>
        <w:t>operation</w:t>
      </w:r>
      <w:r w:rsidR="00E411C7">
        <w:t xml:space="preserve"> </w:t>
      </w:r>
      <w:r>
        <w:t xml:space="preserve">space. The Space Technology Mission Directorate (STMD) calls for ISRU-enabling technologies throughout their recently published “Go, Land, Live, and Explore” </w:t>
      </w:r>
      <w:r w:rsidR="00CE1E12">
        <w:t>i</w:t>
      </w:r>
      <w:r>
        <w:t>nitiatives</w:t>
      </w:r>
      <w:r w:rsidR="00CE1E12">
        <w:t xml:space="preserve"> to </w:t>
      </w:r>
      <w:r>
        <w:t>advance</w:t>
      </w:r>
      <w:r w:rsidR="00CE1E12">
        <w:t xml:space="preserve"> </w:t>
      </w:r>
      <w:r>
        <w:t xml:space="preserve">propulsion </w:t>
      </w:r>
      <w:r w:rsidR="00CE1E12">
        <w:t xml:space="preserve">and promote </w:t>
      </w:r>
      <w:r>
        <w:t>logistical mobility within missions</w:t>
      </w:r>
      <w:r w:rsidR="00CE1E12">
        <w:t xml:space="preserve"> on the first two thrusts</w:t>
      </w:r>
      <w:r>
        <w:t xml:space="preserve">, while </w:t>
      </w:r>
      <w:r w:rsidR="00CD70B5">
        <w:t xml:space="preserve">outcomes </w:t>
      </w:r>
      <w:r>
        <w:t>adjacent to ISRU, such as power systems, thermal management, excavation, and mobile platforms</w:t>
      </w:r>
      <w:r w:rsidR="00C30830">
        <w:rPr>
          <w:rStyle w:val="EndnoteReference"/>
        </w:rPr>
        <w:endnoteReference w:id="2"/>
      </w:r>
      <w:r w:rsidR="00CE1E12">
        <w:t xml:space="preserve"> are the focus of the latter two thrusts.</w:t>
      </w:r>
      <w:r>
        <w:t xml:space="preserve"> Furthermore, the Moon to Mars Architecture documents specif</w:t>
      </w:r>
      <w:r w:rsidR="00CE1E12">
        <w:t>y</w:t>
      </w:r>
      <w:r>
        <w:t xml:space="preserve"> ISRU system objectives and priorities that will be required to transition to more permanent human environments</w:t>
      </w:r>
      <w:r w:rsidR="00C30830">
        <w:rPr>
          <w:rStyle w:val="EndnoteReference"/>
        </w:rPr>
        <w:endnoteReference w:id="3"/>
      </w:r>
      <w:r>
        <w:t>. The complexity, number of unique technologies, and scale of this undertaking necessitates the use of modeling techniques to develop accurate predictions of potential ISRU plant designs</w:t>
      </w:r>
      <w:r w:rsidR="00CD70B5">
        <w:t>, and focus efforts on the most critical design bottlenecks</w:t>
      </w:r>
      <w:r>
        <w:t>.</w:t>
      </w:r>
    </w:p>
    <w:p w14:paraId="38784268" w14:textId="3F6A1DBD" w:rsidR="00112093" w:rsidRDefault="00D82510" w:rsidP="00791897">
      <w:pPr>
        <w:pStyle w:val="Text"/>
        <w:ind w:firstLine="0"/>
      </w:pPr>
      <w:r>
        <w:tab/>
        <w:t xml:space="preserve">The Mission </w:t>
      </w:r>
      <w:r w:rsidR="00CD70B5">
        <w:t xml:space="preserve">Analysis and </w:t>
      </w:r>
      <w:r>
        <w:t>Integration Tool (MAIT) is a framework that connects individual ISRU subsystem</w:t>
      </w:r>
      <w:r w:rsidR="00EE6663">
        <w:t xml:space="preserve"> models</w:t>
      </w:r>
      <w:r>
        <w:t xml:space="preserve"> </w:t>
      </w:r>
      <w:r w:rsidRPr="004B6584">
        <w:t xml:space="preserve">for </w:t>
      </w:r>
      <w:r>
        <w:t xml:space="preserve">the </w:t>
      </w:r>
      <w:r w:rsidRPr="004B6584">
        <w:t>purpose</w:t>
      </w:r>
      <w:r>
        <w:t>s</w:t>
      </w:r>
      <w:r w:rsidRPr="004B6584">
        <w:t xml:space="preserve"> of technology downselect, </w:t>
      </w:r>
      <w:r w:rsidR="0097385F">
        <w:t xml:space="preserve">scaling &amp; </w:t>
      </w:r>
      <w:r w:rsidRPr="004B6584">
        <w:t xml:space="preserve">optimization, and end-to-end process </w:t>
      </w:r>
      <w:r>
        <w:t>planning</w:t>
      </w:r>
      <w:r w:rsidRPr="004B6584">
        <w:t>.</w:t>
      </w:r>
      <w:r>
        <w:t xml:space="preserve"> The aim in building MAIT </w:t>
      </w:r>
      <w:r w:rsidR="0097385F">
        <w:t>i</w:t>
      </w:r>
      <w:r>
        <w:t xml:space="preserve">s to address specific STMD </w:t>
      </w:r>
      <w:r w:rsidR="0097385F">
        <w:t xml:space="preserve">capability </w:t>
      </w:r>
      <w:r>
        <w:t xml:space="preserve">gaps </w:t>
      </w:r>
      <w:r w:rsidR="00CD70B5">
        <w:t xml:space="preserve">by </w:t>
      </w:r>
      <w:r w:rsidR="000526B6">
        <w:t>simulating ISRU system</w:t>
      </w:r>
      <w:r w:rsidR="0097385F">
        <w:t xml:space="preserve">s, </w:t>
      </w:r>
      <w:r w:rsidR="000526B6">
        <w:t xml:space="preserve">and </w:t>
      </w:r>
      <w:r w:rsidR="0097385F">
        <w:t>producing models that future project managers can use to link Key Performance Parameters (KPP) and environmental requirements by employing Model-Based System Engineering (MBSE) techniques</w:t>
      </w:r>
      <w:r>
        <w:t xml:space="preserve">. The framework </w:t>
      </w:r>
      <w:r w:rsidR="0097385F">
        <w:t>i</w:t>
      </w:r>
      <w:r>
        <w:t xml:space="preserve">s adaptive, flexible, and </w:t>
      </w:r>
      <w:r w:rsidR="0097385F">
        <w:t>suitable for</w:t>
      </w:r>
      <w:r>
        <w:t xml:space="preserve"> collaboration among government</w:t>
      </w:r>
      <w:r w:rsidR="0097385F">
        <w:t>,</w:t>
      </w:r>
      <w:r>
        <w:t xml:space="preserve"> private sector</w:t>
      </w:r>
      <w:r w:rsidR="0097385F">
        <w:t>, and international</w:t>
      </w:r>
      <w:r>
        <w:t xml:space="preserve"> entities. </w:t>
      </w:r>
      <w:r w:rsidR="0097385F">
        <w:t xml:space="preserve">The JSC </w:t>
      </w:r>
      <w:r>
        <w:t xml:space="preserve">approach </w:t>
      </w:r>
      <w:r w:rsidR="00616EB0">
        <w:t xml:space="preserve">seeks to </w:t>
      </w:r>
      <w:r w:rsidR="000526B6">
        <w:t xml:space="preserve">provide </w:t>
      </w:r>
      <w:r w:rsidR="00616EB0">
        <w:t xml:space="preserve">conventional </w:t>
      </w:r>
      <w:r w:rsidR="00616EB0">
        <w:t>outputs</w:t>
      </w:r>
      <w:r w:rsidR="00616EB0">
        <w:t xml:space="preserve">, such as </w:t>
      </w:r>
      <w:r w:rsidR="00616EB0">
        <w:t>mass, power, and volume</w:t>
      </w:r>
      <w:r w:rsidR="00616EB0">
        <w:t xml:space="preserve">, </w:t>
      </w:r>
      <w:r w:rsidR="000526B6">
        <w:t>to analyze</w:t>
      </w:r>
      <w:r w:rsidR="003E7E83">
        <w:t xml:space="preserve"> </w:t>
      </w:r>
      <w:r>
        <w:t xml:space="preserve">whole system </w:t>
      </w:r>
      <w:r w:rsidR="000526B6">
        <w:t>trade space</w:t>
      </w:r>
      <w:r w:rsidR="003E7E83">
        <w:t>s</w:t>
      </w:r>
      <w:r w:rsidR="00616EB0">
        <w:t>. Moreover, the framework was designed to</w:t>
      </w:r>
      <w:r w:rsidR="00E83D75">
        <w:t xml:space="preserve"> </w:t>
      </w:r>
      <w:r w:rsidR="000526B6">
        <w:t xml:space="preserve">validate </w:t>
      </w:r>
      <w:r w:rsidR="00616EB0">
        <w:t xml:space="preserve">current </w:t>
      </w:r>
      <w:r w:rsidR="000526B6">
        <w:t xml:space="preserve">breadboard </w:t>
      </w:r>
      <w:r>
        <w:t xml:space="preserve">subsystems, </w:t>
      </w:r>
      <w:r w:rsidR="00616EB0">
        <w:t>simulate</w:t>
      </w:r>
      <w:r w:rsidR="00616EB0">
        <w:t xml:space="preserve"> </w:t>
      </w:r>
      <w:r w:rsidR="00616EB0">
        <w:t>future process design</w:t>
      </w:r>
      <w:r w:rsidR="00616EB0">
        <w:t xml:space="preserve"> </w:t>
      </w:r>
      <w:r>
        <w:t>capacity</w:t>
      </w:r>
      <w:r w:rsidR="00616EB0">
        <w:t>,</w:t>
      </w:r>
      <w:r>
        <w:t xml:space="preserve"> </w:t>
      </w:r>
      <w:r w:rsidR="00616EB0">
        <w:t>and allow enough flexibility to any</w:t>
      </w:r>
      <w:r w:rsidR="00616EB0">
        <w:t xml:space="preserve"> </w:t>
      </w:r>
      <w:r w:rsidR="00616EB0">
        <w:t>developer-driven subsystem models outside of JSC that are</w:t>
      </w:r>
      <w:r>
        <w:t xml:space="preserve"> in a state of evolution. MAIT consists of modular elements that read and pass information between individual subsystems</w:t>
      </w:r>
      <w:r w:rsidR="00E83D75">
        <w:t xml:space="preserve">, </w:t>
      </w:r>
      <w:r>
        <w:t>which can then</w:t>
      </w:r>
      <w:r w:rsidR="0097385F">
        <w:t xml:space="preserve"> </w:t>
      </w:r>
      <w:r>
        <w:t>be arranged</w:t>
      </w:r>
      <w:r w:rsidRPr="00155761">
        <w:t xml:space="preserve"> </w:t>
      </w:r>
      <w:r>
        <w:t xml:space="preserve">into a customized full architecture. These modular elements are robust enough to access files written in multiple software languages, and the “drag-and-drop” data manipulation can modify or substitute process flow diagrams according to the desired end user need. This tool is currently being used to assess various interconnected ISRU technologies in water processing and oxygen extraction from lunar regolith; however, the </w:t>
      </w:r>
      <w:r w:rsidR="00F61517">
        <w:t xml:space="preserve">standardized </w:t>
      </w:r>
      <w:r>
        <w:t xml:space="preserve">modular design </w:t>
      </w:r>
      <w:r w:rsidR="00407D7E">
        <w:t>is generic</w:t>
      </w:r>
      <w:r w:rsidR="006E327C">
        <w:t xml:space="preserve"> </w:t>
      </w:r>
      <w:r w:rsidR="00F61517">
        <w:t>in order to</w:t>
      </w:r>
      <w:r w:rsidR="00407D7E">
        <w:t xml:space="preserve"> </w:t>
      </w:r>
      <w:r>
        <w:t xml:space="preserve">implement a wide array of ISRU subsystem models.   </w:t>
      </w:r>
    </w:p>
    <w:p w14:paraId="78986173" w14:textId="45E2773A" w:rsidR="00112093" w:rsidRDefault="00D82510" w:rsidP="003E01D4">
      <w:pPr>
        <w:pStyle w:val="Heading1"/>
        <w:numPr>
          <w:ilvl w:val="0"/>
          <w:numId w:val="1"/>
        </w:numPr>
      </w:pPr>
      <w:r>
        <w:t>Overview of MAIT Framework</w:t>
      </w:r>
    </w:p>
    <w:p w14:paraId="40A97F45" w14:textId="290950C3" w:rsidR="00D82510" w:rsidRDefault="00D82510" w:rsidP="00D82510">
      <w:pPr>
        <w:ind w:firstLine="270"/>
      </w:pPr>
      <w:r>
        <w:t>The framework for MAIT consists of three parts: a user-manipulated spreadsheet containing the master list of subsystem variables, the process flow environment encoded and built in Simulink (part of the Mathworks graphical programming suite)</w:t>
      </w:r>
      <w:bookmarkStart w:id="1" w:name="_Ref157436432"/>
      <w:r w:rsidR="00F61517">
        <w:rPr>
          <w:rStyle w:val="EndnoteReference"/>
        </w:rPr>
        <w:endnoteReference w:id="4"/>
      </w:r>
      <w:bookmarkEnd w:id="1"/>
      <w:r>
        <w:t xml:space="preserve">, and </w:t>
      </w:r>
      <w:r w:rsidR="00864F66">
        <w:t>the</w:t>
      </w:r>
      <w:r w:rsidR="00791897">
        <w:t xml:space="preserve"> </w:t>
      </w:r>
      <w:r>
        <w:t>subsystem model files</w:t>
      </w:r>
      <w:r w:rsidR="00407D7E">
        <w:t xml:space="preserve"> prepared by technology developers</w:t>
      </w:r>
      <w:r>
        <w:t xml:space="preserve">. The master list is a spreadsheet that contains a library of variables organized under specific categories to be stored in a MATLAB data file and called later by </w:t>
      </w:r>
      <w:r w:rsidR="006E327C">
        <w:t xml:space="preserve">wrapper </w:t>
      </w:r>
      <w:r>
        <w:t xml:space="preserve">functions within the process flow environment. Variables are designated as </w:t>
      </w:r>
      <w:r w:rsidRPr="00864F66">
        <w:rPr>
          <w:i/>
          <w:iCs/>
        </w:rPr>
        <w:t>Global</w:t>
      </w:r>
      <w:r>
        <w:t xml:space="preserve"> (pertinent environmental or mission</w:t>
      </w:r>
      <w:r w:rsidR="00B8070C">
        <w:t>-</w:t>
      </w:r>
      <w:r>
        <w:t xml:space="preserve">specific conditions), </w:t>
      </w:r>
      <w:r w:rsidRPr="00864F66">
        <w:rPr>
          <w:i/>
          <w:iCs/>
        </w:rPr>
        <w:t>Local</w:t>
      </w:r>
      <w:r>
        <w:t xml:space="preserve"> (applicable to an individual subsystem), or </w:t>
      </w:r>
      <w:r w:rsidRPr="00864F66">
        <w:rPr>
          <w:i/>
          <w:iCs/>
        </w:rPr>
        <w:t>Passed</w:t>
      </w:r>
      <w:r>
        <w:t xml:space="preserve">. Examples of </w:t>
      </w:r>
      <w:r w:rsidR="00AC51E4">
        <w:t xml:space="preserve">a </w:t>
      </w:r>
      <w:r>
        <w:t>global variable include the Lunar or Martian gravity constant, the density and composition of extracted material, mission duration</w:t>
      </w:r>
      <w:r w:rsidR="00407D7E">
        <w:t>,</w:t>
      </w:r>
      <w:r>
        <w:t xml:space="preserve"> or system operating time. Local variables are designated </w:t>
      </w:r>
      <w:r w:rsidR="00AC51E4">
        <w:t xml:space="preserve">as </w:t>
      </w:r>
      <w:r>
        <w:t>process-specific, so all input and output variables required to run a subsystem model are recorded in the master list</w:t>
      </w:r>
      <w:r w:rsidR="006E327C">
        <w:t xml:space="preserve"> and then called in order of the system configuration</w:t>
      </w:r>
      <w:r>
        <w:t xml:space="preserve">. Passed variables describe dynamic information that cascades through the subsystem model blocks and is constantly being updated with the results of model runs or parametric sweeps. One type of </w:t>
      </w:r>
      <w:r w:rsidRPr="00864F66">
        <w:rPr>
          <w:i/>
          <w:iCs/>
        </w:rPr>
        <w:t>Passed</w:t>
      </w:r>
      <w:r>
        <w:t xml:space="preserve"> variable is a standardized dataset containing critical chemical, fluid, and thermodynamic parameters, which are sequentially used as an input and updated by each block module before being passed to subsequent modules. The other type would only be applicable for a specific case where a subsystem is split into two separate file types, and therefore modeling the complete subsystem requires connecting an additional array of non-standardized data</w:t>
      </w:r>
      <w:r w:rsidR="00AC51E4">
        <w:t xml:space="preserve"> from one module to another</w:t>
      </w:r>
      <w:r>
        <w:t xml:space="preserve">. The MATLAB base code configuring the block modules was written to be compatible with a number of </w:t>
      </w:r>
      <w:r>
        <w:lastRenderedPageBreak/>
        <w:t xml:space="preserve">software languages, allowing the subsystem model to run in its original form based on its required inputs and transfer the output data back into their respective location in the MAIT matrix. The outputs are delineated </w:t>
      </w:r>
      <w:r w:rsidR="00AC51E4">
        <w:t>in</w:t>
      </w:r>
      <w:r>
        <w:t xml:space="preserve"> an output directory between common parameters of interest </w:t>
      </w:r>
      <w:r w:rsidR="006E327C">
        <w:t xml:space="preserve">to the user </w:t>
      </w:r>
      <w:r>
        <w:t>(standard</w:t>
      </w:r>
      <w:r w:rsidR="006E327C">
        <w:t xml:space="preserve"> results</w:t>
      </w:r>
      <w:r>
        <w:t>)</w:t>
      </w:r>
      <w:r w:rsidR="00AC51E4">
        <w:t xml:space="preserve"> </w:t>
      </w:r>
      <w:r>
        <w:t xml:space="preserve">and </w:t>
      </w:r>
      <w:r w:rsidR="00AC51E4">
        <w:t xml:space="preserve">the </w:t>
      </w:r>
      <w:r>
        <w:t xml:space="preserve">local results relevant to each individual unit process. </w:t>
      </w:r>
    </w:p>
    <w:p w14:paraId="53C1FAD7" w14:textId="77777777" w:rsidR="00A2685D" w:rsidRDefault="00A2685D" w:rsidP="00D82510">
      <w:pPr>
        <w:ind w:firstLine="270"/>
      </w:pPr>
    </w:p>
    <w:p w14:paraId="28663A4C" w14:textId="77777777" w:rsidR="00A2685D" w:rsidRDefault="00A2685D" w:rsidP="00D82510">
      <w:pPr>
        <w:ind w:firstLine="270"/>
      </w:pPr>
    </w:p>
    <w:p w14:paraId="7653A84D" w14:textId="01165D09" w:rsidR="00D82510" w:rsidRDefault="00A2685D" w:rsidP="00A2685D">
      <w:r>
        <w:rPr>
          <w:noProof/>
        </w:rPr>
        <w:drawing>
          <wp:inline distT="0" distB="0" distL="0" distR="0" wp14:anchorId="51FBCF00" wp14:editId="15DBF72F">
            <wp:extent cx="5928351" cy="2965450"/>
            <wp:effectExtent l="0" t="0" r="0" b="6350"/>
            <wp:docPr id="1216998279"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98279" name="Picture 1"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85296" cy="2993935"/>
                    </a:xfrm>
                    <a:prstGeom prst="rect">
                      <a:avLst/>
                    </a:prstGeom>
                    <a:noFill/>
                  </pic:spPr>
                </pic:pic>
              </a:graphicData>
            </a:graphic>
          </wp:inline>
        </w:drawing>
      </w:r>
    </w:p>
    <w:p w14:paraId="46AE42D2" w14:textId="2F5CC0D6" w:rsidR="00D82510" w:rsidRDefault="00D82510" w:rsidP="00D82510"/>
    <w:p w14:paraId="193F24F6" w14:textId="656C0CDF" w:rsidR="00D82510" w:rsidRDefault="00F61517" w:rsidP="00A2685D">
      <w:pPr>
        <w:pStyle w:val="Caption"/>
        <w:framePr w:hSpace="187" w:vSpace="187" w:wrap="around" w:vAnchor="text" w:hAnchor="text" w:y="1"/>
      </w:pPr>
      <w:bookmarkStart w:id="2" w:name="_Ref157436215"/>
      <w:r>
        <w:t xml:space="preserve">Figure </w:t>
      </w:r>
      <w:r>
        <w:fldChar w:fldCharType="begin"/>
      </w:r>
      <w:r>
        <w:instrText xml:space="preserve"> SEQ Figure \* ARABIC </w:instrText>
      </w:r>
      <w:r>
        <w:fldChar w:fldCharType="separate"/>
      </w:r>
      <w:r w:rsidR="00727F86">
        <w:rPr>
          <w:noProof/>
        </w:rPr>
        <w:t>1</w:t>
      </w:r>
      <w:r>
        <w:rPr>
          <w:noProof/>
        </w:rPr>
        <w:fldChar w:fldCharType="end"/>
      </w:r>
      <w:bookmarkEnd w:id="2"/>
      <w:r w:rsidR="00D82510">
        <w:t>: MAIT process flow diagram</w:t>
      </w:r>
      <w:r w:rsidR="00A2685D">
        <w:t xml:space="preserve">. </w:t>
      </w:r>
      <w:r w:rsidR="00A2685D">
        <w:rPr>
          <w:b w:val="0"/>
          <w:i/>
        </w:rPr>
        <w:t xml:space="preserve">Example subsystem modules are shown in black, </w:t>
      </w:r>
      <w:r w:rsidR="00A5136B">
        <w:rPr>
          <w:b w:val="0"/>
          <w:i/>
        </w:rPr>
        <w:t xml:space="preserve">and </w:t>
      </w:r>
      <w:r w:rsidR="00A2685D">
        <w:rPr>
          <w:b w:val="0"/>
          <w:i/>
        </w:rPr>
        <w:t xml:space="preserve">external or saved files are shown in red and green. </w:t>
      </w:r>
      <w:r w:rsidR="00EE6663">
        <w:rPr>
          <w:b w:val="0"/>
          <w:i/>
        </w:rPr>
        <w:t>Black arrows indicate the flow of passed variables and are directly visible in the Simulink environment. Red and green arrows indicate flow of all variables, and are not visible in the Simulink environment, but instead automatically executed for every run of the model.</w:t>
      </w:r>
    </w:p>
    <w:p w14:paraId="176EAB72" w14:textId="5AD4B38D" w:rsidR="00A2685D" w:rsidRPr="00864F66" w:rsidRDefault="00A2685D" w:rsidP="003E01D4">
      <w:pPr>
        <w:pStyle w:val="Heading2"/>
        <w:numPr>
          <w:ilvl w:val="0"/>
          <w:numId w:val="3"/>
        </w:numPr>
        <w:spacing w:before="0"/>
        <w:rPr>
          <w:i/>
          <w:iCs/>
        </w:rPr>
      </w:pPr>
      <w:r w:rsidRPr="00864F66">
        <w:rPr>
          <w:i/>
          <w:iCs/>
        </w:rPr>
        <w:t>Variable Master List and Input Structure</w:t>
      </w:r>
    </w:p>
    <w:p w14:paraId="69635F60" w14:textId="7D36C483" w:rsidR="00A2685D" w:rsidRDefault="00864F66" w:rsidP="00864F66">
      <w:pPr>
        <w:ind w:firstLine="270"/>
      </w:pPr>
      <w:r>
        <w:t xml:space="preserve">An important first component is </w:t>
      </w:r>
      <w:r w:rsidR="00A2685D">
        <w:t xml:space="preserve">MAIT’s library of variables </w:t>
      </w:r>
      <w:r>
        <w:t xml:space="preserve">that are </w:t>
      </w:r>
      <w:r w:rsidR="00A2685D">
        <w:t xml:space="preserve">arranged within a master list. The purpose for </w:t>
      </w:r>
      <w:r>
        <w:t xml:space="preserve">centralizing </w:t>
      </w:r>
      <w:r w:rsidR="00A2685D">
        <w:t>all variables in a</w:t>
      </w:r>
      <w:r>
        <w:t xml:space="preserve">n external </w:t>
      </w:r>
      <w:r w:rsidR="00A2685D">
        <w:t>location is that it allows MAIT to index and reference all input and output variable names in the correct order and enables communication to external subsystem files. As the overall architecture complexity increases, the variable list can drastically expand, mostly due to a growing number of local variables to describe the connected subsystems. A simple example of some items in the master list input array is shown in</w:t>
      </w:r>
      <w:r w:rsidR="00856802">
        <w:t xml:space="preserve"> </w:t>
      </w:r>
      <w:r w:rsidR="00856802">
        <w:fldChar w:fldCharType="begin"/>
      </w:r>
      <w:r w:rsidR="00856802">
        <w:instrText xml:space="preserve"> REF _Ref157436264 \h </w:instrText>
      </w:r>
      <w:r w:rsidR="00856802">
        <w:fldChar w:fldCharType="separate"/>
      </w:r>
      <w:r w:rsidR="00856802">
        <w:t xml:space="preserve">Table </w:t>
      </w:r>
      <w:r w:rsidR="00856802">
        <w:rPr>
          <w:noProof/>
        </w:rPr>
        <w:t>1</w:t>
      </w:r>
      <w:r w:rsidR="00856802">
        <w:fldChar w:fldCharType="end"/>
      </w:r>
      <w:r w:rsidR="00A2685D">
        <w:t>. A script (</w:t>
      </w:r>
      <w:r w:rsidR="00A2685D" w:rsidRPr="00D75831">
        <w:rPr>
          <w:i/>
          <w:iCs/>
        </w:rPr>
        <w:t>ReadInputs</w:t>
      </w:r>
      <w:r w:rsidR="00A2685D">
        <w:t xml:space="preserve"> depicted in</w:t>
      </w:r>
      <w:r w:rsidR="00F61517">
        <w:t xml:space="preserve"> </w:t>
      </w:r>
      <w:r w:rsidR="00856802">
        <w:fldChar w:fldCharType="begin"/>
      </w:r>
      <w:r w:rsidR="00856802">
        <w:instrText xml:space="preserve"> REF _Ref157436215 \h </w:instrText>
      </w:r>
      <w:r w:rsidR="00856802">
        <w:fldChar w:fldCharType="separate"/>
      </w:r>
      <w:r w:rsidR="00856802">
        <w:t xml:space="preserve">Figure </w:t>
      </w:r>
      <w:r w:rsidR="00856802">
        <w:rPr>
          <w:noProof/>
        </w:rPr>
        <w:t>1</w:t>
      </w:r>
      <w:r w:rsidR="00856802">
        <w:fldChar w:fldCharType="end"/>
      </w:r>
      <w:r w:rsidR="00A2685D">
        <w:t>) accesses the master list (</w:t>
      </w:r>
      <w:r w:rsidR="00A2685D" w:rsidRPr="000C6E7B">
        <w:rPr>
          <w:i/>
          <w:iCs/>
        </w:rPr>
        <w:t>InputVars</w:t>
      </w:r>
      <w:r w:rsidR="00A2685D">
        <w:t>) to fill in values for the Global and Passed variables</w:t>
      </w:r>
      <w:r w:rsidR="00A2685D" w:rsidRPr="00D75831">
        <w:t xml:space="preserve"> </w:t>
      </w:r>
      <w:r w:rsidR="00A2685D">
        <w:t xml:space="preserve">array. Local variables are </w:t>
      </w:r>
      <w:r w:rsidR="00EE6663">
        <w:t xml:space="preserve">organized by </w:t>
      </w:r>
      <w:r w:rsidR="00A2685D">
        <w:t>model name</w:t>
      </w:r>
      <w:r w:rsidR="007A5F93">
        <w:t xml:space="preserve"> and stored in separate sheets to simplify </w:t>
      </w:r>
      <w:r w:rsidR="00A5136B">
        <w:t xml:space="preserve">the </w:t>
      </w:r>
      <w:r w:rsidR="007A5F93">
        <w:t>addition or removal of subsystems without affecting the overall architecture</w:t>
      </w:r>
      <w:r w:rsidR="00A2685D">
        <w:t xml:space="preserve">. </w:t>
      </w:r>
      <w:r w:rsidR="00A2685D" w:rsidRPr="00EC252C">
        <w:rPr>
          <w:i/>
          <w:iCs/>
        </w:rPr>
        <w:t>ReadInputs</w:t>
      </w:r>
      <w:r w:rsidR="00A2685D">
        <w:t xml:space="preserve"> stores all variable names and values in an internal MATLAB data file. Additionally, the script reads into the data file all variables desired for a parametric sweep run, such as variable name, range of values to include in the sweep, and the number of iterations required (i.e., step size). </w:t>
      </w:r>
      <w:r w:rsidR="007A5F93">
        <w:t xml:space="preserve">Parametric sweeps can be performed on any variable type, i.e., global, passed, or local, depending on the analysis goals. </w:t>
      </w:r>
      <w:r w:rsidR="00A2685D">
        <w:t>This comprehensive set of data (</w:t>
      </w:r>
      <w:r w:rsidR="00A2685D" w:rsidRPr="00EC252C">
        <w:rPr>
          <w:i/>
          <w:iCs/>
        </w:rPr>
        <w:t>Inputs.mat</w:t>
      </w:r>
      <w:r w:rsidR="00A2685D">
        <w:t xml:space="preserve">) is called sequentially by the module functions as the modeling run progresses to completion. </w:t>
      </w:r>
    </w:p>
    <w:p w14:paraId="3433C857" w14:textId="77777777" w:rsidR="00A2685D" w:rsidRDefault="00A2685D" w:rsidP="00A2685D">
      <w:pPr>
        <w:ind w:firstLine="180"/>
      </w:pPr>
    </w:p>
    <w:p w14:paraId="39C97B57" w14:textId="77777777" w:rsidR="0086154B" w:rsidRDefault="0086154B" w:rsidP="0086154B">
      <w:pPr>
        <w:pStyle w:val="Heading2"/>
        <w:numPr>
          <w:ilvl w:val="0"/>
          <w:numId w:val="3"/>
        </w:numPr>
        <w:spacing w:before="0"/>
      </w:pPr>
      <w:r>
        <w:rPr>
          <w:i/>
          <w:iCs/>
        </w:rPr>
        <w:t xml:space="preserve">Process Flow Environment &amp; </w:t>
      </w:r>
      <w:r w:rsidRPr="00471415">
        <w:rPr>
          <w:i/>
          <w:iCs/>
        </w:rPr>
        <w:t>Module Description</w:t>
      </w:r>
    </w:p>
    <w:p w14:paraId="018D8CD4" w14:textId="33D6003B" w:rsidR="0086154B" w:rsidRDefault="0086154B" w:rsidP="0086154B">
      <w:pPr>
        <w:ind w:firstLine="270"/>
      </w:pPr>
      <w:r>
        <w:t>The majority of architecture modeling work is completed in a Simulink process flow environment, a MBSE application</w:t>
      </w:r>
      <w:r w:rsidR="00856802" w:rsidRPr="00856802">
        <w:rPr>
          <w:vertAlign w:val="superscript"/>
        </w:rPr>
        <w:fldChar w:fldCharType="begin"/>
      </w:r>
      <w:r w:rsidR="00856802" w:rsidRPr="00856802">
        <w:rPr>
          <w:vertAlign w:val="superscript"/>
        </w:rPr>
        <w:instrText xml:space="preserve"> NOTEREF _Ref157436432 \h </w:instrText>
      </w:r>
      <w:r w:rsidR="00856802">
        <w:rPr>
          <w:vertAlign w:val="superscript"/>
        </w:rPr>
        <w:instrText xml:space="preserve"> \* MERGEFORMAT </w:instrText>
      </w:r>
      <w:r w:rsidR="00856802" w:rsidRPr="00856802">
        <w:rPr>
          <w:vertAlign w:val="superscript"/>
        </w:rPr>
      </w:r>
      <w:r w:rsidR="00856802" w:rsidRPr="00856802">
        <w:rPr>
          <w:vertAlign w:val="superscript"/>
        </w:rPr>
        <w:fldChar w:fldCharType="separate"/>
      </w:r>
      <w:r w:rsidR="00856802" w:rsidRPr="00856802">
        <w:rPr>
          <w:vertAlign w:val="superscript"/>
        </w:rPr>
        <w:t>4</w:t>
      </w:r>
      <w:r w:rsidR="00856802" w:rsidRPr="00856802">
        <w:rPr>
          <w:vertAlign w:val="superscript"/>
        </w:rPr>
        <w:fldChar w:fldCharType="end"/>
      </w:r>
      <w:r>
        <w:t xml:space="preserve"> that connects the library of variables (or master list) mentioned previously to module blocks that, in turn, access and run individual subsystem model files. The graphical user interface of MAIT consists of blocks and arrows representing the modular functions and standardized flow of data that connects input and output ports. Inputs consist of the Passed variables described previously. Commonly reported output components used to calculate equivalent system mass (ESM), such as heat rejection requirements, power demand, and subsystem mass, are recorded for </w:t>
      </w:r>
      <w:r>
        <w:lastRenderedPageBreak/>
        <w:t>downstream accounting (see</w:t>
      </w:r>
      <w:r w:rsidR="00856802">
        <w:t xml:space="preserve"> </w:t>
      </w:r>
      <w:r w:rsidR="00856802">
        <w:fldChar w:fldCharType="begin"/>
      </w:r>
      <w:r w:rsidR="00856802">
        <w:instrText xml:space="preserve"> REF _Ref157436215 \h </w:instrText>
      </w:r>
      <w:r w:rsidR="00856802">
        <w:fldChar w:fldCharType="separate"/>
      </w:r>
      <w:r w:rsidR="00856802">
        <w:t xml:space="preserve">Figure </w:t>
      </w:r>
      <w:r w:rsidR="00856802">
        <w:rPr>
          <w:noProof/>
        </w:rPr>
        <w:t>1</w:t>
      </w:r>
      <w:r w:rsidR="00856802">
        <w:fldChar w:fldCharType="end"/>
      </w:r>
      <w:r>
        <w:t xml:space="preserve">). Other localized results taken from subsystem modeling runs are written to an accessible file directory. </w:t>
      </w:r>
    </w:p>
    <w:p w14:paraId="5E9D4D2E" w14:textId="77777777" w:rsidR="006E327C" w:rsidRDefault="006E327C" w:rsidP="00A2685D">
      <w:pPr>
        <w:ind w:firstLine="180"/>
      </w:pPr>
    </w:p>
    <w:p w14:paraId="1BD54573" w14:textId="391DDF4F" w:rsidR="00A2685D" w:rsidRDefault="00856802" w:rsidP="00856802">
      <w:pPr>
        <w:pStyle w:val="Caption"/>
      </w:pPr>
      <w:bookmarkStart w:id="3" w:name="_Ref157436264"/>
      <w:r>
        <w:t xml:space="preserve">Table </w:t>
      </w:r>
      <w:r>
        <w:fldChar w:fldCharType="begin"/>
      </w:r>
      <w:r>
        <w:instrText xml:space="preserve"> SEQ Table \* ARABIC </w:instrText>
      </w:r>
      <w:r>
        <w:fldChar w:fldCharType="separate"/>
      </w:r>
      <w:r>
        <w:rPr>
          <w:noProof/>
        </w:rPr>
        <w:t>1</w:t>
      </w:r>
      <w:r>
        <w:rPr>
          <w:noProof/>
        </w:rPr>
        <w:fldChar w:fldCharType="end"/>
      </w:r>
      <w:bookmarkEnd w:id="3"/>
      <w:r w:rsidR="00A2685D">
        <w:t xml:space="preserve">: Simple </w:t>
      </w:r>
      <w:r w:rsidR="00A5136B">
        <w:t>E</w:t>
      </w:r>
      <w:r w:rsidR="00A2685D">
        <w:t xml:space="preserve">xample of MAIT Input Tale </w:t>
      </w:r>
      <w:r w:rsidR="00A2685D">
        <w:rPr>
          <w:b w:val="0"/>
          <w:i/>
        </w:rPr>
        <w:t>displaying variables &amp; headers used to index within internal array</w:t>
      </w:r>
    </w:p>
    <w:tbl>
      <w:tblPr>
        <w:tblStyle w:val="PlainTable2"/>
        <w:tblW w:w="0" w:type="auto"/>
        <w:jc w:val="center"/>
        <w:tblLook w:val="04A0" w:firstRow="1" w:lastRow="0" w:firstColumn="1" w:lastColumn="0" w:noHBand="0" w:noVBand="1"/>
      </w:tblPr>
      <w:tblGrid>
        <w:gridCol w:w="2245"/>
        <w:gridCol w:w="1980"/>
        <w:gridCol w:w="2135"/>
        <w:gridCol w:w="760"/>
      </w:tblGrid>
      <w:tr w:rsidR="00A2685D" w:rsidRPr="00791897" w14:paraId="7DEDAC22" w14:textId="77777777" w:rsidTr="0079189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2BC316A2" w14:textId="77777777" w:rsidR="00A2685D" w:rsidRPr="00791897" w:rsidRDefault="00A2685D" w:rsidP="001D0A78">
            <w:pPr>
              <w:jc w:val="center"/>
            </w:pPr>
            <w:r w:rsidRPr="00791897">
              <w:t>Category</w:t>
            </w:r>
          </w:p>
        </w:tc>
        <w:tc>
          <w:tcPr>
            <w:tcW w:w="1980" w:type="dxa"/>
          </w:tcPr>
          <w:p w14:paraId="76480CB4" w14:textId="77777777" w:rsidR="00A2685D" w:rsidRPr="00791897" w:rsidRDefault="00A2685D" w:rsidP="001D0A78">
            <w:pPr>
              <w:jc w:val="center"/>
              <w:cnfStyle w:val="100000000000" w:firstRow="1" w:lastRow="0" w:firstColumn="0" w:lastColumn="0" w:oddVBand="0" w:evenVBand="0" w:oddHBand="0" w:evenHBand="0" w:firstRowFirstColumn="0" w:firstRowLastColumn="0" w:lastRowFirstColumn="0" w:lastRowLastColumn="0"/>
            </w:pPr>
            <w:r w:rsidRPr="00791897">
              <w:t>Input/Output Flag</w:t>
            </w:r>
          </w:p>
        </w:tc>
        <w:tc>
          <w:tcPr>
            <w:tcW w:w="2135" w:type="dxa"/>
          </w:tcPr>
          <w:p w14:paraId="451C5D03" w14:textId="77777777" w:rsidR="00A2685D" w:rsidRPr="00791897" w:rsidRDefault="00A2685D" w:rsidP="001D0A78">
            <w:pPr>
              <w:jc w:val="center"/>
              <w:cnfStyle w:val="100000000000" w:firstRow="1" w:lastRow="0" w:firstColumn="0" w:lastColumn="0" w:oddVBand="0" w:evenVBand="0" w:oddHBand="0" w:evenHBand="0" w:firstRowFirstColumn="0" w:firstRowLastColumn="0" w:lastRowFirstColumn="0" w:lastRowLastColumn="0"/>
            </w:pPr>
            <w:r w:rsidRPr="00791897">
              <w:t>Variable Name</w:t>
            </w:r>
          </w:p>
        </w:tc>
        <w:tc>
          <w:tcPr>
            <w:tcW w:w="760" w:type="dxa"/>
          </w:tcPr>
          <w:p w14:paraId="6C290D3C" w14:textId="77777777" w:rsidR="00A2685D" w:rsidRPr="00791897" w:rsidRDefault="00A2685D" w:rsidP="001D0A78">
            <w:pPr>
              <w:jc w:val="center"/>
              <w:cnfStyle w:val="100000000000" w:firstRow="1" w:lastRow="0" w:firstColumn="0" w:lastColumn="0" w:oddVBand="0" w:evenVBand="0" w:oddHBand="0" w:evenHBand="0" w:firstRowFirstColumn="0" w:firstRowLastColumn="0" w:lastRowFirstColumn="0" w:lastRowLastColumn="0"/>
            </w:pPr>
            <w:r w:rsidRPr="00791897">
              <w:t>Units</w:t>
            </w:r>
          </w:p>
        </w:tc>
      </w:tr>
      <w:tr w:rsidR="00A2685D" w:rsidRPr="00791897" w14:paraId="75747982"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21F17F93" w14:textId="77777777" w:rsidR="00A2685D" w:rsidRPr="00791897" w:rsidRDefault="00A2685D" w:rsidP="001D0A78">
            <w:pPr>
              <w:jc w:val="center"/>
              <w:rPr>
                <w:b w:val="0"/>
                <w:bCs w:val="0"/>
              </w:rPr>
            </w:pPr>
            <w:r w:rsidRPr="00791897">
              <w:rPr>
                <w:b w:val="0"/>
                <w:bCs w:val="0"/>
              </w:rPr>
              <w:t>Global</w:t>
            </w:r>
          </w:p>
        </w:tc>
        <w:tc>
          <w:tcPr>
            <w:tcW w:w="1980" w:type="dxa"/>
          </w:tcPr>
          <w:p w14:paraId="48B8018B"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Input</w:t>
            </w:r>
          </w:p>
        </w:tc>
        <w:tc>
          <w:tcPr>
            <w:tcW w:w="2135" w:type="dxa"/>
          </w:tcPr>
          <w:p w14:paraId="562014DA"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Mission_Duration</w:t>
            </w:r>
          </w:p>
        </w:tc>
        <w:tc>
          <w:tcPr>
            <w:tcW w:w="760" w:type="dxa"/>
          </w:tcPr>
          <w:p w14:paraId="27CCC37E"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d</w:t>
            </w:r>
          </w:p>
        </w:tc>
      </w:tr>
      <w:tr w:rsidR="00A2685D" w:rsidRPr="00791897" w14:paraId="7F23BEE5"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10666E09" w14:textId="77777777" w:rsidR="00A2685D" w:rsidRPr="00791897" w:rsidRDefault="00A2685D" w:rsidP="001D0A78">
            <w:pPr>
              <w:jc w:val="center"/>
              <w:rPr>
                <w:b w:val="0"/>
                <w:bCs w:val="0"/>
              </w:rPr>
            </w:pPr>
            <w:r w:rsidRPr="00791897">
              <w:rPr>
                <w:b w:val="0"/>
                <w:bCs w:val="0"/>
              </w:rPr>
              <w:t>Global</w:t>
            </w:r>
          </w:p>
        </w:tc>
        <w:tc>
          <w:tcPr>
            <w:tcW w:w="1980" w:type="dxa"/>
          </w:tcPr>
          <w:p w14:paraId="449801D9"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Input</w:t>
            </w:r>
          </w:p>
        </w:tc>
        <w:tc>
          <w:tcPr>
            <w:tcW w:w="2135" w:type="dxa"/>
          </w:tcPr>
          <w:p w14:paraId="168BAC9D"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Temperature</w:t>
            </w:r>
          </w:p>
        </w:tc>
        <w:tc>
          <w:tcPr>
            <w:tcW w:w="760" w:type="dxa"/>
          </w:tcPr>
          <w:p w14:paraId="0769C128"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°C</w:t>
            </w:r>
          </w:p>
        </w:tc>
      </w:tr>
      <w:tr w:rsidR="00A2685D" w:rsidRPr="00791897" w14:paraId="4853F0EA"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195F4D35" w14:textId="77777777" w:rsidR="00A2685D" w:rsidRPr="00791897" w:rsidRDefault="00A2685D" w:rsidP="001D0A78">
            <w:pPr>
              <w:jc w:val="center"/>
              <w:rPr>
                <w:b w:val="0"/>
                <w:bCs w:val="0"/>
              </w:rPr>
            </w:pPr>
            <w:r w:rsidRPr="00791897">
              <w:rPr>
                <w:b w:val="0"/>
                <w:bCs w:val="0"/>
              </w:rPr>
              <w:t>Global</w:t>
            </w:r>
          </w:p>
        </w:tc>
        <w:tc>
          <w:tcPr>
            <w:tcW w:w="1980" w:type="dxa"/>
          </w:tcPr>
          <w:p w14:paraId="7821A106"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Input</w:t>
            </w:r>
          </w:p>
        </w:tc>
        <w:tc>
          <w:tcPr>
            <w:tcW w:w="2135" w:type="dxa"/>
          </w:tcPr>
          <w:p w14:paraId="3D2B5AEA"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Density</w:t>
            </w:r>
          </w:p>
        </w:tc>
        <w:tc>
          <w:tcPr>
            <w:tcW w:w="760" w:type="dxa"/>
          </w:tcPr>
          <w:p w14:paraId="434BA70A"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kg/m</w:t>
            </w:r>
            <w:r w:rsidRPr="00791897">
              <w:rPr>
                <w:vertAlign w:val="superscript"/>
              </w:rPr>
              <w:t>3</w:t>
            </w:r>
          </w:p>
        </w:tc>
      </w:tr>
      <w:tr w:rsidR="00A2685D" w:rsidRPr="00791897" w14:paraId="75374D37"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30A549A4" w14:textId="77777777" w:rsidR="00A2685D" w:rsidRPr="00791897" w:rsidRDefault="00A2685D" w:rsidP="001D0A78">
            <w:pPr>
              <w:jc w:val="center"/>
              <w:rPr>
                <w:b w:val="0"/>
                <w:bCs w:val="0"/>
              </w:rPr>
            </w:pPr>
            <w:r w:rsidRPr="00791897">
              <w:rPr>
                <w:b w:val="0"/>
                <w:bCs w:val="0"/>
              </w:rPr>
              <w:t>Passed</w:t>
            </w:r>
          </w:p>
        </w:tc>
        <w:tc>
          <w:tcPr>
            <w:tcW w:w="1980" w:type="dxa"/>
          </w:tcPr>
          <w:p w14:paraId="5006E5AE"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Input</w:t>
            </w:r>
          </w:p>
        </w:tc>
        <w:tc>
          <w:tcPr>
            <w:tcW w:w="2135" w:type="dxa"/>
          </w:tcPr>
          <w:p w14:paraId="33A61A88"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Inlet_Mass</w:t>
            </w:r>
          </w:p>
        </w:tc>
        <w:tc>
          <w:tcPr>
            <w:tcW w:w="760" w:type="dxa"/>
          </w:tcPr>
          <w:p w14:paraId="0654907A"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kg/hr</w:t>
            </w:r>
          </w:p>
        </w:tc>
      </w:tr>
      <w:tr w:rsidR="00A2685D" w:rsidRPr="00791897" w14:paraId="30C2384A"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659A4052" w14:textId="77777777" w:rsidR="00A2685D" w:rsidRPr="00791897" w:rsidRDefault="00A2685D" w:rsidP="001D0A78">
            <w:pPr>
              <w:jc w:val="center"/>
            </w:pPr>
            <w:r w:rsidRPr="00791897">
              <w:rPr>
                <w:b w:val="0"/>
                <w:bCs w:val="0"/>
              </w:rPr>
              <w:t>Passed</w:t>
            </w:r>
          </w:p>
        </w:tc>
        <w:tc>
          <w:tcPr>
            <w:tcW w:w="1980" w:type="dxa"/>
          </w:tcPr>
          <w:p w14:paraId="69A2880A"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Input</w:t>
            </w:r>
          </w:p>
        </w:tc>
        <w:tc>
          <w:tcPr>
            <w:tcW w:w="2135" w:type="dxa"/>
          </w:tcPr>
          <w:p w14:paraId="1B49EA4F"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Inlet_Pressure</w:t>
            </w:r>
          </w:p>
        </w:tc>
        <w:tc>
          <w:tcPr>
            <w:tcW w:w="760" w:type="dxa"/>
          </w:tcPr>
          <w:p w14:paraId="7DAEAA25"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Pa</w:t>
            </w:r>
          </w:p>
        </w:tc>
      </w:tr>
      <w:tr w:rsidR="00A2685D" w:rsidRPr="00791897" w14:paraId="50D51509"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25F6499F" w14:textId="77777777" w:rsidR="00A2685D" w:rsidRPr="00791897" w:rsidRDefault="00A2685D" w:rsidP="001D0A78">
            <w:pPr>
              <w:jc w:val="center"/>
            </w:pPr>
            <w:r w:rsidRPr="00791897">
              <w:rPr>
                <w:b w:val="0"/>
                <w:bCs w:val="0"/>
              </w:rPr>
              <w:t>Passed</w:t>
            </w:r>
          </w:p>
        </w:tc>
        <w:tc>
          <w:tcPr>
            <w:tcW w:w="1980" w:type="dxa"/>
          </w:tcPr>
          <w:p w14:paraId="74733153"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Input</w:t>
            </w:r>
          </w:p>
        </w:tc>
        <w:tc>
          <w:tcPr>
            <w:tcW w:w="2135" w:type="dxa"/>
          </w:tcPr>
          <w:p w14:paraId="023831D2"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Inlet_Temperature</w:t>
            </w:r>
          </w:p>
        </w:tc>
        <w:tc>
          <w:tcPr>
            <w:tcW w:w="760" w:type="dxa"/>
          </w:tcPr>
          <w:p w14:paraId="40DBF1B9"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K</w:t>
            </w:r>
          </w:p>
        </w:tc>
      </w:tr>
      <w:tr w:rsidR="00A2685D" w:rsidRPr="00791897" w14:paraId="6AB2EDCE"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16A0CEFE" w14:textId="77777777" w:rsidR="00A2685D" w:rsidRPr="00791897" w:rsidRDefault="00A2685D" w:rsidP="001D0A78">
            <w:pPr>
              <w:jc w:val="center"/>
              <w:rPr>
                <w:b w:val="0"/>
                <w:bCs w:val="0"/>
              </w:rPr>
            </w:pPr>
            <w:r w:rsidRPr="00791897">
              <w:rPr>
                <w:b w:val="0"/>
                <w:bCs w:val="0"/>
              </w:rPr>
              <w:t>[Model Name] Local</w:t>
            </w:r>
          </w:p>
        </w:tc>
        <w:tc>
          <w:tcPr>
            <w:tcW w:w="1980" w:type="dxa"/>
          </w:tcPr>
          <w:p w14:paraId="3231A61D"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Input</w:t>
            </w:r>
          </w:p>
        </w:tc>
        <w:tc>
          <w:tcPr>
            <w:tcW w:w="2135" w:type="dxa"/>
          </w:tcPr>
          <w:p w14:paraId="35BE7716"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Dimension1</w:t>
            </w:r>
          </w:p>
        </w:tc>
        <w:tc>
          <w:tcPr>
            <w:tcW w:w="760" w:type="dxa"/>
          </w:tcPr>
          <w:p w14:paraId="66EB4495"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m</w:t>
            </w:r>
          </w:p>
        </w:tc>
      </w:tr>
      <w:tr w:rsidR="00A2685D" w:rsidRPr="00791897" w14:paraId="2EDCFCB5"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6D59E454" w14:textId="73F9B715" w:rsidR="00A2685D" w:rsidRPr="00791897" w:rsidRDefault="00791897" w:rsidP="001D0A78">
            <w:pPr>
              <w:jc w:val="center"/>
              <w:rPr>
                <w:b w:val="0"/>
                <w:bCs w:val="0"/>
              </w:rPr>
            </w:pPr>
            <w:r w:rsidRPr="00791897">
              <w:rPr>
                <w:b w:val="0"/>
                <w:bCs w:val="0"/>
              </w:rPr>
              <w:t xml:space="preserve">[Model Name] </w:t>
            </w:r>
            <w:r w:rsidR="00A2685D" w:rsidRPr="00791897">
              <w:rPr>
                <w:b w:val="0"/>
                <w:bCs w:val="0"/>
              </w:rPr>
              <w:t>Local</w:t>
            </w:r>
          </w:p>
        </w:tc>
        <w:tc>
          <w:tcPr>
            <w:tcW w:w="1980" w:type="dxa"/>
          </w:tcPr>
          <w:p w14:paraId="2C996B52"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rPr>
                <w:b/>
                <w:bCs/>
              </w:rPr>
            </w:pPr>
            <w:r w:rsidRPr="00791897">
              <w:t>Input</w:t>
            </w:r>
          </w:p>
        </w:tc>
        <w:tc>
          <w:tcPr>
            <w:tcW w:w="2135" w:type="dxa"/>
          </w:tcPr>
          <w:p w14:paraId="14B6E58F"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rPr>
                <w:b/>
                <w:bCs/>
              </w:rPr>
            </w:pPr>
            <w:r w:rsidRPr="00791897">
              <w:t>Dimension2</w:t>
            </w:r>
          </w:p>
        </w:tc>
        <w:tc>
          <w:tcPr>
            <w:tcW w:w="760" w:type="dxa"/>
          </w:tcPr>
          <w:p w14:paraId="47915E57"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rPr>
                <w:b/>
                <w:bCs/>
              </w:rPr>
            </w:pPr>
            <w:r w:rsidRPr="00791897">
              <w:t>m</w:t>
            </w:r>
          </w:p>
        </w:tc>
      </w:tr>
      <w:tr w:rsidR="00A2685D" w:rsidRPr="00791897" w14:paraId="4AC76757"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6ED78212" w14:textId="77777777" w:rsidR="00A2685D" w:rsidRPr="00791897" w:rsidRDefault="00A2685D" w:rsidP="001D0A78">
            <w:pPr>
              <w:jc w:val="center"/>
              <w:rPr>
                <w:b w:val="0"/>
                <w:bCs w:val="0"/>
              </w:rPr>
            </w:pPr>
            <w:r w:rsidRPr="00791897">
              <w:rPr>
                <w:b w:val="0"/>
                <w:bCs w:val="0"/>
              </w:rPr>
              <w:t>…</w:t>
            </w:r>
          </w:p>
        </w:tc>
        <w:tc>
          <w:tcPr>
            <w:tcW w:w="1980" w:type="dxa"/>
          </w:tcPr>
          <w:p w14:paraId="5CA5CFF8"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c>
          <w:tcPr>
            <w:tcW w:w="2135" w:type="dxa"/>
          </w:tcPr>
          <w:p w14:paraId="6028386E"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c>
          <w:tcPr>
            <w:tcW w:w="760" w:type="dxa"/>
          </w:tcPr>
          <w:p w14:paraId="0209BDEA"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r>
      <w:tr w:rsidR="00A2685D" w:rsidRPr="00791897" w14:paraId="366E20B9"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5ED44A53" w14:textId="77777777" w:rsidR="00A2685D" w:rsidRPr="00791897" w:rsidRDefault="00A2685D" w:rsidP="001D0A78">
            <w:pPr>
              <w:jc w:val="center"/>
            </w:pPr>
            <w:r w:rsidRPr="00791897">
              <w:rPr>
                <w:b w:val="0"/>
                <w:bCs w:val="0"/>
              </w:rPr>
              <w:t>Passed</w:t>
            </w:r>
          </w:p>
        </w:tc>
        <w:tc>
          <w:tcPr>
            <w:tcW w:w="1980" w:type="dxa"/>
          </w:tcPr>
          <w:p w14:paraId="11343B34"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Output</w:t>
            </w:r>
          </w:p>
        </w:tc>
        <w:tc>
          <w:tcPr>
            <w:tcW w:w="2135" w:type="dxa"/>
          </w:tcPr>
          <w:p w14:paraId="1BD006B2"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Outlet_Mass</w:t>
            </w:r>
          </w:p>
        </w:tc>
        <w:tc>
          <w:tcPr>
            <w:tcW w:w="760" w:type="dxa"/>
          </w:tcPr>
          <w:p w14:paraId="169D951C"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kg/hr</w:t>
            </w:r>
          </w:p>
        </w:tc>
      </w:tr>
      <w:tr w:rsidR="00A2685D" w:rsidRPr="00791897" w14:paraId="23F0F821"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39EA32F9" w14:textId="77777777" w:rsidR="00A2685D" w:rsidRPr="00791897" w:rsidRDefault="00A2685D" w:rsidP="001D0A78">
            <w:pPr>
              <w:jc w:val="center"/>
            </w:pPr>
            <w:r w:rsidRPr="00791897">
              <w:rPr>
                <w:b w:val="0"/>
                <w:bCs w:val="0"/>
              </w:rPr>
              <w:t>Passed</w:t>
            </w:r>
          </w:p>
        </w:tc>
        <w:tc>
          <w:tcPr>
            <w:tcW w:w="1980" w:type="dxa"/>
          </w:tcPr>
          <w:p w14:paraId="68B24529"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Output</w:t>
            </w:r>
          </w:p>
        </w:tc>
        <w:tc>
          <w:tcPr>
            <w:tcW w:w="2135" w:type="dxa"/>
          </w:tcPr>
          <w:p w14:paraId="1A141368"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Outlet_Pressure</w:t>
            </w:r>
          </w:p>
        </w:tc>
        <w:tc>
          <w:tcPr>
            <w:tcW w:w="760" w:type="dxa"/>
          </w:tcPr>
          <w:p w14:paraId="0F394AA3"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Pa</w:t>
            </w:r>
          </w:p>
        </w:tc>
      </w:tr>
      <w:tr w:rsidR="00A2685D" w:rsidRPr="00791897" w14:paraId="06709510"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6E6BC434" w14:textId="77777777" w:rsidR="00A2685D" w:rsidRPr="00791897" w:rsidRDefault="00A2685D" w:rsidP="001D0A78">
            <w:pPr>
              <w:jc w:val="center"/>
            </w:pPr>
            <w:r w:rsidRPr="00791897">
              <w:rPr>
                <w:b w:val="0"/>
                <w:bCs w:val="0"/>
              </w:rPr>
              <w:t>Passed</w:t>
            </w:r>
          </w:p>
        </w:tc>
        <w:tc>
          <w:tcPr>
            <w:tcW w:w="1980" w:type="dxa"/>
          </w:tcPr>
          <w:p w14:paraId="37530444"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Output</w:t>
            </w:r>
          </w:p>
        </w:tc>
        <w:tc>
          <w:tcPr>
            <w:tcW w:w="2135" w:type="dxa"/>
          </w:tcPr>
          <w:p w14:paraId="06D76479"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Outlet_Temperature</w:t>
            </w:r>
          </w:p>
        </w:tc>
        <w:tc>
          <w:tcPr>
            <w:tcW w:w="760" w:type="dxa"/>
          </w:tcPr>
          <w:p w14:paraId="1036192D"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K</w:t>
            </w:r>
          </w:p>
        </w:tc>
      </w:tr>
      <w:tr w:rsidR="00A2685D" w:rsidRPr="00791897" w14:paraId="68DB6291"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281345C1" w14:textId="77777777" w:rsidR="00A2685D" w:rsidRPr="00791897" w:rsidRDefault="00A2685D" w:rsidP="001D0A78">
            <w:pPr>
              <w:jc w:val="center"/>
            </w:pPr>
            <w:r w:rsidRPr="00791897">
              <w:rPr>
                <w:b w:val="0"/>
                <w:bCs w:val="0"/>
              </w:rPr>
              <w:t>…</w:t>
            </w:r>
          </w:p>
        </w:tc>
        <w:tc>
          <w:tcPr>
            <w:tcW w:w="1980" w:type="dxa"/>
          </w:tcPr>
          <w:p w14:paraId="0667C6C6"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c>
          <w:tcPr>
            <w:tcW w:w="2135" w:type="dxa"/>
          </w:tcPr>
          <w:p w14:paraId="56413C3F"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c>
          <w:tcPr>
            <w:tcW w:w="760" w:type="dxa"/>
          </w:tcPr>
          <w:p w14:paraId="1FB11E12"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w:t>
            </w:r>
          </w:p>
        </w:tc>
      </w:tr>
      <w:tr w:rsidR="00A2685D" w:rsidRPr="00791897" w14:paraId="4B28EF8C"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43614033" w14:textId="3DBF0496" w:rsidR="00A2685D" w:rsidRPr="00791897" w:rsidRDefault="00791897" w:rsidP="001D0A78">
            <w:pPr>
              <w:jc w:val="center"/>
              <w:rPr>
                <w:b w:val="0"/>
                <w:bCs w:val="0"/>
              </w:rPr>
            </w:pPr>
            <w:r w:rsidRPr="00791897">
              <w:rPr>
                <w:b w:val="0"/>
                <w:bCs w:val="0"/>
              </w:rPr>
              <w:t xml:space="preserve">[Model Name] </w:t>
            </w:r>
            <w:r w:rsidR="00A2685D" w:rsidRPr="00791897">
              <w:rPr>
                <w:b w:val="0"/>
                <w:bCs w:val="0"/>
              </w:rPr>
              <w:t>Local</w:t>
            </w:r>
          </w:p>
        </w:tc>
        <w:tc>
          <w:tcPr>
            <w:tcW w:w="1980" w:type="dxa"/>
          </w:tcPr>
          <w:p w14:paraId="04E8B11C"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Output</w:t>
            </w:r>
          </w:p>
        </w:tc>
        <w:tc>
          <w:tcPr>
            <w:tcW w:w="2135" w:type="dxa"/>
          </w:tcPr>
          <w:p w14:paraId="6DDF24B5" w14:textId="25951839" w:rsidR="00A2685D" w:rsidRPr="00791897" w:rsidRDefault="00791897" w:rsidP="001D0A78">
            <w:pPr>
              <w:jc w:val="center"/>
              <w:cnfStyle w:val="000000000000" w:firstRow="0" w:lastRow="0" w:firstColumn="0" w:lastColumn="0" w:oddVBand="0" w:evenVBand="0" w:oddHBand="0" w:evenHBand="0" w:firstRowFirstColumn="0" w:firstRowLastColumn="0" w:lastRowFirstColumn="0" w:lastRowLastColumn="0"/>
            </w:pPr>
            <w:r>
              <w:t>…</w:t>
            </w:r>
          </w:p>
        </w:tc>
        <w:tc>
          <w:tcPr>
            <w:tcW w:w="760" w:type="dxa"/>
          </w:tcPr>
          <w:p w14:paraId="24903408"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p>
        </w:tc>
      </w:tr>
      <w:tr w:rsidR="00A2685D" w:rsidRPr="00791897" w14:paraId="0BC35538" w14:textId="77777777" w:rsidTr="007918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Pr>
          <w:p w14:paraId="7C7AA320" w14:textId="641FB97E" w:rsidR="00A2685D" w:rsidRPr="00791897" w:rsidRDefault="00791897" w:rsidP="001D0A78">
            <w:pPr>
              <w:jc w:val="center"/>
            </w:pPr>
            <w:r w:rsidRPr="00791897">
              <w:rPr>
                <w:b w:val="0"/>
                <w:bCs w:val="0"/>
              </w:rPr>
              <w:t xml:space="preserve">[Model Name] </w:t>
            </w:r>
            <w:r w:rsidR="00A2685D" w:rsidRPr="00791897">
              <w:rPr>
                <w:b w:val="0"/>
                <w:bCs w:val="0"/>
              </w:rPr>
              <w:t>Local</w:t>
            </w:r>
          </w:p>
        </w:tc>
        <w:tc>
          <w:tcPr>
            <w:tcW w:w="1980" w:type="dxa"/>
          </w:tcPr>
          <w:p w14:paraId="07D0F798"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r w:rsidRPr="00791897">
              <w:t>Output</w:t>
            </w:r>
          </w:p>
        </w:tc>
        <w:tc>
          <w:tcPr>
            <w:tcW w:w="2135" w:type="dxa"/>
          </w:tcPr>
          <w:p w14:paraId="76B72429" w14:textId="7C964D7B" w:rsidR="00A2685D" w:rsidRPr="00791897" w:rsidRDefault="00791897" w:rsidP="001D0A78">
            <w:pPr>
              <w:jc w:val="center"/>
              <w:cnfStyle w:val="000000100000" w:firstRow="0" w:lastRow="0" w:firstColumn="0" w:lastColumn="0" w:oddVBand="0" w:evenVBand="0" w:oddHBand="1" w:evenHBand="0" w:firstRowFirstColumn="0" w:firstRowLastColumn="0" w:lastRowFirstColumn="0" w:lastRowLastColumn="0"/>
            </w:pPr>
            <w:r>
              <w:t>…</w:t>
            </w:r>
          </w:p>
        </w:tc>
        <w:tc>
          <w:tcPr>
            <w:tcW w:w="760" w:type="dxa"/>
          </w:tcPr>
          <w:p w14:paraId="6AF31D99" w14:textId="77777777" w:rsidR="00A2685D" w:rsidRPr="00791897" w:rsidRDefault="00A2685D" w:rsidP="001D0A78">
            <w:pPr>
              <w:jc w:val="center"/>
              <w:cnfStyle w:val="000000100000" w:firstRow="0" w:lastRow="0" w:firstColumn="0" w:lastColumn="0" w:oddVBand="0" w:evenVBand="0" w:oddHBand="1" w:evenHBand="0" w:firstRowFirstColumn="0" w:firstRowLastColumn="0" w:lastRowFirstColumn="0" w:lastRowLastColumn="0"/>
            </w:pPr>
          </w:p>
        </w:tc>
      </w:tr>
      <w:tr w:rsidR="00A2685D" w:rsidRPr="00791897" w14:paraId="65D92A3D" w14:textId="77777777" w:rsidTr="00791897">
        <w:trPr>
          <w:jc w:val="center"/>
        </w:trPr>
        <w:tc>
          <w:tcPr>
            <w:cnfStyle w:val="001000000000" w:firstRow="0" w:lastRow="0" w:firstColumn="1" w:lastColumn="0" w:oddVBand="0" w:evenVBand="0" w:oddHBand="0" w:evenHBand="0" w:firstRowFirstColumn="0" w:firstRowLastColumn="0" w:lastRowFirstColumn="0" w:lastRowLastColumn="0"/>
            <w:tcW w:w="2245" w:type="dxa"/>
          </w:tcPr>
          <w:p w14:paraId="5FA908B4" w14:textId="77777777" w:rsidR="00A2685D" w:rsidRPr="00791897" w:rsidRDefault="00A2685D" w:rsidP="001D0A78">
            <w:pPr>
              <w:jc w:val="center"/>
              <w:rPr>
                <w:b w:val="0"/>
                <w:bCs w:val="0"/>
              </w:rPr>
            </w:pPr>
            <w:r w:rsidRPr="00791897">
              <w:rPr>
                <w:b w:val="0"/>
                <w:bCs w:val="0"/>
              </w:rPr>
              <w:t>…</w:t>
            </w:r>
          </w:p>
        </w:tc>
        <w:tc>
          <w:tcPr>
            <w:tcW w:w="1980" w:type="dxa"/>
          </w:tcPr>
          <w:p w14:paraId="72BFC68B"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w:t>
            </w:r>
          </w:p>
        </w:tc>
        <w:tc>
          <w:tcPr>
            <w:tcW w:w="2135" w:type="dxa"/>
          </w:tcPr>
          <w:p w14:paraId="4230A494"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r w:rsidRPr="00791897">
              <w:t>…</w:t>
            </w:r>
          </w:p>
        </w:tc>
        <w:tc>
          <w:tcPr>
            <w:tcW w:w="760" w:type="dxa"/>
          </w:tcPr>
          <w:p w14:paraId="5F2692C3" w14:textId="77777777" w:rsidR="00A2685D" w:rsidRPr="00791897" w:rsidRDefault="00A2685D" w:rsidP="001D0A78">
            <w:pPr>
              <w:jc w:val="center"/>
              <w:cnfStyle w:val="000000000000" w:firstRow="0" w:lastRow="0" w:firstColumn="0" w:lastColumn="0" w:oddVBand="0" w:evenVBand="0" w:oddHBand="0" w:evenHBand="0" w:firstRowFirstColumn="0" w:firstRowLastColumn="0" w:lastRowFirstColumn="0" w:lastRowLastColumn="0"/>
            </w:pPr>
          </w:p>
        </w:tc>
      </w:tr>
    </w:tbl>
    <w:p w14:paraId="05EAC0B3" w14:textId="77777777" w:rsidR="00A2685D" w:rsidRDefault="00A2685D" w:rsidP="00A2685D"/>
    <w:p w14:paraId="1A930B1F" w14:textId="77777777" w:rsidR="00A2685D" w:rsidRDefault="00A2685D" w:rsidP="00A2685D">
      <w:pPr>
        <w:ind w:firstLine="180"/>
      </w:pPr>
    </w:p>
    <w:p w14:paraId="4D2D01E7" w14:textId="4A0CAE25" w:rsidR="008708A1" w:rsidRDefault="00A2685D" w:rsidP="006E327C">
      <w:pPr>
        <w:ind w:firstLine="270"/>
      </w:pPr>
      <w:r>
        <w:t>The modules are</w:t>
      </w:r>
      <w:r w:rsidR="00856802">
        <w:t xml:space="preserve"> purposefully</w:t>
      </w:r>
      <w:r>
        <w:t xml:space="preserve"> generic </w:t>
      </w:r>
      <w:r w:rsidR="00856802">
        <w:t>in order to</w:t>
      </w:r>
      <w:r>
        <w:t xml:space="preserve"> </w:t>
      </w:r>
      <w:r w:rsidR="00856802">
        <w:t>copy and paste</w:t>
      </w:r>
      <w:r>
        <w:t xml:space="preserve"> directly in the flow environment; instead of designing around a specific unit process or piece of equipment, functional scripts </w:t>
      </w:r>
      <w:r w:rsidR="00407D7E">
        <w:t>(wrapper</w:t>
      </w:r>
      <w:r w:rsidR="00856802">
        <w:t xml:space="preserve"> functions</w:t>
      </w:r>
      <w:r w:rsidR="00407D7E">
        <w:t xml:space="preserve">) </w:t>
      </w:r>
      <w:r>
        <w:t xml:space="preserve">were written to communicate with and run a model written in an external software language. </w:t>
      </w:r>
      <w:r w:rsidR="008708A1">
        <w:t>One of the biggest difficulties in establishing a modular ISRU system modeling tool is that subsystem models are often created independently by different NASA centers or commercial partners. Each model has different naming conventions, software, assumptions</w:t>
      </w:r>
      <w:r w:rsidR="00A5136B">
        <w:t>,</w:t>
      </w:r>
      <w:r w:rsidR="008708A1">
        <w:t xml:space="preserve"> and levels of fidelity. In addition to creating the software capable of interfacing different subsystem models, MAIT has established a standard wrapper and architecture for how a subsystem model should be interfaced with the MAIT tool. MAIT can currently communicate with programming languages in </w:t>
      </w:r>
      <w:r>
        <w:t xml:space="preserve">Excel, Mathcad, MATLAB, </w:t>
      </w:r>
      <w:r w:rsidR="008708A1">
        <w:t xml:space="preserve">and </w:t>
      </w:r>
      <w:r>
        <w:t>Thermal Desktop</w:t>
      </w:r>
      <w:r w:rsidR="008708A1">
        <w:t>.</w:t>
      </w:r>
      <w:r>
        <w:t xml:space="preserve"> </w:t>
      </w:r>
      <w:r w:rsidR="008708A1">
        <w:t xml:space="preserve">Future work is planned that will allow additional modeling software packages such as </w:t>
      </w:r>
      <w:r>
        <w:t>COMSOL</w:t>
      </w:r>
      <w:r w:rsidR="008708A1">
        <w:t xml:space="preserve"> or Aspen</w:t>
      </w:r>
      <w:r>
        <w:t xml:space="preserve">. </w:t>
      </w:r>
    </w:p>
    <w:p w14:paraId="49DF2746" w14:textId="218563F3" w:rsidR="00A2685D" w:rsidRDefault="00A2685D" w:rsidP="006E327C">
      <w:pPr>
        <w:ind w:firstLine="270"/>
      </w:pPr>
      <w:r>
        <w:t>The inputs to a generic module are</w:t>
      </w:r>
      <w:r w:rsidR="00E83D75">
        <w:t>:</w:t>
      </w:r>
      <w:r>
        <w:t xml:space="preserve"> a standardized mass flow array</w:t>
      </w:r>
      <w:r w:rsidRPr="00763730">
        <w:t xml:space="preserve"> </w:t>
      </w:r>
      <w:r>
        <w:t>with components needed for mass and energy balances</w:t>
      </w:r>
      <w:r w:rsidR="00407D7E">
        <w:t xml:space="preserve"> (</w:t>
      </w:r>
      <w:r w:rsidR="00407D7E" w:rsidRPr="00407D7E">
        <w:rPr>
          <w:i/>
          <w:iCs/>
        </w:rPr>
        <w:t>mdot</w:t>
      </w:r>
      <w:r w:rsidR="00407D7E">
        <w:t>)</w:t>
      </w:r>
      <w:r>
        <w:t>, which contains chemical species mass flow rates (kg/hr), temperature (</w:t>
      </w:r>
      <w:r>
        <w:rPr>
          <w:rFonts w:cstheme="minorHAnsi"/>
        </w:rPr>
        <w:t>°</w:t>
      </w:r>
      <w:r>
        <w:t xml:space="preserve">C), pressure (Pa), </w:t>
      </w:r>
      <w:r w:rsidR="00A5136B">
        <w:t xml:space="preserve">and </w:t>
      </w:r>
      <w:r>
        <w:t>any supplied heat or power (W)</w:t>
      </w:r>
      <w:r w:rsidR="00E83D75">
        <w:t>,</w:t>
      </w:r>
      <w:r>
        <w:t xml:space="preserve"> global variables that describe environmental conditions at the plant site</w:t>
      </w:r>
      <w:r w:rsidR="00E83D75">
        <w:t>,</w:t>
      </w:r>
      <w:r>
        <w:t xml:space="preserve"> and local variables necessary to run </w:t>
      </w:r>
      <w:r w:rsidR="00407D7E">
        <w:t xml:space="preserve">a particular </w:t>
      </w:r>
      <w:r>
        <w:t xml:space="preserve">subsystem model. Because the module is dependent on the software language, </w:t>
      </w:r>
      <w:r w:rsidR="00407D7E">
        <w:t xml:space="preserve">the wrapper will index </w:t>
      </w:r>
      <w:r>
        <w:t xml:space="preserve">local variables in the larger information matrix by the unit process name dictated in the master list. Indexing occurs using Boolean logic, comparison of the model name in the master list containing all variables to the model name defined in the process flow environment. The module code, after interpreting the model order, directs the input </w:t>
      </w:r>
      <w:r w:rsidR="00407D7E">
        <w:t xml:space="preserve">mass </w:t>
      </w:r>
      <w:r>
        <w:t>array to the first port, retrieves the global variables, looks in the stored matrix for its corresponding local variables based on the model name, and submits this total information package to an individual subsystem file (</w:t>
      </w:r>
      <w:r w:rsidR="00856802">
        <w:fldChar w:fldCharType="begin"/>
      </w:r>
      <w:r w:rsidR="00856802">
        <w:instrText xml:space="preserve"> REF _Ref157436605 \h </w:instrText>
      </w:r>
      <w:r w:rsidR="00856802">
        <w:fldChar w:fldCharType="separate"/>
      </w:r>
      <w:r w:rsidR="00856802">
        <w:t xml:space="preserve">Figure </w:t>
      </w:r>
      <w:r w:rsidR="00856802">
        <w:rPr>
          <w:noProof/>
        </w:rPr>
        <w:t>2</w:t>
      </w:r>
      <w:r w:rsidR="00856802">
        <w:fldChar w:fldCharType="end"/>
      </w:r>
      <w:r>
        <w:t>). The subsystem model runs, and the outputs are organized according to a standard structure. The mdot output array consists of the same variables as the input</w:t>
      </w:r>
      <w:r w:rsidR="0025674C">
        <w:t>.</w:t>
      </w:r>
      <w:r>
        <w:t xml:space="preserve"> </w:t>
      </w:r>
      <w:r w:rsidR="0025674C">
        <w:t>H</w:t>
      </w:r>
      <w:r>
        <w:t xml:space="preserve">owever, any chemical transformations or updates to the constituent flow rates will be stored there. </w:t>
      </w:r>
    </w:p>
    <w:p w14:paraId="10F27EE6" w14:textId="282DE7E7" w:rsidR="00A2685D" w:rsidRPr="00471415" w:rsidRDefault="00A2685D" w:rsidP="00D217C4">
      <w:pPr>
        <w:ind w:firstLine="270"/>
      </w:pPr>
      <w:r>
        <w:t xml:space="preserve">Using this generic modular framework, the whole system configuration can be written as processes in series (as </w:t>
      </w:r>
      <w:r w:rsidR="00856802">
        <w:fldChar w:fldCharType="begin"/>
      </w:r>
      <w:r w:rsidR="00856802">
        <w:instrText xml:space="preserve"> REF _Ref157436215 \h </w:instrText>
      </w:r>
      <w:r w:rsidR="00856802">
        <w:fldChar w:fldCharType="separate"/>
      </w:r>
      <w:r w:rsidR="00856802">
        <w:t xml:space="preserve">Figure </w:t>
      </w:r>
      <w:r w:rsidR="00856802">
        <w:rPr>
          <w:noProof/>
        </w:rPr>
        <w:t>1</w:t>
      </w:r>
      <w:r w:rsidR="00856802">
        <w:fldChar w:fldCharType="end"/>
      </w:r>
      <w:r>
        <w:t xml:space="preserve"> implies), or in parallel, enabling the user ability to customize the configuration for many project types. In other words, one unit process with two outlet flow streams can communicate with two (or more) subsystem models operating independently from each other, facilitating the creation of fit-for-purpose ISRU architectures characterizing any number of unique unit processes (a more detailed discussion of use cases is provided below). </w:t>
      </w:r>
    </w:p>
    <w:p w14:paraId="292390C7" w14:textId="77777777" w:rsidR="00A2685D" w:rsidRDefault="00A2685D" w:rsidP="00A2685D">
      <w:pPr>
        <w:ind w:firstLine="180"/>
      </w:pPr>
    </w:p>
    <w:p w14:paraId="08DF7889" w14:textId="2B9988B2" w:rsidR="00112093" w:rsidRDefault="00A2685D">
      <w:pPr>
        <w:pStyle w:val="Text"/>
      </w:pPr>
      <w:r>
        <w:rPr>
          <w:noProof/>
        </w:rPr>
        <w:lastRenderedPageBreak/>
        <w:drawing>
          <wp:inline distT="0" distB="0" distL="0" distR="0" wp14:anchorId="3C1DE8F5" wp14:editId="627EE61A">
            <wp:extent cx="4448584" cy="3237544"/>
            <wp:effectExtent l="0" t="0" r="0" b="1270"/>
            <wp:docPr id="1486971911"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71911" name="Picture 2" descr="Graphical user interface&#10;&#10;Description automatically generated with medium confidence"/>
                    <pic:cNvPicPr>
                      <a:picLocks noChangeAspect="1" noChangeArrowheads="1"/>
                    </pic:cNvPicPr>
                  </pic:nvPicPr>
                  <pic:blipFill rotWithShape="1">
                    <a:blip r:embed="rId16">
                      <a:extLst>
                        <a:ext uri="{28A0092B-C50C-407E-A947-70E740481C1C}">
                          <a14:useLocalDpi xmlns:a14="http://schemas.microsoft.com/office/drawing/2010/main" val="0"/>
                        </a:ext>
                      </a:extLst>
                    </a:blip>
                    <a:srcRect l="1725" t="1387" b="2748"/>
                    <a:stretch/>
                  </pic:blipFill>
                  <pic:spPr bwMode="auto">
                    <a:xfrm>
                      <a:off x="0" y="0"/>
                      <a:ext cx="4591728" cy="3341720"/>
                    </a:xfrm>
                    <a:prstGeom prst="rect">
                      <a:avLst/>
                    </a:prstGeom>
                    <a:noFill/>
                    <a:ln>
                      <a:noFill/>
                    </a:ln>
                    <a:extLst>
                      <a:ext uri="{53640926-AAD7-44D8-BBD7-CCE9431645EC}">
                        <a14:shadowObscured xmlns:a14="http://schemas.microsoft.com/office/drawing/2010/main"/>
                      </a:ext>
                    </a:extLst>
                  </pic:spPr>
                </pic:pic>
              </a:graphicData>
            </a:graphic>
          </wp:inline>
        </w:drawing>
      </w:r>
    </w:p>
    <w:p w14:paraId="6AC8C143" w14:textId="77777777" w:rsidR="00A2685D" w:rsidRDefault="00A2685D">
      <w:pPr>
        <w:pStyle w:val="Text"/>
      </w:pPr>
    </w:p>
    <w:p w14:paraId="66F14117" w14:textId="7A3F598A" w:rsidR="00A2685D" w:rsidRDefault="00856802" w:rsidP="00856802">
      <w:pPr>
        <w:pStyle w:val="Caption"/>
        <w:rPr>
          <w:b w:val="0"/>
          <w:i/>
        </w:rPr>
      </w:pPr>
      <w:bookmarkStart w:id="4" w:name="_Ref157436605"/>
      <w:r>
        <w:t xml:space="preserve">Figure </w:t>
      </w:r>
      <w:r>
        <w:fldChar w:fldCharType="begin"/>
      </w:r>
      <w:r>
        <w:instrText xml:space="preserve"> SEQ Figure \* ARABIC </w:instrText>
      </w:r>
      <w:r>
        <w:fldChar w:fldCharType="separate"/>
      </w:r>
      <w:r w:rsidR="00727F86">
        <w:rPr>
          <w:noProof/>
        </w:rPr>
        <w:t>2</w:t>
      </w:r>
      <w:r>
        <w:rPr>
          <w:noProof/>
        </w:rPr>
        <w:fldChar w:fldCharType="end"/>
      </w:r>
      <w:bookmarkEnd w:id="4"/>
      <w:r w:rsidR="00A2685D" w:rsidRPr="0086154B">
        <w:t>:</w:t>
      </w:r>
      <w:r w:rsidR="00A2685D">
        <w:t xml:space="preserve"> </w:t>
      </w:r>
      <w:r w:rsidR="00A2685D" w:rsidRPr="009D5AE5">
        <w:t>Visual of the Generic Module approach to subsystem modeling in MAIT</w:t>
      </w:r>
      <w:r w:rsidR="00A2685D">
        <w:t xml:space="preserve">. </w:t>
      </w:r>
      <w:r w:rsidR="009D5AE5">
        <w:rPr>
          <w:i/>
        </w:rPr>
        <w:t>Input and output flow streams shown in color</w:t>
      </w:r>
      <w:r w:rsidR="00A2685D">
        <w:rPr>
          <w:i/>
        </w:rPr>
        <w:t>.</w:t>
      </w:r>
    </w:p>
    <w:p w14:paraId="2C0A2188" w14:textId="77777777" w:rsidR="009D5AE5" w:rsidRDefault="009D5AE5">
      <w:pPr>
        <w:pStyle w:val="Text"/>
        <w:rPr>
          <w:b/>
          <w:i/>
        </w:rPr>
      </w:pPr>
    </w:p>
    <w:p w14:paraId="11B480A4" w14:textId="3BE1AC21" w:rsidR="009D5AE5" w:rsidRDefault="009D5AE5" w:rsidP="003E01D4">
      <w:pPr>
        <w:pStyle w:val="Heading2"/>
        <w:numPr>
          <w:ilvl w:val="0"/>
          <w:numId w:val="3"/>
        </w:numPr>
        <w:spacing w:before="0"/>
        <w:rPr>
          <w:i/>
          <w:iCs/>
        </w:rPr>
      </w:pPr>
      <w:r>
        <w:rPr>
          <w:i/>
          <w:iCs/>
        </w:rPr>
        <w:t>Subsystem Models</w:t>
      </w:r>
    </w:p>
    <w:p w14:paraId="057649C8" w14:textId="7400B27F" w:rsidR="009D5AE5" w:rsidRPr="009D5AE5" w:rsidRDefault="009D5AE5" w:rsidP="009D5AE5">
      <w:pPr>
        <w:pStyle w:val="Text"/>
      </w:pPr>
      <w:r>
        <w:t>Underlying the module code are external models that describe individual subsystem unit processes, each characterized in as much detail as needed by their respective technology developers and implemented into our architecture. In the current studies, MAIT can effectively communicate with a span of five to ten subsystem model files in f</w:t>
      </w:r>
      <w:r w:rsidR="002E4F59">
        <w:t>our</w:t>
      </w:r>
      <w:r>
        <w:t xml:space="preserve"> different software languages, but in theory is limited only by computing resources necessary to iterate through the desired runs. Most subsystem models written in a Mathworks or Microsoft Office software language can be accessed via the </w:t>
      </w:r>
      <w:r w:rsidRPr="008C66B8">
        <w:rPr>
          <w:i/>
          <w:iCs/>
        </w:rPr>
        <w:t xml:space="preserve">actxserver </w:t>
      </w:r>
      <w:r>
        <w:t>command, which establishes a server connection to transfer designated MATLAB commands sending input data to VBA-encoded programs, and transferring back output data. The original intention was to utilize MAIT to model high-fidelity systems, however</w:t>
      </w:r>
      <w:r w:rsidR="00C5672F">
        <w:t>,</w:t>
      </w:r>
      <w:r>
        <w:t xml:space="preserve"> the modular design provides the means for breadboard data validation and can provide useful feedback for subsystems at lower technology readiness levels (TRLs).</w:t>
      </w:r>
    </w:p>
    <w:p w14:paraId="001FC7B6" w14:textId="17427581" w:rsidR="00112093" w:rsidRDefault="009D5AE5" w:rsidP="003E01D4">
      <w:pPr>
        <w:pStyle w:val="Heading1"/>
        <w:numPr>
          <w:ilvl w:val="0"/>
          <w:numId w:val="1"/>
        </w:numPr>
      </w:pPr>
      <w:r>
        <w:t>MAIT Setup and Operation</w:t>
      </w:r>
    </w:p>
    <w:p w14:paraId="44049E20" w14:textId="59CCA5C0" w:rsidR="009D5AE5" w:rsidRDefault="009D5AE5" w:rsidP="00C35B20">
      <w:pPr>
        <w:pStyle w:val="Text"/>
      </w:pPr>
      <w:r>
        <w:t xml:space="preserve">When setting up </w:t>
      </w:r>
      <w:r w:rsidR="00B748D6">
        <w:t>model runs in</w:t>
      </w:r>
      <w:r>
        <w:t xml:space="preserve"> MAIT, at minimum the user must ensure global and passed variable names were written into all subsystem model files, as well as updated the local variable names in the master list. This allows the MAIT base code to keep the integrity of its internally-stored arrays—i.e., the names of passed variables and global variables will be the same between runs unless the user is recharacterizing the environmental conditions at an ISRU plant location or mission-specific parameters. Engineering judgement should be used when assembling a run, determining which subsystems will be used, how modules connect in the flow environment (i.e., the ISRU architecture configuration), any important assumptions underlying the subsystem models, and the important variables to include in a parametric sweep.</w:t>
      </w:r>
    </w:p>
    <w:p w14:paraId="59B503A4" w14:textId="77777777" w:rsidR="00C35B20" w:rsidRDefault="00C35B20" w:rsidP="00C35B20">
      <w:pPr>
        <w:pStyle w:val="Text"/>
      </w:pPr>
    </w:p>
    <w:p w14:paraId="0211811D" w14:textId="59F3FFAE" w:rsidR="009D5AE5" w:rsidRDefault="00C35B20" w:rsidP="003E01D4">
      <w:pPr>
        <w:pStyle w:val="Heading2"/>
        <w:numPr>
          <w:ilvl w:val="0"/>
          <w:numId w:val="5"/>
        </w:numPr>
        <w:spacing w:before="0"/>
      </w:pPr>
      <w:r>
        <w:t>Parametric Sweeps</w:t>
      </w:r>
    </w:p>
    <w:p w14:paraId="48163B7A" w14:textId="5AED306C" w:rsidR="002E4F59" w:rsidRDefault="00C35B20" w:rsidP="00C35B20">
      <w:pPr>
        <w:pStyle w:val="Text"/>
      </w:pPr>
      <w:r>
        <w:t>Parametric sweeps are a method of testing the boundaries of uncertainty in a given complex system by repeatedly testing independent parameters in a model to accumulate a set of calculated outputs</w:t>
      </w:r>
      <w:r w:rsidR="00856802">
        <w:rPr>
          <w:rStyle w:val="EndnoteReference"/>
        </w:rPr>
        <w:endnoteReference w:id="5"/>
      </w:r>
      <w:r>
        <w:t xml:space="preserve">. In the context of subsystem modeling, not only does this method provide the user information on key relationships between independent variables and key performance criteria in trade study analysis, </w:t>
      </w:r>
      <w:r w:rsidR="00E606B5">
        <w:t>it</w:t>
      </w:r>
      <w:r>
        <w:t xml:space="preserve"> can also be used as a crude first step in optimizing the overall architecture and identifying performance bottlenecks. MAIT performs parametric sweeps by first calculating a permutation of the number of variables desired in the analysis. If X number of variables are flagged in the input master </w:t>
      </w:r>
      <w:r>
        <w:lastRenderedPageBreak/>
        <w:t xml:space="preserve">list with Y number of step changes, the MAIT </w:t>
      </w:r>
      <w:r w:rsidRPr="002E74FE">
        <w:rPr>
          <w:i/>
          <w:iCs/>
        </w:rPr>
        <w:t>ReadInputs</w:t>
      </w:r>
      <w:r>
        <w:t xml:space="preserve"> script fills a [Y</w:t>
      </w:r>
      <w:r>
        <w:rPr>
          <w:vertAlign w:val="superscript"/>
        </w:rPr>
        <w:t>X</w:t>
      </w:r>
      <w:r>
        <w:t xml:space="preserve"> by X] linear space with the different combinations of inputs. The total number of rows in the linear space accounts for the number of model iterations, and each value is read into the process flow environment in succession. Simulink’s built-in time</w:t>
      </w:r>
      <w:r w:rsidR="00E606B5">
        <w:t>-</w:t>
      </w:r>
      <w:r>
        <w:t xml:space="preserve">dependent functions were used to generate plots to show a chronological sequence of the data as the parametric sweep is performed. The user can then use these plots to infer relationships between the variables in the sweep and whole system optimization. </w:t>
      </w:r>
    </w:p>
    <w:p w14:paraId="4858E4CD" w14:textId="4DBB2060" w:rsidR="00C35B20" w:rsidRDefault="002E4F59" w:rsidP="00C35B20">
      <w:pPr>
        <w:pStyle w:val="Text"/>
      </w:pPr>
      <w:r>
        <w:t xml:space="preserve">One of the biggest difficulties in running parametric sweeps on system models is the computational resource usage. Small changes in an upstream process may have vast impacts downstream, </w:t>
      </w:r>
      <w:r w:rsidR="003B6AB0">
        <w:t xml:space="preserve">therefore </w:t>
      </w:r>
      <w:r>
        <w:t>parametric</w:t>
      </w:r>
      <w:r w:rsidR="00E83D75">
        <w:t xml:space="preserve"> sweeps</w:t>
      </w:r>
      <w:r>
        <w:t xml:space="preserve"> must be run on variables across all system models. </w:t>
      </w:r>
      <w:r w:rsidR="003B6AB0">
        <w:t>On the other hand, as</w:t>
      </w:r>
      <w:r>
        <w:t xml:space="preserve"> the number of variables being parameterized increases, the total runs needed </w:t>
      </w:r>
      <w:r w:rsidR="003B6AB0">
        <w:t xml:space="preserve">to record those results </w:t>
      </w:r>
      <w:r>
        <w:t xml:space="preserve">grow </w:t>
      </w:r>
      <w:r w:rsidR="003B6AB0">
        <w:t>near</w:t>
      </w:r>
      <w:r w:rsidR="00E606B5">
        <w:t>ly</w:t>
      </w:r>
      <w:r w:rsidR="003B6AB0">
        <w:t xml:space="preserve"> exponentially</w:t>
      </w:r>
      <w:r>
        <w:t xml:space="preserve">. </w:t>
      </w:r>
      <w:r w:rsidR="00C35B20">
        <w:t xml:space="preserve">To improve computer resource requirements and minimize runtime, additional logic was included </w:t>
      </w:r>
      <w:r w:rsidR="003B6AB0">
        <w:t>in MAIT</w:t>
      </w:r>
      <w:r w:rsidR="00C35B20">
        <w:t xml:space="preserve"> to </w:t>
      </w:r>
      <w:r w:rsidR="003B6AB0">
        <w:t>leverage data recorded in prior runs of a parametric sweep as a way of reducing the total number of system iterations</w:t>
      </w:r>
      <w:r w:rsidR="00C35B20">
        <w:t xml:space="preserve">. For instance, during a parametric sweep where upstream subsystems are held static, code at the subsystem level checks the input flow against a database created from </w:t>
      </w:r>
      <w:r w:rsidR="003B6AB0">
        <w:t>all previous</w:t>
      </w:r>
      <w:r w:rsidR="00C35B20">
        <w:t xml:space="preserve"> iteration</w:t>
      </w:r>
      <w:r w:rsidR="003B6AB0">
        <w:t>s</w:t>
      </w:r>
      <w:r w:rsidR="00C35B20">
        <w:t>—if the inputs are the same, it is determined that the subsystem model has the same inputs, and thus same outputs, as the previous run.</w:t>
      </w:r>
      <w:r w:rsidR="003B6AB0">
        <w:t xml:space="preserve"> Furthermore, if upstream processes have a different set of inputs but the outputs of upstream processes do not directly impact the inputs for a given model downstream, the downstream model does not need to be rerun. This built-in capability greatly reduces the computational resources required by MAIT to run system models, particular</w:t>
      </w:r>
      <w:r w:rsidR="00E606B5">
        <w:t>l</w:t>
      </w:r>
      <w:r w:rsidR="003B6AB0">
        <w:t>y for system models where recycle loops are needed.</w:t>
      </w:r>
    </w:p>
    <w:p w14:paraId="78B17522" w14:textId="77777777" w:rsidR="00C35B20" w:rsidRDefault="00C35B20" w:rsidP="00C35B20">
      <w:pPr>
        <w:pStyle w:val="Text"/>
      </w:pPr>
    </w:p>
    <w:p w14:paraId="4D8FDF92" w14:textId="308D3F84" w:rsidR="00C35B20" w:rsidRDefault="00C35B20" w:rsidP="003E01D4">
      <w:pPr>
        <w:pStyle w:val="Heading2"/>
        <w:numPr>
          <w:ilvl w:val="0"/>
          <w:numId w:val="5"/>
        </w:numPr>
        <w:spacing w:before="0"/>
      </w:pPr>
      <w:r>
        <w:t>Recycling Streams</w:t>
      </w:r>
    </w:p>
    <w:p w14:paraId="2593F279" w14:textId="75E7BEC0" w:rsidR="00494519" w:rsidRDefault="006E64E1" w:rsidP="00C35B20">
      <w:pPr>
        <w:pStyle w:val="Text"/>
      </w:pPr>
      <w:r>
        <w:t>On the system process side, there existed particular situations that required logic for a recy</w:t>
      </w:r>
      <w:r w:rsidR="00E606B5">
        <w:t>c</w:t>
      </w:r>
      <w:r>
        <w:t xml:space="preserve">le loop, i.e., </w:t>
      </w:r>
      <w:r w:rsidR="00E83D75">
        <w:t>unreacted,</w:t>
      </w:r>
      <w:r>
        <w:t xml:space="preserve"> or unused material from a unit process recycled back to the input. This seemingly minor change to a system configuration had a rather outsized effect on the </w:t>
      </w:r>
      <w:r w:rsidR="001B5FE1">
        <w:t xml:space="preserve">MAIT process flow environment, as it required modification to the time-dependent methodology used in the parametric sweeps mentioned above. The problem was two-fold: first, the recycle loop must maintain the conservation of mass and energy of component streams until steady state is achieved; second, there must exist an iterative format to maintain a linear timeline used in the parametric sweep logic. </w:t>
      </w:r>
      <w:r w:rsidR="00151CE9">
        <w:t xml:space="preserve">To answer the former issue, </w:t>
      </w:r>
      <w:r w:rsidR="001B5FE1">
        <w:t xml:space="preserve">we </w:t>
      </w:r>
      <w:r w:rsidR="00151CE9">
        <w:t>created two functions that operate as a “splitter” and a “mixer” at the outlet and inlet sides of the subsystem, respectively. As the names suggest, these functions take individual component mass streams and either separate them at the outlet (in th</w:t>
      </w:r>
      <w:r w:rsidR="00494519">
        <w:t>e</w:t>
      </w:r>
      <w:r w:rsidR="00151CE9">
        <w:t xml:space="preserve"> case of the splitter) or combine them as one stream to the inlet (in the case of the mixer). </w:t>
      </w:r>
      <w:r w:rsidR="00494519">
        <w:t>For the current application of MAIT, these “splitter” and “mixer” functions are strictly arithmetic and do not account for the physical processes needed to split or merge flows. They also do not allow for accurate calculations on the impact of merging or splitting the streams on the thermodynamic properties of the flow (e.g</w:t>
      </w:r>
      <w:r w:rsidR="00A44716">
        <w:t>.</w:t>
      </w:r>
      <w:r w:rsidR="00494519">
        <w:t xml:space="preserve"> temperature). In the future, these functions </w:t>
      </w:r>
      <w:r w:rsidR="00856802">
        <w:t>will</w:t>
      </w:r>
      <w:r w:rsidR="00494519">
        <w:t xml:space="preserve"> be upgraded by subsystem models that directly model the physics required to split streams (e.g. removing unreacted water downstream of an electrolysis process from the flow of H</w:t>
      </w:r>
      <w:r w:rsidR="00494519">
        <w:rPr>
          <w:vertAlign w:val="subscript"/>
        </w:rPr>
        <w:t>2</w:t>
      </w:r>
      <w:r w:rsidR="00494519">
        <w:t xml:space="preserve"> and O</w:t>
      </w:r>
      <w:r w:rsidR="00494519">
        <w:rPr>
          <w:vertAlign w:val="subscript"/>
        </w:rPr>
        <w:t>2</w:t>
      </w:r>
      <w:r w:rsidR="00494519">
        <w:t xml:space="preserve">). </w:t>
      </w:r>
    </w:p>
    <w:p w14:paraId="303E9347" w14:textId="7DB26909" w:rsidR="00E42CFD" w:rsidRDefault="00151CE9" w:rsidP="001664A3">
      <w:pPr>
        <w:pStyle w:val="Text"/>
      </w:pPr>
      <w:r>
        <w:t xml:space="preserve">Equilibrium </w:t>
      </w:r>
      <w:r w:rsidR="001664A3">
        <w:t xml:space="preserve">between inputs and outputs to a subsystem </w:t>
      </w:r>
      <w:r>
        <w:t xml:space="preserve">is determined by the recycle tolerance, a </w:t>
      </w:r>
      <w:r w:rsidR="001907DB">
        <w:t xml:space="preserve">conditional </w:t>
      </w:r>
      <w:r>
        <w:t>flag specified by the user</w:t>
      </w:r>
      <w:r w:rsidR="001907DB">
        <w:t xml:space="preserve"> that is satisfied when the inlet and outlet mass are the same as the previous iteration within the value of the tolerance. </w:t>
      </w:r>
      <w:r w:rsidR="00494519">
        <w:t xml:space="preserve">While recycle loops can increase the computational resources significantly, the database reuse code discussed in the prior section prevents overrunning of unneeded subsystem models that are not included in the recycle loop. </w:t>
      </w:r>
      <w:r w:rsidR="005121E1">
        <w:t>Along the flow path from splitter to mixer</w:t>
      </w:r>
      <w:r w:rsidR="00E42CFD">
        <w:t xml:space="preserve"> is a signal delay function, an internal Simulink function that allows a time step delay between each iteration to avoid the recycle getting caught in an infinite loop. </w:t>
      </w:r>
      <w:r w:rsidR="001907DB">
        <w:t>The linearity of the process is maintained by setting</w:t>
      </w:r>
      <w:r w:rsidR="00A73E7F">
        <w:t xml:space="preserve"> each iteration of the parametric sweep equal to one unit of time and each iteration of the recycle loop </w:t>
      </w:r>
      <w:r w:rsidR="00E42CFD">
        <w:t xml:space="preserve">(partitioned by the signal delay) prior to </w:t>
      </w:r>
      <w:r w:rsidR="00A73E7F">
        <w:t xml:space="preserve">equilibrium as a partial unit of time. For instance, if </w:t>
      </w:r>
      <w:r w:rsidR="005121E1">
        <w:t>5</w:t>
      </w:r>
      <w:r w:rsidR="00A73E7F">
        <w:t xml:space="preserve"> iterations of a parametric sweep are determined from the range and step size of a variable, and 5 iterations are required per pass of the recycle loop, variables will be plotted against time units beginning at </w:t>
      </w:r>
      <w:r w:rsidR="001664A3">
        <w:t>1.0, 1.2, 1.4, 1.6, 1.8 for the first parametric case, 2.0, 2.2, …2.8 for the second parametric case, and so on. Current iterations of MAIT require the user to specify the number of recycle loops. The code will identify when equilibrium has been reached, but the user will need to manually increase the specified iteration loops if it is found that more iteration loops are needed.</w:t>
      </w:r>
    </w:p>
    <w:p w14:paraId="72C10973" w14:textId="21BB9407" w:rsidR="00E10DAF" w:rsidRDefault="005121E1" w:rsidP="00E42CFD">
      <w:pPr>
        <w:pStyle w:val="Text"/>
      </w:pPr>
      <w:r>
        <w:t xml:space="preserve">Overall, this methodology affords the modeler the ability to </w:t>
      </w:r>
      <w:r w:rsidR="00E42CFD">
        <w:t xml:space="preserve">perform </w:t>
      </w:r>
      <w:r w:rsidR="00E83D75">
        <w:t>parametric</w:t>
      </w:r>
      <w:r>
        <w:t xml:space="preserve"> sweeps and recycle loops simultaneously. </w:t>
      </w:r>
      <w:r w:rsidR="00E42CFD">
        <w:t xml:space="preserve">An example of </w:t>
      </w:r>
      <w:r w:rsidR="00856802">
        <w:t>a</w:t>
      </w:r>
      <w:r w:rsidR="00E42CFD">
        <w:t xml:space="preserve"> recycle </w:t>
      </w:r>
      <w:r w:rsidR="00856802">
        <w:t xml:space="preserve">loop </w:t>
      </w:r>
      <w:r w:rsidR="00E42CFD">
        <w:t xml:space="preserve">is discussed in </w:t>
      </w:r>
      <w:r w:rsidR="00E83D75">
        <w:t>the</w:t>
      </w:r>
      <w:r w:rsidR="00E42CFD">
        <w:t xml:space="preserve"> example case below</w:t>
      </w:r>
      <w:r w:rsidR="00D97758">
        <w:t>:</w:t>
      </w:r>
      <w:r w:rsidR="00E42CFD">
        <w:t xml:space="preserve"> recycling water in the electrolysis </w:t>
      </w:r>
      <w:r w:rsidR="00856802">
        <w:t>subsystem</w:t>
      </w:r>
      <w:r w:rsidR="00A149A1">
        <w:t xml:space="preserve">. </w:t>
      </w:r>
    </w:p>
    <w:p w14:paraId="1E04A327" w14:textId="77777777" w:rsidR="00C35B20" w:rsidRDefault="00C35B20" w:rsidP="00C35B20">
      <w:pPr>
        <w:pStyle w:val="Text"/>
      </w:pPr>
    </w:p>
    <w:p w14:paraId="04F9F414" w14:textId="0A7A921D" w:rsidR="00C35B20" w:rsidRDefault="00C35B20" w:rsidP="003E01D4">
      <w:pPr>
        <w:pStyle w:val="Heading2"/>
        <w:numPr>
          <w:ilvl w:val="0"/>
          <w:numId w:val="5"/>
        </w:numPr>
        <w:spacing w:before="0"/>
      </w:pPr>
      <w:r>
        <w:t>System Requirements Management</w:t>
      </w:r>
    </w:p>
    <w:p w14:paraId="099CE6F6" w14:textId="25BB5D7D" w:rsidR="009D5AE5" w:rsidRDefault="00E1544A" w:rsidP="005A74AC">
      <w:pPr>
        <w:pStyle w:val="Text"/>
      </w:pPr>
      <w:r>
        <w:t xml:space="preserve">Requirements management tools are a useful aspect of system engineering </w:t>
      </w:r>
      <w:r w:rsidR="002E184A">
        <w:t xml:space="preserve">that </w:t>
      </w:r>
      <w:r>
        <w:t>house environmental specifications, project standards, and KPPs</w:t>
      </w:r>
      <w:r w:rsidR="002E184A">
        <w:t xml:space="preserve">. </w:t>
      </w:r>
      <w:r>
        <w:t>ISRU designs modeled in MAIT</w:t>
      </w:r>
      <w:r w:rsidR="002E184A">
        <w:t xml:space="preserve"> are connected to a requirements management software (Jama Connect) via an application program interface (API)</w:t>
      </w:r>
      <w:r>
        <w:t xml:space="preserve">. </w:t>
      </w:r>
      <w:r w:rsidR="00DE28DB">
        <w:t>Jama Connect will verify success or failure for m</w:t>
      </w:r>
      <w:r w:rsidR="00A149A1">
        <w:t xml:space="preserve">ultiple </w:t>
      </w:r>
      <w:r w:rsidR="00DE28DB">
        <w:lastRenderedPageBreak/>
        <w:t xml:space="preserve">hard </w:t>
      </w:r>
      <w:r w:rsidR="00A149A1">
        <w:t>production targets, ranging from pilot scale (1 mt/y</w:t>
      </w:r>
      <w:r w:rsidR="00E83D75">
        <w:t>ea</w:t>
      </w:r>
      <w:r w:rsidR="00A149A1">
        <w:t>r) to full scale (10 m</w:t>
      </w:r>
      <w:r w:rsidR="005A74AC">
        <w:t>t</w:t>
      </w:r>
      <w:r w:rsidR="00A149A1">
        <w:t>/y</w:t>
      </w:r>
      <w:r w:rsidR="00E83D75">
        <w:t>ea</w:t>
      </w:r>
      <w:r w:rsidR="00A149A1">
        <w:t>r and 50 m</w:t>
      </w:r>
      <w:r w:rsidR="005A74AC">
        <w:t>t</w:t>
      </w:r>
      <w:r w:rsidR="00A149A1">
        <w:t>/y</w:t>
      </w:r>
      <w:r w:rsidR="00E83D75">
        <w:t>ea</w:t>
      </w:r>
      <w:r w:rsidR="00A149A1">
        <w:t xml:space="preserve">r), </w:t>
      </w:r>
      <w:r w:rsidR="00DE28DB">
        <w:t>and validate whether the MAIT simulations hit larger environmental specifications and program goals and objectives.</w:t>
      </w:r>
      <w:r w:rsidR="005A74AC">
        <w:t xml:space="preserve"> </w:t>
      </w:r>
    </w:p>
    <w:p w14:paraId="6E6C392D" w14:textId="63DD7EF0" w:rsidR="00112093" w:rsidRDefault="00701E32" w:rsidP="003E01D4">
      <w:pPr>
        <w:pStyle w:val="Heading1"/>
        <w:numPr>
          <w:ilvl w:val="0"/>
          <w:numId w:val="1"/>
        </w:numPr>
      </w:pPr>
      <w:r>
        <w:t xml:space="preserve">ISRU Use Case: </w:t>
      </w:r>
      <w:r w:rsidR="00727F86">
        <w:t xml:space="preserve">Lunar </w:t>
      </w:r>
      <w:r>
        <w:t>Water Mining</w:t>
      </w:r>
      <w:r w:rsidR="00727F86">
        <w:t xml:space="preserve"> and Processing</w:t>
      </w:r>
      <w:r>
        <w:t xml:space="preserve"> Architecture</w:t>
      </w:r>
    </w:p>
    <w:p w14:paraId="59025EB3" w14:textId="4F8F406E" w:rsidR="00701E32" w:rsidRDefault="00701E32" w:rsidP="006E327C">
      <w:pPr>
        <w:ind w:firstLine="360"/>
      </w:pPr>
      <w:r>
        <w:t>The power of ISRU system modeling with MAIT can be exemplified through a use case. The water mining architecture—one in a number of ISRU pilot plant designs in the trade space—is being considered for the production of propellant from icy Lunar regolith</w:t>
      </w:r>
      <w:r w:rsidR="00727F86">
        <w:rPr>
          <w:rStyle w:val="EndnoteReference"/>
        </w:rPr>
        <w:endnoteReference w:id="6"/>
      </w:r>
      <w:r w:rsidR="00727F86">
        <w:rPr>
          <w:vertAlign w:val="superscript"/>
        </w:rPr>
        <w:t>,</w:t>
      </w:r>
      <w:r w:rsidR="00727F86">
        <w:rPr>
          <w:rStyle w:val="EndnoteReference"/>
        </w:rPr>
        <w:endnoteReference w:id="7"/>
      </w:r>
      <w:r>
        <w:t xml:space="preserve">. The Lunar water mining architecture has numerous assumptions built into the modeling framework, starting with a designated location of the ISRU plant and </w:t>
      </w:r>
      <w:r w:rsidR="00D97758">
        <w:t xml:space="preserve">a </w:t>
      </w:r>
      <w:r>
        <w:t xml:space="preserve">general operation to retrieve the material and </w:t>
      </w:r>
      <w:r w:rsidR="00727F86">
        <w:t xml:space="preserve">provide the </w:t>
      </w:r>
      <w:r>
        <w:t>power necessary for extraction.</w:t>
      </w:r>
      <w:r w:rsidR="00DE28DB">
        <w:t xml:space="preserve"> The outputs provide insights into integrated system performance and the relationship of key subsystem variables. </w:t>
      </w:r>
    </w:p>
    <w:p w14:paraId="4AF7E7FF" w14:textId="47C35B4F" w:rsidR="00701E32" w:rsidRDefault="00701E32" w:rsidP="006E327C">
      <w:pPr>
        <w:ind w:firstLine="360"/>
      </w:pPr>
      <w:r>
        <w:t xml:space="preserve">The ISRU </w:t>
      </w:r>
      <w:r w:rsidR="00727F86">
        <w:t xml:space="preserve">water processing system </w:t>
      </w:r>
      <w:r>
        <w:t xml:space="preserve">is expected to </w:t>
      </w:r>
      <w:r w:rsidR="00727F86">
        <w:t>operate in both</w:t>
      </w:r>
      <w:r>
        <w:t xml:space="preserve"> a </w:t>
      </w:r>
      <w:r w:rsidR="00727F86">
        <w:t>P</w:t>
      </w:r>
      <w:r>
        <w:t xml:space="preserve">ermanently </w:t>
      </w:r>
      <w:r w:rsidR="00727F86">
        <w:t>S</w:t>
      </w:r>
      <w:r>
        <w:t xml:space="preserve">hadowed </w:t>
      </w:r>
      <w:r w:rsidR="00727F86">
        <w:t>R</w:t>
      </w:r>
      <w:r>
        <w:t xml:space="preserve">egion (PSR) </w:t>
      </w:r>
      <w:r w:rsidR="00727F86">
        <w:t xml:space="preserve">and </w:t>
      </w:r>
      <w:r w:rsidR="008B602B">
        <w:t xml:space="preserve">a </w:t>
      </w:r>
      <w:r w:rsidR="00727F86">
        <w:t xml:space="preserve">lunar ridge environment as shown in </w:t>
      </w:r>
      <w:r w:rsidR="00952397">
        <w:fldChar w:fldCharType="begin"/>
      </w:r>
      <w:r w:rsidR="00952397">
        <w:instrText xml:space="preserve"> REF _Ref157437551 \h </w:instrText>
      </w:r>
      <w:r w:rsidR="00952397">
        <w:fldChar w:fldCharType="separate"/>
      </w:r>
      <w:r w:rsidR="00952397">
        <w:t xml:space="preserve">Figure </w:t>
      </w:r>
      <w:r w:rsidR="00952397">
        <w:rPr>
          <w:noProof/>
        </w:rPr>
        <w:t>3</w:t>
      </w:r>
      <w:r w:rsidR="00952397">
        <w:fldChar w:fldCharType="end"/>
      </w:r>
      <w:r w:rsidR="00952397">
        <w:t xml:space="preserve"> (yellow &amp; purple boxes, respectively). The PSR consists of</w:t>
      </w:r>
      <w:r>
        <w:t xml:space="preserve"> </w:t>
      </w:r>
      <w:r w:rsidRPr="00473BAC">
        <w:t>Highland mare regolith</w:t>
      </w:r>
      <w:r w:rsidR="001664A3">
        <w:t>,</w:t>
      </w:r>
      <w:r>
        <w:t xml:space="preserve"> which </w:t>
      </w:r>
      <w:r w:rsidR="001664A3">
        <w:t xml:space="preserve">is believed to </w:t>
      </w:r>
      <w:r>
        <w:t>contain a low concentration of frozen water</w:t>
      </w:r>
      <w:r w:rsidR="00727F86">
        <w:rPr>
          <w:rStyle w:val="EndnoteReference"/>
        </w:rPr>
        <w:endnoteReference w:id="8"/>
      </w:r>
      <w:r>
        <w:t>. The excavation and water processing are planned to take place in the confines of the PSR, while downstream refinement and storage in a sunnier region above the PSR. The robotic excavator can be scaled up in the subsystem model to meet production values using data from ground testing and assuming a planned operation within a certain radius of a Lunar ISRU installation. Power demand and product transport time are then calculated under those observed set</w:t>
      </w:r>
      <w:r w:rsidR="008B602B">
        <w:t>s</w:t>
      </w:r>
      <w:r>
        <w:t xml:space="preserve"> of input conditions. It is also expected that the excavator could serve other functions </w:t>
      </w:r>
      <w:r w:rsidR="008B602B">
        <w:t xml:space="preserve">beyond </w:t>
      </w:r>
      <w:r>
        <w:t xml:space="preserve">strictly mining, such as assisting in construction projects, which influenced sizing calculations. The excavator sends its aggregated regolith to an actuating hopper that is intended to filter the material based on size exclusion. The model accounts for the bucket geometry in estimating the regolith flow rate and equivalent number of hoppers needed to process deliveries from the excavator. </w:t>
      </w:r>
    </w:p>
    <w:p w14:paraId="304F1610" w14:textId="77777777" w:rsidR="00721884" w:rsidRDefault="00721884" w:rsidP="006E327C">
      <w:pPr>
        <w:ind w:firstLine="360"/>
      </w:pPr>
    </w:p>
    <w:p w14:paraId="097E1D22" w14:textId="37DD7A21" w:rsidR="00727F86" w:rsidRDefault="00721884" w:rsidP="00727F86">
      <w:pPr>
        <w:jc w:val="left"/>
      </w:pPr>
      <w:r w:rsidRPr="00721884">
        <w:rPr>
          <w:noProof/>
        </w:rPr>
        <w:drawing>
          <wp:inline distT="0" distB="0" distL="0" distR="0" wp14:anchorId="0EA0EFB3" wp14:editId="0400BB35">
            <wp:extent cx="5936615" cy="1985749"/>
            <wp:effectExtent l="0" t="0" r="6985" b="0"/>
            <wp:docPr id="7" name="Picture 6" descr="Graphical user interface&#10;&#10;Description automatically generated">
              <a:extLst xmlns:a="http://schemas.openxmlformats.org/drawingml/2006/main">
                <a:ext uri="{FF2B5EF4-FFF2-40B4-BE49-F238E27FC236}">
                  <a16:creationId xmlns:a16="http://schemas.microsoft.com/office/drawing/2014/main" id="{78E713D7-B62D-D313-3304-97B41F6BC5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Graphical user interface&#10;&#10;Description automatically generated">
                      <a:extLst>
                        <a:ext uri="{FF2B5EF4-FFF2-40B4-BE49-F238E27FC236}">
                          <a16:creationId xmlns:a16="http://schemas.microsoft.com/office/drawing/2014/main" id="{78E713D7-B62D-D313-3304-97B41F6BC554}"/>
                        </a:ext>
                      </a:extLst>
                    </pic:cNvPr>
                    <pic:cNvPicPr>
                      <a:picLocks noChangeAspect="1"/>
                    </pic:cNvPicPr>
                  </pic:nvPicPr>
                  <pic:blipFill>
                    <a:blip r:embed="rId17"/>
                    <a:stretch>
                      <a:fillRect/>
                    </a:stretch>
                  </pic:blipFill>
                  <pic:spPr>
                    <a:xfrm>
                      <a:off x="0" y="0"/>
                      <a:ext cx="5965433" cy="1995389"/>
                    </a:xfrm>
                    <a:prstGeom prst="rect">
                      <a:avLst/>
                    </a:prstGeom>
                  </pic:spPr>
                </pic:pic>
              </a:graphicData>
            </a:graphic>
          </wp:inline>
        </w:drawing>
      </w:r>
    </w:p>
    <w:p w14:paraId="6F516590" w14:textId="46A305A0" w:rsidR="00721884" w:rsidRDefault="00727F86" w:rsidP="00727F86">
      <w:pPr>
        <w:pStyle w:val="Caption"/>
        <w:spacing w:after="120"/>
      </w:pPr>
      <w:bookmarkStart w:id="5" w:name="_Ref157437551"/>
      <w:r>
        <w:t xml:space="preserve">Figure </w:t>
      </w:r>
      <w:r>
        <w:fldChar w:fldCharType="begin"/>
      </w:r>
      <w:r>
        <w:instrText xml:space="preserve"> SEQ Figure \* ARABIC </w:instrText>
      </w:r>
      <w:r>
        <w:fldChar w:fldCharType="separate"/>
      </w:r>
      <w:r>
        <w:rPr>
          <w:noProof/>
        </w:rPr>
        <w:t>3</w:t>
      </w:r>
      <w:r>
        <w:rPr>
          <w:noProof/>
        </w:rPr>
        <w:fldChar w:fldCharType="end"/>
      </w:r>
      <w:bookmarkEnd w:id="5"/>
      <w:r w:rsidR="001664A3" w:rsidRPr="001664A3">
        <w:t>:</w:t>
      </w:r>
      <w:r w:rsidR="001664A3">
        <w:t xml:space="preserve"> Flow diagram of the proposed Lunar water mining and processing architecture. </w:t>
      </w:r>
      <w:r w:rsidR="001664A3">
        <w:rPr>
          <w:i/>
        </w:rPr>
        <w:t>The assumed locations of the critical unit processes are low-sunlight regions of a PSR (yellow), and sunnier regions above a PSR (purple).</w:t>
      </w:r>
    </w:p>
    <w:p w14:paraId="013657F3" w14:textId="24BDBDA0" w:rsidR="00CC52B2" w:rsidRDefault="00701E32" w:rsidP="00CC52B2">
      <w:pPr>
        <w:ind w:firstLine="360"/>
      </w:pPr>
      <w:r>
        <w:t>The Lunar Auger Dryer for ISRU (LADI) is a unit process consisting of a thermal casing that transfers heat to a plug of regolith as it passes down the length of rotating screw</w:t>
      </w:r>
      <w:r w:rsidR="00952397">
        <w:rPr>
          <w:rStyle w:val="EndnoteReference"/>
        </w:rPr>
        <w:endnoteReference w:id="9"/>
      </w:r>
      <w:r>
        <w:t>. The environment inside LADI is characterized by certain physical properties of the rotating regolith in developing a plug formation at the end of the unit and thermal properties such as the heat transfer unit that affects how energy is directed towards the desired phase changes (e.g., heating the ice within the regolith and sublimating the ice to water vapor at a certain temperature). Due to the complexity of this step, the model then validates the thermal property assumptions through different methods, given material properties of the heater and casing. Water vapor formed in the LADI is subsequently collected in a cold trap based on the dynamic diffusion-limited growth of a dense ice layer along the surface of a cold wall. The cold trap surface area is assumed to exist within a cylindrical reactor space with internal fins to maximize the surface area to volume ratio, and the calculated heat flux from this specified configuration lends itself to prerequisite radiator heat rejection. Finally, after transport of the collected frozen ice, downstream electrolysis o</w:t>
      </w:r>
      <w:r w:rsidR="00970592">
        <w:t>f</w:t>
      </w:r>
      <w:r>
        <w:t xml:space="preserve"> the water is modeled via the proton exchange membrane (PEM) electrolyzer</w:t>
      </w:r>
      <w:r w:rsidR="00952397">
        <w:rPr>
          <w:rStyle w:val="EndnoteReference"/>
        </w:rPr>
        <w:endnoteReference w:id="10"/>
      </w:r>
      <w:r w:rsidR="001E43CD" w:rsidRPr="001E43CD">
        <w:t xml:space="preserve"> to split into hydrogen and oxygen gas streams</w:t>
      </w:r>
      <w:r>
        <w:t>. These gases are presumed to be saturated and thus require drying before ultimately sending these desired products to liquefaction storage in a passively cooled insulated tank. This is essentially a cryogenic process used as a placeholder for the storage phase prior to transfer to a mobile shuttle. The storage of the separated O</w:t>
      </w:r>
      <w:r w:rsidRPr="002851F5">
        <w:rPr>
          <w:vertAlign w:val="subscript"/>
        </w:rPr>
        <w:t xml:space="preserve">2 </w:t>
      </w:r>
      <w:r>
        <w:t>and H</w:t>
      </w:r>
      <w:r w:rsidRPr="002851F5">
        <w:rPr>
          <w:vertAlign w:val="subscript"/>
        </w:rPr>
        <w:t>2</w:t>
      </w:r>
      <w:r>
        <w:t xml:space="preserve"> marks the end of this project </w:t>
      </w:r>
      <w:r>
        <w:lastRenderedPageBreak/>
        <w:t xml:space="preserve">scope. </w:t>
      </w:r>
      <w:r w:rsidR="00CC52B2">
        <w:t xml:space="preserve">The outputs from the system architecture were accounted into the architecture ESM for trade against other ISRU system designs. </w:t>
      </w:r>
    </w:p>
    <w:p w14:paraId="357751E6" w14:textId="77777777" w:rsidR="00CC52B2" w:rsidRDefault="00CC52B2" w:rsidP="003E01D4">
      <w:pPr>
        <w:pStyle w:val="Heading1"/>
        <w:numPr>
          <w:ilvl w:val="0"/>
          <w:numId w:val="1"/>
        </w:numPr>
      </w:pPr>
      <w:r>
        <w:t>Future Work</w:t>
      </w:r>
    </w:p>
    <w:p w14:paraId="3D8DA990" w14:textId="77777777" w:rsidR="00CC52B2" w:rsidRDefault="00CC52B2" w:rsidP="003E01D4">
      <w:pPr>
        <w:pStyle w:val="Heading2"/>
        <w:numPr>
          <w:ilvl w:val="0"/>
          <w:numId w:val="6"/>
        </w:numPr>
        <w:spacing w:before="0"/>
      </w:pPr>
      <w:r>
        <w:t>Improvements to MAIT Capabilities</w:t>
      </w:r>
    </w:p>
    <w:p w14:paraId="7EAEDE50" w14:textId="5A36DD26" w:rsidR="00CC52B2" w:rsidRDefault="00CC52B2" w:rsidP="00CC52B2">
      <w:pPr>
        <w:pStyle w:val="Text"/>
      </w:pPr>
      <w:r>
        <w:t xml:space="preserve">Despite the significant advancements made to ISRU system modeling capabilities, there are still numerous improvements that can be made to make MAIT a more effective tool. The first improvement is to expand the suite of software packages that MAIT can integrate with. Some software tools that may be particularly relevant for ISRU applications are COMSOL (a multiphysics modeling software), Aspen Plus (a chemical process simulator), and ANSYS Fluent (a Computational Fluid dynamics tool). Expanding the API capabilities will allow MAIT to interface with the most common subsystem models developed by ISRU stakeholders. The second improvement is to add an optimization capability into MAIT’s existing logic. Many of the capabilities built into Simulink may allow for the automation of optimization on different systems. Having a way to appropriately size all components in a full ISRU system design based on the ESM can provide meaningful data to the designers of each specific subsystem. </w:t>
      </w:r>
      <w:r w:rsidR="00243444">
        <w:t>Establishing an estimate start point</w:t>
      </w:r>
      <w:r>
        <w:t xml:space="preserve"> would reduce the parametric space required when investigating the impacts of different variables. Another </w:t>
      </w:r>
      <w:r w:rsidR="00970592">
        <w:t xml:space="preserve">potential </w:t>
      </w:r>
      <w:r>
        <w:t>improvement to the MAIT tool is to allow for parallel computing. Currently</w:t>
      </w:r>
      <w:r w:rsidR="00970592">
        <w:t>,</w:t>
      </w:r>
      <w:r>
        <w:t xml:space="preserve"> MAIT runs in series, where a single parametric case is processed at a time. Adjusting the framework of MAIT to execute in parallel could vastly reduce the computational time.</w:t>
      </w:r>
    </w:p>
    <w:p w14:paraId="15939D93" w14:textId="77777777" w:rsidR="00CC52B2" w:rsidRDefault="00CC52B2" w:rsidP="00CC52B2">
      <w:pPr>
        <w:pStyle w:val="Text"/>
      </w:pPr>
      <w:r>
        <w:t xml:space="preserve"> </w:t>
      </w:r>
    </w:p>
    <w:p w14:paraId="5B10C347" w14:textId="77777777" w:rsidR="00CC52B2" w:rsidRDefault="00CC52B2" w:rsidP="003E01D4">
      <w:pPr>
        <w:pStyle w:val="Heading2"/>
        <w:numPr>
          <w:ilvl w:val="0"/>
          <w:numId w:val="6"/>
        </w:numPr>
        <w:spacing w:before="0"/>
      </w:pPr>
      <w:r>
        <w:t>Additional ISRU Architectures</w:t>
      </w:r>
    </w:p>
    <w:p w14:paraId="75E1528A" w14:textId="6E4CE6BE" w:rsidR="00CC52B2" w:rsidRDefault="00CC52B2" w:rsidP="00243444">
      <w:pPr>
        <w:ind w:firstLine="360"/>
      </w:pPr>
      <w:r>
        <w:t xml:space="preserve">In addition to </w:t>
      </w:r>
      <w:r w:rsidR="00243444">
        <w:t>improving MAIT’s core processing ability</w:t>
      </w:r>
      <w:r>
        <w:t xml:space="preserve">, numerous ISRU architectures </w:t>
      </w:r>
      <w:r w:rsidR="00243444">
        <w:t>will be investigated, beyond water mining described in the section above</w:t>
      </w:r>
      <w:r>
        <w:t>. In the short term, there are plans to investigate Molten Regolith Extraction (MRE) technologies</w:t>
      </w:r>
      <w:r w:rsidR="00952397">
        <w:rPr>
          <w:rStyle w:val="EndnoteReference"/>
        </w:rPr>
        <w:endnoteReference w:id="11"/>
      </w:r>
      <w:r w:rsidR="003E01D4">
        <w:rPr>
          <w:vertAlign w:val="superscript"/>
        </w:rPr>
        <w:t>11</w:t>
      </w:r>
      <w:r>
        <w:t xml:space="preserve"> and Mars propellent production</w:t>
      </w:r>
      <w:r w:rsidR="003E01D4" w:rsidRPr="003E01D4">
        <w:rPr>
          <w:vertAlign w:val="superscript"/>
        </w:rPr>
        <w:t>7</w:t>
      </w:r>
      <w:r>
        <w:t>. While the systems will involve different subsystem models and architectures, the backbone provided by MAIT will not need significant changes to allow for these investigations. MAIT can also be used to investigate power generation in ISRU systems. This would allow for a more accurate calculation of mission launch mass than using an ESM calculation based on generic scaling factors.</w:t>
      </w:r>
    </w:p>
    <w:p w14:paraId="43750C5D" w14:textId="4A7E2AFC" w:rsidR="00112093" w:rsidRDefault="00112093" w:rsidP="003E01D4">
      <w:pPr>
        <w:pStyle w:val="Heading1"/>
        <w:numPr>
          <w:ilvl w:val="0"/>
          <w:numId w:val="1"/>
        </w:numPr>
      </w:pPr>
      <w:r>
        <w:t>Conclusion</w:t>
      </w:r>
      <w:r w:rsidR="00701E32">
        <w:t>s</w:t>
      </w:r>
    </w:p>
    <w:p w14:paraId="7C6827A5" w14:textId="5C94D87E" w:rsidR="00112093" w:rsidRDefault="00701E32" w:rsidP="003E01D4">
      <w:pPr>
        <w:pStyle w:val="Text"/>
        <w:numPr>
          <w:ilvl w:val="0"/>
          <w:numId w:val="4"/>
        </w:numPr>
      </w:pPr>
      <w:r>
        <w:t>MAIT is a framework that allows for consolidation of subsystem models that will address specific STMD goals involving ISRU production on the moon and Mars</w:t>
      </w:r>
    </w:p>
    <w:p w14:paraId="6BCFF83B" w14:textId="7873582E" w:rsidR="00701E32" w:rsidRDefault="00701E32" w:rsidP="003E01D4">
      <w:pPr>
        <w:pStyle w:val="Text"/>
        <w:numPr>
          <w:ilvl w:val="0"/>
          <w:numId w:val="4"/>
        </w:numPr>
      </w:pPr>
      <w:r>
        <w:t>A generic modular element was created to standardize inputs and outputs allowing for a more streamlined data/information passage between subsystems</w:t>
      </w:r>
    </w:p>
    <w:p w14:paraId="2BE1CAD0" w14:textId="0AFD2D7A" w:rsidR="00701E32" w:rsidRDefault="00701E32" w:rsidP="003E01D4">
      <w:pPr>
        <w:pStyle w:val="Text"/>
        <w:numPr>
          <w:ilvl w:val="0"/>
          <w:numId w:val="4"/>
        </w:numPr>
      </w:pPr>
      <w:r>
        <w:t>The model framework allows access to multiple types of software used by technology developers, parametric sweep and recycling functionality, and communication/organization with downstream requirements management tools</w:t>
      </w:r>
    </w:p>
    <w:p w14:paraId="3B2E629F" w14:textId="5D7C000C" w:rsidR="00112093" w:rsidRDefault="00112093">
      <w:pPr>
        <w:pStyle w:val="Text"/>
      </w:pPr>
    </w:p>
    <w:p w14:paraId="7D8A4D11" w14:textId="77777777" w:rsidR="00112093" w:rsidRDefault="00112093">
      <w:pPr>
        <w:pStyle w:val="Heading1"/>
      </w:pPr>
      <w:r>
        <w:t>Acknowledgments</w:t>
      </w:r>
    </w:p>
    <w:p w14:paraId="3DBB872D" w14:textId="4BE7D6CA" w:rsidR="00112093" w:rsidRPr="00BE1ACE" w:rsidRDefault="00BE1ACE" w:rsidP="00BE1ACE">
      <w:pPr>
        <w:tabs>
          <w:tab w:val="left" w:pos="288"/>
        </w:tabs>
        <w:ind w:firstLine="288"/>
        <w:rPr>
          <w:iCs/>
        </w:rPr>
      </w:pPr>
      <w:r w:rsidRPr="00FB0F0E">
        <w:rPr>
          <w:iCs/>
        </w:rPr>
        <w:t xml:space="preserve">The </w:t>
      </w:r>
      <w:r>
        <w:rPr>
          <w:iCs/>
        </w:rPr>
        <w:t xml:space="preserve">FY24 </w:t>
      </w:r>
      <w:r w:rsidRPr="00666473">
        <w:rPr>
          <w:iCs/>
        </w:rPr>
        <w:t>ISRU System Analysis</w:t>
      </w:r>
      <w:r>
        <w:rPr>
          <w:iCs/>
        </w:rPr>
        <w:t xml:space="preserve"> </w:t>
      </w:r>
      <w:r w:rsidRPr="00FB0F0E">
        <w:rPr>
          <w:iCs/>
        </w:rPr>
        <w:t xml:space="preserve">work </w:t>
      </w:r>
      <w:r>
        <w:rPr>
          <w:iCs/>
        </w:rPr>
        <w:t xml:space="preserve">discussed in this paper is </w:t>
      </w:r>
      <w:r w:rsidRPr="007F4E24">
        <w:rPr>
          <w:iCs/>
        </w:rPr>
        <w:t>part of JSC</w:t>
      </w:r>
      <w:r>
        <w:rPr>
          <w:iCs/>
        </w:rPr>
        <w:t>’s</w:t>
      </w:r>
      <w:r w:rsidRPr="007F4E24">
        <w:rPr>
          <w:iCs/>
        </w:rPr>
        <w:t xml:space="preserve"> ISRU portfolio under the </w:t>
      </w:r>
      <w:r>
        <w:rPr>
          <w:iCs/>
        </w:rPr>
        <w:t xml:space="preserve">ISRU TRL Maturation </w:t>
      </w:r>
      <w:r w:rsidRPr="007F4E24">
        <w:rPr>
          <w:iCs/>
        </w:rPr>
        <w:t>project</w:t>
      </w:r>
      <w:r>
        <w:rPr>
          <w:iCs/>
        </w:rPr>
        <w:t xml:space="preserve"> funded by the </w:t>
      </w:r>
      <w:r w:rsidRPr="00406DBE">
        <w:t xml:space="preserve">Game Changing Development Program (GCDP) </w:t>
      </w:r>
      <w:r>
        <w:t xml:space="preserve">within the </w:t>
      </w:r>
      <w:r w:rsidRPr="004E7269">
        <w:t>Space Technology Mission Directorate</w:t>
      </w:r>
      <w:r>
        <w:t xml:space="preserve"> (STMD)</w:t>
      </w:r>
      <w:r w:rsidRPr="007F4E24">
        <w:rPr>
          <w:iCs/>
        </w:rPr>
        <w:t>.</w:t>
      </w:r>
    </w:p>
    <w:p w14:paraId="0F2091FC" w14:textId="61102510" w:rsidR="00F4380C" w:rsidRDefault="00112093" w:rsidP="00952397">
      <w:pPr>
        <w:pStyle w:val="Heading1"/>
      </w:pPr>
      <w:r>
        <w:t>References</w:t>
      </w:r>
      <w:r w:rsidR="0031113C">
        <w:t xml:space="preserve"> </w:t>
      </w:r>
      <w:r w:rsidR="00F4380C">
        <w:rPr>
          <w:noProof/>
        </w:rPr>
        <w:t xml:space="preserve"> </w:t>
      </w:r>
    </w:p>
    <w:sectPr w:rsidR="00F4380C" w:rsidSect="0033622B">
      <w:endnotePr>
        <w:numFmt w:val="decimal"/>
      </w:endnotePr>
      <w:type w:val="continuous"/>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F7BBC" w14:textId="77777777" w:rsidR="0033622B" w:rsidRDefault="0033622B"/>
  </w:endnote>
  <w:endnote w:type="continuationSeparator" w:id="0">
    <w:p w14:paraId="0152ED70" w14:textId="77777777" w:rsidR="0033622B" w:rsidRDefault="0033622B"/>
  </w:endnote>
  <w:endnote w:id="1">
    <w:p w14:paraId="118B6D3E" w14:textId="4E2C45E1" w:rsidR="00C30830" w:rsidRPr="00952397" w:rsidRDefault="00C30830" w:rsidP="00727F86">
      <w:pPr>
        <w:pStyle w:val="EndnoteText"/>
        <w:ind w:firstLine="288"/>
        <w:rPr>
          <w:noProof/>
          <w:sz w:val="18"/>
          <w:szCs w:val="18"/>
        </w:rPr>
      </w:pPr>
      <w:r>
        <w:rPr>
          <w:rStyle w:val="EndnoteReference"/>
        </w:rPr>
        <w:endnoteRef/>
      </w:r>
      <w:r>
        <w:t xml:space="preserve"> </w:t>
      </w:r>
      <w:r w:rsidRPr="00952397">
        <w:rPr>
          <w:noProof/>
          <w:sz w:val="18"/>
          <w:szCs w:val="18"/>
        </w:rPr>
        <w:t>International Space Exploration Coordination Group, "In-Situ Resource Utilization Gap Assessment Report", 2021.</w:t>
      </w:r>
    </w:p>
  </w:endnote>
  <w:endnote w:id="2">
    <w:p w14:paraId="635EEBD0" w14:textId="57A852CA" w:rsidR="00C30830" w:rsidRPr="00952397" w:rsidRDefault="00C30830" w:rsidP="00727F86">
      <w:pPr>
        <w:pStyle w:val="EndnoteText"/>
        <w:ind w:firstLine="288"/>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NASA Space Technology Mission Directorate, "LIVE: In Situ Resource Utilization (ISRU)", 2023.</w:t>
      </w:r>
    </w:p>
  </w:endnote>
  <w:endnote w:id="3">
    <w:p w14:paraId="6952AA20" w14:textId="235576AD" w:rsidR="00C30830" w:rsidRPr="00952397" w:rsidRDefault="00C30830" w:rsidP="00727F86">
      <w:pPr>
        <w:pStyle w:val="EndnoteText"/>
        <w:ind w:firstLine="288"/>
        <w:rPr>
          <w:noProof/>
          <w:sz w:val="18"/>
          <w:szCs w:val="18"/>
        </w:rPr>
      </w:pPr>
      <w:r w:rsidRPr="00952397">
        <w:rPr>
          <w:rStyle w:val="EndnoteReference"/>
          <w:sz w:val="18"/>
          <w:szCs w:val="18"/>
        </w:rPr>
        <w:endnoteRef/>
      </w:r>
      <w:r w:rsidRPr="00952397">
        <w:rPr>
          <w:sz w:val="18"/>
          <w:szCs w:val="18"/>
        </w:rPr>
        <w:t xml:space="preserve"> </w:t>
      </w:r>
      <w:r w:rsidRPr="00952397">
        <w:rPr>
          <w:noProof/>
          <w:sz w:val="18"/>
          <w:szCs w:val="18"/>
        </w:rPr>
        <w:t>National Aeronautics and Space Administration, "NASA's Moon to Mars Architecture", 2023.</w:t>
      </w:r>
    </w:p>
  </w:endnote>
  <w:endnote w:id="4">
    <w:p w14:paraId="37887BBE" w14:textId="6C584548" w:rsidR="00F61517" w:rsidRPr="00952397" w:rsidRDefault="00F61517" w:rsidP="00727F86">
      <w:pPr>
        <w:pStyle w:val="EndnoteText"/>
        <w:ind w:firstLine="288"/>
        <w:jc w:val="left"/>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MathWorks, "Model-Based Design for Embedded Control Systems", URL: </w:t>
      </w:r>
      <w:hyperlink r:id="rId1" w:history="1">
        <w:r w:rsidRPr="00952397">
          <w:rPr>
            <w:rStyle w:val="Hyperlink"/>
            <w:noProof/>
            <w:sz w:val="18"/>
            <w:szCs w:val="18"/>
          </w:rPr>
          <w:t>https://www.mathworks.com/campaigns/offers/model-based-design-embedded-control-systems.html</w:t>
        </w:r>
      </w:hyperlink>
      <w:r w:rsidRPr="00952397">
        <w:rPr>
          <w:noProof/>
          <w:sz w:val="18"/>
          <w:szCs w:val="18"/>
        </w:rPr>
        <w:t>, 2023.</w:t>
      </w:r>
    </w:p>
  </w:endnote>
  <w:endnote w:id="5">
    <w:p w14:paraId="7AB8160A" w14:textId="4ED490D4" w:rsidR="00856802" w:rsidRPr="00952397" w:rsidRDefault="00856802" w:rsidP="00727F86">
      <w:pPr>
        <w:pStyle w:val="EndnoteText"/>
        <w:ind w:firstLine="288"/>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Sudholt, W., Baldridge, K. K., Abramson, D., Enticott, C., Garic, S., Kondric. C., &amp; Nguyen, D. "Application of grid computing to parameter sweeps and optimization in molecular modeling." </w:t>
      </w:r>
      <w:r w:rsidRPr="00952397">
        <w:rPr>
          <w:i/>
          <w:iCs/>
          <w:noProof/>
          <w:sz w:val="18"/>
          <w:szCs w:val="18"/>
        </w:rPr>
        <w:t>Future Generation Computer Systems</w:t>
      </w:r>
      <w:r w:rsidRPr="00952397">
        <w:rPr>
          <w:noProof/>
          <w:sz w:val="18"/>
          <w:szCs w:val="18"/>
        </w:rPr>
        <w:t>, 2005, pp., 27-35.</w:t>
      </w:r>
    </w:p>
  </w:endnote>
  <w:endnote w:id="6">
    <w:p w14:paraId="4388D299" w14:textId="5594A935" w:rsidR="00727F86" w:rsidRPr="00952397" w:rsidRDefault="00727F86" w:rsidP="00727F86">
      <w:pPr>
        <w:pStyle w:val="EndnoteText"/>
        <w:ind w:firstLine="288"/>
        <w:rPr>
          <w:noProof/>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Kleinhenz, J. E., &amp; Paz, A. "Case Studies for Lunar ISRU Systems Utilizing Polar Water." </w:t>
      </w:r>
      <w:r w:rsidRPr="00952397">
        <w:rPr>
          <w:i/>
          <w:iCs/>
          <w:noProof/>
          <w:sz w:val="18"/>
          <w:szCs w:val="18"/>
        </w:rPr>
        <w:t>ASCEND 2020</w:t>
      </w:r>
      <w:r w:rsidRPr="00952397">
        <w:rPr>
          <w:noProof/>
          <w:sz w:val="18"/>
          <w:szCs w:val="18"/>
        </w:rPr>
        <w:t>. AIAA 2020-4042, 2020.</w:t>
      </w:r>
    </w:p>
  </w:endnote>
  <w:endnote w:id="7">
    <w:p w14:paraId="34EE8142" w14:textId="3D95C7B4" w:rsidR="00727F86" w:rsidRPr="00952397" w:rsidRDefault="00727F86" w:rsidP="00727F86">
      <w:pPr>
        <w:pStyle w:val="EndnoteText"/>
        <w:ind w:firstLine="288"/>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Kleinhenz, J. E., &amp; Paz, A. "An ISRU propellant production system for a fully fueled Mars Ascent Vehicle." </w:t>
      </w:r>
      <w:r w:rsidRPr="00952397">
        <w:rPr>
          <w:i/>
          <w:iCs/>
          <w:noProof/>
          <w:sz w:val="18"/>
          <w:szCs w:val="18"/>
        </w:rPr>
        <w:t>10th Symposium on Space Resource Utilization</w:t>
      </w:r>
      <w:r w:rsidRPr="00952397">
        <w:rPr>
          <w:noProof/>
          <w:sz w:val="18"/>
          <w:szCs w:val="18"/>
        </w:rPr>
        <w:t>. AIAA, 2017.</w:t>
      </w:r>
    </w:p>
  </w:endnote>
  <w:endnote w:id="8">
    <w:p w14:paraId="63649692" w14:textId="378C35E1" w:rsidR="00727F86" w:rsidRPr="00952397" w:rsidRDefault="00727F86" w:rsidP="00952397">
      <w:pPr>
        <w:pStyle w:val="EndnoteText"/>
        <w:ind w:firstLine="288"/>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Colaprete, A., Schultz, P., Heldmann, J., Wooden, D., Shirley, M., Ennico, K., et al. "Detection of water in the LCROSS Ejecta Plume." </w:t>
      </w:r>
      <w:r w:rsidRPr="00952397">
        <w:rPr>
          <w:i/>
          <w:iCs/>
          <w:noProof/>
          <w:sz w:val="18"/>
          <w:szCs w:val="18"/>
        </w:rPr>
        <w:t>Science</w:t>
      </w:r>
      <w:r w:rsidRPr="00952397">
        <w:rPr>
          <w:noProof/>
          <w:sz w:val="18"/>
          <w:szCs w:val="18"/>
        </w:rPr>
        <w:t>, Vol. 330, No. 6003, pp. 463-468, 2010.</w:t>
      </w:r>
    </w:p>
  </w:endnote>
  <w:endnote w:id="9">
    <w:p w14:paraId="610E4D4F" w14:textId="1D85B1FF" w:rsidR="00952397" w:rsidRPr="00952397" w:rsidRDefault="00952397" w:rsidP="00952397">
      <w:pPr>
        <w:pStyle w:val="EndnoteText"/>
        <w:ind w:firstLine="288"/>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Collins, J., Michel, J., Araghi, K. "Lunar water extraction via Lunar Auger Dryer ISRU (LADI)." </w:t>
      </w:r>
      <w:r w:rsidRPr="00952397">
        <w:rPr>
          <w:i/>
          <w:iCs/>
          <w:noProof/>
          <w:sz w:val="18"/>
          <w:szCs w:val="18"/>
        </w:rPr>
        <w:t>ASCEND 2023</w:t>
      </w:r>
      <w:r w:rsidRPr="00952397">
        <w:rPr>
          <w:noProof/>
          <w:sz w:val="18"/>
          <w:szCs w:val="18"/>
        </w:rPr>
        <w:t>. AIAA 2023-4078, 2023.</w:t>
      </w:r>
    </w:p>
  </w:endnote>
  <w:endnote w:id="10">
    <w:p w14:paraId="17F462AA" w14:textId="0240411F" w:rsidR="00952397" w:rsidRPr="00952397" w:rsidRDefault="00952397" w:rsidP="00952397">
      <w:pPr>
        <w:pStyle w:val="EndnoteText"/>
        <w:ind w:firstLine="288"/>
        <w:jc w:val="left"/>
        <w:rPr>
          <w:sz w:val="18"/>
          <w:szCs w:val="18"/>
        </w:rPr>
      </w:pPr>
      <w:r w:rsidRPr="00952397">
        <w:rPr>
          <w:rStyle w:val="EndnoteReference"/>
          <w:sz w:val="18"/>
          <w:szCs w:val="18"/>
        </w:rPr>
        <w:endnoteRef/>
      </w:r>
      <w:r w:rsidRPr="00952397">
        <w:rPr>
          <w:sz w:val="18"/>
          <w:szCs w:val="18"/>
        </w:rPr>
        <w:t xml:space="preserve"> </w:t>
      </w:r>
      <w:r w:rsidRPr="00952397">
        <w:rPr>
          <w:noProof/>
          <w:sz w:val="18"/>
          <w:szCs w:val="18"/>
        </w:rPr>
        <w:t xml:space="preserve">Paz, A. "Technology Assessment for Producing Propellant from Lunar Water." </w:t>
      </w:r>
      <w:r w:rsidRPr="00952397">
        <w:rPr>
          <w:i/>
          <w:iCs/>
          <w:noProof/>
          <w:sz w:val="18"/>
          <w:szCs w:val="18"/>
        </w:rPr>
        <w:t>NASA Exploration Science Forum</w:t>
      </w:r>
      <w:r w:rsidRPr="00952397">
        <w:rPr>
          <w:noProof/>
          <w:sz w:val="18"/>
          <w:szCs w:val="18"/>
        </w:rPr>
        <w:t>. NTRS - NASA Technical Reports Server [online database], URL:</w:t>
      </w:r>
      <w:r w:rsidRPr="00952397">
        <w:rPr>
          <w:noProof/>
          <w:sz w:val="18"/>
          <w:szCs w:val="18"/>
        </w:rPr>
        <w:br/>
      </w:r>
      <w:hyperlink r:id="rId2" w:history="1">
        <w:r w:rsidRPr="00952397">
          <w:rPr>
            <w:rStyle w:val="Hyperlink"/>
            <w:noProof/>
            <w:sz w:val="18"/>
            <w:szCs w:val="18"/>
          </w:rPr>
          <w:t>https://ntrs.nasa.gov/citations/20230010039</w:t>
        </w:r>
      </w:hyperlink>
      <w:r w:rsidRPr="00952397">
        <w:rPr>
          <w:noProof/>
          <w:sz w:val="18"/>
          <w:szCs w:val="18"/>
        </w:rPr>
        <w:t>, [cited January 2023].</w:t>
      </w:r>
    </w:p>
  </w:endnote>
  <w:endnote w:id="11">
    <w:p w14:paraId="2AFC7626" w14:textId="34B80CA4" w:rsidR="00952397" w:rsidRPr="00952397" w:rsidRDefault="00952397" w:rsidP="00952397">
      <w:pPr>
        <w:pStyle w:val="EndnoteText"/>
        <w:ind w:firstLine="288"/>
        <w:rPr>
          <w:sz w:val="18"/>
          <w:szCs w:val="18"/>
        </w:rPr>
      </w:pPr>
      <w:r w:rsidRPr="00952397">
        <w:rPr>
          <w:rStyle w:val="EndnoteReference"/>
          <w:sz w:val="18"/>
          <w:szCs w:val="18"/>
        </w:rPr>
        <w:endnoteRef/>
      </w:r>
      <w:r w:rsidRPr="00952397">
        <w:rPr>
          <w:noProof/>
          <w:sz w:val="18"/>
          <w:szCs w:val="18"/>
        </w:rPr>
        <w:t xml:space="preserve">Schreiner, S. S., Sibille, L., Dominguez, J. A., &amp; Hoffman, J. A. "A parametric sizing model for Molten Regolith Electrolysis reactors to produce oxygen on the Moon." </w:t>
      </w:r>
      <w:r w:rsidRPr="00952397">
        <w:rPr>
          <w:i/>
          <w:iCs/>
          <w:noProof/>
          <w:sz w:val="18"/>
          <w:szCs w:val="18"/>
        </w:rPr>
        <w:t>Advances in Space Research</w:t>
      </w:r>
      <w:r w:rsidRPr="00952397">
        <w:rPr>
          <w:noProof/>
          <w:sz w:val="18"/>
          <w:szCs w:val="18"/>
        </w:rPr>
        <w:t>, Vol. 57, pp., 1585-1603, 2016.</w:t>
      </w:r>
      <w:r w:rsidRPr="00952397">
        <w:rPr>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0D2B"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C54D" w14:textId="5C4BE19B" w:rsidR="00CD2566" w:rsidRDefault="00AD7DA8">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242D" w14:textId="2068E25A" w:rsidR="003431E0" w:rsidRDefault="00492DE7">
    <w:pPr>
      <w:pStyle w:val="Footer"/>
    </w:pPr>
    <w:r>
      <w:t xml:space="preserve">Trade names and trademarks are used in this report for identification only. Their usage does not constitute an official endorsement, either expressed or implied, by the National Aeronautics and Space Administration.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D7A76" w14:textId="77777777" w:rsidR="0033622B" w:rsidRDefault="0033622B">
      <w:r>
        <w:separator/>
      </w:r>
    </w:p>
  </w:footnote>
  <w:footnote w:type="continuationSeparator" w:id="0">
    <w:p w14:paraId="02C5562F" w14:textId="77777777" w:rsidR="0033622B" w:rsidRDefault="0033622B">
      <w:r>
        <w:continuationSeparator/>
      </w:r>
    </w:p>
  </w:footnote>
  <w:footnote w:id="1">
    <w:p w14:paraId="71C4AEEA" w14:textId="4AD6EC42" w:rsidR="00CD2566" w:rsidRDefault="00CD2566" w:rsidP="00BB4AFF">
      <w:pPr>
        <w:pStyle w:val="FootnoteText"/>
      </w:pPr>
      <w:r w:rsidRPr="00BB4AFF">
        <w:rPr>
          <w:rStyle w:val="FootnoteReference"/>
        </w:rPr>
        <w:footnoteRef/>
      </w:r>
      <w:r>
        <w:t xml:space="preserve"> </w:t>
      </w:r>
      <w:r w:rsidR="009D0764">
        <w:t>Chemical Engineer</w:t>
      </w:r>
      <w:r>
        <w:t xml:space="preserve">, </w:t>
      </w:r>
      <w:r w:rsidR="009D0764">
        <w:t>Life Support Systems</w:t>
      </w:r>
      <w:r>
        <w:t xml:space="preserve">, </w:t>
      </w:r>
      <w:r w:rsidR="009D0764">
        <w:t>2224 Bay Area Blvd, Houston, TX 77058</w:t>
      </w:r>
      <w:r>
        <w:t>.</w:t>
      </w:r>
    </w:p>
  </w:footnote>
  <w:footnote w:id="2">
    <w:p w14:paraId="21773322" w14:textId="2483A9FD" w:rsidR="00CD2566" w:rsidRDefault="00CD2566" w:rsidP="00BB4AFF">
      <w:pPr>
        <w:pStyle w:val="FootnoteText"/>
      </w:pPr>
      <w:r>
        <w:rPr>
          <w:rStyle w:val="FootnoteReference"/>
        </w:rPr>
        <w:footnoteRef/>
      </w:r>
      <w:r>
        <w:t xml:space="preserve"> </w:t>
      </w:r>
      <w:r w:rsidR="009D0764">
        <w:t>Thermal Analysis Engineer</w:t>
      </w:r>
      <w:r>
        <w:t xml:space="preserve">, </w:t>
      </w:r>
      <w:r w:rsidR="009D0764">
        <w:t>Thermal and Life Support Systems</w:t>
      </w:r>
      <w:r>
        <w:t xml:space="preserve">, </w:t>
      </w:r>
      <w:r w:rsidR="009D0764">
        <w:t>2224 Bay Area Blvd, Houston, TX 77058</w:t>
      </w:r>
      <w:r>
        <w:t>.</w:t>
      </w:r>
    </w:p>
  </w:footnote>
  <w:footnote w:id="3">
    <w:p w14:paraId="74F15705" w14:textId="1638CEF0" w:rsidR="00CD2566" w:rsidRDefault="00CD2566">
      <w:pPr>
        <w:pStyle w:val="FootnoteText"/>
      </w:pPr>
      <w:r>
        <w:rPr>
          <w:rStyle w:val="FootnoteReference"/>
        </w:rPr>
        <w:footnoteRef/>
      </w:r>
      <w:r>
        <w:t xml:space="preserve"> </w:t>
      </w:r>
      <w:r w:rsidR="009D0764">
        <w:t>Aerospace Engineer</w:t>
      </w:r>
      <w:r>
        <w:t xml:space="preserve">, </w:t>
      </w:r>
      <w:r w:rsidR="009D0764">
        <w:t>Energy Conversion Systems Branch (EP3)</w:t>
      </w:r>
      <w:r>
        <w:t>,</w:t>
      </w:r>
      <w:r w:rsidR="009D0764">
        <w:t xml:space="preserve"> 2101 NASA Parkway, Houston, TX 77058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0FF6" w14:textId="2A02EB78" w:rsidR="009135D2" w:rsidRPr="009135D2" w:rsidRDefault="00BC6E23" w:rsidP="009135D2">
    <w:pPr>
      <w:pStyle w:val="Header"/>
    </w:pPr>
    <w:r>
      <w:t>5</w:t>
    </w:r>
    <w:r w:rsidR="00C901D1">
      <w:t>3rd</w:t>
    </w:r>
    <w:r w:rsidR="009135D2" w:rsidRPr="009135D2">
      <w:t xml:space="preserve"> International Conference on Environmental Systems</w:t>
    </w:r>
    <w:r w:rsidR="009135D2" w:rsidRPr="009135D2">
      <w:tab/>
    </w:r>
    <w:r w:rsidR="00FD423A">
      <w:t>ICES-20</w:t>
    </w:r>
    <w:r>
      <w:t>2</w:t>
    </w:r>
    <w:r w:rsidR="00C901D1">
      <w:t>4</w:t>
    </w:r>
    <w:r w:rsidR="00FD423A">
      <w:t>-</w:t>
    </w:r>
    <w:r w:rsidR="00F678F2">
      <w:t>53</w:t>
    </w:r>
  </w:p>
  <w:p w14:paraId="131213CE" w14:textId="508EBD9B" w:rsidR="009135D2" w:rsidRPr="009135D2" w:rsidRDefault="00C901D1" w:rsidP="009135D2">
    <w:pPr>
      <w:pStyle w:val="Header"/>
    </w:pPr>
    <w:r>
      <w:t>21-25</w:t>
    </w:r>
    <w:r w:rsidR="009135D2" w:rsidRPr="009135D2">
      <w:t xml:space="preserve"> July 20</w:t>
    </w:r>
    <w:r w:rsidR="00BC6E23">
      <w:t>2</w:t>
    </w:r>
    <w:r>
      <w:t>4</w:t>
    </w:r>
    <w:r w:rsidR="00BA5E2C">
      <w:t xml:space="preserve">, </w:t>
    </w:r>
    <w:r>
      <w:t>Louisville, Kentucky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B3479D"/>
    <w:multiLevelType w:val="hybridMultilevel"/>
    <w:tmpl w:val="2A0EC13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3CD4ACF"/>
    <w:multiLevelType w:val="hybridMultilevel"/>
    <w:tmpl w:val="5D70F01A"/>
    <w:lvl w:ilvl="0" w:tplc="04090015">
      <w:start w:val="1"/>
      <w:numFmt w:val="upperLetter"/>
      <w:lvlText w:val="%1."/>
      <w:lvlJc w:val="left"/>
      <w:pPr>
        <w:tabs>
          <w:tab w:val="num" w:pos="360"/>
        </w:tabs>
        <w:ind w:left="0" w:firstLine="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DAC55F8"/>
    <w:multiLevelType w:val="hybridMultilevel"/>
    <w:tmpl w:val="5D70F01A"/>
    <w:lvl w:ilvl="0" w:tplc="FFFFFFFF">
      <w:start w:val="1"/>
      <w:numFmt w:val="upperLetter"/>
      <w:lvlText w:val="%1."/>
      <w:lvlJc w:val="left"/>
      <w:pPr>
        <w:tabs>
          <w:tab w:val="num" w:pos="360"/>
        </w:tabs>
        <w:ind w:left="0" w:firstLine="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648"/>
        </w:tabs>
        <w:ind w:left="288" w:firstLine="0"/>
      </w:pPr>
      <w:rPr>
        <w:rFonts w:hint="default"/>
      </w:rPr>
    </w:lvl>
    <w:lvl w:ilvl="3" w:tplc="FFFFFFFF">
      <w:start w:val="1"/>
      <w:numFmt w:val="lowerLetter"/>
      <w:lvlText w:val="%4)"/>
      <w:lvlJc w:val="left"/>
      <w:pPr>
        <w:tabs>
          <w:tab w:val="num" w:pos="648"/>
        </w:tabs>
        <w:ind w:left="288" w:firstLine="0"/>
      </w:pPr>
      <w:rPr>
        <w:rFonts w:hint="default"/>
      </w:rPr>
    </w:lvl>
    <w:lvl w:ilvl="4" w:tplc="FFFFFFFF">
      <w:start w:val="1"/>
      <w:numFmt w:val="lowerLetter"/>
      <w:lvlText w:val="%5."/>
      <w:lvlJc w:val="left"/>
      <w:pPr>
        <w:tabs>
          <w:tab w:val="num" w:pos="648"/>
        </w:tabs>
        <w:ind w:left="288" w:firstLine="0"/>
      </w:pPr>
      <w:rPr>
        <w:rFonts w:hint="default"/>
      </w:rPr>
    </w:lvl>
    <w:lvl w:ilvl="5" w:tplc="FFFFFFFF">
      <w:start w:val="1"/>
      <w:numFmt w:val="decimal"/>
      <w:lvlText w:val="%6)"/>
      <w:lvlJc w:val="left"/>
      <w:pPr>
        <w:tabs>
          <w:tab w:val="num" w:pos="720"/>
        </w:tabs>
        <w:ind w:left="720" w:hanging="432"/>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789A6FA7"/>
    <w:multiLevelType w:val="hybridMultilevel"/>
    <w:tmpl w:val="F314FF7A"/>
    <w:lvl w:ilvl="0" w:tplc="FFFFFFFF">
      <w:start w:val="1"/>
      <w:numFmt w:val="upperLetter"/>
      <w:lvlText w:val="%1."/>
      <w:lvlJc w:val="left"/>
      <w:pPr>
        <w:tabs>
          <w:tab w:val="num" w:pos="360"/>
        </w:tabs>
        <w:ind w:left="0" w:firstLine="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648"/>
        </w:tabs>
        <w:ind w:left="288" w:firstLine="0"/>
      </w:pPr>
      <w:rPr>
        <w:rFonts w:hint="default"/>
      </w:rPr>
    </w:lvl>
    <w:lvl w:ilvl="3" w:tplc="FFFFFFFF">
      <w:start w:val="1"/>
      <w:numFmt w:val="lowerLetter"/>
      <w:lvlText w:val="%4)"/>
      <w:lvlJc w:val="left"/>
      <w:pPr>
        <w:tabs>
          <w:tab w:val="num" w:pos="648"/>
        </w:tabs>
        <w:ind w:left="288" w:firstLine="0"/>
      </w:pPr>
      <w:rPr>
        <w:rFonts w:hint="default"/>
      </w:rPr>
    </w:lvl>
    <w:lvl w:ilvl="4" w:tplc="FFFFFFFF">
      <w:start w:val="1"/>
      <w:numFmt w:val="lowerLetter"/>
      <w:lvlText w:val="%5."/>
      <w:lvlJc w:val="left"/>
      <w:pPr>
        <w:tabs>
          <w:tab w:val="num" w:pos="648"/>
        </w:tabs>
        <w:ind w:left="288" w:firstLine="0"/>
      </w:pPr>
      <w:rPr>
        <w:rFonts w:hint="default"/>
      </w:rPr>
    </w:lvl>
    <w:lvl w:ilvl="5" w:tplc="FFFFFFFF">
      <w:start w:val="1"/>
      <w:numFmt w:val="decimal"/>
      <w:lvlText w:val="%6)"/>
      <w:lvlJc w:val="left"/>
      <w:pPr>
        <w:tabs>
          <w:tab w:val="num" w:pos="720"/>
        </w:tabs>
        <w:ind w:left="720" w:hanging="432"/>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30599222">
    <w:abstractNumId w:val="3"/>
  </w:num>
  <w:num w:numId="2" w16cid:durableId="266694077">
    <w:abstractNumId w:val="0"/>
  </w:num>
  <w:num w:numId="3" w16cid:durableId="1859199564">
    <w:abstractNumId w:val="2"/>
  </w:num>
  <w:num w:numId="4" w16cid:durableId="963316549">
    <w:abstractNumId w:val="1"/>
  </w:num>
  <w:num w:numId="5" w16cid:durableId="1107239352">
    <w:abstractNumId w:val="4"/>
  </w:num>
  <w:num w:numId="6" w16cid:durableId="69353313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trackRevisions/>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B7A"/>
    <w:rsid w:val="00005EBC"/>
    <w:rsid w:val="000277D8"/>
    <w:rsid w:val="00043166"/>
    <w:rsid w:val="000526B6"/>
    <w:rsid w:val="000D40C6"/>
    <w:rsid w:val="00112093"/>
    <w:rsid w:val="00124FB9"/>
    <w:rsid w:val="0013058E"/>
    <w:rsid w:val="00151CE9"/>
    <w:rsid w:val="001612DD"/>
    <w:rsid w:val="00164D49"/>
    <w:rsid w:val="00165AE4"/>
    <w:rsid w:val="001664A3"/>
    <w:rsid w:val="00173B90"/>
    <w:rsid w:val="00180A4F"/>
    <w:rsid w:val="001907DB"/>
    <w:rsid w:val="00195F23"/>
    <w:rsid w:val="001B2406"/>
    <w:rsid w:val="001B5FE1"/>
    <w:rsid w:val="001D7139"/>
    <w:rsid w:val="001E43CD"/>
    <w:rsid w:val="0022619A"/>
    <w:rsid w:val="00226721"/>
    <w:rsid w:val="00233B58"/>
    <w:rsid w:val="00243444"/>
    <w:rsid w:val="0025674C"/>
    <w:rsid w:val="00266EC8"/>
    <w:rsid w:val="002A3936"/>
    <w:rsid w:val="002B4AC0"/>
    <w:rsid w:val="002E184A"/>
    <w:rsid w:val="002E4F59"/>
    <w:rsid w:val="00305EC5"/>
    <w:rsid w:val="00310B3B"/>
    <w:rsid w:val="0031113C"/>
    <w:rsid w:val="003177E5"/>
    <w:rsid w:val="00335EDD"/>
    <w:rsid w:val="0033622B"/>
    <w:rsid w:val="003431E0"/>
    <w:rsid w:val="00390ABC"/>
    <w:rsid w:val="003A25B0"/>
    <w:rsid w:val="003B05F7"/>
    <w:rsid w:val="003B36D5"/>
    <w:rsid w:val="003B6AB0"/>
    <w:rsid w:val="003C478A"/>
    <w:rsid w:val="003D2C39"/>
    <w:rsid w:val="003E01D4"/>
    <w:rsid w:val="003E7E83"/>
    <w:rsid w:val="00407D7E"/>
    <w:rsid w:val="00414D96"/>
    <w:rsid w:val="0042116D"/>
    <w:rsid w:val="00422D32"/>
    <w:rsid w:val="004249CD"/>
    <w:rsid w:val="00444540"/>
    <w:rsid w:val="0046088D"/>
    <w:rsid w:val="00492DE7"/>
    <w:rsid w:val="00494519"/>
    <w:rsid w:val="004A39C5"/>
    <w:rsid w:val="004E3C34"/>
    <w:rsid w:val="004F0055"/>
    <w:rsid w:val="00503E4C"/>
    <w:rsid w:val="00507D6B"/>
    <w:rsid w:val="005121E1"/>
    <w:rsid w:val="00517EBF"/>
    <w:rsid w:val="00521E6D"/>
    <w:rsid w:val="00526C85"/>
    <w:rsid w:val="0056133E"/>
    <w:rsid w:val="00594321"/>
    <w:rsid w:val="005A74AC"/>
    <w:rsid w:val="005A7AB6"/>
    <w:rsid w:val="005B0772"/>
    <w:rsid w:val="005F5715"/>
    <w:rsid w:val="0061586C"/>
    <w:rsid w:val="00616EB0"/>
    <w:rsid w:val="006417EC"/>
    <w:rsid w:val="00675510"/>
    <w:rsid w:val="00690994"/>
    <w:rsid w:val="006A185B"/>
    <w:rsid w:val="006A370B"/>
    <w:rsid w:val="006B25D3"/>
    <w:rsid w:val="006B7B2B"/>
    <w:rsid w:val="006C607F"/>
    <w:rsid w:val="006D34A6"/>
    <w:rsid w:val="006E327C"/>
    <w:rsid w:val="006E64E1"/>
    <w:rsid w:val="006F3848"/>
    <w:rsid w:val="00701E32"/>
    <w:rsid w:val="00721884"/>
    <w:rsid w:val="00727F86"/>
    <w:rsid w:val="00754458"/>
    <w:rsid w:val="007600A1"/>
    <w:rsid w:val="00791897"/>
    <w:rsid w:val="00791F7F"/>
    <w:rsid w:val="00796930"/>
    <w:rsid w:val="007A5F93"/>
    <w:rsid w:val="007B3582"/>
    <w:rsid w:val="007C55DA"/>
    <w:rsid w:val="007D4C50"/>
    <w:rsid w:val="007D7CAB"/>
    <w:rsid w:val="007F71BB"/>
    <w:rsid w:val="00816CFB"/>
    <w:rsid w:val="00826134"/>
    <w:rsid w:val="00851664"/>
    <w:rsid w:val="00856802"/>
    <w:rsid w:val="0086154B"/>
    <w:rsid w:val="00864BF5"/>
    <w:rsid w:val="00864F66"/>
    <w:rsid w:val="0086636D"/>
    <w:rsid w:val="00867D20"/>
    <w:rsid w:val="008708A1"/>
    <w:rsid w:val="00887F77"/>
    <w:rsid w:val="00896620"/>
    <w:rsid w:val="008A488A"/>
    <w:rsid w:val="008B602B"/>
    <w:rsid w:val="008B6B3A"/>
    <w:rsid w:val="008C5C6B"/>
    <w:rsid w:val="008C7426"/>
    <w:rsid w:val="008E0840"/>
    <w:rsid w:val="008F1935"/>
    <w:rsid w:val="009005CC"/>
    <w:rsid w:val="009135D2"/>
    <w:rsid w:val="00920A14"/>
    <w:rsid w:val="00925B9E"/>
    <w:rsid w:val="00952397"/>
    <w:rsid w:val="00970592"/>
    <w:rsid w:val="009709C7"/>
    <w:rsid w:val="0097385F"/>
    <w:rsid w:val="0097712A"/>
    <w:rsid w:val="009B7BEB"/>
    <w:rsid w:val="009C4479"/>
    <w:rsid w:val="009D0764"/>
    <w:rsid w:val="009D2DAF"/>
    <w:rsid w:val="009D5AE5"/>
    <w:rsid w:val="009F24CA"/>
    <w:rsid w:val="00A1355C"/>
    <w:rsid w:val="00A149A1"/>
    <w:rsid w:val="00A165E3"/>
    <w:rsid w:val="00A23ECC"/>
    <w:rsid w:val="00A2685D"/>
    <w:rsid w:val="00A26DE0"/>
    <w:rsid w:val="00A44716"/>
    <w:rsid w:val="00A45B23"/>
    <w:rsid w:val="00A5136B"/>
    <w:rsid w:val="00A52E8D"/>
    <w:rsid w:val="00A576F4"/>
    <w:rsid w:val="00A64B87"/>
    <w:rsid w:val="00A73E7F"/>
    <w:rsid w:val="00A83216"/>
    <w:rsid w:val="00AC51E4"/>
    <w:rsid w:val="00AD3F31"/>
    <w:rsid w:val="00AD7DA8"/>
    <w:rsid w:val="00AE10BB"/>
    <w:rsid w:val="00B01D10"/>
    <w:rsid w:val="00B115BA"/>
    <w:rsid w:val="00B23377"/>
    <w:rsid w:val="00B454DC"/>
    <w:rsid w:val="00B54A09"/>
    <w:rsid w:val="00B748D6"/>
    <w:rsid w:val="00B8070C"/>
    <w:rsid w:val="00BA5E2C"/>
    <w:rsid w:val="00BB13CA"/>
    <w:rsid w:val="00BB3E6E"/>
    <w:rsid w:val="00BB4AFF"/>
    <w:rsid w:val="00BC6E23"/>
    <w:rsid w:val="00BD4E90"/>
    <w:rsid w:val="00BE16BE"/>
    <w:rsid w:val="00BE1ACE"/>
    <w:rsid w:val="00BE452D"/>
    <w:rsid w:val="00C14C11"/>
    <w:rsid w:val="00C30830"/>
    <w:rsid w:val="00C32AB8"/>
    <w:rsid w:val="00C35B20"/>
    <w:rsid w:val="00C4056F"/>
    <w:rsid w:val="00C54ECD"/>
    <w:rsid w:val="00C5672F"/>
    <w:rsid w:val="00C84C54"/>
    <w:rsid w:val="00C901D1"/>
    <w:rsid w:val="00CB3530"/>
    <w:rsid w:val="00CC52B2"/>
    <w:rsid w:val="00CD2566"/>
    <w:rsid w:val="00CD29F4"/>
    <w:rsid w:val="00CD70B5"/>
    <w:rsid w:val="00CE1E12"/>
    <w:rsid w:val="00CE7C64"/>
    <w:rsid w:val="00D217C4"/>
    <w:rsid w:val="00D23916"/>
    <w:rsid w:val="00D47569"/>
    <w:rsid w:val="00D526A1"/>
    <w:rsid w:val="00D57C34"/>
    <w:rsid w:val="00D70F65"/>
    <w:rsid w:val="00D73807"/>
    <w:rsid w:val="00D82510"/>
    <w:rsid w:val="00D90B27"/>
    <w:rsid w:val="00D97758"/>
    <w:rsid w:val="00DA5E4F"/>
    <w:rsid w:val="00DD783C"/>
    <w:rsid w:val="00DE28DB"/>
    <w:rsid w:val="00E1023A"/>
    <w:rsid w:val="00E10DAF"/>
    <w:rsid w:val="00E1544A"/>
    <w:rsid w:val="00E17400"/>
    <w:rsid w:val="00E27BD3"/>
    <w:rsid w:val="00E40BBE"/>
    <w:rsid w:val="00E411C7"/>
    <w:rsid w:val="00E42173"/>
    <w:rsid w:val="00E42CFD"/>
    <w:rsid w:val="00E606B5"/>
    <w:rsid w:val="00E747AA"/>
    <w:rsid w:val="00E748BF"/>
    <w:rsid w:val="00E83D75"/>
    <w:rsid w:val="00E84D5C"/>
    <w:rsid w:val="00EA3E12"/>
    <w:rsid w:val="00EE6663"/>
    <w:rsid w:val="00F06778"/>
    <w:rsid w:val="00F4380C"/>
    <w:rsid w:val="00F61517"/>
    <w:rsid w:val="00F678F2"/>
    <w:rsid w:val="00FB0907"/>
    <w:rsid w:val="00FB205F"/>
    <w:rsid w:val="00FB42FE"/>
    <w:rsid w:val="00FC0CDB"/>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oNotEmbedSmartTags/>
  <w:decimalSymbol w:val="."/>
  <w:listSeparator w:val=","/>
  <w14:docId w14:val="6171BAA9"/>
  <w15:chartTrackingRefBased/>
  <w15:docId w15:val="{C87ED2C5-BBED-457B-8051-0170C047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link w:val="Heading1Char"/>
    <w:uiPriority w:val="9"/>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tabs>
        <w:tab w:val="left" w:pos="288"/>
      </w:tabs>
      <w:spacing w:before="240"/>
      <w:outlineLvl w:val="1"/>
    </w:pPr>
    <w:rPr>
      <w:b/>
    </w:rPr>
  </w:style>
  <w:style w:type="paragraph" w:styleId="Heading3">
    <w:name w:val="heading 3"/>
    <w:basedOn w:val="Normal"/>
    <w:next w:val="Text"/>
    <w:qFormat/>
    <w:rsid w:val="009005CC"/>
    <w:pPr>
      <w:keepNext/>
      <w:numPr>
        <w:numId w:val="2"/>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paragraph" w:styleId="CommentText">
    <w:name w:val="annotation text"/>
    <w:basedOn w:val="Normal"/>
    <w:link w:val="CommentTextChar"/>
    <w:uiPriority w:val="99"/>
    <w:unhideWhenUsed/>
    <w:rsid w:val="00D82510"/>
    <w:pPr>
      <w:spacing w:after="160"/>
      <w:jc w:val="left"/>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D82510"/>
    <w:rPr>
      <w:rFonts w:asciiTheme="minorHAnsi" w:eastAsiaTheme="minorHAnsi" w:hAnsiTheme="minorHAnsi" w:cstheme="minorBidi"/>
      <w:kern w:val="2"/>
      <w14:ligatures w14:val="standardContextual"/>
    </w:rPr>
  </w:style>
  <w:style w:type="paragraph" w:styleId="ListParagraph">
    <w:name w:val="List Paragraph"/>
    <w:basedOn w:val="Normal"/>
    <w:uiPriority w:val="34"/>
    <w:qFormat/>
    <w:rsid w:val="00D82510"/>
    <w:pPr>
      <w:ind w:left="720"/>
      <w:contextualSpacing/>
    </w:pPr>
  </w:style>
  <w:style w:type="table" w:styleId="GridTable4">
    <w:name w:val="Grid Table 4"/>
    <w:basedOn w:val="TableNormal"/>
    <w:uiPriority w:val="49"/>
    <w:rsid w:val="00A2685D"/>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01E32"/>
    <w:rPr>
      <w:sz w:val="16"/>
      <w:szCs w:val="16"/>
    </w:rPr>
  </w:style>
  <w:style w:type="character" w:customStyle="1" w:styleId="Heading1Char">
    <w:name w:val="Heading 1 Char"/>
    <w:basedOn w:val="DefaultParagraphFont"/>
    <w:link w:val="Heading1"/>
    <w:uiPriority w:val="9"/>
    <w:rsid w:val="00FB0907"/>
    <w:rPr>
      <w:b/>
      <w:kern w:val="32"/>
      <w:sz w:val="22"/>
    </w:rPr>
  </w:style>
  <w:style w:type="paragraph" w:styleId="Bibliography">
    <w:name w:val="Bibliography"/>
    <w:basedOn w:val="Normal"/>
    <w:next w:val="Normal"/>
    <w:uiPriority w:val="37"/>
    <w:unhideWhenUsed/>
    <w:rsid w:val="00FB0907"/>
  </w:style>
  <w:style w:type="paragraph" w:styleId="Revision">
    <w:name w:val="Revision"/>
    <w:hidden/>
    <w:uiPriority w:val="99"/>
    <w:semiHidden/>
    <w:rsid w:val="00D73807"/>
  </w:style>
  <w:style w:type="paragraph" w:styleId="CommentSubject">
    <w:name w:val="annotation subject"/>
    <w:basedOn w:val="CommentText"/>
    <w:next w:val="CommentText"/>
    <w:link w:val="CommentSubjectChar"/>
    <w:uiPriority w:val="99"/>
    <w:semiHidden/>
    <w:unhideWhenUsed/>
    <w:rsid w:val="009709C7"/>
    <w:pPr>
      <w:spacing w:after="0"/>
      <w:jc w:val="both"/>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9709C7"/>
    <w:rPr>
      <w:rFonts w:asciiTheme="minorHAnsi" w:eastAsiaTheme="minorHAnsi" w:hAnsiTheme="minorHAnsi" w:cstheme="minorBidi"/>
      <w:b/>
      <w:bCs/>
      <w:kern w:val="2"/>
      <w14:ligatures w14:val="standardContextual"/>
    </w:rPr>
  </w:style>
  <w:style w:type="table" w:styleId="PlainTable2">
    <w:name w:val="Plain Table 2"/>
    <w:basedOn w:val="TableNormal"/>
    <w:uiPriority w:val="42"/>
    <w:rsid w:val="007918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31113C"/>
    <w:rPr>
      <w:color w:val="605E5C"/>
      <w:shd w:val="clear" w:color="auto" w:fill="E1DFDD"/>
    </w:rPr>
  </w:style>
  <w:style w:type="paragraph" w:styleId="EndnoteText">
    <w:name w:val="endnote text"/>
    <w:basedOn w:val="Normal"/>
    <w:link w:val="EndnoteTextChar"/>
    <w:uiPriority w:val="99"/>
    <w:semiHidden/>
    <w:unhideWhenUsed/>
    <w:rsid w:val="00952397"/>
  </w:style>
  <w:style w:type="character" w:customStyle="1" w:styleId="EndnoteTextChar">
    <w:name w:val="Endnote Text Char"/>
    <w:basedOn w:val="DefaultParagraphFont"/>
    <w:link w:val="EndnoteText"/>
    <w:uiPriority w:val="99"/>
    <w:semiHidden/>
    <w:rsid w:val="00C30830"/>
  </w:style>
  <w:style w:type="character" w:styleId="EndnoteReference">
    <w:name w:val="endnote reference"/>
    <w:basedOn w:val="DefaultParagraphFont"/>
    <w:uiPriority w:val="99"/>
    <w:semiHidden/>
    <w:unhideWhenUsed/>
    <w:rsid w:val="00C308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1533">
      <w:bodyDiv w:val="1"/>
      <w:marLeft w:val="0"/>
      <w:marRight w:val="0"/>
      <w:marTop w:val="0"/>
      <w:marBottom w:val="0"/>
      <w:divBdr>
        <w:top w:val="none" w:sz="0" w:space="0" w:color="auto"/>
        <w:left w:val="none" w:sz="0" w:space="0" w:color="auto"/>
        <w:bottom w:val="none" w:sz="0" w:space="0" w:color="auto"/>
        <w:right w:val="none" w:sz="0" w:space="0" w:color="auto"/>
      </w:divBdr>
    </w:div>
    <w:div w:id="18434150">
      <w:bodyDiv w:val="1"/>
      <w:marLeft w:val="0"/>
      <w:marRight w:val="0"/>
      <w:marTop w:val="0"/>
      <w:marBottom w:val="0"/>
      <w:divBdr>
        <w:top w:val="none" w:sz="0" w:space="0" w:color="auto"/>
        <w:left w:val="none" w:sz="0" w:space="0" w:color="auto"/>
        <w:bottom w:val="none" w:sz="0" w:space="0" w:color="auto"/>
        <w:right w:val="none" w:sz="0" w:space="0" w:color="auto"/>
      </w:divBdr>
    </w:div>
    <w:div w:id="64498435">
      <w:bodyDiv w:val="1"/>
      <w:marLeft w:val="0"/>
      <w:marRight w:val="0"/>
      <w:marTop w:val="0"/>
      <w:marBottom w:val="0"/>
      <w:divBdr>
        <w:top w:val="none" w:sz="0" w:space="0" w:color="auto"/>
        <w:left w:val="none" w:sz="0" w:space="0" w:color="auto"/>
        <w:bottom w:val="none" w:sz="0" w:space="0" w:color="auto"/>
        <w:right w:val="none" w:sz="0" w:space="0" w:color="auto"/>
      </w:divBdr>
    </w:div>
    <w:div w:id="94448473">
      <w:bodyDiv w:val="1"/>
      <w:marLeft w:val="0"/>
      <w:marRight w:val="0"/>
      <w:marTop w:val="0"/>
      <w:marBottom w:val="0"/>
      <w:divBdr>
        <w:top w:val="none" w:sz="0" w:space="0" w:color="auto"/>
        <w:left w:val="none" w:sz="0" w:space="0" w:color="auto"/>
        <w:bottom w:val="none" w:sz="0" w:space="0" w:color="auto"/>
        <w:right w:val="none" w:sz="0" w:space="0" w:color="auto"/>
      </w:divBdr>
    </w:div>
    <w:div w:id="111092812">
      <w:bodyDiv w:val="1"/>
      <w:marLeft w:val="0"/>
      <w:marRight w:val="0"/>
      <w:marTop w:val="0"/>
      <w:marBottom w:val="0"/>
      <w:divBdr>
        <w:top w:val="none" w:sz="0" w:space="0" w:color="auto"/>
        <w:left w:val="none" w:sz="0" w:space="0" w:color="auto"/>
        <w:bottom w:val="none" w:sz="0" w:space="0" w:color="auto"/>
        <w:right w:val="none" w:sz="0" w:space="0" w:color="auto"/>
      </w:divBdr>
    </w:div>
    <w:div w:id="111436060">
      <w:bodyDiv w:val="1"/>
      <w:marLeft w:val="0"/>
      <w:marRight w:val="0"/>
      <w:marTop w:val="0"/>
      <w:marBottom w:val="0"/>
      <w:divBdr>
        <w:top w:val="none" w:sz="0" w:space="0" w:color="auto"/>
        <w:left w:val="none" w:sz="0" w:space="0" w:color="auto"/>
        <w:bottom w:val="none" w:sz="0" w:space="0" w:color="auto"/>
        <w:right w:val="none" w:sz="0" w:space="0" w:color="auto"/>
      </w:divBdr>
    </w:div>
    <w:div w:id="150561735">
      <w:bodyDiv w:val="1"/>
      <w:marLeft w:val="0"/>
      <w:marRight w:val="0"/>
      <w:marTop w:val="0"/>
      <w:marBottom w:val="0"/>
      <w:divBdr>
        <w:top w:val="none" w:sz="0" w:space="0" w:color="auto"/>
        <w:left w:val="none" w:sz="0" w:space="0" w:color="auto"/>
        <w:bottom w:val="none" w:sz="0" w:space="0" w:color="auto"/>
        <w:right w:val="none" w:sz="0" w:space="0" w:color="auto"/>
      </w:divBdr>
    </w:div>
    <w:div w:id="151063874">
      <w:bodyDiv w:val="1"/>
      <w:marLeft w:val="0"/>
      <w:marRight w:val="0"/>
      <w:marTop w:val="0"/>
      <w:marBottom w:val="0"/>
      <w:divBdr>
        <w:top w:val="none" w:sz="0" w:space="0" w:color="auto"/>
        <w:left w:val="none" w:sz="0" w:space="0" w:color="auto"/>
        <w:bottom w:val="none" w:sz="0" w:space="0" w:color="auto"/>
        <w:right w:val="none" w:sz="0" w:space="0" w:color="auto"/>
      </w:divBdr>
    </w:div>
    <w:div w:id="152794995">
      <w:bodyDiv w:val="1"/>
      <w:marLeft w:val="0"/>
      <w:marRight w:val="0"/>
      <w:marTop w:val="0"/>
      <w:marBottom w:val="0"/>
      <w:divBdr>
        <w:top w:val="none" w:sz="0" w:space="0" w:color="auto"/>
        <w:left w:val="none" w:sz="0" w:space="0" w:color="auto"/>
        <w:bottom w:val="none" w:sz="0" w:space="0" w:color="auto"/>
        <w:right w:val="none" w:sz="0" w:space="0" w:color="auto"/>
      </w:divBdr>
    </w:div>
    <w:div w:id="201485039">
      <w:bodyDiv w:val="1"/>
      <w:marLeft w:val="0"/>
      <w:marRight w:val="0"/>
      <w:marTop w:val="0"/>
      <w:marBottom w:val="0"/>
      <w:divBdr>
        <w:top w:val="none" w:sz="0" w:space="0" w:color="auto"/>
        <w:left w:val="none" w:sz="0" w:space="0" w:color="auto"/>
        <w:bottom w:val="none" w:sz="0" w:space="0" w:color="auto"/>
        <w:right w:val="none" w:sz="0" w:space="0" w:color="auto"/>
      </w:divBdr>
    </w:div>
    <w:div w:id="213927202">
      <w:bodyDiv w:val="1"/>
      <w:marLeft w:val="0"/>
      <w:marRight w:val="0"/>
      <w:marTop w:val="0"/>
      <w:marBottom w:val="0"/>
      <w:divBdr>
        <w:top w:val="none" w:sz="0" w:space="0" w:color="auto"/>
        <w:left w:val="none" w:sz="0" w:space="0" w:color="auto"/>
        <w:bottom w:val="none" w:sz="0" w:space="0" w:color="auto"/>
        <w:right w:val="none" w:sz="0" w:space="0" w:color="auto"/>
      </w:divBdr>
    </w:div>
    <w:div w:id="221599401">
      <w:bodyDiv w:val="1"/>
      <w:marLeft w:val="0"/>
      <w:marRight w:val="0"/>
      <w:marTop w:val="0"/>
      <w:marBottom w:val="0"/>
      <w:divBdr>
        <w:top w:val="none" w:sz="0" w:space="0" w:color="auto"/>
        <w:left w:val="none" w:sz="0" w:space="0" w:color="auto"/>
        <w:bottom w:val="none" w:sz="0" w:space="0" w:color="auto"/>
        <w:right w:val="none" w:sz="0" w:space="0" w:color="auto"/>
      </w:divBdr>
    </w:div>
    <w:div w:id="276182424">
      <w:bodyDiv w:val="1"/>
      <w:marLeft w:val="0"/>
      <w:marRight w:val="0"/>
      <w:marTop w:val="0"/>
      <w:marBottom w:val="0"/>
      <w:divBdr>
        <w:top w:val="none" w:sz="0" w:space="0" w:color="auto"/>
        <w:left w:val="none" w:sz="0" w:space="0" w:color="auto"/>
        <w:bottom w:val="none" w:sz="0" w:space="0" w:color="auto"/>
        <w:right w:val="none" w:sz="0" w:space="0" w:color="auto"/>
      </w:divBdr>
    </w:div>
    <w:div w:id="279802120">
      <w:bodyDiv w:val="1"/>
      <w:marLeft w:val="0"/>
      <w:marRight w:val="0"/>
      <w:marTop w:val="0"/>
      <w:marBottom w:val="0"/>
      <w:divBdr>
        <w:top w:val="none" w:sz="0" w:space="0" w:color="auto"/>
        <w:left w:val="none" w:sz="0" w:space="0" w:color="auto"/>
        <w:bottom w:val="none" w:sz="0" w:space="0" w:color="auto"/>
        <w:right w:val="none" w:sz="0" w:space="0" w:color="auto"/>
      </w:divBdr>
    </w:div>
    <w:div w:id="282348203">
      <w:bodyDiv w:val="1"/>
      <w:marLeft w:val="0"/>
      <w:marRight w:val="0"/>
      <w:marTop w:val="0"/>
      <w:marBottom w:val="0"/>
      <w:divBdr>
        <w:top w:val="none" w:sz="0" w:space="0" w:color="auto"/>
        <w:left w:val="none" w:sz="0" w:space="0" w:color="auto"/>
        <w:bottom w:val="none" w:sz="0" w:space="0" w:color="auto"/>
        <w:right w:val="none" w:sz="0" w:space="0" w:color="auto"/>
      </w:divBdr>
    </w:div>
    <w:div w:id="283275547">
      <w:bodyDiv w:val="1"/>
      <w:marLeft w:val="0"/>
      <w:marRight w:val="0"/>
      <w:marTop w:val="0"/>
      <w:marBottom w:val="0"/>
      <w:divBdr>
        <w:top w:val="none" w:sz="0" w:space="0" w:color="auto"/>
        <w:left w:val="none" w:sz="0" w:space="0" w:color="auto"/>
        <w:bottom w:val="none" w:sz="0" w:space="0" w:color="auto"/>
        <w:right w:val="none" w:sz="0" w:space="0" w:color="auto"/>
      </w:divBdr>
    </w:div>
    <w:div w:id="289366471">
      <w:bodyDiv w:val="1"/>
      <w:marLeft w:val="0"/>
      <w:marRight w:val="0"/>
      <w:marTop w:val="0"/>
      <w:marBottom w:val="0"/>
      <w:divBdr>
        <w:top w:val="none" w:sz="0" w:space="0" w:color="auto"/>
        <w:left w:val="none" w:sz="0" w:space="0" w:color="auto"/>
        <w:bottom w:val="none" w:sz="0" w:space="0" w:color="auto"/>
        <w:right w:val="none" w:sz="0" w:space="0" w:color="auto"/>
      </w:divBdr>
    </w:div>
    <w:div w:id="337075164">
      <w:bodyDiv w:val="1"/>
      <w:marLeft w:val="0"/>
      <w:marRight w:val="0"/>
      <w:marTop w:val="0"/>
      <w:marBottom w:val="0"/>
      <w:divBdr>
        <w:top w:val="none" w:sz="0" w:space="0" w:color="auto"/>
        <w:left w:val="none" w:sz="0" w:space="0" w:color="auto"/>
        <w:bottom w:val="none" w:sz="0" w:space="0" w:color="auto"/>
        <w:right w:val="none" w:sz="0" w:space="0" w:color="auto"/>
      </w:divBdr>
    </w:div>
    <w:div w:id="367879231">
      <w:bodyDiv w:val="1"/>
      <w:marLeft w:val="0"/>
      <w:marRight w:val="0"/>
      <w:marTop w:val="0"/>
      <w:marBottom w:val="0"/>
      <w:divBdr>
        <w:top w:val="none" w:sz="0" w:space="0" w:color="auto"/>
        <w:left w:val="none" w:sz="0" w:space="0" w:color="auto"/>
        <w:bottom w:val="none" w:sz="0" w:space="0" w:color="auto"/>
        <w:right w:val="none" w:sz="0" w:space="0" w:color="auto"/>
      </w:divBdr>
    </w:div>
    <w:div w:id="390159733">
      <w:bodyDiv w:val="1"/>
      <w:marLeft w:val="0"/>
      <w:marRight w:val="0"/>
      <w:marTop w:val="0"/>
      <w:marBottom w:val="0"/>
      <w:divBdr>
        <w:top w:val="none" w:sz="0" w:space="0" w:color="auto"/>
        <w:left w:val="none" w:sz="0" w:space="0" w:color="auto"/>
        <w:bottom w:val="none" w:sz="0" w:space="0" w:color="auto"/>
        <w:right w:val="none" w:sz="0" w:space="0" w:color="auto"/>
      </w:divBdr>
    </w:div>
    <w:div w:id="392658208">
      <w:bodyDiv w:val="1"/>
      <w:marLeft w:val="0"/>
      <w:marRight w:val="0"/>
      <w:marTop w:val="0"/>
      <w:marBottom w:val="0"/>
      <w:divBdr>
        <w:top w:val="none" w:sz="0" w:space="0" w:color="auto"/>
        <w:left w:val="none" w:sz="0" w:space="0" w:color="auto"/>
        <w:bottom w:val="none" w:sz="0" w:space="0" w:color="auto"/>
        <w:right w:val="none" w:sz="0" w:space="0" w:color="auto"/>
      </w:divBdr>
    </w:div>
    <w:div w:id="412170887">
      <w:bodyDiv w:val="1"/>
      <w:marLeft w:val="0"/>
      <w:marRight w:val="0"/>
      <w:marTop w:val="0"/>
      <w:marBottom w:val="0"/>
      <w:divBdr>
        <w:top w:val="none" w:sz="0" w:space="0" w:color="auto"/>
        <w:left w:val="none" w:sz="0" w:space="0" w:color="auto"/>
        <w:bottom w:val="none" w:sz="0" w:space="0" w:color="auto"/>
        <w:right w:val="none" w:sz="0" w:space="0" w:color="auto"/>
      </w:divBdr>
    </w:div>
    <w:div w:id="444155426">
      <w:bodyDiv w:val="1"/>
      <w:marLeft w:val="0"/>
      <w:marRight w:val="0"/>
      <w:marTop w:val="0"/>
      <w:marBottom w:val="0"/>
      <w:divBdr>
        <w:top w:val="none" w:sz="0" w:space="0" w:color="auto"/>
        <w:left w:val="none" w:sz="0" w:space="0" w:color="auto"/>
        <w:bottom w:val="none" w:sz="0" w:space="0" w:color="auto"/>
        <w:right w:val="none" w:sz="0" w:space="0" w:color="auto"/>
      </w:divBdr>
    </w:div>
    <w:div w:id="501899217">
      <w:bodyDiv w:val="1"/>
      <w:marLeft w:val="0"/>
      <w:marRight w:val="0"/>
      <w:marTop w:val="0"/>
      <w:marBottom w:val="0"/>
      <w:divBdr>
        <w:top w:val="none" w:sz="0" w:space="0" w:color="auto"/>
        <w:left w:val="none" w:sz="0" w:space="0" w:color="auto"/>
        <w:bottom w:val="none" w:sz="0" w:space="0" w:color="auto"/>
        <w:right w:val="none" w:sz="0" w:space="0" w:color="auto"/>
      </w:divBdr>
    </w:div>
    <w:div w:id="504630268">
      <w:bodyDiv w:val="1"/>
      <w:marLeft w:val="0"/>
      <w:marRight w:val="0"/>
      <w:marTop w:val="0"/>
      <w:marBottom w:val="0"/>
      <w:divBdr>
        <w:top w:val="none" w:sz="0" w:space="0" w:color="auto"/>
        <w:left w:val="none" w:sz="0" w:space="0" w:color="auto"/>
        <w:bottom w:val="none" w:sz="0" w:space="0" w:color="auto"/>
        <w:right w:val="none" w:sz="0" w:space="0" w:color="auto"/>
      </w:divBdr>
    </w:div>
    <w:div w:id="536506170">
      <w:bodyDiv w:val="1"/>
      <w:marLeft w:val="0"/>
      <w:marRight w:val="0"/>
      <w:marTop w:val="0"/>
      <w:marBottom w:val="0"/>
      <w:divBdr>
        <w:top w:val="none" w:sz="0" w:space="0" w:color="auto"/>
        <w:left w:val="none" w:sz="0" w:space="0" w:color="auto"/>
        <w:bottom w:val="none" w:sz="0" w:space="0" w:color="auto"/>
        <w:right w:val="none" w:sz="0" w:space="0" w:color="auto"/>
      </w:divBdr>
    </w:div>
    <w:div w:id="552883894">
      <w:bodyDiv w:val="1"/>
      <w:marLeft w:val="0"/>
      <w:marRight w:val="0"/>
      <w:marTop w:val="0"/>
      <w:marBottom w:val="0"/>
      <w:divBdr>
        <w:top w:val="none" w:sz="0" w:space="0" w:color="auto"/>
        <w:left w:val="none" w:sz="0" w:space="0" w:color="auto"/>
        <w:bottom w:val="none" w:sz="0" w:space="0" w:color="auto"/>
        <w:right w:val="none" w:sz="0" w:space="0" w:color="auto"/>
      </w:divBdr>
    </w:div>
    <w:div w:id="555167693">
      <w:bodyDiv w:val="1"/>
      <w:marLeft w:val="0"/>
      <w:marRight w:val="0"/>
      <w:marTop w:val="0"/>
      <w:marBottom w:val="0"/>
      <w:divBdr>
        <w:top w:val="none" w:sz="0" w:space="0" w:color="auto"/>
        <w:left w:val="none" w:sz="0" w:space="0" w:color="auto"/>
        <w:bottom w:val="none" w:sz="0" w:space="0" w:color="auto"/>
        <w:right w:val="none" w:sz="0" w:space="0" w:color="auto"/>
      </w:divBdr>
    </w:div>
    <w:div w:id="563182651">
      <w:bodyDiv w:val="1"/>
      <w:marLeft w:val="0"/>
      <w:marRight w:val="0"/>
      <w:marTop w:val="0"/>
      <w:marBottom w:val="0"/>
      <w:divBdr>
        <w:top w:val="none" w:sz="0" w:space="0" w:color="auto"/>
        <w:left w:val="none" w:sz="0" w:space="0" w:color="auto"/>
        <w:bottom w:val="none" w:sz="0" w:space="0" w:color="auto"/>
        <w:right w:val="none" w:sz="0" w:space="0" w:color="auto"/>
      </w:divBdr>
    </w:div>
    <w:div w:id="567884553">
      <w:bodyDiv w:val="1"/>
      <w:marLeft w:val="0"/>
      <w:marRight w:val="0"/>
      <w:marTop w:val="0"/>
      <w:marBottom w:val="0"/>
      <w:divBdr>
        <w:top w:val="none" w:sz="0" w:space="0" w:color="auto"/>
        <w:left w:val="none" w:sz="0" w:space="0" w:color="auto"/>
        <w:bottom w:val="none" w:sz="0" w:space="0" w:color="auto"/>
        <w:right w:val="none" w:sz="0" w:space="0" w:color="auto"/>
      </w:divBdr>
    </w:div>
    <w:div w:id="671225625">
      <w:bodyDiv w:val="1"/>
      <w:marLeft w:val="0"/>
      <w:marRight w:val="0"/>
      <w:marTop w:val="0"/>
      <w:marBottom w:val="0"/>
      <w:divBdr>
        <w:top w:val="none" w:sz="0" w:space="0" w:color="auto"/>
        <w:left w:val="none" w:sz="0" w:space="0" w:color="auto"/>
        <w:bottom w:val="none" w:sz="0" w:space="0" w:color="auto"/>
        <w:right w:val="none" w:sz="0" w:space="0" w:color="auto"/>
      </w:divBdr>
    </w:div>
    <w:div w:id="674844487">
      <w:bodyDiv w:val="1"/>
      <w:marLeft w:val="0"/>
      <w:marRight w:val="0"/>
      <w:marTop w:val="0"/>
      <w:marBottom w:val="0"/>
      <w:divBdr>
        <w:top w:val="none" w:sz="0" w:space="0" w:color="auto"/>
        <w:left w:val="none" w:sz="0" w:space="0" w:color="auto"/>
        <w:bottom w:val="none" w:sz="0" w:space="0" w:color="auto"/>
        <w:right w:val="none" w:sz="0" w:space="0" w:color="auto"/>
      </w:divBdr>
    </w:div>
    <w:div w:id="704982840">
      <w:bodyDiv w:val="1"/>
      <w:marLeft w:val="0"/>
      <w:marRight w:val="0"/>
      <w:marTop w:val="0"/>
      <w:marBottom w:val="0"/>
      <w:divBdr>
        <w:top w:val="none" w:sz="0" w:space="0" w:color="auto"/>
        <w:left w:val="none" w:sz="0" w:space="0" w:color="auto"/>
        <w:bottom w:val="none" w:sz="0" w:space="0" w:color="auto"/>
        <w:right w:val="none" w:sz="0" w:space="0" w:color="auto"/>
      </w:divBdr>
    </w:div>
    <w:div w:id="729573801">
      <w:bodyDiv w:val="1"/>
      <w:marLeft w:val="0"/>
      <w:marRight w:val="0"/>
      <w:marTop w:val="0"/>
      <w:marBottom w:val="0"/>
      <w:divBdr>
        <w:top w:val="none" w:sz="0" w:space="0" w:color="auto"/>
        <w:left w:val="none" w:sz="0" w:space="0" w:color="auto"/>
        <w:bottom w:val="none" w:sz="0" w:space="0" w:color="auto"/>
        <w:right w:val="none" w:sz="0" w:space="0" w:color="auto"/>
      </w:divBdr>
    </w:div>
    <w:div w:id="736248556">
      <w:bodyDiv w:val="1"/>
      <w:marLeft w:val="0"/>
      <w:marRight w:val="0"/>
      <w:marTop w:val="0"/>
      <w:marBottom w:val="0"/>
      <w:divBdr>
        <w:top w:val="none" w:sz="0" w:space="0" w:color="auto"/>
        <w:left w:val="none" w:sz="0" w:space="0" w:color="auto"/>
        <w:bottom w:val="none" w:sz="0" w:space="0" w:color="auto"/>
        <w:right w:val="none" w:sz="0" w:space="0" w:color="auto"/>
      </w:divBdr>
    </w:div>
    <w:div w:id="754595057">
      <w:bodyDiv w:val="1"/>
      <w:marLeft w:val="0"/>
      <w:marRight w:val="0"/>
      <w:marTop w:val="0"/>
      <w:marBottom w:val="0"/>
      <w:divBdr>
        <w:top w:val="none" w:sz="0" w:space="0" w:color="auto"/>
        <w:left w:val="none" w:sz="0" w:space="0" w:color="auto"/>
        <w:bottom w:val="none" w:sz="0" w:space="0" w:color="auto"/>
        <w:right w:val="none" w:sz="0" w:space="0" w:color="auto"/>
      </w:divBdr>
    </w:div>
    <w:div w:id="761145479">
      <w:bodyDiv w:val="1"/>
      <w:marLeft w:val="0"/>
      <w:marRight w:val="0"/>
      <w:marTop w:val="0"/>
      <w:marBottom w:val="0"/>
      <w:divBdr>
        <w:top w:val="none" w:sz="0" w:space="0" w:color="auto"/>
        <w:left w:val="none" w:sz="0" w:space="0" w:color="auto"/>
        <w:bottom w:val="none" w:sz="0" w:space="0" w:color="auto"/>
        <w:right w:val="none" w:sz="0" w:space="0" w:color="auto"/>
      </w:divBdr>
    </w:div>
    <w:div w:id="797644293">
      <w:bodyDiv w:val="1"/>
      <w:marLeft w:val="0"/>
      <w:marRight w:val="0"/>
      <w:marTop w:val="0"/>
      <w:marBottom w:val="0"/>
      <w:divBdr>
        <w:top w:val="none" w:sz="0" w:space="0" w:color="auto"/>
        <w:left w:val="none" w:sz="0" w:space="0" w:color="auto"/>
        <w:bottom w:val="none" w:sz="0" w:space="0" w:color="auto"/>
        <w:right w:val="none" w:sz="0" w:space="0" w:color="auto"/>
      </w:divBdr>
    </w:div>
    <w:div w:id="801579016">
      <w:bodyDiv w:val="1"/>
      <w:marLeft w:val="0"/>
      <w:marRight w:val="0"/>
      <w:marTop w:val="0"/>
      <w:marBottom w:val="0"/>
      <w:divBdr>
        <w:top w:val="none" w:sz="0" w:space="0" w:color="auto"/>
        <w:left w:val="none" w:sz="0" w:space="0" w:color="auto"/>
        <w:bottom w:val="none" w:sz="0" w:space="0" w:color="auto"/>
        <w:right w:val="none" w:sz="0" w:space="0" w:color="auto"/>
      </w:divBdr>
    </w:div>
    <w:div w:id="823013863">
      <w:bodyDiv w:val="1"/>
      <w:marLeft w:val="0"/>
      <w:marRight w:val="0"/>
      <w:marTop w:val="0"/>
      <w:marBottom w:val="0"/>
      <w:divBdr>
        <w:top w:val="none" w:sz="0" w:space="0" w:color="auto"/>
        <w:left w:val="none" w:sz="0" w:space="0" w:color="auto"/>
        <w:bottom w:val="none" w:sz="0" w:space="0" w:color="auto"/>
        <w:right w:val="none" w:sz="0" w:space="0" w:color="auto"/>
      </w:divBdr>
    </w:div>
    <w:div w:id="896937681">
      <w:bodyDiv w:val="1"/>
      <w:marLeft w:val="0"/>
      <w:marRight w:val="0"/>
      <w:marTop w:val="0"/>
      <w:marBottom w:val="0"/>
      <w:divBdr>
        <w:top w:val="none" w:sz="0" w:space="0" w:color="auto"/>
        <w:left w:val="none" w:sz="0" w:space="0" w:color="auto"/>
        <w:bottom w:val="none" w:sz="0" w:space="0" w:color="auto"/>
        <w:right w:val="none" w:sz="0" w:space="0" w:color="auto"/>
      </w:divBdr>
    </w:div>
    <w:div w:id="1084451109">
      <w:bodyDiv w:val="1"/>
      <w:marLeft w:val="0"/>
      <w:marRight w:val="0"/>
      <w:marTop w:val="0"/>
      <w:marBottom w:val="0"/>
      <w:divBdr>
        <w:top w:val="none" w:sz="0" w:space="0" w:color="auto"/>
        <w:left w:val="none" w:sz="0" w:space="0" w:color="auto"/>
        <w:bottom w:val="none" w:sz="0" w:space="0" w:color="auto"/>
        <w:right w:val="none" w:sz="0" w:space="0" w:color="auto"/>
      </w:divBdr>
    </w:div>
    <w:div w:id="1107189493">
      <w:bodyDiv w:val="1"/>
      <w:marLeft w:val="0"/>
      <w:marRight w:val="0"/>
      <w:marTop w:val="0"/>
      <w:marBottom w:val="0"/>
      <w:divBdr>
        <w:top w:val="none" w:sz="0" w:space="0" w:color="auto"/>
        <w:left w:val="none" w:sz="0" w:space="0" w:color="auto"/>
        <w:bottom w:val="none" w:sz="0" w:space="0" w:color="auto"/>
        <w:right w:val="none" w:sz="0" w:space="0" w:color="auto"/>
      </w:divBdr>
    </w:div>
    <w:div w:id="1117985424">
      <w:bodyDiv w:val="1"/>
      <w:marLeft w:val="0"/>
      <w:marRight w:val="0"/>
      <w:marTop w:val="0"/>
      <w:marBottom w:val="0"/>
      <w:divBdr>
        <w:top w:val="none" w:sz="0" w:space="0" w:color="auto"/>
        <w:left w:val="none" w:sz="0" w:space="0" w:color="auto"/>
        <w:bottom w:val="none" w:sz="0" w:space="0" w:color="auto"/>
        <w:right w:val="none" w:sz="0" w:space="0" w:color="auto"/>
      </w:divBdr>
    </w:div>
    <w:div w:id="1199004776">
      <w:bodyDiv w:val="1"/>
      <w:marLeft w:val="0"/>
      <w:marRight w:val="0"/>
      <w:marTop w:val="0"/>
      <w:marBottom w:val="0"/>
      <w:divBdr>
        <w:top w:val="none" w:sz="0" w:space="0" w:color="auto"/>
        <w:left w:val="none" w:sz="0" w:space="0" w:color="auto"/>
        <w:bottom w:val="none" w:sz="0" w:space="0" w:color="auto"/>
        <w:right w:val="none" w:sz="0" w:space="0" w:color="auto"/>
      </w:divBdr>
    </w:div>
    <w:div w:id="1213732754">
      <w:bodyDiv w:val="1"/>
      <w:marLeft w:val="0"/>
      <w:marRight w:val="0"/>
      <w:marTop w:val="0"/>
      <w:marBottom w:val="0"/>
      <w:divBdr>
        <w:top w:val="none" w:sz="0" w:space="0" w:color="auto"/>
        <w:left w:val="none" w:sz="0" w:space="0" w:color="auto"/>
        <w:bottom w:val="none" w:sz="0" w:space="0" w:color="auto"/>
        <w:right w:val="none" w:sz="0" w:space="0" w:color="auto"/>
      </w:divBdr>
    </w:div>
    <w:div w:id="1308393379">
      <w:bodyDiv w:val="1"/>
      <w:marLeft w:val="0"/>
      <w:marRight w:val="0"/>
      <w:marTop w:val="0"/>
      <w:marBottom w:val="0"/>
      <w:divBdr>
        <w:top w:val="none" w:sz="0" w:space="0" w:color="auto"/>
        <w:left w:val="none" w:sz="0" w:space="0" w:color="auto"/>
        <w:bottom w:val="none" w:sz="0" w:space="0" w:color="auto"/>
        <w:right w:val="none" w:sz="0" w:space="0" w:color="auto"/>
      </w:divBdr>
    </w:div>
    <w:div w:id="1337808367">
      <w:bodyDiv w:val="1"/>
      <w:marLeft w:val="0"/>
      <w:marRight w:val="0"/>
      <w:marTop w:val="0"/>
      <w:marBottom w:val="0"/>
      <w:divBdr>
        <w:top w:val="none" w:sz="0" w:space="0" w:color="auto"/>
        <w:left w:val="none" w:sz="0" w:space="0" w:color="auto"/>
        <w:bottom w:val="none" w:sz="0" w:space="0" w:color="auto"/>
        <w:right w:val="none" w:sz="0" w:space="0" w:color="auto"/>
      </w:divBdr>
    </w:div>
    <w:div w:id="1408922789">
      <w:bodyDiv w:val="1"/>
      <w:marLeft w:val="0"/>
      <w:marRight w:val="0"/>
      <w:marTop w:val="0"/>
      <w:marBottom w:val="0"/>
      <w:divBdr>
        <w:top w:val="none" w:sz="0" w:space="0" w:color="auto"/>
        <w:left w:val="none" w:sz="0" w:space="0" w:color="auto"/>
        <w:bottom w:val="none" w:sz="0" w:space="0" w:color="auto"/>
        <w:right w:val="none" w:sz="0" w:space="0" w:color="auto"/>
      </w:divBdr>
    </w:div>
    <w:div w:id="1475827569">
      <w:bodyDiv w:val="1"/>
      <w:marLeft w:val="0"/>
      <w:marRight w:val="0"/>
      <w:marTop w:val="0"/>
      <w:marBottom w:val="0"/>
      <w:divBdr>
        <w:top w:val="none" w:sz="0" w:space="0" w:color="auto"/>
        <w:left w:val="none" w:sz="0" w:space="0" w:color="auto"/>
        <w:bottom w:val="none" w:sz="0" w:space="0" w:color="auto"/>
        <w:right w:val="none" w:sz="0" w:space="0" w:color="auto"/>
      </w:divBdr>
    </w:div>
    <w:div w:id="1497914941">
      <w:bodyDiv w:val="1"/>
      <w:marLeft w:val="0"/>
      <w:marRight w:val="0"/>
      <w:marTop w:val="0"/>
      <w:marBottom w:val="0"/>
      <w:divBdr>
        <w:top w:val="none" w:sz="0" w:space="0" w:color="auto"/>
        <w:left w:val="none" w:sz="0" w:space="0" w:color="auto"/>
        <w:bottom w:val="none" w:sz="0" w:space="0" w:color="auto"/>
        <w:right w:val="none" w:sz="0" w:space="0" w:color="auto"/>
      </w:divBdr>
    </w:div>
    <w:div w:id="1583374637">
      <w:bodyDiv w:val="1"/>
      <w:marLeft w:val="0"/>
      <w:marRight w:val="0"/>
      <w:marTop w:val="0"/>
      <w:marBottom w:val="0"/>
      <w:divBdr>
        <w:top w:val="none" w:sz="0" w:space="0" w:color="auto"/>
        <w:left w:val="none" w:sz="0" w:space="0" w:color="auto"/>
        <w:bottom w:val="none" w:sz="0" w:space="0" w:color="auto"/>
        <w:right w:val="none" w:sz="0" w:space="0" w:color="auto"/>
      </w:divBdr>
    </w:div>
    <w:div w:id="1747069666">
      <w:bodyDiv w:val="1"/>
      <w:marLeft w:val="0"/>
      <w:marRight w:val="0"/>
      <w:marTop w:val="0"/>
      <w:marBottom w:val="0"/>
      <w:divBdr>
        <w:top w:val="none" w:sz="0" w:space="0" w:color="auto"/>
        <w:left w:val="none" w:sz="0" w:space="0" w:color="auto"/>
        <w:bottom w:val="none" w:sz="0" w:space="0" w:color="auto"/>
        <w:right w:val="none" w:sz="0" w:space="0" w:color="auto"/>
      </w:divBdr>
    </w:div>
    <w:div w:id="1829858882">
      <w:bodyDiv w:val="1"/>
      <w:marLeft w:val="0"/>
      <w:marRight w:val="0"/>
      <w:marTop w:val="0"/>
      <w:marBottom w:val="0"/>
      <w:divBdr>
        <w:top w:val="none" w:sz="0" w:space="0" w:color="auto"/>
        <w:left w:val="none" w:sz="0" w:space="0" w:color="auto"/>
        <w:bottom w:val="none" w:sz="0" w:space="0" w:color="auto"/>
        <w:right w:val="none" w:sz="0" w:space="0" w:color="auto"/>
      </w:divBdr>
    </w:div>
    <w:div w:id="1878006510">
      <w:bodyDiv w:val="1"/>
      <w:marLeft w:val="0"/>
      <w:marRight w:val="0"/>
      <w:marTop w:val="0"/>
      <w:marBottom w:val="0"/>
      <w:divBdr>
        <w:top w:val="none" w:sz="0" w:space="0" w:color="auto"/>
        <w:left w:val="none" w:sz="0" w:space="0" w:color="auto"/>
        <w:bottom w:val="none" w:sz="0" w:space="0" w:color="auto"/>
        <w:right w:val="none" w:sz="0" w:space="0" w:color="auto"/>
      </w:divBdr>
    </w:div>
    <w:div w:id="1883051672">
      <w:bodyDiv w:val="1"/>
      <w:marLeft w:val="0"/>
      <w:marRight w:val="0"/>
      <w:marTop w:val="0"/>
      <w:marBottom w:val="0"/>
      <w:divBdr>
        <w:top w:val="none" w:sz="0" w:space="0" w:color="auto"/>
        <w:left w:val="none" w:sz="0" w:space="0" w:color="auto"/>
        <w:bottom w:val="none" w:sz="0" w:space="0" w:color="auto"/>
        <w:right w:val="none" w:sz="0" w:space="0" w:color="auto"/>
      </w:divBdr>
    </w:div>
    <w:div w:id="1895703373">
      <w:bodyDiv w:val="1"/>
      <w:marLeft w:val="0"/>
      <w:marRight w:val="0"/>
      <w:marTop w:val="0"/>
      <w:marBottom w:val="0"/>
      <w:divBdr>
        <w:top w:val="none" w:sz="0" w:space="0" w:color="auto"/>
        <w:left w:val="none" w:sz="0" w:space="0" w:color="auto"/>
        <w:bottom w:val="none" w:sz="0" w:space="0" w:color="auto"/>
        <w:right w:val="none" w:sz="0" w:space="0" w:color="auto"/>
      </w:divBdr>
    </w:div>
    <w:div w:id="2026901256">
      <w:bodyDiv w:val="1"/>
      <w:marLeft w:val="0"/>
      <w:marRight w:val="0"/>
      <w:marTop w:val="0"/>
      <w:marBottom w:val="0"/>
      <w:divBdr>
        <w:top w:val="none" w:sz="0" w:space="0" w:color="auto"/>
        <w:left w:val="none" w:sz="0" w:space="0" w:color="auto"/>
        <w:bottom w:val="none" w:sz="0" w:space="0" w:color="auto"/>
        <w:right w:val="none" w:sz="0" w:space="0" w:color="auto"/>
      </w:divBdr>
    </w:div>
    <w:div w:id="2027096744">
      <w:bodyDiv w:val="1"/>
      <w:marLeft w:val="0"/>
      <w:marRight w:val="0"/>
      <w:marTop w:val="0"/>
      <w:marBottom w:val="0"/>
      <w:divBdr>
        <w:top w:val="none" w:sz="0" w:space="0" w:color="auto"/>
        <w:left w:val="none" w:sz="0" w:space="0" w:color="auto"/>
        <w:bottom w:val="none" w:sz="0" w:space="0" w:color="auto"/>
        <w:right w:val="none" w:sz="0" w:space="0" w:color="auto"/>
      </w:divBdr>
    </w:div>
    <w:div w:id="2095475292">
      <w:bodyDiv w:val="1"/>
      <w:marLeft w:val="0"/>
      <w:marRight w:val="0"/>
      <w:marTop w:val="0"/>
      <w:marBottom w:val="0"/>
      <w:divBdr>
        <w:top w:val="none" w:sz="0" w:space="0" w:color="auto"/>
        <w:left w:val="none" w:sz="0" w:space="0" w:color="auto"/>
        <w:bottom w:val="none" w:sz="0" w:space="0" w:color="auto"/>
        <w:right w:val="none" w:sz="0" w:space="0" w:color="auto"/>
      </w:divBdr>
    </w:div>
    <w:div w:id="210255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endnotes.xml.rels><?xml version="1.0" encoding="UTF-8" standalone="yes"?>
<Relationships xmlns="http://schemas.openxmlformats.org/package/2006/relationships"><Relationship Id="rId2" Type="http://schemas.openxmlformats.org/officeDocument/2006/relationships/hyperlink" Target="https://ntrs.nasa.gov/citations/20230010039" TargetMode="External"/><Relationship Id="rId1" Type="http://schemas.openxmlformats.org/officeDocument/2006/relationships/hyperlink" Target="https://www.mathworks.com/campaigns/offers/model-based-design-embedded-control-syste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7aa921c-7670-464a-804b-84d689670aaa" xsi:nil="true"/>
  </documentManagement>
</p:properties>
</file>

<file path=customXml/item2.xml><?xml version="1.0" encoding="utf-8"?>
<b:Sources xmlns:b="http://schemas.openxmlformats.org/officeDocument/2006/bibliography" xmlns="http://schemas.openxmlformats.org/officeDocument/2006/bibliography" SelectedStyle="\MLASeventhEditionOfficeOnline.xsl" StyleName="MLA" Version="7">
  <b:Source>
    <b:Tag>A</b:Tag>
    <b:SourceType>Report</b:SourceType>
    <b:Guid>{40FA1525-EEB2-41DE-BB02-1C2565172845}</b:Guid>
    <b:Title>In-Situ Resource Utilization Gap Assessment Report</b:Title>
    <b:Year>2021</b:Year>
    <b:Author>
      <b:Author>
        <b:Corporate>International Space Exploration Coordination Group</b:Corporate>
      </b:Author>
    </b:Author>
    <b:RefOrder>1</b:RefOrder>
  </b:Source>
  <b:Source>
    <b:Tag>B</b:Tag>
    <b:SourceType>Misc</b:SourceType>
    <b:Guid>{16F0308E-E5DF-4CEE-A53F-B9566105EE16}</b:Guid>
    <b:Title>LIVE: In Situ Resource Utilization (ISRU)</b:Title>
    <b:Year>2023</b:Year>
    <b:Author>
      <b:Author>
        <b:Corporate>NASA Space Technology Mission Directorate</b:Corporate>
      </b:Author>
    </b:Author>
    <b:URL>https://techport.nasa.gov/framework</b:URL>
    <b:RefOrder>2</b:RefOrder>
  </b:Source>
  <b:Source>
    <b:Tag>C</b:Tag>
    <b:SourceType>Report</b:SourceType>
    <b:Guid>{7440AEC0-3377-40CD-80C0-BB3598A45E86}</b:Guid>
    <b:Title>NASA's Moon to Mars Architecture</b:Title>
    <b:Year>2023</b:Year>
    <b:Author>
      <b:Author>
        <b:Corporate>National Aeronautics and Space Administration</b:Corporate>
      </b:Author>
    </b:Author>
    <b:RefOrder>3</b:RefOrder>
  </b:Source>
  <b:Source>
    <b:Tag>D</b:Tag>
    <b:SourceType>Report</b:SourceType>
    <b:Guid>{DB2B1866-4A6B-4C7F-9100-39B6B9C1B650}</b:Guid>
    <b:Author>
      <b:Author>
        <b:Corporate>MathWorks</b:Corporate>
      </b:Author>
    </b:Author>
    <b:Title>Model-Based Design for Embedded Control Systems</b:Title>
    <b:Year>2023</b:Year>
    <b:RefOrder>4</b:RefOrder>
  </b:Source>
  <b:Source>
    <b:Tag>E</b:Tag>
    <b:SourceType>JournalArticle</b:SourceType>
    <b:Guid>{F81CBAA7-EC9C-45A6-8E50-1C79659F9B79}</b:Guid>
    <b:Title>Application of grid computing to parameter sweeps and optimization in molecular modeling</b:Title>
    <b:Year>2005</b:Year>
    <b:Author>
      <b:Author>
        <b:NameList>
          <b:Person>
            <b:Last>Sudholt</b:Last>
            <b:First>W.,</b:First>
            <b:Middle>Baldridge, K. K., Abramson, D., Enticott, C., Garic, S., Kondric. C., Nguyen, D.</b:Middle>
          </b:Person>
        </b:NameList>
      </b:Author>
    </b:Author>
    <b:JournalName>Future Generation Computer Systems</b:JournalName>
    <b:Pages>27-35</b:Pages>
    <b:RefOrder>5</b:RefOrder>
  </b:Source>
  <b:Source>
    <b:Tag>F</b:Tag>
    <b:SourceType>ConferenceProceedings</b:SourceType>
    <b:Guid>{C00DB3F3-08FA-4FAF-8F80-15443920776D}</b:Guid>
    <b:Author>
      <b:Author>
        <b:NameList>
          <b:Person>
            <b:Last>Kleinhenz</b:Last>
            <b:First>J.</b:First>
            <b:Middle>E., Paz, A.</b:Middle>
          </b:Person>
        </b:NameList>
      </b:Author>
    </b:Author>
    <b:Title>Case Studies for Lunar ISRU Systems Utilizing Polar Water</b:Title>
    <b:Year>2020</b:Year>
    <b:ConferenceName>ASCEND 2020</b:ConferenceName>
    <b:Publisher>AIAA 2020-4042</b:Publisher>
    <b:RefOrder>6</b:RefOrder>
  </b:Source>
  <b:Source>
    <b:Tag>G</b:Tag>
    <b:SourceType>JournalArticle</b:SourceType>
    <b:Guid>{4E3EC201-26C5-41A6-BFD2-8241723707DC}</b:Guid>
    <b:Title>Detection of water in the LCROSS Ejecta Plume</b:Title>
    <b:Pages>463-468</b:Pages>
    <b:Year>2010</b:Year>
    <b:Author>
      <b:Author>
        <b:NameList>
          <b:Person>
            <b:Last>Colaprete</b:Last>
            <b:First>A.,</b:First>
            <b:Middle>Schultz, P., Heldmann, J., Wooden, D., Shirley, M., Ennico, K., et al.</b:Middle>
          </b:Person>
        </b:NameList>
      </b:Author>
    </b:Author>
    <b:JournalName>Science</b:JournalName>
    <b:Volume>330</b:Volume>
    <b:DOI>10.1126/science.1186986</b:DOI>
    <b:RefOrder>7</b:RefOrder>
  </b:Source>
  <b:Source>
    <b:Tag>H</b:Tag>
    <b:SourceType>ConferenceProceedings</b:SourceType>
    <b:Guid>{3BE0D399-72AA-495F-AA17-A35A2DCEC03A}</b:Guid>
    <b:Author>
      <b:Author>
        <b:NameList>
          <b:Person>
            <b:Last>Collins</b:Last>
            <b:First>J.,</b:First>
            <b:Middle>Michel, J., Araghi, K.</b:Middle>
          </b:Person>
        </b:NameList>
      </b:Author>
    </b:Author>
    <b:Title>Lunar water extraction via Lunar Auger Dryer ISRU (LADI)</b:Title>
    <b:Year>2023</b:Year>
    <b:ConferenceName>ASCEND 2023</b:ConferenceName>
    <b:Publisher>AIAA 2023-4078</b:Publisher>
    <b:RefOrder>8</b:RefOrder>
  </b:Source>
  <b:Source>
    <b:Tag>I</b:Tag>
    <b:SourceType>ConferenceProceedings</b:SourceType>
    <b:Guid>{7665AF31-BE68-460B-86D7-D2AB0FD34ACB}</b:Guid>
    <b:Author>
      <b:Author>
        <b:NameList>
          <b:Person>
            <b:Last>Kleinhenz</b:Last>
            <b:First>J.</b:First>
            <b:Middle>E., Paz, A.</b:Middle>
          </b:Person>
        </b:NameList>
      </b:Author>
    </b:Author>
    <b:Title>An ISRU propellant production system for a fully fueled Mars Ascent Vehicle</b:Title>
    <b:Year>2017</b:Year>
    <b:ConferenceName>10th Symposium on Space Resource Utilization</b:ConferenceName>
    <b:Publisher>AIAA</b:Publisher>
    <b:RefOrder>9</b:RefOrder>
  </b:Source>
  <b:Source>
    <b:Tag>J</b:Tag>
    <b:SourceType>ConferenceProceedings</b:SourceType>
    <b:Guid>{16EB43E3-5C39-4805-B316-BCD4A3AE69C1}</b:Guid>
    <b:Title>Technology Assessment for Producing Propellant from Lunar Water</b:Title>
    <b:Year>2023</b:Year>
    <b:ConferenceName>NASA Exploration Science Forum</b:ConferenceName>
    <b:Publisher>NTRS - NASA Technical Reports Server</b:Publisher>
    <b:Author>
      <b:Author>
        <b:NameList>
          <b:Person>
            <b:Last>Paz</b:Last>
            <b:First>A.</b:First>
          </b:Person>
        </b:NameList>
      </b:Author>
    </b:Author>
    <b:URL>https://ntrs.nasa.gov/citations/20230010039</b:URL>
    <b:RefOrder>10</b:RefOrder>
  </b:Source>
  <b:Source>
    <b:Tag>K</b:Tag>
    <b:SourceType>JournalArticle</b:SourceType>
    <b:Guid>{44C3CD70-52BD-49E1-A070-8D58F742ADB7}</b:Guid>
    <b:Title>A parametric sizing model for Molten Regolith Electrolysis reactors to produce oxygen on the Moon</b:Title>
    <b:Pages>1585-1603</b:Pages>
    <b:Year>2016</b:Year>
    <b:Author>
      <b:Author>
        <b:NameList>
          <b:Person>
            <b:Last>Schreiner</b:Last>
            <b:First>S.</b:First>
            <b:Middle>S., Sibille, L., Dominguez, J. A., Hoffman, J. A.</b:Middle>
          </b:Person>
        </b:NameList>
      </b:Author>
    </b:Author>
    <b:JournalName>Advances in Space Research</b:JournalName>
    <b:Issue>57</b:Issue>
    <b:RefOrder>11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C7FCF1AA070D429C2FEBEB41510684" ma:contentTypeVersion="14" ma:contentTypeDescription="Create a new document." ma:contentTypeScope="" ma:versionID="08202abc82a16901cc3ebc5ef973a8bf">
  <xsd:schema xmlns:xsd="http://www.w3.org/2001/XMLSchema" xmlns:xs="http://www.w3.org/2001/XMLSchema" xmlns:p="http://schemas.microsoft.com/office/2006/metadata/properties" xmlns:ns3="37aa921c-7670-464a-804b-84d689670aaa" xmlns:ns4="3e3d1f25-7e0d-4bdf-b3b6-fdc7fec3cddb" targetNamespace="http://schemas.microsoft.com/office/2006/metadata/properties" ma:root="true" ma:fieldsID="04524a970b16a47fcb029827a5b0145e" ns3:_="" ns4:_="">
    <xsd:import namespace="37aa921c-7670-464a-804b-84d689670aaa"/>
    <xsd:import namespace="3e3d1f25-7e0d-4bdf-b3b6-fdc7fec3cddb"/>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a921c-7670-464a-804b-84d689670aaa"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3d1f25-7e0d-4bdf-b3b6-fdc7fec3cdd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3D1B1-D92F-454F-9C19-EA83F1A10977}">
  <ds:schemaRefs>
    <ds:schemaRef ds:uri="http://schemas.openxmlformats.org/package/2006/metadata/core-properties"/>
    <ds:schemaRef ds:uri="37aa921c-7670-464a-804b-84d689670aaa"/>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3e3d1f25-7e0d-4bdf-b3b6-fdc7fec3cddb"/>
    <ds:schemaRef ds:uri="http://www.w3.org/XML/1998/namespace"/>
    <ds:schemaRef ds:uri="http://purl.org/dc/dcmitype/"/>
  </ds:schemaRefs>
</ds:datastoreItem>
</file>

<file path=customXml/itemProps2.xml><?xml version="1.0" encoding="utf-8"?>
<ds:datastoreItem xmlns:ds="http://schemas.openxmlformats.org/officeDocument/2006/customXml" ds:itemID="{AE7369F7-6EC1-4E37-818C-859E976F95AF}">
  <ds:schemaRefs>
    <ds:schemaRef ds:uri="http://schemas.openxmlformats.org/officeDocument/2006/bibliography"/>
  </ds:schemaRefs>
</ds:datastoreItem>
</file>

<file path=customXml/itemProps3.xml><?xml version="1.0" encoding="utf-8"?>
<ds:datastoreItem xmlns:ds="http://schemas.openxmlformats.org/officeDocument/2006/customXml" ds:itemID="{0515513D-36F5-4B01-B664-06483F5C2F47}">
  <ds:schemaRefs>
    <ds:schemaRef ds:uri="http://schemas.microsoft.com/sharepoint/v3/contenttype/forms"/>
  </ds:schemaRefs>
</ds:datastoreItem>
</file>

<file path=customXml/itemProps4.xml><?xml version="1.0" encoding="utf-8"?>
<ds:datastoreItem xmlns:ds="http://schemas.openxmlformats.org/officeDocument/2006/customXml" ds:itemID="{5F31B54B-85A0-48F1-B9A7-90B174B5C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a921c-7670-464a-804b-84d689670aaa"/>
    <ds:schemaRef ds:uri="3e3d1f25-7e0d-4bdf-b3b6-fdc7fec3c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30665</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Carlson, Avery L. (JSC-EC211)[Jacobs Technology, Inc.]</dc:creator>
  <cp:keywords/>
  <cp:lastModifiedBy>Carlson, Avery L. (JSC-EC211)[Jacobs Technology, Inc.]</cp:lastModifiedBy>
  <cp:revision>2</cp:revision>
  <dcterms:created xsi:type="dcterms:W3CDTF">2024-02-07T17:15:00Z</dcterms:created>
  <dcterms:modified xsi:type="dcterms:W3CDTF">2024-02-07T17:15:00Z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0x01010071C7FCF1AA070D429C2FEBEB41510684</vt:lpwstr>
  </property>
  <property fmtid="{D5CDD505-2E9C-101B-9397-08002B2CF9AE}" pid="3" name="GrammarlyDocumentId">
    <vt:lpwstr>891c3ac3f2b9aa831345d7f171aded8860d40772ff4b859809beb627da2948b6</vt:lpwstr>
  </property>
</Properties>
</file>