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29783" w14:textId="5E312841" w:rsidR="00AC17A7" w:rsidRPr="002A47B6" w:rsidRDefault="001D40A0" w:rsidP="002A47B6">
      <w:pPr>
        <w:jc w:val="center"/>
        <w:rPr>
          <w:rFonts w:ascii="Times New Roman" w:hAnsi="Times New Roman"/>
          <w:color w:val="C45911" w:themeColor="accent2" w:themeShade="BF"/>
          <w:sz w:val="24"/>
        </w:rPr>
      </w:pPr>
      <w:r>
        <w:rPr>
          <w:rFonts w:ascii="Times New Roman" w:hAnsi="Times New Roman"/>
          <w:b/>
          <w:sz w:val="40"/>
          <w:szCs w:val="40"/>
        </w:rPr>
        <w:t>On Predicting Transient Pressure in Vacuum Systems Featuring Getter Materials</w:t>
      </w:r>
    </w:p>
    <w:p w14:paraId="3D2ADB5B" w14:textId="010796FC" w:rsidR="008347A2" w:rsidRPr="006529DE" w:rsidRDefault="008347A2" w:rsidP="008347A2">
      <w:pPr>
        <w:jc w:val="center"/>
        <w:rPr>
          <w:rFonts w:ascii="Times New Roman" w:hAnsi="Times New Roman"/>
          <w:b/>
          <w:bCs/>
          <w:color w:val="C45911" w:themeColor="accent2" w:themeShade="BF"/>
          <w:sz w:val="24"/>
        </w:rPr>
      </w:pPr>
    </w:p>
    <w:p w14:paraId="6F6920CC" w14:textId="59EA42EC" w:rsidR="008347A2" w:rsidRDefault="001D40A0" w:rsidP="00F049F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kern w:val="0"/>
          <w:sz w:val="28"/>
          <w:szCs w:val="28"/>
          <w:lang w:val="en-CA" w:eastAsia="en-CA"/>
        </w:rPr>
        <w:t>M.S. Woronowicz</w:t>
      </w:r>
    </w:p>
    <w:p w14:paraId="0B162C2F" w14:textId="77777777" w:rsidR="00F049FF" w:rsidRPr="000378D6" w:rsidRDefault="00F049FF" w:rsidP="00F049FF">
      <w:pPr>
        <w:ind w:left="400"/>
        <w:jc w:val="center"/>
        <w:rPr>
          <w:rFonts w:ascii="Times New Roman" w:hAnsi="Times New Roman"/>
          <w:color w:val="C45911" w:themeColor="accent2" w:themeShade="BF"/>
          <w:sz w:val="16"/>
          <w:szCs w:val="16"/>
        </w:rPr>
      </w:pPr>
    </w:p>
    <w:p w14:paraId="2F1C1B3C" w14:textId="10193FAE" w:rsidR="008347A2" w:rsidRPr="000378D6" w:rsidRDefault="00F02A84" w:rsidP="008347A2">
      <w:pPr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iCs/>
          <w:color w:val="000000"/>
          <w:kern w:val="0"/>
          <w:sz w:val="24"/>
          <w:lang w:val="en-CA" w:eastAsia="en-CA"/>
        </w:rPr>
        <w:t xml:space="preserve">KBR Inc., </w:t>
      </w:r>
      <w:r w:rsidR="006C5DB4">
        <w:rPr>
          <w:rFonts w:ascii="Times New Roman" w:hAnsi="Times New Roman"/>
          <w:i/>
          <w:iCs/>
          <w:color w:val="000000"/>
          <w:kern w:val="0"/>
          <w:sz w:val="24"/>
          <w:lang w:val="en-CA" w:eastAsia="en-CA"/>
        </w:rPr>
        <w:t>8120 Maple Lawn Blvd., Fulton, MD 20759</w:t>
      </w:r>
      <w:r w:rsidR="008006D9">
        <w:rPr>
          <w:rFonts w:ascii="Times New Roman" w:hAnsi="Times New Roman"/>
          <w:i/>
          <w:iCs/>
          <w:color w:val="000000"/>
          <w:kern w:val="0"/>
          <w:sz w:val="24"/>
          <w:lang w:val="en-CA" w:eastAsia="en-CA"/>
        </w:rPr>
        <w:t xml:space="preserve">, </w:t>
      </w:r>
      <w:r w:rsidR="00905620">
        <w:rPr>
          <w:rFonts w:ascii="Times New Roman" w:hAnsi="Times New Roman"/>
          <w:i/>
          <w:iCs/>
          <w:color w:val="000000"/>
          <w:kern w:val="0"/>
          <w:sz w:val="24"/>
          <w:lang w:val="en-CA" w:eastAsia="en-CA"/>
        </w:rPr>
        <w:t>USA</w:t>
      </w:r>
    </w:p>
    <w:p w14:paraId="45740564" w14:textId="68F5822A" w:rsidR="008347A2" w:rsidRDefault="008347A2" w:rsidP="008347A2">
      <w:pPr>
        <w:jc w:val="center"/>
        <w:rPr>
          <w:rFonts w:ascii="Times New Roman" w:eastAsia="Malgun Gothic" w:hAnsi="Times New Roman"/>
          <w:i/>
          <w:sz w:val="24"/>
          <w:lang w:eastAsia="ko-KR"/>
        </w:rPr>
      </w:pPr>
    </w:p>
    <w:p w14:paraId="2D8F7859" w14:textId="4AAEBF92" w:rsidR="000543CB" w:rsidRPr="00D00600" w:rsidRDefault="001D40A0" w:rsidP="008347A2">
      <w:pPr>
        <w:jc w:val="center"/>
        <w:rPr>
          <w:rFonts w:ascii="Times New Roman" w:eastAsia="Malgun Gothic" w:hAnsi="Times New Roman"/>
          <w:i/>
          <w:sz w:val="20"/>
          <w:szCs w:val="20"/>
          <w:lang w:eastAsia="ko-KR"/>
        </w:rPr>
      </w:pPr>
      <w:r>
        <w:rPr>
          <w:rFonts w:ascii="Times New Roman" w:hAnsi="Times New Roman"/>
          <w:sz w:val="20"/>
          <w:szCs w:val="20"/>
        </w:rPr>
        <w:t>michael.</w:t>
      </w:r>
      <w:r w:rsidR="0027556E">
        <w:rPr>
          <w:rFonts w:ascii="Times New Roman" w:hAnsi="Times New Roman"/>
          <w:sz w:val="20"/>
          <w:szCs w:val="20"/>
        </w:rPr>
        <w:t>s.</w:t>
      </w:r>
      <w:r>
        <w:rPr>
          <w:rFonts w:ascii="Times New Roman" w:hAnsi="Times New Roman"/>
          <w:sz w:val="20"/>
          <w:szCs w:val="20"/>
        </w:rPr>
        <w:t>woronowicz@nasa.gov</w:t>
      </w:r>
    </w:p>
    <w:p w14:paraId="02551BEF" w14:textId="483AE575" w:rsidR="008347A2" w:rsidRPr="00EB407E" w:rsidRDefault="008347A2" w:rsidP="0025054B">
      <w:pPr>
        <w:widowControl/>
        <w:tabs>
          <w:tab w:val="left" w:pos="360"/>
        </w:tabs>
        <w:rPr>
          <w:rFonts w:ascii="Times New Roman" w:hAnsi="Times New Roman"/>
          <w:color w:val="C45911" w:themeColor="accent2" w:themeShade="BF"/>
          <w:sz w:val="24"/>
        </w:rPr>
      </w:pPr>
    </w:p>
    <w:p w14:paraId="1FD30A12" w14:textId="279B0134" w:rsidR="00CA3BDE" w:rsidRDefault="00CA3BDE" w:rsidP="00882A0F">
      <w:pPr>
        <w:widowControl/>
        <w:autoSpaceDE w:val="0"/>
        <w:autoSpaceDN w:val="0"/>
        <w:adjustRightInd w:val="0"/>
        <w:ind w:firstLine="454"/>
        <w:rPr>
          <w:rFonts w:ascii="Times New Roman" w:hAnsi="Times New Roman"/>
          <w:color w:val="000000"/>
          <w:kern w:val="0"/>
          <w:sz w:val="20"/>
          <w:szCs w:val="20"/>
          <w:lang w:val="en-CA" w:eastAsia="en-CA"/>
        </w:rPr>
      </w:pPr>
      <w:r>
        <w:rPr>
          <w:rFonts w:ascii="Times New Roman" w:hAnsi="Times New Roman"/>
          <w:color w:val="000000"/>
          <w:kern w:val="0"/>
          <w:sz w:val="20"/>
          <w:szCs w:val="20"/>
          <w:lang w:val="en-CA" w:eastAsia="en-CA"/>
        </w:rPr>
        <w:t xml:space="preserve">Getter materials have been used to reduce pressure or partial pressures in a variety of vacuum applications ranging from vacuum tubes to space flight science instruments.  </w:t>
      </w:r>
      <w:r w:rsidR="00FE43A4">
        <w:rPr>
          <w:rFonts w:ascii="Times New Roman" w:hAnsi="Times New Roman"/>
          <w:color w:val="000000"/>
          <w:kern w:val="0"/>
          <w:sz w:val="20"/>
          <w:szCs w:val="20"/>
          <w:lang w:val="en-CA" w:eastAsia="en-CA"/>
        </w:rPr>
        <w:t xml:space="preserve">Testing of getter materials has tended to emphasize the capacity of candidate materials to collect specific gas species </w:t>
      </w:r>
      <w:r w:rsidR="006228F2">
        <w:rPr>
          <w:rFonts w:ascii="Times New Roman" w:hAnsi="Times New Roman"/>
          <w:color w:val="000000"/>
          <w:kern w:val="0"/>
          <w:sz w:val="20"/>
          <w:szCs w:val="20"/>
          <w:lang w:val="en-CA" w:eastAsia="en-CA"/>
        </w:rPr>
        <w:t>in sufficient quantities</w:t>
      </w:r>
      <w:r w:rsidR="00FE43A4">
        <w:rPr>
          <w:rFonts w:ascii="Times New Roman" w:hAnsi="Times New Roman"/>
          <w:color w:val="000000"/>
          <w:kern w:val="0"/>
          <w:sz w:val="20"/>
          <w:szCs w:val="20"/>
          <w:lang w:val="en-CA" w:eastAsia="en-CA"/>
        </w:rPr>
        <w:t xml:space="preserve"> to size them in these applications.  When determining a getter material’s capacity, it</w:t>
      </w:r>
      <w:r w:rsidR="00882A0F">
        <w:rPr>
          <w:rFonts w:ascii="Times New Roman" w:hAnsi="Times New Roman"/>
          <w:color w:val="000000"/>
          <w:kern w:val="0"/>
          <w:sz w:val="20"/>
          <w:szCs w:val="20"/>
          <w:lang w:val="en-CA" w:eastAsia="en-CA"/>
        </w:rPr>
        <w:t xml:space="preserve"> is typically subjected to enough excess target gas to ensure it sorbs as quickly as possible.  However, when both the gas source strength and the getter’s sorption rate </w:t>
      </w:r>
      <w:r w:rsidR="00DE7485">
        <w:rPr>
          <w:rFonts w:ascii="Times New Roman" w:hAnsi="Times New Roman"/>
          <w:color w:val="000000"/>
          <w:kern w:val="0"/>
          <w:sz w:val="20"/>
          <w:szCs w:val="20"/>
          <w:lang w:val="en-CA" w:eastAsia="en-CA"/>
        </w:rPr>
        <w:t>exhibit transient decay behavior</w:t>
      </w:r>
      <w:r w:rsidR="00882A0F">
        <w:rPr>
          <w:rFonts w:ascii="Times New Roman" w:hAnsi="Times New Roman"/>
          <w:color w:val="000000"/>
          <w:kern w:val="0"/>
          <w:sz w:val="20"/>
          <w:szCs w:val="20"/>
          <w:lang w:val="en-CA" w:eastAsia="en-CA"/>
        </w:rPr>
        <w:t>, such data is not sufficient to predict the targeted species</w:t>
      </w:r>
      <w:r w:rsidR="006228F2">
        <w:rPr>
          <w:rFonts w:ascii="Times New Roman" w:hAnsi="Times New Roman"/>
          <w:color w:val="000000"/>
          <w:kern w:val="0"/>
          <w:sz w:val="20"/>
          <w:szCs w:val="20"/>
          <w:lang w:val="en-CA" w:eastAsia="en-CA"/>
        </w:rPr>
        <w:t>’</w:t>
      </w:r>
      <w:r w:rsidR="00882A0F">
        <w:rPr>
          <w:rFonts w:ascii="Times New Roman" w:hAnsi="Times New Roman"/>
          <w:color w:val="000000"/>
          <w:kern w:val="0"/>
          <w:sz w:val="20"/>
          <w:szCs w:val="20"/>
          <w:lang w:val="en-CA" w:eastAsia="en-CA"/>
        </w:rPr>
        <w:t xml:space="preserve"> partial pressure</w:t>
      </w:r>
      <w:r w:rsidR="00DE7485">
        <w:rPr>
          <w:rFonts w:ascii="Times New Roman" w:hAnsi="Times New Roman"/>
          <w:color w:val="000000"/>
          <w:kern w:val="0"/>
          <w:sz w:val="20"/>
          <w:szCs w:val="20"/>
          <w:lang w:val="en-CA" w:eastAsia="en-CA"/>
        </w:rPr>
        <w:t xml:space="preserve"> within a vacuum system</w:t>
      </w:r>
      <w:r w:rsidR="00F049FF">
        <w:rPr>
          <w:rFonts w:ascii="Times New Roman" w:hAnsi="Times New Roman"/>
          <w:color w:val="000000"/>
          <w:kern w:val="0"/>
          <w:sz w:val="20"/>
          <w:szCs w:val="20"/>
          <w:lang w:val="en-CA" w:eastAsia="en-CA"/>
        </w:rPr>
        <w:t xml:space="preserve"> as a function of time.</w:t>
      </w:r>
    </w:p>
    <w:p w14:paraId="392C3900" w14:textId="3581B1C0" w:rsidR="00CA3BDE" w:rsidRDefault="00F049FF" w:rsidP="00AC61CC">
      <w:pPr>
        <w:widowControl/>
        <w:autoSpaceDE w:val="0"/>
        <w:autoSpaceDN w:val="0"/>
        <w:adjustRightInd w:val="0"/>
        <w:ind w:firstLine="454"/>
        <w:rPr>
          <w:rFonts w:ascii="Times New Roman" w:hAnsi="Times New Roman"/>
          <w:color w:val="000000"/>
          <w:kern w:val="0"/>
          <w:sz w:val="20"/>
          <w:szCs w:val="20"/>
          <w:lang w:val="en-CA" w:eastAsia="en-CA"/>
        </w:rPr>
      </w:pPr>
      <w:r>
        <w:rPr>
          <w:rFonts w:ascii="Times New Roman" w:hAnsi="Times New Roman"/>
          <w:color w:val="000000"/>
          <w:kern w:val="0"/>
          <w:sz w:val="20"/>
          <w:szCs w:val="20"/>
          <w:lang w:val="en-CA" w:eastAsia="en-CA"/>
        </w:rPr>
        <w:t>Analytical solutions have been found that describe the transient influence getters</w:t>
      </w:r>
      <w:r w:rsidR="00221281">
        <w:rPr>
          <w:rFonts w:ascii="Times New Roman" w:hAnsi="Times New Roman"/>
          <w:color w:val="000000"/>
          <w:kern w:val="0"/>
          <w:sz w:val="20"/>
          <w:szCs w:val="20"/>
          <w:lang w:val="en-CA" w:eastAsia="en-CA"/>
        </w:rPr>
        <w:t xml:space="preserve"> </w:t>
      </w:r>
      <w:r>
        <w:rPr>
          <w:rFonts w:ascii="Times New Roman" w:hAnsi="Times New Roman"/>
          <w:color w:val="000000"/>
          <w:kern w:val="0"/>
          <w:sz w:val="20"/>
          <w:szCs w:val="20"/>
          <w:lang w:val="en-CA" w:eastAsia="en-CA"/>
        </w:rPr>
        <w:t>have in countering the ill effects of outgassing and leaks in vacuum systems.</w:t>
      </w:r>
      <w:r w:rsidR="0027556E">
        <w:rPr>
          <w:rFonts w:ascii="Times New Roman" w:hAnsi="Times New Roman"/>
          <w:color w:val="000000"/>
          <w:kern w:val="0"/>
          <w:sz w:val="20"/>
          <w:szCs w:val="20"/>
          <w:lang w:val="en-CA" w:eastAsia="en-CA"/>
        </w:rPr>
        <w:t xml:space="preserve">  They</w:t>
      </w:r>
      <w:r w:rsidR="00252DC0">
        <w:rPr>
          <w:rFonts w:ascii="Times New Roman" w:hAnsi="Times New Roman"/>
          <w:color w:val="000000"/>
          <w:kern w:val="0"/>
          <w:sz w:val="20"/>
          <w:szCs w:val="20"/>
          <w:lang w:val="en-CA" w:eastAsia="en-CA"/>
        </w:rPr>
        <w:t xml:space="preserve"> elucidate what have been vague intuitions regarding the complexity of interpreting contaminant outgassing rate measurements in a thermal vacuum test or in predicting the evolution of partial pressures in a sealed system.</w:t>
      </w:r>
    </w:p>
    <w:p w14:paraId="4B8CD403" w14:textId="727FF142" w:rsidR="00252DC0" w:rsidRDefault="00252DC0" w:rsidP="00AC61CC">
      <w:pPr>
        <w:widowControl/>
        <w:autoSpaceDE w:val="0"/>
        <w:autoSpaceDN w:val="0"/>
        <w:adjustRightInd w:val="0"/>
        <w:ind w:firstLine="454"/>
        <w:rPr>
          <w:rFonts w:ascii="Times New Roman" w:hAnsi="Times New Roman"/>
          <w:color w:val="000000"/>
          <w:kern w:val="0"/>
          <w:sz w:val="20"/>
          <w:szCs w:val="20"/>
          <w:lang w:val="en-CA" w:eastAsia="en-CA"/>
        </w:rPr>
      </w:pPr>
      <w:r>
        <w:rPr>
          <w:rFonts w:ascii="Times New Roman" w:hAnsi="Times New Roman"/>
          <w:color w:val="000000"/>
          <w:kern w:val="0"/>
          <w:sz w:val="20"/>
          <w:szCs w:val="20"/>
          <w:lang w:val="en-CA" w:eastAsia="en-CA"/>
        </w:rPr>
        <w:t>In addition, development of these analytical solutions has revealed the existence of a characteristic critical target species pressure below which getter material sorption rate</w:t>
      </w:r>
      <w:r w:rsidR="00F6058A">
        <w:rPr>
          <w:rFonts w:ascii="Times New Roman" w:hAnsi="Times New Roman"/>
          <w:color w:val="000000"/>
          <w:kern w:val="0"/>
          <w:sz w:val="20"/>
          <w:szCs w:val="20"/>
          <w:lang w:val="en-CA" w:eastAsia="en-CA"/>
        </w:rPr>
        <w:t>s</w:t>
      </w:r>
      <w:r>
        <w:rPr>
          <w:rFonts w:ascii="Times New Roman" w:hAnsi="Times New Roman"/>
          <w:color w:val="000000"/>
          <w:kern w:val="0"/>
          <w:sz w:val="20"/>
          <w:szCs w:val="20"/>
          <w:lang w:val="en-CA" w:eastAsia="en-CA"/>
        </w:rPr>
        <w:t xml:space="preserve"> deviate from maximum </w:t>
      </w:r>
      <w:r w:rsidR="00F6058A">
        <w:rPr>
          <w:rFonts w:ascii="Times New Roman" w:hAnsi="Times New Roman"/>
          <w:color w:val="000000"/>
          <w:kern w:val="0"/>
          <w:sz w:val="20"/>
          <w:szCs w:val="20"/>
          <w:lang w:val="en-CA" w:eastAsia="en-CA"/>
        </w:rPr>
        <w:t xml:space="preserve">rate </w:t>
      </w:r>
      <w:r>
        <w:rPr>
          <w:rFonts w:ascii="Times New Roman" w:hAnsi="Times New Roman"/>
          <w:color w:val="000000"/>
          <w:kern w:val="0"/>
          <w:sz w:val="20"/>
          <w:szCs w:val="20"/>
          <w:lang w:val="en-CA" w:eastAsia="en-CA"/>
        </w:rPr>
        <w:t xml:space="preserve">behavior obtained in excess environments.  Under such conditions, the impact of the getter’s influence on species partial pressure becomes more complicated.  Finally, as a getter </w:t>
      </w:r>
      <w:r w:rsidR="00F6058A">
        <w:rPr>
          <w:rFonts w:ascii="Times New Roman" w:hAnsi="Times New Roman"/>
          <w:color w:val="000000"/>
          <w:kern w:val="0"/>
          <w:sz w:val="20"/>
          <w:szCs w:val="20"/>
          <w:lang w:val="en-CA" w:eastAsia="en-CA"/>
        </w:rPr>
        <w:t>approaches saturation</w:t>
      </w:r>
      <w:r>
        <w:rPr>
          <w:rFonts w:ascii="Times New Roman" w:hAnsi="Times New Roman"/>
          <w:color w:val="000000"/>
          <w:kern w:val="0"/>
          <w:sz w:val="20"/>
          <w:szCs w:val="20"/>
          <w:lang w:val="en-CA" w:eastAsia="en-CA"/>
        </w:rPr>
        <w:t xml:space="preserve"> in a vacuum environment,</w:t>
      </w:r>
      <w:r w:rsidR="00F6058A">
        <w:rPr>
          <w:rFonts w:ascii="Times New Roman" w:hAnsi="Times New Roman"/>
          <w:color w:val="000000"/>
          <w:kern w:val="0"/>
          <w:sz w:val="20"/>
          <w:szCs w:val="20"/>
          <w:lang w:val="en-CA" w:eastAsia="en-CA"/>
        </w:rPr>
        <w:t xml:space="preserve"> system pressure</w:t>
      </w:r>
      <w:r>
        <w:rPr>
          <w:rFonts w:ascii="Times New Roman" w:hAnsi="Times New Roman"/>
          <w:color w:val="000000"/>
          <w:kern w:val="0"/>
          <w:sz w:val="20"/>
          <w:szCs w:val="20"/>
          <w:lang w:val="en-CA" w:eastAsia="en-CA"/>
        </w:rPr>
        <w:t xml:space="preserve"> </w:t>
      </w:r>
      <w:r w:rsidR="006228F2">
        <w:rPr>
          <w:rFonts w:ascii="Times New Roman" w:hAnsi="Times New Roman"/>
          <w:color w:val="000000"/>
          <w:kern w:val="0"/>
          <w:sz w:val="20"/>
          <w:szCs w:val="20"/>
          <w:lang w:val="en-CA" w:eastAsia="en-CA"/>
        </w:rPr>
        <w:t>may increase</w:t>
      </w:r>
      <w:r>
        <w:rPr>
          <w:rFonts w:ascii="Times New Roman" w:hAnsi="Times New Roman"/>
          <w:color w:val="000000"/>
          <w:kern w:val="0"/>
          <w:sz w:val="20"/>
          <w:szCs w:val="20"/>
          <w:lang w:val="en-CA" w:eastAsia="en-CA"/>
        </w:rPr>
        <w:t xml:space="preserve"> the possibility </w:t>
      </w:r>
      <w:r w:rsidR="006228F2">
        <w:rPr>
          <w:rFonts w:ascii="Times New Roman" w:hAnsi="Times New Roman"/>
          <w:color w:val="000000"/>
          <w:kern w:val="0"/>
          <w:sz w:val="20"/>
          <w:szCs w:val="20"/>
          <w:lang w:val="en-CA" w:eastAsia="en-CA"/>
        </w:rPr>
        <w:t>that</w:t>
      </w:r>
      <w:r>
        <w:rPr>
          <w:rFonts w:ascii="Times New Roman" w:hAnsi="Times New Roman"/>
          <w:color w:val="000000"/>
          <w:kern w:val="0"/>
          <w:sz w:val="20"/>
          <w:szCs w:val="20"/>
          <w:lang w:val="en-CA" w:eastAsia="en-CA"/>
        </w:rPr>
        <w:t xml:space="preserve"> it will revert to maximum sorption rate behavior before it reaches capacity.</w:t>
      </w:r>
    </w:p>
    <w:p w14:paraId="473A2488" w14:textId="77777777" w:rsidR="00F049FF" w:rsidRDefault="00F049FF" w:rsidP="00AC61CC">
      <w:pPr>
        <w:widowControl/>
        <w:autoSpaceDE w:val="0"/>
        <w:autoSpaceDN w:val="0"/>
        <w:adjustRightInd w:val="0"/>
        <w:ind w:firstLine="454"/>
        <w:rPr>
          <w:rFonts w:ascii="Times New Roman" w:hAnsi="Times New Roman"/>
          <w:color w:val="000000"/>
          <w:kern w:val="0"/>
          <w:sz w:val="20"/>
          <w:szCs w:val="20"/>
          <w:lang w:val="en-CA" w:eastAsia="en-CA"/>
        </w:rPr>
      </w:pPr>
    </w:p>
    <w:p w14:paraId="4F2C8D27" w14:textId="00AA4805" w:rsidR="00D143F5" w:rsidRDefault="00D143F5" w:rsidP="00AC17A7">
      <w:pPr>
        <w:rPr>
          <w:rFonts w:ascii="Times New Roman" w:hAnsi="Times New Roman"/>
          <w:b/>
          <w:sz w:val="24"/>
        </w:rPr>
      </w:pPr>
    </w:p>
    <w:p w14:paraId="5FE7E073" w14:textId="77777777" w:rsidR="00075ECF" w:rsidRPr="005E05ED" w:rsidRDefault="00075ECF" w:rsidP="00075ECF">
      <w:pPr>
        <w:widowControl/>
        <w:autoSpaceDE w:val="0"/>
        <w:autoSpaceDN w:val="0"/>
        <w:adjustRightInd w:val="0"/>
        <w:rPr>
          <w:rFonts w:ascii="Times New Roman" w:hAnsi="Times New Roman"/>
          <w:color w:val="000000"/>
          <w:kern w:val="0"/>
          <w:sz w:val="24"/>
          <w:lang w:val="en-CA" w:eastAsia="en-CA"/>
        </w:rPr>
      </w:pPr>
      <w:r w:rsidRPr="005E05ED">
        <w:rPr>
          <w:rFonts w:ascii="Times New Roman" w:hAnsi="Times New Roman"/>
          <w:b/>
          <w:bCs/>
          <w:color w:val="000000"/>
          <w:kern w:val="0"/>
          <w:sz w:val="24"/>
          <w:lang w:val="en-CA" w:eastAsia="en-CA"/>
        </w:rPr>
        <w:t xml:space="preserve">ACKNOWLEDGEMENTS </w:t>
      </w:r>
    </w:p>
    <w:p w14:paraId="1F99874A" w14:textId="5D9A7474" w:rsidR="00075ECF" w:rsidRPr="00221281" w:rsidRDefault="00075ECF" w:rsidP="00AC17A7">
      <w:pPr>
        <w:rPr>
          <w:rFonts w:ascii="Times New Roman" w:hAnsi="Times New Roman"/>
          <w:b/>
          <w:sz w:val="20"/>
          <w:szCs w:val="20"/>
        </w:rPr>
      </w:pPr>
    </w:p>
    <w:p w14:paraId="0972720B" w14:textId="0AD7F552" w:rsidR="00075ECF" w:rsidRPr="00221281" w:rsidRDefault="00221281" w:rsidP="00AC17A7">
      <w:pPr>
        <w:rPr>
          <w:rFonts w:ascii="Times New Roman" w:eastAsia="Malgun Gothic" w:hAnsi="Times New Roman"/>
          <w:b/>
          <w:sz w:val="20"/>
          <w:szCs w:val="20"/>
          <w:lang w:eastAsia="ko-KR"/>
        </w:rPr>
      </w:pPr>
      <w:r w:rsidRPr="00221281">
        <w:rPr>
          <w:rFonts w:ascii="Times New Roman" w:hAnsi="Times New Roman"/>
          <w:sz w:val="20"/>
          <w:szCs w:val="20"/>
        </w:rPr>
        <w:t xml:space="preserve">MSW gratefully acknowledges support from NASA Contract NNG17CR69C and the efforts of </w:t>
      </w:r>
      <w:r>
        <w:rPr>
          <w:rFonts w:ascii="Times New Roman" w:hAnsi="Times New Roman"/>
          <w:sz w:val="20"/>
          <w:szCs w:val="20"/>
        </w:rPr>
        <w:t>Jillian Stack, Betsy Pugel, and Nithin Abraham</w:t>
      </w:r>
      <w:r w:rsidRPr="00221281">
        <w:rPr>
          <w:rFonts w:ascii="Times New Roman" w:hAnsi="Times New Roman"/>
          <w:sz w:val="20"/>
          <w:szCs w:val="20"/>
        </w:rPr>
        <w:t>, NASA-GSFC Code 546</w:t>
      </w:r>
      <w:r w:rsidR="001C1D9D" w:rsidRPr="00221281">
        <w:rPr>
          <w:rFonts w:ascii="Times New Roman" w:hAnsi="Times New Roman"/>
          <w:color w:val="000000"/>
          <w:kern w:val="0"/>
          <w:sz w:val="20"/>
          <w:szCs w:val="20"/>
          <w:lang w:val="en-CA" w:eastAsia="en-CA"/>
        </w:rPr>
        <w:t>.</w:t>
      </w:r>
    </w:p>
    <w:p w14:paraId="5C67D46B" w14:textId="23C79125" w:rsidR="00DD092D" w:rsidRPr="005E720E" w:rsidRDefault="00DD092D" w:rsidP="008A093D">
      <w:pPr>
        <w:widowControl/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</w:p>
    <w:sectPr w:rsidR="00DD092D" w:rsidRPr="005E720E" w:rsidSect="00C83543">
      <w:pgSz w:w="11900" w:h="16840" w:code="1"/>
      <w:pgMar w:top="1134" w:right="1134" w:bottom="1134" w:left="1134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4D6952"/>
    <w:multiLevelType w:val="hybridMultilevel"/>
    <w:tmpl w:val="480EA1E6"/>
    <w:lvl w:ilvl="0" w:tplc="0BCE49E4">
      <w:start w:val="1"/>
      <w:numFmt w:val="upperLetter"/>
      <w:lvlText w:val="%1."/>
      <w:lvlJc w:val="left"/>
      <w:pPr>
        <w:ind w:left="760" w:hanging="360"/>
      </w:pPr>
      <w:rPr>
        <w:rFonts w:hint="default"/>
        <w:color w:val="00000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791098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hyphenationZone w:val="425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UyNra0NDEGIgNLEyUdpeDU4uLM/DyQAotaAAGGpxIsAAAA"/>
  </w:docVars>
  <w:rsids>
    <w:rsidRoot w:val="003A06F7"/>
    <w:rsid w:val="000374AD"/>
    <w:rsid w:val="000378D6"/>
    <w:rsid w:val="00052FE4"/>
    <w:rsid w:val="000543CB"/>
    <w:rsid w:val="00075ECF"/>
    <w:rsid w:val="0008463D"/>
    <w:rsid w:val="000A26F1"/>
    <w:rsid w:val="000E6E07"/>
    <w:rsid w:val="0010571D"/>
    <w:rsid w:val="0015350C"/>
    <w:rsid w:val="00157CFD"/>
    <w:rsid w:val="00167782"/>
    <w:rsid w:val="00183E40"/>
    <w:rsid w:val="001C0663"/>
    <w:rsid w:val="001C1D9D"/>
    <w:rsid w:val="001C280E"/>
    <w:rsid w:val="001D40A0"/>
    <w:rsid w:val="00221281"/>
    <w:rsid w:val="0025054B"/>
    <w:rsid w:val="00250DD8"/>
    <w:rsid w:val="00252DC0"/>
    <w:rsid w:val="0027556E"/>
    <w:rsid w:val="00275790"/>
    <w:rsid w:val="00275816"/>
    <w:rsid w:val="00281186"/>
    <w:rsid w:val="00291B11"/>
    <w:rsid w:val="002A2B47"/>
    <w:rsid w:val="002A3265"/>
    <w:rsid w:val="002A47B6"/>
    <w:rsid w:val="002B2751"/>
    <w:rsid w:val="002B5363"/>
    <w:rsid w:val="002C4413"/>
    <w:rsid w:val="002C5B1D"/>
    <w:rsid w:val="002F141F"/>
    <w:rsid w:val="002F468C"/>
    <w:rsid w:val="0030136A"/>
    <w:rsid w:val="0032288B"/>
    <w:rsid w:val="0033222D"/>
    <w:rsid w:val="00342DBA"/>
    <w:rsid w:val="00380CD6"/>
    <w:rsid w:val="003832EB"/>
    <w:rsid w:val="00391F79"/>
    <w:rsid w:val="00392978"/>
    <w:rsid w:val="003A06F7"/>
    <w:rsid w:val="003D1A66"/>
    <w:rsid w:val="00432CF7"/>
    <w:rsid w:val="00436E54"/>
    <w:rsid w:val="0044467F"/>
    <w:rsid w:val="0046214A"/>
    <w:rsid w:val="0047677E"/>
    <w:rsid w:val="00485937"/>
    <w:rsid w:val="0049376A"/>
    <w:rsid w:val="00494D1E"/>
    <w:rsid w:val="004A08C0"/>
    <w:rsid w:val="004A3F0F"/>
    <w:rsid w:val="00546873"/>
    <w:rsid w:val="00563327"/>
    <w:rsid w:val="00573971"/>
    <w:rsid w:val="00581BC4"/>
    <w:rsid w:val="005867C8"/>
    <w:rsid w:val="005A2ABD"/>
    <w:rsid w:val="005B0501"/>
    <w:rsid w:val="005B404B"/>
    <w:rsid w:val="005B511E"/>
    <w:rsid w:val="005D4178"/>
    <w:rsid w:val="005E05ED"/>
    <w:rsid w:val="005E720E"/>
    <w:rsid w:val="005F40C1"/>
    <w:rsid w:val="005F4A60"/>
    <w:rsid w:val="00617D59"/>
    <w:rsid w:val="006228F2"/>
    <w:rsid w:val="00641E62"/>
    <w:rsid w:val="006529DE"/>
    <w:rsid w:val="00657D7D"/>
    <w:rsid w:val="00673464"/>
    <w:rsid w:val="006758A9"/>
    <w:rsid w:val="006824BD"/>
    <w:rsid w:val="006C5DB4"/>
    <w:rsid w:val="006C6794"/>
    <w:rsid w:val="006D4E4A"/>
    <w:rsid w:val="006F11E4"/>
    <w:rsid w:val="006F694F"/>
    <w:rsid w:val="006F76FC"/>
    <w:rsid w:val="00704211"/>
    <w:rsid w:val="00722719"/>
    <w:rsid w:val="0077140C"/>
    <w:rsid w:val="0077280E"/>
    <w:rsid w:val="00795A32"/>
    <w:rsid w:val="007F1881"/>
    <w:rsid w:val="008006D9"/>
    <w:rsid w:val="008347A2"/>
    <w:rsid w:val="00855271"/>
    <w:rsid w:val="00882A0F"/>
    <w:rsid w:val="008A093D"/>
    <w:rsid w:val="008E76BE"/>
    <w:rsid w:val="009008BC"/>
    <w:rsid w:val="00902897"/>
    <w:rsid w:val="00905620"/>
    <w:rsid w:val="009164BD"/>
    <w:rsid w:val="009527AE"/>
    <w:rsid w:val="00960256"/>
    <w:rsid w:val="009618D8"/>
    <w:rsid w:val="0098238F"/>
    <w:rsid w:val="009C3470"/>
    <w:rsid w:val="009D18A9"/>
    <w:rsid w:val="009F5A75"/>
    <w:rsid w:val="00A072F8"/>
    <w:rsid w:val="00A13703"/>
    <w:rsid w:val="00A1399E"/>
    <w:rsid w:val="00A50A2E"/>
    <w:rsid w:val="00AA7876"/>
    <w:rsid w:val="00AC17A7"/>
    <w:rsid w:val="00AC61CC"/>
    <w:rsid w:val="00AD29A4"/>
    <w:rsid w:val="00AE1E4E"/>
    <w:rsid w:val="00AF46A4"/>
    <w:rsid w:val="00B1214A"/>
    <w:rsid w:val="00B549D4"/>
    <w:rsid w:val="00B72052"/>
    <w:rsid w:val="00BB53B9"/>
    <w:rsid w:val="00BC5E16"/>
    <w:rsid w:val="00BF7E9E"/>
    <w:rsid w:val="00C02FD2"/>
    <w:rsid w:val="00C3687F"/>
    <w:rsid w:val="00C83543"/>
    <w:rsid w:val="00C86625"/>
    <w:rsid w:val="00C97A06"/>
    <w:rsid w:val="00CA3BDE"/>
    <w:rsid w:val="00CB5A99"/>
    <w:rsid w:val="00CD6113"/>
    <w:rsid w:val="00D00600"/>
    <w:rsid w:val="00D143F5"/>
    <w:rsid w:val="00D217E9"/>
    <w:rsid w:val="00D244A9"/>
    <w:rsid w:val="00D82FC2"/>
    <w:rsid w:val="00DA34C8"/>
    <w:rsid w:val="00DB3BFD"/>
    <w:rsid w:val="00DD092D"/>
    <w:rsid w:val="00DE698E"/>
    <w:rsid w:val="00DE7485"/>
    <w:rsid w:val="00DE74EF"/>
    <w:rsid w:val="00DF01B7"/>
    <w:rsid w:val="00DF7373"/>
    <w:rsid w:val="00E43729"/>
    <w:rsid w:val="00E52286"/>
    <w:rsid w:val="00E5611E"/>
    <w:rsid w:val="00E562DA"/>
    <w:rsid w:val="00E82DF5"/>
    <w:rsid w:val="00EB407E"/>
    <w:rsid w:val="00EC7B8A"/>
    <w:rsid w:val="00EE71D3"/>
    <w:rsid w:val="00F0250A"/>
    <w:rsid w:val="00F02A84"/>
    <w:rsid w:val="00F049FF"/>
    <w:rsid w:val="00F42C22"/>
    <w:rsid w:val="00F437F9"/>
    <w:rsid w:val="00F50683"/>
    <w:rsid w:val="00F57857"/>
    <w:rsid w:val="00F6058A"/>
    <w:rsid w:val="00F81A28"/>
    <w:rsid w:val="00FC515D"/>
    <w:rsid w:val="00FE43A4"/>
    <w:rsid w:val="00FE7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B5020C2"/>
  <w15:docId w15:val="{FC8093D1-E064-436A-AD21-D4C43855E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MS Mincho" w:hAnsi="Century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C5B1D"/>
    <w:rPr>
      <w:color w:val="0000FF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98238F"/>
    <w:pPr>
      <w:spacing w:after="200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D143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0250A"/>
    <w:pPr>
      <w:ind w:leftChars="400" w:left="800"/>
    </w:pPr>
  </w:style>
  <w:style w:type="character" w:styleId="UnresolvedMention">
    <w:name w:val="Unresolved Mention"/>
    <w:basedOn w:val="DefaultParagraphFont"/>
    <w:uiPriority w:val="99"/>
    <w:semiHidden/>
    <w:unhideWhenUsed/>
    <w:rsid w:val="00AD29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Abstract Sample for International Symposium on Rarefied Gas Dynamics 26</vt:lpstr>
      <vt:lpstr>Abstract Sample for International Symposium on Rarefied Gas Dynamics 26</vt:lpstr>
    </vt:vector>
  </TitlesOfParts>
  <Company>気体力学研究所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Sample for International Symposium on Rarefied Gas Dynamics 26</dc:title>
  <dc:creator>かづ</dc:creator>
  <cp:lastModifiedBy>Woronowicz, Michael S. (GSFC-546.0)[KBR]</cp:lastModifiedBy>
  <cp:revision>2</cp:revision>
  <cp:lastPrinted>2019-10-14T08:30:00Z</cp:lastPrinted>
  <dcterms:created xsi:type="dcterms:W3CDTF">2024-02-06T16:36:00Z</dcterms:created>
  <dcterms:modified xsi:type="dcterms:W3CDTF">2024-02-06T16:36:00Z</dcterms:modified>
</cp:coreProperties>
</file>