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58753" w14:textId="43EC6E6C" w:rsidR="00691883" w:rsidRPr="00C45D07" w:rsidRDefault="00750699">
      <w:pPr>
        <w:spacing w:line="240" w:lineRule="atLeast"/>
        <w:jc w:val="both"/>
        <w:rPr>
          <w:b/>
          <w:sz w:val="20"/>
        </w:rPr>
      </w:pPr>
      <w:r>
        <w:rPr>
          <w:b/>
          <w:sz w:val="20"/>
        </w:rPr>
        <w:t xml:space="preserve">Modular Interface for CLPS-scale Excavators (MICE) – Feasibility testing of a modular disconnect system for regolith manipulation implements focused on excavation and site preparation </w:t>
      </w:r>
      <w:proofErr w:type="spellStart"/>
      <w:r>
        <w:rPr>
          <w:b/>
          <w:sz w:val="20"/>
        </w:rPr>
        <w:t>activies</w:t>
      </w:r>
      <w:proofErr w:type="spellEnd"/>
      <w:r>
        <w:rPr>
          <w:b/>
          <w:sz w:val="20"/>
        </w:rPr>
        <w:t xml:space="preserve">.  </w:t>
      </w:r>
      <w:r w:rsidR="0044208D">
        <w:rPr>
          <w:sz w:val="20"/>
        </w:rPr>
        <w:t>E</w:t>
      </w:r>
      <w:r w:rsidR="00691883">
        <w:rPr>
          <w:sz w:val="20"/>
        </w:rPr>
        <w:t xml:space="preserve">. </w:t>
      </w:r>
      <w:r w:rsidR="0044208D">
        <w:rPr>
          <w:sz w:val="20"/>
        </w:rPr>
        <w:t>A</w:t>
      </w:r>
      <w:r w:rsidR="00691883">
        <w:rPr>
          <w:sz w:val="20"/>
        </w:rPr>
        <w:t xml:space="preserve">. </w:t>
      </w:r>
      <w:r w:rsidR="0044208D">
        <w:rPr>
          <w:sz w:val="20"/>
        </w:rPr>
        <w:t>B</w:t>
      </w:r>
      <w:r w:rsidR="00736EE7">
        <w:rPr>
          <w:sz w:val="20"/>
        </w:rPr>
        <w:t>ell</w:t>
      </w:r>
      <w:r w:rsidR="00691883">
        <w:rPr>
          <w:sz w:val="20"/>
          <w:vertAlign w:val="superscript"/>
        </w:rPr>
        <w:t>1</w:t>
      </w:r>
      <w:r w:rsidR="0044208D">
        <w:rPr>
          <w:sz w:val="20"/>
        </w:rPr>
        <w:t>,</w:t>
      </w:r>
      <w:r w:rsidR="00691883">
        <w:rPr>
          <w:sz w:val="20"/>
        </w:rPr>
        <w:t xml:space="preserve"> </w:t>
      </w:r>
      <w:r w:rsidR="0044208D">
        <w:rPr>
          <w:sz w:val="20"/>
        </w:rPr>
        <w:t>N</w:t>
      </w:r>
      <w:r w:rsidR="00691883">
        <w:rPr>
          <w:sz w:val="20"/>
        </w:rPr>
        <w:t xml:space="preserve">. </w:t>
      </w:r>
      <w:r w:rsidR="0044208D">
        <w:rPr>
          <w:sz w:val="20"/>
        </w:rPr>
        <w:t>J</w:t>
      </w:r>
      <w:r w:rsidR="00691883">
        <w:rPr>
          <w:sz w:val="20"/>
        </w:rPr>
        <w:t xml:space="preserve">. </w:t>
      </w:r>
      <w:r w:rsidR="0044208D">
        <w:rPr>
          <w:sz w:val="20"/>
        </w:rPr>
        <w:t>G</w:t>
      </w:r>
      <w:r w:rsidR="00736EE7">
        <w:rPr>
          <w:sz w:val="20"/>
        </w:rPr>
        <w:t>elino</w:t>
      </w:r>
      <w:r w:rsidR="008319FB">
        <w:rPr>
          <w:sz w:val="20"/>
          <w:vertAlign w:val="superscript"/>
        </w:rPr>
        <w:t>2</w:t>
      </w:r>
      <w:r w:rsidR="00691883">
        <w:rPr>
          <w:sz w:val="20"/>
        </w:rPr>
        <w:t>,</w:t>
      </w:r>
      <w:r w:rsidR="0044208D">
        <w:rPr>
          <w:sz w:val="20"/>
        </w:rPr>
        <w:t xml:space="preserve"> </w:t>
      </w:r>
      <w:r w:rsidR="00C45D07">
        <w:rPr>
          <w:sz w:val="20"/>
        </w:rPr>
        <w:t>M. A. Gudino</w:t>
      </w:r>
      <w:r w:rsidR="00C45D07">
        <w:rPr>
          <w:sz w:val="20"/>
          <w:vertAlign w:val="superscript"/>
        </w:rPr>
        <w:t>3</w:t>
      </w:r>
      <w:r w:rsidR="00C45D07">
        <w:rPr>
          <w:sz w:val="20"/>
        </w:rPr>
        <w:t>, B. H. Burdess</w:t>
      </w:r>
      <w:r w:rsidR="00C45D07">
        <w:rPr>
          <w:sz w:val="20"/>
          <w:vertAlign w:val="superscript"/>
        </w:rPr>
        <w:t>4</w:t>
      </w:r>
      <w:r w:rsidR="00C45D07">
        <w:rPr>
          <w:sz w:val="20"/>
        </w:rPr>
        <w:t xml:space="preserve">, </w:t>
      </w:r>
      <w:r w:rsidR="00691883">
        <w:rPr>
          <w:sz w:val="20"/>
          <w:vertAlign w:val="superscript"/>
        </w:rPr>
        <w:t>1</w:t>
      </w:r>
      <w:r w:rsidR="00181F03">
        <w:rPr>
          <w:sz w:val="20"/>
        </w:rPr>
        <w:t>NE-L6</w:t>
      </w:r>
      <w:r w:rsidR="0044208D" w:rsidRPr="0044208D">
        <w:rPr>
          <w:sz w:val="20"/>
        </w:rPr>
        <w:t>, Kennedy Space Center, National Aeronautics &amp; Space Administration (NASA), KSC, FL. 32899, USA</w:t>
      </w:r>
      <w:r w:rsidR="00691883">
        <w:rPr>
          <w:sz w:val="20"/>
        </w:rPr>
        <w:t xml:space="preserve">, </w:t>
      </w:r>
      <w:r w:rsidR="00C45D07">
        <w:rPr>
          <w:sz w:val="20"/>
        </w:rPr>
        <w:t>e</w:t>
      </w:r>
      <w:r w:rsidR="008319FB" w:rsidRPr="008319FB">
        <w:rPr>
          <w:sz w:val="20"/>
        </w:rPr>
        <w:t>van.a.bell@nasa.gov</w:t>
      </w:r>
      <w:r w:rsidR="008319FB">
        <w:rPr>
          <w:sz w:val="20"/>
        </w:rPr>
        <w:t>,</w:t>
      </w:r>
      <w:r w:rsidR="008319FB" w:rsidRPr="008319FB">
        <w:rPr>
          <w:sz w:val="20"/>
          <w:vertAlign w:val="superscript"/>
        </w:rPr>
        <w:t xml:space="preserve"> </w:t>
      </w:r>
      <w:r w:rsidR="008319FB">
        <w:rPr>
          <w:sz w:val="20"/>
          <w:vertAlign w:val="superscript"/>
        </w:rPr>
        <w:t>2</w:t>
      </w:r>
      <w:r w:rsidR="00181F03">
        <w:rPr>
          <w:sz w:val="20"/>
        </w:rPr>
        <w:t>UB-E</w:t>
      </w:r>
      <w:r w:rsidR="008319FB" w:rsidRPr="0044208D">
        <w:rPr>
          <w:sz w:val="20"/>
        </w:rPr>
        <w:t>, Kennedy Space Center, National Aeronautics &amp; Space Administration (NASA), KSC, FL. 32899, USA</w:t>
      </w:r>
      <w:r w:rsidR="008319FB">
        <w:rPr>
          <w:sz w:val="20"/>
        </w:rPr>
        <w:t xml:space="preserve">, </w:t>
      </w:r>
      <w:r w:rsidR="00C45D07">
        <w:rPr>
          <w:sz w:val="20"/>
        </w:rPr>
        <w:t>n</w:t>
      </w:r>
      <w:r w:rsidR="00C45D07" w:rsidRPr="00C45D07">
        <w:rPr>
          <w:sz w:val="20"/>
        </w:rPr>
        <w:t>athan.j.gelino@nasa.gov</w:t>
      </w:r>
      <w:r w:rsidR="00C45D07">
        <w:rPr>
          <w:sz w:val="20"/>
        </w:rPr>
        <w:t xml:space="preserve">, </w:t>
      </w:r>
      <w:r w:rsidR="00C45D07">
        <w:rPr>
          <w:sz w:val="20"/>
          <w:vertAlign w:val="superscript"/>
        </w:rPr>
        <w:t>3</w:t>
      </w:r>
      <w:r w:rsidR="00181F03">
        <w:rPr>
          <w:sz w:val="20"/>
        </w:rPr>
        <w:t>NE-L6</w:t>
      </w:r>
      <w:r w:rsidR="00C45D07" w:rsidRPr="0044208D">
        <w:rPr>
          <w:sz w:val="20"/>
        </w:rPr>
        <w:t>, Kennedy Space Center, National Aeronautics &amp; Space Administration (NASA), KSC, FL. 32899, USA</w:t>
      </w:r>
      <w:r w:rsidR="00C45D07">
        <w:rPr>
          <w:sz w:val="20"/>
        </w:rPr>
        <w:t xml:space="preserve">, </w:t>
      </w:r>
      <w:r w:rsidR="00C45D07" w:rsidRPr="00C45D07">
        <w:rPr>
          <w:sz w:val="20"/>
        </w:rPr>
        <w:t>marco.a.gudino@nasa.gov</w:t>
      </w:r>
      <w:r w:rsidR="00C45D07">
        <w:rPr>
          <w:sz w:val="20"/>
        </w:rPr>
        <w:t xml:space="preserve">, </w:t>
      </w:r>
      <w:r w:rsidR="00C45D07">
        <w:rPr>
          <w:sz w:val="20"/>
          <w:vertAlign w:val="superscript"/>
        </w:rPr>
        <w:t>4</w:t>
      </w:r>
      <w:r w:rsidR="00181F03">
        <w:rPr>
          <w:sz w:val="20"/>
        </w:rPr>
        <w:t>NE-L6</w:t>
      </w:r>
      <w:r w:rsidR="00C45D07">
        <w:rPr>
          <w:sz w:val="20"/>
        </w:rPr>
        <w:t>, Kennedy Space Center, National Aeronautics &amp; Space Administration (NASA), KSC, FL. 32899, USA, Benjamin.h.burdess@nasa.gov.</w:t>
      </w:r>
    </w:p>
    <w:p w14:paraId="4B652B8E" w14:textId="77777777" w:rsidR="00691883" w:rsidRDefault="00691883">
      <w:pPr>
        <w:spacing w:line="240" w:lineRule="atLeast"/>
        <w:ind w:firstLine="288"/>
        <w:jc w:val="both"/>
        <w:rPr>
          <w:sz w:val="20"/>
        </w:rPr>
      </w:pPr>
    </w:p>
    <w:p w14:paraId="0344CD77" w14:textId="77777777" w:rsidR="00691883" w:rsidRDefault="00691883" w:rsidP="00750699">
      <w:pPr>
        <w:spacing w:line="240" w:lineRule="atLeast"/>
        <w:jc w:val="both"/>
        <w:rPr>
          <w:sz w:val="20"/>
        </w:rPr>
        <w:sectPr w:rsidR="00691883">
          <w:headerReference w:type="even" r:id="rId10"/>
          <w:footerReference w:type="even" r:id="rId11"/>
          <w:pgSz w:w="12240" w:h="15840"/>
          <w:pgMar w:top="1440" w:right="1440" w:bottom="1440" w:left="1440" w:header="720" w:footer="720" w:gutter="0"/>
          <w:cols w:space="720"/>
        </w:sectPr>
      </w:pPr>
    </w:p>
    <w:p w14:paraId="018B10C5" w14:textId="604A2412" w:rsidR="00691883" w:rsidRDefault="00C45D07" w:rsidP="00C45D07">
      <w:pPr>
        <w:spacing w:line="240" w:lineRule="atLeast"/>
        <w:ind w:firstLine="288"/>
        <w:jc w:val="both"/>
        <w:rPr>
          <w:sz w:val="20"/>
        </w:rPr>
      </w:pPr>
      <w:r w:rsidRPr="00C45D07">
        <w:rPr>
          <w:sz w:val="20"/>
        </w:rPr>
        <w:t xml:space="preserve">The Artemis Program seeks to establish a sustained lunar presence and robust economy driven by resources available on the Moon and enabled by supporting infrastructure. This will require robotic manipulation of tens of thousands of metric tons of regolith. </w:t>
      </w:r>
      <w:r>
        <w:rPr>
          <w:sz w:val="20"/>
        </w:rPr>
        <w:t>Excavation and site preparation</w:t>
      </w:r>
      <w:r w:rsidRPr="00C45D07">
        <w:rPr>
          <w:sz w:val="20"/>
        </w:rPr>
        <w:t xml:space="preserve"> tasks in the unforgiving lunar environment will inevitably lead to component wear and necessitate periodic maintenance and repair. System modularity and standard interfaces are key components of enabling robotic repair and maintenance.</w:t>
      </w:r>
    </w:p>
    <w:p w14:paraId="4F0F146F" w14:textId="66F1A5A6" w:rsidR="003934AE" w:rsidRDefault="00C45D07" w:rsidP="00C45D07">
      <w:pPr>
        <w:spacing w:line="240" w:lineRule="atLeast"/>
        <w:ind w:firstLine="288"/>
        <w:jc w:val="both"/>
        <w:rPr>
          <w:sz w:val="20"/>
        </w:rPr>
      </w:pPr>
      <w:r>
        <w:rPr>
          <w:sz w:val="20"/>
        </w:rPr>
        <w:t>The Modular Interface for CLPS</w:t>
      </w:r>
      <w:r w:rsidR="00B9461F">
        <w:rPr>
          <w:sz w:val="20"/>
        </w:rPr>
        <w:t xml:space="preserve"> (Commercial Lunar Payloads Services) </w:t>
      </w:r>
      <w:r>
        <w:rPr>
          <w:sz w:val="20"/>
        </w:rPr>
        <w:t xml:space="preserve">-scale Excavators (MICE) project </w:t>
      </w:r>
      <w:r w:rsidR="00DA1355">
        <w:rPr>
          <w:sz w:val="20"/>
        </w:rPr>
        <w:t>is a funded fiscal year 2024 Internal Research and Development (IRAD) project at NASA KSC. The MICE project seeks to test concepts for modular reconfiguration of a CLPS-scale excavation and site preparation rover. These concepts, henceforth referred to as Modular Disconnect Systems (MDS), allow a mobility platform to interface with regolith manipulation impl</w:t>
      </w:r>
      <w:r w:rsidR="000B6EDA">
        <w:rPr>
          <w:sz w:val="20"/>
        </w:rPr>
        <w:t>e</w:t>
      </w:r>
      <w:r w:rsidR="00DA1355">
        <w:rPr>
          <w:sz w:val="20"/>
        </w:rPr>
        <w:t>ments such as a bucket drum excavator or compactor. The MDS concepts allow the mobility platform to det</w:t>
      </w:r>
      <w:r w:rsidR="000B6EDA">
        <w:rPr>
          <w:sz w:val="20"/>
        </w:rPr>
        <w:t>e</w:t>
      </w:r>
      <w:r w:rsidR="00DA1355">
        <w:rPr>
          <w:sz w:val="20"/>
        </w:rPr>
        <w:t>ct one implement and swap to another implement in-situ.</w:t>
      </w:r>
      <w:r w:rsidR="00E651D1">
        <w:rPr>
          <w:sz w:val="20"/>
        </w:rPr>
        <w:t xml:space="preserve"> </w:t>
      </w:r>
      <w:r w:rsidR="003934AE">
        <w:rPr>
          <w:sz w:val="20"/>
        </w:rPr>
        <w:t>Power and communications is fed through a dust-tolerant electrical connection on the MDS to the implement’s actuator(s) and sensors.</w:t>
      </w:r>
    </w:p>
    <w:p w14:paraId="108FC003" w14:textId="43927A6A" w:rsidR="00E651D1" w:rsidRDefault="00E651D1" w:rsidP="00C45D07">
      <w:pPr>
        <w:spacing w:line="240" w:lineRule="atLeast"/>
        <w:ind w:firstLine="288"/>
        <w:jc w:val="both"/>
        <w:rPr>
          <w:sz w:val="20"/>
        </w:rPr>
      </w:pPr>
      <w:r>
        <w:rPr>
          <w:sz w:val="20"/>
        </w:rPr>
        <w:fldChar w:fldCharType="begin"/>
      </w:r>
      <w:r>
        <w:rPr>
          <w:sz w:val="20"/>
        </w:rPr>
        <w:instrText xml:space="preserve"> REF _Ref161130337 \h </w:instrText>
      </w:r>
      <w:r>
        <w:rPr>
          <w:sz w:val="20"/>
        </w:rPr>
      </w:r>
      <w:r>
        <w:rPr>
          <w:sz w:val="20"/>
        </w:rPr>
        <w:fldChar w:fldCharType="separate"/>
      </w:r>
      <w:r w:rsidR="002F3BB1">
        <w:t xml:space="preserve">Figure </w:t>
      </w:r>
      <w:r w:rsidR="002F3BB1">
        <w:rPr>
          <w:noProof/>
        </w:rPr>
        <w:t>1</w:t>
      </w:r>
      <w:r>
        <w:rPr>
          <w:sz w:val="20"/>
        </w:rPr>
        <w:fldChar w:fldCharType="end"/>
      </w:r>
      <w:r>
        <w:rPr>
          <w:sz w:val="20"/>
        </w:rPr>
        <w:t xml:space="preserve"> shows an example of a terrestrial MDS system. One mobility platform is able to utilize an array of implements via reconfiguration in-situ.</w:t>
      </w:r>
      <w:r w:rsidR="00DA1355">
        <w:rPr>
          <w:sz w:val="20"/>
        </w:rPr>
        <w:t xml:space="preserve"> </w:t>
      </w:r>
      <w:r>
        <w:rPr>
          <w:sz w:val="20"/>
        </w:rPr>
        <w:fldChar w:fldCharType="begin"/>
      </w:r>
      <w:r>
        <w:rPr>
          <w:sz w:val="20"/>
        </w:rPr>
        <w:instrText xml:space="preserve"> REF _Ref161130216 \h </w:instrText>
      </w:r>
      <w:r>
        <w:rPr>
          <w:sz w:val="20"/>
        </w:rPr>
      </w:r>
      <w:r>
        <w:rPr>
          <w:sz w:val="20"/>
        </w:rPr>
        <w:fldChar w:fldCharType="separate"/>
      </w:r>
      <w:r w:rsidR="002F3BB1">
        <w:t xml:space="preserve">Figure </w:t>
      </w:r>
      <w:r w:rsidR="002F3BB1">
        <w:rPr>
          <w:noProof/>
        </w:rPr>
        <w:t>2</w:t>
      </w:r>
      <w:r>
        <w:rPr>
          <w:sz w:val="20"/>
        </w:rPr>
        <w:fldChar w:fldCharType="end"/>
      </w:r>
      <w:r>
        <w:rPr>
          <w:sz w:val="20"/>
        </w:rPr>
        <w:t xml:space="preserve"> </w:t>
      </w:r>
      <w:r w:rsidR="003934AE">
        <w:rPr>
          <w:sz w:val="20"/>
        </w:rPr>
        <w:t>shows a block diagram with the Clearpath Husky mobility platform that is being used on MICE to demonstrate the MDS concepts in ambient conditions</w:t>
      </w:r>
      <w:r>
        <w:rPr>
          <w:sz w:val="20"/>
        </w:rPr>
        <w:t xml:space="preserve">. </w:t>
      </w:r>
    </w:p>
    <w:p w14:paraId="75C5E3B7" w14:textId="77777777" w:rsidR="00E651D1" w:rsidRDefault="00E651D1" w:rsidP="00E651D1">
      <w:pPr>
        <w:spacing w:line="240" w:lineRule="atLeast"/>
        <w:jc w:val="both"/>
        <w:rPr>
          <w:sz w:val="20"/>
        </w:rPr>
      </w:pPr>
    </w:p>
    <w:p w14:paraId="43BDDF43" w14:textId="1A92C1FD" w:rsidR="00E651D1" w:rsidRDefault="00375248" w:rsidP="004C3E8E">
      <w:pPr>
        <w:keepNext/>
        <w:spacing w:line="240" w:lineRule="atLeast"/>
        <w:jc w:val="center"/>
      </w:pPr>
      <w:r>
        <w:rPr>
          <w:noProof/>
        </w:rPr>
        <w:drawing>
          <wp:inline distT="0" distB="0" distL="0" distR="0" wp14:anchorId="59EB0637" wp14:editId="5E88F634">
            <wp:extent cx="2003762" cy="1272209"/>
            <wp:effectExtent l="0" t="0" r="0" b="4445"/>
            <wp:docPr id="1"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1914" cy="1290083"/>
                    </a:xfrm>
                    <a:prstGeom prst="rect">
                      <a:avLst/>
                    </a:prstGeom>
                    <a:noFill/>
                    <a:ln>
                      <a:noFill/>
                    </a:ln>
                  </pic:spPr>
                </pic:pic>
              </a:graphicData>
            </a:graphic>
          </wp:inline>
        </w:drawing>
      </w:r>
    </w:p>
    <w:p w14:paraId="662AE9E0" w14:textId="66F6B762" w:rsidR="00E651D1" w:rsidRDefault="00E651D1" w:rsidP="00E651D1">
      <w:pPr>
        <w:pStyle w:val="Caption"/>
        <w:jc w:val="both"/>
      </w:pPr>
      <w:bookmarkStart w:id="0" w:name="_Ref161130337"/>
      <w:r>
        <w:t xml:space="preserve">Figure </w:t>
      </w:r>
      <w:r w:rsidR="00E03D24">
        <w:fldChar w:fldCharType="begin"/>
      </w:r>
      <w:r w:rsidR="00E03D24">
        <w:instrText xml:space="preserve"> SEQ Figure \* ARABIC </w:instrText>
      </w:r>
      <w:r w:rsidR="00E03D24">
        <w:fldChar w:fldCharType="separate"/>
      </w:r>
      <w:r w:rsidR="002F3BB1">
        <w:rPr>
          <w:noProof/>
        </w:rPr>
        <w:t>1</w:t>
      </w:r>
      <w:r w:rsidR="00E03D24">
        <w:rPr>
          <w:noProof/>
        </w:rPr>
        <w:fldChar w:fldCharType="end"/>
      </w:r>
      <w:bookmarkEnd w:id="0"/>
      <w:r>
        <w:t>. Terrestrial example of a modular disconnect system that allows the exchange of impl</w:t>
      </w:r>
      <w:r w:rsidR="000B6EDA">
        <w:t>e</w:t>
      </w:r>
      <w:r>
        <w:t>ments for a sin</w:t>
      </w:r>
      <w:r w:rsidR="000B6EDA">
        <w:t>g</w:t>
      </w:r>
      <w:r>
        <w:t>le mobility platform in-situ.</w:t>
      </w:r>
      <w:r w:rsidR="005577BE">
        <w:t xml:space="preserve"> </w:t>
      </w:r>
      <w:r w:rsidR="005577BE">
        <w:rPr>
          <w:noProof/>
        </w:rPr>
        <w:t>[1]</w:t>
      </w:r>
    </w:p>
    <w:p w14:paraId="175B1CBB" w14:textId="77777777" w:rsidR="003934AE" w:rsidRPr="003934AE" w:rsidRDefault="003934AE" w:rsidP="003934AE"/>
    <w:p w14:paraId="1D69EA0F" w14:textId="77777777" w:rsidR="00DA1355" w:rsidRDefault="00DA1355" w:rsidP="00E651D1">
      <w:pPr>
        <w:spacing w:line="240" w:lineRule="atLeast"/>
        <w:jc w:val="both"/>
        <w:rPr>
          <w:sz w:val="20"/>
        </w:rPr>
      </w:pPr>
    </w:p>
    <w:p w14:paraId="0344F6CD" w14:textId="202C435C" w:rsidR="00E651D1" w:rsidRDefault="00C62327" w:rsidP="00E651D1">
      <w:pPr>
        <w:keepNext/>
        <w:spacing w:line="240" w:lineRule="atLeast"/>
      </w:pPr>
      <w:r w:rsidRPr="00265CEA">
        <w:rPr>
          <w:noProof/>
        </w:rPr>
        <w:drawing>
          <wp:inline distT="0" distB="0" distL="0" distR="0" wp14:anchorId="7C04578B" wp14:editId="5C7218BF">
            <wp:extent cx="2819400" cy="1631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9400" cy="1631950"/>
                    </a:xfrm>
                    <a:prstGeom prst="rect">
                      <a:avLst/>
                    </a:prstGeom>
                    <a:noFill/>
                    <a:ln>
                      <a:noFill/>
                    </a:ln>
                  </pic:spPr>
                </pic:pic>
              </a:graphicData>
            </a:graphic>
          </wp:inline>
        </w:drawing>
      </w:r>
    </w:p>
    <w:p w14:paraId="07BCD68A" w14:textId="7F38613A" w:rsidR="00E651D1" w:rsidRDefault="00E651D1" w:rsidP="00E651D1">
      <w:pPr>
        <w:pStyle w:val="Caption"/>
        <w:jc w:val="center"/>
      </w:pPr>
      <w:bookmarkStart w:id="1" w:name="_Ref161130216"/>
      <w:r>
        <w:t xml:space="preserve">Figure </w:t>
      </w:r>
      <w:r w:rsidR="00E03D24">
        <w:fldChar w:fldCharType="begin"/>
      </w:r>
      <w:r w:rsidR="00E03D24">
        <w:instrText xml:space="preserve"> SEQ Figure \* ARABIC </w:instrText>
      </w:r>
      <w:r w:rsidR="00E03D24">
        <w:fldChar w:fldCharType="separate"/>
      </w:r>
      <w:r w:rsidR="002F3BB1">
        <w:rPr>
          <w:noProof/>
        </w:rPr>
        <w:t>2</w:t>
      </w:r>
      <w:r w:rsidR="00E03D24">
        <w:rPr>
          <w:noProof/>
        </w:rPr>
        <w:fldChar w:fldCharType="end"/>
      </w:r>
      <w:bookmarkEnd w:id="1"/>
      <w:r>
        <w:t>. MDS concept block diagram.</w:t>
      </w:r>
    </w:p>
    <w:p w14:paraId="727F2B39" w14:textId="77777777" w:rsidR="00E651D1" w:rsidRPr="00E651D1" w:rsidRDefault="00E651D1" w:rsidP="00E651D1"/>
    <w:p w14:paraId="13AA184B" w14:textId="50814345" w:rsidR="00C45D07" w:rsidRDefault="00DA1355" w:rsidP="00C45D07">
      <w:pPr>
        <w:spacing w:line="240" w:lineRule="atLeast"/>
        <w:ind w:firstLine="288"/>
        <w:jc w:val="both"/>
        <w:rPr>
          <w:sz w:val="20"/>
        </w:rPr>
      </w:pPr>
      <w:r>
        <w:rPr>
          <w:sz w:val="20"/>
        </w:rPr>
        <w:t xml:space="preserve">The MDS concepts are being tested at a Technology Readiness Level of 3 to 4. These </w:t>
      </w:r>
      <w:proofErr w:type="spellStart"/>
      <w:r>
        <w:rPr>
          <w:sz w:val="20"/>
        </w:rPr>
        <w:t>conecpts</w:t>
      </w:r>
      <w:proofErr w:type="spellEnd"/>
      <w:r>
        <w:rPr>
          <w:sz w:val="20"/>
        </w:rPr>
        <w:t xml:space="preserve"> will be tested and reviewed for their dust tolerance, misalignment tolerance, and the robustness of the connection structurally. Testing will occur at ambient</w:t>
      </w:r>
      <w:r w:rsidR="007222F0">
        <w:rPr>
          <w:sz w:val="20"/>
        </w:rPr>
        <w:t xml:space="preserve"> conditions on the Husky mobility platform in April to May. In July to August the MDS concepts will be tested in dusty vacuum conditions and perform a mate/</w:t>
      </w:r>
      <w:proofErr w:type="spellStart"/>
      <w:r w:rsidR="007222F0">
        <w:rPr>
          <w:sz w:val="20"/>
        </w:rPr>
        <w:t>demate</w:t>
      </w:r>
      <w:proofErr w:type="spellEnd"/>
      <w:r w:rsidR="007222F0">
        <w:rPr>
          <w:sz w:val="20"/>
        </w:rPr>
        <w:t xml:space="preserve"> test using a vacuum rated 3-dof gantry system</w:t>
      </w:r>
      <w:r w:rsidR="005577BE">
        <w:rPr>
          <w:sz w:val="20"/>
        </w:rPr>
        <w:t xml:space="preserve"> [2] </w:t>
      </w:r>
      <w:r w:rsidR="007222F0">
        <w:rPr>
          <w:sz w:val="20"/>
        </w:rPr>
        <w:t>as a simulated mobility platform.</w:t>
      </w:r>
    </w:p>
    <w:p w14:paraId="7EAF11D8" w14:textId="30F6E4C2" w:rsidR="008B06D1" w:rsidRDefault="00B80E5B" w:rsidP="008B06D1">
      <w:pPr>
        <w:spacing w:line="240" w:lineRule="atLeast"/>
        <w:ind w:firstLine="288"/>
        <w:jc w:val="both"/>
        <w:rPr>
          <w:sz w:val="20"/>
        </w:rPr>
      </w:pPr>
      <w:r>
        <w:rPr>
          <w:sz w:val="20"/>
        </w:rPr>
        <w:t>The lessons learned and MDS concepts developed as part of MICE will be leveraged on future NASA modularity projects in</w:t>
      </w:r>
      <w:r w:rsidR="00392A31">
        <w:rPr>
          <w:sz w:val="20"/>
        </w:rPr>
        <w:t xml:space="preserve"> the Kenney Space Center</w:t>
      </w:r>
      <w:r>
        <w:rPr>
          <w:sz w:val="20"/>
        </w:rPr>
        <w:t xml:space="preserve"> Swamp Works. MDS concepts and current MICE results will be shared for industry feedback at Space Resources Roundtable 2024.</w:t>
      </w:r>
      <w:r w:rsidR="005577BE">
        <w:rPr>
          <w:sz w:val="20"/>
        </w:rPr>
        <w:t xml:space="preserve"> </w:t>
      </w:r>
    </w:p>
    <w:p w14:paraId="4546C067" w14:textId="0220A974" w:rsidR="005577BE" w:rsidRPr="008B06D1" w:rsidRDefault="008B06D1" w:rsidP="000C0419">
      <w:pPr>
        <w:spacing w:line="240" w:lineRule="atLeast"/>
        <w:ind w:firstLine="288"/>
        <w:jc w:val="both"/>
        <w:rPr>
          <w:iCs/>
          <w:sz w:val="20"/>
        </w:rPr>
      </w:pPr>
      <w:r>
        <w:rPr>
          <w:sz w:val="20"/>
        </w:rPr>
        <w:t>[1]</w:t>
      </w:r>
      <w:r w:rsidR="00470543">
        <w:rPr>
          <w:sz w:val="20"/>
        </w:rPr>
        <w:t>“</w:t>
      </w:r>
      <w:r w:rsidR="002048C6">
        <w:rPr>
          <w:sz w:val="20"/>
        </w:rPr>
        <w:t xml:space="preserve">Skid-steers with different </w:t>
      </w:r>
      <w:proofErr w:type="spellStart"/>
      <w:r w:rsidR="002048C6">
        <w:rPr>
          <w:sz w:val="20"/>
        </w:rPr>
        <w:t>attachements</w:t>
      </w:r>
      <w:proofErr w:type="spellEnd"/>
      <w:r w:rsidR="00470543">
        <w:rPr>
          <w:sz w:val="20"/>
        </w:rPr>
        <w:t>,”</w:t>
      </w:r>
      <w:r w:rsidR="008456E8">
        <w:rPr>
          <w:sz w:val="20"/>
        </w:rPr>
        <w:t xml:space="preserve"> (Accessed 2024) </w:t>
      </w:r>
      <w:r w:rsidR="002048C6" w:rsidRPr="002048C6">
        <w:rPr>
          <w:sz w:val="20"/>
        </w:rPr>
        <w:t>https://en.wikipedia.org/wiki/Bobcat_Company</w:t>
      </w:r>
      <w:r w:rsidR="00E60970">
        <w:rPr>
          <w:sz w:val="20"/>
        </w:rPr>
        <w:t xml:space="preserve"> [2]</w:t>
      </w:r>
      <w:r>
        <w:rPr>
          <w:sz w:val="20"/>
        </w:rPr>
        <w:t xml:space="preserve"> </w:t>
      </w:r>
      <w:r w:rsidR="00E60970">
        <w:rPr>
          <w:sz w:val="20"/>
        </w:rPr>
        <w:t>Gelino</w:t>
      </w:r>
      <w:r w:rsidR="00590550">
        <w:rPr>
          <w:sz w:val="20"/>
        </w:rPr>
        <w:t xml:space="preserve"> N. J. and Bell E. A (2023) </w:t>
      </w:r>
      <w:r w:rsidR="00631A99">
        <w:rPr>
          <w:i/>
          <w:sz w:val="20"/>
        </w:rPr>
        <w:t>AIAA ASCEND</w:t>
      </w:r>
      <w:r w:rsidR="00590550">
        <w:rPr>
          <w:i/>
          <w:sz w:val="20"/>
        </w:rPr>
        <w:t xml:space="preserve">, </w:t>
      </w:r>
      <w:r w:rsidR="009271D1">
        <w:rPr>
          <w:iCs/>
          <w:sz w:val="20"/>
        </w:rPr>
        <w:t>2023-4796.</w:t>
      </w:r>
    </w:p>
    <w:sectPr w:rsidR="005577BE" w:rsidRPr="008B06D1">
      <w:type w:val="continuous"/>
      <w:pgSz w:w="12240" w:h="15840"/>
      <w:pgMar w:top="1440" w:right="1440" w:bottom="1440" w:left="1440"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AF299" w14:textId="77777777" w:rsidR="00C347BA" w:rsidRDefault="00C347BA">
      <w:r>
        <w:separator/>
      </w:r>
    </w:p>
  </w:endnote>
  <w:endnote w:type="continuationSeparator" w:id="0">
    <w:p w14:paraId="47023D4C" w14:textId="77777777" w:rsidR="00C347BA" w:rsidRDefault="00C3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8225" w14:textId="77777777" w:rsidR="00691883" w:rsidRDefault="0069188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4927C" w14:textId="77777777" w:rsidR="00C347BA" w:rsidRDefault="00C347BA">
      <w:r>
        <w:separator/>
      </w:r>
    </w:p>
  </w:footnote>
  <w:footnote w:type="continuationSeparator" w:id="0">
    <w:p w14:paraId="26B68512" w14:textId="77777777" w:rsidR="00C347BA" w:rsidRDefault="00C34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DE89" w14:textId="77777777" w:rsidR="00691883" w:rsidRDefault="00691883">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autoHyphenation/>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B6D"/>
    <w:rsid w:val="00057C3B"/>
    <w:rsid w:val="000B6EDA"/>
    <w:rsid w:val="000C0419"/>
    <w:rsid w:val="00181F03"/>
    <w:rsid w:val="002048C6"/>
    <w:rsid w:val="00224F06"/>
    <w:rsid w:val="00247D62"/>
    <w:rsid w:val="0029209E"/>
    <w:rsid w:val="002A2ED5"/>
    <w:rsid w:val="002F3BB1"/>
    <w:rsid w:val="00342511"/>
    <w:rsid w:val="00375248"/>
    <w:rsid w:val="00392A31"/>
    <w:rsid w:val="003934AE"/>
    <w:rsid w:val="003C16AC"/>
    <w:rsid w:val="003E0B23"/>
    <w:rsid w:val="0044208D"/>
    <w:rsid w:val="00446A25"/>
    <w:rsid w:val="00470543"/>
    <w:rsid w:val="004A0054"/>
    <w:rsid w:val="004C3E8E"/>
    <w:rsid w:val="00550C58"/>
    <w:rsid w:val="005577BE"/>
    <w:rsid w:val="00564FB1"/>
    <w:rsid w:val="00590550"/>
    <w:rsid w:val="005A7C55"/>
    <w:rsid w:val="00631A99"/>
    <w:rsid w:val="00691883"/>
    <w:rsid w:val="006B226F"/>
    <w:rsid w:val="007222F0"/>
    <w:rsid w:val="00736EE7"/>
    <w:rsid w:val="00750699"/>
    <w:rsid w:val="00777B6D"/>
    <w:rsid w:val="008319FB"/>
    <w:rsid w:val="008456E8"/>
    <w:rsid w:val="008A4E71"/>
    <w:rsid w:val="008B06D1"/>
    <w:rsid w:val="009271D1"/>
    <w:rsid w:val="00B05D08"/>
    <w:rsid w:val="00B80E5B"/>
    <w:rsid w:val="00B9461F"/>
    <w:rsid w:val="00BC622A"/>
    <w:rsid w:val="00BC6465"/>
    <w:rsid w:val="00C347BA"/>
    <w:rsid w:val="00C45D07"/>
    <w:rsid w:val="00C62327"/>
    <w:rsid w:val="00C70CC4"/>
    <w:rsid w:val="00DA1355"/>
    <w:rsid w:val="00DC509F"/>
    <w:rsid w:val="00E03D24"/>
    <w:rsid w:val="00E60970"/>
    <w:rsid w:val="00E651D1"/>
    <w:rsid w:val="00ED6F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AF8633"/>
  <w15:chartTrackingRefBased/>
  <w15:docId w15:val="{3799F1C9-68DE-4512-AC8E-B5FD06DE0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18"/>
    </w:rPr>
  </w:style>
  <w:style w:type="paragraph" w:styleId="Heading1">
    <w:name w:val="heading 1"/>
    <w:basedOn w:val="Normal"/>
    <w:next w:val="Normal"/>
    <w:link w:val="Heading1Char"/>
    <w:uiPriority w:val="9"/>
    <w:qFormat/>
    <w:rsid w:val="005577BE"/>
    <w:pPr>
      <w:keepNext/>
      <w:keepLines/>
      <w:spacing w:before="240" w:line="259" w:lineRule="auto"/>
      <w:outlineLvl w:val="0"/>
    </w:pPr>
    <w:rPr>
      <w:rFonts w:ascii="Calibri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rsid w:val="008319FB"/>
    <w:rPr>
      <w:color w:val="0563C1"/>
      <w:u w:val="single"/>
    </w:rPr>
  </w:style>
  <w:style w:type="character" w:styleId="UnresolvedMention">
    <w:name w:val="Unresolved Mention"/>
    <w:uiPriority w:val="99"/>
    <w:semiHidden/>
    <w:unhideWhenUsed/>
    <w:rsid w:val="008319FB"/>
    <w:rPr>
      <w:color w:val="605E5C"/>
      <w:shd w:val="clear" w:color="auto" w:fill="E1DFDD"/>
    </w:rPr>
  </w:style>
  <w:style w:type="paragraph" w:styleId="Caption">
    <w:name w:val="caption"/>
    <w:basedOn w:val="Normal"/>
    <w:next w:val="Normal"/>
    <w:unhideWhenUsed/>
    <w:qFormat/>
    <w:rsid w:val="00DA1355"/>
    <w:rPr>
      <w:b/>
      <w:bCs/>
      <w:sz w:val="20"/>
    </w:rPr>
  </w:style>
  <w:style w:type="paragraph" w:styleId="EndnoteText">
    <w:name w:val="endnote text"/>
    <w:basedOn w:val="Normal"/>
    <w:link w:val="EndnoteTextChar"/>
    <w:rsid w:val="005577BE"/>
    <w:rPr>
      <w:sz w:val="20"/>
    </w:rPr>
  </w:style>
  <w:style w:type="character" w:customStyle="1" w:styleId="EndnoteTextChar">
    <w:name w:val="Endnote Text Char"/>
    <w:basedOn w:val="DefaultParagraphFont"/>
    <w:link w:val="EndnoteText"/>
    <w:rsid w:val="005577BE"/>
  </w:style>
  <w:style w:type="character" w:styleId="EndnoteReference">
    <w:name w:val="endnote reference"/>
    <w:rsid w:val="005577BE"/>
    <w:rPr>
      <w:vertAlign w:val="superscript"/>
    </w:rPr>
  </w:style>
  <w:style w:type="character" w:customStyle="1" w:styleId="Heading1Char">
    <w:name w:val="Heading 1 Char"/>
    <w:link w:val="Heading1"/>
    <w:uiPriority w:val="9"/>
    <w:rsid w:val="005577BE"/>
    <w:rPr>
      <w:rFonts w:ascii="Calibri Light" w:hAnsi="Calibri Light"/>
      <w:color w:val="2F5496"/>
      <w:sz w:val="32"/>
      <w:szCs w:val="32"/>
    </w:rPr>
  </w:style>
  <w:style w:type="paragraph" w:styleId="Bibliography">
    <w:name w:val="Bibliography"/>
    <w:basedOn w:val="Normal"/>
    <w:next w:val="Normal"/>
    <w:uiPriority w:val="70"/>
    <w:rsid w:val="005577BE"/>
  </w:style>
  <w:style w:type="paragraph" w:styleId="Revision">
    <w:name w:val="Revision"/>
    <w:hidden/>
    <w:uiPriority w:val="71"/>
    <w:rsid w:val="000B6EDA"/>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3591">
      <w:bodyDiv w:val="1"/>
      <w:marLeft w:val="0"/>
      <w:marRight w:val="0"/>
      <w:marTop w:val="0"/>
      <w:marBottom w:val="0"/>
      <w:divBdr>
        <w:top w:val="none" w:sz="0" w:space="0" w:color="auto"/>
        <w:left w:val="none" w:sz="0" w:space="0" w:color="auto"/>
        <w:bottom w:val="none" w:sz="0" w:space="0" w:color="auto"/>
        <w:right w:val="none" w:sz="0" w:space="0" w:color="auto"/>
      </w:divBdr>
    </w:div>
    <w:div w:id="622923086">
      <w:bodyDiv w:val="1"/>
      <w:marLeft w:val="0"/>
      <w:marRight w:val="0"/>
      <w:marTop w:val="0"/>
      <w:marBottom w:val="0"/>
      <w:divBdr>
        <w:top w:val="none" w:sz="0" w:space="0" w:color="auto"/>
        <w:left w:val="none" w:sz="0" w:space="0" w:color="auto"/>
        <w:bottom w:val="none" w:sz="0" w:space="0" w:color="auto"/>
        <w:right w:val="none" w:sz="0" w:space="0" w:color="auto"/>
      </w:divBdr>
    </w:div>
    <w:div w:id="981037321">
      <w:bodyDiv w:val="1"/>
      <w:marLeft w:val="0"/>
      <w:marRight w:val="0"/>
      <w:marTop w:val="0"/>
      <w:marBottom w:val="0"/>
      <w:divBdr>
        <w:top w:val="none" w:sz="0" w:space="0" w:color="auto"/>
        <w:left w:val="none" w:sz="0" w:space="0" w:color="auto"/>
        <w:bottom w:val="none" w:sz="0" w:space="0" w:color="auto"/>
        <w:right w:val="none" w:sz="0" w:space="0" w:color="auto"/>
      </w:divBdr>
    </w:div>
    <w:div w:id="1183667778">
      <w:bodyDiv w:val="1"/>
      <w:marLeft w:val="0"/>
      <w:marRight w:val="0"/>
      <w:marTop w:val="0"/>
      <w:marBottom w:val="0"/>
      <w:divBdr>
        <w:top w:val="none" w:sz="0" w:space="0" w:color="auto"/>
        <w:left w:val="none" w:sz="0" w:space="0" w:color="auto"/>
        <w:bottom w:val="none" w:sz="0" w:space="0" w:color="auto"/>
        <w:right w:val="none" w:sz="0" w:space="0" w:color="auto"/>
      </w:divBdr>
    </w:div>
    <w:div w:id="1628075696">
      <w:bodyDiv w:val="1"/>
      <w:marLeft w:val="0"/>
      <w:marRight w:val="0"/>
      <w:marTop w:val="0"/>
      <w:marBottom w:val="0"/>
      <w:divBdr>
        <w:top w:val="none" w:sz="0" w:space="0" w:color="auto"/>
        <w:left w:val="none" w:sz="0" w:space="0" w:color="auto"/>
        <w:bottom w:val="none" w:sz="0" w:space="0" w:color="auto"/>
        <w:right w:val="none" w:sz="0" w:space="0" w:color="auto"/>
      </w:divBdr>
    </w:div>
    <w:div w:id="1722706090">
      <w:bodyDiv w:val="1"/>
      <w:marLeft w:val="0"/>
      <w:marRight w:val="0"/>
      <w:marTop w:val="0"/>
      <w:marBottom w:val="0"/>
      <w:divBdr>
        <w:top w:val="none" w:sz="0" w:space="0" w:color="auto"/>
        <w:left w:val="none" w:sz="0" w:space="0" w:color="auto"/>
        <w:bottom w:val="none" w:sz="0" w:space="0" w:color="auto"/>
        <w:right w:val="none" w:sz="0" w:space="0" w:color="auto"/>
      </w:divBdr>
    </w:div>
    <w:div w:id="1778986976">
      <w:bodyDiv w:val="1"/>
      <w:marLeft w:val="0"/>
      <w:marRight w:val="0"/>
      <w:marTop w:val="0"/>
      <w:marBottom w:val="0"/>
      <w:divBdr>
        <w:top w:val="none" w:sz="0" w:space="0" w:color="auto"/>
        <w:left w:val="none" w:sz="0" w:space="0" w:color="auto"/>
        <w:bottom w:val="none" w:sz="0" w:space="0" w:color="auto"/>
        <w:right w:val="none" w:sz="0" w:space="0" w:color="auto"/>
      </w:divBdr>
    </w:div>
    <w:div w:id="2069331947">
      <w:bodyDiv w:val="1"/>
      <w:marLeft w:val="0"/>
      <w:marRight w:val="0"/>
      <w:marTop w:val="0"/>
      <w:marBottom w:val="0"/>
      <w:divBdr>
        <w:top w:val="none" w:sz="0" w:space="0" w:color="auto"/>
        <w:left w:val="none" w:sz="0" w:space="0" w:color="auto"/>
        <w:bottom w:val="none" w:sz="0" w:space="0" w:color="auto"/>
        <w:right w:val="none" w:sz="0" w:space="0" w:color="auto"/>
      </w:divBdr>
    </w:div>
    <w:div w:id="210784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3Db24</b:Tag>
    <b:SourceType>InternetSite</b:SourceType>
    <b:Guid>{D729120D-AAAB-4C3A-9257-0D97AF38CC3C}</b:Guid>
    <b:Title>3D-bobcat-s590-compact-wheel-loader-model_D</b:Title>
    <b:ProductionCompany>Yanmar Southern</b:ProductionCompany>
    <b:YearAccessed>2024</b:YearAccessed>
    <b:MonthAccessed>3</b:MonthAccessed>
    <b:DayAccessed>12</b:DayAccessed>
    <b:URL>https://www.yanmarsouthern.com/product/compact-track-loader-attachments/3d-bobcat-s590-compact-wheel-loader-model_d/</b:URL>
    <b:RefOrder>1</b:RefOrder>
  </b:Source>
  <b:Source>
    <b:Tag>NJG23</b:Tag>
    <b:SourceType>ConferenceProceedings</b:SourceType>
    <b:Guid>{CF9DCF75-7B19-4A79-95C3-4DD051CA7953}</b:Guid>
    <b:Title>Development of the Advanced Regolith Ground Operations (ARGO) Test Bed - A Robotic Excavation and Construction Test Facility with Simulated Lunar Environments</b:Title>
    <b:Year>2023</b:Year>
    <b:Author>
      <b:Author>
        <b:NameList>
          <b:Person>
            <b:Last>Gelino</b:Last>
            <b:First>N.</b:First>
            <b:Middle>J.</b:Middle>
          </b:Person>
        </b:NameList>
      </b:Author>
    </b:Author>
    <b:ConferenceName>ASCEND</b:ConferenceName>
    <b:City>Las Vegas, NV</b:City>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c4ae9b0-c9c0-411f-a1e2-e259c3845dce" xsi:nil="true"/>
    <lcf76f155ced4ddcb4097134ff3c332f xmlns="abde2e8f-e594-4bfb-89a3-9fd8568832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C4BF88786B8C439DF9F71A5973EB18" ma:contentTypeVersion="15" ma:contentTypeDescription="Create a new document." ma:contentTypeScope="" ma:versionID="9bd087fec3e3e8f0c26d9dad0407cd9f">
  <xsd:schema xmlns:xsd="http://www.w3.org/2001/XMLSchema" xmlns:xs="http://www.w3.org/2001/XMLSchema" xmlns:p="http://schemas.microsoft.com/office/2006/metadata/properties" xmlns:ns2="abde2e8f-e594-4bfb-89a3-9fd856883274" xmlns:ns3="fc4ae9b0-c9c0-411f-a1e2-e259c3845dce" targetNamespace="http://schemas.microsoft.com/office/2006/metadata/properties" ma:root="true" ma:fieldsID="dfc8a85787ec6e932dadc50b0d1ca9e7" ns2:_="" ns3:_="">
    <xsd:import namespace="abde2e8f-e594-4bfb-89a3-9fd856883274"/>
    <xsd:import namespace="fc4ae9b0-c9c0-411f-a1e2-e259c3845d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e2e8f-e594-4bfb-89a3-9fd856883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4ae9b0-c9c0-411f-a1e2-e259c3845d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c7557c6-bf2f-4747-8758-cc5a8a122c49}" ma:internalName="TaxCatchAll" ma:showField="CatchAllData" ma:web="fc4ae9b0-c9c0-411f-a1e2-e259c3845dc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AC33C-C0A0-41F4-8622-EF7B81B0395B}">
  <ds:schemaRefs>
    <ds:schemaRef ds:uri="http://schemas.openxmlformats.org/officeDocument/2006/bibliography"/>
  </ds:schemaRefs>
</ds:datastoreItem>
</file>

<file path=customXml/itemProps2.xml><?xml version="1.0" encoding="utf-8"?>
<ds:datastoreItem xmlns:ds="http://schemas.openxmlformats.org/officeDocument/2006/customXml" ds:itemID="{F8DA2EDC-CF6B-42B0-B953-7A4772914FC4}">
  <ds:schemaRefs>
    <ds:schemaRef ds:uri="http://schemas.microsoft.com/office/2006/metadata/properties"/>
    <ds:schemaRef ds:uri="http://schemas.microsoft.com/office/infopath/2007/PartnerControls"/>
    <ds:schemaRef ds:uri="fc4ae9b0-c9c0-411f-a1e2-e259c3845dce"/>
    <ds:schemaRef ds:uri="abde2e8f-e594-4bfb-89a3-9fd856883274"/>
  </ds:schemaRefs>
</ds:datastoreItem>
</file>

<file path=customXml/itemProps3.xml><?xml version="1.0" encoding="utf-8"?>
<ds:datastoreItem xmlns:ds="http://schemas.openxmlformats.org/officeDocument/2006/customXml" ds:itemID="{2FDD2A51-D666-49B5-A1E7-B5C21E502BF6}">
  <ds:schemaRefs>
    <ds:schemaRef ds:uri="http://schemas.microsoft.com/sharepoint/v3/contenttype/forms"/>
  </ds:schemaRefs>
</ds:datastoreItem>
</file>

<file path=customXml/itemProps4.xml><?xml version="1.0" encoding="utf-8"?>
<ds:datastoreItem xmlns:ds="http://schemas.openxmlformats.org/officeDocument/2006/customXml" ds:itemID="{DCDEE14E-CF35-4B65-81F3-2BB91D772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e2e8f-e594-4bfb-89a3-9fd856883274"/>
    <ds:schemaRef ds:uri="fc4ae9b0-c9c0-411f-a1e2-e259c3845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1</Pages>
  <Words>503</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cp:lastModifiedBy>Bell, Evan A. (KSC-NEL60)</cp:lastModifiedBy>
  <cp:revision>22</cp:revision>
  <dcterms:created xsi:type="dcterms:W3CDTF">2024-03-12T15:37:00Z</dcterms:created>
  <dcterms:modified xsi:type="dcterms:W3CDTF">2024-03-18T20:59:00Z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0x01010053C4BF88786B8C439DF9F71A5973EB18</vt:lpwstr>
  </property>
</Properties>
</file>