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BDB2" w14:textId="37383AE9" w:rsidR="00C92F6B" w:rsidRDefault="0064401F">
      <w:pPr>
        <w:spacing w:before="80"/>
        <w:ind w:left="100"/>
        <w:jc w:val="center"/>
      </w:pPr>
      <w:r>
        <w:rPr>
          <w:b/>
          <w:sz w:val="20"/>
        </w:rPr>
        <w:t xml:space="preserve">Sample Processing Instrumentation to Enable </w:t>
      </w:r>
      <w:r w:rsidR="00B462A0">
        <w:rPr>
          <w:b/>
          <w:sz w:val="20"/>
        </w:rPr>
        <w:t>Lab-like</w:t>
      </w:r>
      <w:r>
        <w:rPr>
          <w:b/>
          <w:sz w:val="20"/>
        </w:rPr>
        <w:t xml:space="preserve"> Analysis of Lipids</w:t>
      </w:r>
      <w:r w:rsidR="00B462A0">
        <w:rPr>
          <w:b/>
          <w:sz w:val="20"/>
        </w:rPr>
        <w:t>, Hydrocarbons,</w:t>
      </w:r>
      <w:r>
        <w:rPr>
          <w:b/>
          <w:sz w:val="20"/>
        </w:rPr>
        <w:t xml:space="preserve"> and Kerogen </w:t>
      </w:r>
      <w:r w:rsidR="00B462A0" w:rsidRPr="00B462A0">
        <w:rPr>
          <w:b/>
          <w:i/>
          <w:iCs/>
          <w:sz w:val="20"/>
        </w:rPr>
        <w:t xml:space="preserve">in </w:t>
      </w:r>
      <w:proofErr w:type="gramStart"/>
      <w:r w:rsidR="00B462A0" w:rsidRPr="00B462A0">
        <w:rPr>
          <w:b/>
          <w:i/>
          <w:iCs/>
          <w:sz w:val="20"/>
        </w:rPr>
        <w:t>situ</w:t>
      </w:r>
      <w:proofErr w:type="gramEnd"/>
    </w:p>
    <w:p w14:paraId="565A447B" w14:textId="69E55F02" w:rsidR="00C92F6B" w:rsidRDefault="00A75767">
      <w:pPr>
        <w:spacing w:before="80"/>
        <w:ind w:left="100"/>
        <w:jc w:val="center"/>
      </w:pPr>
      <w:r>
        <w:rPr>
          <w:b/>
          <w:sz w:val="20"/>
        </w:rPr>
        <w:br/>
      </w:r>
      <w:r w:rsidR="006A5B58">
        <w:rPr>
          <w:sz w:val="20"/>
        </w:rPr>
        <w:t>Mary Beth Wilhelm</w:t>
      </w:r>
      <w:r>
        <w:rPr>
          <w:position w:val="7"/>
          <w:sz w:val="13"/>
        </w:rPr>
        <w:t>1</w:t>
      </w:r>
      <w:r>
        <w:rPr>
          <w:sz w:val="20"/>
        </w:rPr>
        <w:t xml:space="preserve">, </w:t>
      </w:r>
      <w:r w:rsidR="006A5B58">
        <w:rPr>
          <w:sz w:val="20"/>
        </w:rPr>
        <w:t>Tony Ricco</w:t>
      </w:r>
      <w:r>
        <w:rPr>
          <w:sz w:val="20"/>
          <w:vertAlign w:val="superscript"/>
        </w:rPr>
        <w:t>2</w:t>
      </w:r>
      <w:r w:rsidR="006A5B58">
        <w:rPr>
          <w:sz w:val="20"/>
          <w:vertAlign w:val="superscript"/>
        </w:rPr>
        <w:t>,1</w:t>
      </w:r>
      <w:r>
        <w:rPr>
          <w:sz w:val="20"/>
        </w:rPr>
        <w:t xml:space="preserve">, </w:t>
      </w:r>
      <w:r w:rsidR="006A5B58">
        <w:rPr>
          <w:sz w:val="20"/>
        </w:rPr>
        <w:t>Denise Buckner</w:t>
      </w:r>
      <w:r w:rsidR="006A5B58">
        <w:rPr>
          <w:position w:val="7"/>
          <w:sz w:val="13"/>
        </w:rPr>
        <w:t>3,4</w:t>
      </w:r>
      <w:r>
        <w:rPr>
          <w:sz w:val="20"/>
        </w:rPr>
        <w:t>,</w:t>
      </w:r>
      <w:r w:rsidR="006A5B58">
        <w:rPr>
          <w:sz w:val="20"/>
        </w:rPr>
        <w:t xml:space="preserve"> Carina Lee</w:t>
      </w:r>
      <w:r w:rsidR="006A5B58" w:rsidRPr="006A5B58">
        <w:rPr>
          <w:sz w:val="20"/>
          <w:vertAlign w:val="superscript"/>
        </w:rPr>
        <w:t>5</w:t>
      </w:r>
      <w:r w:rsidR="006A5B58">
        <w:rPr>
          <w:sz w:val="20"/>
          <w:vertAlign w:val="superscript"/>
        </w:rPr>
        <w:t>,6</w:t>
      </w:r>
      <w:r w:rsidR="006A5B58">
        <w:rPr>
          <w:sz w:val="20"/>
        </w:rPr>
        <w:t>, Travis Boone</w:t>
      </w:r>
      <w:r w:rsidR="006A5B58" w:rsidRPr="006A5B58">
        <w:rPr>
          <w:sz w:val="20"/>
          <w:vertAlign w:val="superscript"/>
        </w:rPr>
        <w:t>7,1</w:t>
      </w:r>
      <w:r w:rsidR="006A5B58">
        <w:rPr>
          <w:sz w:val="20"/>
        </w:rPr>
        <w:t>, Jared Shimada</w:t>
      </w:r>
      <w:r w:rsidR="006A5B58" w:rsidRPr="006A5B58">
        <w:rPr>
          <w:sz w:val="20"/>
          <w:vertAlign w:val="superscript"/>
        </w:rPr>
        <w:t>7,1</w:t>
      </w:r>
      <w:r w:rsidR="006A5B58">
        <w:rPr>
          <w:sz w:val="20"/>
        </w:rPr>
        <w:t>, Abraham Rademacher</w:t>
      </w:r>
      <w:r w:rsidR="006A5B58" w:rsidRPr="006A5B58">
        <w:rPr>
          <w:sz w:val="20"/>
          <w:vertAlign w:val="superscript"/>
        </w:rPr>
        <w:t>7,1</w:t>
      </w:r>
      <w:r w:rsidR="006A5B58">
        <w:rPr>
          <w:sz w:val="20"/>
        </w:rPr>
        <w:t>, Morgan Anderson</w:t>
      </w:r>
      <w:r w:rsidR="006A5B58" w:rsidRPr="006A5B58">
        <w:rPr>
          <w:sz w:val="20"/>
          <w:vertAlign w:val="superscript"/>
        </w:rPr>
        <w:t>7,1</w:t>
      </w:r>
      <w:r w:rsidR="006A5B58">
        <w:rPr>
          <w:sz w:val="20"/>
        </w:rPr>
        <w:t>, Luke Idziak</w:t>
      </w:r>
      <w:r w:rsidR="006A5B58" w:rsidRPr="006A5B58">
        <w:rPr>
          <w:sz w:val="20"/>
          <w:vertAlign w:val="superscript"/>
        </w:rPr>
        <w:t>7,1</w:t>
      </w:r>
      <w:r w:rsidR="006A5B58">
        <w:rPr>
          <w:sz w:val="20"/>
        </w:rPr>
        <w:t>, Walt Alverado</w:t>
      </w:r>
      <w:r w:rsidR="006A5B58" w:rsidRPr="006A5B58">
        <w:rPr>
          <w:sz w:val="20"/>
          <w:vertAlign w:val="superscript"/>
        </w:rPr>
        <w:t>1</w:t>
      </w:r>
      <w:r w:rsidR="006A5B58">
        <w:rPr>
          <w:sz w:val="20"/>
        </w:rPr>
        <w:t>, Jennifer Eigenbrode</w:t>
      </w:r>
      <w:r w:rsidR="006A5B58" w:rsidRPr="006A5B58">
        <w:rPr>
          <w:sz w:val="20"/>
          <w:vertAlign w:val="superscript"/>
        </w:rPr>
        <w:t>8</w:t>
      </w:r>
    </w:p>
    <w:p w14:paraId="07A9F25F" w14:textId="403F5186" w:rsidR="006A5B58" w:rsidRDefault="006A5B58" w:rsidP="006A5B58">
      <w:pPr>
        <w:spacing w:line="240" w:lineRule="atLeast"/>
        <w:jc w:val="both"/>
        <w:rPr>
          <w:sz w:val="20"/>
        </w:rPr>
      </w:pPr>
      <w:r>
        <w:rPr>
          <w:sz w:val="20"/>
          <w:vertAlign w:val="superscript"/>
        </w:rPr>
        <w:t>1</w:t>
      </w:r>
      <w:r>
        <w:rPr>
          <w:sz w:val="20"/>
        </w:rPr>
        <w:t xml:space="preserve">NASA Ames Research Center, Moffett Field, CA 94035 (marybeth.wilhelm@nasa.gov), </w:t>
      </w:r>
      <w:r>
        <w:rPr>
          <w:sz w:val="20"/>
          <w:vertAlign w:val="superscript"/>
        </w:rPr>
        <w:t>2</w:t>
      </w:r>
      <w:r>
        <w:rPr>
          <w:sz w:val="20"/>
        </w:rPr>
        <w:t xml:space="preserve">Stanford University, </w:t>
      </w:r>
      <w:r>
        <w:rPr>
          <w:sz w:val="20"/>
          <w:vertAlign w:val="superscript"/>
        </w:rPr>
        <w:t>3</w:t>
      </w:r>
      <w:r>
        <w:rPr>
          <w:sz w:val="20"/>
        </w:rPr>
        <w:t xml:space="preserve">University of Florida, </w:t>
      </w:r>
      <w:r>
        <w:rPr>
          <w:sz w:val="20"/>
          <w:vertAlign w:val="superscript"/>
        </w:rPr>
        <w:t>4</w:t>
      </w:r>
      <w:r>
        <w:rPr>
          <w:sz w:val="20"/>
        </w:rPr>
        <w:t xml:space="preserve">Blue Marble Space Institute for Science, </w:t>
      </w:r>
      <w:r w:rsidRPr="00780C45">
        <w:rPr>
          <w:sz w:val="20"/>
          <w:vertAlign w:val="superscript"/>
        </w:rPr>
        <w:t>5</w:t>
      </w:r>
      <w:r>
        <w:rPr>
          <w:sz w:val="20"/>
        </w:rPr>
        <w:t>Jacobs</w:t>
      </w:r>
      <w:r>
        <w:rPr>
          <w:sz w:val="20"/>
        </w:rPr>
        <w:t xml:space="preserve">, </w:t>
      </w:r>
      <w:r w:rsidRPr="00780C45">
        <w:rPr>
          <w:sz w:val="20"/>
          <w:vertAlign w:val="superscript"/>
        </w:rPr>
        <w:t>6</w:t>
      </w:r>
      <w:r>
        <w:rPr>
          <w:sz w:val="20"/>
        </w:rPr>
        <w:t xml:space="preserve">NASA Johnson Space Center, </w:t>
      </w:r>
      <w:r w:rsidRPr="009B2AAF">
        <w:rPr>
          <w:sz w:val="20"/>
          <w:vertAlign w:val="superscript"/>
        </w:rPr>
        <w:t>7</w:t>
      </w:r>
      <w:r>
        <w:rPr>
          <w:sz w:val="20"/>
        </w:rPr>
        <w:t xml:space="preserve">Axient </w:t>
      </w:r>
    </w:p>
    <w:p w14:paraId="7BE80397" w14:textId="77777777" w:rsidR="006A5B58" w:rsidRDefault="006A5B58" w:rsidP="006A5B58">
      <w:pPr>
        <w:spacing w:line="240" w:lineRule="atLeast"/>
        <w:jc w:val="both"/>
        <w:rPr>
          <w:sz w:val="20"/>
        </w:rPr>
      </w:pPr>
    </w:p>
    <w:p w14:paraId="381E13C9" w14:textId="77777777" w:rsidR="00C92F6B" w:rsidRDefault="00C92F6B">
      <w:pPr>
        <w:pStyle w:val="BodyText"/>
        <w:ind w:left="0" w:firstLine="0"/>
        <w:jc w:val="center"/>
      </w:pPr>
    </w:p>
    <w:p w14:paraId="74E9DD88" w14:textId="77777777" w:rsidR="00C92F6B" w:rsidRDefault="00C92F6B">
      <w:pPr>
        <w:sectPr w:rsidR="00C92F6B">
          <w:pgSz w:w="12240" w:h="15840"/>
          <w:pgMar w:top="1360" w:right="1320" w:bottom="280" w:left="1340" w:header="0" w:footer="0" w:gutter="0"/>
          <w:cols w:space="720"/>
          <w:formProt w:val="0"/>
          <w:docGrid w:linePitch="600" w:charSpace="36864"/>
        </w:sectPr>
      </w:pPr>
    </w:p>
    <w:p w14:paraId="4AE4B09A" w14:textId="62ABE07E" w:rsidR="00C92F6B" w:rsidRDefault="00A75767" w:rsidP="00DA6781">
      <w:pPr>
        <w:pStyle w:val="BodyText"/>
        <w:spacing w:line="247" w:lineRule="auto"/>
      </w:pPr>
      <w:r>
        <w:rPr>
          <w:b/>
        </w:rPr>
        <w:t xml:space="preserve">Introduction: </w:t>
      </w:r>
      <w:r w:rsidR="00B462A0">
        <w:t xml:space="preserve">Over the last decade, our team </w:t>
      </w:r>
      <w:r w:rsidR="009B2AAF">
        <w:t>based out of</w:t>
      </w:r>
      <w:r w:rsidR="00B462A0">
        <w:t xml:space="preserve"> NASA Ames Research Center has made advances in fluidic technologies to enable </w:t>
      </w:r>
      <w:r w:rsidR="009B2AAF">
        <w:t xml:space="preserve">laboratory-grade </w:t>
      </w:r>
      <w:r w:rsidR="00B462A0">
        <w:t xml:space="preserve">processes in space environments. </w:t>
      </w:r>
      <w:r w:rsidR="00DA6781">
        <w:t xml:space="preserve">More recently, we have designed and developed two instruments that utilize sample processing steps </w:t>
      </w:r>
      <w:r w:rsidR="009B2AAF">
        <w:t>to</w:t>
      </w:r>
      <w:r w:rsidR="00DA6781">
        <w:t xml:space="preserve"> extract and purify organic molecules that are key targets in the search for life</w:t>
      </w:r>
      <w:r w:rsidR="00C13541">
        <w:t xml:space="preserve">. The first </w:t>
      </w:r>
      <w:r w:rsidR="00F13F9D">
        <w:t xml:space="preserve">instrument </w:t>
      </w:r>
      <w:r w:rsidR="00C13541">
        <w:t xml:space="preserve">targets </w:t>
      </w:r>
      <w:r w:rsidR="00166EE5">
        <w:t xml:space="preserve">soluble </w:t>
      </w:r>
      <w:r w:rsidR="00C13541">
        <w:t xml:space="preserve">lipids and hydrocarbons that have been preserved in soil or rock material for millions to billions of years called </w:t>
      </w:r>
      <w:proofErr w:type="spellStart"/>
      <w:r w:rsidR="00C13541">
        <w:t>ExCALiBR</w:t>
      </w:r>
      <w:proofErr w:type="spellEnd"/>
      <w:r w:rsidR="00C13541">
        <w:t xml:space="preserve"> (Extractor for Chemical Analysis of Lipid Biomarkers in Regolith). The second </w:t>
      </w:r>
      <w:r w:rsidR="00166EE5">
        <w:t>instrument called KAMELOT (</w:t>
      </w:r>
      <w:r w:rsidR="00166EE5" w:rsidRPr="00166EE5">
        <w:t xml:space="preserve">Kerogen and Macromolecule Extractor Liberating Organics </w:t>
      </w:r>
      <w:proofErr w:type="spellStart"/>
      <w:r w:rsidR="00166EE5" w:rsidRPr="00166EE5">
        <w:t>Thermolytically</w:t>
      </w:r>
      <w:proofErr w:type="spellEnd"/>
      <w:r w:rsidR="00166EE5">
        <w:t>)</w:t>
      </w:r>
      <w:r w:rsidR="00C13541">
        <w:t xml:space="preserve"> targets kerogen or insoluble macromolecular material </w:t>
      </w:r>
      <w:r w:rsidR="00166EE5">
        <w:t>that reside in the residue left behind after solvent extraction. Together, these instruments can be coupled to existing flight sample acquisition and analytical instrumentation (e.g., mass spectrometers) to achieve our overall science goal of identifying molecular patterns and features that are diagnostic of how the organic matter was synthesized, either through biological or non-biological processes.</w:t>
      </w:r>
    </w:p>
    <w:p w14:paraId="64475923" w14:textId="540AA6CB" w:rsidR="00F45517" w:rsidRDefault="00B462A0" w:rsidP="00DA6781">
      <w:pPr>
        <w:pStyle w:val="BodyText"/>
        <w:spacing w:line="247" w:lineRule="auto"/>
      </w:pPr>
      <w:r>
        <w:rPr>
          <w:b/>
        </w:rPr>
        <w:t>Targeting Origin-Diagnostic Molecular Information</w:t>
      </w:r>
      <w:r w:rsidR="00A75767">
        <w:rPr>
          <w:b/>
        </w:rPr>
        <w:t>:</w:t>
      </w:r>
      <w:r w:rsidR="00A75767">
        <w:t xml:space="preserve"> </w:t>
      </w:r>
      <w:r w:rsidR="00F13F9D">
        <w:t>O</w:t>
      </w:r>
      <w:r w:rsidR="009E7431">
        <w:t xml:space="preserve">ur instrument development effort is </w:t>
      </w:r>
      <w:r w:rsidR="0095602A">
        <w:t>driven by a desire to provide analytical instrumentation with unaltered molecules</w:t>
      </w:r>
      <w:r w:rsidR="009E7431">
        <w:t xml:space="preserve"> </w:t>
      </w:r>
      <w:r w:rsidR="0095602A">
        <w:t xml:space="preserve">that have retained </w:t>
      </w:r>
      <w:r w:rsidR="009E7431">
        <w:t xml:space="preserve">molecular features and patterns that </w:t>
      </w:r>
      <w:r w:rsidR="00166EE5">
        <w:t>are diagnostic of lipid and hydrocarbon origin (Buckner et al., 2024)</w:t>
      </w:r>
      <w:r w:rsidR="0095602A">
        <w:t xml:space="preserve">, and ultimately </w:t>
      </w:r>
      <w:r w:rsidR="00F45517">
        <w:t xml:space="preserve">dictate window </w:t>
      </w:r>
      <w:r w:rsidR="0095602A">
        <w:t>of</w:t>
      </w:r>
      <w:r w:rsidR="00F45517">
        <w:t xml:space="preserve"> polarity and molecular weight for expected molecules </w:t>
      </w:r>
      <w:r w:rsidR="0095602A">
        <w:t>that drives</w:t>
      </w:r>
      <w:r w:rsidR="00F45517">
        <w:t xml:space="preserve"> our instrument requirements</w:t>
      </w:r>
      <w:r w:rsidR="00166EE5">
        <w:t xml:space="preserve">. </w:t>
      </w:r>
      <w:r w:rsidR="00F45517">
        <w:t xml:space="preserve">We have also demonstrated that the diagnostic features are additive in separating biological and nonbiological sample, and in the example of carboxylic acids/fatty acids is shown in </w:t>
      </w:r>
      <w:r w:rsidR="00F45517" w:rsidRPr="0057380E">
        <w:rPr>
          <w:b/>
          <w:bCs/>
        </w:rPr>
        <w:t>Fig</w:t>
      </w:r>
      <w:r w:rsidR="0057380E" w:rsidRPr="0057380E">
        <w:rPr>
          <w:b/>
          <w:bCs/>
        </w:rPr>
        <w:t>.</w:t>
      </w:r>
      <w:r w:rsidR="00F45517" w:rsidRPr="0057380E">
        <w:rPr>
          <w:b/>
          <w:bCs/>
        </w:rPr>
        <w:t xml:space="preserve"> 1</w:t>
      </w:r>
      <w:r w:rsidR="00F45517">
        <w:t>.</w:t>
      </w:r>
    </w:p>
    <w:p w14:paraId="36531B48" w14:textId="7F8CB5C6" w:rsidR="00F45517" w:rsidRDefault="00F45517" w:rsidP="00DA6781">
      <w:pPr>
        <w:pStyle w:val="BodyText"/>
        <w:spacing w:line="247" w:lineRule="auto"/>
      </w:pPr>
      <w:r>
        <w:t xml:space="preserve"> </w:t>
      </w:r>
      <w:r>
        <w:rPr>
          <w:noProof/>
        </w:rPr>
        <w:drawing>
          <wp:inline distT="0" distB="0" distL="0" distR="0" wp14:anchorId="54267021" wp14:editId="22CB411C">
            <wp:extent cx="2813050" cy="1487805"/>
            <wp:effectExtent l="0" t="0" r="6350" b="0"/>
            <wp:docPr id="1176244610" name="Picture 1" descr="Chart, scatter 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44610" name="Picture 1" descr="Chart, scatter chart, bubble ch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13050" cy="1487805"/>
                    </a:xfrm>
                    <a:prstGeom prst="rect">
                      <a:avLst/>
                    </a:prstGeom>
                  </pic:spPr>
                </pic:pic>
              </a:graphicData>
            </a:graphic>
          </wp:inline>
        </w:drawing>
      </w:r>
    </w:p>
    <w:p w14:paraId="33BDA8E4" w14:textId="7BC04426" w:rsidR="00DA6781" w:rsidRPr="00192BF1" w:rsidRDefault="0057380E" w:rsidP="0057380E">
      <w:pPr>
        <w:pStyle w:val="BodyText"/>
        <w:spacing w:line="247" w:lineRule="auto"/>
        <w:rPr>
          <w:i/>
          <w:iCs/>
        </w:rPr>
      </w:pPr>
      <w:r w:rsidRPr="0057380E">
        <w:rPr>
          <w:b/>
          <w:bCs/>
        </w:rPr>
        <w:t>Figure 1</w:t>
      </w:r>
      <w:r>
        <w:t xml:space="preserve">: </w:t>
      </w:r>
      <w:r w:rsidRPr="00192BF1">
        <w:rPr>
          <w:i/>
          <w:iCs/>
        </w:rPr>
        <w:t xml:space="preserve">3-D visualization of a 16-parameter principal component analysis of 381 terrestrial (circles) </w:t>
      </w:r>
      <w:r w:rsidRPr="00192BF1">
        <w:rPr>
          <w:i/>
          <w:iCs/>
        </w:rPr>
        <w:t>and 31 meteoritic (crosses) sample</w:t>
      </w:r>
      <w:r w:rsidR="00192BF1">
        <w:rPr>
          <w:i/>
          <w:iCs/>
        </w:rPr>
        <w:t>s</w:t>
      </w:r>
      <w:r w:rsidRPr="00192BF1">
        <w:rPr>
          <w:i/>
          <w:iCs/>
        </w:rPr>
        <w:t xml:space="preserve"> containing carboxylic acids. </w:t>
      </w:r>
      <w:r w:rsidRPr="00192BF1">
        <w:rPr>
          <w:i/>
          <w:iCs/>
        </w:rPr>
        <w:t xml:space="preserve">Our results suggest that the two leading principal components derived from </w:t>
      </w:r>
      <w:r w:rsidRPr="00192BF1">
        <w:rPr>
          <w:i/>
          <w:iCs/>
        </w:rPr>
        <w:t xml:space="preserve">molecular features of </w:t>
      </w:r>
      <w:r w:rsidR="006A5B58" w:rsidRPr="00192BF1">
        <w:rPr>
          <w:i/>
          <w:iCs/>
        </w:rPr>
        <w:t>carboxylic</w:t>
      </w:r>
      <w:r w:rsidRPr="00192BF1">
        <w:rPr>
          <w:i/>
          <w:iCs/>
        </w:rPr>
        <w:t xml:space="preserve"> acids</w:t>
      </w:r>
      <w:r w:rsidRPr="00192BF1">
        <w:rPr>
          <w:i/>
          <w:iCs/>
        </w:rPr>
        <w:t xml:space="preserve"> can be used to distinguish a sample’s origin as biogenic or abiogenic</w:t>
      </w:r>
      <w:r w:rsidRPr="00192BF1">
        <w:rPr>
          <w:i/>
          <w:iCs/>
        </w:rPr>
        <w:t xml:space="preserve"> (Buckner et al., 2024)</w:t>
      </w:r>
      <w:r w:rsidRPr="00192BF1">
        <w:rPr>
          <w:i/>
          <w:iCs/>
        </w:rPr>
        <w:t>.</w:t>
      </w:r>
    </w:p>
    <w:p w14:paraId="68065F9F" w14:textId="61F836CE" w:rsidR="0057380E" w:rsidRPr="0095602A" w:rsidRDefault="0095602A" w:rsidP="0095602A">
      <w:pPr>
        <w:pStyle w:val="BodyText"/>
        <w:spacing w:line="247" w:lineRule="auto"/>
      </w:pPr>
      <w:proofErr w:type="spellStart"/>
      <w:r>
        <w:rPr>
          <w:b/>
        </w:rPr>
        <w:t>ExCALiBR</w:t>
      </w:r>
      <w:proofErr w:type="spellEnd"/>
      <w:r>
        <w:rPr>
          <w:b/>
        </w:rPr>
        <w:t xml:space="preserve"> &amp; KAMELOT:</w:t>
      </w:r>
      <w:r>
        <w:t xml:space="preserve"> </w:t>
      </w:r>
      <w:r w:rsidR="00DA6781">
        <w:t>Our</w:t>
      </w:r>
      <w:r w:rsidR="00DA6781">
        <w:t xml:space="preserve"> </w:t>
      </w:r>
      <w:r>
        <w:t>instruments translate</w:t>
      </w:r>
      <w:r w:rsidR="009E7431">
        <w:t xml:space="preserve"> </w:t>
      </w:r>
      <w:r>
        <w:t>laboratory-like</w:t>
      </w:r>
      <w:r w:rsidR="009E7431">
        <w:t xml:space="preserve"> techniques </w:t>
      </w:r>
      <w:r w:rsidR="00166EE5">
        <w:t>demonstrated</w:t>
      </w:r>
      <w:r w:rsidR="009E7431">
        <w:t xml:space="preserve"> on tens of thousands of terrestrial and meteorite samples</w:t>
      </w:r>
      <w:r w:rsidR="00166EE5">
        <w:t xml:space="preserve"> that range in </w:t>
      </w:r>
      <w:r w:rsidR="00166EE5">
        <w:t xml:space="preserve">age, </w:t>
      </w:r>
      <w:proofErr w:type="gramStart"/>
      <w:r w:rsidR="00166EE5">
        <w:t>mineralogy</w:t>
      </w:r>
      <w:proofErr w:type="gramEnd"/>
      <w:r w:rsidR="00166EE5">
        <w:t xml:space="preserve"> and organic type</w:t>
      </w:r>
      <w:r w:rsidR="009E7431">
        <w:t xml:space="preserve">, </w:t>
      </w:r>
      <w:proofErr w:type="spellStart"/>
      <w:r>
        <w:t>utlizing</w:t>
      </w:r>
      <w:proofErr w:type="spellEnd"/>
      <w:r w:rsidR="009E7431">
        <w:t xml:space="preserve"> a time-tested approach </w:t>
      </w:r>
      <w:r w:rsidR="00166EE5">
        <w:t xml:space="preserve">effective at </w:t>
      </w:r>
      <w:r w:rsidR="009E7431">
        <w:t>overcom</w:t>
      </w:r>
      <w:r w:rsidR="00166EE5">
        <w:t>ing</w:t>
      </w:r>
      <w:r w:rsidR="009E7431">
        <w:t xml:space="preserve"> the common analytical challenges to detection of organic material.</w:t>
      </w:r>
      <w:r>
        <w:t xml:space="preserve"> </w:t>
      </w:r>
      <w:proofErr w:type="spellStart"/>
      <w:r w:rsidR="00EA53B0">
        <w:t>ExCALiBR</w:t>
      </w:r>
      <w:proofErr w:type="spellEnd"/>
      <w:r w:rsidR="00EA53B0">
        <w:t xml:space="preserve"> uses a combination of comminution, organic </w:t>
      </w:r>
      <w:r>
        <w:t>solvent, sonication</w:t>
      </w:r>
      <w:r w:rsidR="00EA53B0">
        <w:t xml:space="preserve">, filtration, and concentration </w:t>
      </w:r>
      <w:proofErr w:type="gramStart"/>
      <w:r w:rsidR="00EA53B0">
        <w:t>in order to</w:t>
      </w:r>
      <w:proofErr w:type="gramEnd"/>
      <w:r w:rsidR="00EA53B0">
        <w:t xml:space="preserve"> extract and purify lipids from soil and rock. The TRL-4 breadboard (Fig. 2) has a &gt;90% recovery rate for </w:t>
      </w:r>
      <w:r w:rsidR="00E34807">
        <w:t>fatty acid and hydrocarbon</w:t>
      </w:r>
      <w:r w:rsidR="00EA53B0">
        <w:t xml:space="preserve"> standards and</w:t>
      </w:r>
      <w:r w:rsidR="00E34807">
        <w:t xml:space="preserve"> successfully matches the extraction efficiency of benchtop-version of the technique </w:t>
      </w:r>
      <w:r w:rsidR="00425F9E">
        <w:t>using</w:t>
      </w:r>
      <w:r w:rsidR="00E34807">
        <w:t xml:space="preserve"> analog samples such as Atacama soil, ancient shales, and carbonaceous chondrites. KAMELOT (TRL-3) builds on the </w:t>
      </w:r>
      <w:proofErr w:type="spellStart"/>
      <w:r w:rsidR="00E34807">
        <w:t>ExCALiBR</w:t>
      </w:r>
      <w:proofErr w:type="spellEnd"/>
      <w:r w:rsidR="00E34807">
        <w:t xml:space="preserve"> processing steps but includes a thermolytic step on the washed and dried filtrate in order to break </w:t>
      </w:r>
      <w:proofErr w:type="spellStart"/>
      <w:r w:rsidR="00E34807">
        <w:t>kerogenous</w:t>
      </w:r>
      <w:proofErr w:type="spellEnd"/>
      <w:r w:rsidR="00E34807">
        <w:t xml:space="preserve"> material into </w:t>
      </w:r>
      <w:r w:rsidR="001B7276">
        <w:t>smaller</w:t>
      </w:r>
      <w:r w:rsidR="008316C9">
        <w:t xml:space="preserve">, </w:t>
      </w:r>
      <w:r w:rsidR="00E34807">
        <w:t xml:space="preserve">analyzable pieces. </w:t>
      </w:r>
    </w:p>
    <w:p w14:paraId="6B2ED8B5" w14:textId="14976624" w:rsidR="0057380E" w:rsidRDefault="00305648" w:rsidP="002966D3">
      <w:pPr>
        <w:pStyle w:val="BodyText"/>
        <w:spacing w:line="247" w:lineRule="auto"/>
        <w:ind w:left="0" w:firstLine="0"/>
        <w:rPr>
          <w:b/>
        </w:rPr>
      </w:pPr>
      <w:r>
        <w:rPr>
          <w:b/>
          <w:noProof/>
        </w:rPr>
        <w:drawing>
          <wp:inline distT="0" distB="0" distL="0" distR="0" wp14:anchorId="0F36259F" wp14:editId="33307D08">
            <wp:extent cx="3030794" cy="2254282"/>
            <wp:effectExtent l="0" t="0" r="5080" b="0"/>
            <wp:docPr id="1634388735" name="Picture 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88735" name="Picture 3" descr="Diagram&#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3231" cy="2278409"/>
                    </a:xfrm>
                    <a:prstGeom prst="rect">
                      <a:avLst/>
                    </a:prstGeom>
                  </pic:spPr>
                </pic:pic>
              </a:graphicData>
            </a:graphic>
          </wp:inline>
        </w:drawing>
      </w:r>
    </w:p>
    <w:p w14:paraId="78B4C0BD" w14:textId="42ED99E0" w:rsidR="00C92F6B" w:rsidRPr="00EA53B0" w:rsidRDefault="00305648" w:rsidP="00EA53B0">
      <w:pPr>
        <w:pStyle w:val="BodyText"/>
        <w:spacing w:line="247" w:lineRule="auto"/>
        <w:ind w:left="0" w:firstLine="0"/>
        <w:rPr>
          <w:bCs/>
        </w:rPr>
      </w:pPr>
      <w:r>
        <w:rPr>
          <w:b/>
        </w:rPr>
        <w:t xml:space="preserve">Figure 2: </w:t>
      </w:r>
      <w:proofErr w:type="spellStart"/>
      <w:r w:rsidRPr="002966D3">
        <w:rPr>
          <w:bCs/>
          <w:i/>
          <w:iCs/>
        </w:rPr>
        <w:t>ExCALiBR</w:t>
      </w:r>
      <w:proofErr w:type="spellEnd"/>
      <w:r w:rsidRPr="002966D3">
        <w:rPr>
          <w:bCs/>
          <w:i/>
          <w:iCs/>
        </w:rPr>
        <w:t xml:space="preserve"> </w:t>
      </w:r>
      <w:r w:rsidRPr="002966D3">
        <w:rPr>
          <w:bCs/>
          <w:i/>
          <w:iCs/>
        </w:rPr>
        <w:t xml:space="preserve">(TRL-4) </w:t>
      </w:r>
      <w:r w:rsidRPr="002966D3">
        <w:rPr>
          <w:bCs/>
          <w:i/>
          <w:iCs/>
        </w:rPr>
        <w:t xml:space="preserve">integrates the key steps of comminution, solvent extraction and sonication, mineral filtration, and concentration to achieve </w:t>
      </w:r>
      <w:r w:rsidR="002966D3" w:rsidRPr="002966D3">
        <w:rPr>
          <w:bCs/>
          <w:i/>
          <w:iCs/>
        </w:rPr>
        <w:t>orders-of-magnitude concentration of signal.</w:t>
      </w:r>
      <w:r w:rsidR="002966D3">
        <w:rPr>
          <w:bCs/>
        </w:rPr>
        <w:t xml:space="preserve"> </w:t>
      </w:r>
    </w:p>
    <w:p w14:paraId="49531A35" w14:textId="603A2F2B" w:rsidR="00C92F6B" w:rsidRDefault="00A75767">
      <w:pPr>
        <w:pStyle w:val="BodyText"/>
        <w:spacing w:line="247" w:lineRule="auto"/>
        <w:ind w:right="118"/>
      </w:pPr>
      <w:r>
        <w:rPr>
          <w:b/>
        </w:rPr>
        <w:t xml:space="preserve">References: </w:t>
      </w:r>
    </w:p>
    <w:p w14:paraId="190F9E34" w14:textId="77777777" w:rsidR="002966D3" w:rsidRDefault="002966D3">
      <w:pPr>
        <w:spacing w:line="247" w:lineRule="auto"/>
        <w:ind w:left="360" w:right="89" w:hanging="269"/>
        <w:jc w:val="both"/>
        <w:rPr>
          <w:sz w:val="20"/>
        </w:rPr>
      </w:pPr>
      <w:r>
        <w:rPr>
          <w:sz w:val="20"/>
        </w:rPr>
        <w:t>Buckner, D.K et al.,</w:t>
      </w:r>
      <w:r w:rsidR="00A75767">
        <w:rPr>
          <w:sz w:val="20"/>
        </w:rPr>
        <w:t xml:space="preserve"> (20</w:t>
      </w:r>
      <w:r w:rsidR="00E86E25">
        <w:rPr>
          <w:sz w:val="20"/>
        </w:rPr>
        <w:t>2</w:t>
      </w:r>
      <w:r>
        <w:rPr>
          <w:sz w:val="20"/>
        </w:rPr>
        <w:t>4</w:t>
      </w:r>
      <w:r w:rsidR="00A75767">
        <w:rPr>
          <w:sz w:val="20"/>
        </w:rPr>
        <w:t xml:space="preserve">) </w:t>
      </w:r>
      <w:r w:rsidR="00A75767">
        <w:rPr>
          <w:i/>
          <w:iCs/>
          <w:sz w:val="20"/>
        </w:rPr>
        <w:t>Astrobiology</w:t>
      </w:r>
      <w:r w:rsidR="00A75767">
        <w:rPr>
          <w:i/>
          <w:sz w:val="20"/>
        </w:rPr>
        <w:t xml:space="preserve">, </w:t>
      </w:r>
      <w:r>
        <w:rPr>
          <w:i/>
          <w:sz w:val="20"/>
        </w:rPr>
        <w:t>24:1</w:t>
      </w:r>
      <w:r w:rsidR="00A75767">
        <w:rPr>
          <w:i/>
          <w:sz w:val="20"/>
        </w:rPr>
        <w:t xml:space="preserve">, </w:t>
      </w:r>
      <w:r w:rsidRPr="002966D3">
        <w:rPr>
          <w:sz w:val="20"/>
        </w:rPr>
        <w:t>DOI: 10.1089/ast.2023.0012</w:t>
      </w:r>
    </w:p>
    <w:p w14:paraId="236C41F3" w14:textId="77777777" w:rsidR="00C92F6B" w:rsidRDefault="00C92F6B">
      <w:pPr>
        <w:sectPr w:rsidR="00C92F6B">
          <w:type w:val="continuous"/>
          <w:pgSz w:w="12240" w:h="15840"/>
          <w:pgMar w:top="1360" w:right="1320" w:bottom="280" w:left="1340" w:header="0" w:footer="0" w:gutter="0"/>
          <w:cols w:num="2" w:space="720" w:equalWidth="0">
            <w:col w:w="4543" w:space="376"/>
            <w:col w:w="4661"/>
          </w:cols>
          <w:formProt w:val="0"/>
          <w:docGrid w:linePitch="600" w:charSpace="36864"/>
        </w:sectPr>
      </w:pPr>
    </w:p>
    <w:p w14:paraId="0B2ABF1A" w14:textId="77777777" w:rsidR="00E83B54" w:rsidRDefault="00E83B54"/>
    <w:sectPr w:rsidR="00E83B54">
      <w:type w:val="continuous"/>
      <w:pgSz w:w="12240" w:h="15840"/>
      <w:pgMar w:top="1360" w:right="1320" w:bottom="280" w:left="1340"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6B"/>
    <w:rsid w:val="00166EE5"/>
    <w:rsid w:val="00192BF1"/>
    <w:rsid w:val="001B7276"/>
    <w:rsid w:val="002966D3"/>
    <w:rsid w:val="00305648"/>
    <w:rsid w:val="00425F9E"/>
    <w:rsid w:val="004A1AAE"/>
    <w:rsid w:val="0057380E"/>
    <w:rsid w:val="00627EC8"/>
    <w:rsid w:val="0064401F"/>
    <w:rsid w:val="006A5B58"/>
    <w:rsid w:val="008316C9"/>
    <w:rsid w:val="0095602A"/>
    <w:rsid w:val="009B2AAF"/>
    <w:rsid w:val="009E7431"/>
    <w:rsid w:val="00A75767"/>
    <w:rsid w:val="00B462A0"/>
    <w:rsid w:val="00C13541"/>
    <w:rsid w:val="00C92F6B"/>
    <w:rsid w:val="00DA6781"/>
    <w:rsid w:val="00DB6E24"/>
    <w:rsid w:val="00DF1765"/>
    <w:rsid w:val="00E34807"/>
    <w:rsid w:val="00E71645"/>
    <w:rsid w:val="00E83B54"/>
    <w:rsid w:val="00E86E25"/>
    <w:rsid w:val="00EA53B0"/>
    <w:rsid w:val="00F13F9D"/>
    <w:rsid w:val="00F4551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A911"/>
  <w15:docId w15:val="{AEE8916F-9A74-4056-A831-2B63E882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color w:val="993333"/>
      <w:u w:val="single" w:color="993333"/>
    </w:rPr>
  </w:style>
  <w:style w:type="character" w:customStyle="1" w:styleId="InternetLink">
    <w:name w:val="Internet Link"/>
    <w:rPr>
      <w:color w:val="000080"/>
      <w:u w:val="single"/>
    </w:rPr>
  </w:style>
  <w:style w:type="character" w:customStyle="1" w:styleId="ListLabel2">
    <w:name w:val="ListLabel 2"/>
    <w:qFormat/>
    <w:rPr>
      <w:color w:val="993333"/>
      <w:u w:val="single" w:color="993333"/>
    </w:rPr>
  </w:style>
  <w:style w:type="character" w:customStyle="1" w:styleId="ListLabel3">
    <w:name w:val="ListLabel 3"/>
    <w:qFormat/>
    <w:rPr>
      <w:color w:val="993333"/>
      <w:u w:val="single" w:color="993333"/>
    </w:rPr>
  </w:style>
  <w:style w:type="character" w:customStyle="1" w:styleId="ListLabel4">
    <w:name w:val="ListLabel 4"/>
    <w:qFormat/>
    <w:rPr>
      <w:color w:val="993333"/>
      <w:u w:val="single" w:color="993333"/>
    </w:rPr>
  </w:style>
  <w:style w:type="character" w:customStyle="1" w:styleId="ListLabel5">
    <w:name w:val="ListLabel 5"/>
    <w:qFormat/>
    <w:rPr>
      <w:color w:val="993333"/>
      <w:u w:val="single" w:color="993333"/>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uiPriority w:val="1"/>
    <w:qFormat/>
    <w:pPr>
      <w:ind w:left="100" w:firstLine="288"/>
      <w:jc w:val="both"/>
    </w:pPr>
    <w:rPr>
      <w:sz w:val="20"/>
      <w:szCs w:val="20"/>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8207">
      <w:bodyDiv w:val="1"/>
      <w:marLeft w:val="0"/>
      <w:marRight w:val="0"/>
      <w:marTop w:val="0"/>
      <w:marBottom w:val="0"/>
      <w:divBdr>
        <w:top w:val="none" w:sz="0" w:space="0" w:color="auto"/>
        <w:left w:val="none" w:sz="0" w:space="0" w:color="auto"/>
        <w:bottom w:val="none" w:sz="0" w:space="0" w:color="auto"/>
        <w:right w:val="none" w:sz="0" w:space="0" w:color="auto"/>
      </w:divBdr>
      <w:divsChild>
        <w:div w:id="1183280707">
          <w:marLeft w:val="0"/>
          <w:marRight w:val="0"/>
          <w:marTop w:val="0"/>
          <w:marBottom w:val="0"/>
          <w:divBdr>
            <w:top w:val="none" w:sz="0" w:space="0" w:color="auto"/>
            <w:left w:val="none" w:sz="0" w:space="0" w:color="auto"/>
            <w:bottom w:val="none" w:sz="0" w:space="0" w:color="auto"/>
            <w:right w:val="none" w:sz="0" w:space="0" w:color="auto"/>
          </w:divBdr>
          <w:divsChild>
            <w:div w:id="671374558">
              <w:marLeft w:val="0"/>
              <w:marRight w:val="0"/>
              <w:marTop w:val="0"/>
              <w:marBottom w:val="0"/>
              <w:divBdr>
                <w:top w:val="none" w:sz="0" w:space="0" w:color="auto"/>
                <w:left w:val="none" w:sz="0" w:space="0" w:color="auto"/>
                <w:bottom w:val="none" w:sz="0" w:space="0" w:color="auto"/>
                <w:right w:val="none" w:sz="0" w:space="0" w:color="auto"/>
              </w:divBdr>
              <w:divsChild>
                <w:div w:id="1061559439">
                  <w:marLeft w:val="0"/>
                  <w:marRight w:val="0"/>
                  <w:marTop w:val="0"/>
                  <w:marBottom w:val="0"/>
                  <w:divBdr>
                    <w:top w:val="none" w:sz="0" w:space="0" w:color="auto"/>
                    <w:left w:val="none" w:sz="0" w:space="0" w:color="auto"/>
                    <w:bottom w:val="none" w:sz="0" w:space="0" w:color="auto"/>
                    <w:right w:val="none" w:sz="0" w:space="0" w:color="auto"/>
                  </w:divBdr>
                  <w:divsChild>
                    <w:div w:id="20216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sChild>
        <w:div w:id="553273976">
          <w:marLeft w:val="0"/>
          <w:marRight w:val="0"/>
          <w:marTop w:val="0"/>
          <w:marBottom w:val="0"/>
          <w:divBdr>
            <w:top w:val="none" w:sz="0" w:space="0" w:color="auto"/>
            <w:left w:val="none" w:sz="0" w:space="0" w:color="auto"/>
            <w:bottom w:val="none" w:sz="0" w:space="0" w:color="auto"/>
            <w:right w:val="none" w:sz="0" w:space="0" w:color="auto"/>
          </w:divBdr>
          <w:divsChild>
            <w:div w:id="285625544">
              <w:marLeft w:val="0"/>
              <w:marRight w:val="0"/>
              <w:marTop w:val="0"/>
              <w:marBottom w:val="0"/>
              <w:divBdr>
                <w:top w:val="none" w:sz="0" w:space="0" w:color="auto"/>
                <w:left w:val="none" w:sz="0" w:space="0" w:color="auto"/>
                <w:bottom w:val="none" w:sz="0" w:space="0" w:color="auto"/>
                <w:right w:val="none" w:sz="0" w:space="0" w:color="auto"/>
              </w:divBdr>
              <w:divsChild>
                <w:div w:id="1442070459">
                  <w:marLeft w:val="0"/>
                  <w:marRight w:val="0"/>
                  <w:marTop w:val="0"/>
                  <w:marBottom w:val="0"/>
                  <w:divBdr>
                    <w:top w:val="none" w:sz="0" w:space="0" w:color="auto"/>
                    <w:left w:val="none" w:sz="0" w:space="0" w:color="auto"/>
                    <w:bottom w:val="none" w:sz="0" w:space="0" w:color="auto"/>
                    <w:right w:val="none" w:sz="0" w:space="0" w:color="auto"/>
                  </w:divBdr>
                  <w:divsChild>
                    <w:div w:id="17439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AbSciCon2019 Abstract</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AbSciCon2019 Abstract</dc:title>
  <dc:subject>Astrobiology</dc:subject>
  <dc:creator>LPI</dc:creator>
  <dc:description/>
  <cp:lastModifiedBy>Wilhelm, Mary Beth (ARC-STT)</cp:lastModifiedBy>
  <cp:revision>2</cp:revision>
  <dcterms:created xsi:type="dcterms:W3CDTF">2024-01-06T02:04:00Z</dcterms:created>
  <dcterms:modified xsi:type="dcterms:W3CDTF">2024-01-06T02:04:00Z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