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292DA" w14:textId="66AE0F09" w:rsidR="00785846" w:rsidRDefault="00FE3971" w:rsidP="00F03140">
      <w:pPr>
        <w:pStyle w:val="PaperNumber"/>
      </w:pPr>
      <w:r>
        <w:t>SSC24-XI-07</w:t>
      </w:r>
    </w:p>
    <w:p w14:paraId="02F89E2D" w14:textId="4E9DF109" w:rsidR="00F03140" w:rsidRDefault="005876F6" w:rsidP="00F03140">
      <w:pPr>
        <w:pStyle w:val="Title"/>
      </w:pPr>
      <w:r>
        <w:t xml:space="preserve">Development of Advanced Ablative Carbon Phenolic TPS for </w:t>
      </w:r>
      <w:r>
        <w:br/>
        <w:t>Future NASA Missions and Commercial Space</w:t>
      </w:r>
    </w:p>
    <w:p w14:paraId="16D8C3D2" w14:textId="77777777" w:rsidR="00F03140" w:rsidRDefault="00F03140" w:rsidP="00F03140">
      <w:pPr>
        <w:pStyle w:val="Authors"/>
      </w:pPr>
    </w:p>
    <w:p w14:paraId="14DD0DDC" w14:textId="2320259C" w:rsidR="00F03140" w:rsidRPr="00583607" w:rsidRDefault="005876F6" w:rsidP="00F03140">
      <w:pPr>
        <w:pStyle w:val="Authors"/>
      </w:pPr>
      <w:r>
        <w:t>Matthew Gasch, Keith Peterson, Mairead Stackpoole and Ethiraj Venkatapathy</w:t>
      </w:r>
    </w:p>
    <w:p w14:paraId="7F696EBC" w14:textId="34DA53AD" w:rsidR="00F03140" w:rsidRPr="00583607" w:rsidRDefault="005876F6" w:rsidP="00F03140">
      <w:pPr>
        <w:pStyle w:val="Authors"/>
      </w:pPr>
      <w:r>
        <w:t xml:space="preserve">NASA Ames Research Center </w:t>
      </w:r>
    </w:p>
    <w:p w14:paraId="06C2C3E0" w14:textId="71410B09" w:rsidR="00F03140" w:rsidRPr="00583607" w:rsidRDefault="005876F6" w:rsidP="005876F6">
      <w:pPr>
        <w:pStyle w:val="Authors"/>
      </w:pPr>
      <w:r w:rsidRPr="005876F6">
        <w:t xml:space="preserve">NASA </w:t>
      </w:r>
      <w:r>
        <w:t>ARC</w:t>
      </w:r>
      <w:r w:rsidRPr="005876F6">
        <w:t>, Moffett Field, CA 94035</w:t>
      </w:r>
      <w:r w:rsidR="00F03140" w:rsidRPr="00583607">
        <w:t xml:space="preserve">; </w:t>
      </w:r>
      <w:r>
        <w:t xml:space="preserve">650.604.5377 </w:t>
      </w:r>
      <w:hyperlink r:id="rId8" w:history="1">
        <w:r w:rsidRPr="004166F7">
          <w:rPr>
            <w:rStyle w:val="Hyperlink"/>
          </w:rPr>
          <w:t>matthew.j.gasch@nasa.gov</w:t>
        </w:r>
      </w:hyperlink>
      <w:r>
        <w:t xml:space="preserve">, 650.604.4810 </w:t>
      </w:r>
      <w:hyperlink r:id="rId9" w:history="1">
        <w:r w:rsidRPr="004166F7">
          <w:rPr>
            <w:rStyle w:val="Hyperlink"/>
          </w:rPr>
          <w:t>keith.h.peterson@nasa.gov</w:t>
        </w:r>
      </w:hyperlink>
      <w:r>
        <w:t xml:space="preserve">, 650.604.6199 </w:t>
      </w:r>
      <w:hyperlink r:id="rId10" w:history="1">
        <w:r w:rsidRPr="004166F7">
          <w:rPr>
            <w:rStyle w:val="Hyperlink"/>
          </w:rPr>
          <w:t>margaret.m.stackpoole@nasa.gov</w:t>
        </w:r>
      </w:hyperlink>
      <w:r>
        <w:t xml:space="preserve">, </w:t>
      </w:r>
      <w:r>
        <w:br/>
        <w:t xml:space="preserve">650.604.4282 </w:t>
      </w:r>
      <w:hyperlink r:id="rId11" w:history="1">
        <w:r w:rsidRPr="004166F7">
          <w:rPr>
            <w:rStyle w:val="Hyperlink"/>
          </w:rPr>
          <w:t>ethiraj.venkatapathy-1@nasa.gov</w:t>
        </w:r>
      </w:hyperlink>
    </w:p>
    <w:p w14:paraId="78E11D92" w14:textId="77777777" w:rsidR="00F03140" w:rsidRDefault="00F03140" w:rsidP="00F03140">
      <w:pPr>
        <w:pStyle w:val="Authors"/>
        <w:rPr>
          <w:b/>
        </w:rPr>
      </w:pPr>
    </w:p>
    <w:p w14:paraId="6F3868E4" w14:textId="7882AF58" w:rsidR="00F03140" w:rsidRPr="00583607" w:rsidRDefault="005876F6" w:rsidP="00F03140">
      <w:pPr>
        <w:pStyle w:val="Authors"/>
      </w:pPr>
      <w:r>
        <w:t>Greg Gonzales and Kyle Hendrickson</w:t>
      </w:r>
    </w:p>
    <w:p w14:paraId="621CE099" w14:textId="05EAC3CC" w:rsidR="00F03140" w:rsidRPr="00583607" w:rsidRDefault="003C0780" w:rsidP="00F03140">
      <w:pPr>
        <w:pStyle w:val="Authors"/>
      </w:pPr>
      <w:r>
        <w:t>Analytical Mechanics</w:t>
      </w:r>
      <w:r w:rsidR="005876F6">
        <w:t xml:space="preserve"> Associates (AMA)</w:t>
      </w:r>
    </w:p>
    <w:p w14:paraId="512592C4" w14:textId="7AFD3512" w:rsidR="00B83208" w:rsidRDefault="005876F6" w:rsidP="00F03140">
      <w:pPr>
        <w:pStyle w:val="Authors"/>
      </w:pPr>
      <w:r>
        <w:t>AMA</w:t>
      </w:r>
      <w:r w:rsidR="003C0780">
        <w:t>-NASA</w:t>
      </w:r>
      <w:r w:rsidRPr="005876F6">
        <w:t xml:space="preserve"> </w:t>
      </w:r>
      <w:r>
        <w:t>ARC</w:t>
      </w:r>
      <w:r w:rsidRPr="005876F6">
        <w:t>, Moffett Field, CA 94035</w:t>
      </w:r>
      <w:r w:rsidRPr="00583607">
        <w:t xml:space="preserve">; </w:t>
      </w:r>
      <w:r>
        <w:t>650.604.</w:t>
      </w:r>
      <w:r w:rsidR="003C0780">
        <w:t xml:space="preserve">1650 </w:t>
      </w:r>
      <w:hyperlink r:id="rId12" w:history="1">
        <w:r w:rsidR="003C0780" w:rsidRPr="004166F7">
          <w:rPr>
            <w:rStyle w:val="Hyperlink"/>
          </w:rPr>
          <w:t>gregory.l.gonzales@nasa.gov</w:t>
        </w:r>
      </w:hyperlink>
      <w:r w:rsidR="003C0780">
        <w:t xml:space="preserve">, </w:t>
      </w:r>
      <w:r w:rsidR="003C0780">
        <w:br/>
        <w:t xml:space="preserve">650.604.5184 </w:t>
      </w:r>
      <w:hyperlink r:id="rId13" w:history="1">
        <w:r w:rsidR="003C0780" w:rsidRPr="004166F7">
          <w:rPr>
            <w:rStyle w:val="Hyperlink"/>
          </w:rPr>
          <w:t>kyle.m.hendrickson@nasa.gov</w:t>
        </w:r>
      </w:hyperlink>
    </w:p>
    <w:p w14:paraId="690F085F" w14:textId="77777777" w:rsidR="00101EA5" w:rsidRDefault="00101EA5" w:rsidP="00B01327">
      <w:pPr>
        <w:pStyle w:val="Authors"/>
        <w:jc w:val="both"/>
        <w:rPr>
          <w:b/>
        </w:rPr>
      </w:pPr>
    </w:p>
    <w:p w14:paraId="00C11FD9" w14:textId="77777777" w:rsidR="002058E5" w:rsidRDefault="002058E5" w:rsidP="002058E5">
      <w:pPr>
        <w:pStyle w:val="AbstractTitle"/>
      </w:pPr>
      <w:r>
        <w:t>ABSTRACT</w:t>
      </w:r>
    </w:p>
    <w:p w14:paraId="0BABD21B" w14:textId="6ABA5CF7" w:rsidR="003C0780" w:rsidRPr="003C0780" w:rsidRDefault="003C0780" w:rsidP="003C0780">
      <w:r w:rsidRPr="003C0780">
        <w:t xml:space="preserve">Phenolic Impregnated Carbon Ablator (PICA) is a low-density carbon phenolic ablator that has been used as the planetary entry heatshield for several NASA missions since the late 90’s.  Its low density and efficient performance characteristics have proven effective for use from Discovery to Flagship class missions, from Sample Return missions such as Stardust, OSIRIS-REx to large Mars </w:t>
      </w:r>
      <w:r w:rsidR="00A27F65">
        <w:t>l</w:t>
      </w:r>
      <w:r w:rsidRPr="003C0780">
        <w:t xml:space="preserve">ander missions such as MSL and Mars 2020.  </w:t>
      </w:r>
    </w:p>
    <w:p w14:paraId="59A81100" w14:textId="3676CDE9" w:rsidR="003C0780" w:rsidRPr="003C0780" w:rsidRDefault="003C0780" w:rsidP="003C0780">
      <w:r w:rsidRPr="003C0780">
        <w:t>Continued development of a mass efficient</w:t>
      </w:r>
      <w:r w:rsidR="00A3282F">
        <w:t>,</w:t>
      </w:r>
      <w:r w:rsidRPr="003C0780">
        <w:t> compliant version of PICA that use a carbon felt as the substrate will be presented. The felt based versions of PICA known as Conformal PICA (C-PICA)</w:t>
      </w:r>
      <w:r w:rsidR="00951B07">
        <w:t xml:space="preserve"> </w:t>
      </w:r>
      <w:r w:rsidR="00F07D1F">
        <w:t>and Soft PICA (S-PICA) are</w:t>
      </w:r>
      <w:r w:rsidR="00A3282F">
        <w:t xml:space="preserve"> </w:t>
      </w:r>
      <w:r w:rsidRPr="003C0780">
        <w:t xml:space="preserve">comparable in terms of peak heat-flux capabilities compared to standard PICA. </w:t>
      </w:r>
      <w:r w:rsidR="00951B07">
        <w:t xml:space="preserve">Additionally, a novel all felt PICA-Flex offers </w:t>
      </w:r>
      <w:r w:rsidR="00A3282F">
        <w:t xml:space="preserve">further reductions in </w:t>
      </w:r>
      <w:r w:rsidR="00951B07">
        <w:t>density</w:t>
      </w:r>
      <w:r w:rsidR="00A3282F">
        <w:t>, with</w:t>
      </w:r>
      <w:r w:rsidRPr="003C0780">
        <w:t xml:space="preserve"> higher thermal protection efficiency </w:t>
      </w:r>
      <w:r w:rsidR="00A3282F">
        <w:t xml:space="preserve">resulting in additional </w:t>
      </w:r>
      <w:r w:rsidRPr="003C0780">
        <w:t>mass savings</w:t>
      </w:r>
      <w:r w:rsidR="00A3282F">
        <w:t xml:space="preserve"> beyond C-PICA</w:t>
      </w:r>
      <w:r w:rsidRPr="003C0780">
        <w:t xml:space="preserve">. </w:t>
      </w:r>
      <w:r w:rsidR="00A3282F">
        <w:t>Furthermore, t</w:t>
      </w:r>
      <w:r w:rsidRPr="003C0780">
        <w:t xml:space="preserve">he compliant nature of these materials allows for </w:t>
      </w:r>
      <w:r w:rsidR="00A3282F">
        <w:t xml:space="preserve">application without </w:t>
      </w:r>
      <w:r w:rsidR="00F07D1F">
        <w:t xml:space="preserve">a </w:t>
      </w:r>
      <w:r w:rsidR="00A3282F">
        <w:t xml:space="preserve">Strain Isolation Pad to a </w:t>
      </w:r>
      <w:r w:rsidRPr="003C0780">
        <w:t>wide variety of substrates</w:t>
      </w:r>
      <w:r w:rsidR="00A3282F">
        <w:t xml:space="preserve">, making </w:t>
      </w:r>
      <w:r w:rsidRPr="003C0780">
        <w:t xml:space="preserve">attractive for commercial low earth orbit missions as well as NASA’s aerocapture missions to Ice Giants. NASA is currently working with several commercial partners (Varda </w:t>
      </w:r>
      <w:r w:rsidR="00F07D1F">
        <w:t xml:space="preserve">Space Industries </w:t>
      </w:r>
      <w:r w:rsidRPr="003C0780">
        <w:t xml:space="preserve">and Inversion Space) to </w:t>
      </w:r>
      <w:r w:rsidR="00F07D1F">
        <w:t>t</w:t>
      </w:r>
      <w:r w:rsidRPr="003C0780">
        <w:t xml:space="preserve">echnology </w:t>
      </w:r>
      <w:r w:rsidR="00F07D1F">
        <w:t>t</w:t>
      </w:r>
      <w:r w:rsidRPr="003C0780">
        <w:t xml:space="preserve">ransfer C/S-PICA variants for commercial LEO missions.  </w:t>
      </w:r>
      <w:r w:rsidR="000F1D88">
        <w:t>Preliminary t</w:t>
      </w:r>
      <w:r w:rsidRPr="003C0780">
        <w:t>hermal</w:t>
      </w:r>
      <w:r w:rsidR="000F1D88">
        <w:t xml:space="preserve"> and</w:t>
      </w:r>
      <w:r w:rsidRPr="003C0780">
        <w:t xml:space="preserve"> mechanical</w:t>
      </w:r>
      <w:r w:rsidR="000F1D88">
        <w:t xml:space="preserve"> t</w:t>
      </w:r>
      <w:r w:rsidRPr="003C0780">
        <w:t xml:space="preserve">ests have been conducted comparing the performance of </w:t>
      </w:r>
      <w:r w:rsidR="00F07D1F">
        <w:t>C/S</w:t>
      </w:r>
      <w:r w:rsidR="00951B07">
        <w:t>-</w:t>
      </w:r>
      <w:r w:rsidRPr="003C0780">
        <w:t xml:space="preserve">PICA </w:t>
      </w:r>
      <w:r w:rsidR="00951B07">
        <w:t xml:space="preserve">and PICA-Flex </w:t>
      </w:r>
      <w:r w:rsidRPr="003C0780">
        <w:t>materials. </w:t>
      </w:r>
    </w:p>
    <w:p w14:paraId="422F0FA2" w14:textId="77777777" w:rsidR="00B83208" w:rsidRDefault="00B83208" w:rsidP="00B83208"/>
    <w:p w14:paraId="7D3D98A9" w14:textId="77777777" w:rsidR="005E314B" w:rsidRDefault="005E314B" w:rsidP="00B83208">
      <w:pPr>
        <w:sectPr w:rsidR="005E314B" w:rsidSect="00CB2EE8">
          <w:footerReference w:type="default" r:id="rId14"/>
          <w:pgSz w:w="12240" w:h="15840"/>
          <w:pgMar w:top="1440" w:right="1440" w:bottom="1440" w:left="1440" w:header="720" w:footer="720" w:gutter="0"/>
          <w:cols w:space="720"/>
          <w:docGrid w:linePitch="360"/>
        </w:sectPr>
      </w:pPr>
    </w:p>
    <w:p w14:paraId="3F16997F" w14:textId="179AEF37" w:rsidR="002058E5" w:rsidRDefault="005E314B" w:rsidP="002058E5">
      <w:pPr>
        <w:pStyle w:val="Heading1"/>
      </w:pPr>
      <w:r>
        <w:t>introduction</w:t>
      </w:r>
    </w:p>
    <w:p w14:paraId="54D0FA2C" w14:textId="7BAA28C7" w:rsidR="005E314B" w:rsidRPr="005E314B" w:rsidRDefault="005E314B" w:rsidP="005E314B">
      <w:r>
        <w:t>Phenolic</w:t>
      </w:r>
      <w:r w:rsidRPr="005E314B">
        <w:t xml:space="preserve"> </w:t>
      </w:r>
      <w:r w:rsidR="00AF6D23">
        <w:t>I</w:t>
      </w:r>
      <w:r w:rsidRPr="005E314B">
        <w:t xml:space="preserve">mpregnated </w:t>
      </w:r>
      <w:r w:rsidR="00AF6D23">
        <w:t>C</w:t>
      </w:r>
      <w:r w:rsidRPr="005E314B">
        <w:t xml:space="preserve">arbon </w:t>
      </w:r>
      <w:r w:rsidR="00AF6D23">
        <w:t>A</w:t>
      </w:r>
      <w:r w:rsidRPr="005E314B">
        <w:t>blator (PICA) is the current</w:t>
      </w:r>
      <w:r>
        <w:t xml:space="preserve"> </w:t>
      </w:r>
      <w:r w:rsidRPr="005E314B">
        <w:t xml:space="preserve">state of the art </w:t>
      </w:r>
      <w:r w:rsidR="00DB2119">
        <w:t xml:space="preserve">(SoA) </w:t>
      </w:r>
      <w:r w:rsidRPr="005E314B">
        <w:t>in low-density high-performance thermal protection</w:t>
      </w:r>
      <w:r>
        <w:t xml:space="preserve"> </w:t>
      </w:r>
      <w:r w:rsidRPr="005E314B">
        <w:t>system (TPS) materials.</w:t>
      </w:r>
      <w:r w:rsidR="0013525E" w:rsidRPr="0013525E">
        <w:rPr>
          <w:vertAlign w:val="superscript"/>
        </w:rPr>
        <w:t>1</w:t>
      </w:r>
      <w:r w:rsidRPr="005E314B">
        <w:t xml:space="preserve"> Standard PICA uses a porous</w:t>
      </w:r>
      <w:r>
        <w:t xml:space="preserve"> </w:t>
      </w:r>
      <w:r w:rsidRPr="005E314B">
        <w:t>rigid carbon-fiber substrate impregnated with a dispersed phenolic</w:t>
      </w:r>
      <w:r>
        <w:t xml:space="preserve"> </w:t>
      </w:r>
      <w:r w:rsidRPr="005E314B">
        <w:t>polymer. The composite is somewhat brittle with low</w:t>
      </w:r>
      <w:r>
        <w:t xml:space="preserve"> </w:t>
      </w:r>
      <w:r w:rsidRPr="005E314B">
        <w:t>strain to failure;</w:t>
      </w:r>
      <w:r>
        <w:t xml:space="preserve"> </w:t>
      </w:r>
      <w:r w:rsidRPr="005E314B">
        <w:t>consequently, heatshields larger than about 1</w:t>
      </w:r>
      <w:r w:rsidR="00AF6D23">
        <w:t> </w:t>
      </w:r>
      <w:r w:rsidRPr="005E314B">
        <w:t>m must be assembled</w:t>
      </w:r>
      <w:r>
        <w:t xml:space="preserve"> </w:t>
      </w:r>
      <w:r w:rsidRPr="005E314B">
        <w:t>from multiple PICA pieces (“tiles”) that are bonded together. Such</w:t>
      </w:r>
      <w:r>
        <w:t xml:space="preserve"> </w:t>
      </w:r>
      <w:r w:rsidRPr="005E314B">
        <w:t>tiled heatshields have a history of success: for example, Mars Science Laboratory (MSL)</w:t>
      </w:r>
      <w:r w:rsidR="00AF6D23">
        <w:t>,</w:t>
      </w:r>
      <w:r w:rsidR="00AF422B">
        <w:t xml:space="preserve"> Mars 2020</w:t>
      </w:r>
      <w:r w:rsidR="00AF6D23">
        <w:t>,</w:t>
      </w:r>
      <w:r w:rsidRPr="005E314B">
        <w:t xml:space="preserve"> and the SpaceX</w:t>
      </w:r>
      <w:r>
        <w:t xml:space="preserve"> </w:t>
      </w:r>
      <w:r w:rsidRPr="005E314B">
        <w:t>Dragon capsule</w:t>
      </w:r>
      <w:r w:rsidR="0013525E">
        <w:t>.</w:t>
      </w:r>
      <w:r w:rsidR="0013525E" w:rsidRPr="0013525E">
        <w:rPr>
          <w:vertAlign w:val="superscript"/>
        </w:rPr>
        <w:t>2-</w:t>
      </w:r>
      <w:proofErr w:type="gramStart"/>
      <w:r w:rsidR="0013525E" w:rsidRPr="0013525E">
        <w:rPr>
          <w:vertAlign w:val="superscript"/>
        </w:rPr>
        <w:t>3</w:t>
      </w:r>
      <w:proofErr w:type="gramEnd"/>
      <w:r w:rsidRPr="005E314B">
        <w:t xml:space="preserve"> </w:t>
      </w:r>
    </w:p>
    <w:p w14:paraId="244D6C1D" w14:textId="49EB601D" w:rsidR="00D16B33" w:rsidRDefault="00AF422B" w:rsidP="00EC24DC">
      <w:pPr>
        <w:autoSpaceDE w:val="0"/>
        <w:autoSpaceDN w:val="0"/>
        <w:adjustRightInd w:val="0"/>
        <w:spacing w:before="0" w:after="0"/>
      </w:pPr>
      <w:r>
        <w:rPr>
          <w:bCs/>
          <w:color w:val="000000" w:themeColor="text1"/>
        </w:rPr>
        <w:t xml:space="preserve">More </w:t>
      </w:r>
      <w:r w:rsidRPr="00945BA1">
        <w:rPr>
          <w:bCs/>
          <w:color w:val="000000" w:themeColor="text1"/>
        </w:rPr>
        <w:t>recently</w:t>
      </w:r>
      <w:r>
        <w:rPr>
          <w:bCs/>
          <w:color w:val="000000" w:themeColor="text1"/>
        </w:rPr>
        <w:t xml:space="preserve">, the </w:t>
      </w:r>
      <w:r w:rsidR="00DB2119">
        <w:rPr>
          <w:bCs/>
          <w:color w:val="000000" w:themeColor="text1"/>
        </w:rPr>
        <w:t>c</w:t>
      </w:r>
      <w:r>
        <w:rPr>
          <w:bCs/>
          <w:color w:val="000000" w:themeColor="text1"/>
        </w:rPr>
        <w:t xml:space="preserve">onformal variant (C-PICA) and </w:t>
      </w:r>
      <w:r w:rsidR="0013525E">
        <w:rPr>
          <w:bCs/>
          <w:color w:val="000000" w:themeColor="text1"/>
        </w:rPr>
        <w:t>soft</w:t>
      </w:r>
      <w:r>
        <w:rPr>
          <w:bCs/>
          <w:color w:val="000000" w:themeColor="text1"/>
        </w:rPr>
        <w:t xml:space="preserve"> variant (S-PICA) of PICA are proving to provide additional benefits beyond the traditional rigid PICA </w:t>
      </w:r>
      <w:r w:rsidRPr="00945BA1">
        <w:rPr>
          <w:bCs/>
          <w:color w:val="000000" w:themeColor="text1"/>
        </w:rPr>
        <w:t>for entry environments below 1</w:t>
      </w:r>
      <w:r w:rsidR="00AB221C">
        <w:rPr>
          <w:bCs/>
          <w:color w:val="000000" w:themeColor="text1"/>
        </w:rPr>
        <w:t>0</w:t>
      </w:r>
      <w:r w:rsidRPr="00945BA1">
        <w:rPr>
          <w:bCs/>
          <w:color w:val="000000" w:themeColor="text1"/>
        </w:rPr>
        <w:t>00 W/cm</w:t>
      </w:r>
      <w:r w:rsidRPr="00945BA1">
        <w:rPr>
          <w:bCs/>
          <w:color w:val="000000" w:themeColor="text1"/>
          <w:vertAlign w:val="superscript"/>
        </w:rPr>
        <w:t>2</w:t>
      </w:r>
      <w:r w:rsidRPr="00945BA1">
        <w:rPr>
          <w:bCs/>
          <w:color w:val="000000" w:themeColor="text1"/>
        </w:rPr>
        <w:t>.</w:t>
      </w:r>
      <w:r>
        <w:rPr>
          <w:bCs/>
          <w:color w:val="000000" w:themeColor="text1"/>
        </w:rPr>
        <w:t xml:space="preserve"> </w:t>
      </w:r>
      <w:r w:rsidR="00D16B33" w:rsidRPr="00D16B33">
        <w:t xml:space="preserve">A conformal </w:t>
      </w:r>
      <w:r w:rsidR="00D16B33" w:rsidRPr="00D16B33">
        <w:t xml:space="preserve">thermal protection material is characterized by the following: 1) it is based on a flexible reinforcement like felt; 2) it allows for large geometry segments because the reinforcement is delivered as broad goods (in wide, long rolls); 3) it is drape-able or formable during processing for easy integration; 4) the formability provides for lower thermal conductivity in complex curved regions; and 5) it has better strain-to-failure properties than rigid TPS materials.  A conformal TPS over a rigid aeroshell has the potential to solve </w:t>
      </w:r>
      <w:r w:rsidR="00A3282F" w:rsidRPr="00D16B33">
        <w:t>several</w:t>
      </w:r>
      <w:r w:rsidR="00D16B33" w:rsidRPr="00D16B33">
        <w:t xml:space="preserve"> challenges faced by traditional rigid TPS materials such as tiled </w:t>
      </w:r>
      <w:r w:rsidR="00D16B33">
        <w:t xml:space="preserve">rigid </w:t>
      </w:r>
      <w:r w:rsidR="00D16B33" w:rsidRPr="00D16B33">
        <w:t>PICA</w:t>
      </w:r>
      <w:r w:rsidR="00D16B33">
        <w:t xml:space="preserve">. </w:t>
      </w:r>
    </w:p>
    <w:p w14:paraId="3949A1B2" w14:textId="77777777" w:rsidR="00D16B33" w:rsidRDefault="00D16B33" w:rsidP="00EC24DC">
      <w:pPr>
        <w:autoSpaceDE w:val="0"/>
        <w:autoSpaceDN w:val="0"/>
        <w:adjustRightInd w:val="0"/>
        <w:spacing w:before="0" w:after="0"/>
      </w:pPr>
    </w:p>
    <w:p w14:paraId="7195609B" w14:textId="16DB2DAC" w:rsidR="005357EE" w:rsidRDefault="0013525E" w:rsidP="00EC24DC">
      <w:pPr>
        <w:autoSpaceDE w:val="0"/>
        <w:autoSpaceDN w:val="0"/>
        <w:adjustRightInd w:val="0"/>
        <w:spacing w:before="0" w:after="0"/>
        <w:sectPr w:rsidR="005357EE" w:rsidSect="00CB2EE8">
          <w:type w:val="continuous"/>
          <w:pgSz w:w="12240" w:h="15840"/>
          <w:pgMar w:top="1440" w:right="1440" w:bottom="1440" w:left="1440" w:header="720" w:footer="720" w:gutter="0"/>
          <w:cols w:num="2" w:space="360"/>
          <w:docGrid w:linePitch="360"/>
        </w:sectPr>
      </w:pPr>
      <w:r>
        <w:t>Both</w:t>
      </w:r>
      <w:r w:rsidR="00AF422B">
        <w:t xml:space="preserve"> </w:t>
      </w:r>
      <w:r w:rsidR="00D16B33">
        <w:t xml:space="preserve">C-PICA and S-PICA </w:t>
      </w:r>
      <w:r w:rsidR="00AF422B">
        <w:t>materials use</w:t>
      </w:r>
      <w:r w:rsidR="005E314B" w:rsidRPr="005E314B">
        <w:t xml:space="preserve"> a carbon felt substrate with a</w:t>
      </w:r>
      <w:r w:rsidR="005E314B">
        <w:t xml:space="preserve"> </w:t>
      </w:r>
      <w:r w:rsidR="005E314B" w:rsidRPr="005E314B">
        <w:t>polymer matrix similar to that of PICA.</w:t>
      </w:r>
      <w:r w:rsidR="0068181F">
        <w:t xml:space="preserve"> These felt-based versions of PICA </w:t>
      </w:r>
      <w:r w:rsidR="00D16B33">
        <w:t xml:space="preserve">have been shown to </w:t>
      </w:r>
      <w:r w:rsidR="0068181F">
        <w:t>offer much higher thermal protection efficiency over rigid PICA and hence provide opportunities for mass savings.</w:t>
      </w:r>
      <w:r w:rsidR="005357EE" w:rsidRPr="005357EE">
        <w:rPr>
          <w:vertAlign w:val="superscript"/>
        </w:rPr>
        <w:t>4</w:t>
      </w:r>
      <w:r w:rsidR="0068181F">
        <w:t xml:space="preserve"> </w:t>
      </w:r>
      <w:r w:rsidR="0068181F" w:rsidRPr="003C0780">
        <w:t xml:space="preserve">The compliant nature of these materials allows for use on a wide variety of substrates </w:t>
      </w:r>
      <w:r w:rsidR="00414C60" w:rsidRPr="003C0780">
        <w:t xml:space="preserve">and </w:t>
      </w:r>
      <w:r w:rsidR="00414C60">
        <w:t>therefore</w:t>
      </w:r>
    </w:p>
    <w:p w14:paraId="21A86E27" w14:textId="529E1D69" w:rsidR="00AB221C" w:rsidRDefault="00A3282F" w:rsidP="000F1D88">
      <w:pPr>
        <w:autoSpaceDE w:val="0"/>
        <w:autoSpaceDN w:val="0"/>
        <w:adjustRightInd w:val="0"/>
        <w:spacing w:before="0" w:after="0"/>
        <w:jc w:val="center"/>
        <w:rPr>
          <w:bCs/>
          <w:color w:val="000000" w:themeColor="text1"/>
        </w:rPr>
        <w:sectPr w:rsidR="00AB221C" w:rsidSect="00CB2EE8">
          <w:type w:val="continuous"/>
          <w:pgSz w:w="12240" w:h="15840"/>
          <w:pgMar w:top="1440" w:right="1440" w:bottom="1440" w:left="1440" w:header="720" w:footer="720" w:gutter="0"/>
          <w:cols w:num="2" w:space="360"/>
          <w:docGrid w:linePitch="360"/>
        </w:sectPr>
      </w:pPr>
      <w:r>
        <w:rPr>
          <w:noProof/>
        </w:rPr>
        <w:lastRenderedPageBreak/>
        <w:drawing>
          <wp:anchor distT="0" distB="0" distL="114300" distR="114300" simplePos="0" relativeHeight="251658240" behindDoc="0" locked="0" layoutInCell="1" allowOverlap="1" wp14:anchorId="2B0CE45F" wp14:editId="49626268">
            <wp:simplePos x="0" y="0"/>
            <wp:positionH relativeFrom="margin">
              <wp:posOffset>-38100</wp:posOffset>
            </wp:positionH>
            <wp:positionV relativeFrom="paragraph">
              <wp:posOffset>244475</wp:posOffset>
            </wp:positionV>
            <wp:extent cx="5943600" cy="2800790"/>
            <wp:effectExtent l="0" t="0" r="0" b="0"/>
            <wp:wrapThrough wrapText="bothSides">
              <wp:wrapPolygon edited="0">
                <wp:start x="0" y="0"/>
                <wp:lineTo x="0" y="21453"/>
                <wp:lineTo x="19246" y="21453"/>
                <wp:lineTo x="20077" y="21453"/>
                <wp:lineTo x="20562" y="21306"/>
                <wp:lineTo x="20769" y="21159"/>
                <wp:lineTo x="21531" y="19396"/>
                <wp:lineTo x="21531" y="18661"/>
                <wp:lineTo x="21185" y="16457"/>
                <wp:lineTo x="21046" y="2351"/>
                <wp:lineTo x="21392" y="1469"/>
                <wp:lineTo x="20908" y="147"/>
                <wp:lineTo x="19177" y="0"/>
                <wp:lineTo x="0" y="0"/>
              </wp:wrapPolygon>
            </wp:wrapThrough>
            <wp:docPr id="1654465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65011" name="Picture 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943600" cy="2800790"/>
                    </a:xfrm>
                    <a:prstGeom prst="rect">
                      <a:avLst/>
                    </a:prstGeom>
                  </pic:spPr>
                </pic:pic>
              </a:graphicData>
            </a:graphic>
          </wp:anchor>
        </w:drawing>
      </w:r>
    </w:p>
    <w:p w14:paraId="7C5273E8" w14:textId="4E0F5ECF" w:rsidR="00AB221C" w:rsidRDefault="00AB221C" w:rsidP="00AB221C">
      <w:pPr>
        <w:pStyle w:val="Caption"/>
      </w:pPr>
      <w:r>
        <w:t xml:space="preserve">Figure </w:t>
      </w:r>
      <w:r>
        <w:fldChar w:fldCharType="begin"/>
      </w:r>
      <w:r>
        <w:instrText xml:space="preserve"> SEQ Figure \* ARABIC </w:instrText>
      </w:r>
      <w:r>
        <w:fldChar w:fldCharType="separate"/>
      </w:r>
      <w:r>
        <w:rPr>
          <w:noProof/>
        </w:rPr>
        <w:t>1</w:t>
      </w:r>
      <w:r>
        <w:rPr>
          <w:noProof/>
        </w:rPr>
        <w:fldChar w:fldCharType="end"/>
      </w:r>
      <w:r>
        <w:t>:</w:t>
      </w:r>
      <w:r>
        <w:tab/>
      </w:r>
      <w:r w:rsidR="00E24E17">
        <w:t>Comparison of fabrication/integration complexity of rigid PICA, Conformal PICA and PICA-Flex.</w:t>
      </w:r>
    </w:p>
    <w:p w14:paraId="2E3812A9" w14:textId="77777777" w:rsidR="00AB221C" w:rsidRDefault="00AB221C" w:rsidP="00ED0994">
      <w:pPr>
        <w:autoSpaceDE w:val="0"/>
        <w:autoSpaceDN w:val="0"/>
        <w:adjustRightInd w:val="0"/>
        <w:spacing w:before="0" w:after="0"/>
        <w:rPr>
          <w:bCs/>
          <w:color w:val="000000" w:themeColor="text1"/>
        </w:rPr>
      </w:pPr>
    </w:p>
    <w:p w14:paraId="023576CF" w14:textId="77777777" w:rsidR="00AB221C" w:rsidRDefault="00AB221C" w:rsidP="00ED0994">
      <w:pPr>
        <w:autoSpaceDE w:val="0"/>
        <w:autoSpaceDN w:val="0"/>
        <w:adjustRightInd w:val="0"/>
        <w:spacing w:before="0" w:after="0"/>
        <w:rPr>
          <w:bCs/>
          <w:color w:val="000000" w:themeColor="text1"/>
        </w:rPr>
        <w:sectPr w:rsidR="00AB221C" w:rsidSect="00CB2EE8">
          <w:type w:val="continuous"/>
          <w:pgSz w:w="12240" w:h="15840"/>
          <w:pgMar w:top="1440" w:right="1440" w:bottom="1440" w:left="1440" w:header="720" w:footer="720" w:gutter="0"/>
          <w:cols w:space="720"/>
          <w:docGrid w:linePitch="360"/>
        </w:sectPr>
      </w:pPr>
    </w:p>
    <w:p w14:paraId="018FAD37" w14:textId="65D3221B" w:rsidR="005357EE" w:rsidRPr="00D06404" w:rsidRDefault="005357EE" w:rsidP="005357EE">
      <w:pPr>
        <w:autoSpaceDE w:val="0"/>
        <w:autoSpaceDN w:val="0"/>
        <w:adjustRightInd w:val="0"/>
        <w:spacing w:before="0" w:after="0"/>
      </w:pPr>
      <w:r w:rsidRPr="003C0780">
        <w:t xml:space="preserve">makes it very attractive for commercial low </w:t>
      </w:r>
      <w:r w:rsidR="00DB2119">
        <w:t>E</w:t>
      </w:r>
      <w:r w:rsidRPr="003C0780">
        <w:t xml:space="preserve">arth orbit </w:t>
      </w:r>
      <w:r w:rsidR="00DB2119">
        <w:t xml:space="preserve">(LEO) </w:t>
      </w:r>
      <w:r w:rsidRPr="003C0780">
        <w:t>missions</w:t>
      </w:r>
      <w:r>
        <w:t>, Mars missions</w:t>
      </w:r>
      <w:r w:rsidR="00DB2119">
        <w:t>,</w:t>
      </w:r>
      <w:r>
        <w:t xml:space="preserve"> </w:t>
      </w:r>
      <w:r w:rsidRPr="003C0780">
        <w:t xml:space="preserve">as well as NASA’s </w:t>
      </w:r>
      <w:r>
        <w:t xml:space="preserve">proposed </w:t>
      </w:r>
      <w:r w:rsidRPr="003C0780">
        <w:t>aerocapture missions to Ice Giants.</w:t>
      </w:r>
      <w:r>
        <w:t xml:space="preserve"> </w:t>
      </w:r>
    </w:p>
    <w:p w14:paraId="7FF4CEE0" w14:textId="77777777" w:rsidR="005357EE" w:rsidRDefault="005357EE" w:rsidP="005357EE">
      <w:pPr>
        <w:autoSpaceDE w:val="0"/>
        <w:autoSpaceDN w:val="0"/>
        <w:adjustRightInd w:val="0"/>
        <w:spacing w:before="0" w:after="0"/>
        <w:jc w:val="left"/>
      </w:pPr>
    </w:p>
    <w:p w14:paraId="3B37CFA6" w14:textId="45EC9104" w:rsidR="003D27D3" w:rsidRDefault="005357EE" w:rsidP="005357EE">
      <w:pPr>
        <w:autoSpaceDE w:val="0"/>
        <w:autoSpaceDN w:val="0"/>
        <w:adjustRightInd w:val="0"/>
        <w:spacing w:before="0" w:after="0"/>
        <w:rPr>
          <w:bCs/>
          <w:color w:val="000000" w:themeColor="text1"/>
        </w:rPr>
      </w:pPr>
      <w:r>
        <w:t>As shown in Figure 1, the main difference between rigid PICA and the conformal versions of PICA (C-PICA and S-PICA) are the carbon substrate. A</w:t>
      </w:r>
      <w:r>
        <w:rPr>
          <w:bCs/>
          <w:color w:val="000000" w:themeColor="text1"/>
        </w:rPr>
        <w:t>ll these materials subsequently require a lengthy infusion process followed by complex machining and integration techniques. So</w:t>
      </w:r>
      <w:r w:rsidR="00EE64EB">
        <w:rPr>
          <w:bCs/>
          <w:color w:val="000000" w:themeColor="text1"/>
        </w:rPr>
        <w:t>,</w:t>
      </w:r>
      <w:r>
        <w:rPr>
          <w:bCs/>
          <w:color w:val="000000" w:themeColor="text1"/>
        </w:rPr>
        <w:t xml:space="preserve"> while the conformal and soft versions of PICA do offer improved thermal </w:t>
      </w:r>
      <w:r w:rsidR="003D27D3">
        <w:rPr>
          <w:bCs/>
          <w:color w:val="000000" w:themeColor="text1"/>
        </w:rPr>
        <w:t xml:space="preserve">performance, these systems are still costly to fabricate and integrate which is not conducive to lowering the cost for future NASA missions or commercial space. </w:t>
      </w:r>
    </w:p>
    <w:p w14:paraId="3169DFC2" w14:textId="77777777" w:rsidR="003D27D3" w:rsidRDefault="003D27D3" w:rsidP="005357EE">
      <w:pPr>
        <w:autoSpaceDE w:val="0"/>
        <w:autoSpaceDN w:val="0"/>
        <w:adjustRightInd w:val="0"/>
        <w:spacing w:before="0" w:after="0"/>
        <w:rPr>
          <w:bCs/>
          <w:color w:val="000000" w:themeColor="text1"/>
        </w:rPr>
      </w:pPr>
    </w:p>
    <w:p w14:paraId="32DDE023" w14:textId="6FD06363" w:rsidR="005357EE" w:rsidRDefault="005357EE" w:rsidP="005357EE">
      <w:pPr>
        <w:autoSpaceDE w:val="0"/>
        <w:autoSpaceDN w:val="0"/>
        <w:adjustRightInd w:val="0"/>
        <w:spacing w:before="0" w:after="0"/>
        <w:rPr>
          <w:bCs/>
          <w:color w:val="000000" w:themeColor="text1"/>
        </w:rPr>
      </w:pPr>
      <w:r w:rsidRPr="007B1100">
        <w:rPr>
          <w:bCs/>
          <w:color w:val="000000" w:themeColor="text1"/>
        </w:rPr>
        <w:t xml:space="preserve">Emerging commercial space </w:t>
      </w:r>
      <w:r>
        <w:rPr>
          <w:bCs/>
          <w:color w:val="000000" w:themeColor="text1"/>
        </w:rPr>
        <w:t>companies are seeking</w:t>
      </w:r>
      <w:r w:rsidRPr="007B1100">
        <w:rPr>
          <w:bCs/>
          <w:color w:val="000000" w:themeColor="text1"/>
        </w:rPr>
        <w:t xml:space="preserve"> </w:t>
      </w:r>
      <w:r w:rsidR="003D27D3">
        <w:rPr>
          <w:bCs/>
          <w:color w:val="000000" w:themeColor="text1"/>
        </w:rPr>
        <w:t xml:space="preserve">very </w:t>
      </w:r>
      <w:r w:rsidRPr="007B1100">
        <w:rPr>
          <w:bCs/>
          <w:color w:val="000000" w:themeColor="text1"/>
        </w:rPr>
        <w:t xml:space="preserve">low-cost, rapidly </w:t>
      </w:r>
      <w:r w:rsidRPr="00945BA1">
        <w:rPr>
          <w:bCs/>
          <w:color w:val="000000" w:themeColor="text1"/>
        </w:rPr>
        <w:t>producible,</w:t>
      </w:r>
      <w:r w:rsidRPr="007B1100">
        <w:rPr>
          <w:bCs/>
          <w:color w:val="000000" w:themeColor="text1"/>
        </w:rPr>
        <w:t xml:space="preserve"> and </w:t>
      </w:r>
      <w:r>
        <w:rPr>
          <w:bCs/>
          <w:color w:val="000000" w:themeColor="text1"/>
        </w:rPr>
        <w:t>easily integrated</w:t>
      </w:r>
      <w:r w:rsidRPr="007B1100">
        <w:rPr>
          <w:bCs/>
          <w:color w:val="000000" w:themeColor="text1"/>
        </w:rPr>
        <w:t xml:space="preserve"> ablative </w:t>
      </w:r>
      <w:r w:rsidR="003D27D3">
        <w:rPr>
          <w:bCs/>
          <w:color w:val="000000" w:themeColor="text1"/>
        </w:rPr>
        <w:t xml:space="preserve">(and reusable) </w:t>
      </w:r>
      <w:r w:rsidRPr="007B1100">
        <w:rPr>
          <w:bCs/>
          <w:color w:val="000000" w:themeColor="text1"/>
        </w:rPr>
        <w:t>TPS</w:t>
      </w:r>
      <w:r>
        <w:rPr>
          <w:bCs/>
          <w:color w:val="000000" w:themeColor="text1"/>
        </w:rPr>
        <w:t xml:space="preserve"> solutions</w:t>
      </w:r>
      <w:r w:rsidRPr="007B1100">
        <w:rPr>
          <w:bCs/>
          <w:color w:val="000000" w:themeColor="text1"/>
        </w:rPr>
        <w:t>.</w:t>
      </w:r>
      <w:r>
        <w:rPr>
          <w:bCs/>
          <w:color w:val="000000" w:themeColor="text1"/>
        </w:rPr>
        <w:t xml:space="preserve"> </w:t>
      </w:r>
      <w:r w:rsidRPr="0068181F">
        <w:rPr>
          <w:bCs/>
          <w:color w:val="000000" w:themeColor="text1"/>
        </w:rPr>
        <w:t xml:space="preserve">Reduced </w:t>
      </w:r>
      <w:r>
        <w:rPr>
          <w:bCs/>
          <w:color w:val="000000" w:themeColor="text1"/>
        </w:rPr>
        <w:t>material and integration</w:t>
      </w:r>
      <w:r w:rsidRPr="0068181F">
        <w:rPr>
          <w:bCs/>
          <w:color w:val="000000" w:themeColor="text1"/>
        </w:rPr>
        <w:t xml:space="preserve"> costs eliminate barriers facing emerging commercial space companies </w:t>
      </w:r>
      <w:r>
        <w:rPr>
          <w:bCs/>
          <w:color w:val="000000" w:themeColor="text1"/>
        </w:rPr>
        <w:t xml:space="preserve">that desire to return </w:t>
      </w:r>
      <w:r w:rsidRPr="0068181F">
        <w:rPr>
          <w:bCs/>
          <w:color w:val="000000" w:themeColor="text1"/>
        </w:rPr>
        <w:t xml:space="preserve">payloads to Earth or send payloads to other planets. </w:t>
      </w:r>
      <w:r>
        <w:rPr>
          <w:bCs/>
          <w:color w:val="000000" w:themeColor="text1"/>
        </w:rPr>
        <w:t xml:space="preserve">In addition to </w:t>
      </w:r>
      <w:r w:rsidRPr="0068181F">
        <w:rPr>
          <w:bCs/>
          <w:color w:val="000000" w:themeColor="text1"/>
        </w:rPr>
        <w:t xml:space="preserve">low-cost, </w:t>
      </w:r>
      <w:r>
        <w:rPr>
          <w:bCs/>
          <w:color w:val="000000" w:themeColor="text1"/>
        </w:rPr>
        <w:t xml:space="preserve">NASA and commercial space </w:t>
      </w:r>
      <w:r w:rsidR="00DB2119">
        <w:rPr>
          <w:bCs/>
          <w:color w:val="000000" w:themeColor="text1"/>
        </w:rPr>
        <w:t xml:space="preserve">companies </w:t>
      </w:r>
      <w:r>
        <w:rPr>
          <w:bCs/>
          <w:color w:val="000000" w:themeColor="text1"/>
        </w:rPr>
        <w:t xml:space="preserve">desire materials with </w:t>
      </w:r>
      <w:r w:rsidRPr="0068181F">
        <w:rPr>
          <w:bCs/>
          <w:color w:val="000000" w:themeColor="text1"/>
        </w:rPr>
        <w:t>environmentally low-footprint manufacturing</w:t>
      </w:r>
      <w:r>
        <w:rPr>
          <w:bCs/>
          <w:color w:val="000000" w:themeColor="text1"/>
        </w:rPr>
        <w:t xml:space="preserve">. </w:t>
      </w:r>
      <w:r w:rsidRPr="00D06404">
        <w:rPr>
          <w:bCs/>
          <w:color w:val="000000" w:themeColor="text1"/>
        </w:rPr>
        <w:t>The Thermal Protection Materials Branch at NASA Ames Research Center has developed and fabricated a new ablative TPS hybrid blanket material that addresses these needs. This material is called Flexible Phenolic Intermingled Carbon Ablator (PICA-Flex)</w:t>
      </w:r>
      <w:r w:rsidR="00D328C9">
        <w:rPr>
          <w:bCs/>
          <w:color w:val="000000" w:themeColor="text1"/>
        </w:rPr>
        <w:t>,</w:t>
      </w:r>
      <w:r w:rsidRPr="00D06404">
        <w:rPr>
          <w:bCs/>
          <w:color w:val="000000" w:themeColor="text1"/>
        </w:rPr>
        <w:t xml:space="preserve"> and it is one of many new materials in a family of materials </w:t>
      </w:r>
      <w:r w:rsidR="00EE64EB">
        <w:rPr>
          <w:bCs/>
          <w:color w:val="000000" w:themeColor="text1"/>
        </w:rPr>
        <w:t xml:space="preserve">referred to as </w:t>
      </w:r>
      <w:r w:rsidRPr="00D06404">
        <w:rPr>
          <w:bCs/>
          <w:color w:val="000000" w:themeColor="text1"/>
        </w:rPr>
        <w:t>MERINO</w:t>
      </w:r>
      <w:r w:rsidR="00EE64EB">
        <w:rPr>
          <w:bCs/>
          <w:color w:val="000000" w:themeColor="text1"/>
        </w:rPr>
        <w:t xml:space="preserve">, or </w:t>
      </w:r>
      <w:r w:rsidRPr="00D06404">
        <w:rPr>
          <w:bCs/>
          <w:color w:val="000000" w:themeColor="text1"/>
        </w:rPr>
        <w:t>Materials Engineered for Re-entry using Innovative Needling Operations.</w:t>
      </w:r>
      <w:r w:rsidRPr="00EC24DC">
        <w:rPr>
          <w:bCs/>
          <w:color w:val="000000" w:themeColor="text1"/>
        </w:rPr>
        <w:t xml:space="preserve"> </w:t>
      </w:r>
    </w:p>
    <w:p w14:paraId="7EA313B6" w14:textId="13616222" w:rsidR="005357EE" w:rsidRDefault="005357EE" w:rsidP="005357EE">
      <w:pPr>
        <w:autoSpaceDE w:val="0"/>
        <w:autoSpaceDN w:val="0"/>
        <w:adjustRightInd w:val="0"/>
        <w:spacing w:before="0" w:after="0"/>
        <w:rPr>
          <w:bCs/>
          <w:color w:val="000000" w:themeColor="text1"/>
        </w:rPr>
      </w:pPr>
      <w:r w:rsidRPr="00EC24DC">
        <w:rPr>
          <w:bCs/>
          <w:color w:val="000000" w:themeColor="text1"/>
        </w:rPr>
        <w:t xml:space="preserve">Unlike traditional rigid ablative tiles that require costly and time intensive infusion processes, PICA-Flex intermingles </w:t>
      </w:r>
      <w:r w:rsidR="00DB2119">
        <w:rPr>
          <w:bCs/>
          <w:color w:val="000000" w:themeColor="text1"/>
        </w:rPr>
        <w:t>c</w:t>
      </w:r>
      <w:r w:rsidRPr="00EC24DC">
        <w:rPr>
          <w:bCs/>
          <w:color w:val="000000" w:themeColor="text1"/>
        </w:rPr>
        <w:t xml:space="preserve">arbon and </w:t>
      </w:r>
      <w:r w:rsidR="00DB2119">
        <w:rPr>
          <w:bCs/>
          <w:color w:val="000000" w:themeColor="text1"/>
        </w:rPr>
        <w:t>p</w:t>
      </w:r>
      <w:r w:rsidRPr="00EC24DC">
        <w:rPr>
          <w:bCs/>
          <w:color w:val="000000" w:themeColor="text1"/>
        </w:rPr>
        <w:t xml:space="preserve">henolic fiber to create a </w:t>
      </w:r>
      <w:r>
        <w:rPr>
          <w:bCs/>
          <w:color w:val="000000" w:themeColor="text1"/>
        </w:rPr>
        <w:br/>
      </w:r>
      <w:r w:rsidRPr="00EC24DC">
        <w:rPr>
          <w:bCs/>
          <w:color w:val="000000" w:themeColor="text1"/>
        </w:rPr>
        <w:t>nonwoven felt material that is more akin to a blanket than a rigid TPS. This ablative blanket significantly reduces manu</w:t>
      </w:r>
      <w:r>
        <w:rPr>
          <w:bCs/>
          <w:color w:val="000000" w:themeColor="text1"/>
        </w:rPr>
        <w:t>f</w:t>
      </w:r>
      <w:r w:rsidRPr="00EC24DC">
        <w:rPr>
          <w:bCs/>
          <w:color w:val="000000" w:themeColor="text1"/>
        </w:rPr>
        <w:t>acturing and integration complexity</w:t>
      </w:r>
      <w:r>
        <w:rPr>
          <w:bCs/>
          <w:color w:val="000000" w:themeColor="text1"/>
        </w:rPr>
        <w:t>. While likely not as capable as other rigid materials, there are a significant number of missions for which this material is suitable</w:t>
      </w:r>
      <w:r w:rsidR="00EE64EB">
        <w:rPr>
          <w:bCs/>
          <w:color w:val="000000" w:themeColor="text1"/>
        </w:rPr>
        <w:t xml:space="preserve"> as shown in Figure 2</w:t>
      </w:r>
      <w:r>
        <w:rPr>
          <w:bCs/>
          <w:color w:val="000000" w:themeColor="text1"/>
        </w:rPr>
        <w:t>.</w:t>
      </w:r>
    </w:p>
    <w:p w14:paraId="587660C8" w14:textId="4E856DA5" w:rsidR="00ED0994" w:rsidRDefault="00880E1D" w:rsidP="00E24E17">
      <w:pPr>
        <w:autoSpaceDE w:val="0"/>
        <w:autoSpaceDN w:val="0"/>
        <w:adjustRightInd w:val="0"/>
        <w:spacing w:before="0" w:after="0"/>
        <w:jc w:val="center"/>
        <w:rPr>
          <w:bCs/>
          <w:color w:val="000000" w:themeColor="text1"/>
        </w:rPr>
      </w:pPr>
      <w:r>
        <w:rPr>
          <w:bCs/>
          <w:noProof/>
          <w:color w:val="000000" w:themeColor="text1"/>
        </w:rPr>
        <w:drawing>
          <wp:inline distT="0" distB="0" distL="0" distR="0" wp14:anchorId="193FD242" wp14:editId="6277D1C0">
            <wp:extent cx="2410723" cy="148630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rcRect t="11156" b="4017"/>
                    <a:stretch/>
                  </pic:blipFill>
                  <pic:spPr bwMode="auto">
                    <a:xfrm>
                      <a:off x="0" y="0"/>
                      <a:ext cx="2473471" cy="1524992"/>
                    </a:xfrm>
                    <a:prstGeom prst="rect">
                      <a:avLst/>
                    </a:prstGeom>
                    <a:ln>
                      <a:noFill/>
                    </a:ln>
                    <a:extLst>
                      <a:ext uri="{53640926-AAD7-44D8-BBD7-CCE9431645EC}">
                        <a14:shadowObscured xmlns:a14="http://schemas.microsoft.com/office/drawing/2010/main"/>
                      </a:ext>
                    </a:extLst>
                  </pic:spPr>
                </pic:pic>
              </a:graphicData>
            </a:graphic>
          </wp:inline>
        </w:drawing>
      </w:r>
    </w:p>
    <w:p w14:paraId="52155C7E" w14:textId="7CBCF133" w:rsidR="00ED0994" w:rsidRDefault="00880E1D" w:rsidP="00E24E17">
      <w:pPr>
        <w:autoSpaceDE w:val="0"/>
        <w:autoSpaceDN w:val="0"/>
        <w:adjustRightInd w:val="0"/>
        <w:spacing w:before="0" w:after="0"/>
        <w:jc w:val="center"/>
        <w:rPr>
          <w:bCs/>
          <w:color w:val="000000" w:themeColor="text1"/>
        </w:rPr>
      </w:pPr>
      <w:r>
        <w:rPr>
          <w:bCs/>
          <w:noProof/>
          <w:color w:val="000000" w:themeColor="text1"/>
        </w:rPr>
        <w:drawing>
          <wp:inline distT="0" distB="0" distL="0" distR="0" wp14:anchorId="777E2164" wp14:editId="45D25D47">
            <wp:extent cx="2416645" cy="1509393"/>
            <wp:effectExtent l="0" t="0" r="0" b="2540"/>
            <wp:docPr id="2076179289" name="Picture 207617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79289" name="Picture 2076179289"/>
                    <pic:cNvPicPr>
                      <a:picLocks noChangeAspect="1" noChangeArrowheads="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rcRect t="3832" b="3832"/>
                    <a:stretch>
                      <a:fillRect/>
                    </a:stretch>
                  </pic:blipFill>
                  <pic:spPr bwMode="auto">
                    <a:xfrm>
                      <a:off x="0" y="0"/>
                      <a:ext cx="2452814" cy="1531983"/>
                    </a:xfrm>
                    <a:prstGeom prst="rect">
                      <a:avLst/>
                    </a:prstGeom>
                    <a:extLst>
                      <a:ext uri="{53640926-AAD7-44D8-BBD7-CCE9431645EC}">
                        <a14:shadowObscured xmlns:a14="http://schemas.microsoft.com/office/drawing/2010/main"/>
                      </a:ext>
                    </a:extLst>
                  </pic:spPr>
                </pic:pic>
              </a:graphicData>
            </a:graphic>
          </wp:inline>
        </w:drawing>
      </w:r>
    </w:p>
    <w:p w14:paraId="0FAE8CFE" w14:textId="6DE0737C" w:rsidR="00880E1D" w:rsidRDefault="00880E1D" w:rsidP="00880E1D">
      <w:pPr>
        <w:pStyle w:val="Caption"/>
      </w:pPr>
      <w:r>
        <w:t xml:space="preserve">Figure </w:t>
      </w:r>
      <w:r>
        <w:fldChar w:fldCharType="begin"/>
      </w:r>
      <w:r>
        <w:instrText xml:space="preserve"> SEQ Figure \* ARABIC </w:instrText>
      </w:r>
      <w:r>
        <w:fldChar w:fldCharType="separate"/>
      </w:r>
      <w:r w:rsidR="00E24E17">
        <w:rPr>
          <w:noProof/>
        </w:rPr>
        <w:t>2</w:t>
      </w:r>
      <w:r>
        <w:rPr>
          <w:noProof/>
        </w:rPr>
        <w:fldChar w:fldCharType="end"/>
      </w:r>
      <w:r>
        <w:t>:</w:t>
      </w:r>
      <w:r>
        <w:tab/>
        <w:t>Targeted environment</w:t>
      </w:r>
      <w:r w:rsidR="00E24E17">
        <w:t>s</w:t>
      </w:r>
      <w:r>
        <w:t xml:space="preserve"> and potential mission </w:t>
      </w:r>
      <w:r w:rsidR="00E24E17">
        <w:t>space for C/S- PICA and PICA-Flex</w:t>
      </w:r>
      <w:r>
        <w:t>.</w:t>
      </w:r>
    </w:p>
    <w:p w14:paraId="3B9E875B" w14:textId="004BACD7" w:rsidR="00E24E17" w:rsidRDefault="00E24E17" w:rsidP="00E24E17">
      <w:pPr>
        <w:autoSpaceDE w:val="0"/>
        <w:autoSpaceDN w:val="0"/>
        <w:adjustRightInd w:val="0"/>
        <w:spacing w:before="0" w:after="0"/>
      </w:pPr>
      <w:r w:rsidRPr="00D06404">
        <w:lastRenderedPageBreak/>
        <w:t>Laboratory testing of the baseline C-PICA</w:t>
      </w:r>
      <w:r>
        <w:t>, S-PICA</w:t>
      </w:r>
      <w:r w:rsidR="00DB2119">
        <w:t>,</w:t>
      </w:r>
      <w:r>
        <w:t xml:space="preserve"> and PICA-Flex </w:t>
      </w:r>
      <w:r w:rsidRPr="00D06404">
        <w:t>material</w:t>
      </w:r>
      <w:r>
        <w:t xml:space="preserve">s </w:t>
      </w:r>
      <w:r w:rsidRPr="00D06404">
        <w:t>was conducted to determine basic material properties</w:t>
      </w:r>
      <w:r w:rsidR="00DB2119">
        <w:t>,</w:t>
      </w:r>
      <w:r>
        <w:t xml:space="preserve"> and </w:t>
      </w:r>
      <w:r w:rsidRPr="00D06404">
        <w:t>material response model</w:t>
      </w:r>
      <w:r>
        <w:t>s</w:t>
      </w:r>
      <w:r w:rsidRPr="00D06404">
        <w:t xml:space="preserve"> for </w:t>
      </w:r>
      <w:r>
        <w:t>each were</w:t>
      </w:r>
      <w:r w:rsidRPr="00D06404">
        <w:t xml:space="preserve"> developed. </w:t>
      </w:r>
      <w:r>
        <w:t xml:space="preserve">This </w:t>
      </w:r>
      <w:r w:rsidRPr="00D06404">
        <w:t>paper documents this initial material modeling</w:t>
      </w:r>
      <w:r w:rsidR="00DB2119">
        <w:t>,</w:t>
      </w:r>
      <w:r>
        <w:t xml:space="preserve"> and results are presented comparing performance against SoA rigid PICA. </w:t>
      </w:r>
      <w:r w:rsidRPr="00B74167">
        <w:t>In support of STMD’s strategic framework which recognizes a gap in low-cost TPS for heatshield and back shell applications, PICA-Flex has the potential to be game changing.</w:t>
      </w:r>
    </w:p>
    <w:p w14:paraId="31DDADAF" w14:textId="77777777" w:rsidR="00AF458F" w:rsidRPr="00AF458F" w:rsidRDefault="00AF458F" w:rsidP="00AF458F">
      <w:pPr>
        <w:autoSpaceDE w:val="0"/>
        <w:autoSpaceDN w:val="0"/>
        <w:adjustRightInd w:val="0"/>
        <w:spacing w:before="0" w:after="0"/>
      </w:pPr>
    </w:p>
    <w:p w14:paraId="79312504" w14:textId="5287ED7A" w:rsidR="000B4D09" w:rsidRDefault="000B4D09" w:rsidP="000B4D09">
      <w:pPr>
        <w:pStyle w:val="Heading1"/>
      </w:pPr>
      <w:r>
        <w:t>Material Fabrication</w:t>
      </w:r>
    </w:p>
    <w:p w14:paraId="6D902C83" w14:textId="3E96BB36" w:rsidR="001429A6" w:rsidRPr="001429A6" w:rsidRDefault="001429A6" w:rsidP="001429A6">
      <w:pPr>
        <w:autoSpaceDE w:val="0"/>
        <w:autoSpaceDN w:val="0"/>
        <w:adjustRightInd w:val="0"/>
        <w:spacing w:before="0" w:after="0"/>
      </w:pPr>
      <w:r>
        <w:t xml:space="preserve">The process for fabricating </w:t>
      </w:r>
      <w:r w:rsidRPr="001429A6">
        <w:t xml:space="preserve">PICA-Flex </w:t>
      </w:r>
      <w:r>
        <w:t>begins by intermingling c</w:t>
      </w:r>
      <w:r w:rsidRPr="001429A6">
        <w:t xml:space="preserve">arbon and </w:t>
      </w:r>
      <w:r>
        <w:t>p</w:t>
      </w:r>
      <w:r w:rsidRPr="001429A6">
        <w:t>henolic fiber to create a batting layer. These layers of batting are then needle punched together to produce a nonwoven felt</w:t>
      </w:r>
      <w:r>
        <w:t xml:space="preserve"> as shown in Figure 3. </w:t>
      </w:r>
      <w:r w:rsidRPr="001429A6">
        <w:t>This process is conducive to creating a dual layer, or functionally graded material.</w:t>
      </w:r>
    </w:p>
    <w:p w14:paraId="5A990C64" w14:textId="33A8164D" w:rsidR="005E314B" w:rsidRDefault="000F1D88" w:rsidP="000F1D88">
      <w:pPr>
        <w:autoSpaceDE w:val="0"/>
        <w:autoSpaceDN w:val="0"/>
        <w:adjustRightInd w:val="0"/>
        <w:spacing w:before="0" w:after="0"/>
        <w:jc w:val="center"/>
        <w:rPr>
          <w:bCs/>
          <w:color w:val="000000" w:themeColor="text1"/>
        </w:rPr>
      </w:pPr>
      <w:r>
        <w:rPr>
          <w:b/>
          <w:bCs/>
          <w:noProof/>
        </w:rPr>
        <w:drawing>
          <wp:inline distT="0" distB="0" distL="0" distR="0" wp14:anchorId="11F93261" wp14:editId="48715222">
            <wp:extent cx="2034321" cy="1003580"/>
            <wp:effectExtent l="0" t="0" r="0" b="0"/>
            <wp:docPr id="108498929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89296" name="Picture 1"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9295" cy="1040566"/>
                    </a:xfrm>
                    <a:prstGeom prst="rect">
                      <a:avLst/>
                    </a:prstGeom>
                  </pic:spPr>
                </pic:pic>
              </a:graphicData>
            </a:graphic>
          </wp:inline>
        </w:drawing>
      </w:r>
    </w:p>
    <w:p w14:paraId="67E8A6A4" w14:textId="77051CD1" w:rsidR="00DE42D7" w:rsidRPr="001429A6" w:rsidRDefault="001429A6" w:rsidP="001429A6">
      <w:pPr>
        <w:autoSpaceDE w:val="0"/>
        <w:autoSpaceDN w:val="0"/>
        <w:adjustRightInd w:val="0"/>
        <w:spacing w:before="0" w:after="0"/>
        <w:jc w:val="center"/>
        <w:rPr>
          <w:b/>
          <w:bCs/>
          <w:color w:val="000000" w:themeColor="text1"/>
        </w:rPr>
      </w:pPr>
      <w:r w:rsidRPr="001429A6">
        <w:rPr>
          <w:b/>
          <w:bCs/>
        </w:rPr>
        <w:t xml:space="preserve">Figure </w:t>
      </w:r>
      <w:r w:rsidRPr="001429A6">
        <w:rPr>
          <w:b/>
          <w:bCs/>
        </w:rPr>
        <w:fldChar w:fldCharType="begin"/>
      </w:r>
      <w:r w:rsidRPr="001429A6">
        <w:rPr>
          <w:b/>
          <w:bCs/>
        </w:rPr>
        <w:instrText xml:space="preserve"> SEQ Figure \* ARABIC </w:instrText>
      </w:r>
      <w:r w:rsidRPr="001429A6">
        <w:rPr>
          <w:b/>
          <w:bCs/>
        </w:rPr>
        <w:fldChar w:fldCharType="separate"/>
      </w:r>
      <w:r>
        <w:rPr>
          <w:b/>
          <w:bCs/>
          <w:noProof/>
        </w:rPr>
        <w:t>3</w:t>
      </w:r>
      <w:r w:rsidRPr="001429A6">
        <w:rPr>
          <w:b/>
          <w:bCs/>
          <w:noProof/>
        </w:rPr>
        <w:fldChar w:fldCharType="end"/>
      </w:r>
      <w:r w:rsidRPr="001429A6">
        <w:rPr>
          <w:b/>
          <w:bCs/>
        </w:rPr>
        <w:t>:</w:t>
      </w:r>
      <w:r>
        <w:rPr>
          <w:b/>
          <w:bCs/>
        </w:rPr>
        <w:t xml:space="preserve"> Illustration of the felting process which involves needling together layers of batting.</w:t>
      </w:r>
    </w:p>
    <w:p w14:paraId="4DB42385" w14:textId="77777777" w:rsidR="001429A6" w:rsidRDefault="001429A6" w:rsidP="005E314B">
      <w:pPr>
        <w:autoSpaceDE w:val="0"/>
        <w:autoSpaceDN w:val="0"/>
        <w:adjustRightInd w:val="0"/>
        <w:spacing w:before="0" w:after="0"/>
        <w:jc w:val="left"/>
        <w:rPr>
          <w:bCs/>
          <w:color w:val="000000" w:themeColor="text1"/>
        </w:rPr>
      </w:pPr>
    </w:p>
    <w:p w14:paraId="3D62CCC3" w14:textId="4732BEA3" w:rsidR="00DE42D7" w:rsidRDefault="001429A6" w:rsidP="00384972">
      <w:pPr>
        <w:autoSpaceDE w:val="0"/>
        <w:autoSpaceDN w:val="0"/>
        <w:adjustRightInd w:val="0"/>
        <w:spacing w:before="0" w:after="0"/>
        <w:rPr>
          <w:bCs/>
          <w:color w:val="000000" w:themeColor="text1"/>
        </w:rPr>
      </w:pPr>
      <w:r>
        <w:rPr>
          <w:bCs/>
          <w:color w:val="000000" w:themeColor="text1"/>
        </w:rPr>
        <w:t xml:space="preserve">In partnership with industry, NASA Ames fabricated </w:t>
      </w:r>
      <w:r w:rsidR="00384972">
        <w:rPr>
          <w:bCs/>
          <w:color w:val="000000" w:themeColor="text1"/>
        </w:rPr>
        <w:t>4 PICA-Flex materials</w:t>
      </w:r>
      <w:r w:rsidR="008720BD">
        <w:rPr>
          <w:bCs/>
          <w:color w:val="000000" w:themeColor="text1"/>
        </w:rPr>
        <w:t xml:space="preserve"> that were 24x24-inch and 1.5-inch thick -</w:t>
      </w:r>
      <w:r w:rsidR="00384972">
        <w:rPr>
          <w:bCs/>
          <w:color w:val="000000" w:themeColor="text1"/>
        </w:rPr>
        <w:t xml:space="preserve"> two samples were 50% carbon </w:t>
      </w:r>
      <w:r w:rsidR="009A5557">
        <w:rPr>
          <w:bCs/>
          <w:color w:val="000000" w:themeColor="text1"/>
        </w:rPr>
        <w:t xml:space="preserve">and </w:t>
      </w:r>
      <w:r w:rsidR="00384972">
        <w:rPr>
          <w:bCs/>
          <w:color w:val="000000" w:themeColor="text1"/>
        </w:rPr>
        <w:t>50% phenolic, and two samples were 75% carbon</w:t>
      </w:r>
      <w:r w:rsidR="009A5557">
        <w:rPr>
          <w:bCs/>
          <w:color w:val="000000" w:themeColor="text1"/>
        </w:rPr>
        <w:t xml:space="preserve"> </w:t>
      </w:r>
      <w:r w:rsidR="00384972">
        <w:rPr>
          <w:bCs/>
          <w:color w:val="000000" w:themeColor="text1"/>
        </w:rPr>
        <w:t xml:space="preserve">and 25% phenolic. </w:t>
      </w:r>
    </w:p>
    <w:p w14:paraId="46ACC64F" w14:textId="77777777" w:rsidR="00577B4C" w:rsidRPr="00384972" w:rsidRDefault="00577B4C" w:rsidP="00384972">
      <w:pPr>
        <w:autoSpaceDE w:val="0"/>
        <w:autoSpaceDN w:val="0"/>
        <w:adjustRightInd w:val="0"/>
        <w:spacing w:before="0" w:after="0"/>
        <w:rPr>
          <w:bCs/>
          <w:color w:val="000000" w:themeColor="text1"/>
        </w:rPr>
      </w:pPr>
    </w:p>
    <w:p w14:paraId="0C69BBFE" w14:textId="4C1E8648" w:rsidR="00DE42D7" w:rsidRDefault="00DE42D7" w:rsidP="00384972">
      <w:pPr>
        <w:autoSpaceDE w:val="0"/>
        <w:autoSpaceDN w:val="0"/>
        <w:adjustRightInd w:val="0"/>
        <w:spacing w:before="0" w:after="0"/>
        <w:jc w:val="center"/>
        <w:rPr>
          <w:bCs/>
          <w:color w:val="000000" w:themeColor="text1"/>
        </w:rPr>
      </w:pPr>
      <w:r w:rsidRPr="00AD68C8">
        <w:rPr>
          <w:noProof/>
        </w:rPr>
        <w:drawing>
          <wp:inline distT="0" distB="0" distL="0" distR="0" wp14:anchorId="4A12584A" wp14:editId="5B7DFCCE">
            <wp:extent cx="2555778" cy="1614115"/>
            <wp:effectExtent l="0" t="0" r="0" b="0"/>
            <wp:docPr id="963527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27854" name=""/>
                    <pic:cNvPicPr/>
                  </pic:nvPicPr>
                  <pic:blipFill>
                    <a:blip r:embed="rId22"/>
                    <a:stretch>
                      <a:fillRect/>
                    </a:stretch>
                  </pic:blipFill>
                  <pic:spPr>
                    <a:xfrm>
                      <a:off x="0" y="0"/>
                      <a:ext cx="2607479" cy="1646767"/>
                    </a:xfrm>
                    <a:prstGeom prst="rect">
                      <a:avLst/>
                    </a:prstGeom>
                  </pic:spPr>
                </pic:pic>
              </a:graphicData>
            </a:graphic>
          </wp:inline>
        </w:drawing>
      </w:r>
    </w:p>
    <w:p w14:paraId="5B6DE117" w14:textId="39F03C81" w:rsidR="00DE42D7" w:rsidRDefault="00DE42D7" w:rsidP="00384972">
      <w:pPr>
        <w:autoSpaceDE w:val="0"/>
        <w:autoSpaceDN w:val="0"/>
        <w:adjustRightInd w:val="0"/>
        <w:spacing w:before="0" w:after="0"/>
        <w:jc w:val="center"/>
        <w:rPr>
          <w:bCs/>
          <w:color w:val="000000" w:themeColor="text1"/>
        </w:rPr>
      </w:pPr>
      <w:r w:rsidRPr="00AD68C8">
        <w:rPr>
          <w:noProof/>
        </w:rPr>
        <w:drawing>
          <wp:inline distT="0" distB="0" distL="0" distR="0" wp14:anchorId="504DE98B" wp14:editId="395D5466">
            <wp:extent cx="2561524" cy="1518699"/>
            <wp:effectExtent l="0" t="0" r="4445" b="5715"/>
            <wp:docPr id="519599959" name="Picture 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599959" name="Picture 1" descr="A picture containing text, indoor&#10;&#10;Description automatically generated"/>
                    <pic:cNvPicPr/>
                  </pic:nvPicPr>
                  <pic:blipFill>
                    <a:blip r:embed="rId23"/>
                    <a:stretch>
                      <a:fillRect/>
                    </a:stretch>
                  </pic:blipFill>
                  <pic:spPr>
                    <a:xfrm>
                      <a:off x="0" y="0"/>
                      <a:ext cx="2601679" cy="1542506"/>
                    </a:xfrm>
                    <a:prstGeom prst="rect">
                      <a:avLst/>
                    </a:prstGeom>
                  </pic:spPr>
                </pic:pic>
              </a:graphicData>
            </a:graphic>
          </wp:inline>
        </w:drawing>
      </w:r>
    </w:p>
    <w:p w14:paraId="152ED325" w14:textId="55ABE531" w:rsidR="00384972" w:rsidRDefault="00384972" w:rsidP="00384972">
      <w:pPr>
        <w:autoSpaceDE w:val="0"/>
        <w:autoSpaceDN w:val="0"/>
        <w:adjustRightInd w:val="0"/>
        <w:spacing w:before="0" w:after="0"/>
        <w:jc w:val="center"/>
        <w:rPr>
          <w:b/>
          <w:bCs/>
        </w:rPr>
      </w:pPr>
      <w:r w:rsidRPr="001429A6">
        <w:rPr>
          <w:b/>
          <w:bCs/>
        </w:rPr>
        <w:t xml:space="preserve">Figure </w:t>
      </w:r>
      <w:r w:rsidRPr="001429A6">
        <w:rPr>
          <w:b/>
          <w:bCs/>
        </w:rPr>
        <w:fldChar w:fldCharType="begin"/>
      </w:r>
      <w:r w:rsidRPr="001429A6">
        <w:rPr>
          <w:b/>
          <w:bCs/>
        </w:rPr>
        <w:instrText xml:space="preserve"> SEQ Figure \* ARABIC </w:instrText>
      </w:r>
      <w:r w:rsidRPr="001429A6">
        <w:rPr>
          <w:b/>
          <w:bCs/>
        </w:rPr>
        <w:fldChar w:fldCharType="separate"/>
      </w:r>
      <w:r>
        <w:rPr>
          <w:b/>
          <w:bCs/>
          <w:noProof/>
        </w:rPr>
        <w:t>4</w:t>
      </w:r>
      <w:r w:rsidRPr="001429A6">
        <w:rPr>
          <w:b/>
          <w:bCs/>
          <w:noProof/>
        </w:rPr>
        <w:fldChar w:fldCharType="end"/>
      </w:r>
      <w:r w:rsidRPr="001429A6">
        <w:rPr>
          <w:b/>
          <w:bCs/>
        </w:rPr>
        <w:t>:</w:t>
      </w:r>
      <w:r>
        <w:rPr>
          <w:b/>
          <w:bCs/>
        </w:rPr>
        <w:t xml:space="preserve"> Photos of recently fabricated PICA-Flex materials. (Top) 50/50 C/Ph, (Bottom) 75/24 C/Ph.</w:t>
      </w:r>
    </w:p>
    <w:p w14:paraId="4CAAACEA" w14:textId="77777777" w:rsidR="00DB2119" w:rsidRDefault="00DB2119" w:rsidP="008720BD">
      <w:pPr>
        <w:autoSpaceDE w:val="0"/>
        <w:autoSpaceDN w:val="0"/>
        <w:adjustRightInd w:val="0"/>
        <w:spacing w:before="0" w:after="0"/>
        <w:rPr>
          <w:bCs/>
          <w:color w:val="000000" w:themeColor="text1"/>
        </w:rPr>
      </w:pPr>
    </w:p>
    <w:p w14:paraId="00C83E26" w14:textId="3A93A195" w:rsidR="008720BD" w:rsidRPr="008720BD" w:rsidRDefault="008720BD" w:rsidP="008720BD">
      <w:pPr>
        <w:autoSpaceDE w:val="0"/>
        <w:autoSpaceDN w:val="0"/>
        <w:adjustRightInd w:val="0"/>
        <w:spacing w:before="0" w:after="0"/>
        <w:rPr>
          <w:bCs/>
          <w:color w:val="000000" w:themeColor="text1"/>
        </w:rPr>
      </w:pPr>
      <w:r>
        <w:rPr>
          <w:bCs/>
          <w:color w:val="000000" w:themeColor="text1"/>
        </w:rPr>
        <w:t>All samples had densities ranging from 0.16-0.20 g/cm</w:t>
      </w:r>
      <w:r w:rsidRPr="00384972">
        <w:rPr>
          <w:bCs/>
          <w:color w:val="000000" w:themeColor="text1"/>
          <w:vertAlign w:val="superscript"/>
        </w:rPr>
        <w:t>3</w:t>
      </w:r>
      <w:r>
        <w:rPr>
          <w:bCs/>
          <w:color w:val="000000" w:themeColor="text1"/>
        </w:rPr>
        <w:t xml:space="preserve">. Photos of sample PICA-Flex materials and the microstructure are show in Figure 4. </w:t>
      </w:r>
      <w:r w:rsidR="00C8621C">
        <w:rPr>
          <w:bCs/>
          <w:color w:val="000000" w:themeColor="text1"/>
        </w:rPr>
        <w:t xml:space="preserve">The remarkable flexibility of PICA-Flex is further demonstrated in Figure 5 where a strip of the composite TPS was bent over a standard 1.5-inch PVC pipe. </w:t>
      </w:r>
    </w:p>
    <w:p w14:paraId="3B19EAE0" w14:textId="77777777" w:rsidR="009A5557" w:rsidRDefault="009A5557" w:rsidP="00384972">
      <w:pPr>
        <w:autoSpaceDE w:val="0"/>
        <w:autoSpaceDN w:val="0"/>
        <w:adjustRightInd w:val="0"/>
        <w:spacing w:before="0" w:after="0"/>
        <w:jc w:val="center"/>
        <w:rPr>
          <w:bCs/>
          <w:color w:val="000000" w:themeColor="text1"/>
        </w:rPr>
      </w:pPr>
    </w:p>
    <w:p w14:paraId="236E0C0B" w14:textId="55CCE2E0" w:rsidR="00DE42D7" w:rsidRDefault="00DE42D7" w:rsidP="005E314B">
      <w:pPr>
        <w:autoSpaceDE w:val="0"/>
        <w:autoSpaceDN w:val="0"/>
        <w:adjustRightInd w:val="0"/>
        <w:spacing w:before="0" w:after="0"/>
        <w:jc w:val="left"/>
        <w:rPr>
          <w:bCs/>
          <w:color w:val="000000" w:themeColor="text1"/>
        </w:rPr>
      </w:pPr>
      <w:r>
        <w:rPr>
          <w:noProof/>
        </w:rPr>
        <w:drawing>
          <wp:inline distT="0" distB="0" distL="0" distR="0" wp14:anchorId="302887B0" wp14:editId="65E45E61">
            <wp:extent cx="2743200" cy="1828800"/>
            <wp:effectExtent l="0" t="0" r="0" b="0"/>
            <wp:docPr id="1326783928"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83928" name="Picture 1" descr="A picture containing indoo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0673431F" w14:textId="7FCC2F4E" w:rsidR="00DE42D7" w:rsidRDefault="00384972" w:rsidP="00384972">
      <w:pPr>
        <w:autoSpaceDE w:val="0"/>
        <w:autoSpaceDN w:val="0"/>
        <w:adjustRightInd w:val="0"/>
        <w:spacing w:before="0" w:after="0"/>
        <w:jc w:val="center"/>
        <w:rPr>
          <w:bCs/>
          <w:color w:val="000000" w:themeColor="text1"/>
        </w:rPr>
      </w:pPr>
      <w:r w:rsidRPr="001429A6">
        <w:rPr>
          <w:b/>
          <w:bCs/>
        </w:rPr>
        <w:t xml:space="preserve">Figure </w:t>
      </w:r>
      <w:r w:rsidRPr="001429A6">
        <w:rPr>
          <w:b/>
          <w:bCs/>
        </w:rPr>
        <w:fldChar w:fldCharType="begin"/>
      </w:r>
      <w:r w:rsidRPr="001429A6">
        <w:rPr>
          <w:b/>
          <w:bCs/>
        </w:rPr>
        <w:instrText xml:space="preserve"> SEQ Figure \* ARABIC </w:instrText>
      </w:r>
      <w:r w:rsidRPr="001429A6">
        <w:rPr>
          <w:b/>
          <w:bCs/>
        </w:rPr>
        <w:fldChar w:fldCharType="separate"/>
      </w:r>
      <w:r>
        <w:rPr>
          <w:b/>
          <w:bCs/>
          <w:noProof/>
        </w:rPr>
        <w:t>5</w:t>
      </w:r>
      <w:r w:rsidRPr="001429A6">
        <w:rPr>
          <w:b/>
          <w:bCs/>
          <w:noProof/>
        </w:rPr>
        <w:fldChar w:fldCharType="end"/>
      </w:r>
      <w:r w:rsidRPr="001429A6">
        <w:rPr>
          <w:b/>
          <w:bCs/>
        </w:rPr>
        <w:t>:</w:t>
      </w:r>
      <w:r>
        <w:rPr>
          <w:b/>
          <w:bCs/>
        </w:rPr>
        <w:t xml:space="preserve"> </w:t>
      </w:r>
      <w:r w:rsidR="00C8621C">
        <w:rPr>
          <w:b/>
          <w:bCs/>
        </w:rPr>
        <w:t xml:space="preserve">PICA-Flex material shown formed over a very tight radius PVC pipe. </w:t>
      </w:r>
    </w:p>
    <w:p w14:paraId="3762D05B" w14:textId="77777777" w:rsidR="001013E1" w:rsidRDefault="001013E1" w:rsidP="005C4B62"/>
    <w:p w14:paraId="591470EB" w14:textId="5CFC1377" w:rsidR="00C8621C" w:rsidRDefault="00C8621C" w:rsidP="00C8621C">
      <w:pPr>
        <w:pStyle w:val="Heading1"/>
      </w:pPr>
      <w:r>
        <w:t>Material Evaluation</w:t>
      </w:r>
    </w:p>
    <w:p w14:paraId="689BE67A" w14:textId="465ABE7B" w:rsidR="00C8621C" w:rsidRPr="00C8621C" w:rsidRDefault="00C8621C" w:rsidP="00C8621C">
      <w:pPr>
        <w:rPr>
          <w:bCs/>
          <w:color w:val="000000" w:themeColor="text1"/>
        </w:rPr>
      </w:pPr>
      <w:r w:rsidRPr="00C8621C">
        <w:rPr>
          <w:bCs/>
          <w:color w:val="000000" w:themeColor="text1"/>
        </w:rPr>
        <w:t>For standard rigid PICA</w:t>
      </w:r>
      <w:r>
        <w:rPr>
          <w:bCs/>
          <w:color w:val="000000" w:themeColor="text1"/>
        </w:rPr>
        <w:t xml:space="preserve"> and C-PICA</w:t>
      </w:r>
      <w:r w:rsidRPr="00C8621C">
        <w:rPr>
          <w:bCs/>
          <w:color w:val="000000" w:themeColor="text1"/>
        </w:rPr>
        <w:t>, NASA conducted extensive thermal,</w:t>
      </w:r>
      <w:r>
        <w:rPr>
          <w:bCs/>
          <w:color w:val="000000" w:themeColor="text1"/>
        </w:rPr>
        <w:t xml:space="preserve"> </w:t>
      </w:r>
      <w:r w:rsidRPr="00C8621C">
        <w:rPr>
          <w:bCs/>
          <w:color w:val="000000" w:themeColor="text1"/>
        </w:rPr>
        <w:t>mechanical, and other material property testing. Based on test results,</w:t>
      </w:r>
      <w:r>
        <w:rPr>
          <w:bCs/>
          <w:color w:val="000000" w:themeColor="text1"/>
        </w:rPr>
        <w:t xml:space="preserve"> </w:t>
      </w:r>
      <w:r w:rsidRPr="00C8621C">
        <w:rPr>
          <w:bCs/>
          <w:color w:val="000000" w:themeColor="text1"/>
        </w:rPr>
        <w:t xml:space="preserve">PICA </w:t>
      </w:r>
      <w:r>
        <w:rPr>
          <w:bCs/>
          <w:color w:val="000000" w:themeColor="text1"/>
        </w:rPr>
        <w:t>and C</w:t>
      </w:r>
      <w:r w:rsidR="00DB2119">
        <w:rPr>
          <w:bCs/>
          <w:color w:val="000000" w:themeColor="text1"/>
        </w:rPr>
        <w:t>-</w:t>
      </w:r>
      <w:r>
        <w:rPr>
          <w:bCs/>
          <w:color w:val="000000" w:themeColor="text1"/>
        </w:rPr>
        <w:t xml:space="preserve">PICA </w:t>
      </w:r>
      <w:r w:rsidRPr="00C8621C">
        <w:rPr>
          <w:bCs/>
          <w:color w:val="000000" w:themeColor="text1"/>
        </w:rPr>
        <w:t>material property model</w:t>
      </w:r>
      <w:r>
        <w:rPr>
          <w:bCs/>
          <w:color w:val="000000" w:themeColor="text1"/>
        </w:rPr>
        <w:t>s</w:t>
      </w:r>
      <w:r w:rsidRPr="00C8621C">
        <w:rPr>
          <w:bCs/>
          <w:color w:val="000000" w:themeColor="text1"/>
        </w:rPr>
        <w:t xml:space="preserve"> </w:t>
      </w:r>
      <w:r>
        <w:rPr>
          <w:bCs/>
          <w:color w:val="000000" w:themeColor="text1"/>
        </w:rPr>
        <w:t>were</w:t>
      </w:r>
      <w:r w:rsidRPr="00C8621C">
        <w:rPr>
          <w:bCs/>
          <w:color w:val="000000" w:themeColor="text1"/>
        </w:rPr>
        <w:t xml:space="preserve"> developed specifically for</w:t>
      </w:r>
      <w:r>
        <w:rPr>
          <w:bCs/>
          <w:color w:val="000000" w:themeColor="text1"/>
        </w:rPr>
        <w:t xml:space="preserve"> </w:t>
      </w:r>
      <w:r w:rsidRPr="00C8621C">
        <w:rPr>
          <w:bCs/>
          <w:color w:val="000000" w:themeColor="text1"/>
        </w:rPr>
        <w:t>use with the fully implicit ablation and thermal-response (FIAT) code</w:t>
      </w:r>
      <w:r>
        <w:rPr>
          <w:bCs/>
          <w:color w:val="000000" w:themeColor="text1"/>
        </w:rPr>
        <w:t xml:space="preserve"> </w:t>
      </w:r>
      <w:r w:rsidRPr="00C8621C">
        <w:rPr>
          <w:bCs/>
          <w:color w:val="000000" w:themeColor="text1"/>
        </w:rPr>
        <w:t>that calculates ablation, pyrolysis, and thermal conduction in one</w:t>
      </w:r>
      <w:r>
        <w:rPr>
          <w:bCs/>
          <w:color w:val="000000" w:themeColor="text1"/>
        </w:rPr>
        <w:t xml:space="preserve"> </w:t>
      </w:r>
      <w:r w:rsidRPr="00C8621C">
        <w:rPr>
          <w:bCs/>
          <w:color w:val="000000" w:themeColor="text1"/>
        </w:rPr>
        <w:t>dimension.</w:t>
      </w:r>
      <w:r w:rsidR="00A95AE2" w:rsidRPr="00A95AE2">
        <w:rPr>
          <w:bCs/>
          <w:color w:val="000000" w:themeColor="text1"/>
          <w:vertAlign w:val="superscript"/>
        </w:rPr>
        <w:t>5-7</w:t>
      </w:r>
    </w:p>
    <w:p w14:paraId="1C0B5475" w14:textId="76D5B2CF" w:rsidR="001D1693" w:rsidRDefault="00C8621C" w:rsidP="00384972">
      <w:r w:rsidRPr="00C8621C">
        <w:rPr>
          <w:bCs/>
          <w:color w:val="000000" w:themeColor="text1"/>
        </w:rPr>
        <w:t xml:space="preserve">Testing for </w:t>
      </w:r>
      <w:r>
        <w:rPr>
          <w:bCs/>
          <w:color w:val="000000" w:themeColor="text1"/>
        </w:rPr>
        <w:t>PICA-Flex has been</w:t>
      </w:r>
      <w:r w:rsidRPr="00C8621C">
        <w:rPr>
          <w:bCs/>
          <w:color w:val="000000" w:themeColor="text1"/>
        </w:rPr>
        <w:t xml:space="preserve"> less comprehensive and covered a smaller</w:t>
      </w:r>
      <w:r>
        <w:rPr>
          <w:bCs/>
          <w:color w:val="000000" w:themeColor="text1"/>
        </w:rPr>
        <w:t xml:space="preserve"> </w:t>
      </w:r>
      <w:r w:rsidRPr="00C8621C">
        <w:rPr>
          <w:bCs/>
          <w:color w:val="000000" w:themeColor="text1"/>
        </w:rPr>
        <w:t xml:space="preserve">temperature range. </w:t>
      </w:r>
      <w:r>
        <w:rPr>
          <w:bCs/>
          <w:color w:val="000000" w:themeColor="text1"/>
        </w:rPr>
        <w:t xml:space="preserve">Thus far, </w:t>
      </w:r>
      <w:r w:rsidR="001D1693">
        <w:rPr>
          <w:bCs/>
          <w:color w:val="000000" w:themeColor="text1"/>
        </w:rPr>
        <w:t>d</w:t>
      </w:r>
      <w:r w:rsidRPr="00C8621C">
        <w:rPr>
          <w:bCs/>
          <w:color w:val="000000" w:themeColor="text1"/>
        </w:rPr>
        <w:t>ata were obtained for density, elemental composition,</w:t>
      </w:r>
      <w:r w:rsidR="001D1693">
        <w:rPr>
          <w:bCs/>
          <w:color w:val="000000" w:themeColor="text1"/>
        </w:rPr>
        <w:t xml:space="preserve"> </w:t>
      </w:r>
      <w:r w:rsidRPr="00C8621C">
        <w:rPr>
          <w:bCs/>
          <w:color w:val="000000" w:themeColor="text1"/>
        </w:rPr>
        <w:t xml:space="preserve">virgin, and </w:t>
      </w:r>
      <w:r>
        <w:rPr>
          <w:bCs/>
          <w:color w:val="000000" w:themeColor="text1"/>
        </w:rPr>
        <w:t xml:space="preserve">char </w:t>
      </w:r>
      <w:r w:rsidRPr="00C8621C">
        <w:rPr>
          <w:bCs/>
          <w:color w:val="000000" w:themeColor="text1"/>
        </w:rPr>
        <w:t>thermal</w:t>
      </w:r>
      <w:r>
        <w:rPr>
          <w:bCs/>
          <w:color w:val="000000" w:themeColor="text1"/>
        </w:rPr>
        <w:t xml:space="preserve"> </w:t>
      </w:r>
      <w:r w:rsidRPr="00C8621C">
        <w:rPr>
          <w:bCs/>
          <w:color w:val="000000" w:themeColor="text1"/>
        </w:rPr>
        <w:t xml:space="preserve">conductivity of virgin and char at </w:t>
      </w:r>
      <w:r>
        <w:rPr>
          <w:bCs/>
          <w:color w:val="000000" w:themeColor="text1"/>
        </w:rPr>
        <w:t xml:space="preserve">1 atm. </w:t>
      </w:r>
      <w:r w:rsidR="001D1693" w:rsidRPr="001D1693">
        <w:rPr>
          <w:bCs/>
          <w:color w:val="000000" w:themeColor="text1"/>
        </w:rPr>
        <w:t xml:space="preserve">Comparison of Through-The-Thickness (TTT) conductivities of </w:t>
      </w:r>
      <w:r w:rsidR="001D1693">
        <w:rPr>
          <w:bCs/>
          <w:color w:val="000000" w:themeColor="text1"/>
        </w:rPr>
        <w:t>r</w:t>
      </w:r>
      <w:r w:rsidR="001D1693" w:rsidRPr="001D1693">
        <w:rPr>
          <w:bCs/>
          <w:color w:val="000000" w:themeColor="text1"/>
        </w:rPr>
        <w:t>igid PICA</w:t>
      </w:r>
      <w:r w:rsidR="001D1693">
        <w:rPr>
          <w:bCs/>
          <w:color w:val="000000" w:themeColor="text1"/>
        </w:rPr>
        <w:t>,</w:t>
      </w:r>
      <w:r w:rsidR="001D1693" w:rsidRPr="001D1693">
        <w:rPr>
          <w:bCs/>
          <w:color w:val="000000" w:themeColor="text1"/>
        </w:rPr>
        <w:t xml:space="preserve"> C-PICA, S-PICA and PICA-Flex</w:t>
      </w:r>
      <w:r w:rsidR="001D1693">
        <w:rPr>
          <w:bCs/>
          <w:color w:val="000000" w:themeColor="text1"/>
        </w:rPr>
        <w:t xml:space="preserve"> is shown in Figure 6</w:t>
      </w:r>
      <w:r w:rsidR="001D1693" w:rsidRPr="001D1693">
        <w:rPr>
          <w:bCs/>
          <w:color w:val="000000" w:themeColor="text1"/>
        </w:rPr>
        <w:t>.</w:t>
      </w:r>
      <w:r w:rsidR="001D1693">
        <w:rPr>
          <w:bCs/>
          <w:color w:val="000000" w:themeColor="text1"/>
        </w:rPr>
        <w:t xml:space="preserve"> </w:t>
      </w:r>
      <w:r w:rsidR="00EE64EB">
        <w:rPr>
          <w:bCs/>
          <w:color w:val="000000" w:themeColor="text1"/>
        </w:rPr>
        <w:t xml:space="preserve">Of </w:t>
      </w:r>
      <w:proofErr w:type="gramStart"/>
      <w:r w:rsidR="00EE64EB">
        <w:rPr>
          <w:bCs/>
          <w:color w:val="000000" w:themeColor="text1"/>
        </w:rPr>
        <w:t>particular note</w:t>
      </w:r>
      <w:proofErr w:type="gramEnd"/>
      <w:r w:rsidR="00EE64EB">
        <w:rPr>
          <w:bCs/>
          <w:color w:val="000000" w:themeColor="text1"/>
        </w:rPr>
        <w:t xml:space="preserve"> is the reduction in conductivity, which for missions where TPS sizing is driven by bondline temperature constraints will yield a reduced areal mass of the TPS. </w:t>
      </w:r>
    </w:p>
    <w:p w14:paraId="018A5A71" w14:textId="77777777" w:rsidR="009A5557" w:rsidRDefault="009A5557" w:rsidP="00384972"/>
    <w:p w14:paraId="52617634" w14:textId="77777777" w:rsidR="009A5557" w:rsidRDefault="009A5557" w:rsidP="00384972">
      <w:pPr>
        <w:sectPr w:rsidR="009A5557" w:rsidSect="00CB2EE8">
          <w:type w:val="continuous"/>
          <w:pgSz w:w="12240" w:h="15840"/>
          <w:pgMar w:top="1440" w:right="1440" w:bottom="1440" w:left="1440" w:header="720" w:footer="720" w:gutter="0"/>
          <w:cols w:num="2" w:space="372"/>
          <w:docGrid w:linePitch="360"/>
        </w:sectPr>
      </w:pPr>
    </w:p>
    <w:p w14:paraId="6D6C97D2" w14:textId="67E0E2D3" w:rsidR="00AD68C8" w:rsidRDefault="00577B4C" w:rsidP="00384972">
      <w:r>
        <w:rPr>
          <w:noProof/>
        </w:rPr>
        <w:lastRenderedPageBreak/>
        <w:drawing>
          <wp:inline distT="0" distB="0" distL="0" distR="0" wp14:anchorId="5FC12BEF" wp14:editId="1B393A54">
            <wp:extent cx="5943600" cy="4314825"/>
            <wp:effectExtent l="0" t="0" r="0" b="3175"/>
            <wp:docPr id="128871768"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1768" name="Picture 1" descr="Chart, scatter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314825"/>
                    </a:xfrm>
                    <a:prstGeom prst="rect">
                      <a:avLst/>
                    </a:prstGeom>
                  </pic:spPr>
                </pic:pic>
              </a:graphicData>
            </a:graphic>
          </wp:inline>
        </w:drawing>
      </w:r>
    </w:p>
    <w:p w14:paraId="251566DC" w14:textId="6D8498C7" w:rsidR="00384972" w:rsidRDefault="00384972" w:rsidP="00384972">
      <w:pPr>
        <w:autoSpaceDE w:val="0"/>
        <w:autoSpaceDN w:val="0"/>
        <w:adjustRightInd w:val="0"/>
        <w:spacing w:before="0" w:after="0"/>
        <w:jc w:val="center"/>
        <w:rPr>
          <w:bCs/>
          <w:color w:val="000000" w:themeColor="text1"/>
        </w:rPr>
      </w:pPr>
      <w:r w:rsidRPr="001429A6">
        <w:rPr>
          <w:b/>
          <w:bCs/>
        </w:rPr>
        <w:t xml:space="preserve">Figure </w:t>
      </w:r>
      <w:r w:rsidRPr="001429A6">
        <w:rPr>
          <w:b/>
          <w:bCs/>
        </w:rPr>
        <w:fldChar w:fldCharType="begin"/>
      </w:r>
      <w:r w:rsidRPr="001429A6">
        <w:rPr>
          <w:b/>
          <w:bCs/>
        </w:rPr>
        <w:instrText xml:space="preserve"> SEQ Figure \* ARABIC </w:instrText>
      </w:r>
      <w:r w:rsidRPr="001429A6">
        <w:rPr>
          <w:b/>
          <w:bCs/>
        </w:rPr>
        <w:fldChar w:fldCharType="separate"/>
      </w:r>
      <w:r w:rsidR="001D1693">
        <w:rPr>
          <w:b/>
          <w:bCs/>
          <w:noProof/>
        </w:rPr>
        <w:t>6</w:t>
      </w:r>
      <w:r w:rsidRPr="001429A6">
        <w:rPr>
          <w:b/>
          <w:bCs/>
          <w:noProof/>
        </w:rPr>
        <w:fldChar w:fldCharType="end"/>
      </w:r>
      <w:r w:rsidRPr="001429A6">
        <w:rPr>
          <w:b/>
          <w:bCs/>
        </w:rPr>
        <w:t>:</w:t>
      </w:r>
      <w:r>
        <w:rPr>
          <w:b/>
          <w:bCs/>
        </w:rPr>
        <w:t xml:space="preserve"> Comparison of Through-The-Thickness (TTT) conductivities of </w:t>
      </w:r>
      <w:r w:rsidR="00162CED">
        <w:rPr>
          <w:b/>
          <w:bCs/>
        </w:rPr>
        <w:br/>
        <w:t>1) R</w:t>
      </w:r>
      <w:r>
        <w:rPr>
          <w:b/>
          <w:bCs/>
        </w:rPr>
        <w:t>igid PICA</w:t>
      </w:r>
      <w:r w:rsidR="00162CED">
        <w:rPr>
          <w:b/>
          <w:bCs/>
        </w:rPr>
        <w:t xml:space="preserve">-Domestic, 2) </w:t>
      </w:r>
      <w:r>
        <w:rPr>
          <w:b/>
          <w:bCs/>
        </w:rPr>
        <w:t>C-PICA</w:t>
      </w:r>
      <w:r w:rsidR="00162CED">
        <w:rPr>
          <w:b/>
          <w:bCs/>
        </w:rPr>
        <w:t>, 3)</w:t>
      </w:r>
      <w:r>
        <w:rPr>
          <w:b/>
          <w:bCs/>
        </w:rPr>
        <w:t xml:space="preserve"> S-PICA and </w:t>
      </w:r>
      <w:r w:rsidR="00162CED">
        <w:rPr>
          <w:b/>
          <w:bCs/>
        </w:rPr>
        <w:t xml:space="preserve">4) </w:t>
      </w:r>
      <w:r>
        <w:rPr>
          <w:b/>
          <w:bCs/>
        </w:rPr>
        <w:t>PICA-Flex.</w:t>
      </w:r>
    </w:p>
    <w:p w14:paraId="58E989B4" w14:textId="77777777" w:rsidR="00162CED" w:rsidRDefault="00162CED" w:rsidP="00384972"/>
    <w:p w14:paraId="00008E89" w14:textId="77777777" w:rsidR="00162CED" w:rsidRDefault="00162CED" w:rsidP="00384972">
      <w:pPr>
        <w:sectPr w:rsidR="00162CED" w:rsidSect="00CB2EE8">
          <w:type w:val="continuous"/>
          <w:pgSz w:w="12240" w:h="15840"/>
          <w:pgMar w:top="1440" w:right="1440" w:bottom="1440" w:left="1440" w:header="720" w:footer="720" w:gutter="0"/>
          <w:cols w:space="720"/>
          <w:docGrid w:linePitch="360"/>
        </w:sectPr>
      </w:pPr>
    </w:p>
    <w:p w14:paraId="1BCB798F" w14:textId="4629EDDA" w:rsidR="00384972" w:rsidRDefault="00384972" w:rsidP="008E61AB">
      <w:pPr>
        <w:pStyle w:val="Heading1"/>
      </w:pPr>
      <w:r>
        <w:t>NEXT STEPS / Conclusions</w:t>
      </w:r>
    </w:p>
    <w:p w14:paraId="2AFF6574" w14:textId="02210960" w:rsidR="00384972" w:rsidRPr="00384972" w:rsidRDefault="00384972" w:rsidP="00384972">
      <w:pPr>
        <w:rPr>
          <w:bCs/>
          <w:color w:val="000000" w:themeColor="text1"/>
        </w:rPr>
      </w:pPr>
      <w:r w:rsidRPr="00384972">
        <w:rPr>
          <w:bCs/>
          <w:color w:val="000000" w:themeColor="text1"/>
        </w:rPr>
        <w:t>Pending successful advancement</w:t>
      </w:r>
      <w:r w:rsidR="00EE64EB">
        <w:rPr>
          <w:bCs/>
          <w:color w:val="000000" w:themeColor="text1"/>
        </w:rPr>
        <w:t xml:space="preserve"> in the near-term,</w:t>
      </w:r>
      <w:r w:rsidRPr="00384972">
        <w:rPr>
          <w:bCs/>
          <w:color w:val="000000" w:themeColor="text1"/>
        </w:rPr>
        <w:t xml:space="preserve"> two </w:t>
      </w:r>
      <w:r w:rsidR="00EE64EB">
        <w:rPr>
          <w:bCs/>
          <w:color w:val="000000" w:themeColor="text1"/>
        </w:rPr>
        <w:t>R</w:t>
      </w:r>
      <w:r w:rsidRPr="00384972">
        <w:rPr>
          <w:bCs/>
          <w:color w:val="000000" w:themeColor="text1"/>
        </w:rPr>
        <w:t>&amp;D flight opportunities from LEO are available. NASA is currently partnered with various DoD entities under the Strategic Funding Increase (STRATFI) program where Varda Space Industries, an in-space additive manufacturing company</w:t>
      </w:r>
      <w:r w:rsidR="00F07D1F">
        <w:rPr>
          <w:bCs/>
          <w:color w:val="000000" w:themeColor="text1"/>
        </w:rPr>
        <w:t>,</w:t>
      </w:r>
      <w:r w:rsidRPr="00384972">
        <w:rPr>
          <w:bCs/>
          <w:color w:val="000000" w:themeColor="text1"/>
        </w:rPr>
        <w:t xml:space="preserve"> will fly two re-entry missions from LEO. NASA is supplying TPS technologies for both the first and second mission, and PICA-Flex has an opportunity to be demonstrated in the second flight. This would rapidly advance the TRL given a successful flight demonstration and ensuing TPS recovery. Similarly, NASA is partnered with the University of Kentucky on the KREPE</w:t>
      </w:r>
      <w:r w:rsidR="00F07D1F">
        <w:rPr>
          <w:bCs/>
          <w:color w:val="000000" w:themeColor="text1"/>
        </w:rPr>
        <w:t xml:space="preserve"> (</w:t>
      </w:r>
      <w:r w:rsidR="00F07D1F" w:rsidRPr="00F07D1F">
        <w:rPr>
          <w:bCs/>
          <w:color w:val="000000" w:themeColor="text1"/>
        </w:rPr>
        <w:t>Kentucky Re-Entry Probe Experiment</w:t>
      </w:r>
      <w:r w:rsidR="00F07D1F">
        <w:rPr>
          <w:bCs/>
          <w:color w:val="000000" w:themeColor="text1"/>
        </w:rPr>
        <w:t>)</w:t>
      </w:r>
      <w:r w:rsidRPr="00384972">
        <w:rPr>
          <w:bCs/>
          <w:color w:val="000000" w:themeColor="text1"/>
        </w:rPr>
        <w:t xml:space="preserve"> </w:t>
      </w:r>
      <w:r w:rsidR="00EE64EB" w:rsidRPr="00384972">
        <w:rPr>
          <w:bCs/>
          <w:color w:val="000000" w:themeColor="text1"/>
        </w:rPr>
        <w:t>mission</w:t>
      </w:r>
      <w:r w:rsidR="00F07D1F">
        <w:rPr>
          <w:bCs/>
          <w:color w:val="000000" w:themeColor="text1"/>
        </w:rPr>
        <w:t>s</w:t>
      </w:r>
      <w:r w:rsidR="00EE64EB" w:rsidRPr="00384972">
        <w:rPr>
          <w:bCs/>
          <w:color w:val="000000" w:themeColor="text1"/>
        </w:rPr>
        <w:t xml:space="preserve"> and</w:t>
      </w:r>
      <w:r w:rsidRPr="00384972">
        <w:rPr>
          <w:bCs/>
          <w:color w:val="000000" w:themeColor="text1"/>
        </w:rPr>
        <w:t xml:space="preserve"> has an opportunity to provide TPS to be instrumented and tested for th</w:t>
      </w:r>
      <w:r w:rsidR="00F07D1F">
        <w:rPr>
          <w:bCs/>
          <w:color w:val="000000" w:themeColor="text1"/>
        </w:rPr>
        <w:t>ese</w:t>
      </w:r>
      <w:r w:rsidRPr="00384972">
        <w:rPr>
          <w:bCs/>
          <w:color w:val="000000" w:themeColor="text1"/>
        </w:rPr>
        <w:t xml:space="preserve"> flight</w:t>
      </w:r>
      <w:r w:rsidR="00F07D1F">
        <w:rPr>
          <w:bCs/>
          <w:color w:val="000000" w:themeColor="text1"/>
        </w:rPr>
        <w:t>s</w:t>
      </w:r>
      <w:r w:rsidRPr="00384972">
        <w:rPr>
          <w:bCs/>
          <w:color w:val="000000" w:themeColor="text1"/>
        </w:rPr>
        <w:t xml:space="preserve">. The final opportunity is through </w:t>
      </w:r>
      <w:r w:rsidR="00F07D1F">
        <w:rPr>
          <w:bCs/>
          <w:color w:val="000000" w:themeColor="text1"/>
        </w:rPr>
        <w:t xml:space="preserve">STMD </w:t>
      </w:r>
      <w:r w:rsidRPr="00384972">
        <w:rPr>
          <w:bCs/>
          <w:color w:val="000000" w:themeColor="text1"/>
        </w:rPr>
        <w:t>ACOs and potential space act agreements with commercial partners once the PICA</w:t>
      </w:r>
      <w:r w:rsidR="00F07D1F">
        <w:rPr>
          <w:bCs/>
          <w:color w:val="000000" w:themeColor="text1"/>
        </w:rPr>
        <w:t>-</w:t>
      </w:r>
      <w:r w:rsidRPr="00384972">
        <w:rPr>
          <w:bCs/>
          <w:color w:val="000000" w:themeColor="text1"/>
        </w:rPr>
        <w:t>F</w:t>
      </w:r>
      <w:r w:rsidR="00F07D1F">
        <w:rPr>
          <w:bCs/>
          <w:color w:val="000000" w:themeColor="text1"/>
        </w:rPr>
        <w:t>lex</w:t>
      </w:r>
      <w:r w:rsidRPr="00384972">
        <w:rPr>
          <w:bCs/>
          <w:color w:val="000000" w:themeColor="text1"/>
        </w:rPr>
        <w:t xml:space="preserve"> is matured to TRL 4. </w:t>
      </w:r>
    </w:p>
    <w:p w14:paraId="56D2FCBA" w14:textId="4FCBB39B" w:rsidR="008E61AB" w:rsidRPr="00EC24DC" w:rsidRDefault="008E61AB" w:rsidP="008E61AB">
      <w:pPr>
        <w:rPr>
          <w:bCs/>
          <w:color w:val="000000" w:themeColor="text1"/>
        </w:rPr>
      </w:pPr>
      <w:r w:rsidRPr="008E61AB">
        <w:rPr>
          <w:bCs/>
          <w:color w:val="000000" w:themeColor="text1"/>
        </w:rPr>
        <w:t>Many companies look to NASA for starting point technologies or solutions outside of their competency, including TPS</w:t>
      </w:r>
      <w:r>
        <w:rPr>
          <w:bCs/>
          <w:color w:val="000000" w:themeColor="text1"/>
        </w:rPr>
        <w:t xml:space="preserve">. </w:t>
      </w:r>
      <w:r w:rsidRPr="008E61AB">
        <w:rPr>
          <w:bCs/>
          <w:color w:val="000000" w:themeColor="text1"/>
        </w:rPr>
        <w:t>Government investment with industry partnerships allows the sustainable development of transformative technologies that enable future NASA as well as commercial missions.</w:t>
      </w:r>
    </w:p>
    <w:p w14:paraId="30942F6C" w14:textId="2BA71116" w:rsidR="00005E3E" w:rsidRDefault="00005E3E" w:rsidP="00005E3E">
      <w:pPr>
        <w:pStyle w:val="Heading2"/>
      </w:pPr>
      <w:r>
        <w:t>Acknowledgments</w:t>
      </w:r>
    </w:p>
    <w:p w14:paraId="3FEC0A51" w14:textId="282E4F35" w:rsidR="00005E3E" w:rsidRDefault="008E61AB" w:rsidP="00005E3E">
      <w:r w:rsidRPr="000F1D88">
        <w:t>This work was supported by.</w:t>
      </w:r>
      <w:r w:rsidR="000F1D88" w:rsidRPr="000F1D88">
        <w:t xml:space="preserve">an FY23 NASA Ames Internal Research and Development (IRAD) award. </w:t>
      </w:r>
      <w:r w:rsidRPr="000F1D88">
        <w:t xml:space="preserve"> </w:t>
      </w:r>
    </w:p>
    <w:p w14:paraId="05BB5FEB" w14:textId="77777777" w:rsidR="00005E3E" w:rsidRDefault="00005E3E" w:rsidP="00005E3E">
      <w:pPr>
        <w:pStyle w:val="Heading2"/>
      </w:pPr>
      <w:r>
        <w:t xml:space="preserve">References </w:t>
      </w:r>
    </w:p>
    <w:p w14:paraId="0BF54F94" w14:textId="47C25078" w:rsidR="00005E3E" w:rsidRDefault="0013525E" w:rsidP="0013525E">
      <w:pPr>
        <w:pStyle w:val="References"/>
        <w:ind w:hanging="504"/>
      </w:pPr>
      <w:r w:rsidRPr="0013525E">
        <w:t>Tran, H., Johnson, C., Rasky, D., Hui, F., Chen, Y.-K., and Hsu, M.,</w:t>
      </w:r>
      <w:r>
        <w:t xml:space="preserve"> </w:t>
      </w:r>
      <w:r w:rsidRPr="0013525E">
        <w:t>“Phenolic Impregnated Carbon Ablators (PICA) for Discovery Class</w:t>
      </w:r>
      <w:r>
        <w:t xml:space="preserve"> </w:t>
      </w:r>
      <w:r w:rsidRPr="0013525E">
        <w:t>Missions,” AIAA Paper 1996-1911, June 1996.</w:t>
      </w:r>
      <w:r w:rsidRPr="00005E3E">
        <w:t xml:space="preserve"> </w:t>
      </w:r>
    </w:p>
    <w:p w14:paraId="0436B485" w14:textId="2D92CB9C" w:rsidR="0013525E" w:rsidRDefault="0013525E" w:rsidP="0013525E">
      <w:pPr>
        <w:pStyle w:val="References"/>
        <w:ind w:hanging="504"/>
      </w:pPr>
      <w:r w:rsidRPr="0013525E">
        <w:t>Beck, R. A. S., Driver, D. M., Wright, M. J., Hwang, H. H., Edquist, K.</w:t>
      </w:r>
      <w:r>
        <w:t xml:space="preserve"> </w:t>
      </w:r>
      <w:r w:rsidRPr="0013525E">
        <w:t>T., and Sepka, S. A., “Development of the Mars Science Laboratory</w:t>
      </w:r>
      <w:r>
        <w:t xml:space="preserve"> </w:t>
      </w:r>
      <w:r w:rsidRPr="0013525E">
        <w:t xml:space="preserve">Heatshield Thermal Protection System,” Journal </w:t>
      </w:r>
      <w:r w:rsidRPr="0013525E">
        <w:lastRenderedPageBreak/>
        <w:t>of Spacecraft and</w:t>
      </w:r>
      <w:r>
        <w:t xml:space="preserve"> </w:t>
      </w:r>
      <w:r w:rsidRPr="0013525E">
        <w:t>Rockets, Vol. 51, No. 4, 2014, pp. 1139–1150.</w:t>
      </w:r>
      <w:r>
        <w:t xml:space="preserve"> </w:t>
      </w:r>
      <w:r w:rsidRPr="0013525E">
        <w:t>doi:10.2514/1.A32635</w:t>
      </w:r>
    </w:p>
    <w:p w14:paraId="5CFA9D75" w14:textId="616BEC12" w:rsidR="00531406" w:rsidRDefault="0013525E" w:rsidP="0013525E">
      <w:pPr>
        <w:pStyle w:val="References"/>
        <w:ind w:hanging="504"/>
      </w:pPr>
      <w:r w:rsidRPr="0013525E">
        <w:rPr>
          <w:sz w:val="16"/>
          <w:szCs w:val="16"/>
        </w:rPr>
        <w:t>“</w:t>
      </w:r>
      <w:r w:rsidRPr="0013525E">
        <w:t>PICA Heat Shield,” SpaceX, 4 April 2013, http://www.spacex.com/news/2013/04/04/pica-heat-shield [retrieved 17 Nov. 2014].</w:t>
      </w:r>
    </w:p>
    <w:p w14:paraId="7EFFD1B5" w14:textId="20CEA435" w:rsidR="0013525E" w:rsidRDefault="00D16B33" w:rsidP="0013525E">
      <w:pPr>
        <w:pStyle w:val="References"/>
        <w:ind w:hanging="504"/>
      </w:pPr>
      <w:r>
        <w:t xml:space="preserve">Milos, Frank S, Gasch, Matthew J and Prabhu, Dinesh K., “Conformal Phenolic Impregnated Carbon Ablator Arcjet Testing, Ablation and Thermal Response,” Journal of Spacecraft and </w:t>
      </w:r>
      <w:r w:rsidR="002E7B1D">
        <w:t>Rockets,</w:t>
      </w:r>
      <w:r w:rsidRPr="00D16B33">
        <w:t xml:space="preserve"> 52, No. 3, May–June 2015</w:t>
      </w:r>
      <w:r>
        <w:t>, pp. 804-812. Doi:</w:t>
      </w:r>
      <w:r w:rsidR="005357EE">
        <w:t xml:space="preserve"> </w:t>
      </w:r>
      <w:r w:rsidR="005357EE" w:rsidRPr="005357EE">
        <w:t>DOI: 10.2514/1.A33216</w:t>
      </w:r>
      <w:r w:rsidR="005357EE">
        <w:t>.</w:t>
      </w:r>
    </w:p>
    <w:p w14:paraId="4CBFC581" w14:textId="13996DCE" w:rsidR="00A95AE2" w:rsidRDefault="00A95AE2" w:rsidP="00A95AE2">
      <w:pPr>
        <w:pStyle w:val="References"/>
        <w:ind w:hanging="504"/>
      </w:pPr>
      <w:r>
        <w:t>Milos, F. S., and Chen,</w:t>
      </w:r>
      <w:r w:rsidR="00D328C9">
        <w:t xml:space="preserve"> </w:t>
      </w:r>
      <w:r>
        <w:t xml:space="preserve">Y.-K., “Ablation and Thermal Response Property </w:t>
      </w:r>
      <w:r w:rsidR="002E7B1D">
        <w:t>Model Validation</w:t>
      </w:r>
      <w:r>
        <w:t xml:space="preserve"> for Phenolic Impregnated Carbon Ablator,” Journal of Spacecraft and Rockets, Vol. 47, No. 5, 2010, pp. 786–805. doi:10.2514/1.42949</w:t>
      </w:r>
    </w:p>
    <w:p w14:paraId="140A642F" w14:textId="265FA977" w:rsidR="00A95AE2" w:rsidRDefault="00A95AE2" w:rsidP="00A95AE2">
      <w:pPr>
        <w:pStyle w:val="References"/>
        <w:ind w:hanging="504"/>
      </w:pPr>
      <w:r>
        <w:t>Chen,</w:t>
      </w:r>
      <w:r w:rsidR="00D328C9">
        <w:t xml:space="preserve"> </w:t>
      </w:r>
      <w:r>
        <w:t>Y.-K., and Milos, F. S., “Ablation and Thermal Response Program for Spacecraft Heatshield Analysis,” Journal of Spacecraft and Rockets, Vol. 36, No. 3, 1999, pp. 475–483. doi:10.2514/2.3469</w:t>
      </w:r>
    </w:p>
    <w:p w14:paraId="7F0FC193" w14:textId="750FBDF2" w:rsidR="005357EE" w:rsidRPr="00531406" w:rsidRDefault="00A95AE2" w:rsidP="00A95AE2">
      <w:pPr>
        <w:pStyle w:val="References"/>
        <w:ind w:hanging="504"/>
      </w:pPr>
      <w:r>
        <w:t>Milos, F. S., and Chen, Y.-K., “Ablation, Thermal Response, and Chemistry Program for Analysis of Thermal Protection Systems,” Journal of Spacecraft and Rockets, Vol. 50, No. 1, 2013, pp. 137–149. doi:10.2514/1.A32302</w:t>
      </w:r>
    </w:p>
    <w:sectPr w:rsidR="005357EE" w:rsidRPr="00531406" w:rsidSect="00CB2EE8">
      <w:type w:val="continuous"/>
      <w:pgSz w:w="12240" w:h="15840"/>
      <w:pgMar w:top="1440" w:right="1440" w:bottom="1440" w:left="1440" w:header="720" w:footer="720" w:gutter="0"/>
      <w:cols w:num="2" w:space="37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26673" w14:textId="77777777" w:rsidR="006C5569" w:rsidRDefault="006C5569">
      <w:r>
        <w:separator/>
      </w:r>
    </w:p>
  </w:endnote>
  <w:endnote w:type="continuationSeparator" w:id="0">
    <w:p w14:paraId="62EBF19D" w14:textId="77777777" w:rsidR="006C5569" w:rsidRDefault="006C5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80EC5" w14:textId="7D9D39C9" w:rsidR="00770D7F" w:rsidRDefault="00951B07" w:rsidP="00D41DB2">
    <w:pPr>
      <w:pStyle w:val="Footer"/>
    </w:pPr>
    <w:r>
      <w:t>Gasch</w:t>
    </w:r>
    <w:r w:rsidR="00770D7F">
      <w:tab/>
    </w:r>
    <w:r w:rsidR="00770D7F">
      <w:rPr>
        <w:rStyle w:val="PageNumber"/>
      </w:rPr>
      <w:fldChar w:fldCharType="begin"/>
    </w:r>
    <w:r w:rsidR="00770D7F">
      <w:rPr>
        <w:rStyle w:val="PageNumber"/>
      </w:rPr>
      <w:instrText xml:space="preserve"> PAGE </w:instrText>
    </w:r>
    <w:r w:rsidR="00770D7F">
      <w:rPr>
        <w:rStyle w:val="PageNumber"/>
      </w:rPr>
      <w:fldChar w:fldCharType="separate"/>
    </w:r>
    <w:r w:rsidR="00404645">
      <w:rPr>
        <w:rStyle w:val="PageNumber"/>
        <w:noProof/>
      </w:rPr>
      <w:t>2</w:t>
    </w:r>
    <w:r w:rsidR="00770D7F">
      <w:rPr>
        <w:rStyle w:val="PageNumber"/>
      </w:rPr>
      <w:fldChar w:fldCharType="end"/>
    </w:r>
    <w:r w:rsidR="00404645">
      <w:rPr>
        <w:rStyle w:val="PageNumber"/>
      </w:rPr>
      <w:tab/>
    </w:r>
    <w:r w:rsidR="00D41DB2">
      <w:rPr>
        <w:rStyle w:val="PageNumber"/>
      </w:rPr>
      <w:t>3</w:t>
    </w:r>
    <w:r w:rsidR="00497B54">
      <w:rPr>
        <w:rStyle w:val="PageNumber"/>
      </w:rPr>
      <w:t>8</w:t>
    </w:r>
    <w:r w:rsidR="00D41DB2" w:rsidRPr="00D41DB2">
      <w:rPr>
        <w:rStyle w:val="PageNumber"/>
        <w:vertAlign w:val="superscript"/>
      </w:rPr>
      <w:t>th</w:t>
    </w:r>
    <w:r w:rsidR="00D41DB2">
      <w:rPr>
        <w:rStyle w:val="PageNumber"/>
      </w:rPr>
      <w:t xml:space="preserve"> Annual Small Satellite Conference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C7E07" w14:textId="77777777" w:rsidR="006C5569" w:rsidRDefault="006C5569">
      <w:r>
        <w:separator/>
      </w:r>
    </w:p>
  </w:footnote>
  <w:footnote w:type="continuationSeparator" w:id="0">
    <w:p w14:paraId="6D655CC1" w14:textId="77777777" w:rsidR="006C5569" w:rsidRDefault="006C55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AA6504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9FA09B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986726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308169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17E5F6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60EE8A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667F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168A8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5A597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DB2D62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2E4474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3A4077E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50B31D3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5EE84726"/>
    <w:multiLevelType w:val="hybridMultilevel"/>
    <w:tmpl w:val="D82EF32C"/>
    <w:lvl w:ilvl="0" w:tplc="C526C922">
      <w:start w:val="1"/>
      <w:numFmt w:val="decimal"/>
      <w:pStyle w:val="References"/>
      <w:lvlText w:val="%1."/>
      <w:lvlJc w:val="left"/>
      <w:pPr>
        <w:tabs>
          <w:tab w:val="num" w:pos="504"/>
        </w:tabs>
        <w:ind w:left="50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0626CB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4254372">
    <w:abstractNumId w:val="10"/>
  </w:num>
  <w:num w:numId="2" w16cid:durableId="1540506062">
    <w:abstractNumId w:val="14"/>
  </w:num>
  <w:num w:numId="3" w16cid:durableId="882399691">
    <w:abstractNumId w:val="11"/>
  </w:num>
  <w:num w:numId="4" w16cid:durableId="2048485760">
    <w:abstractNumId w:val="9"/>
  </w:num>
  <w:num w:numId="5" w16cid:durableId="547838118">
    <w:abstractNumId w:val="7"/>
  </w:num>
  <w:num w:numId="6" w16cid:durableId="730808231">
    <w:abstractNumId w:val="6"/>
  </w:num>
  <w:num w:numId="7" w16cid:durableId="837304716">
    <w:abstractNumId w:val="5"/>
  </w:num>
  <w:num w:numId="8" w16cid:durableId="1719353219">
    <w:abstractNumId w:val="4"/>
  </w:num>
  <w:num w:numId="9" w16cid:durableId="1163400406">
    <w:abstractNumId w:val="8"/>
  </w:num>
  <w:num w:numId="10" w16cid:durableId="2053073653">
    <w:abstractNumId w:val="3"/>
  </w:num>
  <w:num w:numId="11" w16cid:durableId="408308365">
    <w:abstractNumId w:val="2"/>
  </w:num>
  <w:num w:numId="12" w16cid:durableId="1346783524">
    <w:abstractNumId w:val="1"/>
  </w:num>
  <w:num w:numId="13" w16cid:durableId="1069576449">
    <w:abstractNumId w:val="0"/>
  </w:num>
  <w:num w:numId="14" w16cid:durableId="96297333">
    <w:abstractNumId w:val="13"/>
  </w:num>
  <w:num w:numId="15" w16cid:durableId="375591919">
    <w:abstractNumId w:val="12"/>
  </w:num>
  <w:num w:numId="16" w16cid:durableId="506093640">
    <w:abstractNumId w:val="13"/>
  </w:num>
  <w:num w:numId="17" w16cid:durableId="1208831150">
    <w:abstractNumId w:val="13"/>
  </w:num>
  <w:num w:numId="18" w16cid:durableId="1482041234">
    <w:abstractNumId w:val="13"/>
  </w:num>
  <w:num w:numId="19" w16cid:durableId="19730947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9E2"/>
    <w:rsid w:val="00005E3E"/>
    <w:rsid w:val="00042BCB"/>
    <w:rsid w:val="0005267D"/>
    <w:rsid w:val="000614B2"/>
    <w:rsid w:val="00070AD1"/>
    <w:rsid w:val="00086CC5"/>
    <w:rsid w:val="000A6570"/>
    <w:rsid w:val="000B0FA3"/>
    <w:rsid w:val="000B4D09"/>
    <w:rsid w:val="000C29C8"/>
    <w:rsid w:val="000D3A84"/>
    <w:rsid w:val="000D6308"/>
    <w:rsid w:val="000F1078"/>
    <w:rsid w:val="000F1D88"/>
    <w:rsid w:val="001013E1"/>
    <w:rsid w:val="00101EA5"/>
    <w:rsid w:val="00107313"/>
    <w:rsid w:val="00111FD8"/>
    <w:rsid w:val="001346D1"/>
    <w:rsid w:val="0013525E"/>
    <w:rsid w:val="001422C0"/>
    <w:rsid w:val="001429A6"/>
    <w:rsid w:val="00160F5B"/>
    <w:rsid w:val="00162CED"/>
    <w:rsid w:val="00172163"/>
    <w:rsid w:val="00185B1D"/>
    <w:rsid w:val="0019025B"/>
    <w:rsid w:val="001B2B68"/>
    <w:rsid w:val="001C0DB1"/>
    <w:rsid w:val="001D1693"/>
    <w:rsid w:val="001D51B5"/>
    <w:rsid w:val="001D6C2A"/>
    <w:rsid w:val="001E312B"/>
    <w:rsid w:val="001F051B"/>
    <w:rsid w:val="001F0CCD"/>
    <w:rsid w:val="00203C6E"/>
    <w:rsid w:val="002058E5"/>
    <w:rsid w:val="00230FC0"/>
    <w:rsid w:val="00260B74"/>
    <w:rsid w:val="0027106F"/>
    <w:rsid w:val="002733B7"/>
    <w:rsid w:val="002766B0"/>
    <w:rsid w:val="00290DFB"/>
    <w:rsid w:val="00294EAE"/>
    <w:rsid w:val="002E7B1D"/>
    <w:rsid w:val="002F5898"/>
    <w:rsid w:val="00303626"/>
    <w:rsid w:val="003148BD"/>
    <w:rsid w:val="00347509"/>
    <w:rsid w:val="00350305"/>
    <w:rsid w:val="00366977"/>
    <w:rsid w:val="00384972"/>
    <w:rsid w:val="00394D27"/>
    <w:rsid w:val="0039534C"/>
    <w:rsid w:val="003A6D09"/>
    <w:rsid w:val="003C0780"/>
    <w:rsid w:val="003C76B9"/>
    <w:rsid w:val="003D27D3"/>
    <w:rsid w:val="003F6AC4"/>
    <w:rsid w:val="0040377D"/>
    <w:rsid w:val="00404645"/>
    <w:rsid w:val="00414C60"/>
    <w:rsid w:val="004207A0"/>
    <w:rsid w:val="0042225F"/>
    <w:rsid w:val="00442E8A"/>
    <w:rsid w:val="0045455A"/>
    <w:rsid w:val="00497B54"/>
    <w:rsid w:val="004A04D1"/>
    <w:rsid w:val="004A21C0"/>
    <w:rsid w:val="004E7FED"/>
    <w:rsid w:val="004F4C97"/>
    <w:rsid w:val="005245C5"/>
    <w:rsid w:val="00525740"/>
    <w:rsid w:val="00531406"/>
    <w:rsid w:val="005357EE"/>
    <w:rsid w:val="0054018E"/>
    <w:rsid w:val="00544BD2"/>
    <w:rsid w:val="00577097"/>
    <w:rsid w:val="00577B4C"/>
    <w:rsid w:val="0058092E"/>
    <w:rsid w:val="00583607"/>
    <w:rsid w:val="005876F6"/>
    <w:rsid w:val="005A2917"/>
    <w:rsid w:val="005B2562"/>
    <w:rsid w:val="005C4B62"/>
    <w:rsid w:val="005D76F4"/>
    <w:rsid w:val="005D798B"/>
    <w:rsid w:val="005E314B"/>
    <w:rsid w:val="005E627D"/>
    <w:rsid w:val="005F59E2"/>
    <w:rsid w:val="00611EED"/>
    <w:rsid w:val="006133E0"/>
    <w:rsid w:val="00621B7F"/>
    <w:rsid w:val="0062375B"/>
    <w:rsid w:val="00644121"/>
    <w:rsid w:val="0064791E"/>
    <w:rsid w:val="006509E1"/>
    <w:rsid w:val="00656678"/>
    <w:rsid w:val="00666221"/>
    <w:rsid w:val="0067480A"/>
    <w:rsid w:val="0068181F"/>
    <w:rsid w:val="006A5FD8"/>
    <w:rsid w:val="006C4A58"/>
    <w:rsid w:val="006C4AA8"/>
    <w:rsid w:val="006C5569"/>
    <w:rsid w:val="006D169C"/>
    <w:rsid w:val="006D62F1"/>
    <w:rsid w:val="006F0BFA"/>
    <w:rsid w:val="007144C4"/>
    <w:rsid w:val="00716C81"/>
    <w:rsid w:val="007271BD"/>
    <w:rsid w:val="00747428"/>
    <w:rsid w:val="00770D7F"/>
    <w:rsid w:val="00785846"/>
    <w:rsid w:val="0079413C"/>
    <w:rsid w:val="00796148"/>
    <w:rsid w:val="007C043A"/>
    <w:rsid w:val="007C2C9F"/>
    <w:rsid w:val="007D363F"/>
    <w:rsid w:val="008115A7"/>
    <w:rsid w:val="0081228E"/>
    <w:rsid w:val="00814C91"/>
    <w:rsid w:val="00823AA1"/>
    <w:rsid w:val="0082611C"/>
    <w:rsid w:val="00844D6B"/>
    <w:rsid w:val="00845164"/>
    <w:rsid w:val="00852EB4"/>
    <w:rsid w:val="008612C0"/>
    <w:rsid w:val="008621F5"/>
    <w:rsid w:val="008720BD"/>
    <w:rsid w:val="00875EA6"/>
    <w:rsid w:val="00880E1D"/>
    <w:rsid w:val="0089202B"/>
    <w:rsid w:val="008967D6"/>
    <w:rsid w:val="008C1DDB"/>
    <w:rsid w:val="008C7E88"/>
    <w:rsid w:val="008E61AB"/>
    <w:rsid w:val="00914F81"/>
    <w:rsid w:val="00951B07"/>
    <w:rsid w:val="00964BFC"/>
    <w:rsid w:val="0097569F"/>
    <w:rsid w:val="0098475E"/>
    <w:rsid w:val="009A5557"/>
    <w:rsid w:val="009B4D24"/>
    <w:rsid w:val="009C21ED"/>
    <w:rsid w:val="009E1FE1"/>
    <w:rsid w:val="009E59A9"/>
    <w:rsid w:val="009F0441"/>
    <w:rsid w:val="00A053C9"/>
    <w:rsid w:val="00A06EA2"/>
    <w:rsid w:val="00A11CA1"/>
    <w:rsid w:val="00A27F65"/>
    <w:rsid w:val="00A31B6A"/>
    <w:rsid w:val="00A31ECD"/>
    <w:rsid w:val="00A3282F"/>
    <w:rsid w:val="00A359B4"/>
    <w:rsid w:val="00A43F7E"/>
    <w:rsid w:val="00A66286"/>
    <w:rsid w:val="00A720D9"/>
    <w:rsid w:val="00A91790"/>
    <w:rsid w:val="00A95AE2"/>
    <w:rsid w:val="00A965FE"/>
    <w:rsid w:val="00A96BEF"/>
    <w:rsid w:val="00AA55EF"/>
    <w:rsid w:val="00AB221C"/>
    <w:rsid w:val="00AB3986"/>
    <w:rsid w:val="00AB3F34"/>
    <w:rsid w:val="00AD5FE0"/>
    <w:rsid w:val="00AD68C8"/>
    <w:rsid w:val="00AF38BB"/>
    <w:rsid w:val="00AF422B"/>
    <w:rsid w:val="00AF458F"/>
    <w:rsid w:val="00AF6D23"/>
    <w:rsid w:val="00B01327"/>
    <w:rsid w:val="00B177EC"/>
    <w:rsid w:val="00B27E72"/>
    <w:rsid w:val="00B543D6"/>
    <w:rsid w:val="00B62666"/>
    <w:rsid w:val="00B74167"/>
    <w:rsid w:val="00B83208"/>
    <w:rsid w:val="00BA11BA"/>
    <w:rsid w:val="00BD1E68"/>
    <w:rsid w:val="00BD35DC"/>
    <w:rsid w:val="00BF19DA"/>
    <w:rsid w:val="00C26114"/>
    <w:rsid w:val="00C27B44"/>
    <w:rsid w:val="00C3529F"/>
    <w:rsid w:val="00C43921"/>
    <w:rsid w:val="00C4473D"/>
    <w:rsid w:val="00C55E5F"/>
    <w:rsid w:val="00C618F0"/>
    <w:rsid w:val="00C6414E"/>
    <w:rsid w:val="00C67F14"/>
    <w:rsid w:val="00C70969"/>
    <w:rsid w:val="00C72A59"/>
    <w:rsid w:val="00C8621C"/>
    <w:rsid w:val="00C94FD2"/>
    <w:rsid w:val="00C967A2"/>
    <w:rsid w:val="00CA5347"/>
    <w:rsid w:val="00CB1AD2"/>
    <w:rsid w:val="00CB2EE8"/>
    <w:rsid w:val="00CD5234"/>
    <w:rsid w:val="00CE3825"/>
    <w:rsid w:val="00D02C4F"/>
    <w:rsid w:val="00D06404"/>
    <w:rsid w:val="00D16B33"/>
    <w:rsid w:val="00D328C9"/>
    <w:rsid w:val="00D34F57"/>
    <w:rsid w:val="00D41DB2"/>
    <w:rsid w:val="00D429C3"/>
    <w:rsid w:val="00D51A55"/>
    <w:rsid w:val="00D679D3"/>
    <w:rsid w:val="00D80AFE"/>
    <w:rsid w:val="00D81A87"/>
    <w:rsid w:val="00D964B9"/>
    <w:rsid w:val="00DB2119"/>
    <w:rsid w:val="00DC2692"/>
    <w:rsid w:val="00DC5593"/>
    <w:rsid w:val="00DE22D2"/>
    <w:rsid w:val="00DE42D7"/>
    <w:rsid w:val="00DF280C"/>
    <w:rsid w:val="00DF6CA7"/>
    <w:rsid w:val="00E1452C"/>
    <w:rsid w:val="00E24E17"/>
    <w:rsid w:val="00E5039A"/>
    <w:rsid w:val="00E50E1F"/>
    <w:rsid w:val="00E51686"/>
    <w:rsid w:val="00E6056D"/>
    <w:rsid w:val="00E61B6C"/>
    <w:rsid w:val="00E861A7"/>
    <w:rsid w:val="00E96C82"/>
    <w:rsid w:val="00EA4A04"/>
    <w:rsid w:val="00EA4BD4"/>
    <w:rsid w:val="00EC24DC"/>
    <w:rsid w:val="00ED0994"/>
    <w:rsid w:val="00ED6021"/>
    <w:rsid w:val="00ED6C95"/>
    <w:rsid w:val="00EE64EB"/>
    <w:rsid w:val="00F025B5"/>
    <w:rsid w:val="00F03140"/>
    <w:rsid w:val="00F07D1F"/>
    <w:rsid w:val="00F1009C"/>
    <w:rsid w:val="00F238CC"/>
    <w:rsid w:val="00F25CF6"/>
    <w:rsid w:val="00F30BEE"/>
    <w:rsid w:val="00F42EFA"/>
    <w:rsid w:val="00F617E0"/>
    <w:rsid w:val="00F628AF"/>
    <w:rsid w:val="00F76809"/>
    <w:rsid w:val="00F81285"/>
    <w:rsid w:val="00F917C8"/>
    <w:rsid w:val="00F9741E"/>
    <w:rsid w:val="00FB7EEA"/>
    <w:rsid w:val="00FD60AC"/>
    <w:rsid w:val="00FE19C0"/>
    <w:rsid w:val="00FE3971"/>
    <w:rsid w:val="00FF0E89"/>
    <w:rsid w:val="00FF48A7"/>
    <w:rsid w:val="00FF7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7F807A"/>
  <w15:chartTrackingRefBased/>
  <w15:docId w15:val="{0E6AEF0D-ABA4-4E8B-ACAB-2FF11450C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AE2"/>
    <w:pPr>
      <w:spacing w:before="100" w:after="200"/>
      <w:jc w:val="both"/>
    </w:pPr>
    <w:rPr>
      <w:szCs w:val="24"/>
    </w:rPr>
  </w:style>
  <w:style w:type="paragraph" w:styleId="Heading1">
    <w:name w:val="heading 1"/>
    <w:basedOn w:val="Normal"/>
    <w:next w:val="Normal"/>
    <w:qFormat/>
    <w:rsid w:val="00F03140"/>
    <w:pPr>
      <w:keepNext/>
      <w:spacing w:after="100"/>
      <w:contextualSpacing/>
      <w:outlineLvl w:val="0"/>
    </w:pPr>
    <w:rPr>
      <w:rFonts w:cs="Arial"/>
      <w:b/>
      <w:bCs/>
      <w:caps/>
      <w:kern w:val="32"/>
      <w:szCs w:val="32"/>
    </w:rPr>
  </w:style>
  <w:style w:type="paragraph" w:styleId="Heading2">
    <w:name w:val="heading 2"/>
    <w:basedOn w:val="Normal"/>
    <w:next w:val="Normal"/>
    <w:qFormat/>
    <w:rsid w:val="006509E1"/>
    <w:pPr>
      <w:keepNext/>
      <w:spacing w:before="200" w:after="0"/>
      <w:outlineLvl w:val="1"/>
    </w:pPr>
    <w:rPr>
      <w:rFonts w:cs="Arial"/>
      <w:b/>
      <w:bCs/>
      <w:i/>
      <w:iCs/>
      <w:szCs w:val="28"/>
    </w:rPr>
  </w:style>
  <w:style w:type="paragraph" w:styleId="Heading3">
    <w:name w:val="heading 3"/>
    <w:basedOn w:val="Normal"/>
    <w:next w:val="Normal"/>
    <w:qFormat/>
    <w:rsid w:val="002733B7"/>
    <w:pPr>
      <w:keepNext/>
      <w:spacing w:before="240" w:after="60"/>
      <w:outlineLvl w:val="2"/>
    </w:pPr>
    <w:rPr>
      <w:rFonts w:ascii="Arial" w:hAnsi="Arial" w:cs="Arial"/>
      <w:b/>
      <w:bCs/>
      <w:sz w:val="26"/>
      <w:szCs w:val="26"/>
    </w:rPr>
  </w:style>
  <w:style w:type="paragraph" w:styleId="Heading4">
    <w:name w:val="heading 4"/>
    <w:basedOn w:val="Normal"/>
    <w:next w:val="Normal"/>
    <w:qFormat/>
    <w:rsid w:val="002733B7"/>
    <w:pPr>
      <w:keepNext/>
      <w:spacing w:before="240" w:after="60"/>
      <w:outlineLvl w:val="3"/>
    </w:pPr>
    <w:rPr>
      <w:b/>
      <w:bCs/>
      <w:sz w:val="28"/>
      <w:szCs w:val="28"/>
    </w:rPr>
  </w:style>
  <w:style w:type="paragraph" w:styleId="Heading5">
    <w:name w:val="heading 5"/>
    <w:basedOn w:val="Normal"/>
    <w:next w:val="Normal"/>
    <w:qFormat/>
    <w:rsid w:val="002733B7"/>
    <w:pPr>
      <w:spacing w:before="240" w:after="60"/>
      <w:outlineLvl w:val="4"/>
    </w:pPr>
    <w:rPr>
      <w:b/>
      <w:bCs/>
      <w:i/>
      <w:iCs/>
      <w:sz w:val="26"/>
      <w:szCs w:val="26"/>
    </w:rPr>
  </w:style>
  <w:style w:type="paragraph" w:styleId="Heading6">
    <w:name w:val="heading 6"/>
    <w:basedOn w:val="Normal"/>
    <w:next w:val="Normal"/>
    <w:qFormat/>
    <w:rsid w:val="002733B7"/>
    <w:pPr>
      <w:spacing w:before="240" w:after="60"/>
      <w:outlineLvl w:val="5"/>
    </w:pPr>
    <w:rPr>
      <w:b/>
      <w:bCs/>
      <w:sz w:val="22"/>
      <w:szCs w:val="22"/>
    </w:rPr>
  </w:style>
  <w:style w:type="paragraph" w:styleId="Heading7">
    <w:name w:val="heading 7"/>
    <w:basedOn w:val="Normal"/>
    <w:next w:val="Normal"/>
    <w:qFormat/>
    <w:rsid w:val="002733B7"/>
    <w:pPr>
      <w:spacing w:before="240" w:after="60"/>
      <w:outlineLvl w:val="6"/>
    </w:pPr>
  </w:style>
  <w:style w:type="paragraph" w:styleId="Heading8">
    <w:name w:val="heading 8"/>
    <w:basedOn w:val="Normal"/>
    <w:next w:val="Normal"/>
    <w:qFormat/>
    <w:rsid w:val="002733B7"/>
    <w:pPr>
      <w:spacing w:before="240" w:after="60"/>
      <w:outlineLvl w:val="7"/>
    </w:pPr>
    <w:rPr>
      <w:i/>
      <w:iCs/>
    </w:rPr>
  </w:style>
  <w:style w:type="paragraph" w:styleId="Heading9">
    <w:name w:val="heading 9"/>
    <w:basedOn w:val="Normal"/>
    <w:next w:val="Normal"/>
    <w:qFormat/>
    <w:rsid w:val="002733B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2733B7"/>
    <w:pPr>
      <w:numPr>
        <w:numId w:val="1"/>
      </w:numPr>
    </w:pPr>
  </w:style>
  <w:style w:type="numbering" w:styleId="1ai">
    <w:name w:val="Outline List 1"/>
    <w:basedOn w:val="NoList"/>
    <w:semiHidden/>
    <w:rsid w:val="002733B7"/>
    <w:pPr>
      <w:numPr>
        <w:numId w:val="2"/>
      </w:numPr>
    </w:pPr>
  </w:style>
  <w:style w:type="numbering" w:styleId="ArticleSection">
    <w:name w:val="Outline List 3"/>
    <w:basedOn w:val="NoList"/>
    <w:semiHidden/>
    <w:rsid w:val="002733B7"/>
    <w:pPr>
      <w:numPr>
        <w:numId w:val="3"/>
      </w:numPr>
    </w:pPr>
  </w:style>
  <w:style w:type="paragraph" w:styleId="BlockText">
    <w:name w:val="Block Text"/>
    <w:basedOn w:val="Normal"/>
    <w:semiHidden/>
    <w:rsid w:val="002733B7"/>
    <w:pPr>
      <w:spacing w:after="120"/>
      <w:ind w:left="1440" w:right="1440"/>
    </w:pPr>
  </w:style>
  <w:style w:type="paragraph" w:styleId="BodyText">
    <w:name w:val="Body Text"/>
    <w:basedOn w:val="Normal"/>
    <w:semiHidden/>
    <w:rsid w:val="002733B7"/>
    <w:pPr>
      <w:spacing w:after="120"/>
    </w:pPr>
  </w:style>
  <w:style w:type="paragraph" w:styleId="BodyText2">
    <w:name w:val="Body Text 2"/>
    <w:basedOn w:val="Normal"/>
    <w:semiHidden/>
    <w:rsid w:val="002733B7"/>
    <w:pPr>
      <w:spacing w:after="120" w:line="480" w:lineRule="auto"/>
    </w:pPr>
  </w:style>
  <w:style w:type="paragraph" w:styleId="BodyText3">
    <w:name w:val="Body Text 3"/>
    <w:basedOn w:val="Normal"/>
    <w:semiHidden/>
    <w:rsid w:val="002733B7"/>
    <w:pPr>
      <w:spacing w:after="120"/>
    </w:pPr>
    <w:rPr>
      <w:sz w:val="16"/>
      <w:szCs w:val="16"/>
    </w:rPr>
  </w:style>
  <w:style w:type="paragraph" w:styleId="BodyTextFirstIndent">
    <w:name w:val="Body Text First Indent"/>
    <w:basedOn w:val="BodyText"/>
    <w:semiHidden/>
    <w:rsid w:val="002733B7"/>
    <w:pPr>
      <w:ind w:firstLine="210"/>
    </w:pPr>
  </w:style>
  <w:style w:type="paragraph" w:styleId="BodyTextIndent">
    <w:name w:val="Body Text Indent"/>
    <w:basedOn w:val="Normal"/>
    <w:semiHidden/>
    <w:rsid w:val="002733B7"/>
    <w:pPr>
      <w:spacing w:after="120"/>
      <w:ind w:left="360"/>
    </w:pPr>
  </w:style>
  <w:style w:type="paragraph" w:styleId="BodyTextFirstIndent2">
    <w:name w:val="Body Text First Indent 2"/>
    <w:basedOn w:val="BodyTextIndent"/>
    <w:semiHidden/>
    <w:rsid w:val="002733B7"/>
    <w:pPr>
      <w:ind w:firstLine="210"/>
    </w:pPr>
  </w:style>
  <w:style w:type="paragraph" w:styleId="BodyTextIndent2">
    <w:name w:val="Body Text Indent 2"/>
    <w:basedOn w:val="Normal"/>
    <w:semiHidden/>
    <w:rsid w:val="002733B7"/>
    <w:pPr>
      <w:spacing w:after="120" w:line="480" w:lineRule="auto"/>
      <w:ind w:left="360"/>
    </w:pPr>
  </w:style>
  <w:style w:type="paragraph" w:styleId="BodyTextIndent3">
    <w:name w:val="Body Text Indent 3"/>
    <w:basedOn w:val="Normal"/>
    <w:semiHidden/>
    <w:rsid w:val="002733B7"/>
    <w:pPr>
      <w:spacing w:after="120"/>
      <w:ind w:left="360"/>
    </w:pPr>
    <w:rPr>
      <w:sz w:val="16"/>
      <w:szCs w:val="16"/>
    </w:rPr>
  </w:style>
  <w:style w:type="paragraph" w:styleId="Closing">
    <w:name w:val="Closing"/>
    <w:basedOn w:val="Normal"/>
    <w:semiHidden/>
    <w:rsid w:val="002733B7"/>
    <w:pPr>
      <w:ind w:left="4320"/>
    </w:pPr>
  </w:style>
  <w:style w:type="paragraph" w:styleId="Date">
    <w:name w:val="Date"/>
    <w:basedOn w:val="Normal"/>
    <w:next w:val="Normal"/>
    <w:semiHidden/>
    <w:rsid w:val="002733B7"/>
  </w:style>
  <w:style w:type="paragraph" w:styleId="E-mailSignature">
    <w:name w:val="E-mail Signature"/>
    <w:basedOn w:val="Normal"/>
    <w:semiHidden/>
    <w:rsid w:val="002733B7"/>
  </w:style>
  <w:style w:type="character" w:styleId="Emphasis">
    <w:name w:val="Emphasis"/>
    <w:qFormat/>
    <w:rsid w:val="002733B7"/>
    <w:rPr>
      <w:i/>
      <w:iCs/>
    </w:rPr>
  </w:style>
  <w:style w:type="paragraph" w:styleId="EnvelopeAddress">
    <w:name w:val="envelope address"/>
    <w:basedOn w:val="Normal"/>
    <w:semiHidden/>
    <w:rsid w:val="002733B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2733B7"/>
    <w:rPr>
      <w:rFonts w:ascii="Arial" w:hAnsi="Arial" w:cs="Arial"/>
      <w:szCs w:val="20"/>
    </w:rPr>
  </w:style>
  <w:style w:type="character" w:styleId="FollowedHyperlink">
    <w:name w:val="FollowedHyperlink"/>
    <w:semiHidden/>
    <w:rsid w:val="002733B7"/>
    <w:rPr>
      <w:color w:val="800080"/>
      <w:u w:val="single"/>
    </w:rPr>
  </w:style>
  <w:style w:type="paragraph" w:styleId="Footer">
    <w:name w:val="footer"/>
    <w:basedOn w:val="Normal"/>
    <w:rsid w:val="00B62666"/>
    <w:pPr>
      <w:pBdr>
        <w:top w:val="single" w:sz="4" w:space="1" w:color="auto"/>
      </w:pBdr>
      <w:tabs>
        <w:tab w:val="center" w:pos="4680"/>
        <w:tab w:val="right" w:pos="9360"/>
      </w:tabs>
      <w:spacing w:before="0" w:after="0"/>
    </w:pPr>
  </w:style>
  <w:style w:type="paragraph" w:styleId="Header">
    <w:name w:val="header"/>
    <w:basedOn w:val="Normal"/>
    <w:rsid w:val="002733B7"/>
    <w:pPr>
      <w:tabs>
        <w:tab w:val="center" w:pos="4320"/>
        <w:tab w:val="right" w:pos="8640"/>
      </w:tabs>
    </w:pPr>
  </w:style>
  <w:style w:type="character" w:styleId="HTMLAcronym">
    <w:name w:val="HTML Acronym"/>
    <w:basedOn w:val="DefaultParagraphFont"/>
    <w:semiHidden/>
    <w:rsid w:val="002733B7"/>
  </w:style>
  <w:style w:type="paragraph" w:styleId="HTMLAddress">
    <w:name w:val="HTML Address"/>
    <w:basedOn w:val="Normal"/>
    <w:semiHidden/>
    <w:rsid w:val="002733B7"/>
    <w:rPr>
      <w:i/>
      <w:iCs/>
    </w:rPr>
  </w:style>
  <w:style w:type="character" w:styleId="HTMLCite">
    <w:name w:val="HTML Cite"/>
    <w:semiHidden/>
    <w:rsid w:val="002733B7"/>
    <w:rPr>
      <w:i/>
      <w:iCs/>
    </w:rPr>
  </w:style>
  <w:style w:type="character" w:styleId="HTMLCode">
    <w:name w:val="HTML Code"/>
    <w:semiHidden/>
    <w:rsid w:val="002733B7"/>
    <w:rPr>
      <w:rFonts w:ascii="Courier New" w:hAnsi="Courier New" w:cs="Courier New"/>
      <w:sz w:val="20"/>
      <w:szCs w:val="20"/>
    </w:rPr>
  </w:style>
  <w:style w:type="character" w:styleId="HTMLDefinition">
    <w:name w:val="HTML Definition"/>
    <w:semiHidden/>
    <w:rsid w:val="002733B7"/>
    <w:rPr>
      <w:i/>
      <w:iCs/>
    </w:rPr>
  </w:style>
  <w:style w:type="character" w:styleId="HTMLKeyboard">
    <w:name w:val="HTML Keyboard"/>
    <w:semiHidden/>
    <w:rsid w:val="002733B7"/>
    <w:rPr>
      <w:rFonts w:ascii="Courier New" w:hAnsi="Courier New" w:cs="Courier New"/>
      <w:sz w:val="20"/>
      <w:szCs w:val="20"/>
    </w:rPr>
  </w:style>
  <w:style w:type="paragraph" w:styleId="HTMLPreformatted">
    <w:name w:val="HTML Preformatted"/>
    <w:basedOn w:val="Normal"/>
    <w:semiHidden/>
    <w:rsid w:val="002733B7"/>
    <w:rPr>
      <w:rFonts w:ascii="Courier New" w:hAnsi="Courier New" w:cs="Courier New"/>
      <w:szCs w:val="20"/>
    </w:rPr>
  </w:style>
  <w:style w:type="character" w:styleId="HTMLSample">
    <w:name w:val="HTML Sample"/>
    <w:semiHidden/>
    <w:rsid w:val="002733B7"/>
    <w:rPr>
      <w:rFonts w:ascii="Courier New" w:hAnsi="Courier New" w:cs="Courier New"/>
    </w:rPr>
  </w:style>
  <w:style w:type="character" w:styleId="HTMLTypewriter">
    <w:name w:val="HTML Typewriter"/>
    <w:semiHidden/>
    <w:rsid w:val="002733B7"/>
    <w:rPr>
      <w:rFonts w:ascii="Courier New" w:hAnsi="Courier New" w:cs="Courier New"/>
      <w:sz w:val="20"/>
      <w:szCs w:val="20"/>
    </w:rPr>
  </w:style>
  <w:style w:type="character" w:styleId="HTMLVariable">
    <w:name w:val="HTML Variable"/>
    <w:semiHidden/>
    <w:rsid w:val="002733B7"/>
    <w:rPr>
      <w:i/>
      <w:iCs/>
    </w:rPr>
  </w:style>
  <w:style w:type="character" w:styleId="Hyperlink">
    <w:name w:val="Hyperlink"/>
    <w:semiHidden/>
    <w:rsid w:val="002733B7"/>
    <w:rPr>
      <w:color w:val="0000FF"/>
      <w:u w:val="single"/>
    </w:rPr>
  </w:style>
  <w:style w:type="character" w:styleId="LineNumber">
    <w:name w:val="line number"/>
    <w:basedOn w:val="DefaultParagraphFont"/>
    <w:semiHidden/>
    <w:rsid w:val="002733B7"/>
  </w:style>
  <w:style w:type="paragraph" w:styleId="List">
    <w:name w:val="List"/>
    <w:basedOn w:val="Normal"/>
    <w:semiHidden/>
    <w:rsid w:val="002733B7"/>
    <w:pPr>
      <w:ind w:left="360" w:hanging="360"/>
    </w:pPr>
  </w:style>
  <w:style w:type="paragraph" w:styleId="List2">
    <w:name w:val="List 2"/>
    <w:basedOn w:val="Normal"/>
    <w:semiHidden/>
    <w:rsid w:val="002733B7"/>
    <w:pPr>
      <w:ind w:left="720" w:hanging="360"/>
    </w:pPr>
  </w:style>
  <w:style w:type="paragraph" w:styleId="List3">
    <w:name w:val="List 3"/>
    <w:basedOn w:val="Normal"/>
    <w:semiHidden/>
    <w:rsid w:val="002733B7"/>
    <w:pPr>
      <w:ind w:left="1080" w:hanging="360"/>
    </w:pPr>
  </w:style>
  <w:style w:type="paragraph" w:styleId="List4">
    <w:name w:val="List 4"/>
    <w:basedOn w:val="Normal"/>
    <w:semiHidden/>
    <w:rsid w:val="002733B7"/>
    <w:pPr>
      <w:ind w:left="1440" w:hanging="360"/>
    </w:pPr>
  </w:style>
  <w:style w:type="paragraph" w:styleId="List5">
    <w:name w:val="List 5"/>
    <w:basedOn w:val="Normal"/>
    <w:semiHidden/>
    <w:rsid w:val="002733B7"/>
    <w:pPr>
      <w:ind w:left="1800" w:hanging="360"/>
    </w:pPr>
  </w:style>
  <w:style w:type="paragraph" w:styleId="ListBullet">
    <w:name w:val="List Bullet"/>
    <w:basedOn w:val="Normal"/>
    <w:semiHidden/>
    <w:rsid w:val="002733B7"/>
    <w:pPr>
      <w:numPr>
        <w:numId w:val="4"/>
      </w:numPr>
    </w:pPr>
  </w:style>
  <w:style w:type="paragraph" w:styleId="ListBullet2">
    <w:name w:val="List Bullet 2"/>
    <w:basedOn w:val="Normal"/>
    <w:semiHidden/>
    <w:rsid w:val="002733B7"/>
    <w:pPr>
      <w:numPr>
        <w:numId w:val="5"/>
      </w:numPr>
    </w:pPr>
  </w:style>
  <w:style w:type="paragraph" w:styleId="ListBullet3">
    <w:name w:val="List Bullet 3"/>
    <w:basedOn w:val="Normal"/>
    <w:semiHidden/>
    <w:rsid w:val="002733B7"/>
    <w:pPr>
      <w:numPr>
        <w:numId w:val="6"/>
      </w:numPr>
    </w:pPr>
  </w:style>
  <w:style w:type="paragraph" w:styleId="ListBullet4">
    <w:name w:val="List Bullet 4"/>
    <w:basedOn w:val="Normal"/>
    <w:semiHidden/>
    <w:rsid w:val="002733B7"/>
    <w:pPr>
      <w:numPr>
        <w:numId w:val="7"/>
      </w:numPr>
    </w:pPr>
  </w:style>
  <w:style w:type="paragraph" w:styleId="ListBullet5">
    <w:name w:val="List Bullet 5"/>
    <w:basedOn w:val="Normal"/>
    <w:semiHidden/>
    <w:rsid w:val="002733B7"/>
    <w:pPr>
      <w:numPr>
        <w:numId w:val="8"/>
      </w:numPr>
    </w:pPr>
  </w:style>
  <w:style w:type="paragraph" w:styleId="ListContinue">
    <w:name w:val="List Continue"/>
    <w:basedOn w:val="Normal"/>
    <w:semiHidden/>
    <w:rsid w:val="002733B7"/>
    <w:pPr>
      <w:spacing w:after="120"/>
      <w:ind w:left="360"/>
    </w:pPr>
  </w:style>
  <w:style w:type="paragraph" w:styleId="ListContinue2">
    <w:name w:val="List Continue 2"/>
    <w:basedOn w:val="Normal"/>
    <w:semiHidden/>
    <w:rsid w:val="002733B7"/>
    <w:pPr>
      <w:spacing w:after="120"/>
      <w:ind w:left="720"/>
    </w:pPr>
  </w:style>
  <w:style w:type="paragraph" w:styleId="ListContinue3">
    <w:name w:val="List Continue 3"/>
    <w:basedOn w:val="Normal"/>
    <w:semiHidden/>
    <w:rsid w:val="002733B7"/>
    <w:pPr>
      <w:spacing w:after="120"/>
      <w:ind w:left="1080"/>
    </w:pPr>
  </w:style>
  <w:style w:type="paragraph" w:styleId="ListContinue4">
    <w:name w:val="List Continue 4"/>
    <w:basedOn w:val="Normal"/>
    <w:semiHidden/>
    <w:rsid w:val="002733B7"/>
    <w:pPr>
      <w:spacing w:after="120"/>
      <w:ind w:left="1440"/>
    </w:pPr>
  </w:style>
  <w:style w:type="paragraph" w:styleId="ListContinue5">
    <w:name w:val="List Continue 5"/>
    <w:basedOn w:val="Normal"/>
    <w:semiHidden/>
    <w:rsid w:val="002733B7"/>
    <w:pPr>
      <w:spacing w:after="120"/>
      <w:ind w:left="1800"/>
    </w:pPr>
  </w:style>
  <w:style w:type="paragraph" w:styleId="ListNumber">
    <w:name w:val="List Number"/>
    <w:basedOn w:val="Normal"/>
    <w:semiHidden/>
    <w:rsid w:val="002733B7"/>
    <w:pPr>
      <w:numPr>
        <w:numId w:val="9"/>
      </w:numPr>
    </w:pPr>
  </w:style>
  <w:style w:type="paragraph" w:styleId="ListNumber2">
    <w:name w:val="List Number 2"/>
    <w:basedOn w:val="Normal"/>
    <w:semiHidden/>
    <w:rsid w:val="002733B7"/>
    <w:pPr>
      <w:numPr>
        <w:numId w:val="10"/>
      </w:numPr>
    </w:pPr>
  </w:style>
  <w:style w:type="paragraph" w:styleId="ListNumber3">
    <w:name w:val="List Number 3"/>
    <w:basedOn w:val="Normal"/>
    <w:semiHidden/>
    <w:rsid w:val="002733B7"/>
    <w:pPr>
      <w:numPr>
        <w:numId w:val="11"/>
      </w:numPr>
    </w:pPr>
  </w:style>
  <w:style w:type="paragraph" w:styleId="ListNumber4">
    <w:name w:val="List Number 4"/>
    <w:basedOn w:val="Normal"/>
    <w:semiHidden/>
    <w:rsid w:val="002733B7"/>
    <w:pPr>
      <w:numPr>
        <w:numId w:val="12"/>
      </w:numPr>
    </w:pPr>
  </w:style>
  <w:style w:type="paragraph" w:styleId="ListNumber5">
    <w:name w:val="List Number 5"/>
    <w:basedOn w:val="Normal"/>
    <w:semiHidden/>
    <w:rsid w:val="002733B7"/>
    <w:pPr>
      <w:numPr>
        <w:numId w:val="13"/>
      </w:numPr>
    </w:pPr>
  </w:style>
  <w:style w:type="paragraph" w:styleId="MessageHeader">
    <w:name w:val="Message Header"/>
    <w:basedOn w:val="Normal"/>
    <w:semiHidden/>
    <w:rsid w:val="002733B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emiHidden/>
    <w:rsid w:val="002733B7"/>
  </w:style>
  <w:style w:type="paragraph" w:styleId="NormalIndent">
    <w:name w:val="Normal Indent"/>
    <w:basedOn w:val="Normal"/>
    <w:semiHidden/>
    <w:rsid w:val="002733B7"/>
    <w:pPr>
      <w:ind w:left="720"/>
    </w:pPr>
  </w:style>
  <w:style w:type="paragraph" w:styleId="NoteHeading">
    <w:name w:val="Note Heading"/>
    <w:basedOn w:val="Normal"/>
    <w:next w:val="Normal"/>
    <w:semiHidden/>
    <w:rsid w:val="002733B7"/>
  </w:style>
  <w:style w:type="character" w:styleId="PageNumber">
    <w:name w:val="page number"/>
    <w:basedOn w:val="DefaultParagraphFont"/>
    <w:semiHidden/>
    <w:rsid w:val="002733B7"/>
  </w:style>
  <w:style w:type="paragraph" w:styleId="PlainText">
    <w:name w:val="Plain Text"/>
    <w:basedOn w:val="Normal"/>
    <w:semiHidden/>
    <w:rsid w:val="002733B7"/>
    <w:rPr>
      <w:rFonts w:ascii="Courier New" w:hAnsi="Courier New" w:cs="Courier New"/>
      <w:szCs w:val="20"/>
    </w:rPr>
  </w:style>
  <w:style w:type="paragraph" w:styleId="Salutation">
    <w:name w:val="Salutation"/>
    <w:basedOn w:val="Normal"/>
    <w:next w:val="Normal"/>
    <w:semiHidden/>
    <w:rsid w:val="002733B7"/>
  </w:style>
  <w:style w:type="paragraph" w:styleId="Signature">
    <w:name w:val="Signature"/>
    <w:basedOn w:val="Normal"/>
    <w:semiHidden/>
    <w:rsid w:val="002733B7"/>
    <w:pPr>
      <w:ind w:left="4320"/>
    </w:pPr>
  </w:style>
  <w:style w:type="character" w:styleId="Strong">
    <w:name w:val="Strong"/>
    <w:qFormat/>
    <w:rsid w:val="002733B7"/>
    <w:rPr>
      <w:b/>
      <w:bCs/>
    </w:rPr>
  </w:style>
  <w:style w:type="paragraph" w:styleId="Subtitle">
    <w:name w:val="Subtitle"/>
    <w:basedOn w:val="Normal"/>
    <w:qFormat/>
    <w:rsid w:val="002733B7"/>
    <w:pPr>
      <w:spacing w:after="60"/>
      <w:jc w:val="center"/>
      <w:outlineLvl w:val="1"/>
    </w:pPr>
    <w:rPr>
      <w:rFonts w:ascii="Arial" w:hAnsi="Arial" w:cs="Arial"/>
    </w:rPr>
  </w:style>
  <w:style w:type="table" w:styleId="Table3Deffects1">
    <w:name w:val="Table 3D effects 1"/>
    <w:basedOn w:val="TableNormal"/>
    <w:semiHidden/>
    <w:rsid w:val="002733B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733B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733B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733B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733B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733B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733B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733B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733B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733B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733B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733B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733B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733B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733B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733B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733B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273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2733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733B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733B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733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733B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733B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733B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733B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733B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733B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733B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733B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733B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733B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733B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733B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733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733B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733B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733B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733B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733B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73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733B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733B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733B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qFormat/>
    <w:rsid w:val="006509E1"/>
    <w:pPr>
      <w:tabs>
        <w:tab w:val="left" w:pos="907"/>
      </w:tabs>
      <w:spacing w:after="100"/>
      <w:jc w:val="center"/>
    </w:pPr>
    <w:rPr>
      <w:b/>
      <w:bCs/>
      <w:szCs w:val="20"/>
    </w:rPr>
  </w:style>
  <w:style w:type="paragraph" w:styleId="Title">
    <w:name w:val="Title"/>
    <w:basedOn w:val="Normal"/>
    <w:qFormat/>
    <w:rsid w:val="00F03140"/>
    <w:pPr>
      <w:spacing w:before="240" w:after="0"/>
      <w:contextualSpacing/>
      <w:jc w:val="center"/>
      <w:outlineLvl w:val="0"/>
    </w:pPr>
    <w:rPr>
      <w:rFonts w:cs="Arial"/>
      <w:b/>
      <w:bCs/>
      <w:kern w:val="28"/>
      <w:sz w:val="24"/>
      <w:szCs w:val="32"/>
    </w:rPr>
  </w:style>
  <w:style w:type="paragraph" w:customStyle="1" w:styleId="Authors">
    <w:name w:val="Authors"/>
    <w:basedOn w:val="Normal"/>
    <w:rsid w:val="00A96BEF"/>
    <w:pPr>
      <w:spacing w:before="0" w:after="0"/>
      <w:jc w:val="center"/>
    </w:pPr>
  </w:style>
  <w:style w:type="paragraph" w:customStyle="1" w:styleId="PaperNumber">
    <w:name w:val="Paper Number"/>
    <w:basedOn w:val="Normal"/>
    <w:rsid w:val="00A96BEF"/>
    <w:pPr>
      <w:spacing w:before="0" w:after="280"/>
      <w:jc w:val="right"/>
    </w:pPr>
    <w:rPr>
      <w:b/>
      <w:sz w:val="28"/>
    </w:rPr>
  </w:style>
  <w:style w:type="paragraph" w:customStyle="1" w:styleId="References">
    <w:name w:val="References"/>
    <w:basedOn w:val="Normal"/>
    <w:rsid w:val="00005E3E"/>
    <w:pPr>
      <w:numPr>
        <w:numId w:val="14"/>
      </w:numPr>
      <w:spacing w:after="0"/>
    </w:pPr>
  </w:style>
  <w:style w:type="paragraph" w:customStyle="1" w:styleId="Equation">
    <w:name w:val="Equation"/>
    <w:basedOn w:val="Header"/>
    <w:next w:val="Normal"/>
    <w:rsid w:val="00B83208"/>
    <w:pPr>
      <w:tabs>
        <w:tab w:val="clear" w:pos="8640"/>
        <w:tab w:val="right" w:pos="4320"/>
      </w:tabs>
    </w:pPr>
  </w:style>
  <w:style w:type="paragraph" w:customStyle="1" w:styleId="TableText">
    <w:name w:val="Table Text"/>
    <w:basedOn w:val="Normal"/>
    <w:rsid w:val="00531406"/>
    <w:pPr>
      <w:spacing w:before="40" w:after="40"/>
      <w:jc w:val="left"/>
    </w:pPr>
    <w:rPr>
      <w:sz w:val="16"/>
    </w:rPr>
  </w:style>
  <w:style w:type="paragraph" w:customStyle="1" w:styleId="AbstractTitle">
    <w:name w:val="Abstract Title"/>
    <w:basedOn w:val="Heading1"/>
    <w:next w:val="Normal"/>
    <w:rsid w:val="002058E5"/>
    <w:pPr>
      <w:spacing w:before="120" w:after="0"/>
      <w:contextualSpacing w:val="0"/>
      <w:jc w:val="center"/>
    </w:pPr>
  </w:style>
  <w:style w:type="paragraph" w:styleId="BalloonText">
    <w:name w:val="Balloon Text"/>
    <w:basedOn w:val="Normal"/>
    <w:link w:val="BalloonTextChar"/>
    <w:rsid w:val="00D02C4F"/>
    <w:pPr>
      <w:spacing w:before="0" w:after="0"/>
    </w:pPr>
    <w:rPr>
      <w:rFonts w:ascii="Tahoma" w:hAnsi="Tahoma" w:cs="Tahoma"/>
      <w:sz w:val="16"/>
      <w:szCs w:val="16"/>
    </w:rPr>
  </w:style>
  <w:style w:type="character" w:customStyle="1" w:styleId="BalloonTextChar">
    <w:name w:val="Balloon Text Char"/>
    <w:link w:val="BalloonText"/>
    <w:rsid w:val="00D02C4F"/>
    <w:rPr>
      <w:rFonts w:ascii="Tahoma" w:hAnsi="Tahoma" w:cs="Tahoma"/>
      <w:sz w:val="16"/>
      <w:szCs w:val="16"/>
    </w:rPr>
  </w:style>
  <w:style w:type="character" w:styleId="UnresolvedMention">
    <w:name w:val="Unresolved Mention"/>
    <w:basedOn w:val="DefaultParagraphFont"/>
    <w:uiPriority w:val="99"/>
    <w:semiHidden/>
    <w:unhideWhenUsed/>
    <w:rsid w:val="005876F6"/>
    <w:rPr>
      <w:color w:val="605E5C"/>
      <w:shd w:val="clear" w:color="auto" w:fill="E1DFDD"/>
    </w:rPr>
  </w:style>
  <w:style w:type="paragraph" w:styleId="Revision">
    <w:name w:val="Revision"/>
    <w:hidden/>
    <w:uiPriority w:val="99"/>
    <w:semiHidden/>
    <w:rsid w:val="00A27F65"/>
    <w:rPr>
      <w:szCs w:val="24"/>
    </w:rPr>
  </w:style>
  <w:style w:type="character" w:styleId="CommentReference">
    <w:name w:val="annotation reference"/>
    <w:basedOn w:val="DefaultParagraphFont"/>
    <w:rsid w:val="00A3282F"/>
    <w:rPr>
      <w:sz w:val="16"/>
      <w:szCs w:val="16"/>
    </w:rPr>
  </w:style>
  <w:style w:type="paragraph" w:styleId="CommentText">
    <w:name w:val="annotation text"/>
    <w:basedOn w:val="Normal"/>
    <w:link w:val="CommentTextChar"/>
    <w:rsid w:val="00A3282F"/>
    <w:rPr>
      <w:szCs w:val="20"/>
    </w:rPr>
  </w:style>
  <w:style w:type="character" w:customStyle="1" w:styleId="CommentTextChar">
    <w:name w:val="Comment Text Char"/>
    <w:basedOn w:val="DefaultParagraphFont"/>
    <w:link w:val="CommentText"/>
    <w:rsid w:val="00A3282F"/>
  </w:style>
  <w:style w:type="paragraph" w:styleId="CommentSubject">
    <w:name w:val="annotation subject"/>
    <w:basedOn w:val="CommentText"/>
    <w:next w:val="CommentText"/>
    <w:link w:val="CommentSubjectChar"/>
    <w:rsid w:val="00A3282F"/>
    <w:rPr>
      <w:b/>
      <w:bCs/>
    </w:rPr>
  </w:style>
  <w:style w:type="character" w:customStyle="1" w:styleId="CommentSubjectChar">
    <w:name w:val="Comment Subject Char"/>
    <w:basedOn w:val="CommentTextChar"/>
    <w:link w:val="CommentSubject"/>
    <w:rsid w:val="00A328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870621">
      <w:bodyDiv w:val="1"/>
      <w:marLeft w:val="0"/>
      <w:marRight w:val="0"/>
      <w:marTop w:val="0"/>
      <w:marBottom w:val="0"/>
      <w:divBdr>
        <w:top w:val="none" w:sz="0" w:space="0" w:color="auto"/>
        <w:left w:val="none" w:sz="0" w:space="0" w:color="auto"/>
        <w:bottom w:val="none" w:sz="0" w:space="0" w:color="auto"/>
        <w:right w:val="none" w:sz="0" w:space="0" w:color="auto"/>
      </w:divBdr>
      <w:divsChild>
        <w:div w:id="528568034">
          <w:marLeft w:val="360"/>
          <w:marRight w:val="0"/>
          <w:marTop w:val="200"/>
          <w:marBottom w:val="0"/>
          <w:divBdr>
            <w:top w:val="none" w:sz="0" w:space="0" w:color="auto"/>
            <w:left w:val="none" w:sz="0" w:space="0" w:color="auto"/>
            <w:bottom w:val="none" w:sz="0" w:space="0" w:color="auto"/>
            <w:right w:val="none" w:sz="0" w:space="0" w:color="auto"/>
          </w:divBdr>
        </w:div>
      </w:divsChild>
    </w:div>
    <w:div w:id="1959798383">
      <w:bodyDiv w:val="1"/>
      <w:marLeft w:val="0"/>
      <w:marRight w:val="0"/>
      <w:marTop w:val="0"/>
      <w:marBottom w:val="0"/>
      <w:divBdr>
        <w:top w:val="none" w:sz="0" w:space="0" w:color="auto"/>
        <w:left w:val="none" w:sz="0" w:space="0" w:color="auto"/>
        <w:bottom w:val="none" w:sz="0" w:space="0" w:color="auto"/>
        <w:right w:val="none" w:sz="0" w:space="0" w:color="auto"/>
      </w:divBdr>
    </w:div>
    <w:div w:id="1972200953">
      <w:bodyDiv w:val="1"/>
      <w:marLeft w:val="0"/>
      <w:marRight w:val="0"/>
      <w:marTop w:val="0"/>
      <w:marBottom w:val="0"/>
      <w:divBdr>
        <w:top w:val="none" w:sz="0" w:space="0" w:color="auto"/>
        <w:left w:val="none" w:sz="0" w:space="0" w:color="auto"/>
        <w:bottom w:val="none" w:sz="0" w:space="0" w:color="auto"/>
        <w:right w:val="none" w:sz="0" w:space="0" w:color="auto"/>
      </w:divBdr>
      <w:divsChild>
        <w:div w:id="61390594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tthew.j.gasch@nasa.gov" TargetMode="External"/><Relationship Id="rId13" Type="http://schemas.openxmlformats.org/officeDocument/2006/relationships/hyperlink" Target="mailto:kyle.m.hendrickson@nasa.gov" TargetMode="External"/><Relationship Id="rId18" Type="http://schemas.openxmlformats.org/officeDocument/2006/relationships/image" Target="media/image4.sv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mailto:gregory.l.gonzales@nasa.gov"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svg"/><Relationship Id="rId20" Type="http://schemas.openxmlformats.org/officeDocument/2006/relationships/image" Target="media/image6.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thiraj.venkatapathy-1@nasa.gov"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10" Type="http://schemas.openxmlformats.org/officeDocument/2006/relationships/hyperlink" Target="mailto:margaret.m.stackpoole@nasa.gov"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keith.h.peterson@nasa.gov" TargetMode="Externa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83281-8085-48CE-8F85-449D65A67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1794</Words>
  <Characters>10228</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[Paper Number]</vt:lpstr>
    </vt:vector>
  </TitlesOfParts>
  <Company>Space Dynamics Laboratory</Company>
  <LinksUpToDate>false</LinksUpToDate>
  <CharactersWithSpaces>11999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Number]</dc:title>
  <dc:subject/>
  <dc:creator>Sonya Warner</dc:creator>
  <cp:keywords/>
  <cp:lastModifiedBy>Gasch, Matthew J. (ARC-TSM)</cp:lastModifiedBy>
  <cp:revision>2</cp:revision>
  <cp:lastPrinted>2022-04-05T14:53:00Z</cp:lastPrinted>
  <dcterms:created xsi:type="dcterms:W3CDTF">2024-05-10T21:20:00Z</dcterms:created>
  <dcterms:modified xsi:type="dcterms:W3CDTF">2024-05-10T21:20:00Z</dcterms:modified>
</cp:coreProperties>
</file>