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1606F" w14:textId="55A2BACA" w:rsidR="008A1A32" w:rsidRDefault="00594939" w:rsidP="008A1A32">
      <w:pPr>
        <w:pStyle w:val="ReportNo"/>
      </w:pPr>
      <w:bookmarkStart w:id="0" w:name="_Hlk169873344"/>
      <w:r>
        <w:t>NASA/</w:t>
      </w:r>
      <w:r w:rsidR="008A1A32" w:rsidRPr="008A1A32">
        <w:t>SP-20240010473</w:t>
      </w:r>
    </w:p>
    <w:p w14:paraId="04DD641C" w14:textId="77777777" w:rsidR="008A1A32" w:rsidRDefault="008A1A32" w:rsidP="008A1A32">
      <w:pPr>
        <w:pStyle w:val="ReportNo"/>
      </w:pPr>
    </w:p>
    <w:p w14:paraId="3C563B39" w14:textId="77777777" w:rsidR="008A1A32" w:rsidRDefault="008A1A32" w:rsidP="008A1A32">
      <w:r w:rsidRPr="0038597D">
        <w:rPr>
          <w:noProof/>
        </w:rPr>
        <w:drawing>
          <wp:inline distT="0" distB="0" distL="0" distR="0" wp14:anchorId="516EF907" wp14:editId="29547203">
            <wp:extent cx="1402715" cy="1162685"/>
            <wp:effectExtent l="0" t="0" r="0" b="0"/>
            <wp:docPr id="12" name="Picture 12" descr="bwmea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meatb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2715" cy="1162685"/>
                    </a:xfrm>
                    <a:prstGeom prst="rect">
                      <a:avLst/>
                    </a:prstGeom>
                    <a:noFill/>
                    <a:ln>
                      <a:noFill/>
                    </a:ln>
                  </pic:spPr>
                </pic:pic>
              </a:graphicData>
            </a:graphic>
          </wp:inline>
        </w:drawing>
      </w:r>
    </w:p>
    <w:p w14:paraId="2AB80DEA" w14:textId="77777777" w:rsidR="008A1A32" w:rsidRDefault="008A1A32" w:rsidP="008A1A32"/>
    <w:p w14:paraId="5083F0BB" w14:textId="37412F3F" w:rsidR="008A1A32" w:rsidRDefault="008A1A32" w:rsidP="008A1A32">
      <w:pPr>
        <w:pStyle w:val="Title1"/>
      </w:pPr>
      <w:r>
        <w:t xml:space="preserve">Assessment of Patent Foramen Ovale (PFO) as Related to Decompression Sickness (DCS) </w:t>
      </w:r>
    </w:p>
    <w:p w14:paraId="36DCD3F9" w14:textId="50E85F3B" w:rsidR="008A1A32" w:rsidRDefault="008A1A32" w:rsidP="008A1A32">
      <w:pPr>
        <w:pStyle w:val="Title1"/>
      </w:pPr>
      <w:r>
        <w:t>in the Spaceflight Environment and During Ground Testing</w:t>
      </w:r>
    </w:p>
    <w:p w14:paraId="548322B8" w14:textId="77777777" w:rsidR="00B856D0" w:rsidRDefault="00B856D0" w:rsidP="008A1A32">
      <w:pPr>
        <w:pStyle w:val="Title1"/>
      </w:pPr>
    </w:p>
    <w:p w14:paraId="0DBCEF67" w14:textId="77777777" w:rsidR="008A1A32" w:rsidRDefault="008A1A32" w:rsidP="008A1A32">
      <w:pPr>
        <w:pStyle w:val="Author"/>
        <w:rPr>
          <w:noProof w:val="0"/>
        </w:rPr>
      </w:pPr>
      <w:r>
        <w:rPr>
          <w:noProof w:val="0"/>
        </w:rPr>
        <w:t>Compiled by:</w:t>
      </w:r>
    </w:p>
    <w:p w14:paraId="50BCB8B8" w14:textId="5B444816" w:rsidR="008A1A32" w:rsidRDefault="008A1A32" w:rsidP="008A1A32">
      <w:pPr>
        <w:pStyle w:val="Author"/>
        <w:rPr>
          <w:noProof w:val="0"/>
        </w:rPr>
      </w:pPr>
      <w:r>
        <w:rPr>
          <w:noProof w:val="0"/>
        </w:rPr>
        <w:t>Sarah D. Childress</w:t>
      </w:r>
      <w:r w:rsidR="00B11869">
        <w:rPr>
          <w:noProof w:val="0"/>
        </w:rPr>
        <w:t xml:space="preserve">, </w:t>
      </w:r>
      <w:r w:rsidR="00B856D0">
        <w:t>Office of the Chief Health and Medical Officer</w:t>
      </w:r>
      <w:r w:rsidR="0073631A">
        <w:t>,</w:t>
      </w:r>
      <w:r w:rsidR="00B856D0">
        <w:t xml:space="preserve"> JES Tech, Houston, Texas</w:t>
      </w:r>
    </w:p>
    <w:p w14:paraId="0B3B7ED1" w14:textId="7383D3CA" w:rsidR="008A1A32" w:rsidRDefault="008A1A32" w:rsidP="008A1A32">
      <w:pPr>
        <w:pStyle w:val="Author"/>
        <w:rPr>
          <w:noProof w:val="0"/>
        </w:rPr>
      </w:pPr>
      <w:r>
        <w:rPr>
          <w:noProof w:val="0"/>
        </w:rPr>
        <w:t>Kristin M. Coffey</w:t>
      </w:r>
      <w:r w:rsidR="00B856D0">
        <w:rPr>
          <w:noProof w:val="0"/>
        </w:rPr>
        <w:t>,</w:t>
      </w:r>
      <w:r w:rsidR="00B856D0" w:rsidRPr="00B856D0">
        <w:t xml:space="preserve"> </w:t>
      </w:r>
      <w:r w:rsidR="00B856D0">
        <w:t>Office of the Chief Health and Medical Officer,</w:t>
      </w:r>
      <w:r w:rsidR="0073631A">
        <w:t xml:space="preserve"> </w:t>
      </w:r>
      <w:r w:rsidR="00B856D0">
        <w:t>KBR Systems, Houston, Texas</w:t>
      </w:r>
    </w:p>
    <w:p w14:paraId="19420FF2" w14:textId="029628C6" w:rsidR="008A1A32" w:rsidRDefault="008A1A32" w:rsidP="008A1A32">
      <w:pPr>
        <w:pStyle w:val="Author"/>
        <w:rPr>
          <w:noProof w:val="0"/>
        </w:rPr>
      </w:pPr>
      <w:r>
        <w:rPr>
          <w:noProof w:val="0"/>
        </w:rPr>
        <w:t>David R. Francisco</w:t>
      </w:r>
      <w:r w:rsidR="00B11869">
        <w:rPr>
          <w:noProof w:val="0"/>
        </w:rPr>
        <w:t xml:space="preserve">, </w:t>
      </w:r>
      <w:r w:rsidR="00B856D0">
        <w:t>Office of the Chief Health and Medical Officer, NASA, Houston, Texas</w:t>
      </w:r>
    </w:p>
    <w:p w14:paraId="7A165168" w14:textId="3F9308BF" w:rsidR="008A1A32" w:rsidRDefault="00B856D0" w:rsidP="008A1A32">
      <w:pPr>
        <w:pStyle w:val="Author"/>
        <w:rPr>
          <w:noProof w:val="0"/>
        </w:rPr>
      </w:pPr>
      <w:r>
        <w:rPr>
          <w:noProof w:val="0"/>
        </w:rPr>
        <w:t xml:space="preserve"> </w:t>
      </w:r>
    </w:p>
    <w:p w14:paraId="453DEFA7" w14:textId="77777777" w:rsidR="008A1A32" w:rsidRDefault="008A1A32" w:rsidP="008A1A32">
      <w:pPr>
        <w:pStyle w:val="Author"/>
        <w:rPr>
          <w:noProof w:val="0"/>
        </w:rPr>
      </w:pPr>
    </w:p>
    <w:p w14:paraId="741FB0A8" w14:textId="77777777" w:rsidR="008A1A32" w:rsidRDefault="008A1A32" w:rsidP="008A1A32">
      <w:pPr>
        <w:pStyle w:val="Author"/>
        <w:rPr>
          <w:noProof w:val="0"/>
        </w:rPr>
      </w:pPr>
    </w:p>
    <w:p w14:paraId="7EC918CF" w14:textId="77777777" w:rsidR="008A1A32" w:rsidRDefault="008A1A32" w:rsidP="008A1A32"/>
    <w:p w14:paraId="03C9C01A" w14:textId="77777777" w:rsidR="008A1A32" w:rsidRDefault="008A1A32" w:rsidP="008A1A32"/>
    <w:p w14:paraId="6DDB6582" w14:textId="77777777" w:rsidR="008A1A32" w:rsidRDefault="008A1A32" w:rsidP="008A1A32">
      <w:pPr>
        <w:pStyle w:val="Body"/>
      </w:pPr>
    </w:p>
    <w:p w14:paraId="14D211AF" w14:textId="77777777" w:rsidR="008A1A32" w:rsidRDefault="008A1A32" w:rsidP="008A1A32"/>
    <w:p w14:paraId="5D8CBA04" w14:textId="77777777" w:rsidR="008A1A32" w:rsidRDefault="008A1A32" w:rsidP="008A1A32">
      <w:pPr>
        <w:sectPr w:rsidR="008A1A32" w:rsidSect="008A1A32">
          <w:headerReference w:type="default" r:id="rId12"/>
          <w:footerReference w:type="even" r:id="rId13"/>
          <w:headerReference w:type="first" r:id="rId14"/>
          <w:footerReference w:type="first" r:id="rId15"/>
          <w:pgSz w:w="12240" w:h="15840"/>
          <w:pgMar w:top="1440" w:right="1440" w:bottom="1440" w:left="1440" w:header="0" w:footer="1195" w:gutter="0"/>
          <w:cols w:space="720"/>
          <w:titlePg/>
        </w:sectPr>
      </w:pPr>
    </w:p>
    <w:p w14:paraId="0CD7202E" w14:textId="77777777" w:rsidR="008A1A32" w:rsidRDefault="008A1A32" w:rsidP="00594939">
      <w:pPr>
        <w:rPr>
          <w:b/>
          <w:i/>
          <w:szCs w:val="24"/>
        </w:rPr>
      </w:pPr>
      <w:r>
        <w:br w:type="page"/>
      </w:r>
    </w:p>
    <w:p w14:paraId="33FA3FFB" w14:textId="77777777" w:rsidR="008A1A32" w:rsidRDefault="008A1A32" w:rsidP="008A1A32">
      <w:pPr>
        <w:ind w:left="180"/>
        <w:jc w:val="center"/>
        <w:rPr>
          <w:b/>
          <w:sz w:val="22"/>
        </w:rPr>
      </w:pPr>
    </w:p>
    <w:p w14:paraId="22754DA9" w14:textId="77777777" w:rsidR="008A1A32" w:rsidRDefault="008A1A32" w:rsidP="008A1A32">
      <w:pPr>
        <w:rPr>
          <w:b/>
          <w:sz w:val="22"/>
        </w:rPr>
        <w:sectPr w:rsidR="008A1A32" w:rsidSect="00CF75C6">
          <w:type w:val="continuous"/>
          <w:pgSz w:w="12240" w:h="15840"/>
          <w:pgMar w:top="1440" w:right="1440" w:bottom="1440" w:left="1440" w:header="0" w:footer="1195" w:gutter="0"/>
          <w:cols w:space="720"/>
        </w:sectPr>
      </w:pPr>
    </w:p>
    <w:tbl>
      <w:tblPr>
        <w:tblW w:w="0" w:type="auto"/>
        <w:jc w:val="center"/>
        <w:tblLayout w:type="fixed"/>
        <w:tblCellMar>
          <w:left w:w="240" w:type="dxa"/>
          <w:right w:w="240" w:type="dxa"/>
        </w:tblCellMar>
        <w:tblLook w:val="04A0" w:firstRow="1" w:lastRow="0" w:firstColumn="1" w:lastColumn="0" w:noHBand="0" w:noVBand="1"/>
      </w:tblPr>
      <w:tblGrid>
        <w:gridCol w:w="4920"/>
        <w:gridCol w:w="4788"/>
      </w:tblGrid>
      <w:tr w:rsidR="008A1A32" w:rsidRPr="006E7558" w14:paraId="6C5F7D2D" w14:textId="77777777" w:rsidTr="00764522">
        <w:trPr>
          <w:jc w:val="center"/>
        </w:trPr>
        <w:tc>
          <w:tcPr>
            <w:tcW w:w="4920" w:type="dxa"/>
          </w:tcPr>
          <w:p w14:paraId="09311F32" w14:textId="77777777" w:rsidR="008A1A32" w:rsidRPr="006E7558" w:rsidRDefault="008A1A32" w:rsidP="00764522">
            <w:pPr>
              <w:pStyle w:val="ReportText"/>
              <w:spacing w:line="260" w:lineRule="atLeast"/>
              <w:ind w:firstLine="0"/>
              <w:rPr>
                <w:rFonts w:ascii="Times New Roman" w:hAnsi="Times New Roman"/>
                <w:sz w:val="20"/>
                <w:szCs w:val="20"/>
              </w:rPr>
            </w:pPr>
            <w:r w:rsidRPr="006E7558">
              <w:rPr>
                <w:rFonts w:ascii="Times New Roman" w:hAnsi="Times New Roman"/>
                <w:sz w:val="20"/>
                <w:szCs w:val="20"/>
              </w:rPr>
              <w:t>Since its founding, NASA has been dedicated</w:t>
            </w:r>
            <w:r>
              <w:rPr>
                <w:rFonts w:ascii="Times New Roman" w:hAnsi="Times New Roman"/>
                <w:sz w:val="20"/>
                <w:szCs w:val="20"/>
              </w:rPr>
              <w:t xml:space="preserve"> </w:t>
            </w:r>
            <w:r w:rsidRPr="006E7558">
              <w:rPr>
                <w:rFonts w:ascii="Times New Roman" w:hAnsi="Times New Roman"/>
                <w:sz w:val="20"/>
                <w:szCs w:val="20"/>
              </w:rPr>
              <w:t>to the advancement of aeronautics and space science. The NASA scientific and technical information (STI) program plays a key part in helping NASA maintain this important role.</w:t>
            </w:r>
          </w:p>
          <w:p w14:paraId="3C8669A0" w14:textId="77777777" w:rsidR="008A1A32" w:rsidRPr="006E7558" w:rsidRDefault="008A1A32" w:rsidP="00764522">
            <w:pPr>
              <w:pStyle w:val="ReportText"/>
              <w:spacing w:line="260" w:lineRule="atLeast"/>
              <w:rPr>
                <w:rFonts w:ascii="Times New Roman" w:hAnsi="Times New Roman"/>
                <w:sz w:val="20"/>
                <w:szCs w:val="20"/>
              </w:rPr>
            </w:pPr>
          </w:p>
          <w:p w14:paraId="0B8EFC44" w14:textId="77777777" w:rsidR="008A1A32" w:rsidRPr="006E7558" w:rsidRDefault="008A1A32" w:rsidP="00764522">
            <w:pPr>
              <w:pStyle w:val="ReportText"/>
              <w:spacing w:line="260" w:lineRule="atLeast"/>
              <w:ind w:firstLine="0"/>
              <w:rPr>
                <w:rFonts w:ascii="Times New Roman" w:hAnsi="Times New Roman"/>
                <w:sz w:val="20"/>
                <w:szCs w:val="20"/>
              </w:rPr>
            </w:pPr>
            <w:r w:rsidRPr="006E7558">
              <w:rPr>
                <w:rFonts w:ascii="Times New Roman" w:hAnsi="Times New Roman"/>
                <w:sz w:val="20"/>
                <w:szCs w:val="20"/>
              </w:rPr>
              <w:t>The NASA STI program operates under the auspices of the Agency Chief Information Officer. It collects, organizes, provides for archiving, and disseminates NASA’s STI. The NASA STI program provides access to the NTRS Registered and its public interface, the NASA Technical Reports Server, thus providing one of the largest collections of aeronautical and space science STI in the world. Results are published in both non-NASA channels and by NASA in the NASA STI Report Series, which includes the following report types:</w:t>
            </w:r>
          </w:p>
          <w:p w14:paraId="077067B7" w14:textId="77777777" w:rsidR="008A1A32" w:rsidRPr="006E7558" w:rsidRDefault="008A1A32" w:rsidP="00764522">
            <w:pPr>
              <w:pStyle w:val="ReportText"/>
              <w:spacing w:line="260" w:lineRule="atLeast"/>
              <w:rPr>
                <w:rFonts w:ascii="Times New Roman" w:hAnsi="Times New Roman"/>
                <w:sz w:val="20"/>
                <w:szCs w:val="20"/>
              </w:rPr>
            </w:pPr>
          </w:p>
          <w:p w14:paraId="7E4794FE" w14:textId="77777777" w:rsidR="008A1A32" w:rsidRPr="006E7558" w:rsidRDefault="008A1A32" w:rsidP="008A1A32">
            <w:pPr>
              <w:pStyle w:val="ReportTextBullet"/>
              <w:numPr>
                <w:ilvl w:val="0"/>
                <w:numId w:val="37"/>
              </w:numPr>
              <w:spacing w:line="260" w:lineRule="atLeast"/>
              <w:rPr>
                <w:rFonts w:ascii="Times New Roman" w:hAnsi="Times New Roman"/>
                <w:sz w:val="20"/>
              </w:rPr>
            </w:pPr>
            <w:r w:rsidRPr="006E7558">
              <w:rPr>
                <w:rFonts w:ascii="Times New Roman" w:hAnsi="Times New Roman"/>
                <w:sz w:val="20"/>
              </w:rPr>
              <w:t>TECHNICAL PUBLICATION. Reports of completed research or a major significant phase of research that present the results of NASA Programs and include extensive data or theoretical analysis. Includes compilations of significant scientific and technical data and information deemed to be of continuing reference value. NASA counterpart of peer-reviewed formal professional papers but has less stringent limitations on manuscript length and extent of graphic presentations.</w:t>
            </w:r>
          </w:p>
          <w:p w14:paraId="1B2BD959" w14:textId="77777777" w:rsidR="008A1A32" w:rsidRPr="006E7558" w:rsidRDefault="008A1A32" w:rsidP="00764522">
            <w:pPr>
              <w:pStyle w:val="ReportText"/>
              <w:spacing w:line="260" w:lineRule="atLeast"/>
              <w:rPr>
                <w:rFonts w:ascii="Times New Roman" w:hAnsi="Times New Roman"/>
                <w:sz w:val="20"/>
                <w:szCs w:val="20"/>
              </w:rPr>
            </w:pPr>
          </w:p>
          <w:p w14:paraId="7C3DF595" w14:textId="77777777" w:rsidR="008A1A32" w:rsidRPr="006E7558" w:rsidRDefault="008A1A32" w:rsidP="008A1A32">
            <w:pPr>
              <w:pStyle w:val="ReportTextBullet"/>
              <w:numPr>
                <w:ilvl w:val="0"/>
                <w:numId w:val="37"/>
              </w:numPr>
              <w:spacing w:line="260" w:lineRule="atLeast"/>
              <w:rPr>
                <w:rFonts w:ascii="Times New Roman" w:hAnsi="Times New Roman"/>
                <w:sz w:val="20"/>
              </w:rPr>
            </w:pPr>
            <w:r w:rsidRPr="006E7558">
              <w:rPr>
                <w:rFonts w:ascii="Times New Roman" w:hAnsi="Times New Roman"/>
                <w:sz w:val="20"/>
              </w:rPr>
              <w:t xml:space="preserve">TECHNICAL MEMORANDUM. </w:t>
            </w:r>
            <w:r w:rsidRPr="006E7558">
              <w:rPr>
                <w:rFonts w:ascii="Times New Roman" w:hAnsi="Times New Roman"/>
                <w:sz w:val="20"/>
              </w:rPr>
              <w:br/>
              <w:t xml:space="preserve">Scientific and technical findings that are preliminary or of specialized interest, </w:t>
            </w:r>
            <w:r w:rsidRPr="006E7558">
              <w:rPr>
                <w:rFonts w:ascii="Times New Roman" w:hAnsi="Times New Roman"/>
                <w:sz w:val="20"/>
              </w:rPr>
              <w:br/>
              <w:t xml:space="preserve">e.g., quick release reports, working </w:t>
            </w:r>
            <w:r w:rsidRPr="006E7558">
              <w:rPr>
                <w:rFonts w:ascii="Times New Roman" w:hAnsi="Times New Roman"/>
                <w:sz w:val="20"/>
              </w:rPr>
              <w:br/>
              <w:t>papers, and bibliographies that contain minimal annotation. Does not contain extensive analysis.</w:t>
            </w:r>
          </w:p>
          <w:p w14:paraId="7003558E" w14:textId="77777777" w:rsidR="008A1A32" w:rsidRPr="006E7558" w:rsidRDefault="008A1A32" w:rsidP="00764522">
            <w:pPr>
              <w:pStyle w:val="ReportText"/>
              <w:spacing w:line="260" w:lineRule="atLeast"/>
              <w:rPr>
                <w:rFonts w:ascii="Times New Roman" w:hAnsi="Times New Roman"/>
                <w:sz w:val="20"/>
                <w:szCs w:val="20"/>
              </w:rPr>
            </w:pPr>
          </w:p>
          <w:p w14:paraId="4AF60F50" w14:textId="77777777" w:rsidR="008A1A32" w:rsidRPr="006E7558" w:rsidRDefault="008A1A32" w:rsidP="008A1A32">
            <w:pPr>
              <w:pStyle w:val="ReportTextBullet"/>
              <w:numPr>
                <w:ilvl w:val="0"/>
                <w:numId w:val="37"/>
              </w:numPr>
              <w:spacing w:line="260" w:lineRule="atLeast"/>
              <w:rPr>
                <w:rFonts w:ascii="Times New Roman" w:hAnsi="Times New Roman"/>
                <w:sz w:val="20"/>
              </w:rPr>
            </w:pPr>
            <w:r w:rsidRPr="006E7558">
              <w:rPr>
                <w:rFonts w:ascii="Times New Roman" w:hAnsi="Times New Roman"/>
                <w:sz w:val="20"/>
              </w:rPr>
              <w:t>CONTRACTOR REPORT. Scientific and technical findings by NASA-sponsored contractors and grantees.</w:t>
            </w:r>
          </w:p>
        </w:tc>
        <w:tc>
          <w:tcPr>
            <w:tcW w:w="4788" w:type="dxa"/>
            <w:tcMar>
              <w:top w:w="0" w:type="dxa"/>
              <w:left w:w="360" w:type="dxa"/>
              <w:bottom w:w="0" w:type="dxa"/>
              <w:right w:w="173" w:type="dxa"/>
            </w:tcMar>
          </w:tcPr>
          <w:p w14:paraId="5CB64B19" w14:textId="77777777" w:rsidR="008A1A32" w:rsidRPr="006E7558" w:rsidRDefault="008A1A32" w:rsidP="008A1A32">
            <w:pPr>
              <w:pStyle w:val="ReportTextBullet"/>
              <w:numPr>
                <w:ilvl w:val="0"/>
                <w:numId w:val="37"/>
              </w:numPr>
              <w:spacing w:line="260" w:lineRule="atLeast"/>
              <w:rPr>
                <w:rFonts w:ascii="Times New Roman" w:hAnsi="Times New Roman"/>
                <w:sz w:val="20"/>
              </w:rPr>
            </w:pPr>
            <w:r w:rsidRPr="006E7558">
              <w:rPr>
                <w:rFonts w:ascii="Times New Roman" w:hAnsi="Times New Roman"/>
                <w:sz w:val="20"/>
              </w:rPr>
              <w:t xml:space="preserve">CONFERENCE PUBLICATION. </w:t>
            </w:r>
            <w:r w:rsidRPr="006E7558">
              <w:rPr>
                <w:rFonts w:ascii="Times New Roman" w:hAnsi="Times New Roman"/>
                <w:sz w:val="20"/>
              </w:rPr>
              <w:br/>
              <w:t xml:space="preserve">Collected papers from scientific and technical conferences, symposia, seminars, or other meetings sponsored or </w:t>
            </w:r>
            <w:r w:rsidRPr="006E7558">
              <w:rPr>
                <w:rFonts w:ascii="Times New Roman" w:hAnsi="Times New Roman"/>
                <w:sz w:val="20"/>
              </w:rPr>
              <w:br/>
              <w:t>co-sponsored by NASA.</w:t>
            </w:r>
          </w:p>
          <w:p w14:paraId="586BF285" w14:textId="77777777" w:rsidR="008A1A32" w:rsidRPr="006E7558" w:rsidRDefault="008A1A32" w:rsidP="00764522">
            <w:pPr>
              <w:pStyle w:val="ReportText"/>
              <w:spacing w:line="260" w:lineRule="atLeast"/>
              <w:rPr>
                <w:rFonts w:ascii="Times New Roman" w:hAnsi="Times New Roman"/>
                <w:sz w:val="20"/>
                <w:szCs w:val="20"/>
              </w:rPr>
            </w:pPr>
          </w:p>
          <w:p w14:paraId="4043BC7F" w14:textId="77777777" w:rsidR="008A1A32" w:rsidRPr="006E7558" w:rsidRDefault="008A1A32" w:rsidP="008A1A32">
            <w:pPr>
              <w:pStyle w:val="ReportTextBullet"/>
              <w:numPr>
                <w:ilvl w:val="0"/>
                <w:numId w:val="37"/>
              </w:numPr>
              <w:spacing w:line="260" w:lineRule="atLeast"/>
              <w:rPr>
                <w:rFonts w:ascii="Times New Roman" w:hAnsi="Times New Roman"/>
                <w:sz w:val="20"/>
              </w:rPr>
            </w:pPr>
            <w:r w:rsidRPr="006E7558">
              <w:rPr>
                <w:rFonts w:ascii="Times New Roman" w:hAnsi="Times New Roman"/>
                <w:sz w:val="20"/>
              </w:rPr>
              <w:t>SPECIAL PUBLICATION. Scientific, technical, or historical information from NASA programs, projects, and missions, often concerned with subjects having substantial public interest.</w:t>
            </w:r>
          </w:p>
          <w:p w14:paraId="01A3285C" w14:textId="77777777" w:rsidR="008A1A32" w:rsidRPr="006E7558" w:rsidRDefault="008A1A32" w:rsidP="00764522">
            <w:pPr>
              <w:pStyle w:val="ReportText"/>
              <w:spacing w:line="260" w:lineRule="atLeast"/>
              <w:rPr>
                <w:rFonts w:ascii="Times New Roman" w:hAnsi="Times New Roman"/>
                <w:sz w:val="20"/>
                <w:szCs w:val="20"/>
              </w:rPr>
            </w:pPr>
          </w:p>
          <w:p w14:paraId="6B500B30" w14:textId="77777777" w:rsidR="008A1A32" w:rsidRPr="006E7558" w:rsidRDefault="008A1A32" w:rsidP="008A1A32">
            <w:pPr>
              <w:pStyle w:val="ReportTextBullet"/>
              <w:numPr>
                <w:ilvl w:val="0"/>
                <w:numId w:val="37"/>
              </w:numPr>
              <w:spacing w:line="260" w:lineRule="atLeast"/>
              <w:rPr>
                <w:rFonts w:ascii="Times New Roman" w:hAnsi="Times New Roman"/>
                <w:sz w:val="20"/>
              </w:rPr>
            </w:pPr>
            <w:r w:rsidRPr="006E7558">
              <w:rPr>
                <w:rFonts w:ascii="Times New Roman" w:hAnsi="Times New Roman"/>
                <w:sz w:val="20"/>
              </w:rPr>
              <w:t xml:space="preserve">TECHNICAL TRANSLATION. </w:t>
            </w:r>
            <w:r w:rsidRPr="006E7558">
              <w:rPr>
                <w:rFonts w:ascii="Times New Roman" w:hAnsi="Times New Roman"/>
                <w:sz w:val="20"/>
              </w:rPr>
              <w:br/>
              <w:t xml:space="preserve">English-language translations of foreign scientific and technical material pertinent to </w:t>
            </w:r>
            <w:r w:rsidRPr="006E7558">
              <w:rPr>
                <w:rFonts w:ascii="Times New Roman" w:hAnsi="Times New Roman"/>
                <w:sz w:val="20"/>
              </w:rPr>
              <w:br/>
              <w:t>NASA’s mission.</w:t>
            </w:r>
          </w:p>
          <w:p w14:paraId="78CA325C" w14:textId="77777777" w:rsidR="008A1A32" w:rsidRPr="006E7558" w:rsidRDefault="008A1A32" w:rsidP="00764522">
            <w:pPr>
              <w:pStyle w:val="ReportText"/>
              <w:spacing w:line="260" w:lineRule="atLeast"/>
              <w:rPr>
                <w:rFonts w:ascii="Times New Roman" w:hAnsi="Times New Roman"/>
                <w:sz w:val="20"/>
                <w:szCs w:val="20"/>
              </w:rPr>
            </w:pPr>
          </w:p>
          <w:p w14:paraId="7FFAFDD0" w14:textId="77777777" w:rsidR="008A1A32" w:rsidRPr="006E7558" w:rsidRDefault="008A1A32" w:rsidP="00764522">
            <w:pPr>
              <w:pStyle w:val="ReportText"/>
              <w:spacing w:line="260" w:lineRule="atLeast"/>
              <w:ind w:firstLine="0"/>
              <w:rPr>
                <w:rFonts w:ascii="Times New Roman" w:hAnsi="Times New Roman"/>
                <w:sz w:val="20"/>
                <w:szCs w:val="20"/>
              </w:rPr>
            </w:pPr>
            <w:r w:rsidRPr="006E7558">
              <w:rPr>
                <w:rFonts w:ascii="Times New Roman" w:hAnsi="Times New Roman"/>
                <w:sz w:val="20"/>
                <w:szCs w:val="20"/>
              </w:rPr>
              <w:t xml:space="preserve">Specialized services also include organizing </w:t>
            </w:r>
            <w:r w:rsidRPr="006E7558">
              <w:rPr>
                <w:rFonts w:ascii="Times New Roman" w:hAnsi="Times New Roman"/>
                <w:sz w:val="20"/>
                <w:szCs w:val="20"/>
              </w:rPr>
              <w:br/>
              <w:t>and publishing research results, distributing specialized research announcements and feeds, providing information desk and personal search support, and enabling data exchange services.</w:t>
            </w:r>
          </w:p>
          <w:p w14:paraId="5AE80148" w14:textId="77777777" w:rsidR="008A1A32" w:rsidRPr="006E7558" w:rsidRDefault="008A1A32" w:rsidP="00764522">
            <w:pPr>
              <w:pStyle w:val="ReportText"/>
              <w:spacing w:line="260" w:lineRule="atLeast"/>
              <w:rPr>
                <w:rFonts w:ascii="Times New Roman" w:hAnsi="Times New Roman"/>
                <w:sz w:val="20"/>
                <w:szCs w:val="20"/>
              </w:rPr>
            </w:pPr>
          </w:p>
          <w:p w14:paraId="11861694" w14:textId="77777777" w:rsidR="008A1A32" w:rsidRPr="006E7558" w:rsidRDefault="008A1A32" w:rsidP="00764522">
            <w:pPr>
              <w:pStyle w:val="ReportText"/>
              <w:spacing w:line="260" w:lineRule="atLeast"/>
              <w:ind w:firstLine="0"/>
              <w:rPr>
                <w:rFonts w:ascii="Times New Roman" w:hAnsi="Times New Roman"/>
                <w:sz w:val="20"/>
                <w:szCs w:val="20"/>
              </w:rPr>
            </w:pPr>
            <w:r w:rsidRPr="006E7558">
              <w:rPr>
                <w:rFonts w:ascii="Times New Roman" w:hAnsi="Times New Roman"/>
                <w:sz w:val="20"/>
                <w:szCs w:val="20"/>
              </w:rPr>
              <w:t>For more information about the NASA STI program, see the following:</w:t>
            </w:r>
          </w:p>
          <w:p w14:paraId="601CE310" w14:textId="77777777" w:rsidR="008A1A32" w:rsidRPr="006E7558" w:rsidRDefault="008A1A32" w:rsidP="00764522">
            <w:pPr>
              <w:pStyle w:val="ReportText"/>
              <w:spacing w:line="260" w:lineRule="atLeast"/>
              <w:rPr>
                <w:rFonts w:ascii="Times New Roman" w:hAnsi="Times New Roman"/>
                <w:sz w:val="20"/>
                <w:szCs w:val="20"/>
              </w:rPr>
            </w:pPr>
          </w:p>
          <w:p w14:paraId="4F3FB899" w14:textId="77777777" w:rsidR="008A1A32" w:rsidRPr="006E7558" w:rsidRDefault="008A1A32" w:rsidP="008A1A32">
            <w:pPr>
              <w:pStyle w:val="ReportTextBullet"/>
              <w:numPr>
                <w:ilvl w:val="0"/>
                <w:numId w:val="37"/>
              </w:numPr>
              <w:spacing w:line="260" w:lineRule="atLeast"/>
              <w:rPr>
                <w:rFonts w:ascii="Times New Roman" w:hAnsi="Times New Roman"/>
                <w:sz w:val="20"/>
              </w:rPr>
            </w:pPr>
            <w:r w:rsidRPr="006E7558">
              <w:rPr>
                <w:rFonts w:ascii="Times New Roman" w:hAnsi="Times New Roman"/>
                <w:sz w:val="20"/>
              </w:rPr>
              <w:t xml:space="preserve">Access the NASA STI program home page at </w:t>
            </w:r>
            <w:proofErr w:type="gramStart"/>
            <w:r w:rsidRPr="006E7558">
              <w:rPr>
                <w:rFonts w:ascii="Times New Roman" w:hAnsi="Times New Roman"/>
                <w:sz w:val="20"/>
                <w:u w:val="single"/>
              </w:rPr>
              <w:t>http://www.sti.nasa.gov</w:t>
            </w:r>
            <w:proofErr w:type="gramEnd"/>
          </w:p>
          <w:p w14:paraId="5A99B2FA" w14:textId="77777777" w:rsidR="008A1A32" w:rsidRPr="006E7558" w:rsidRDefault="008A1A32" w:rsidP="00764522">
            <w:pPr>
              <w:pStyle w:val="ReportText"/>
              <w:spacing w:line="260" w:lineRule="atLeast"/>
              <w:rPr>
                <w:rFonts w:ascii="Times New Roman" w:hAnsi="Times New Roman"/>
                <w:sz w:val="20"/>
                <w:szCs w:val="20"/>
              </w:rPr>
            </w:pPr>
          </w:p>
          <w:p w14:paraId="55740227" w14:textId="77777777" w:rsidR="008A1A32" w:rsidRPr="006E7558" w:rsidRDefault="008A1A32" w:rsidP="00764522">
            <w:pPr>
              <w:pStyle w:val="ReportText"/>
              <w:spacing w:line="260" w:lineRule="atLeast"/>
              <w:rPr>
                <w:rFonts w:ascii="Times New Roman" w:hAnsi="Times New Roman"/>
                <w:sz w:val="20"/>
                <w:szCs w:val="20"/>
              </w:rPr>
            </w:pPr>
          </w:p>
          <w:p w14:paraId="5E836A22" w14:textId="77777777" w:rsidR="008A1A32" w:rsidRPr="00BD41B2" w:rsidRDefault="008A1A32" w:rsidP="00764522">
            <w:pPr>
              <w:pStyle w:val="ReportTextBullet"/>
              <w:spacing w:line="260" w:lineRule="atLeast"/>
              <w:ind w:left="0" w:firstLine="0"/>
              <w:rPr>
                <w:rFonts w:ascii="Times New Roman" w:hAnsi="Times New Roman"/>
                <w:sz w:val="20"/>
              </w:rPr>
            </w:pPr>
            <w:r w:rsidRPr="00BD41B2">
              <w:rPr>
                <w:rFonts w:ascii="Times New Roman" w:hAnsi="Times New Roman"/>
                <w:sz w:val="20"/>
              </w:rPr>
              <w:t>.</w:t>
            </w:r>
          </w:p>
          <w:p w14:paraId="728B7DA1" w14:textId="77777777" w:rsidR="008A1A32" w:rsidRPr="006E7558" w:rsidRDefault="008A1A32" w:rsidP="00764522">
            <w:pPr>
              <w:pStyle w:val="ReportText"/>
              <w:spacing w:line="260" w:lineRule="atLeast"/>
              <w:rPr>
                <w:rFonts w:ascii="Times New Roman" w:hAnsi="Times New Roman"/>
                <w:sz w:val="20"/>
                <w:szCs w:val="20"/>
              </w:rPr>
            </w:pPr>
          </w:p>
        </w:tc>
      </w:tr>
    </w:tbl>
    <w:p w14:paraId="359F422E" w14:textId="0F504A5E" w:rsidR="008A1A32" w:rsidRDefault="008A1A32" w:rsidP="008A1A32">
      <w:pPr>
        <w:pStyle w:val="ReportNo"/>
      </w:pPr>
      <w:r w:rsidRPr="006A37CA">
        <w:rPr>
          <w:sz w:val="20"/>
        </w:rPr>
        <w:br w:type="page"/>
      </w:r>
    </w:p>
    <w:p w14:paraId="461A8383" w14:textId="77777777" w:rsidR="008A1A32" w:rsidRDefault="008A1A32" w:rsidP="008A1A32">
      <w:pPr>
        <w:pStyle w:val="Author"/>
        <w:sectPr w:rsidR="008A1A32">
          <w:headerReference w:type="default" r:id="rId16"/>
          <w:footerReference w:type="default" r:id="rId17"/>
          <w:type w:val="continuous"/>
          <w:pgSz w:w="12240" w:h="15840"/>
          <w:pgMar w:top="1440" w:right="1440" w:bottom="1440" w:left="1440" w:header="0" w:footer="1195" w:gutter="0"/>
          <w:cols w:space="720"/>
          <w:titlePg/>
        </w:sectPr>
      </w:pPr>
    </w:p>
    <w:p w14:paraId="02340E16" w14:textId="77777777" w:rsidR="008A1A32" w:rsidRDefault="008A1A32" w:rsidP="008A1A32">
      <w:pPr>
        <w:pStyle w:val="Body"/>
      </w:pPr>
    </w:p>
    <w:p w14:paraId="220D1F23" w14:textId="77777777" w:rsidR="008A1A32" w:rsidRDefault="008A1A32" w:rsidP="008A1A32">
      <w:pPr>
        <w:pStyle w:val="Body"/>
      </w:pPr>
    </w:p>
    <w:p w14:paraId="6C703D95" w14:textId="77777777" w:rsidR="008A1A32" w:rsidRDefault="008A1A32" w:rsidP="008A1A32">
      <w:pPr>
        <w:pStyle w:val="Body"/>
      </w:pPr>
    </w:p>
    <w:p w14:paraId="28F772FE" w14:textId="77777777" w:rsidR="008A1A32" w:rsidRDefault="008A1A32" w:rsidP="008A1A32">
      <w:pPr>
        <w:pStyle w:val="Body"/>
      </w:pPr>
    </w:p>
    <w:p w14:paraId="38034979" w14:textId="77777777" w:rsidR="008A1A32" w:rsidRDefault="008A1A32" w:rsidP="008A1A32">
      <w:pPr>
        <w:pStyle w:val="Body"/>
      </w:pPr>
    </w:p>
    <w:p w14:paraId="71268092" w14:textId="77777777" w:rsidR="008A1A32" w:rsidRDefault="008A1A32" w:rsidP="008A1A32">
      <w:pPr>
        <w:pStyle w:val="Body"/>
      </w:pPr>
    </w:p>
    <w:p w14:paraId="6D1F442B" w14:textId="77777777" w:rsidR="008A1A32" w:rsidRDefault="008A1A32" w:rsidP="008A1A32">
      <w:pPr>
        <w:pStyle w:val="Body"/>
      </w:pPr>
    </w:p>
    <w:p w14:paraId="63870B72" w14:textId="77777777" w:rsidR="008A1A32" w:rsidRDefault="008A1A32" w:rsidP="008A1A32">
      <w:pPr>
        <w:pStyle w:val="Body"/>
      </w:pPr>
    </w:p>
    <w:p w14:paraId="4ECF0EEC" w14:textId="77777777" w:rsidR="008A1A32" w:rsidRDefault="008A1A32" w:rsidP="008A1A32">
      <w:pPr>
        <w:pStyle w:val="Body"/>
      </w:pPr>
    </w:p>
    <w:p w14:paraId="787C4CE5" w14:textId="77777777" w:rsidR="008A1A32" w:rsidRDefault="008A1A32" w:rsidP="008A1A32">
      <w:pPr>
        <w:pStyle w:val="Body"/>
      </w:pPr>
    </w:p>
    <w:p w14:paraId="539EF33D" w14:textId="77777777" w:rsidR="008A1A32" w:rsidRDefault="008A1A32" w:rsidP="008A1A32">
      <w:pPr>
        <w:pStyle w:val="Body"/>
      </w:pPr>
    </w:p>
    <w:p w14:paraId="13E6435B" w14:textId="77777777" w:rsidR="008A1A32" w:rsidRDefault="008A1A32" w:rsidP="008A1A32">
      <w:pPr>
        <w:pStyle w:val="Body"/>
      </w:pPr>
    </w:p>
    <w:p w14:paraId="03B2A585" w14:textId="77777777" w:rsidR="008A1A32" w:rsidRDefault="008A1A32" w:rsidP="008A1A32">
      <w:pPr>
        <w:pStyle w:val="Body"/>
      </w:pPr>
    </w:p>
    <w:p w14:paraId="7784A047" w14:textId="77777777" w:rsidR="008A1A32" w:rsidRDefault="008A1A32" w:rsidP="008A1A32">
      <w:pPr>
        <w:pStyle w:val="Body"/>
      </w:pPr>
    </w:p>
    <w:p w14:paraId="3605B024" w14:textId="77777777" w:rsidR="008A1A32" w:rsidRPr="00E17373" w:rsidRDefault="008A1A32" w:rsidP="008A1A32">
      <w:pPr>
        <w:framePr w:w="8617" w:hSpace="72" w:vSpace="72" w:wrap="around" w:vAnchor="text" w:hAnchor="page" w:x="1941" w:y="1"/>
        <w:pBdr>
          <w:top w:val="single" w:sz="4" w:space="1" w:color="auto"/>
          <w:left w:val="single" w:sz="4" w:space="1" w:color="auto"/>
          <w:bottom w:val="single" w:sz="4" w:space="1" w:color="auto"/>
          <w:right w:val="single" w:sz="4" w:space="1" w:color="auto"/>
        </w:pBdr>
        <w:jc w:val="both"/>
      </w:pPr>
      <w:r w:rsidRPr="00E17373">
        <w:t>The use of trademarks or names of manufacturers in this report is for accurate reporting and does not constitute an official endorsement, either expressed or implied, of such products or manufacturers by the National Aeronautics and Space Administration.</w:t>
      </w:r>
    </w:p>
    <w:p w14:paraId="134321BC" w14:textId="77777777" w:rsidR="008A1A32" w:rsidRDefault="008A1A32" w:rsidP="008A1A32">
      <w:pPr>
        <w:pStyle w:val="Body"/>
      </w:pPr>
    </w:p>
    <w:p w14:paraId="1171D5CF" w14:textId="77777777" w:rsidR="008A1A32" w:rsidRDefault="008A1A32" w:rsidP="008A1A32">
      <w:pPr>
        <w:pStyle w:val="Body"/>
      </w:pPr>
    </w:p>
    <w:p w14:paraId="572415A1" w14:textId="77777777" w:rsidR="008A1A32" w:rsidRDefault="008A1A32" w:rsidP="008A1A32">
      <w:pPr>
        <w:pStyle w:val="Body"/>
      </w:pPr>
    </w:p>
    <w:p w14:paraId="1E5E9A81" w14:textId="77777777" w:rsidR="008A1A32" w:rsidRDefault="008A1A32" w:rsidP="008A1A32">
      <w:pPr>
        <w:pStyle w:val="Body"/>
        <w:sectPr w:rsidR="008A1A32">
          <w:footerReference w:type="first" r:id="rId18"/>
          <w:pgSz w:w="12240" w:h="15840"/>
          <w:pgMar w:top="1440" w:right="1440" w:bottom="1440" w:left="1440" w:header="0" w:footer="1195" w:gutter="0"/>
          <w:cols w:space="720"/>
          <w:titlePg/>
        </w:sectPr>
      </w:pPr>
    </w:p>
    <w:p w14:paraId="567C27E8" w14:textId="56F6BDB2" w:rsidR="00341216" w:rsidRPr="00C240F0" w:rsidRDefault="00182064" w:rsidP="0015397C">
      <w:pPr>
        <w:spacing w:after="0" w:line="240" w:lineRule="auto"/>
        <w:jc w:val="center"/>
        <w:rPr>
          <w:rFonts w:cs="Times New Roman"/>
          <w:b/>
        </w:rPr>
      </w:pPr>
      <w:r w:rsidRPr="35ECD75D">
        <w:rPr>
          <w:rFonts w:cs="Times New Roman"/>
          <w:b/>
        </w:rPr>
        <w:lastRenderedPageBreak/>
        <w:t xml:space="preserve">Patent Foramen </w:t>
      </w:r>
      <w:proofErr w:type="spellStart"/>
      <w:r w:rsidRPr="35ECD75D">
        <w:rPr>
          <w:rFonts w:cs="Times New Roman"/>
          <w:b/>
        </w:rPr>
        <w:t>Ovale</w:t>
      </w:r>
      <w:proofErr w:type="spellEnd"/>
      <w:r w:rsidRPr="35ECD75D">
        <w:rPr>
          <w:rFonts w:cs="Times New Roman"/>
          <w:b/>
        </w:rPr>
        <w:t xml:space="preserve"> (PFO) </w:t>
      </w:r>
      <w:bookmarkEnd w:id="0"/>
      <w:r w:rsidR="00E47734">
        <w:rPr>
          <w:rFonts w:cs="Times New Roman"/>
          <w:b/>
        </w:rPr>
        <w:t xml:space="preserve">as related to </w:t>
      </w:r>
      <w:r w:rsidRPr="35ECD75D">
        <w:rPr>
          <w:rFonts w:cs="Times New Roman"/>
          <w:b/>
        </w:rPr>
        <w:t>Decompression Sickness (DCS)</w:t>
      </w:r>
    </w:p>
    <w:p w14:paraId="53A7B883" w14:textId="77777777" w:rsidR="00CA335D" w:rsidRDefault="00CA335D" w:rsidP="337CF719">
      <w:pPr>
        <w:spacing w:after="0" w:line="240" w:lineRule="auto"/>
        <w:jc w:val="center"/>
        <w:rPr>
          <w:b/>
          <w:bCs/>
          <w:sz w:val="22"/>
        </w:rPr>
      </w:pPr>
    </w:p>
    <w:p w14:paraId="35C09795" w14:textId="3148DF35" w:rsidR="001153F3" w:rsidRPr="00203CA6" w:rsidRDefault="210CE24B" w:rsidP="337CF719">
      <w:pPr>
        <w:spacing w:after="0" w:line="240" w:lineRule="auto"/>
        <w:jc w:val="center"/>
        <w:rPr>
          <w:b/>
          <w:bCs/>
          <w:sz w:val="22"/>
        </w:rPr>
      </w:pPr>
      <w:r w:rsidRPr="00203CA6">
        <w:rPr>
          <w:b/>
          <w:bCs/>
          <w:sz w:val="22"/>
        </w:rPr>
        <w:t>Introduction</w:t>
      </w:r>
    </w:p>
    <w:p w14:paraId="2CA32C39" w14:textId="01A11C8A" w:rsidR="001153F3" w:rsidRPr="0015397C" w:rsidRDefault="001153F3" w:rsidP="337CF719">
      <w:pPr>
        <w:spacing w:after="0" w:line="240" w:lineRule="auto"/>
        <w:jc w:val="center"/>
        <w:rPr>
          <w:sz w:val="22"/>
        </w:rPr>
      </w:pPr>
      <w:r w:rsidRPr="337CF719">
        <w:rPr>
          <w:sz w:val="22"/>
        </w:rPr>
        <w:t xml:space="preserve">NASA’s Office of the Chief Health and Medical Officer </w:t>
      </w:r>
      <w:r w:rsidR="4523C957" w:rsidRPr="35ECD75D">
        <w:rPr>
          <w:sz w:val="22"/>
        </w:rPr>
        <w:t xml:space="preserve">(OCHMO) </w:t>
      </w:r>
      <w:r w:rsidRPr="337CF719">
        <w:rPr>
          <w:sz w:val="22"/>
        </w:rPr>
        <w:t xml:space="preserve">initiated </w:t>
      </w:r>
      <w:r w:rsidR="00A62648" w:rsidRPr="337CF719">
        <w:rPr>
          <w:sz w:val="22"/>
        </w:rPr>
        <w:t xml:space="preserve">a working group to review </w:t>
      </w:r>
      <w:r w:rsidR="00CA335D">
        <w:rPr>
          <w:sz w:val="22"/>
        </w:rPr>
        <w:t>t</w:t>
      </w:r>
      <w:r w:rsidR="00A62648" w:rsidRPr="337CF719">
        <w:rPr>
          <w:sz w:val="22"/>
        </w:rPr>
        <w:t xml:space="preserve">he status and progress of research and clinical activities intended to mitigate the risk of </w:t>
      </w:r>
      <w:r w:rsidR="00CA335D">
        <w:rPr>
          <w:sz w:val="22"/>
        </w:rPr>
        <w:t>DCS</w:t>
      </w:r>
      <w:r w:rsidR="00A62648" w:rsidRPr="337CF719">
        <w:rPr>
          <w:sz w:val="22"/>
        </w:rPr>
        <w:t xml:space="preserve"> issues </w:t>
      </w:r>
      <w:r w:rsidR="00D22ED6" w:rsidRPr="337CF719">
        <w:rPr>
          <w:sz w:val="22"/>
        </w:rPr>
        <w:t xml:space="preserve">related to PFO </w:t>
      </w:r>
      <w:r w:rsidR="00A62648" w:rsidRPr="337CF719">
        <w:rPr>
          <w:sz w:val="22"/>
        </w:rPr>
        <w:t>during spaceflight and associated ground testing and human subject studies</w:t>
      </w:r>
      <w:r w:rsidR="00A62648" w:rsidRPr="35ECD75D">
        <w:rPr>
          <w:sz w:val="22"/>
        </w:rPr>
        <w:t>.</w:t>
      </w:r>
      <w:r w:rsidR="00EA7B92" w:rsidRPr="337CF719">
        <w:rPr>
          <w:sz w:val="22"/>
        </w:rPr>
        <w:t xml:space="preserve"> The working group took place over two days at NASA’s Johnson Space Center </w:t>
      </w:r>
      <w:r w:rsidR="00CA335D">
        <w:rPr>
          <w:sz w:val="22"/>
        </w:rPr>
        <w:t>in June 2024</w:t>
      </w:r>
      <w:r w:rsidR="00EA7B92" w:rsidRPr="337CF719">
        <w:rPr>
          <w:sz w:val="22"/>
        </w:rPr>
        <w:t xml:space="preserve">. </w:t>
      </w:r>
    </w:p>
    <w:p w14:paraId="024DACFA" w14:textId="77777777" w:rsidR="004274C9" w:rsidRPr="0015397C" w:rsidRDefault="004274C9" w:rsidP="004274C9">
      <w:pPr>
        <w:pStyle w:val="PlainText"/>
        <w:rPr>
          <w:rFonts w:asciiTheme="minorHAnsi" w:hAnsiTheme="minorHAnsi" w:cstheme="minorHAnsi"/>
          <w:b/>
          <w:bCs/>
          <w:szCs w:val="22"/>
        </w:rPr>
      </w:pPr>
    </w:p>
    <w:p w14:paraId="35E02AE7" w14:textId="166A2D04" w:rsidR="001153F3" w:rsidRPr="0015397C" w:rsidRDefault="00BC6D5D" w:rsidP="004274C9">
      <w:pPr>
        <w:pStyle w:val="PlainText"/>
        <w:rPr>
          <w:rFonts w:asciiTheme="minorHAnsi" w:hAnsiTheme="minorHAnsi" w:cstheme="minorHAnsi"/>
          <w:b/>
          <w:bCs/>
          <w:szCs w:val="22"/>
        </w:rPr>
      </w:pPr>
      <w:r w:rsidRPr="0015397C">
        <w:rPr>
          <w:rFonts w:asciiTheme="minorHAnsi" w:hAnsiTheme="minorHAnsi" w:cstheme="minorHAnsi"/>
          <w:b/>
          <w:bCs/>
          <w:szCs w:val="22"/>
        </w:rPr>
        <w:t>Working Group Members:</w:t>
      </w:r>
    </w:p>
    <w:p w14:paraId="59604639" w14:textId="64650DD3" w:rsidR="00A842F3" w:rsidRPr="0015397C" w:rsidRDefault="00A842F3" w:rsidP="004274C9">
      <w:pPr>
        <w:pStyle w:val="PlainText"/>
        <w:rPr>
          <w:rFonts w:cstheme="minorHAnsi"/>
          <w:szCs w:val="22"/>
          <w:u w:val="single"/>
        </w:rPr>
      </w:pPr>
      <w:r w:rsidRPr="00A842F3">
        <w:rPr>
          <w:rFonts w:cstheme="minorHAnsi"/>
          <w:szCs w:val="22"/>
          <w:u w:val="single"/>
        </w:rPr>
        <w:t>NASA Participants</w:t>
      </w:r>
    </w:p>
    <w:p w14:paraId="30A77B91" w14:textId="752AE460" w:rsidR="00A842F3" w:rsidRPr="00A842F3" w:rsidRDefault="00A842F3" w:rsidP="00387141">
      <w:pPr>
        <w:pStyle w:val="PlainText"/>
        <w:spacing w:after="80"/>
        <w:rPr>
          <w:rFonts w:asciiTheme="minorHAnsi" w:hAnsiTheme="minorHAnsi" w:cstheme="minorHAnsi"/>
          <w:i/>
          <w:iCs/>
          <w:szCs w:val="22"/>
        </w:rPr>
      </w:pPr>
      <w:r w:rsidRPr="00A842F3">
        <w:rPr>
          <w:rFonts w:asciiTheme="minorHAnsi" w:hAnsiTheme="minorHAnsi" w:cstheme="minorHAnsi"/>
          <w:szCs w:val="22"/>
        </w:rPr>
        <w:t xml:space="preserve">Dave Francisco – Technical Fellow for Human Spaceflight Standards, </w:t>
      </w:r>
      <w:r w:rsidRPr="00A842F3">
        <w:rPr>
          <w:rFonts w:asciiTheme="minorHAnsi" w:hAnsiTheme="minorHAnsi" w:cstheme="minorHAnsi"/>
          <w:i/>
          <w:iCs/>
          <w:szCs w:val="22"/>
        </w:rPr>
        <w:t>Office of the Chief Health &amp; Medical Officer</w:t>
      </w:r>
      <w:r w:rsidR="00CA335D">
        <w:rPr>
          <w:rFonts w:asciiTheme="minorHAnsi" w:hAnsiTheme="minorHAnsi" w:cstheme="minorHAnsi"/>
          <w:i/>
          <w:iCs/>
          <w:szCs w:val="22"/>
        </w:rPr>
        <w:t xml:space="preserve"> (OCHMO)</w:t>
      </w:r>
    </w:p>
    <w:p w14:paraId="243C4311" w14:textId="659702EB" w:rsidR="00A842F3" w:rsidRPr="00A842F3" w:rsidRDefault="00A842F3" w:rsidP="00387141">
      <w:pPr>
        <w:pStyle w:val="PlainText"/>
        <w:spacing w:after="80"/>
        <w:rPr>
          <w:rFonts w:asciiTheme="minorHAnsi" w:hAnsiTheme="minorHAnsi" w:cstheme="minorHAnsi"/>
          <w:szCs w:val="22"/>
        </w:rPr>
      </w:pPr>
      <w:r w:rsidRPr="00A842F3">
        <w:rPr>
          <w:rFonts w:asciiTheme="minorHAnsi" w:hAnsiTheme="minorHAnsi" w:cstheme="minorHAnsi"/>
          <w:szCs w:val="22"/>
        </w:rPr>
        <w:t xml:space="preserve">Dr. </w:t>
      </w:r>
      <w:r w:rsidR="0075781F">
        <w:rPr>
          <w:rFonts w:asciiTheme="minorHAnsi" w:hAnsiTheme="minorHAnsi" w:cstheme="minorHAnsi"/>
          <w:szCs w:val="22"/>
        </w:rPr>
        <w:t>Alejandro</w:t>
      </w:r>
      <w:r w:rsidRPr="00A842F3">
        <w:rPr>
          <w:rFonts w:asciiTheme="minorHAnsi" w:hAnsiTheme="minorHAnsi" w:cstheme="minorHAnsi"/>
          <w:szCs w:val="22"/>
        </w:rPr>
        <w:t xml:space="preserve"> Garbino – EVA Scientist, </w:t>
      </w:r>
      <w:r w:rsidRPr="00A842F3">
        <w:rPr>
          <w:rFonts w:asciiTheme="minorHAnsi" w:hAnsiTheme="minorHAnsi" w:cstheme="minorHAnsi"/>
          <w:i/>
          <w:iCs/>
          <w:szCs w:val="22"/>
        </w:rPr>
        <w:t>Human Physiology, Performance, Protection &amp; Operations (H-3PO) Laboratory</w:t>
      </w:r>
    </w:p>
    <w:p w14:paraId="36E5B167" w14:textId="44F9113B" w:rsidR="00A842F3" w:rsidRPr="00A842F3" w:rsidRDefault="00A842F3" w:rsidP="00387141">
      <w:pPr>
        <w:pStyle w:val="PlainText"/>
        <w:spacing w:after="80"/>
        <w:rPr>
          <w:rFonts w:asciiTheme="minorHAnsi" w:hAnsiTheme="minorHAnsi" w:cstheme="minorHAnsi"/>
          <w:i/>
          <w:iCs/>
          <w:szCs w:val="22"/>
        </w:rPr>
      </w:pPr>
      <w:r w:rsidRPr="00A842F3">
        <w:rPr>
          <w:rFonts w:asciiTheme="minorHAnsi" w:hAnsiTheme="minorHAnsi" w:cstheme="minorHAnsi"/>
          <w:szCs w:val="22"/>
        </w:rPr>
        <w:t xml:space="preserve">Dr. </w:t>
      </w:r>
      <w:r w:rsidR="00C45036">
        <w:rPr>
          <w:rFonts w:asciiTheme="minorHAnsi" w:hAnsiTheme="minorHAnsi" w:cstheme="minorHAnsi"/>
          <w:szCs w:val="22"/>
        </w:rPr>
        <w:t>Robert</w:t>
      </w:r>
      <w:r w:rsidRPr="00A842F3">
        <w:rPr>
          <w:rFonts w:asciiTheme="minorHAnsi" w:hAnsiTheme="minorHAnsi" w:cstheme="minorHAnsi"/>
          <w:szCs w:val="22"/>
        </w:rPr>
        <w:t xml:space="preserve"> Sanders – Flight Surgeon &amp; Program Medical Officer, </w:t>
      </w:r>
      <w:proofErr w:type="gramStart"/>
      <w:r w:rsidRPr="00A842F3">
        <w:rPr>
          <w:rFonts w:asciiTheme="minorHAnsi" w:hAnsiTheme="minorHAnsi" w:cstheme="minorHAnsi"/>
          <w:i/>
          <w:iCs/>
          <w:szCs w:val="22"/>
        </w:rPr>
        <w:t>EVA</w:t>
      </w:r>
      <w:proofErr w:type="gramEnd"/>
      <w:r w:rsidRPr="00A842F3">
        <w:rPr>
          <w:rFonts w:asciiTheme="minorHAnsi" w:hAnsiTheme="minorHAnsi" w:cstheme="minorHAnsi"/>
          <w:i/>
          <w:iCs/>
          <w:szCs w:val="22"/>
        </w:rPr>
        <w:t xml:space="preserve"> and Human Surface Mobility Program</w:t>
      </w:r>
    </w:p>
    <w:p w14:paraId="24D3882C" w14:textId="17D3FB34" w:rsidR="00A842F3" w:rsidRPr="00A842F3" w:rsidRDefault="00A842F3" w:rsidP="00387141">
      <w:pPr>
        <w:pStyle w:val="PlainText"/>
        <w:spacing w:after="80"/>
        <w:rPr>
          <w:rFonts w:asciiTheme="minorHAnsi" w:hAnsiTheme="minorHAnsi" w:cstheme="minorHAnsi"/>
          <w:szCs w:val="22"/>
        </w:rPr>
      </w:pPr>
      <w:r w:rsidRPr="00A842F3">
        <w:rPr>
          <w:rFonts w:asciiTheme="minorHAnsi" w:hAnsiTheme="minorHAnsi" w:cstheme="minorHAnsi"/>
          <w:szCs w:val="22"/>
        </w:rPr>
        <w:t xml:space="preserve">Dr. </w:t>
      </w:r>
      <w:r w:rsidR="00C45036">
        <w:rPr>
          <w:rFonts w:asciiTheme="minorHAnsi" w:hAnsiTheme="minorHAnsi" w:cstheme="minorHAnsi"/>
          <w:szCs w:val="22"/>
        </w:rPr>
        <w:t>Joseph</w:t>
      </w:r>
      <w:r w:rsidRPr="00A842F3">
        <w:rPr>
          <w:rFonts w:asciiTheme="minorHAnsi" w:hAnsiTheme="minorHAnsi" w:cstheme="minorHAnsi"/>
          <w:szCs w:val="22"/>
        </w:rPr>
        <w:t xml:space="preserve"> Dervay – Flight Surgeon, </w:t>
      </w:r>
      <w:r w:rsidRPr="00A842F3">
        <w:rPr>
          <w:rFonts w:asciiTheme="minorHAnsi" w:hAnsiTheme="minorHAnsi" w:cstheme="minorHAnsi"/>
          <w:i/>
          <w:iCs/>
          <w:szCs w:val="22"/>
        </w:rPr>
        <w:t>Space Medicine Operations Division</w:t>
      </w:r>
    </w:p>
    <w:p w14:paraId="621BCBF6" w14:textId="77777777" w:rsidR="00A842F3" w:rsidRPr="00A842F3" w:rsidRDefault="00A842F3" w:rsidP="00387141">
      <w:pPr>
        <w:pStyle w:val="PlainText"/>
        <w:spacing w:after="80"/>
        <w:rPr>
          <w:rFonts w:asciiTheme="minorHAnsi" w:hAnsiTheme="minorHAnsi" w:cstheme="minorHAnsi"/>
          <w:szCs w:val="22"/>
        </w:rPr>
      </w:pPr>
      <w:r w:rsidRPr="00A842F3">
        <w:rPr>
          <w:rFonts w:asciiTheme="minorHAnsi" w:hAnsiTheme="minorHAnsi" w:cstheme="minorHAnsi"/>
          <w:szCs w:val="22"/>
        </w:rPr>
        <w:t xml:space="preserve">Dr. Kristi Ray – Deputy Medical Director, </w:t>
      </w:r>
      <w:r w:rsidRPr="00A842F3">
        <w:rPr>
          <w:rFonts w:asciiTheme="minorHAnsi" w:hAnsiTheme="minorHAnsi" w:cstheme="minorHAnsi"/>
          <w:i/>
          <w:iCs/>
          <w:szCs w:val="22"/>
        </w:rPr>
        <w:t>Neutral Buoyance Lab (NBL)</w:t>
      </w:r>
    </w:p>
    <w:p w14:paraId="5F6C7D3F" w14:textId="77777777" w:rsidR="00A842F3" w:rsidRPr="00A842F3" w:rsidRDefault="00A842F3" w:rsidP="00387141">
      <w:pPr>
        <w:pStyle w:val="PlainText"/>
        <w:spacing w:after="80"/>
        <w:rPr>
          <w:rFonts w:asciiTheme="minorHAnsi" w:hAnsiTheme="minorHAnsi" w:cstheme="minorHAnsi"/>
          <w:szCs w:val="22"/>
        </w:rPr>
      </w:pPr>
      <w:r w:rsidRPr="00A842F3">
        <w:rPr>
          <w:rFonts w:asciiTheme="minorHAnsi" w:hAnsiTheme="minorHAnsi" w:cstheme="minorHAnsi"/>
          <w:szCs w:val="22"/>
        </w:rPr>
        <w:t xml:space="preserve">Jason Norcross – Senior Scientist, </w:t>
      </w:r>
      <w:r w:rsidRPr="00A842F3">
        <w:rPr>
          <w:rFonts w:asciiTheme="minorHAnsi" w:hAnsiTheme="minorHAnsi" w:cstheme="minorHAnsi"/>
          <w:i/>
          <w:iCs/>
          <w:szCs w:val="22"/>
        </w:rPr>
        <w:t>Biomedical Research and Environmental Sciences</w:t>
      </w:r>
    </w:p>
    <w:p w14:paraId="6E48769D" w14:textId="6A1E15AD" w:rsidR="00BC6D5D" w:rsidRPr="0015397C" w:rsidRDefault="00A842F3" w:rsidP="00387141">
      <w:pPr>
        <w:pStyle w:val="PlainText"/>
        <w:spacing w:after="80"/>
        <w:rPr>
          <w:rFonts w:asciiTheme="minorHAnsi" w:hAnsiTheme="minorHAnsi" w:cstheme="minorHAnsi"/>
          <w:szCs w:val="22"/>
        </w:rPr>
      </w:pPr>
      <w:r w:rsidRPr="0015397C">
        <w:rPr>
          <w:rFonts w:asciiTheme="minorHAnsi" w:hAnsiTheme="minorHAnsi" w:cstheme="minorHAnsi"/>
          <w:szCs w:val="22"/>
        </w:rPr>
        <w:t xml:space="preserve">Dr. Shannan Moynihan – Deputy Chief Medical Officer, </w:t>
      </w:r>
      <w:r w:rsidRPr="0015397C">
        <w:rPr>
          <w:rFonts w:asciiTheme="minorHAnsi" w:hAnsiTheme="minorHAnsi" w:cstheme="minorHAnsi"/>
          <w:i/>
          <w:iCs/>
          <w:szCs w:val="22"/>
        </w:rPr>
        <w:t>NASA/Johnson Space Center</w:t>
      </w:r>
    </w:p>
    <w:p w14:paraId="60BA7541" w14:textId="77777777" w:rsidR="004F1362" w:rsidRDefault="004F1362" w:rsidP="004274C9">
      <w:pPr>
        <w:pStyle w:val="PlainText"/>
        <w:rPr>
          <w:u w:val="single"/>
        </w:rPr>
      </w:pPr>
    </w:p>
    <w:p w14:paraId="35B5C122" w14:textId="31212CA5" w:rsidR="00737A77" w:rsidRPr="00737A77" w:rsidRDefault="004F1362" w:rsidP="004274C9">
      <w:pPr>
        <w:pStyle w:val="PlainText"/>
        <w:rPr>
          <w:u w:val="single"/>
        </w:rPr>
      </w:pPr>
      <w:r>
        <w:rPr>
          <w:u w:val="single"/>
        </w:rPr>
        <w:t>Subject Matter Expert Participants at Working Group</w:t>
      </w:r>
    </w:p>
    <w:p w14:paraId="18BEFBC9" w14:textId="77777777" w:rsidR="00737A77" w:rsidRPr="00737A77" w:rsidRDefault="00737A77" w:rsidP="00387141">
      <w:pPr>
        <w:pStyle w:val="PlainText"/>
        <w:spacing w:after="80"/>
        <w:rPr>
          <w:rFonts w:cstheme="minorHAnsi"/>
          <w:szCs w:val="22"/>
        </w:rPr>
      </w:pPr>
      <w:r w:rsidRPr="00737A77">
        <w:rPr>
          <w:rFonts w:cstheme="minorHAnsi"/>
          <w:szCs w:val="22"/>
        </w:rPr>
        <w:t xml:space="preserve">Dr. Tony Alleman – Medical Director, </w:t>
      </w:r>
      <w:r w:rsidRPr="00737A77">
        <w:rPr>
          <w:rFonts w:cstheme="minorHAnsi"/>
          <w:i/>
          <w:iCs/>
          <w:szCs w:val="22"/>
        </w:rPr>
        <w:t xml:space="preserve">Regional One Health Wound Care Center </w:t>
      </w:r>
    </w:p>
    <w:p w14:paraId="71CE1DF7" w14:textId="77777777" w:rsidR="00737A77" w:rsidRPr="00737A77" w:rsidRDefault="00737A77" w:rsidP="00387141">
      <w:pPr>
        <w:pStyle w:val="PlainText"/>
        <w:spacing w:after="80"/>
        <w:rPr>
          <w:rFonts w:cstheme="minorHAnsi"/>
          <w:szCs w:val="22"/>
        </w:rPr>
      </w:pPr>
      <w:r w:rsidRPr="00737A77">
        <w:rPr>
          <w:rFonts w:cstheme="minorHAnsi"/>
          <w:szCs w:val="22"/>
        </w:rPr>
        <w:t xml:space="preserve">Dr. Jon Clark – Medical Lead, </w:t>
      </w:r>
      <w:r w:rsidRPr="00737A77">
        <w:rPr>
          <w:rFonts w:cstheme="minorHAnsi"/>
          <w:i/>
          <w:iCs/>
          <w:szCs w:val="22"/>
        </w:rPr>
        <w:t xml:space="preserve">C2 Space Tech LLC </w:t>
      </w:r>
    </w:p>
    <w:p w14:paraId="0B6085AB" w14:textId="77777777" w:rsidR="00737A77" w:rsidRPr="00737A77" w:rsidRDefault="00737A77" w:rsidP="00387141">
      <w:pPr>
        <w:pStyle w:val="PlainText"/>
        <w:spacing w:after="80"/>
        <w:rPr>
          <w:rFonts w:cstheme="minorHAnsi"/>
          <w:szCs w:val="22"/>
        </w:rPr>
      </w:pPr>
      <w:r w:rsidRPr="00737A77">
        <w:rPr>
          <w:rFonts w:cstheme="minorHAnsi"/>
          <w:szCs w:val="22"/>
        </w:rPr>
        <w:t xml:space="preserve">Dr. Eddie Davenport – Cardiologist, </w:t>
      </w:r>
      <w:r w:rsidRPr="00737A77">
        <w:rPr>
          <w:rFonts w:cstheme="minorHAnsi"/>
          <w:i/>
          <w:iCs/>
          <w:szCs w:val="22"/>
        </w:rPr>
        <w:t>Medical Aerospace Cardiology &amp; Human Performance Institute; United States Air Force</w:t>
      </w:r>
    </w:p>
    <w:p w14:paraId="10F4AB32" w14:textId="77777777" w:rsidR="00737A77" w:rsidRPr="00737A77" w:rsidRDefault="00737A77" w:rsidP="00387141">
      <w:pPr>
        <w:pStyle w:val="PlainText"/>
        <w:spacing w:after="80"/>
        <w:rPr>
          <w:rFonts w:cstheme="minorHAnsi"/>
          <w:szCs w:val="22"/>
        </w:rPr>
      </w:pPr>
      <w:r w:rsidRPr="00737A77">
        <w:rPr>
          <w:rFonts w:cstheme="minorHAnsi"/>
          <w:szCs w:val="22"/>
        </w:rPr>
        <w:t xml:space="preserve">Dr. Bruce Derrick – Hyperbaric Medicine Specialist, </w:t>
      </w:r>
      <w:r w:rsidRPr="00737A77">
        <w:rPr>
          <w:rFonts w:cstheme="minorHAnsi"/>
          <w:i/>
          <w:iCs/>
          <w:szCs w:val="22"/>
        </w:rPr>
        <w:t>Duke University</w:t>
      </w:r>
    </w:p>
    <w:p w14:paraId="155847E0" w14:textId="77777777" w:rsidR="00737A77" w:rsidRPr="00737A77" w:rsidRDefault="00737A77" w:rsidP="00387141">
      <w:pPr>
        <w:pStyle w:val="PlainText"/>
        <w:spacing w:after="80"/>
        <w:rPr>
          <w:rFonts w:cstheme="minorHAnsi"/>
          <w:szCs w:val="22"/>
        </w:rPr>
      </w:pPr>
      <w:r w:rsidRPr="00737A77">
        <w:rPr>
          <w:rFonts w:cstheme="minorHAnsi"/>
          <w:szCs w:val="22"/>
        </w:rPr>
        <w:t xml:space="preserve">Dr. Joy Dierks – Program Manager, </w:t>
      </w:r>
      <w:r w:rsidRPr="00737A77">
        <w:rPr>
          <w:rFonts w:cstheme="minorHAnsi"/>
          <w:i/>
          <w:iCs/>
          <w:szCs w:val="22"/>
        </w:rPr>
        <w:t xml:space="preserve">United States Navy </w:t>
      </w:r>
      <w:r w:rsidRPr="00737A77">
        <w:rPr>
          <w:rFonts w:cstheme="minorHAnsi"/>
          <w:szCs w:val="22"/>
        </w:rPr>
        <w:t xml:space="preserve">- </w:t>
      </w:r>
      <w:r w:rsidRPr="00737A77">
        <w:rPr>
          <w:rFonts w:cstheme="minorHAnsi"/>
          <w:i/>
          <w:iCs/>
          <w:szCs w:val="22"/>
        </w:rPr>
        <w:t>Deep Submergence Biomedical Development Program</w:t>
      </w:r>
    </w:p>
    <w:p w14:paraId="76CA2461" w14:textId="77777777" w:rsidR="00737A77" w:rsidRPr="00737A77" w:rsidRDefault="00737A77" w:rsidP="00387141">
      <w:pPr>
        <w:pStyle w:val="PlainText"/>
        <w:spacing w:after="80"/>
        <w:rPr>
          <w:rFonts w:cstheme="minorHAnsi"/>
          <w:szCs w:val="22"/>
        </w:rPr>
      </w:pPr>
      <w:r w:rsidRPr="00737A77">
        <w:rPr>
          <w:rFonts w:cstheme="minorHAnsi"/>
          <w:szCs w:val="22"/>
        </w:rPr>
        <w:t xml:space="preserve">Dr. Douglas Ebersole – Interventional Cardiologist, </w:t>
      </w:r>
      <w:r w:rsidRPr="00737A77">
        <w:rPr>
          <w:rFonts w:cstheme="minorHAnsi"/>
          <w:i/>
          <w:iCs/>
          <w:szCs w:val="22"/>
        </w:rPr>
        <w:t xml:space="preserve">Watson Clinic LLP </w:t>
      </w:r>
    </w:p>
    <w:p w14:paraId="43E28C6F" w14:textId="2B893B72" w:rsidR="00737A77" w:rsidRPr="00737A77" w:rsidRDefault="00737A77" w:rsidP="00387141">
      <w:pPr>
        <w:pStyle w:val="PlainText"/>
        <w:spacing w:after="80"/>
        <w:rPr>
          <w:rFonts w:cstheme="minorHAnsi"/>
          <w:szCs w:val="22"/>
        </w:rPr>
      </w:pPr>
      <w:r w:rsidRPr="00737A77">
        <w:rPr>
          <w:rFonts w:cstheme="minorHAnsi"/>
          <w:szCs w:val="22"/>
        </w:rPr>
        <w:t xml:space="preserve">Dr. Caroline Fife – </w:t>
      </w:r>
      <w:r w:rsidR="00DC7838">
        <w:rPr>
          <w:rFonts w:cstheme="minorHAnsi"/>
          <w:szCs w:val="22"/>
        </w:rPr>
        <w:t xml:space="preserve">Professor of Geriatrics, </w:t>
      </w:r>
      <w:r w:rsidR="00DC7838" w:rsidRPr="00DC7838">
        <w:rPr>
          <w:rFonts w:cstheme="minorHAnsi"/>
          <w:i/>
          <w:iCs/>
          <w:szCs w:val="22"/>
        </w:rPr>
        <w:t>Baylor College of Medicine</w:t>
      </w:r>
      <w:r w:rsidR="00DC7838">
        <w:rPr>
          <w:rFonts w:cstheme="minorHAnsi"/>
          <w:szCs w:val="22"/>
        </w:rPr>
        <w:t xml:space="preserve">; </w:t>
      </w:r>
      <w:r w:rsidRPr="00737A77">
        <w:rPr>
          <w:rFonts w:cstheme="minorHAnsi"/>
          <w:szCs w:val="22"/>
        </w:rPr>
        <w:t xml:space="preserve">Chief Medical Officer, </w:t>
      </w:r>
      <w:proofErr w:type="spellStart"/>
      <w:r w:rsidRPr="00737A77">
        <w:rPr>
          <w:rFonts w:cstheme="minorHAnsi"/>
          <w:i/>
          <w:iCs/>
          <w:szCs w:val="22"/>
        </w:rPr>
        <w:t>Intellicure</w:t>
      </w:r>
      <w:proofErr w:type="spellEnd"/>
      <w:r w:rsidRPr="00737A77">
        <w:rPr>
          <w:rFonts w:cstheme="minorHAnsi"/>
          <w:i/>
          <w:iCs/>
          <w:szCs w:val="22"/>
        </w:rPr>
        <w:t xml:space="preserve"> LLC</w:t>
      </w:r>
    </w:p>
    <w:p w14:paraId="65324714" w14:textId="77777777" w:rsidR="00737A77" w:rsidRPr="00737A77" w:rsidRDefault="00737A77" w:rsidP="00387141">
      <w:pPr>
        <w:pStyle w:val="PlainText"/>
        <w:spacing w:after="80"/>
        <w:rPr>
          <w:rFonts w:cstheme="minorHAnsi"/>
          <w:szCs w:val="22"/>
        </w:rPr>
      </w:pPr>
      <w:r w:rsidRPr="00737A77">
        <w:rPr>
          <w:rFonts w:cstheme="minorHAnsi"/>
          <w:szCs w:val="22"/>
        </w:rPr>
        <w:t xml:space="preserve">Dr. Mike Gernhardt – Retired Astronaut, </w:t>
      </w:r>
      <w:r w:rsidRPr="00737A77">
        <w:rPr>
          <w:rFonts w:cstheme="minorHAnsi"/>
          <w:i/>
          <w:iCs/>
          <w:szCs w:val="22"/>
        </w:rPr>
        <w:t>NASA</w:t>
      </w:r>
    </w:p>
    <w:p w14:paraId="54DDB26A" w14:textId="77777777" w:rsidR="00737A77" w:rsidRPr="00737A77" w:rsidRDefault="00737A77" w:rsidP="00387141">
      <w:pPr>
        <w:pStyle w:val="PlainText"/>
        <w:spacing w:after="80"/>
        <w:rPr>
          <w:rFonts w:cstheme="minorHAnsi"/>
          <w:szCs w:val="22"/>
        </w:rPr>
      </w:pPr>
      <w:r w:rsidRPr="00737A77">
        <w:rPr>
          <w:rFonts w:cstheme="minorHAnsi"/>
          <w:szCs w:val="22"/>
        </w:rPr>
        <w:t xml:space="preserve">Dr. Sean Hardy – Assistant Professor of Clinical Medicine, </w:t>
      </w:r>
      <w:r w:rsidRPr="00737A77">
        <w:rPr>
          <w:rFonts w:cstheme="minorHAnsi"/>
          <w:i/>
          <w:iCs/>
          <w:szCs w:val="22"/>
        </w:rPr>
        <w:t>Louisiana State University Medical Center New Orleans</w:t>
      </w:r>
    </w:p>
    <w:p w14:paraId="581278C7" w14:textId="77777777" w:rsidR="00737A77" w:rsidRPr="00737A77" w:rsidRDefault="00737A77" w:rsidP="00387141">
      <w:pPr>
        <w:pStyle w:val="PlainText"/>
        <w:spacing w:after="80"/>
        <w:rPr>
          <w:rFonts w:cstheme="minorHAnsi"/>
          <w:szCs w:val="22"/>
        </w:rPr>
      </w:pPr>
      <w:r w:rsidRPr="00737A77">
        <w:rPr>
          <w:rFonts w:cstheme="minorHAnsi"/>
          <w:szCs w:val="22"/>
        </w:rPr>
        <w:t xml:space="preserve">Dr. Richard Moon – Professor of Anesthesiology and Medicine/Medical Director, </w:t>
      </w:r>
      <w:r w:rsidRPr="00737A77">
        <w:rPr>
          <w:rFonts w:cstheme="minorHAnsi"/>
          <w:i/>
          <w:iCs/>
          <w:szCs w:val="22"/>
        </w:rPr>
        <w:t xml:space="preserve">Duke University Hyperbaric Center </w:t>
      </w:r>
    </w:p>
    <w:p w14:paraId="57B05630" w14:textId="67BA5F8A" w:rsidR="00737A77" w:rsidRPr="00737A77" w:rsidRDefault="00737A77" w:rsidP="00387141">
      <w:pPr>
        <w:pStyle w:val="PlainText"/>
        <w:spacing w:after="80"/>
        <w:rPr>
          <w:rFonts w:cstheme="minorHAnsi"/>
          <w:szCs w:val="22"/>
        </w:rPr>
      </w:pPr>
      <w:r w:rsidRPr="00737A77">
        <w:rPr>
          <w:rFonts w:cstheme="minorHAnsi"/>
          <w:szCs w:val="22"/>
        </w:rPr>
        <w:t xml:space="preserve">Dr. Joan Saary – </w:t>
      </w:r>
      <w:r w:rsidR="0096112B" w:rsidRPr="0096112B">
        <w:rPr>
          <w:rFonts w:cstheme="minorHAnsi"/>
          <w:szCs w:val="22"/>
        </w:rPr>
        <w:t xml:space="preserve">Occupational Medicine Specialist; Consultant, </w:t>
      </w:r>
      <w:r w:rsidR="0096112B" w:rsidRPr="0096112B">
        <w:rPr>
          <w:rFonts w:cstheme="minorHAnsi"/>
          <w:i/>
          <w:iCs/>
          <w:szCs w:val="22"/>
        </w:rPr>
        <w:t>Canadian Forces Environmental Medicine Establishment and Canadian Space Agency</w:t>
      </w:r>
      <w:r w:rsidR="0096112B" w:rsidRPr="0096112B">
        <w:rPr>
          <w:rFonts w:cstheme="minorHAnsi"/>
          <w:szCs w:val="22"/>
        </w:rPr>
        <w:t xml:space="preserve">; Associate Professor &amp; Director, Division of Occupational Medicine, </w:t>
      </w:r>
      <w:r w:rsidR="0096112B" w:rsidRPr="0096112B">
        <w:rPr>
          <w:rFonts w:cstheme="minorHAnsi"/>
          <w:i/>
          <w:iCs/>
          <w:szCs w:val="22"/>
        </w:rPr>
        <w:t>University of Toronto</w:t>
      </w:r>
    </w:p>
    <w:p w14:paraId="22E75EDC" w14:textId="4C7762CD" w:rsidR="004F1362" w:rsidRDefault="00737A77" w:rsidP="00387141">
      <w:pPr>
        <w:pStyle w:val="PlainText"/>
        <w:spacing w:after="80"/>
        <w:rPr>
          <w:rFonts w:cstheme="minorHAnsi"/>
          <w:i/>
          <w:iCs/>
          <w:szCs w:val="22"/>
        </w:rPr>
      </w:pPr>
      <w:r w:rsidRPr="00737A77">
        <w:rPr>
          <w:rFonts w:cstheme="minorHAnsi"/>
          <w:szCs w:val="22"/>
        </w:rPr>
        <w:t xml:space="preserve">Dr. David Southerland – Diving Medicine, </w:t>
      </w:r>
      <w:r w:rsidRPr="00737A77">
        <w:rPr>
          <w:rFonts w:cstheme="minorHAnsi"/>
          <w:i/>
          <w:iCs/>
          <w:szCs w:val="22"/>
        </w:rPr>
        <w:t>United States Navy - Naval Sea Systems Command</w:t>
      </w:r>
    </w:p>
    <w:p w14:paraId="1B16383A" w14:textId="77777777" w:rsidR="004F1362" w:rsidRDefault="004F1362">
      <w:pPr>
        <w:rPr>
          <w:rFonts w:ascii="Calibri" w:hAnsi="Calibri" w:cstheme="minorHAnsi"/>
          <w:i/>
          <w:iCs/>
          <w:sz w:val="22"/>
        </w:rPr>
      </w:pPr>
      <w:r>
        <w:rPr>
          <w:rFonts w:cstheme="minorHAnsi"/>
          <w:i/>
          <w:iCs/>
        </w:rPr>
        <w:br w:type="page"/>
      </w:r>
    </w:p>
    <w:p w14:paraId="15976FCF" w14:textId="77777777" w:rsidR="004226D9" w:rsidRPr="00737A77" w:rsidRDefault="004226D9" w:rsidP="004226D9">
      <w:pPr>
        <w:pStyle w:val="PlainText"/>
        <w:rPr>
          <w:u w:val="single"/>
        </w:rPr>
      </w:pPr>
      <w:r>
        <w:rPr>
          <w:u w:val="single"/>
        </w:rPr>
        <w:lastRenderedPageBreak/>
        <w:t xml:space="preserve">Stakeholder </w:t>
      </w:r>
      <w:r w:rsidRPr="31DDC62D">
        <w:rPr>
          <w:u w:val="single"/>
        </w:rPr>
        <w:t>Participants</w:t>
      </w:r>
      <w:r>
        <w:rPr>
          <w:u w:val="single"/>
        </w:rPr>
        <w:t xml:space="preserve"> </w:t>
      </w:r>
    </w:p>
    <w:p w14:paraId="6DA91DE1" w14:textId="77777777" w:rsidR="004226D9" w:rsidRDefault="004226D9" w:rsidP="004226D9">
      <w:pPr>
        <w:pStyle w:val="PlainText"/>
        <w:spacing w:after="80"/>
        <w:rPr>
          <w:rFonts w:cstheme="minorHAnsi"/>
          <w:szCs w:val="22"/>
        </w:rPr>
      </w:pPr>
    </w:p>
    <w:p w14:paraId="0BEC3E19" w14:textId="688CCAFC" w:rsidR="004226D9" w:rsidRPr="004226D9" w:rsidRDefault="004226D9" w:rsidP="004226D9">
      <w:pPr>
        <w:pStyle w:val="PlainText"/>
        <w:spacing w:after="80"/>
        <w:rPr>
          <w:rFonts w:cstheme="minorHAnsi"/>
          <w:b/>
          <w:bCs/>
          <w:szCs w:val="22"/>
        </w:rPr>
      </w:pPr>
      <w:r w:rsidRPr="004226D9">
        <w:rPr>
          <w:rFonts w:cstheme="minorHAnsi"/>
          <w:b/>
          <w:bCs/>
          <w:szCs w:val="22"/>
        </w:rPr>
        <w:t>NASA</w:t>
      </w:r>
      <w:r>
        <w:rPr>
          <w:rFonts w:cstheme="minorHAnsi"/>
          <w:b/>
          <w:bCs/>
          <w:szCs w:val="22"/>
        </w:rPr>
        <w:t>:</w:t>
      </w:r>
    </w:p>
    <w:p w14:paraId="0116F437" w14:textId="4B8514B6" w:rsidR="004226D9" w:rsidRDefault="00371ECC" w:rsidP="00277A2A">
      <w:pPr>
        <w:pStyle w:val="PlainText"/>
        <w:spacing w:after="80"/>
        <w:rPr>
          <w:rFonts w:cstheme="minorHAnsi"/>
          <w:szCs w:val="22"/>
        </w:rPr>
      </w:pPr>
      <w:r>
        <w:rPr>
          <w:rFonts w:cstheme="minorHAnsi"/>
          <w:szCs w:val="22"/>
        </w:rPr>
        <w:t>Rebecca</w:t>
      </w:r>
      <w:r w:rsidR="004226D9">
        <w:rPr>
          <w:rFonts w:cstheme="minorHAnsi"/>
          <w:szCs w:val="22"/>
        </w:rPr>
        <w:t xml:space="preserve"> Blue</w:t>
      </w:r>
    </w:p>
    <w:p w14:paraId="68A39F1F" w14:textId="77777777" w:rsidR="004226D9" w:rsidRDefault="004226D9" w:rsidP="00277A2A">
      <w:pPr>
        <w:pStyle w:val="PlainText"/>
        <w:spacing w:after="80"/>
        <w:rPr>
          <w:rFonts w:cstheme="minorHAnsi"/>
          <w:szCs w:val="22"/>
        </w:rPr>
      </w:pPr>
      <w:r>
        <w:rPr>
          <w:rFonts w:cstheme="minorHAnsi"/>
          <w:szCs w:val="22"/>
        </w:rPr>
        <w:t>Becky Brocato</w:t>
      </w:r>
    </w:p>
    <w:p w14:paraId="681C4A7E" w14:textId="4FA7863E" w:rsidR="004226D9" w:rsidRDefault="004226D9" w:rsidP="00277A2A">
      <w:pPr>
        <w:pStyle w:val="PlainText"/>
        <w:spacing w:after="80"/>
        <w:rPr>
          <w:rFonts w:cstheme="minorHAnsi"/>
          <w:szCs w:val="22"/>
        </w:rPr>
      </w:pPr>
      <w:r>
        <w:rPr>
          <w:rFonts w:cstheme="minorHAnsi"/>
          <w:szCs w:val="22"/>
        </w:rPr>
        <w:t>Carisa Champion</w:t>
      </w:r>
    </w:p>
    <w:p w14:paraId="2062AE19" w14:textId="77777777" w:rsidR="004226D9" w:rsidRDefault="004226D9" w:rsidP="00277A2A">
      <w:pPr>
        <w:pStyle w:val="PlainText"/>
        <w:spacing w:after="80"/>
        <w:rPr>
          <w:rFonts w:cstheme="minorHAnsi"/>
          <w:szCs w:val="22"/>
        </w:rPr>
      </w:pPr>
      <w:r>
        <w:rPr>
          <w:rFonts w:cstheme="minorHAnsi"/>
          <w:szCs w:val="22"/>
        </w:rPr>
        <w:t>Doug Ebert</w:t>
      </w:r>
    </w:p>
    <w:p w14:paraId="67C53DF7" w14:textId="67C2ECD9" w:rsidR="00DB73AE" w:rsidRDefault="00DB73AE" w:rsidP="00277A2A">
      <w:pPr>
        <w:pStyle w:val="PlainText"/>
        <w:spacing w:after="80"/>
        <w:rPr>
          <w:rFonts w:cstheme="minorHAnsi"/>
          <w:szCs w:val="22"/>
        </w:rPr>
      </w:pPr>
      <w:r>
        <w:rPr>
          <w:rFonts w:cstheme="minorHAnsi"/>
          <w:szCs w:val="22"/>
        </w:rPr>
        <w:t>Patrick Estep</w:t>
      </w:r>
    </w:p>
    <w:p w14:paraId="04BDC542" w14:textId="77777777" w:rsidR="004226D9" w:rsidRDefault="004226D9" w:rsidP="00277A2A">
      <w:pPr>
        <w:pStyle w:val="PlainText"/>
        <w:spacing w:after="80"/>
        <w:rPr>
          <w:rFonts w:cstheme="minorHAnsi"/>
          <w:szCs w:val="22"/>
        </w:rPr>
      </w:pPr>
      <w:r>
        <w:rPr>
          <w:rFonts w:cstheme="minorHAnsi"/>
          <w:szCs w:val="22"/>
        </w:rPr>
        <w:t>Amanda Hogan</w:t>
      </w:r>
    </w:p>
    <w:p w14:paraId="7F453616" w14:textId="77777777" w:rsidR="004226D9" w:rsidRDefault="004226D9" w:rsidP="00277A2A">
      <w:pPr>
        <w:pStyle w:val="PlainText"/>
        <w:spacing w:after="80"/>
        <w:rPr>
          <w:rFonts w:cstheme="minorHAnsi"/>
          <w:szCs w:val="22"/>
        </w:rPr>
      </w:pPr>
      <w:r>
        <w:rPr>
          <w:rFonts w:cstheme="minorHAnsi"/>
          <w:szCs w:val="22"/>
        </w:rPr>
        <w:t>Emma Hwang</w:t>
      </w:r>
    </w:p>
    <w:p w14:paraId="1D38E447" w14:textId="77777777" w:rsidR="004226D9" w:rsidRDefault="004226D9" w:rsidP="00277A2A">
      <w:pPr>
        <w:pStyle w:val="PlainText"/>
        <w:spacing w:after="80"/>
        <w:rPr>
          <w:rFonts w:cstheme="minorHAnsi"/>
          <w:szCs w:val="22"/>
        </w:rPr>
      </w:pPr>
      <w:r>
        <w:rPr>
          <w:rFonts w:cstheme="minorHAnsi"/>
          <w:szCs w:val="22"/>
        </w:rPr>
        <w:t>Joanne Kaouk</w:t>
      </w:r>
    </w:p>
    <w:p w14:paraId="2A9A3C0E" w14:textId="77777777" w:rsidR="004226D9" w:rsidRDefault="004226D9" w:rsidP="00277A2A">
      <w:pPr>
        <w:pStyle w:val="PlainText"/>
        <w:spacing w:after="80"/>
        <w:rPr>
          <w:rFonts w:cstheme="minorHAnsi"/>
          <w:szCs w:val="22"/>
        </w:rPr>
      </w:pPr>
      <w:r>
        <w:rPr>
          <w:rFonts w:cstheme="minorHAnsi"/>
          <w:szCs w:val="22"/>
        </w:rPr>
        <w:t>Steven Laurie</w:t>
      </w:r>
    </w:p>
    <w:p w14:paraId="2688C9EF" w14:textId="68C8486E" w:rsidR="001F1593" w:rsidRDefault="001F1593" w:rsidP="00277A2A">
      <w:pPr>
        <w:pStyle w:val="PlainText"/>
        <w:spacing w:after="80"/>
        <w:rPr>
          <w:rFonts w:cstheme="minorHAnsi"/>
          <w:szCs w:val="22"/>
        </w:rPr>
      </w:pPr>
      <w:r>
        <w:rPr>
          <w:rFonts w:cstheme="minorHAnsi"/>
          <w:szCs w:val="22"/>
        </w:rPr>
        <w:t>Stuart Lee</w:t>
      </w:r>
    </w:p>
    <w:p w14:paraId="3AB9A5E9" w14:textId="41FADAC5" w:rsidR="00371ECC" w:rsidRDefault="00371ECC" w:rsidP="00277A2A">
      <w:pPr>
        <w:pStyle w:val="PlainText"/>
        <w:spacing w:after="80"/>
        <w:rPr>
          <w:rFonts w:cstheme="minorHAnsi"/>
          <w:szCs w:val="22"/>
        </w:rPr>
      </w:pPr>
      <w:r>
        <w:rPr>
          <w:rFonts w:cstheme="minorHAnsi"/>
          <w:szCs w:val="22"/>
        </w:rPr>
        <w:t>Kim Lowe</w:t>
      </w:r>
    </w:p>
    <w:p w14:paraId="79FEAAC4" w14:textId="77777777" w:rsidR="004226D9" w:rsidRDefault="004226D9" w:rsidP="00277A2A">
      <w:pPr>
        <w:pStyle w:val="PlainText"/>
        <w:spacing w:after="80"/>
        <w:rPr>
          <w:rFonts w:cstheme="minorHAnsi"/>
          <w:szCs w:val="22"/>
        </w:rPr>
      </w:pPr>
      <w:r>
        <w:rPr>
          <w:rFonts w:cstheme="minorHAnsi"/>
          <w:szCs w:val="22"/>
        </w:rPr>
        <w:t>Karina Marshall-Goebel</w:t>
      </w:r>
    </w:p>
    <w:p w14:paraId="39EA1E8F" w14:textId="77777777" w:rsidR="004226D9" w:rsidRDefault="004226D9" w:rsidP="00277A2A">
      <w:pPr>
        <w:pStyle w:val="PlainText"/>
        <w:spacing w:after="80"/>
        <w:rPr>
          <w:rFonts w:cstheme="minorHAnsi"/>
          <w:szCs w:val="22"/>
        </w:rPr>
      </w:pPr>
      <w:r>
        <w:rPr>
          <w:rFonts w:cstheme="minorHAnsi"/>
          <w:szCs w:val="22"/>
        </w:rPr>
        <w:t>Shannan Moynihan</w:t>
      </w:r>
    </w:p>
    <w:p w14:paraId="65A32971" w14:textId="77777777" w:rsidR="004226D9" w:rsidRDefault="004226D9" w:rsidP="004226D9">
      <w:pPr>
        <w:pStyle w:val="PlainText"/>
        <w:spacing w:after="80"/>
        <w:rPr>
          <w:rFonts w:cstheme="minorHAnsi"/>
          <w:szCs w:val="22"/>
        </w:rPr>
      </w:pPr>
    </w:p>
    <w:p w14:paraId="3F79B78E" w14:textId="7C540A2C" w:rsidR="004226D9" w:rsidRPr="004226D9" w:rsidRDefault="004226D9" w:rsidP="004226D9">
      <w:pPr>
        <w:pStyle w:val="PlainText"/>
        <w:spacing w:after="80"/>
        <w:rPr>
          <w:rFonts w:cstheme="minorHAnsi"/>
          <w:b/>
          <w:bCs/>
          <w:szCs w:val="22"/>
        </w:rPr>
      </w:pPr>
      <w:r w:rsidRPr="004226D9">
        <w:rPr>
          <w:rFonts w:cstheme="minorHAnsi"/>
          <w:b/>
          <w:bCs/>
          <w:szCs w:val="22"/>
        </w:rPr>
        <w:t>Axiom</w:t>
      </w:r>
      <w:r>
        <w:rPr>
          <w:rFonts w:cstheme="minorHAnsi"/>
          <w:b/>
          <w:bCs/>
          <w:szCs w:val="22"/>
        </w:rPr>
        <w:t>:</w:t>
      </w:r>
    </w:p>
    <w:p w14:paraId="3B83A4D1" w14:textId="77777777" w:rsidR="004226D9" w:rsidRDefault="004226D9" w:rsidP="00277A2A">
      <w:pPr>
        <w:pStyle w:val="PlainText"/>
        <w:spacing w:after="80"/>
        <w:rPr>
          <w:rFonts w:cstheme="minorHAnsi"/>
          <w:szCs w:val="22"/>
        </w:rPr>
      </w:pPr>
      <w:r>
        <w:rPr>
          <w:rFonts w:cstheme="minorHAnsi"/>
          <w:szCs w:val="22"/>
        </w:rPr>
        <w:t>Ed Powers</w:t>
      </w:r>
    </w:p>
    <w:p w14:paraId="4FC82B36" w14:textId="77777777" w:rsidR="004226D9" w:rsidRDefault="004226D9" w:rsidP="004226D9">
      <w:pPr>
        <w:pStyle w:val="PlainText"/>
        <w:spacing w:after="80"/>
        <w:rPr>
          <w:rFonts w:cstheme="minorHAnsi"/>
          <w:szCs w:val="22"/>
        </w:rPr>
      </w:pPr>
    </w:p>
    <w:p w14:paraId="4D2E8870" w14:textId="3F173804" w:rsidR="004226D9" w:rsidRPr="004226D9" w:rsidRDefault="004226D9" w:rsidP="004226D9">
      <w:pPr>
        <w:pStyle w:val="PlainText"/>
        <w:spacing w:after="80"/>
        <w:rPr>
          <w:rFonts w:cstheme="minorHAnsi"/>
          <w:b/>
          <w:bCs/>
          <w:szCs w:val="22"/>
        </w:rPr>
      </w:pPr>
      <w:r w:rsidRPr="004226D9">
        <w:rPr>
          <w:rFonts w:cstheme="minorHAnsi"/>
          <w:b/>
          <w:bCs/>
          <w:szCs w:val="22"/>
        </w:rPr>
        <w:t>SpaceX</w:t>
      </w:r>
      <w:r>
        <w:rPr>
          <w:rFonts w:cstheme="minorHAnsi"/>
          <w:b/>
          <w:bCs/>
          <w:szCs w:val="22"/>
        </w:rPr>
        <w:t>:</w:t>
      </w:r>
    </w:p>
    <w:p w14:paraId="0D351804" w14:textId="10C787E8" w:rsidR="004226D9" w:rsidRDefault="00371ECC" w:rsidP="00277A2A">
      <w:pPr>
        <w:pStyle w:val="PlainText"/>
        <w:spacing w:after="80"/>
        <w:rPr>
          <w:rFonts w:cstheme="minorHAnsi"/>
          <w:szCs w:val="22"/>
        </w:rPr>
      </w:pPr>
      <w:r>
        <w:rPr>
          <w:rFonts w:cstheme="minorHAnsi"/>
          <w:szCs w:val="22"/>
        </w:rPr>
        <w:t>Amran</w:t>
      </w:r>
      <w:r w:rsidR="004226D9">
        <w:rPr>
          <w:rFonts w:cstheme="minorHAnsi"/>
          <w:szCs w:val="22"/>
        </w:rPr>
        <w:t xml:space="preserve"> Asadi</w:t>
      </w:r>
    </w:p>
    <w:p w14:paraId="48E71770" w14:textId="3EB17559" w:rsidR="004226D9" w:rsidRDefault="00371ECC" w:rsidP="00277A2A">
      <w:pPr>
        <w:pStyle w:val="PlainText"/>
        <w:spacing w:after="80"/>
        <w:rPr>
          <w:rFonts w:cstheme="minorHAnsi"/>
          <w:szCs w:val="22"/>
        </w:rPr>
      </w:pPr>
      <w:r>
        <w:rPr>
          <w:rFonts w:cstheme="minorHAnsi"/>
          <w:szCs w:val="22"/>
        </w:rPr>
        <w:t>Jaime</w:t>
      </w:r>
      <w:r w:rsidR="004226D9">
        <w:rPr>
          <w:rFonts w:cstheme="minorHAnsi"/>
          <w:szCs w:val="22"/>
        </w:rPr>
        <w:t xml:space="preserve"> Mateus</w:t>
      </w:r>
    </w:p>
    <w:p w14:paraId="647AF030" w14:textId="5666697A" w:rsidR="004226D9" w:rsidRDefault="004226D9" w:rsidP="00277A2A">
      <w:pPr>
        <w:pStyle w:val="PlainText"/>
        <w:spacing w:after="80"/>
        <w:rPr>
          <w:rFonts w:cstheme="minorHAnsi"/>
          <w:szCs w:val="22"/>
        </w:rPr>
      </w:pPr>
      <w:r>
        <w:rPr>
          <w:rFonts w:cstheme="minorHAnsi"/>
          <w:szCs w:val="22"/>
        </w:rPr>
        <w:t xml:space="preserve">Kaleigh </w:t>
      </w:r>
      <w:proofErr w:type="spellStart"/>
      <w:r>
        <w:rPr>
          <w:rFonts w:cstheme="minorHAnsi"/>
          <w:szCs w:val="22"/>
        </w:rPr>
        <w:t>Stabeneau</w:t>
      </w:r>
      <w:proofErr w:type="spellEnd"/>
    </w:p>
    <w:p w14:paraId="5B5D4CBC" w14:textId="77777777" w:rsidR="004226D9" w:rsidRDefault="004226D9" w:rsidP="00277A2A">
      <w:pPr>
        <w:pStyle w:val="PlainText"/>
        <w:spacing w:after="80"/>
        <w:rPr>
          <w:rFonts w:cstheme="minorHAnsi"/>
          <w:szCs w:val="22"/>
        </w:rPr>
      </w:pPr>
      <w:r>
        <w:rPr>
          <w:rFonts w:cstheme="minorHAnsi"/>
          <w:szCs w:val="22"/>
        </w:rPr>
        <w:t>Brandon Trapp</w:t>
      </w:r>
    </w:p>
    <w:p w14:paraId="2555A655" w14:textId="77777777" w:rsidR="004226D9" w:rsidRDefault="004226D9" w:rsidP="004226D9">
      <w:pPr>
        <w:pStyle w:val="PlainText"/>
        <w:spacing w:after="80"/>
        <w:rPr>
          <w:rFonts w:cstheme="minorHAnsi"/>
          <w:szCs w:val="22"/>
        </w:rPr>
      </w:pPr>
    </w:p>
    <w:p w14:paraId="61DAE325" w14:textId="78CCB902" w:rsidR="004226D9" w:rsidRPr="004226D9" w:rsidRDefault="004226D9" w:rsidP="004226D9">
      <w:pPr>
        <w:pStyle w:val="PlainText"/>
        <w:spacing w:after="80"/>
        <w:rPr>
          <w:rFonts w:cstheme="minorHAnsi"/>
          <w:b/>
          <w:bCs/>
          <w:szCs w:val="22"/>
        </w:rPr>
      </w:pPr>
      <w:r w:rsidRPr="004226D9">
        <w:rPr>
          <w:rFonts w:cstheme="minorHAnsi"/>
          <w:b/>
          <w:bCs/>
          <w:szCs w:val="22"/>
        </w:rPr>
        <w:t>UTMB</w:t>
      </w:r>
      <w:r>
        <w:rPr>
          <w:rFonts w:cstheme="minorHAnsi"/>
          <w:b/>
          <w:bCs/>
          <w:szCs w:val="22"/>
        </w:rPr>
        <w:t>:</w:t>
      </w:r>
    </w:p>
    <w:p w14:paraId="2548DB3C" w14:textId="478373EF" w:rsidR="004226D9" w:rsidRDefault="004226D9" w:rsidP="00277A2A">
      <w:pPr>
        <w:pStyle w:val="PlainText"/>
        <w:spacing w:after="80"/>
        <w:rPr>
          <w:rFonts w:cstheme="minorHAnsi"/>
          <w:szCs w:val="22"/>
        </w:rPr>
      </w:pPr>
      <w:r>
        <w:rPr>
          <w:rFonts w:cstheme="minorHAnsi"/>
          <w:szCs w:val="22"/>
        </w:rPr>
        <w:t>Matt</w:t>
      </w:r>
      <w:r w:rsidR="00DC281E">
        <w:rPr>
          <w:rFonts w:cstheme="minorHAnsi"/>
          <w:szCs w:val="22"/>
        </w:rPr>
        <w:t>hew</w:t>
      </w:r>
      <w:r>
        <w:rPr>
          <w:rFonts w:cstheme="minorHAnsi"/>
          <w:szCs w:val="22"/>
        </w:rPr>
        <w:t xml:space="preserve"> Makowski</w:t>
      </w:r>
    </w:p>
    <w:p w14:paraId="770F49A3" w14:textId="77777777" w:rsidR="004226D9" w:rsidRDefault="004226D9" w:rsidP="004226D9">
      <w:pPr>
        <w:pStyle w:val="PlainText"/>
        <w:spacing w:after="80"/>
        <w:rPr>
          <w:rFonts w:cstheme="minorHAnsi"/>
          <w:szCs w:val="22"/>
        </w:rPr>
      </w:pPr>
    </w:p>
    <w:p w14:paraId="2088DEF0" w14:textId="60E26D79" w:rsidR="004226D9" w:rsidRPr="004226D9" w:rsidRDefault="004226D9" w:rsidP="004226D9">
      <w:pPr>
        <w:pStyle w:val="PlainText"/>
        <w:spacing w:after="80"/>
        <w:rPr>
          <w:rFonts w:cstheme="minorHAnsi"/>
          <w:b/>
          <w:bCs/>
          <w:szCs w:val="22"/>
        </w:rPr>
      </w:pPr>
      <w:r w:rsidRPr="004226D9">
        <w:rPr>
          <w:rFonts w:cstheme="minorHAnsi"/>
          <w:b/>
          <w:bCs/>
          <w:szCs w:val="22"/>
        </w:rPr>
        <w:t>Mayo Clinic</w:t>
      </w:r>
      <w:r>
        <w:rPr>
          <w:rFonts w:cstheme="minorHAnsi"/>
          <w:b/>
          <w:bCs/>
          <w:szCs w:val="22"/>
        </w:rPr>
        <w:t>:</w:t>
      </w:r>
    </w:p>
    <w:p w14:paraId="354FAB9C" w14:textId="3DDD663E" w:rsidR="004F1362" w:rsidRDefault="004226D9" w:rsidP="00277A2A">
      <w:pPr>
        <w:pStyle w:val="PlainText"/>
        <w:spacing w:after="80"/>
        <w:rPr>
          <w:rFonts w:cstheme="minorHAnsi"/>
          <w:i/>
          <w:iCs/>
          <w:szCs w:val="22"/>
        </w:rPr>
      </w:pPr>
      <w:r w:rsidRPr="004A4F88">
        <w:rPr>
          <w:rFonts w:cstheme="minorHAnsi"/>
          <w:szCs w:val="20"/>
        </w:rPr>
        <w:t>Jan Stepanek</w:t>
      </w:r>
    </w:p>
    <w:p w14:paraId="455A0AEB" w14:textId="77777777" w:rsidR="001F1593" w:rsidRDefault="001F1593">
      <w:pPr>
        <w:rPr>
          <w:rFonts w:cstheme="minorHAnsi"/>
          <w:i/>
          <w:iCs/>
        </w:rPr>
      </w:pPr>
    </w:p>
    <w:p w14:paraId="79286FAD" w14:textId="2602CC4C" w:rsidR="004F1362" w:rsidRDefault="004F1362">
      <w:pPr>
        <w:rPr>
          <w:rFonts w:ascii="Calibri" w:hAnsi="Calibri" w:cstheme="minorHAnsi"/>
          <w:i/>
          <w:iCs/>
          <w:sz w:val="22"/>
        </w:rPr>
      </w:pPr>
      <w:r>
        <w:rPr>
          <w:rFonts w:cstheme="minorHAnsi"/>
          <w:i/>
          <w:iCs/>
        </w:rPr>
        <w:br w:type="page"/>
      </w:r>
    </w:p>
    <w:sdt>
      <w:sdtPr>
        <w:rPr>
          <w:rFonts w:asciiTheme="minorHAnsi" w:eastAsiaTheme="minorEastAsia" w:hAnsiTheme="minorHAnsi" w:cstheme="minorBidi"/>
          <w:color w:val="auto"/>
          <w:sz w:val="24"/>
          <w:szCs w:val="24"/>
        </w:rPr>
        <w:id w:val="1709067065"/>
        <w:docPartObj>
          <w:docPartGallery w:val="Table of Contents"/>
          <w:docPartUnique/>
        </w:docPartObj>
      </w:sdtPr>
      <w:sdtEndPr>
        <w:rPr>
          <w:b/>
          <w:bCs/>
        </w:rPr>
      </w:sdtEndPr>
      <w:sdtContent>
        <w:p w14:paraId="6B241A65" w14:textId="03356850" w:rsidR="00796CB9" w:rsidRDefault="00796CB9">
          <w:pPr>
            <w:pStyle w:val="TOCHeading"/>
          </w:pPr>
          <w:r>
            <w:t>Contents</w:t>
          </w:r>
        </w:p>
        <w:p w14:paraId="5F162557" w14:textId="06337CAE" w:rsidR="00B2646D" w:rsidRDefault="00796CB9">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170739824" w:history="1">
            <w:r w:rsidR="00B2646D" w:rsidRPr="00CC5241">
              <w:rPr>
                <w:rStyle w:val="Hyperlink"/>
                <w:noProof/>
              </w:rPr>
              <w:t>Background</w:t>
            </w:r>
            <w:r w:rsidR="00B2646D">
              <w:rPr>
                <w:noProof/>
                <w:webHidden/>
              </w:rPr>
              <w:tab/>
            </w:r>
            <w:r w:rsidR="00B2646D">
              <w:rPr>
                <w:noProof/>
                <w:webHidden/>
              </w:rPr>
              <w:fldChar w:fldCharType="begin"/>
            </w:r>
            <w:r w:rsidR="00B2646D">
              <w:rPr>
                <w:noProof/>
                <w:webHidden/>
              </w:rPr>
              <w:instrText xml:space="preserve"> PAGEREF _Toc170739824 \h </w:instrText>
            </w:r>
            <w:r w:rsidR="00B2646D">
              <w:rPr>
                <w:noProof/>
                <w:webHidden/>
              </w:rPr>
            </w:r>
            <w:r w:rsidR="00B2646D">
              <w:rPr>
                <w:noProof/>
                <w:webHidden/>
              </w:rPr>
              <w:fldChar w:fldCharType="separate"/>
            </w:r>
            <w:r w:rsidR="00E9676C">
              <w:rPr>
                <w:noProof/>
                <w:webHidden/>
              </w:rPr>
              <w:t>7</w:t>
            </w:r>
            <w:r w:rsidR="00B2646D">
              <w:rPr>
                <w:noProof/>
                <w:webHidden/>
              </w:rPr>
              <w:fldChar w:fldCharType="end"/>
            </w:r>
          </w:hyperlink>
        </w:p>
        <w:p w14:paraId="6FA36C6B" w14:textId="56E1BE14" w:rsidR="00B2646D" w:rsidRDefault="00000000">
          <w:pPr>
            <w:pStyle w:val="TOC2"/>
            <w:tabs>
              <w:tab w:val="right" w:leader="dot" w:pos="9350"/>
            </w:tabs>
            <w:rPr>
              <w:rFonts w:eastAsiaTheme="minorEastAsia"/>
              <w:noProof/>
              <w:sz w:val="22"/>
            </w:rPr>
          </w:pPr>
          <w:hyperlink w:anchor="_Toc170739825" w:history="1">
            <w:r w:rsidR="00B2646D" w:rsidRPr="00CC5241">
              <w:rPr>
                <w:rStyle w:val="Hyperlink"/>
                <w:noProof/>
              </w:rPr>
              <w:t>Summary of Findings</w:t>
            </w:r>
            <w:r w:rsidR="00B2646D">
              <w:rPr>
                <w:noProof/>
                <w:webHidden/>
              </w:rPr>
              <w:tab/>
            </w:r>
            <w:r w:rsidR="00B2646D">
              <w:rPr>
                <w:noProof/>
                <w:webHidden/>
              </w:rPr>
              <w:fldChar w:fldCharType="begin"/>
            </w:r>
            <w:r w:rsidR="00B2646D">
              <w:rPr>
                <w:noProof/>
                <w:webHidden/>
              </w:rPr>
              <w:instrText xml:space="preserve"> PAGEREF _Toc170739825 \h </w:instrText>
            </w:r>
            <w:r w:rsidR="00B2646D">
              <w:rPr>
                <w:noProof/>
                <w:webHidden/>
              </w:rPr>
            </w:r>
            <w:r w:rsidR="00B2646D">
              <w:rPr>
                <w:noProof/>
                <w:webHidden/>
              </w:rPr>
              <w:fldChar w:fldCharType="separate"/>
            </w:r>
            <w:r w:rsidR="00E9676C">
              <w:rPr>
                <w:noProof/>
                <w:webHidden/>
              </w:rPr>
              <w:t>8</w:t>
            </w:r>
            <w:r w:rsidR="00B2646D">
              <w:rPr>
                <w:noProof/>
                <w:webHidden/>
              </w:rPr>
              <w:fldChar w:fldCharType="end"/>
            </w:r>
          </w:hyperlink>
        </w:p>
        <w:p w14:paraId="6B8341B3" w14:textId="5869DD4D" w:rsidR="00B2646D" w:rsidRDefault="00000000" w:rsidP="00594939">
          <w:pPr>
            <w:pStyle w:val="TOC3"/>
            <w:rPr>
              <w:rFonts w:eastAsiaTheme="minorEastAsia"/>
              <w:noProof/>
              <w:sz w:val="22"/>
            </w:rPr>
          </w:pPr>
          <w:hyperlink w:anchor="_Toc170739826" w:history="1">
            <w:r w:rsidR="00B2646D" w:rsidRPr="00CC5241">
              <w:rPr>
                <w:rStyle w:val="Hyperlink"/>
                <w:noProof/>
              </w:rPr>
              <w:t>1.0 Potential Risk of PFO</w:t>
            </w:r>
            <w:r w:rsidR="00B2646D">
              <w:rPr>
                <w:noProof/>
                <w:webHidden/>
              </w:rPr>
              <w:tab/>
            </w:r>
            <w:r w:rsidR="00B2646D">
              <w:rPr>
                <w:noProof/>
                <w:webHidden/>
              </w:rPr>
              <w:fldChar w:fldCharType="begin"/>
            </w:r>
            <w:r w:rsidR="00B2646D">
              <w:rPr>
                <w:noProof/>
                <w:webHidden/>
              </w:rPr>
              <w:instrText xml:space="preserve"> PAGEREF _Toc170739826 \h </w:instrText>
            </w:r>
            <w:r w:rsidR="00B2646D">
              <w:rPr>
                <w:noProof/>
                <w:webHidden/>
              </w:rPr>
            </w:r>
            <w:r w:rsidR="00B2646D">
              <w:rPr>
                <w:noProof/>
                <w:webHidden/>
              </w:rPr>
              <w:fldChar w:fldCharType="separate"/>
            </w:r>
            <w:r w:rsidR="00E9676C">
              <w:rPr>
                <w:noProof/>
                <w:webHidden/>
              </w:rPr>
              <w:t>8</w:t>
            </w:r>
            <w:r w:rsidR="00B2646D">
              <w:rPr>
                <w:noProof/>
                <w:webHidden/>
              </w:rPr>
              <w:fldChar w:fldCharType="end"/>
            </w:r>
          </w:hyperlink>
        </w:p>
        <w:p w14:paraId="257C618C" w14:textId="5D7A9B2F" w:rsidR="00B2646D" w:rsidRDefault="00000000" w:rsidP="00594939">
          <w:pPr>
            <w:pStyle w:val="TOC3"/>
            <w:rPr>
              <w:rFonts w:eastAsiaTheme="minorEastAsia"/>
              <w:noProof/>
              <w:sz w:val="22"/>
            </w:rPr>
          </w:pPr>
          <w:hyperlink w:anchor="_Toc170739827" w:history="1">
            <w:r w:rsidR="00B2646D" w:rsidRPr="00CC5241">
              <w:rPr>
                <w:rStyle w:val="Hyperlink"/>
                <w:noProof/>
              </w:rPr>
              <w:t>2.0 PFO Detection</w:t>
            </w:r>
            <w:r w:rsidR="00B2646D">
              <w:rPr>
                <w:noProof/>
                <w:webHidden/>
              </w:rPr>
              <w:tab/>
            </w:r>
            <w:r w:rsidR="00B2646D">
              <w:rPr>
                <w:noProof/>
                <w:webHidden/>
              </w:rPr>
              <w:fldChar w:fldCharType="begin"/>
            </w:r>
            <w:r w:rsidR="00B2646D">
              <w:rPr>
                <w:noProof/>
                <w:webHidden/>
              </w:rPr>
              <w:instrText xml:space="preserve"> PAGEREF _Toc170739827 \h </w:instrText>
            </w:r>
            <w:r w:rsidR="00B2646D">
              <w:rPr>
                <w:noProof/>
                <w:webHidden/>
              </w:rPr>
            </w:r>
            <w:r w:rsidR="00B2646D">
              <w:rPr>
                <w:noProof/>
                <w:webHidden/>
              </w:rPr>
              <w:fldChar w:fldCharType="separate"/>
            </w:r>
            <w:r w:rsidR="00E9676C">
              <w:rPr>
                <w:noProof/>
                <w:webHidden/>
              </w:rPr>
              <w:t>9</w:t>
            </w:r>
            <w:r w:rsidR="00B2646D">
              <w:rPr>
                <w:noProof/>
                <w:webHidden/>
              </w:rPr>
              <w:fldChar w:fldCharType="end"/>
            </w:r>
          </w:hyperlink>
        </w:p>
        <w:p w14:paraId="2FB6F288" w14:textId="43938A61" w:rsidR="00B2646D" w:rsidRDefault="00000000" w:rsidP="00594939">
          <w:pPr>
            <w:pStyle w:val="TOC3"/>
            <w:rPr>
              <w:rFonts w:eastAsiaTheme="minorEastAsia"/>
              <w:noProof/>
              <w:sz w:val="22"/>
            </w:rPr>
          </w:pPr>
          <w:hyperlink w:anchor="_Toc170739828" w:history="1">
            <w:r w:rsidR="00B2646D" w:rsidRPr="00CC5241">
              <w:rPr>
                <w:rStyle w:val="Hyperlink"/>
                <w:noProof/>
              </w:rPr>
              <w:t>3.0 PFO Closure</w:t>
            </w:r>
            <w:r w:rsidR="00B2646D">
              <w:rPr>
                <w:noProof/>
                <w:webHidden/>
              </w:rPr>
              <w:tab/>
            </w:r>
            <w:r w:rsidR="00B2646D">
              <w:rPr>
                <w:noProof/>
                <w:webHidden/>
              </w:rPr>
              <w:fldChar w:fldCharType="begin"/>
            </w:r>
            <w:r w:rsidR="00B2646D">
              <w:rPr>
                <w:noProof/>
                <w:webHidden/>
              </w:rPr>
              <w:instrText xml:space="preserve"> PAGEREF _Toc170739828 \h </w:instrText>
            </w:r>
            <w:r w:rsidR="00B2646D">
              <w:rPr>
                <w:noProof/>
                <w:webHidden/>
              </w:rPr>
            </w:r>
            <w:r w:rsidR="00B2646D">
              <w:rPr>
                <w:noProof/>
                <w:webHidden/>
              </w:rPr>
              <w:fldChar w:fldCharType="separate"/>
            </w:r>
            <w:r w:rsidR="00E9676C">
              <w:rPr>
                <w:noProof/>
                <w:webHidden/>
              </w:rPr>
              <w:t>11</w:t>
            </w:r>
            <w:r w:rsidR="00B2646D">
              <w:rPr>
                <w:noProof/>
                <w:webHidden/>
              </w:rPr>
              <w:fldChar w:fldCharType="end"/>
            </w:r>
          </w:hyperlink>
        </w:p>
        <w:p w14:paraId="18830780" w14:textId="424246F7" w:rsidR="00B2646D" w:rsidRDefault="00000000" w:rsidP="00594939">
          <w:pPr>
            <w:pStyle w:val="TOC3"/>
            <w:rPr>
              <w:rFonts w:eastAsiaTheme="minorEastAsia"/>
              <w:noProof/>
              <w:sz w:val="22"/>
            </w:rPr>
          </w:pPr>
          <w:hyperlink w:anchor="_Toc170739829" w:history="1">
            <w:r w:rsidR="00B2646D" w:rsidRPr="00CC5241">
              <w:rPr>
                <w:rStyle w:val="Hyperlink"/>
                <w:noProof/>
              </w:rPr>
              <w:t>4.0 PFO and Cryptogenic Ischemic Stroke</w:t>
            </w:r>
            <w:r w:rsidR="00B2646D">
              <w:rPr>
                <w:noProof/>
                <w:webHidden/>
              </w:rPr>
              <w:tab/>
            </w:r>
            <w:r w:rsidR="00B2646D">
              <w:rPr>
                <w:noProof/>
                <w:webHidden/>
              </w:rPr>
              <w:fldChar w:fldCharType="begin"/>
            </w:r>
            <w:r w:rsidR="00B2646D">
              <w:rPr>
                <w:noProof/>
                <w:webHidden/>
              </w:rPr>
              <w:instrText xml:space="preserve"> PAGEREF _Toc170739829 \h </w:instrText>
            </w:r>
            <w:r w:rsidR="00B2646D">
              <w:rPr>
                <w:noProof/>
                <w:webHidden/>
              </w:rPr>
            </w:r>
            <w:r w:rsidR="00B2646D">
              <w:rPr>
                <w:noProof/>
                <w:webHidden/>
              </w:rPr>
              <w:fldChar w:fldCharType="separate"/>
            </w:r>
            <w:r w:rsidR="00E9676C">
              <w:rPr>
                <w:noProof/>
                <w:webHidden/>
              </w:rPr>
              <w:t>12</w:t>
            </w:r>
            <w:r w:rsidR="00B2646D">
              <w:rPr>
                <w:noProof/>
                <w:webHidden/>
              </w:rPr>
              <w:fldChar w:fldCharType="end"/>
            </w:r>
          </w:hyperlink>
        </w:p>
        <w:p w14:paraId="75C386E6" w14:textId="6BCB0717" w:rsidR="00B2646D" w:rsidRDefault="00000000" w:rsidP="00594939">
          <w:pPr>
            <w:pStyle w:val="TOC3"/>
            <w:rPr>
              <w:rFonts w:eastAsiaTheme="minorEastAsia"/>
              <w:noProof/>
              <w:sz w:val="22"/>
            </w:rPr>
          </w:pPr>
          <w:hyperlink w:anchor="_Toc170739830" w:history="1">
            <w:r w:rsidR="00B2646D" w:rsidRPr="00CC5241">
              <w:rPr>
                <w:rStyle w:val="Hyperlink"/>
                <w:noProof/>
              </w:rPr>
              <w:t>5.0 PFOs and the Diving Community</w:t>
            </w:r>
            <w:r w:rsidR="00B2646D">
              <w:rPr>
                <w:noProof/>
                <w:webHidden/>
              </w:rPr>
              <w:tab/>
            </w:r>
            <w:r w:rsidR="00B2646D">
              <w:rPr>
                <w:noProof/>
                <w:webHidden/>
              </w:rPr>
              <w:fldChar w:fldCharType="begin"/>
            </w:r>
            <w:r w:rsidR="00B2646D">
              <w:rPr>
                <w:noProof/>
                <w:webHidden/>
              </w:rPr>
              <w:instrText xml:space="preserve"> PAGEREF _Toc170739830 \h </w:instrText>
            </w:r>
            <w:r w:rsidR="00B2646D">
              <w:rPr>
                <w:noProof/>
                <w:webHidden/>
              </w:rPr>
            </w:r>
            <w:r w:rsidR="00B2646D">
              <w:rPr>
                <w:noProof/>
                <w:webHidden/>
              </w:rPr>
              <w:fldChar w:fldCharType="separate"/>
            </w:r>
            <w:r w:rsidR="00E9676C">
              <w:rPr>
                <w:noProof/>
                <w:webHidden/>
              </w:rPr>
              <w:t>12</w:t>
            </w:r>
            <w:r w:rsidR="00B2646D">
              <w:rPr>
                <w:noProof/>
                <w:webHidden/>
              </w:rPr>
              <w:fldChar w:fldCharType="end"/>
            </w:r>
          </w:hyperlink>
        </w:p>
        <w:p w14:paraId="691B17BE" w14:textId="6F060679" w:rsidR="00B2646D" w:rsidRDefault="00000000" w:rsidP="00594939">
          <w:pPr>
            <w:pStyle w:val="TOC3"/>
            <w:rPr>
              <w:rFonts w:eastAsiaTheme="minorEastAsia"/>
              <w:noProof/>
              <w:sz w:val="22"/>
            </w:rPr>
          </w:pPr>
          <w:hyperlink w:anchor="_Toc170739831" w:history="1">
            <w:r w:rsidR="00B2646D" w:rsidRPr="00CC5241">
              <w:rPr>
                <w:rStyle w:val="Hyperlink"/>
                <w:noProof/>
              </w:rPr>
              <w:t>6.0 PFO and High Altitude</w:t>
            </w:r>
            <w:r w:rsidR="00B2646D">
              <w:rPr>
                <w:noProof/>
                <w:webHidden/>
              </w:rPr>
              <w:tab/>
            </w:r>
            <w:r w:rsidR="00B2646D">
              <w:rPr>
                <w:noProof/>
                <w:webHidden/>
              </w:rPr>
              <w:fldChar w:fldCharType="begin"/>
            </w:r>
            <w:r w:rsidR="00B2646D">
              <w:rPr>
                <w:noProof/>
                <w:webHidden/>
              </w:rPr>
              <w:instrText xml:space="preserve"> PAGEREF _Toc170739831 \h </w:instrText>
            </w:r>
            <w:r w:rsidR="00B2646D">
              <w:rPr>
                <w:noProof/>
                <w:webHidden/>
              </w:rPr>
            </w:r>
            <w:r w:rsidR="00B2646D">
              <w:rPr>
                <w:noProof/>
                <w:webHidden/>
              </w:rPr>
              <w:fldChar w:fldCharType="separate"/>
            </w:r>
            <w:r w:rsidR="00E9676C">
              <w:rPr>
                <w:noProof/>
                <w:webHidden/>
              </w:rPr>
              <w:t>14</w:t>
            </w:r>
            <w:r w:rsidR="00B2646D">
              <w:rPr>
                <w:noProof/>
                <w:webHidden/>
              </w:rPr>
              <w:fldChar w:fldCharType="end"/>
            </w:r>
          </w:hyperlink>
        </w:p>
        <w:p w14:paraId="4F6ACD55" w14:textId="3FCF585D" w:rsidR="00B2646D" w:rsidRDefault="00000000" w:rsidP="00594939">
          <w:pPr>
            <w:pStyle w:val="TOC3"/>
            <w:rPr>
              <w:rFonts w:eastAsiaTheme="minorEastAsia"/>
              <w:noProof/>
              <w:sz w:val="22"/>
            </w:rPr>
          </w:pPr>
          <w:hyperlink w:anchor="_Toc170739832" w:history="1">
            <w:r w:rsidR="00B2646D" w:rsidRPr="00CC5241">
              <w:rPr>
                <w:rStyle w:val="Hyperlink"/>
                <w:noProof/>
              </w:rPr>
              <w:t>7.0 Other Physiological Factors</w:t>
            </w:r>
            <w:r w:rsidR="00B2646D">
              <w:rPr>
                <w:noProof/>
                <w:webHidden/>
              </w:rPr>
              <w:tab/>
            </w:r>
            <w:r w:rsidR="00B2646D">
              <w:rPr>
                <w:noProof/>
                <w:webHidden/>
              </w:rPr>
              <w:fldChar w:fldCharType="begin"/>
            </w:r>
            <w:r w:rsidR="00B2646D">
              <w:rPr>
                <w:noProof/>
                <w:webHidden/>
              </w:rPr>
              <w:instrText xml:space="preserve"> PAGEREF _Toc170739832 \h </w:instrText>
            </w:r>
            <w:r w:rsidR="00B2646D">
              <w:rPr>
                <w:noProof/>
                <w:webHidden/>
              </w:rPr>
            </w:r>
            <w:r w:rsidR="00B2646D">
              <w:rPr>
                <w:noProof/>
                <w:webHidden/>
              </w:rPr>
              <w:fldChar w:fldCharType="separate"/>
            </w:r>
            <w:r w:rsidR="00E9676C">
              <w:rPr>
                <w:noProof/>
                <w:webHidden/>
              </w:rPr>
              <w:t>16</w:t>
            </w:r>
            <w:r w:rsidR="00B2646D">
              <w:rPr>
                <w:noProof/>
                <w:webHidden/>
              </w:rPr>
              <w:fldChar w:fldCharType="end"/>
            </w:r>
          </w:hyperlink>
        </w:p>
        <w:p w14:paraId="4F5412A4" w14:textId="5E6C199B" w:rsidR="00B2646D" w:rsidRDefault="00000000">
          <w:pPr>
            <w:pStyle w:val="TOC2"/>
            <w:tabs>
              <w:tab w:val="right" w:leader="dot" w:pos="9350"/>
            </w:tabs>
            <w:rPr>
              <w:rFonts w:eastAsiaTheme="minorEastAsia"/>
              <w:noProof/>
              <w:sz w:val="22"/>
            </w:rPr>
          </w:pPr>
          <w:hyperlink w:anchor="_Toc170739833" w:history="1">
            <w:r w:rsidR="00B2646D" w:rsidRPr="00CC5241">
              <w:rPr>
                <w:rStyle w:val="Hyperlink"/>
                <w:noProof/>
              </w:rPr>
              <w:t>Overall Conclusion</w:t>
            </w:r>
            <w:r w:rsidR="00B2646D">
              <w:rPr>
                <w:noProof/>
                <w:webHidden/>
              </w:rPr>
              <w:tab/>
            </w:r>
            <w:r w:rsidR="00B2646D">
              <w:rPr>
                <w:noProof/>
                <w:webHidden/>
              </w:rPr>
              <w:fldChar w:fldCharType="begin"/>
            </w:r>
            <w:r w:rsidR="00B2646D">
              <w:rPr>
                <w:noProof/>
                <w:webHidden/>
              </w:rPr>
              <w:instrText xml:space="preserve"> PAGEREF _Toc170739833 \h </w:instrText>
            </w:r>
            <w:r w:rsidR="00B2646D">
              <w:rPr>
                <w:noProof/>
                <w:webHidden/>
              </w:rPr>
            </w:r>
            <w:r w:rsidR="00B2646D">
              <w:rPr>
                <w:noProof/>
                <w:webHidden/>
              </w:rPr>
              <w:fldChar w:fldCharType="separate"/>
            </w:r>
            <w:r w:rsidR="00E9676C">
              <w:rPr>
                <w:noProof/>
                <w:webHidden/>
              </w:rPr>
              <w:t>17</w:t>
            </w:r>
            <w:r w:rsidR="00B2646D">
              <w:rPr>
                <w:noProof/>
                <w:webHidden/>
              </w:rPr>
              <w:fldChar w:fldCharType="end"/>
            </w:r>
          </w:hyperlink>
        </w:p>
        <w:p w14:paraId="675BF278" w14:textId="73CAE62B" w:rsidR="00B2646D" w:rsidRDefault="00000000">
          <w:pPr>
            <w:pStyle w:val="TOC2"/>
            <w:tabs>
              <w:tab w:val="right" w:leader="dot" w:pos="9350"/>
            </w:tabs>
            <w:rPr>
              <w:rFonts w:eastAsiaTheme="minorEastAsia"/>
              <w:noProof/>
              <w:sz w:val="22"/>
            </w:rPr>
          </w:pPr>
          <w:hyperlink w:anchor="_Toc170739834" w:history="1">
            <w:r w:rsidR="00B2646D" w:rsidRPr="00CC5241">
              <w:rPr>
                <w:rStyle w:val="Hyperlink"/>
                <w:noProof/>
              </w:rPr>
              <w:t>Working Group Goals</w:t>
            </w:r>
            <w:r w:rsidR="00B2646D">
              <w:rPr>
                <w:noProof/>
                <w:webHidden/>
              </w:rPr>
              <w:tab/>
            </w:r>
            <w:r w:rsidR="00B2646D">
              <w:rPr>
                <w:noProof/>
                <w:webHidden/>
              </w:rPr>
              <w:fldChar w:fldCharType="begin"/>
            </w:r>
            <w:r w:rsidR="00B2646D">
              <w:rPr>
                <w:noProof/>
                <w:webHidden/>
              </w:rPr>
              <w:instrText xml:space="preserve"> PAGEREF _Toc170739834 \h </w:instrText>
            </w:r>
            <w:r w:rsidR="00B2646D">
              <w:rPr>
                <w:noProof/>
                <w:webHidden/>
              </w:rPr>
            </w:r>
            <w:r w:rsidR="00B2646D">
              <w:rPr>
                <w:noProof/>
                <w:webHidden/>
              </w:rPr>
              <w:fldChar w:fldCharType="separate"/>
            </w:r>
            <w:r w:rsidR="00E9676C">
              <w:rPr>
                <w:noProof/>
                <w:webHidden/>
              </w:rPr>
              <w:t>18</w:t>
            </w:r>
            <w:r w:rsidR="00B2646D">
              <w:rPr>
                <w:noProof/>
                <w:webHidden/>
              </w:rPr>
              <w:fldChar w:fldCharType="end"/>
            </w:r>
          </w:hyperlink>
        </w:p>
        <w:p w14:paraId="4D71DE14" w14:textId="7E8B72E0" w:rsidR="00B2646D" w:rsidRDefault="00000000" w:rsidP="00594939">
          <w:pPr>
            <w:pStyle w:val="TOC3"/>
            <w:rPr>
              <w:rFonts w:eastAsiaTheme="minorEastAsia"/>
              <w:noProof/>
              <w:sz w:val="22"/>
            </w:rPr>
          </w:pPr>
          <w:hyperlink w:anchor="_Toc170739835" w:history="1">
            <w:r w:rsidR="00B2646D" w:rsidRPr="00CC5241">
              <w:rPr>
                <w:rStyle w:val="Hyperlink"/>
                <w:noProof/>
              </w:rPr>
              <w:t>Goal 1 Overview</w:t>
            </w:r>
            <w:r w:rsidR="00B2646D">
              <w:rPr>
                <w:noProof/>
                <w:webHidden/>
              </w:rPr>
              <w:tab/>
            </w:r>
            <w:r w:rsidR="00B2646D">
              <w:rPr>
                <w:noProof/>
                <w:webHidden/>
              </w:rPr>
              <w:fldChar w:fldCharType="begin"/>
            </w:r>
            <w:r w:rsidR="00B2646D">
              <w:rPr>
                <w:noProof/>
                <w:webHidden/>
              </w:rPr>
              <w:instrText xml:space="preserve"> PAGEREF _Toc170739835 \h </w:instrText>
            </w:r>
            <w:r w:rsidR="00B2646D">
              <w:rPr>
                <w:noProof/>
                <w:webHidden/>
              </w:rPr>
            </w:r>
            <w:r w:rsidR="00B2646D">
              <w:rPr>
                <w:noProof/>
                <w:webHidden/>
              </w:rPr>
              <w:fldChar w:fldCharType="separate"/>
            </w:r>
            <w:r w:rsidR="00E9676C">
              <w:rPr>
                <w:noProof/>
                <w:webHidden/>
              </w:rPr>
              <w:t>18</w:t>
            </w:r>
            <w:r w:rsidR="00B2646D">
              <w:rPr>
                <w:noProof/>
                <w:webHidden/>
              </w:rPr>
              <w:fldChar w:fldCharType="end"/>
            </w:r>
          </w:hyperlink>
        </w:p>
        <w:p w14:paraId="2461821B" w14:textId="29F79A90" w:rsidR="00B2646D" w:rsidRDefault="00000000" w:rsidP="00594939">
          <w:pPr>
            <w:pStyle w:val="TOC3"/>
            <w:rPr>
              <w:rFonts w:eastAsiaTheme="minorEastAsia"/>
              <w:noProof/>
              <w:sz w:val="22"/>
            </w:rPr>
          </w:pPr>
          <w:hyperlink w:anchor="_Toc170739836" w:history="1">
            <w:r w:rsidR="00B2646D" w:rsidRPr="00CC5241">
              <w:rPr>
                <w:rStyle w:val="Hyperlink"/>
                <w:noProof/>
              </w:rPr>
              <w:t>Goal 2 Overview</w:t>
            </w:r>
            <w:r w:rsidR="00B2646D">
              <w:rPr>
                <w:noProof/>
                <w:webHidden/>
              </w:rPr>
              <w:tab/>
            </w:r>
            <w:r w:rsidR="00B2646D">
              <w:rPr>
                <w:noProof/>
                <w:webHidden/>
              </w:rPr>
              <w:fldChar w:fldCharType="begin"/>
            </w:r>
            <w:r w:rsidR="00B2646D">
              <w:rPr>
                <w:noProof/>
                <w:webHidden/>
              </w:rPr>
              <w:instrText xml:space="preserve"> PAGEREF _Toc170739836 \h </w:instrText>
            </w:r>
            <w:r w:rsidR="00B2646D">
              <w:rPr>
                <w:noProof/>
                <w:webHidden/>
              </w:rPr>
            </w:r>
            <w:r w:rsidR="00B2646D">
              <w:rPr>
                <w:noProof/>
                <w:webHidden/>
              </w:rPr>
              <w:fldChar w:fldCharType="separate"/>
            </w:r>
            <w:r w:rsidR="00E9676C">
              <w:rPr>
                <w:noProof/>
                <w:webHidden/>
              </w:rPr>
              <w:t>19</w:t>
            </w:r>
            <w:r w:rsidR="00B2646D">
              <w:rPr>
                <w:noProof/>
                <w:webHidden/>
              </w:rPr>
              <w:fldChar w:fldCharType="end"/>
            </w:r>
          </w:hyperlink>
        </w:p>
        <w:p w14:paraId="4BC8FB4F" w14:textId="26195FA0" w:rsidR="00B2646D" w:rsidRDefault="00000000" w:rsidP="00594939">
          <w:pPr>
            <w:pStyle w:val="TOC3"/>
            <w:rPr>
              <w:rFonts w:eastAsiaTheme="minorEastAsia"/>
              <w:noProof/>
              <w:sz w:val="22"/>
            </w:rPr>
          </w:pPr>
          <w:hyperlink w:anchor="_Toc170739837" w:history="1">
            <w:r w:rsidR="00B2646D" w:rsidRPr="00CC5241">
              <w:rPr>
                <w:rStyle w:val="Hyperlink"/>
                <w:noProof/>
              </w:rPr>
              <w:t>Goal 3 Overview</w:t>
            </w:r>
            <w:r w:rsidR="00B2646D">
              <w:rPr>
                <w:noProof/>
                <w:webHidden/>
              </w:rPr>
              <w:tab/>
            </w:r>
            <w:r w:rsidR="00B2646D">
              <w:rPr>
                <w:noProof/>
                <w:webHidden/>
              </w:rPr>
              <w:fldChar w:fldCharType="begin"/>
            </w:r>
            <w:r w:rsidR="00B2646D">
              <w:rPr>
                <w:noProof/>
                <w:webHidden/>
              </w:rPr>
              <w:instrText xml:space="preserve"> PAGEREF _Toc170739837 \h </w:instrText>
            </w:r>
            <w:r w:rsidR="00B2646D">
              <w:rPr>
                <w:noProof/>
                <w:webHidden/>
              </w:rPr>
            </w:r>
            <w:r w:rsidR="00B2646D">
              <w:rPr>
                <w:noProof/>
                <w:webHidden/>
              </w:rPr>
              <w:fldChar w:fldCharType="separate"/>
            </w:r>
            <w:r w:rsidR="00E9676C">
              <w:rPr>
                <w:noProof/>
                <w:webHidden/>
              </w:rPr>
              <w:t>20</w:t>
            </w:r>
            <w:r w:rsidR="00B2646D">
              <w:rPr>
                <w:noProof/>
                <w:webHidden/>
              </w:rPr>
              <w:fldChar w:fldCharType="end"/>
            </w:r>
          </w:hyperlink>
        </w:p>
        <w:p w14:paraId="785DD3B2" w14:textId="79271CD2" w:rsidR="00B2646D" w:rsidRDefault="00000000" w:rsidP="00594939">
          <w:pPr>
            <w:pStyle w:val="TOC3"/>
            <w:rPr>
              <w:rFonts w:eastAsiaTheme="minorEastAsia"/>
              <w:noProof/>
              <w:sz w:val="22"/>
            </w:rPr>
          </w:pPr>
          <w:hyperlink w:anchor="_Toc170739838" w:history="1">
            <w:r w:rsidR="00B2646D" w:rsidRPr="00CC5241">
              <w:rPr>
                <w:rStyle w:val="Hyperlink"/>
                <w:noProof/>
              </w:rPr>
              <w:t>Goal 4 Overview</w:t>
            </w:r>
            <w:r w:rsidR="00B2646D">
              <w:rPr>
                <w:noProof/>
                <w:webHidden/>
              </w:rPr>
              <w:tab/>
            </w:r>
            <w:r w:rsidR="00B2646D">
              <w:rPr>
                <w:noProof/>
                <w:webHidden/>
              </w:rPr>
              <w:fldChar w:fldCharType="begin"/>
            </w:r>
            <w:r w:rsidR="00B2646D">
              <w:rPr>
                <w:noProof/>
                <w:webHidden/>
              </w:rPr>
              <w:instrText xml:space="preserve"> PAGEREF _Toc170739838 \h </w:instrText>
            </w:r>
            <w:r w:rsidR="00B2646D">
              <w:rPr>
                <w:noProof/>
                <w:webHidden/>
              </w:rPr>
            </w:r>
            <w:r w:rsidR="00B2646D">
              <w:rPr>
                <w:noProof/>
                <w:webHidden/>
              </w:rPr>
              <w:fldChar w:fldCharType="separate"/>
            </w:r>
            <w:r w:rsidR="00E9676C">
              <w:rPr>
                <w:noProof/>
                <w:webHidden/>
              </w:rPr>
              <w:t>21</w:t>
            </w:r>
            <w:r w:rsidR="00B2646D">
              <w:rPr>
                <w:noProof/>
                <w:webHidden/>
              </w:rPr>
              <w:fldChar w:fldCharType="end"/>
            </w:r>
          </w:hyperlink>
        </w:p>
        <w:p w14:paraId="428F573D" w14:textId="230C0836" w:rsidR="00B2646D" w:rsidRDefault="00000000">
          <w:pPr>
            <w:pStyle w:val="TOC2"/>
            <w:tabs>
              <w:tab w:val="right" w:leader="dot" w:pos="9350"/>
            </w:tabs>
            <w:rPr>
              <w:rFonts w:eastAsiaTheme="minorEastAsia"/>
              <w:noProof/>
              <w:sz w:val="22"/>
            </w:rPr>
          </w:pPr>
          <w:hyperlink w:anchor="_Toc170739839" w:history="1">
            <w:r w:rsidR="00B2646D" w:rsidRPr="00CC5241">
              <w:rPr>
                <w:rStyle w:val="Hyperlink"/>
                <w:noProof/>
              </w:rPr>
              <w:t>Other Points of Discussion</w:t>
            </w:r>
            <w:r w:rsidR="00B2646D">
              <w:rPr>
                <w:noProof/>
                <w:webHidden/>
              </w:rPr>
              <w:tab/>
            </w:r>
            <w:r w:rsidR="00B2646D">
              <w:rPr>
                <w:noProof/>
                <w:webHidden/>
              </w:rPr>
              <w:fldChar w:fldCharType="begin"/>
            </w:r>
            <w:r w:rsidR="00B2646D">
              <w:rPr>
                <w:noProof/>
                <w:webHidden/>
              </w:rPr>
              <w:instrText xml:space="preserve"> PAGEREF _Toc170739839 \h </w:instrText>
            </w:r>
            <w:r w:rsidR="00B2646D">
              <w:rPr>
                <w:noProof/>
                <w:webHidden/>
              </w:rPr>
            </w:r>
            <w:r w:rsidR="00B2646D">
              <w:rPr>
                <w:noProof/>
                <w:webHidden/>
              </w:rPr>
              <w:fldChar w:fldCharType="separate"/>
            </w:r>
            <w:r w:rsidR="00E9676C">
              <w:rPr>
                <w:noProof/>
                <w:webHidden/>
              </w:rPr>
              <w:t>21</w:t>
            </w:r>
            <w:r w:rsidR="00B2646D">
              <w:rPr>
                <w:noProof/>
                <w:webHidden/>
              </w:rPr>
              <w:fldChar w:fldCharType="end"/>
            </w:r>
          </w:hyperlink>
        </w:p>
        <w:p w14:paraId="10129781" w14:textId="575285B4" w:rsidR="00B2646D" w:rsidRDefault="00000000">
          <w:pPr>
            <w:pStyle w:val="TOC2"/>
            <w:tabs>
              <w:tab w:val="right" w:leader="dot" w:pos="9350"/>
            </w:tabs>
            <w:rPr>
              <w:rFonts w:eastAsiaTheme="minorEastAsia"/>
              <w:noProof/>
              <w:sz w:val="22"/>
            </w:rPr>
          </w:pPr>
          <w:hyperlink w:anchor="_Toc170739840" w:history="1">
            <w:r w:rsidR="00B2646D" w:rsidRPr="00CC5241">
              <w:rPr>
                <w:rStyle w:val="Hyperlink"/>
                <w:noProof/>
              </w:rPr>
              <w:t>Meeting Minutes</w:t>
            </w:r>
            <w:r w:rsidR="00B2646D">
              <w:rPr>
                <w:noProof/>
                <w:webHidden/>
              </w:rPr>
              <w:tab/>
            </w:r>
            <w:r w:rsidR="00B2646D">
              <w:rPr>
                <w:noProof/>
                <w:webHidden/>
              </w:rPr>
              <w:fldChar w:fldCharType="begin"/>
            </w:r>
            <w:r w:rsidR="00B2646D">
              <w:rPr>
                <w:noProof/>
                <w:webHidden/>
              </w:rPr>
              <w:instrText xml:space="preserve"> PAGEREF _Toc170739840 \h </w:instrText>
            </w:r>
            <w:r w:rsidR="00B2646D">
              <w:rPr>
                <w:noProof/>
                <w:webHidden/>
              </w:rPr>
            </w:r>
            <w:r w:rsidR="00B2646D">
              <w:rPr>
                <w:noProof/>
                <w:webHidden/>
              </w:rPr>
              <w:fldChar w:fldCharType="separate"/>
            </w:r>
            <w:r w:rsidR="00E9676C">
              <w:rPr>
                <w:noProof/>
                <w:webHidden/>
              </w:rPr>
              <w:t>23</w:t>
            </w:r>
            <w:r w:rsidR="00B2646D">
              <w:rPr>
                <w:noProof/>
                <w:webHidden/>
              </w:rPr>
              <w:fldChar w:fldCharType="end"/>
            </w:r>
          </w:hyperlink>
        </w:p>
        <w:p w14:paraId="344AE942" w14:textId="6B013700" w:rsidR="00B2646D" w:rsidRDefault="00000000">
          <w:pPr>
            <w:pStyle w:val="TOC2"/>
            <w:tabs>
              <w:tab w:val="right" w:leader="dot" w:pos="9350"/>
            </w:tabs>
            <w:rPr>
              <w:rFonts w:eastAsiaTheme="minorEastAsia"/>
              <w:noProof/>
              <w:sz w:val="22"/>
            </w:rPr>
          </w:pPr>
          <w:hyperlink w:anchor="_Toc170739841" w:history="1">
            <w:r w:rsidR="00B2646D" w:rsidRPr="00CC5241">
              <w:rPr>
                <w:rStyle w:val="Hyperlink"/>
                <w:noProof/>
              </w:rPr>
              <w:t>Bibliography</w:t>
            </w:r>
            <w:r w:rsidR="00B2646D">
              <w:rPr>
                <w:noProof/>
                <w:webHidden/>
              </w:rPr>
              <w:tab/>
            </w:r>
            <w:r w:rsidR="00B2646D">
              <w:rPr>
                <w:noProof/>
                <w:webHidden/>
              </w:rPr>
              <w:fldChar w:fldCharType="begin"/>
            </w:r>
            <w:r w:rsidR="00B2646D">
              <w:rPr>
                <w:noProof/>
                <w:webHidden/>
              </w:rPr>
              <w:instrText xml:space="preserve"> PAGEREF _Toc170739841 \h </w:instrText>
            </w:r>
            <w:r w:rsidR="00B2646D">
              <w:rPr>
                <w:noProof/>
                <w:webHidden/>
              </w:rPr>
            </w:r>
            <w:r w:rsidR="00B2646D">
              <w:rPr>
                <w:noProof/>
                <w:webHidden/>
              </w:rPr>
              <w:fldChar w:fldCharType="separate"/>
            </w:r>
            <w:r w:rsidR="00E9676C">
              <w:rPr>
                <w:noProof/>
                <w:webHidden/>
              </w:rPr>
              <w:t>28</w:t>
            </w:r>
            <w:r w:rsidR="00B2646D">
              <w:rPr>
                <w:noProof/>
                <w:webHidden/>
              </w:rPr>
              <w:fldChar w:fldCharType="end"/>
            </w:r>
          </w:hyperlink>
        </w:p>
        <w:p w14:paraId="63158C0D" w14:textId="38E36810" w:rsidR="00796CB9" w:rsidRDefault="00796CB9">
          <w:r>
            <w:rPr>
              <w:b/>
              <w:bCs/>
              <w:noProof/>
            </w:rPr>
            <w:fldChar w:fldCharType="end"/>
          </w:r>
        </w:p>
      </w:sdtContent>
    </w:sdt>
    <w:p w14:paraId="1B3B61EE" w14:textId="577D78D5" w:rsidR="0015397C" w:rsidRDefault="0015397C" w:rsidP="004274C9">
      <w:pPr>
        <w:spacing w:after="0" w:line="240" w:lineRule="auto"/>
        <w:jc w:val="center"/>
      </w:pPr>
    </w:p>
    <w:p w14:paraId="0391744D" w14:textId="77777777" w:rsidR="0015397C" w:rsidRDefault="0015397C">
      <w:r>
        <w:br w:type="page"/>
      </w:r>
    </w:p>
    <w:p w14:paraId="118C783E" w14:textId="714E26B3" w:rsidR="00DF170C" w:rsidRDefault="48837952" w:rsidP="00317418">
      <w:pPr>
        <w:pStyle w:val="Heading2"/>
      </w:pPr>
      <w:bookmarkStart w:id="1" w:name="_Toc170739824"/>
      <w:r>
        <w:lastRenderedPageBreak/>
        <w:t>Background</w:t>
      </w:r>
      <w:bookmarkEnd w:id="1"/>
    </w:p>
    <w:p w14:paraId="779AFF54" w14:textId="6277B09D" w:rsidR="00DF170C" w:rsidRPr="00CA335D" w:rsidRDefault="3E2B6176" w:rsidP="00743C1F">
      <w:pPr>
        <w:spacing w:afterLines="60" w:after="144" w:line="360" w:lineRule="auto"/>
        <w:rPr>
          <w:vertAlign w:val="superscript"/>
        </w:rPr>
      </w:pPr>
      <w:r>
        <w:t>Decompression sickness (DCS) is a condition which results from dissolved gases (</w:t>
      </w:r>
      <w:r w:rsidR="00497734">
        <w:t>primarily</w:t>
      </w:r>
      <w:r>
        <w:t xml:space="preserve"> nitrogen) forming bubbles in the bloodstream and tissues. It is usually experienced in conditions where there are rapid </w:t>
      </w:r>
      <w:r w:rsidR="007D188E">
        <w:t>decreases in ambient pressure</w:t>
      </w:r>
      <w:r>
        <w:t xml:space="preserve">, such as in scuba divers, high-altitude </w:t>
      </w:r>
      <w:r w:rsidR="003744CB">
        <w:t>aviation</w:t>
      </w:r>
      <w:r>
        <w:t>, or other pressurized environments. The</w:t>
      </w:r>
      <w:r w:rsidR="003744CB">
        <w:t xml:space="preserve"> evolved gas</w:t>
      </w:r>
      <w:r>
        <w:t xml:space="preserve"> bubbles </w:t>
      </w:r>
      <w:r w:rsidR="00C35448">
        <w:t xml:space="preserve">have various physiological effects and </w:t>
      </w:r>
      <w:r>
        <w:t xml:space="preserve">can obstruct the blood vessels, trigger inflammation, and damage </w:t>
      </w:r>
      <w:r w:rsidRPr="001C7B90">
        <w:rPr>
          <w:rFonts w:cstheme="minorHAnsi"/>
          <w:szCs w:val="24"/>
        </w:rPr>
        <w:t>tissue</w:t>
      </w:r>
      <w:r w:rsidR="00C35448" w:rsidRPr="001C7B90">
        <w:rPr>
          <w:rFonts w:cstheme="minorHAnsi"/>
          <w:szCs w:val="24"/>
        </w:rPr>
        <w:t>, resulting in symptoms of DCS</w:t>
      </w:r>
      <w:r w:rsidRPr="001C7B90">
        <w:rPr>
          <w:rFonts w:cstheme="minorHAnsi"/>
          <w:szCs w:val="24"/>
        </w:rPr>
        <w:t xml:space="preserve">. </w:t>
      </w:r>
      <w:r w:rsidR="08366F6E" w:rsidRPr="001C7B90">
        <w:rPr>
          <w:rFonts w:cstheme="minorHAnsi"/>
          <w:szCs w:val="24"/>
        </w:rPr>
        <w:t>NASA presently classifies DCS into two categories</w:t>
      </w:r>
      <w:r w:rsidR="00816AD4">
        <w:rPr>
          <w:rFonts w:cstheme="minorHAnsi"/>
          <w:szCs w:val="24"/>
        </w:rPr>
        <w:t>:</w:t>
      </w:r>
      <w:r w:rsidR="08366F6E" w:rsidRPr="001C7B90">
        <w:rPr>
          <w:rFonts w:cstheme="minorHAnsi"/>
          <w:szCs w:val="24"/>
        </w:rPr>
        <w:t xml:space="preserve"> </w:t>
      </w:r>
      <w:r w:rsidR="003A520A" w:rsidRPr="001C7B90">
        <w:rPr>
          <w:rFonts w:cstheme="minorHAnsi"/>
          <w:szCs w:val="24"/>
        </w:rPr>
        <w:t xml:space="preserve">Type </w:t>
      </w:r>
      <w:r w:rsidR="009840E8" w:rsidRPr="001C7B90">
        <w:rPr>
          <w:rFonts w:cstheme="minorHAnsi"/>
          <w:szCs w:val="24"/>
        </w:rPr>
        <w:t>I</w:t>
      </w:r>
      <w:r w:rsidR="003A520A" w:rsidRPr="001C7B90">
        <w:rPr>
          <w:rFonts w:cstheme="minorHAnsi"/>
          <w:szCs w:val="24"/>
        </w:rPr>
        <w:t xml:space="preserve"> DCS, which is</w:t>
      </w:r>
      <w:r w:rsidR="00075440" w:rsidRPr="001C7B90">
        <w:rPr>
          <w:rFonts w:cstheme="minorHAnsi"/>
          <w:szCs w:val="24"/>
        </w:rPr>
        <w:t xml:space="preserve"> less severe, typically leads to </w:t>
      </w:r>
      <w:r w:rsidR="00786291" w:rsidRPr="001C7B90">
        <w:rPr>
          <w:rFonts w:cstheme="minorHAnsi"/>
          <w:szCs w:val="24"/>
        </w:rPr>
        <w:t xml:space="preserve">musculoskeletal symptoms including </w:t>
      </w:r>
      <w:r w:rsidR="00FD3A65" w:rsidRPr="001C7B90">
        <w:rPr>
          <w:rFonts w:cstheme="minorHAnsi"/>
          <w:szCs w:val="24"/>
        </w:rPr>
        <w:t xml:space="preserve">pain in </w:t>
      </w:r>
      <w:r w:rsidR="00EE1195" w:rsidRPr="001C7B90">
        <w:rPr>
          <w:rFonts w:cstheme="minorHAnsi"/>
          <w:szCs w:val="24"/>
        </w:rPr>
        <w:t>the joints</w:t>
      </w:r>
      <w:r w:rsidR="009840E8" w:rsidRPr="001C7B90">
        <w:rPr>
          <w:rFonts w:cstheme="minorHAnsi"/>
          <w:szCs w:val="24"/>
        </w:rPr>
        <w:t xml:space="preserve"> or muscles</w:t>
      </w:r>
      <w:r w:rsidR="00C45036" w:rsidRPr="001C7B90">
        <w:rPr>
          <w:rFonts w:cstheme="minorHAnsi"/>
          <w:szCs w:val="24"/>
        </w:rPr>
        <w:t>, or skin rash</w:t>
      </w:r>
      <w:r w:rsidR="009840E8" w:rsidRPr="001C7B90">
        <w:rPr>
          <w:rFonts w:cstheme="minorHAnsi"/>
          <w:szCs w:val="24"/>
        </w:rPr>
        <w:t xml:space="preserve">. Type II DCS is more severe and commonly results in neurological, </w:t>
      </w:r>
      <w:r w:rsidR="56400F92" w:rsidRPr="001C7B90">
        <w:rPr>
          <w:rFonts w:cstheme="minorHAnsi"/>
          <w:szCs w:val="24"/>
        </w:rPr>
        <w:t>inner ear</w:t>
      </w:r>
      <w:r w:rsidR="00D13E29">
        <w:rPr>
          <w:rFonts w:cstheme="minorHAnsi"/>
          <w:szCs w:val="24"/>
        </w:rPr>
        <w:t>,</w:t>
      </w:r>
      <w:r w:rsidR="56400F92" w:rsidRPr="001C7B90">
        <w:rPr>
          <w:rFonts w:cstheme="minorHAnsi"/>
          <w:szCs w:val="24"/>
        </w:rPr>
        <w:t xml:space="preserve"> and cardiopulmonary symptoms.</w:t>
      </w:r>
      <w:r w:rsidR="55021567" w:rsidRPr="001C7B90">
        <w:rPr>
          <w:rFonts w:cstheme="minorHAnsi"/>
          <w:szCs w:val="24"/>
        </w:rPr>
        <w:t xml:space="preserve"> </w:t>
      </w:r>
      <w:r w:rsidR="55021567" w:rsidRPr="001C7B90">
        <w:rPr>
          <w:rFonts w:eastAsia="Open Sans" w:cstheme="minorHAnsi"/>
          <w:color w:val="333333"/>
          <w:szCs w:val="24"/>
        </w:rPr>
        <w:t>Neurological symptoms may include numbness; paresthesia, or an altered sensation, such as tingling; muscle weakness; an impaired gait, or difficulty walking; problems with physical coordination or bladder control; paralysis; or a change in mental status, such as confusion or lack of alertness. Inner-ear symptoms may include ringing in the ears, known as “tinnitus”; hearing loss; vertigo or dizziness; nausea; vomiting; and impaired balance. Cardiopulmonary symptoms, include a dry cough; chest pain behind the sternum, or breastbone; and breathing difficulty, also known as “dyspnea.”</w:t>
      </w:r>
      <w:r w:rsidR="245AFBD5" w:rsidRPr="001C7B90">
        <w:rPr>
          <w:rFonts w:eastAsia="Open Sans" w:cstheme="minorHAnsi"/>
          <w:color w:val="333333"/>
          <w:szCs w:val="24"/>
        </w:rPr>
        <w:t xml:space="preserve"> </w:t>
      </w:r>
      <w:r w:rsidR="43331487" w:rsidRPr="001C7B90">
        <w:rPr>
          <w:rFonts w:eastAsia="Open Sans" w:cstheme="minorHAnsi"/>
          <w:color w:val="333333"/>
          <w:szCs w:val="24"/>
        </w:rPr>
        <w:t>(</w:t>
      </w:r>
      <w:proofErr w:type="spellStart"/>
      <w:r w:rsidR="00D13E29">
        <w:rPr>
          <w:rFonts w:eastAsia="Open Sans" w:cstheme="minorHAnsi"/>
          <w:color w:val="333333"/>
          <w:szCs w:val="24"/>
        </w:rPr>
        <w:t>Denoble</w:t>
      </w:r>
      <w:proofErr w:type="spellEnd"/>
      <w:r w:rsidR="00D13E29">
        <w:rPr>
          <w:rFonts w:eastAsia="Open Sans" w:cstheme="minorHAnsi"/>
          <w:color w:val="333333"/>
          <w:szCs w:val="24"/>
        </w:rPr>
        <w:t xml:space="preserve"> &amp; Holm, 2015</w:t>
      </w:r>
      <w:r w:rsidR="7496F694" w:rsidRPr="001C7B90">
        <w:rPr>
          <w:rFonts w:eastAsia="Open Sans" w:cstheme="minorHAnsi"/>
          <w:color w:val="333333"/>
          <w:szCs w:val="24"/>
        </w:rPr>
        <w:t>)</w:t>
      </w:r>
      <w:r w:rsidR="00D13E29">
        <w:rPr>
          <w:rFonts w:eastAsia="Open Sans" w:cstheme="minorHAnsi"/>
          <w:color w:val="333333"/>
          <w:szCs w:val="24"/>
        </w:rPr>
        <w:t>.</w:t>
      </w:r>
      <w:r w:rsidR="245AFBD5" w:rsidRPr="001C7B90">
        <w:rPr>
          <w:rFonts w:eastAsia="Open Sans" w:cstheme="minorHAnsi"/>
          <w:color w:val="333333"/>
          <w:szCs w:val="24"/>
        </w:rPr>
        <w:t xml:space="preserve"> </w:t>
      </w:r>
      <w:r w:rsidRPr="001C7B90">
        <w:rPr>
          <w:rFonts w:cstheme="minorHAnsi"/>
          <w:szCs w:val="24"/>
        </w:rPr>
        <w:t xml:space="preserve">The risk of DCS in spaceflight </w:t>
      </w:r>
      <w:r w:rsidR="00E87354" w:rsidRPr="001C7B90">
        <w:rPr>
          <w:rFonts w:cstheme="minorHAnsi"/>
          <w:szCs w:val="24"/>
        </w:rPr>
        <w:t xml:space="preserve">presents </w:t>
      </w:r>
      <w:r w:rsidRPr="001C7B90">
        <w:rPr>
          <w:rFonts w:cstheme="minorHAnsi"/>
          <w:szCs w:val="24"/>
        </w:rPr>
        <w:t xml:space="preserve">during extravehicular activities (EVAs) in which astronauts perform mission </w:t>
      </w:r>
      <w:r>
        <w:t>tasks outside the spaceflight vehicle while wearing a pressurized suit</w:t>
      </w:r>
      <w:r w:rsidR="00E87354">
        <w:t xml:space="preserve"> </w:t>
      </w:r>
      <w:r w:rsidR="008E1446">
        <w:t>at a lower pressure than the cabin pressure</w:t>
      </w:r>
      <w:r>
        <w:t xml:space="preserve">. DCS mitigation protocols </w:t>
      </w:r>
      <w:r w:rsidR="00F302F2">
        <w:t xml:space="preserve">based on strategies to reduce systemic nitrogen load </w:t>
      </w:r>
      <w:r>
        <w:t>are implemented through the combination of habitat environment</w:t>
      </w:r>
      <w:r w:rsidR="00E87354">
        <w:t>al parameters</w:t>
      </w:r>
      <w:r>
        <w:t>, EVA suit pressure, and breathing gas procedures (</w:t>
      </w:r>
      <w:proofErr w:type="spellStart"/>
      <w:r>
        <w:t>prebreathe</w:t>
      </w:r>
      <w:proofErr w:type="spellEnd"/>
      <w:r>
        <w:t xml:space="preserve"> protocols) to achieve </w:t>
      </w:r>
      <w:r w:rsidR="0002607B">
        <w:t>safe and effective</w:t>
      </w:r>
      <w:r>
        <w:t xml:space="preserve"> mission operations. </w:t>
      </w:r>
      <w:r w:rsidRPr="5B24B5B2">
        <w:rPr>
          <w:i/>
          <w:iCs/>
        </w:rPr>
        <w:t xml:space="preserve">Reference </w:t>
      </w:r>
      <w:hyperlink r:id="rId19">
        <w:r w:rsidRPr="31DDC62D">
          <w:rPr>
            <w:rStyle w:val="Hyperlink"/>
            <w:rFonts w:asciiTheme="minorHAnsi" w:hAnsiTheme="minorHAnsi"/>
            <w:i/>
            <w:iCs/>
          </w:rPr>
          <w:t>OCHMO-TB-037 Decompression Sickness (DCS) Risk Mitigation</w:t>
        </w:r>
      </w:hyperlink>
      <w:r w:rsidRPr="31DDC62D">
        <w:rPr>
          <w:i/>
          <w:iCs/>
        </w:rPr>
        <w:t xml:space="preserve"> technical brief for additional information</w:t>
      </w:r>
      <w:r>
        <w:t>.</w:t>
      </w:r>
    </w:p>
    <w:p w14:paraId="22E35BEA" w14:textId="6845EADC" w:rsidR="00DF170C" w:rsidRPr="00487F82" w:rsidRDefault="3E2B6176" w:rsidP="00487F82">
      <w:pPr>
        <w:spacing w:afterLines="60" w:after="144" w:line="360" w:lineRule="auto"/>
        <w:rPr>
          <w:color w:val="0563C1" w:themeColor="hyperlink"/>
        </w:rPr>
      </w:pPr>
      <w:r>
        <w:t xml:space="preserve">The </w:t>
      </w:r>
      <w:hyperlink r:id="rId20" w:history="1">
        <w:r w:rsidRPr="00487F82">
          <w:rPr>
            <w:rStyle w:val="Hyperlink"/>
            <w:rFonts w:asciiTheme="minorHAnsi" w:hAnsiTheme="minorHAnsi"/>
          </w:rPr>
          <w:t>NASA Spaceflight Human-System Standard (NASA-STD-3001)</w:t>
        </w:r>
        <w:r w:rsidR="007736BB" w:rsidRPr="00487F82">
          <w:rPr>
            <w:rStyle w:val="Hyperlink"/>
            <w:rFonts w:asciiTheme="minorHAnsi" w:hAnsiTheme="minorHAnsi"/>
          </w:rPr>
          <w:t>, Volume 2</w:t>
        </w:r>
        <w:r w:rsidR="00487F82" w:rsidRPr="00487F82">
          <w:rPr>
            <w:rStyle w:val="Hyperlink"/>
            <w:rFonts w:asciiTheme="minorHAnsi" w:hAnsiTheme="minorHAnsi"/>
          </w:rPr>
          <w:t>: Human Factors, Habitability, and Environmental Health</w:t>
        </w:r>
      </w:hyperlink>
      <w:r w:rsidR="00487F82">
        <w:t xml:space="preserve"> </w:t>
      </w:r>
      <w:r>
        <w:t>technical standard requires human spaceflight programs to limit the risk of DCS within 95% statistical confidence to:</w:t>
      </w:r>
    </w:p>
    <w:p w14:paraId="3B94D3DD" w14:textId="533FD61E" w:rsidR="00DF170C" w:rsidRDefault="3E2B6176">
      <w:pPr>
        <w:pStyle w:val="ListParagraph"/>
        <w:numPr>
          <w:ilvl w:val="0"/>
          <w:numId w:val="21"/>
        </w:numPr>
        <w:spacing w:afterLines="60" w:after="144" w:line="360" w:lineRule="auto"/>
      </w:pPr>
      <w:r>
        <w:t xml:space="preserve">DCS </w:t>
      </w:r>
      <w:r w:rsidRPr="5B24B5B2">
        <w:rPr>
          <w:u w:val="single"/>
        </w:rPr>
        <w:t>&lt;</w:t>
      </w:r>
      <w:r>
        <w:t>15% (includes Type I or isolated cutis marmorata).</w:t>
      </w:r>
    </w:p>
    <w:p w14:paraId="275FE859" w14:textId="0ECF537B" w:rsidR="00DF170C" w:rsidRDefault="3E2B6176">
      <w:pPr>
        <w:pStyle w:val="ListParagraph"/>
        <w:numPr>
          <w:ilvl w:val="0"/>
          <w:numId w:val="21"/>
        </w:numPr>
        <w:spacing w:afterLines="60" w:after="144" w:line="360" w:lineRule="auto"/>
      </w:pPr>
      <w:r>
        <w:t xml:space="preserve">Grade IV venous gas emboli (VGE) </w:t>
      </w:r>
      <w:r w:rsidRPr="5B24B5B2">
        <w:rPr>
          <w:u w:val="single"/>
        </w:rPr>
        <w:t>&lt;</w:t>
      </w:r>
      <w:r>
        <w:t>20%</w:t>
      </w:r>
    </w:p>
    <w:p w14:paraId="07DF41FB" w14:textId="3632BB15" w:rsidR="00DF170C" w:rsidRDefault="3E2B6176">
      <w:pPr>
        <w:pStyle w:val="ListParagraph"/>
        <w:numPr>
          <w:ilvl w:val="0"/>
          <w:numId w:val="21"/>
        </w:numPr>
        <w:spacing w:afterLines="60" w:after="144" w:line="360" w:lineRule="auto"/>
      </w:pPr>
      <w:r>
        <w:t>Prevent Type II DCS.</w:t>
      </w:r>
    </w:p>
    <w:p w14:paraId="5407478F" w14:textId="1BE47C32" w:rsidR="00AA6859" w:rsidRDefault="00701436" w:rsidP="29C8345E">
      <w:pPr>
        <w:spacing w:afterLines="60" w:after="144" w:line="360" w:lineRule="auto"/>
      </w:pPr>
      <w:r w:rsidRPr="00701436">
        <w:lastRenderedPageBreak/>
        <w:t xml:space="preserve">The pathophysiology of DCS has still not been fully elucidated since cases occur despite the absence of detected gas bubbles but includes right to left shunting of venous gas emboli (VGE) via several potential mechanisms, one of which is a Patent Foramen </w:t>
      </w:r>
      <w:proofErr w:type="spellStart"/>
      <w:r w:rsidRPr="00701436">
        <w:t>Ovale</w:t>
      </w:r>
      <w:proofErr w:type="spellEnd"/>
      <w:r w:rsidRPr="00701436">
        <w:t xml:space="preserve"> (PFO). </w:t>
      </w:r>
      <w:r w:rsidR="00E847A1" w:rsidRPr="00E847A1">
        <w:t>The purpose of this working group was to review and provide analysis on the status and progress of research and clinical activities intended to mitigate the risk of PFO and DCS issues during spaceflight</w:t>
      </w:r>
      <w:r w:rsidR="00E847A1">
        <w:t xml:space="preserve">. </w:t>
      </w:r>
      <w:r w:rsidR="1DDF4908">
        <w:t>The</w:t>
      </w:r>
      <w:r w:rsidR="00AA6859">
        <w:t xml:space="preserve"> working group was assembled from internal NASA subject matter experts, the NASA OCHMO Standards Team, NASA stakeholders, </w:t>
      </w:r>
      <w:r w:rsidR="072D65B7">
        <w:t xml:space="preserve">and external subject matter experts including </w:t>
      </w:r>
      <w:r w:rsidR="00AA6859">
        <w:t>cardiolog</w:t>
      </w:r>
      <w:r w:rsidR="00E87354">
        <w:t>y</w:t>
      </w:r>
      <w:r w:rsidR="00AA6859">
        <w:t>, hypobaric medicine, spaceflight medicine, and military occupational health experts. The working group was asked to review past reports and evidence related to PFOs and risk of DCS, receive materials and information regarding NASA’s current experience and practices, present case studies and subsequent decision-making processes, and participate in an open-forum discussion</w:t>
      </w:r>
      <w:r w:rsidR="000150FC">
        <w:t>.</w:t>
      </w:r>
      <w:r w:rsidR="0F1D5185">
        <w:t xml:space="preserve"> More</w:t>
      </w:r>
      <w:r w:rsidR="1730217D">
        <w:t xml:space="preserve"> </w:t>
      </w:r>
      <w:r w:rsidR="0F1D5185">
        <w:t xml:space="preserve">details of the goals can be found in the Working Group Goals </w:t>
      </w:r>
      <w:r w:rsidR="002A0B81">
        <w:t>section.</w:t>
      </w:r>
      <w:r w:rsidR="00CC631D">
        <w:t xml:space="preserve"> </w:t>
      </w:r>
    </w:p>
    <w:p w14:paraId="552A033A" w14:textId="05D9603E" w:rsidR="00522BA2" w:rsidRDefault="00522BA2" w:rsidP="00B2646D">
      <w:pPr>
        <w:pStyle w:val="Heading2"/>
      </w:pPr>
      <w:bookmarkStart w:id="2" w:name="_Toc170739825"/>
      <w:r>
        <w:t>Summary of Findings</w:t>
      </w:r>
      <w:bookmarkEnd w:id="2"/>
    </w:p>
    <w:p w14:paraId="5639BED0" w14:textId="4B6AA78D" w:rsidR="00AA6859" w:rsidRDefault="598F4BCA" w:rsidP="00743C1F">
      <w:pPr>
        <w:spacing w:afterLines="60" w:after="144" w:line="360" w:lineRule="auto"/>
      </w:pPr>
      <w:r>
        <w:t xml:space="preserve">Below is a </w:t>
      </w:r>
      <w:r w:rsidR="6175A53B">
        <w:t xml:space="preserve">summary of the findings </w:t>
      </w:r>
      <w:r w:rsidR="009C4228">
        <w:t xml:space="preserve">with additional context </w:t>
      </w:r>
      <w:r w:rsidR="74A1887B">
        <w:t xml:space="preserve">and conclusion statements </w:t>
      </w:r>
      <w:r w:rsidR="6175A53B">
        <w:t>from the meeting as compiled by OCHMO</w:t>
      </w:r>
      <w:r w:rsidR="6DAC4871">
        <w:t xml:space="preserve"> members,</w:t>
      </w:r>
      <w:r w:rsidR="082469AC">
        <w:t xml:space="preserve"> Sarah D. Childress, Kristin M. Coffey, and David R. Francisco</w:t>
      </w:r>
      <w:r w:rsidR="00F20132">
        <w:t>,</w:t>
      </w:r>
      <w:r w:rsidR="53A146EE">
        <w:t xml:space="preserve"> and </w:t>
      </w:r>
      <w:r w:rsidR="02F7C8B7">
        <w:t xml:space="preserve">reviewed by and </w:t>
      </w:r>
      <w:r w:rsidR="53A146EE">
        <w:t xml:space="preserve">agreed to by the </w:t>
      </w:r>
      <w:r w:rsidR="002B095C">
        <w:t xml:space="preserve">subject matter expert </w:t>
      </w:r>
      <w:r w:rsidR="53A146EE">
        <w:t>working group</w:t>
      </w:r>
      <w:r w:rsidR="184F96CE">
        <w:t xml:space="preserve"> participants</w:t>
      </w:r>
      <w:r w:rsidR="6175A53B">
        <w:t xml:space="preserve">. </w:t>
      </w:r>
      <w:r w:rsidR="54340F83">
        <w:t xml:space="preserve">Details of the working group discussions can be found in the </w:t>
      </w:r>
      <w:r w:rsidR="28A66F9D">
        <w:t xml:space="preserve">Meeting </w:t>
      </w:r>
      <w:r w:rsidR="54340F83">
        <w:t>Minutes Section.</w:t>
      </w:r>
    </w:p>
    <w:p w14:paraId="0A5C9FBF" w14:textId="5C0353AA" w:rsidR="00D34F29" w:rsidRPr="00A71716" w:rsidRDefault="00A71716" w:rsidP="00743C1F">
      <w:pPr>
        <w:pStyle w:val="Heading3"/>
      </w:pPr>
      <w:bookmarkStart w:id="3" w:name="_Toc170739826"/>
      <w:r w:rsidRPr="002A6356">
        <w:t>1</w:t>
      </w:r>
      <w:r w:rsidRPr="00A71716">
        <w:t>.</w:t>
      </w:r>
      <w:r>
        <w:t xml:space="preserve">0 </w:t>
      </w:r>
      <w:r w:rsidR="00D34F29" w:rsidRPr="00A71716">
        <w:t>Potential Risk</w:t>
      </w:r>
      <w:r w:rsidR="003E009F">
        <w:t xml:space="preserve"> of PFO</w:t>
      </w:r>
      <w:bookmarkEnd w:id="3"/>
    </w:p>
    <w:p w14:paraId="1E691B09" w14:textId="2E28F444" w:rsidR="00D34F29" w:rsidRDefault="00D34F29">
      <w:pPr>
        <w:pStyle w:val="ListParagraph"/>
        <w:numPr>
          <w:ilvl w:val="0"/>
          <w:numId w:val="5"/>
        </w:numPr>
        <w:spacing w:after="60" w:line="360" w:lineRule="auto"/>
      </w:pPr>
      <w:r>
        <w:t xml:space="preserve">A patent foramen </w:t>
      </w:r>
      <w:proofErr w:type="spellStart"/>
      <w:r>
        <w:t>ovale</w:t>
      </w:r>
      <w:proofErr w:type="spellEnd"/>
      <w:r>
        <w:t xml:space="preserve"> (PFO) is a shunt between the right atrium and the left atrium of the heart</w:t>
      </w:r>
      <w:r w:rsidR="009B0D0E">
        <w:t>, which is a persisting remnant of a physiological communication present in the fetal heart</w:t>
      </w:r>
      <w:r>
        <w:t>.</w:t>
      </w:r>
      <w:r w:rsidR="009B0D0E">
        <w:t xml:space="preserve"> Post-natal increases in le</w:t>
      </w:r>
      <w:r w:rsidR="00DC00C3">
        <w:t>f</w:t>
      </w:r>
      <w:r w:rsidR="009B0D0E">
        <w:t>t atrial pressure usually force the inter</w:t>
      </w:r>
      <w:r w:rsidR="00DC00C3">
        <w:t>-</w:t>
      </w:r>
      <w:r w:rsidR="009B0D0E">
        <w:t xml:space="preserve">septal valve against the septum secundum and within the first 2 years of life, the </w:t>
      </w:r>
      <w:proofErr w:type="spellStart"/>
      <w:r w:rsidR="009B0D0E">
        <w:t>septae</w:t>
      </w:r>
      <w:proofErr w:type="spellEnd"/>
      <w:r w:rsidR="009B0D0E">
        <w:t xml:space="preserve"> </w:t>
      </w:r>
      <w:r w:rsidR="00DC00C3">
        <w:t>permanently</w:t>
      </w:r>
      <w:r w:rsidR="009B0D0E">
        <w:t xml:space="preserve"> fuse due to the development of fibrous adhesions (Saary &amp; Gray, 2001). Thus</w:t>
      </w:r>
      <w:r w:rsidR="00DC00C3">
        <w:t>,</w:t>
      </w:r>
      <w:r w:rsidR="009B0D0E">
        <w:t xml:space="preserve"> all humans are born</w:t>
      </w:r>
      <w:r>
        <w:t xml:space="preserve"> with a PFO and approximately 75% of PFOs fuse following childbirth</w:t>
      </w:r>
      <w:r w:rsidR="00C240F0">
        <w:t xml:space="preserve"> (Steiner, 1998)</w:t>
      </w:r>
      <w:r>
        <w:t>.</w:t>
      </w:r>
      <w:r w:rsidRPr="008B4118">
        <w:rPr>
          <w:vertAlign w:val="superscript"/>
        </w:rPr>
        <w:t xml:space="preserve"> </w:t>
      </w:r>
      <w:r>
        <w:t xml:space="preserve">For the 25% of the population’s whose PFOs do not fuse, ~6% have what is considered </w:t>
      </w:r>
      <w:r w:rsidR="008B51F4">
        <w:t xml:space="preserve">by some to be </w:t>
      </w:r>
      <w:r>
        <w:t>a large PFO (&gt; 2 mm). PFO diameter</w:t>
      </w:r>
      <w:r w:rsidR="008B51F4">
        <w:t xml:space="preserve"> can</w:t>
      </w:r>
      <w:r w:rsidR="00E87354">
        <w:t xml:space="preserve"> </w:t>
      </w:r>
      <w:r>
        <w:t>increase with age</w:t>
      </w:r>
      <w:r w:rsidR="00C240F0">
        <w:t xml:space="preserve"> (Hagen, 1984)</w:t>
      </w:r>
      <w:r>
        <w:t>.</w:t>
      </w:r>
    </w:p>
    <w:p w14:paraId="4C07EEE8" w14:textId="79229548" w:rsidR="00D34F29" w:rsidRDefault="00D34F29">
      <w:pPr>
        <w:pStyle w:val="ListParagraph"/>
        <w:numPr>
          <w:ilvl w:val="0"/>
          <w:numId w:val="5"/>
        </w:numPr>
        <w:spacing w:after="60" w:line="360" w:lineRule="auto"/>
      </w:pPr>
      <w:r>
        <w:lastRenderedPageBreak/>
        <w:t xml:space="preserve">The concern with PFOs is that with a right to left </w:t>
      </w:r>
      <w:r w:rsidR="004C7A76">
        <w:t xml:space="preserve">shunt </w:t>
      </w:r>
      <w:r>
        <w:t xml:space="preserve">between the </w:t>
      </w:r>
      <w:r w:rsidR="00312353">
        <w:t>atria</w:t>
      </w:r>
      <w:r>
        <w:t xml:space="preserve">, </w:t>
      </w:r>
      <w:r w:rsidR="25C4B8DE">
        <w:t>v</w:t>
      </w:r>
      <w:r>
        <w:t>enous emboli gas may pass from the right atrium (venous) to the left atrium (arterial)</w:t>
      </w:r>
      <w:r w:rsidR="00E87354">
        <w:t xml:space="preserve"> (“shunt”)</w:t>
      </w:r>
      <w:r>
        <w:t xml:space="preserve">, thus by-passing the </w:t>
      </w:r>
      <w:r w:rsidR="007013E9">
        <w:t>normal lung filtration of venous emboli</w:t>
      </w:r>
      <w:r w:rsidR="007733D8">
        <w:t xml:space="preserve"> which prevent </w:t>
      </w:r>
      <w:r w:rsidR="004C7A76">
        <w:t>passage</w:t>
      </w:r>
      <w:r w:rsidR="007733D8">
        <w:t xml:space="preserve"> to the arterial system. Without filtration, bubbles in the arterial system may lead to a </w:t>
      </w:r>
      <w:r w:rsidR="00E87354">
        <w:t>neurological event such as a stroke.</w:t>
      </w:r>
    </w:p>
    <w:p w14:paraId="67651F95" w14:textId="116C66B8" w:rsidR="00D34F29" w:rsidRDefault="00D34F29">
      <w:pPr>
        <w:pStyle w:val="ListParagraph"/>
        <w:numPr>
          <w:ilvl w:val="0"/>
          <w:numId w:val="5"/>
        </w:numPr>
        <w:spacing w:after="60" w:line="360" w:lineRule="auto"/>
      </w:pPr>
      <w:r>
        <w:t xml:space="preserve">Any activity that increases the right atrium/venous pressure over the left atrium/arterial pressure </w:t>
      </w:r>
      <w:r w:rsidR="007371BB">
        <w:t xml:space="preserve">(such as a Valsalva maneuver, abdominal compression) </w:t>
      </w:r>
      <w:r>
        <w:t>may further enable blood and/or emboli across a PFO/shunt.</w:t>
      </w:r>
      <w:r w:rsidR="00CC631D">
        <w:t xml:space="preserve"> </w:t>
      </w:r>
    </w:p>
    <w:p w14:paraId="2D798726" w14:textId="616C0C70" w:rsidR="00D34F29" w:rsidRPr="00387141" w:rsidRDefault="00DE6525" w:rsidP="00203CA6">
      <w:pPr>
        <w:pStyle w:val="Heading3"/>
        <w:rPr>
          <w:rFonts w:asciiTheme="minorHAnsi" w:hAnsiTheme="minorHAnsi" w:cstheme="minorHAnsi"/>
        </w:rPr>
      </w:pPr>
      <w:bookmarkStart w:id="4" w:name="_Toc170739827"/>
      <w:r w:rsidRPr="00387141">
        <w:rPr>
          <w:rFonts w:asciiTheme="minorHAnsi" w:hAnsiTheme="minorHAnsi" w:cstheme="minorHAnsi"/>
        </w:rPr>
        <w:t xml:space="preserve">2.0 </w:t>
      </w:r>
      <w:r w:rsidR="00D34F29" w:rsidRPr="00387141">
        <w:rPr>
          <w:rFonts w:asciiTheme="minorHAnsi" w:hAnsiTheme="minorHAnsi" w:cstheme="minorHAnsi"/>
        </w:rPr>
        <w:t>PFO Detection</w:t>
      </w:r>
      <w:bookmarkEnd w:id="4"/>
    </w:p>
    <w:p w14:paraId="4B7255FD" w14:textId="2597759C" w:rsidR="00FE7C3A" w:rsidRPr="00387141" w:rsidRDefault="00FE7C3A">
      <w:pPr>
        <w:pStyle w:val="ListParagraph"/>
        <w:numPr>
          <w:ilvl w:val="0"/>
          <w:numId w:val="25"/>
        </w:numPr>
        <w:spacing w:after="60" w:line="360" w:lineRule="auto"/>
        <w:rPr>
          <w:rFonts w:cstheme="minorHAnsi"/>
          <w:szCs w:val="24"/>
        </w:rPr>
      </w:pPr>
      <w:r w:rsidRPr="00387141">
        <w:rPr>
          <w:rFonts w:cstheme="minorHAnsi"/>
          <w:szCs w:val="24"/>
        </w:rPr>
        <w:t xml:space="preserve">PFOs </w:t>
      </w:r>
      <w:r w:rsidR="005557BB" w:rsidRPr="00387141">
        <w:rPr>
          <w:rFonts w:cstheme="minorHAnsi"/>
          <w:szCs w:val="24"/>
        </w:rPr>
        <w:t>often</w:t>
      </w:r>
      <w:r w:rsidRPr="00387141">
        <w:rPr>
          <w:rFonts w:cstheme="minorHAnsi"/>
          <w:szCs w:val="24"/>
        </w:rPr>
        <w:t xml:space="preserve"> go undetected until an incident such as stroke or DCS occurs. </w:t>
      </w:r>
      <w:r w:rsidR="00090DFC" w:rsidRPr="00387141">
        <w:rPr>
          <w:rFonts w:cstheme="minorHAnsi"/>
          <w:szCs w:val="24"/>
        </w:rPr>
        <w:t xml:space="preserve">Most people with PFO are asymptomatic but </w:t>
      </w:r>
      <w:r w:rsidR="00432E25" w:rsidRPr="00387141">
        <w:rPr>
          <w:rFonts w:cstheme="minorHAnsi"/>
          <w:szCs w:val="24"/>
        </w:rPr>
        <w:t xml:space="preserve">PFOs </w:t>
      </w:r>
      <w:r w:rsidR="00807AB4" w:rsidRPr="00387141">
        <w:rPr>
          <w:rFonts w:cstheme="minorHAnsi"/>
          <w:szCs w:val="24"/>
        </w:rPr>
        <w:t xml:space="preserve">have been </w:t>
      </w:r>
      <w:r w:rsidR="00C85F81" w:rsidRPr="00387141">
        <w:rPr>
          <w:rFonts w:cstheme="minorHAnsi"/>
          <w:szCs w:val="24"/>
        </w:rPr>
        <w:t>linked</w:t>
      </w:r>
      <w:r w:rsidR="00807AB4" w:rsidRPr="00387141">
        <w:rPr>
          <w:rFonts w:cstheme="minorHAnsi"/>
          <w:szCs w:val="24"/>
        </w:rPr>
        <w:t xml:space="preserve"> to other medical </w:t>
      </w:r>
      <w:r w:rsidR="00C85F81" w:rsidRPr="00387141">
        <w:rPr>
          <w:rFonts w:cstheme="minorHAnsi"/>
          <w:szCs w:val="24"/>
        </w:rPr>
        <w:t>conditions</w:t>
      </w:r>
      <w:r w:rsidR="00807AB4" w:rsidRPr="00387141">
        <w:rPr>
          <w:rFonts w:cstheme="minorHAnsi"/>
          <w:szCs w:val="24"/>
        </w:rPr>
        <w:t xml:space="preserve"> </w:t>
      </w:r>
      <w:r w:rsidR="00C85F81" w:rsidRPr="00387141">
        <w:rPr>
          <w:rFonts w:cstheme="minorHAnsi"/>
          <w:szCs w:val="24"/>
        </w:rPr>
        <w:t>including but not limited to strok</w:t>
      </w:r>
      <w:r w:rsidR="00432E25" w:rsidRPr="00387141">
        <w:rPr>
          <w:rFonts w:cstheme="minorHAnsi"/>
          <w:szCs w:val="24"/>
        </w:rPr>
        <w:t>e</w:t>
      </w:r>
      <w:r w:rsidR="00C85F81" w:rsidRPr="00387141">
        <w:rPr>
          <w:rFonts w:cstheme="minorHAnsi"/>
          <w:szCs w:val="24"/>
        </w:rPr>
        <w:t>, sleep apnea</w:t>
      </w:r>
      <w:r w:rsidR="002046E2" w:rsidRPr="00387141">
        <w:rPr>
          <w:rFonts w:cstheme="minorHAnsi"/>
          <w:szCs w:val="24"/>
        </w:rPr>
        <w:t>,</w:t>
      </w:r>
      <w:r w:rsidR="00C85F81" w:rsidRPr="00387141">
        <w:rPr>
          <w:rFonts w:cstheme="minorHAnsi"/>
          <w:szCs w:val="24"/>
        </w:rPr>
        <w:t xml:space="preserve"> and migraine headaches</w:t>
      </w:r>
      <w:r w:rsidR="00C240F0" w:rsidRPr="00387141">
        <w:rPr>
          <w:rFonts w:cstheme="minorHAnsi"/>
          <w:szCs w:val="24"/>
        </w:rPr>
        <w:t xml:space="preserve"> (Van der Giessen, 2020)</w:t>
      </w:r>
      <w:r w:rsidR="00203CA6" w:rsidRPr="00387141">
        <w:rPr>
          <w:rFonts w:cstheme="minorHAnsi"/>
          <w:szCs w:val="24"/>
        </w:rPr>
        <w:t>.</w:t>
      </w:r>
      <w:r w:rsidRPr="00387141">
        <w:rPr>
          <w:rFonts w:cstheme="minorHAnsi"/>
          <w:szCs w:val="24"/>
        </w:rPr>
        <w:t xml:space="preserve"> If </w:t>
      </w:r>
      <w:r w:rsidR="00284808" w:rsidRPr="00387141">
        <w:rPr>
          <w:rFonts w:cstheme="minorHAnsi"/>
          <w:szCs w:val="24"/>
        </w:rPr>
        <w:t xml:space="preserve">an </w:t>
      </w:r>
      <w:r w:rsidRPr="00387141">
        <w:rPr>
          <w:rFonts w:cstheme="minorHAnsi"/>
          <w:szCs w:val="24"/>
        </w:rPr>
        <w:t xml:space="preserve">event or symptoms occur </w:t>
      </w:r>
      <w:r w:rsidR="004572B3" w:rsidRPr="00387141">
        <w:rPr>
          <w:rFonts w:cstheme="minorHAnsi"/>
          <w:szCs w:val="24"/>
        </w:rPr>
        <w:t>and PFO is suspected, or for other diagnostic purposes,</w:t>
      </w:r>
      <w:r w:rsidRPr="00387141">
        <w:rPr>
          <w:rFonts w:cstheme="minorHAnsi"/>
          <w:szCs w:val="24"/>
        </w:rPr>
        <w:t xml:space="preserve"> the patient would be </w:t>
      </w:r>
      <w:r w:rsidR="005557BB" w:rsidRPr="00387141">
        <w:rPr>
          <w:rFonts w:cstheme="minorHAnsi"/>
          <w:szCs w:val="24"/>
        </w:rPr>
        <w:t>assessed</w:t>
      </w:r>
      <w:r w:rsidRPr="00387141">
        <w:rPr>
          <w:rFonts w:cstheme="minorHAnsi"/>
          <w:szCs w:val="24"/>
        </w:rPr>
        <w:t xml:space="preserve"> with </w:t>
      </w:r>
      <w:r w:rsidR="00C963F1" w:rsidRPr="00387141">
        <w:rPr>
          <w:rFonts w:cstheme="minorHAnsi"/>
          <w:szCs w:val="24"/>
        </w:rPr>
        <w:t xml:space="preserve">physical examination and </w:t>
      </w:r>
      <w:r w:rsidR="00A92FE4" w:rsidRPr="00387141">
        <w:rPr>
          <w:rFonts w:cstheme="minorHAnsi"/>
          <w:szCs w:val="24"/>
        </w:rPr>
        <w:t xml:space="preserve">including, but not limited to </w:t>
      </w:r>
      <w:r w:rsidR="1A580270" w:rsidRPr="00387141">
        <w:rPr>
          <w:rFonts w:cstheme="minorHAnsi"/>
          <w:szCs w:val="24"/>
        </w:rPr>
        <w:t xml:space="preserve">one </w:t>
      </w:r>
      <w:r w:rsidR="00B818B5" w:rsidRPr="00387141">
        <w:rPr>
          <w:rFonts w:cstheme="minorHAnsi"/>
          <w:szCs w:val="24"/>
        </w:rPr>
        <w:t xml:space="preserve">or more </w:t>
      </w:r>
      <w:r w:rsidR="1A580270" w:rsidRPr="00387141">
        <w:rPr>
          <w:rFonts w:cstheme="minorHAnsi"/>
          <w:szCs w:val="24"/>
        </w:rPr>
        <w:t xml:space="preserve">of </w:t>
      </w:r>
      <w:r w:rsidRPr="00387141">
        <w:rPr>
          <w:rFonts w:cstheme="minorHAnsi"/>
          <w:szCs w:val="24"/>
        </w:rPr>
        <w:t>the following tests:</w:t>
      </w:r>
    </w:p>
    <w:p w14:paraId="74133E88" w14:textId="4E3F5BFE" w:rsidR="00743C1F" w:rsidRPr="00387141" w:rsidRDefault="00FE7C3A">
      <w:pPr>
        <w:pStyle w:val="ListParagraph"/>
        <w:numPr>
          <w:ilvl w:val="0"/>
          <w:numId w:val="26"/>
        </w:numPr>
        <w:spacing w:after="60" w:line="360" w:lineRule="auto"/>
        <w:rPr>
          <w:rFonts w:cstheme="minorHAnsi"/>
          <w:i/>
          <w:iCs/>
          <w:szCs w:val="24"/>
        </w:rPr>
      </w:pPr>
      <w:r w:rsidRPr="00387141">
        <w:rPr>
          <w:rFonts w:eastAsia="Calibri" w:cstheme="minorHAnsi"/>
          <w:b/>
          <w:bCs/>
          <w:szCs w:val="24"/>
        </w:rPr>
        <w:t>Transthoracic echocardiogram (TTE)</w:t>
      </w:r>
      <w:r w:rsidR="00075DAF" w:rsidRPr="00387141">
        <w:rPr>
          <w:rFonts w:eastAsia="Calibri" w:cstheme="minorHAnsi"/>
          <w:b/>
          <w:bCs/>
          <w:szCs w:val="24"/>
        </w:rPr>
        <w:t xml:space="preserve"> </w:t>
      </w:r>
      <w:r w:rsidRPr="00387141">
        <w:rPr>
          <w:rFonts w:eastAsia="Calibri" w:cstheme="minorHAnsi"/>
          <w:szCs w:val="24"/>
        </w:rPr>
        <w:t>—</w:t>
      </w:r>
      <w:r w:rsidR="00075DAF" w:rsidRPr="00387141">
        <w:rPr>
          <w:rFonts w:eastAsia="Calibri" w:cstheme="minorHAnsi"/>
          <w:szCs w:val="24"/>
        </w:rPr>
        <w:t xml:space="preserve"> A </w:t>
      </w:r>
      <w:r w:rsidRPr="00387141">
        <w:rPr>
          <w:rFonts w:eastAsia="Calibri" w:cstheme="minorHAnsi"/>
          <w:szCs w:val="24"/>
        </w:rPr>
        <w:t xml:space="preserve">noninvasive </w:t>
      </w:r>
      <w:r w:rsidR="00855702" w:rsidRPr="00387141">
        <w:rPr>
          <w:rFonts w:eastAsia="Calibri" w:cstheme="minorHAnsi"/>
          <w:szCs w:val="24"/>
        </w:rPr>
        <w:t xml:space="preserve">method </w:t>
      </w:r>
      <w:r w:rsidR="00D53ADA" w:rsidRPr="00387141">
        <w:rPr>
          <w:rFonts w:eastAsia="Calibri" w:cstheme="minorHAnsi"/>
          <w:szCs w:val="24"/>
        </w:rPr>
        <w:t xml:space="preserve">using a </w:t>
      </w:r>
      <w:r w:rsidR="00E87354" w:rsidRPr="00387141">
        <w:rPr>
          <w:rFonts w:eastAsia="Calibri" w:cstheme="minorHAnsi"/>
          <w:szCs w:val="24"/>
        </w:rPr>
        <w:t xml:space="preserve">probe </w:t>
      </w:r>
      <w:r w:rsidR="00D53ADA" w:rsidRPr="00387141">
        <w:rPr>
          <w:rFonts w:eastAsia="Calibri" w:cstheme="minorHAnsi"/>
          <w:szCs w:val="24"/>
        </w:rPr>
        <w:t>on the skin of the ches</w:t>
      </w:r>
      <w:r w:rsidR="00E87354" w:rsidRPr="00387141">
        <w:rPr>
          <w:rFonts w:eastAsia="Calibri" w:cstheme="minorHAnsi"/>
          <w:szCs w:val="24"/>
        </w:rPr>
        <w:t>t. S</w:t>
      </w:r>
      <w:r w:rsidR="00D53ADA" w:rsidRPr="00387141">
        <w:rPr>
          <w:rFonts w:eastAsia="Calibri" w:cstheme="minorHAnsi"/>
          <w:szCs w:val="24"/>
        </w:rPr>
        <w:t xml:space="preserve">ound waves </w:t>
      </w:r>
      <w:r w:rsidR="00E87354" w:rsidRPr="00387141">
        <w:rPr>
          <w:rFonts w:eastAsia="Calibri" w:cstheme="minorHAnsi"/>
          <w:szCs w:val="24"/>
        </w:rPr>
        <w:t>are used to image</w:t>
      </w:r>
      <w:r w:rsidR="00A40206" w:rsidRPr="00387141">
        <w:rPr>
          <w:rFonts w:eastAsia="Calibri" w:cstheme="minorHAnsi"/>
          <w:szCs w:val="24"/>
        </w:rPr>
        <w:t xml:space="preserve"> </w:t>
      </w:r>
      <w:r w:rsidRPr="00387141">
        <w:rPr>
          <w:rFonts w:eastAsia="Calibri" w:cstheme="minorHAnsi"/>
          <w:szCs w:val="24"/>
        </w:rPr>
        <w:t>b</w:t>
      </w:r>
      <w:r w:rsidR="00625A99" w:rsidRPr="00387141">
        <w:rPr>
          <w:rFonts w:eastAsia="Calibri" w:cstheme="minorHAnsi"/>
          <w:szCs w:val="24"/>
        </w:rPr>
        <w:t>l</w:t>
      </w:r>
      <w:r w:rsidRPr="00387141">
        <w:rPr>
          <w:rFonts w:eastAsia="Calibri" w:cstheme="minorHAnsi"/>
          <w:szCs w:val="24"/>
        </w:rPr>
        <w:t xml:space="preserve">ood </w:t>
      </w:r>
      <w:r w:rsidR="00075DAF" w:rsidRPr="00387141">
        <w:rPr>
          <w:rFonts w:eastAsia="Calibri" w:cstheme="minorHAnsi"/>
          <w:szCs w:val="24"/>
        </w:rPr>
        <w:t xml:space="preserve">flowing </w:t>
      </w:r>
      <w:r w:rsidRPr="00387141">
        <w:rPr>
          <w:rFonts w:eastAsia="Calibri" w:cstheme="minorHAnsi"/>
          <w:szCs w:val="24"/>
        </w:rPr>
        <w:t xml:space="preserve">through </w:t>
      </w:r>
      <w:r w:rsidR="00075DAF" w:rsidRPr="00387141">
        <w:rPr>
          <w:rFonts w:eastAsia="Calibri" w:cstheme="minorHAnsi"/>
          <w:szCs w:val="24"/>
        </w:rPr>
        <w:t xml:space="preserve">the </w:t>
      </w:r>
      <w:r w:rsidRPr="00387141">
        <w:rPr>
          <w:rFonts w:eastAsia="Calibri" w:cstheme="minorHAnsi"/>
          <w:szCs w:val="24"/>
        </w:rPr>
        <w:t xml:space="preserve">heart and heart valves. </w:t>
      </w:r>
      <w:r w:rsidR="00F63DB3" w:rsidRPr="00387141">
        <w:rPr>
          <w:rFonts w:eastAsia="Calibri" w:cstheme="minorHAnsi"/>
          <w:szCs w:val="24"/>
        </w:rPr>
        <w:t>TTE c</w:t>
      </w:r>
      <w:r w:rsidRPr="00387141">
        <w:rPr>
          <w:rFonts w:eastAsia="Calibri" w:cstheme="minorHAnsi"/>
          <w:szCs w:val="24"/>
        </w:rPr>
        <w:t xml:space="preserve">an be used with contrast </w:t>
      </w:r>
      <w:r w:rsidR="00796DAB" w:rsidRPr="00387141">
        <w:rPr>
          <w:rFonts w:eastAsia="Calibri" w:cstheme="minorHAnsi"/>
          <w:szCs w:val="24"/>
        </w:rPr>
        <w:t xml:space="preserve">and/or </w:t>
      </w:r>
      <w:r w:rsidR="00E87354" w:rsidRPr="00387141">
        <w:rPr>
          <w:rFonts w:eastAsia="Calibri" w:cstheme="minorHAnsi"/>
          <w:szCs w:val="24"/>
        </w:rPr>
        <w:t>agitated saline injection</w:t>
      </w:r>
      <w:r w:rsidR="00625A99" w:rsidRPr="00387141">
        <w:rPr>
          <w:rFonts w:eastAsia="Calibri" w:cstheme="minorHAnsi"/>
          <w:szCs w:val="24"/>
        </w:rPr>
        <w:t xml:space="preserve"> to detect if bubbles traverse from the </w:t>
      </w:r>
      <w:r w:rsidR="00075DAF" w:rsidRPr="00387141">
        <w:rPr>
          <w:rFonts w:eastAsia="Calibri" w:cstheme="minorHAnsi"/>
          <w:szCs w:val="24"/>
        </w:rPr>
        <w:t xml:space="preserve">right </w:t>
      </w:r>
      <w:r w:rsidR="00E87354" w:rsidRPr="00387141">
        <w:rPr>
          <w:rFonts w:eastAsia="Calibri" w:cstheme="minorHAnsi"/>
          <w:szCs w:val="24"/>
        </w:rPr>
        <w:t>atrium</w:t>
      </w:r>
      <w:r w:rsidR="00075DAF" w:rsidRPr="00387141">
        <w:rPr>
          <w:rFonts w:eastAsia="Calibri" w:cstheme="minorHAnsi"/>
          <w:szCs w:val="24"/>
        </w:rPr>
        <w:t xml:space="preserve"> to left </w:t>
      </w:r>
      <w:r w:rsidR="00E87354" w:rsidRPr="00387141">
        <w:rPr>
          <w:rFonts w:eastAsia="Calibri" w:cstheme="minorHAnsi"/>
          <w:szCs w:val="24"/>
        </w:rPr>
        <w:t>atrium</w:t>
      </w:r>
      <w:r w:rsidR="00075DAF" w:rsidRPr="00387141">
        <w:rPr>
          <w:rFonts w:eastAsia="Calibri" w:cstheme="minorHAnsi"/>
          <w:szCs w:val="24"/>
        </w:rPr>
        <w:t>,</w:t>
      </w:r>
      <w:r w:rsidR="00625A99" w:rsidRPr="00387141">
        <w:rPr>
          <w:rFonts w:eastAsia="Calibri" w:cstheme="minorHAnsi"/>
          <w:szCs w:val="24"/>
        </w:rPr>
        <w:t xml:space="preserve"> confirming PFO presence</w:t>
      </w:r>
      <w:r w:rsidR="007F008C" w:rsidRPr="00387141">
        <w:rPr>
          <w:rFonts w:eastAsia="Calibri" w:cstheme="minorHAnsi"/>
          <w:szCs w:val="24"/>
        </w:rPr>
        <w:t xml:space="preserve">. </w:t>
      </w:r>
      <w:r w:rsidR="00075DAF" w:rsidRPr="00387141">
        <w:rPr>
          <w:rFonts w:eastAsia="Calibri" w:cstheme="minorHAnsi"/>
          <w:szCs w:val="24"/>
        </w:rPr>
        <w:t>The p</w:t>
      </w:r>
      <w:r w:rsidR="007F008C" w:rsidRPr="00387141">
        <w:rPr>
          <w:rFonts w:eastAsia="Calibri" w:cstheme="minorHAnsi"/>
          <w:szCs w:val="24"/>
        </w:rPr>
        <w:t xml:space="preserve">atient may </w:t>
      </w:r>
      <w:r w:rsidR="00DA4BE0" w:rsidRPr="00387141">
        <w:rPr>
          <w:rFonts w:eastAsia="Calibri" w:cstheme="minorHAnsi"/>
          <w:szCs w:val="24"/>
        </w:rPr>
        <w:t>need</w:t>
      </w:r>
      <w:r w:rsidR="007F008C" w:rsidRPr="00387141">
        <w:rPr>
          <w:rFonts w:eastAsia="Calibri" w:cstheme="minorHAnsi"/>
          <w:szCs w:val="24"/>
        </w:rPr>
        <w:t xml:space="preserve"> to perform Valsalva </w:t>
      </w:r>
      <w:r w:rsidR="00DA4BE0" w:rsidRPr="00387141">
        <w:rPr>
          <w:rFonts w:eastAsia="Calibri" w:cstheme="minorHAnsi"/>
          <w:szCs w:val="24"/>
        </w:rPr>
        <w:t>maneuver</w:t>
      </w:r>
      <w:r w:rsidR="007F008C" w:rsidRPr="00387141">
        <w:rPr>
          <w:rFonts w:eastAsia="Calibri" w:cstheme="minorHAnsi"/>
          <w:szCs w:val="24"/>
        </w:rPr>
        <w:t xml:space="preserve"> if bubbles are not detected at rest</w:t>
      </w:r>
      <w:r w:rsidR="00EA2D66" w:rsidRPr="00387141">
        <w:rPr>
          <w:rFonts w:eastAsia="Calibri" w:cstheme="minorHAnsi"/>
          <w:szCs w:val="24"/>
        </w:rPr>
        <w:t>.</w:t>
      </w:r>
      <w:r w:rsidR="008F7D6E" w:rsidRPr="00387141">
        <w:rPr>
          <w:rFonts w:eastAsia="Calibri" w:cstheme="minorHAnsi"/>
          <w:szCs w:val="24"/>
        </w:rPr>
        <w:t xml:space="preserve"> </w:t>
      </w:r>
      <w:r w:rsidR="004B7D79" w:rsidRPr="00387141">
        <w:rPr>
          <w:rFonts w:eastAsia="Calibri" w:cstheme="minorHAnsi"/>
          <w:szCs w:val="24"/>
        </w:rPr>
        <w:t xml:space="preserve">TTE </w:t>
      </w:r>
      <w:r w:rsidR="0057413E" w:rsidRPr="00387141">
        <w:rPr>
          <w:rFonts w:eastAsia="Calibri" w:cstheme="minorHAnsi"/>
          <w:szCs w:val="24"/>
        </w:rPr>
        <w:t xml:space="preserve">can identify </w:t>
      </w:r>
      <w:r w:rsidR="00B36E03" w:rsidRPr="00387141">
        <w:rPr>
          <w:rFonts w:eastAsia="Calibri" w:cstheme="minorHAnsi"/>
          <w:szCs w:val="24"/>
        </w:rPr>
        <w:t xml:space="preserve">PFO or other cardiac pathologies that may </w:t>
      </w:r>
      <w:r w:rsidR="00075DAF" w:rsidRPr="00387141">
        <w:rPr>
          <w:rFonts w:eastAsia="Calibri" w:cstheme="minorHAnsi"/>
          <w:szCs w:val="24"/>
        </w:rPr>
        <w:t>lead to</w:t>
      </w:r>
      <w:r w:rsidR="00B36E03" w:rsidRPr="00387141">
        <w:rPr>
          <w:rFonts w:eastAsia="Calibri" w:cstheme="minorHAnsi"/>
          <w:szCs w:val="24"/>
        </w:rPr>
        <w:t xml:space="preserve"> a stroke</w:t>
      </w:r>
      <w:r w:rsidR="00075DAF" w:rsidRPr="00387141">
        <w:rPr>
          <w:rFonts w:eastAsia="Calibri" w:cstheme="minorHAnsi"/>
          <w:szCs w:val="24"/>
        </w:rPr>
        <w:t>,</w:t>
      </w:r>
      <w:r w:rsidR="009E78C5" w:rsidRPr="00387141">
        <w:rPr>
          <w:rFonts w:eastAsia="Calibri" w:cstheme="minorHAnsi"/>
          <w:szCs w:val="24"/>
        </w:rPr>
        <w:t xml:space="preserve"> </w:t>
      </w:r>
      <w:r w:rsidR="00811CE2" w:rsidRPr="00387141">
        <w:rPr>
          <w:rFonts w:eastAsia="Calibri" w:cstheme="minorHAnsi"/>
          <w:szCs w:val="24"/>
        </w:rPr>
        <w:t xml:space="preserve">however views may be limited due to distance from </w:t>
      </w:r>
      <w:r w:rsidR="0030231C" w:rsidRPr="00387141">
        <w:rPr>
          <w:rFonts w:eastAsia="Calibri" w:cstheme="minorHAnsi"/>
          <w:szCs w:val="24"/>
        </w:rPr>
        <w:t>transducer</w:t>
      </w:r>
      <w:r w:rsidR="00811CE2" w:rsidRPr="00387141">
        <w:rPr>
          <w:rFonts w:eastAsia="Calibri" w:cstheme="minorHAnsi"/>
          <w:szCs w:val="24"/>
        </w:rPr>
        <w:t xml:space="preserve"> and image quality may be subop</w:t>
      </w:r>
      <w:r w:rsidR="00826D22" w:rsidRPr="00387141">
        <w:rPr>
          <w:rFonts w:eastAsia="Calibri" w:cstheme="minorHAnsi"/>
          <w:szCs w:val="24"/>
        </w:rPr>
        <w:t>t</w:t>
      </w:r>
      <w:r w:rsidR="00811CE2" w:rsidRPr="00387141">
        <w:rPr>
          <w:rFonts w:eastAsia="Calibri" w:cstheme="minorHAnsi"/>
          <w:szCs w:val="24"/>
        </w:rPr>
        <w:t>imal in some patients.</w:t>
      </w:r>
      <w:r w:rsidR="00826D22" w:rsidRPr="00387141">
        <w:rPr>
          <w:rFonts w:eastAsia="Calibri" w:cstheme="minorHAnsi"/>
          <w:szCs w:val="24"/>
        </w:rPr>
        <w:t xml:space="preserve"> </w:t>
      </w:r>
      <w:r w:rsidR="00F0033E" w:rsidRPr="00387141">
        <w:rPr>
          <w:rFonts w:eastAsia="Calibri" w:cstheme="minorHAnsi"/>
          <w:szCs w:val="24"/>
        </w:rPr>
        <w:t xml:space="preserve">The TTE </w:t>
      </w:r>
      <w:r w:rsidR="53349421" w:rsidRPr="00387141">
        <w:rPr>
          <w:rFonts w:eastAsia="Calibri" w:cstheme="minorHAnsi"/>
          <w:szCs w:val="24"/>
        </w:rPr>
        <w:t>test result</w:t>
      </w:r>
      <w:r w:rsidR="00E87354" w:rsidRPr="00387141">
        <w:rPr>
          <w:rFonts w:eastAsia="Calibri" w:cstheme="minorHAnsi"/>
          <w:szCs w:val="24"/>
        </w:rPr>
        <w:t xml:space="preserve"> sensitivity </w:t>
      </w:r>
      <w:r w:rsidR="00F0033E" w:rsidRPr="00387141">
        <w:rPr>
          <w:rFonts w:eastAsia="Calibri" w:cstheme="minorHAnsi"/>
          <w:szCs w:val="24"/>
        </w:rPr>
        <w:t xml:space="preserve">may </w:t>
      </w:r>
      <w:r w:rsidR="00075DAF" w:rsidRPr="00387141">
        <w:rPr>
          <w:rFonts w:eastAsia="Calibri" w:cstheme="minorHAnsi"/>
          <w:szCs w:val="24"/>
        </w:rPr>
        <w:t xml:space="preserve">be </w:t>
      </w:r>
      <w:r w:rsidR="00E87354" w:rsidRPr="00387141">
        <w:rPr>
          <w:rFonts w:eastAsia="Calibri" w:cstheme="minorHAnsi"/>
          <w:szCs w:val="24"/>
        </w:rPr>
        <w:t>limited in</w:t>
      </w:r>
      <w:r w:rsidR="00F0033E" w:rsidRPr="00387141">
        <w:rPr>
          <w:rFonts w:eastAsia="Calibri" w:cstheme="minorHAnsi"/>
          <w:szCs w:val="24"/>
        </w:rPr>
        <w:t xml:space="preserve"> patients with high BMI compared to </w:t>
      </w:r>
      <w:r w:rsidR="00075DAF" w:rsidRPr="00387141">
        <w:rPr>
          <w:rFonts w:eastAsia="Calibri" w:cstheme="minorHAnsi"/>
          <w:szCs w:val="24"/>
        </w:rPr>
        <w:t>a transcranial doppler (</w:t>
      </w:r>
      <w:r w:rsidR="00F0033E" w:rsidRPr="00387141">
        <w:rPr>
          <w:rFonts w:eastAsia="Calibri" w:cstheme="minorHAnsi"/>
          <w:szCs w:val="24"/>
        </w:rPr>
        <w:t>TCD</w:t>
      </w:r>
      <w:r w:rsidR="00075DAF" w:rsidRPr="00387141">
        <w:rPr>
          <w:rFonts w:eastAsia="Calibri" w:cstheme="minorHAnsi"/>
          <w:szCs w:val="24"/>
        </w:rPr>
        <w:t>)</w:t>
      </w:r>
      <w:r w:rsidR="00F0033E" w:rsidRPr="00387141">
        <w:rPr>
          <w:rFonts w:eastAsia="Calibri" w:cstheme="minorHAnsi"/>
          <w:szCs w:val="24"/>
        </w:rPr>
        <w:t xml:space="preserve"> </w:t>
      </w:r>
      <w:r w:rsidR="00C240F0" w:rsidRPr="00387141">
        <w:rPr>
          <w:rFonts w:eastAsia="Calibri" w:cstheme="minorHAnsi"/>
          <w:szCs w:val="24"/>
        </w:rPr>
        <w:t>(</w:t>
      </w:r>
      <w:proofErr w:type="spellStart"/>
      <w:r w:rsidR="00C240F0" w:rsidRPr="00387141">
        <w:rPr>
          <w:rFonts w:eastAsia="Calibri" w:cstheme="minorHAnsi"/>
          <w:szCs w:val="24"/>
        </w:rPr>
        <w:t>Liou</w:t>
      </w:r>
      <w:proofErr w:type="spellEnd"/>
      <w:r w:rsidR="00C240F0" w:rsidRPr="00387141">
        <w:rPr>
          <w:rFonts w:eastAsia="Calibri" w:cstheme="minorHAnsi"/>
          <w:szCs w:val="24"/>
        </w:rPr>
        <w:t>, 2015)</w:t>
      </w:r>
      <w:r w:rsidR="00F0033E" w:rsidRPr="00387141">
        <w:rPr>
          <w:rFonts w:eastAsia="Calibri" w:cstheme="minorHAnsi"/>
          <w:szCs w:val="24"/>
        </w:rPr>
        <w:t xml:space="preserve">. </w:t>
      </w:r>
      <w:r w:rsidR="7EED7903" w:rsidRPr="00387141">
        <w:rPr>
          <w:rFonts w:eastAsia="Calibri" w:cstheme="minorHAnsi"/>
          <w:szCs w:val="24"/>
        </w:rPr>
        <w:t>The risk of</w:t>
      </w:r>
      <w:r w:rsidR="00075DAF" w:rsidRPr="00387141">
        <w:rPr>
          <w:rFonts w:eastAsia="Calibri" w:cstheme="minorHAnsi"/>
          <w:szCs w:val="24"/>
        </w:rPr>
        <w:t xml:space="preserve"> </w:t>
      </w:r>
      <w:r w:rsidR="00A82F61" w:rsidRPr="00387141">
        <w:rPr>
          <w:rFonts w:eastAsia="Calibri" w:cstheme="minorHAnsi"/>
          <w:szCs w:val="24"/>
        </w:rPr>
        <w:t xml:space="preserve">TTE </w:t>
      </w:r>
      <w:r w:rsidR="25A1E10F" w:rsidRPr="00387141">
        <w:rPr>
          <w:rFonts w:eastAsia="Calibri" w:cstheme="minorHAnsi"/>
          <w:szCs w:val="24"/>
        </w:rPr>
        <w:t>procedure is low</w:t>
      </w:r>
      <w:r w:rsidR="00075DAF" w:rsidRPr="00387141">
        <w:rPr>
          <w:rFonts w:eastAsia="Calibri" w:cstheme="minorHAnsi"/>
          <w:szCs w:val="24"/>
        </w:rPr>
        <w:t>, and the m</w:t>
      </w:r>
      <w:r w:rsidR="42806227" w:rsidRPr="00387141">
        <w:rPr>
          <w:rFonts w:eastAsia="Calibri" w:cstheme="minorHAnsi"/>
          <w:szCs w:val="24"/>
        </w:rPr>
        <w:t xml:space="preserve">ost common </w:t>
      </w:r>
      <w:r w:rsidR="00075DAF" w:rsidRPr="00387141">
        <w:rPr>
          <w:rFonts w:eastAsia="Calibri" w:cstheme="minorHAnsi"/>
          <w:szCs w:val="24"/>
        </w:rPr>
        <w:t>adverse effects</w:t>
      </w:r>
      <w:r w:rsidR="42806227" w:rsidRPr="00387141">
        <w:rPr>
          <w:rFonts w:eastAsia="Calibri" w:cstheme="minorHAnsi"/>
          <w:szCs w:val="24"/>
        </w:rPr>
        <w:t xml:space="preserve"> is discomfort from the </w:t>
      </w:r>
      <w:r w:rsidRPr="00387141">
        <w:rPr>
          <w:rFonts w:eastAsia="Calibri" w:cstheme="minorHAnsi"/>
          <w:szCs w:val="24"/>
        </w:rPr>
        <w:t>IV/injection</w:t>
      </w:r>
      <w:r w:rsidR="4BFD67A1" w:rsidRPr="00387141">
        <w:rPr>
          <w:rFonts w:eastAsia="Calibri" w:cstheme="minorHAnsi"/>
          <w:szCs w:val="24"/>
        </w:rPr>
        <w:t xml:space="preserve"> and potential skin irritation from</w:t>
      </w:r>
      <w:r w:rsidR="00075DAF" w:rsidRPr="00387141">
        <w:rPr>
          <w:rFonts w:eastAsia="Calibri" w:cstheme="minorHAnsi"/>
          <w:szCs w:val="24"/>
        </w:rPr>
        <w:t xml:space="preserve"> the</w:t>
      </w:r>
      <w:r w:rsidR="4BFD67A1" w:rsidRPr="00387141">
        <w:rPr>
          <w:rFonts w:eastAsia="Calibri" w:cstheme="minorHAnsi"/>
          <w:szCs w:val="24"/>
        </w:rPr>
        <w:t xml:space="preserve"> </w:t>
      </w:r>
      <w:r w:rsidR="00075DAF" w:rsidRPr="00387141">
        <w:rPr>
          <w:rFonts w:eastAsia="Calibri" w:cstheme="minorHAnsi"/>
          <w:szCs w:val="24"/>
        </w:rPr>
        <w:t xml:space="preserve">transducer transmission </w:t>
      </w:r>
      <w:r w:rsidR="4BFD67A1" w:rsidRPr="00387141">
        <w:rPr>
          <w:rFonts w:eastAsia="Calibri" w:cstheme="minorHAnsi"/>
          <w:szCs w:val="24"/>
        </w:rPr>
        <w:t>gel</w:t>
      </w:r>
      <w:r w:rsidRPr="00387141">
        <w:rPr>
          <w:rFonts w:eastAsia="Calibri" w:cstheme="minorHAnsi"/>
          <w:szCs w:val="24"/>
        </w:rPr>
        <w:t xml:space="preserve">. </w:t>
      </w:r>
      <w:r w:rsidR="00090DFC" w:rsidRPr="00387141">
        <w:rPr>
          <w:rFonts w:eastAsia="Calibri" w:cstheme="minorHAnsi"/>
          <w:szCs w:val="24"/>
        </w:rPr>
        <w:t xml:space="preserve">TTE is </w:t>
      </w:r>
      <w:r w:rsidR="00137B9F" w:rsidRPr="00387141">
        <w:rPr>
          <w:rFonts w:eastAsia="Calibri" w:cstheme="minorHAnsi"/>
          <w:szCs w:val="24"/>
        </w:rPr>
        <w:t xml:space="preserve">most </w:t>
      </w:r>
      <w:r w:rsidR="001E4A85" w:rsidRPr="00387141">
        <w:rPr>
          <w:rFonts w:eastAsia="Calibri" w:cstheme="minorHAnsi"/>
          <w:szCs w:val="24"/>
        </w:rPr>
        <w:t xml:space="preserve">often </w:t>
      </w:r>
      <w:r w:rsidR="00137B9F" w:rsidRPr="00387141">
        <w:rPr>
          <w:rFonts w:eastAsia="Calibri" w:cstheme="minorHAnsi"/>
          <w:szCs w:val="24"/>
        </w:rPr>
        <w:t>used</w:t>
      </w:r>
      <w:r w:rsidR="00090DFC" w:rsidRPr="00387141">
        <w:rPr>
          <w:rFonts w:eastAsia="Calibri" w:cstheme="minorHAnsi"/>
          <w:szCs w:val="24"/>
        </w:rPr>
        <w:t xml:space="preserve"> by cardiologists as </w:t>
      </w:r>
      <w:r w:rsidR="00090DFC" w:rsidRPr="00387141">
        <w:rPr>
          <w:rFonts w:eastAsia="Calibri" w:cstheme="minorHAnsi"/>
          <w:szCs w:val="24"/>
        </w:rPr>
        <w:lastRenderedPageBreak/>
        <w:t>the initial diagnostic test</w:t>
      </w:r>
      <w:r w:rsidR="001E4A85" w:rsidRPr="00387141">
        <w:rPr>
          <w:rFonts w:eastAsia="Calibri" w:cstheme="minorHAnsi"/>
          <w:szCs w:val="24"/>
        </w:rPr>
        <w:t xml:space="preserve"> due to </w:t>
      </w:r>
      <w:r w:rsidR="102A988D" w:rsidRPr="00387141">
        <w:rPr>
          <w:rFonts w:eastAsia="Calibri" w:cstheme="minorHAnsi"/>
          <w:szCs w:val="24"/>
        </w:rPr>
        <w:t xml:space="preserve">low risk, </w:t>
      </w:r>
      <w:r w:rsidR="001E4A85" w:rsidRPr="00387141">
        <w:rPr>
          <w:rFonts w:eastAsia="Calibri" w:cstheme="minorHAnsi"/>
          <w:szCs w:val="24"/>
        </w:rPr>
        <w:t xml:space="preserve">ease of use, low </w:t>
      </w:r>
      <w:r w:rsidR="00473D83" w:rsidRPr="00387141">
        <w:rPr>
          <w:rFonts w:eastAsia="Calibri" w:cstheme="minorHAnsi"/>
          <w:szCs w:val="24"/>
        </w:rPr>
        <w:t>cost,</w:t>
      </w:r>
      <w:r w:rsidR="001E4A85" w:rsidRPr="00387141">
        <w:rPr>
          <w:rFonts w:eastAsia="Calibri" w:cstheme="minorHAnsi"/>
          <w:szCs w:val="24"/>
        </w:rPr>
        <w:t xml:space="preserve"> and diagnostic ability</w:t>
      </w:r>
      <w:r w:rsidR="00C623A0" w:rsidRPr="00387141">
        <w:rPr>
          <w:rFonts w:eastAsia="Calibri" w:cstheme="minorHAnsi"/>
          <w:szCs w:val="24"/>
        </w:rPr>
        <w:t xml:space="preserve"> (Van der Giessen, 2020; Fordyce, 2022)</w:t>
      </w:r>
      <w:r w:rsidR="00075DAF" w:rsidRPr="00387141">
        <w:rPr>
          <w:rFonts w:eastAsia="Calibri" w:cstheme="minorHAnsi"/>
          <w:szCs w:val="24"/>
        </w:rPr>
        <w:t>.</w:t>
      </w:r>
    </w:p>
    <w:p w14:paraId="4CE332D7" w14:textId="1E058546" w:rsidR="00743C1F" w:rsidRPr="00387141" w:rsidRDefault="00FE7C3A">
      <w:pPr>
        <w:pStyle w:val="ListParagraph"/>
        <w:numPr>
          <w:ilvl w:val="0"/>
          <w:numId w:val="26"/>
        </w:numPr>
        <w:spacing w:after="60" w:line="360" w:lineRule="auto"/>
        <w:rPr>
          <w:rFonts w:cstheme="minorHAnsi"/>
          <w:i/>
          <w:iCs/>
          <w:szCs w:val="24"/>
        </w:rPr>
      </w:pPr>
      <w:r w:rsidRPr="00387141">
        <w:rPr>
          <w:rFonts w:eastAsia="Calibri" w:cstheme="minorHAnsi"/>
          <w:b/>
          <w:bCs/>
          <w:szCs w:val="24"/>
        </w:rPr>
        <w:t>Transcranial Doppler</w:t>
      </w:r>
      <w:r w:rsidR="00E90713" w:rsidRPr="00387141">
        <w:rPr>
          <w:rFonts w:eastAsia="Calibri" w:cstheme="minorHAnsi"/>
          <w:b/>
          <w:bCs/>
          <w:szCs w:val="24"/>
        </w:rPr>
        <w:t xml:space="preserve"> (TCD)</w:t>
      </w:r>
      <w:r w:rsidR="00075DAF" w:rsidRPr="00387141">
        <w:rPr>
          <w:rFonts w:eastAsia="Calibri" w:cstheme="minorHAnsi"/>
          <w:szCs w:val="24"/>
        </w:rPr>
        <w:t xml:space="preserve"> </w:t>
      </w:r>
      <w:r w:rsidRPr="00387141">
        <w:rPr>
          <w:rFonts w:eastAsia="Calibri" w:cstheme="minorHAnsi"/>
          <w:szCs w:val="24"/>
        </w:rPr>
        <w:t xml:space="preserve">— </w:t>
      </w:r>
      <w:r w:rsidR="00075DAF" w:rsidRPr="00387141">
        <w:rPr>
          <w:rFonts w:eastAsia="Calibri" w:cstheme="minorHAnsi"/>
          <w:szCs w:val="24"/>
        </w:rPr>
        <w:t>A noninvasive measure</w:t>
      </w:r>
      <w:r w:rsidRPr="00387141">
        <w:rPr>
          <w:rFonts w:eastAsia="Calibri" w:cstheme="minorHAnsi"/>
          <w:szCs w:val="24"/>
        </w:rPr>
        <w:t xml:space="preserve"> of cerebrovascular function</w:t>
      </w:r>
      <w:r w:rsidR="006D2BD3" w:rsidRPr="00387141">
        <w:rPr>
          <w:rFonts w:eastAsia="Calibri" w:cstheme="minorHAnsi"/>
          <w:szCs w:val="24"/>
        </w:rPr>
        <w:t xml:space="preserve"> </w:t>
      </w:r>
      <w:r w:rsidR="00360918" w:rsidRPr="00387141">
        <w:rPr>
          <w:rFonts w:eastAsia="Calibri" w:cstheme="minorHAnsi"/>
          <w:szCs w:val="24"/>
        </w:rPr>
        <w:t>using</w:t>
      </w:r>
      <w:r w:rsidR="005E72A1" w:rsidRPr="00387141">
        <w:rPr>
          <w:rFonts w:eastAsia="Calibri" w:cstheme="minorHAnsi"/>
          <w:szCs w:val="24"/>
        </w:rPr>
        <w:t xml:space="preserve"> a portable </w:t>
      </w:r>
      <w:r w:rsidR="00DB6F45" w:rsidRPr="00387141">
        <w:rPr>
          <w:rFonts w:eastAsia="Calibri" w:cstheme="minorHAnsi"/>
          <w:szCs w:val="24"/>
        </w:rPr>
        <w:t>do</w:t>
      </w:r>
      <w:r w:rsidR="00236FFE" w:rsidRPr="00387141">
        <w:rPr>
          <w:rFonts w:eastAsia="Calibri" w:cstheme="minorHAnsi"/>
          <w:szCs w:val="24"/>
        </w:rPr>
        <w:t>pp</w:t>
      </w:r>
      <w:r w:rsidR="00DB6F45" w:rsidRPr="00387141">
        <w:rPr>
          <w:rFonts w:eastAsia="Calibri" w:cstheme="minorHAnsi"/>
          <w:szCs w:val="24"/>
        </w:rPr>
        <w:t>ler</w:t>
      </w:r>
      <w:r w:rsidR="00473533" w:rsidRPr="00387141">
        <w:rPr>
          <w:rFonts w:eastAsia="Calibri" w:cstheme="minorHAnsi"/>
          <w:szCs w:val="24"/>
        </w:rPr>
        <w:t xml:space="preserve"> ultrasound</w:t>
      </w:r>
      <w:r w:rsidR="00DB6F45" w:rsidRPr="00387141">
        <w:rPr>
          <w:rFonts w:eastAsia="Calibri" w:cstheme="minorHAnsi"/>
          <w:szCs w:val="24"/>
        </w:rPr>
        <w:t xml:space="preserve"> </w:t>
      </w:r>
      <w:r w:rsidR="00473533" w:rsidRPr="00387141">
        <w:rPr>
          <w:rFonts w:eastAsia="Calibri" w:cstheme="minorHAnsi"/>
          <w:szCs w:val="24"/>
        </w:rPr>
        <w:t>transducer</w:t>
      </w:r>
      <w:r w:rsidR="00DB6F45" w:rsidRPr="00387141">
        <w:rPr>
          <w:rFonts w:eastAsia="Calibri" w:cstheme="minorHAnsi"/>
          <w:szCs w:val="24"/>
        </w:rPr>
        <w:t xml:space="preserve"> held in place with a headband over the temporal window</w:t>
      </w:r>
      <w:r w:rsidR="00473533" w:rsidRPr="00387141">
        <w:rPr>
          <w:rFonts w:eastAsia="Calibri" w:cstheme="minorHAnsi"/>
          <w:szCs w:val="24"/>
        </w:rPr>
        <w:t xml:space="preserve"> used</w:t>
      </w:r>
      <w:r w:rsidR="001C2DF3" w:rsidRPr="00387141">
        <w:rPr>
          <w:rFonts w:eastAsia="Calibri" w:cstheme="minorHAnsi"/>
          <w:szCs w:val="24"/>
        </w:rPr>
        <w:t xml:space="preserve"> </w:t>
      </w:r>
      <w:r w:rsidR="00493BF9" w:rsidRPr="00387141">
        <w:rPr>
          <w:rFonts w:eastAsia="Calibri" w:cstheme="minorHAnsi"/>
          <w:szCs w:val="24"/>
        </w:rPr>
        <w:t xml:space="preserve">to </w:t>
      </w:r>
      <w:r w:rsidR="00D86FDB" w:rsidRPr="00387141">
        <w:rPr>
          <w:rFonts w:eastAsia="Calibri" w:cstheme="minorHAnsi"/>
          <w:szCs w:val="24"/>
        </w:rPr>
        <w:t xml:space="preserve">measure </w:t>
      </w:r>
      <w:r w:rsidR="00493BF9" w:rsidRPr="00387141">
        <w:rPr>
          <w:rFonts w:eastAsia="Calibri" w:cstheme="minorHAnsi"/>
          <w:szCs w:val="24"/>
        </w:rPr>
        <w:t>blo</w:t>
      </w:r>
      <w:r w:rsidR="005F4F56" w:rsidRPr="00387141">
        <w:rPr>
          <w:rFonts w:eastAsia="Calibri" w:cstheme="minorHAnsi"/>
          <w:szCs w:val="24"/>
        </w:rPr>
        <w:t>o</w:t>
      </w:r>
      <w:r w:rsidR="00493BF9" w:rsidRPr="00387141">
        <w:rPr>
          <w:rFonts w:eastAsia="Calibri" w:cstheme="minorHAnsi"/>
          <w:szCs w:val="24"/>
        </w:rPr>
        <w:t xml:space="preserve">d flow to and within </w:t>
      </w:r>
      <w:r w:rsidR="00093141" w:rsidRPr="00387141">
        <w:rPr>
          <w:rFonts w:eastAsia="Calibri" w:cstheme="minorHAnsi"/>
          <w:szCs w:val="24"/>
        </w:rPr>
        <w:t>the</w:t>
      </w:r>
      <w:r w:rsidR="00493BF9" w:rsidRPr="00387141">
        <w:rPr>
          <w:rFonts w:eastAsia="Calibri" w:cstheme="minorHAnsi"/>
          <w:szCs w:val="24"/>
        </w:rPr>
        <w:t xml:space="preserve"> brain</w:t>
      </w:r>
      <w:r w:rsidR="00C623A0" w:rsidRPr="00387141">
        <w:rPr>
          <w:rFonts w:eastAsia="Calibri" w:cstheme="minorHAnsi"/>
          <w:szCs w:val="24"/>
        </w:rPr>
        <w:t xml:space="preserve"> </w:t>
      </w:r>
      <w:r w:rsidR="00C623A0" w:rsidRPr="00387141">
        <w:rPr>
          <w:rFonts w:cstheme="minorHAnsi"/>
          <w:szCs w:val="24"/>
        </w:rPr>
        <w:t>(Van der Giessen, 2020)</w:t>
      </w:r>
      <w:r w:rsidR="00493BF9" w:rsidRPr="00387141">
        <w:rPr>
          <w:rFonts w:eastAsia="Calibri" w:cstheme="minorHAnsi"/>
          <w:szCs w:val="24"/>
        </w:rPr>
        <w:t>.</w:t>
      </w:r>
      <w:r w:rsidR="007B778D" w:rsidRPr="00387141">
        <w:rPr>
          <w:rFonts w:eastAsia="Calibri" w:cstheme="minorHAnsi"/>
          <w:szCs w:val="24"/>
        </w:rPr>
        <w:t xml:space="preserve"> </w:t>
      </w:r>
      <w:r w:rsidR="00F2401A" w:rsidRPr="00387141">
        <w:rPr>
          <w:rFonts w:eastAsia="Calibri" w:cstheme="minorHAnsi"/>
          <w:szCs w:val="24"/>
        </w:rPr>
        <w:t xml:space="preserve">A </w:t>
      </w:r>
      <w:r w:rsidR="00716154" w:rsidRPr="00387141">
        <w:rPr>
          <w:rFonts w:eastAsia="Calibri" w:cstheme="minorHAnsi"/>
          <w:szCs w:val="24"/>
        </w:rPr>
        <w:t xml:space="preserve">PFO </w:t>
      </w:r>
      <w:r w:rsidR="006B413C" w:rsidRPr="00387141">
        <w:rPr>
          <w:rFonts w:eastAsia="Calibri" w:cstheme="minorHAnsi"/>
          <w:szCs w:val="24"/>
        </w:rPr>
        <w:t>can</w:t>
      </w:r>
      <w:r w:rsidR="00716154" w:rsidRPr="00387141">
        <w:rPr>
          <w:rFonts w:eastAsia="Calibri" w:cstheme="minorHAnsi"/>
          <w:szCs w:val="24"/>
        </w:rPr>
        <w:t xml:space="preserve"> </w:t>
      </w:r>
      <w:r w:rsidR="00CC4560" w:rsidRPr="00387141">
        <w:rPr>
          <w:rFonts w:eastAsia="Calibri" w:cstheme="minorHAnsi"/>
          <w:szCs w:val="24"/>
        </w:rPr>
        <w:t xml:space="preserve">be </w:t>
      </w:r>
      <w:r w:rsidR="00716154" w:rsidRPr="00387141">
        <w:rPr>
          <w:rFonts w:eastAsia="Calibri" w:cstheme="minorHAnsi"/>
          <w:szCs w:val="24"/>
        </w:rPr>
        <w:t xml:space="preserve">detected </w:t>
      </w:r>
      <w:r w:rsidR="00CC4560" w:rsidRPr="00387141">
        <w:rPr>
          <w:rFonts w:eastAsia="Calibri" w:cstheme="minorHAnsi"/>
          <w:szCs w:val="24"/>
        </w:rPr>
        <w:t xml:space="preserve">with TCD by injecting agitated saline </w:t>
      </w:r>
      <w:r w:rsidR="00F2401A" w:rsidRPr="00387141">
        <w:rPr>
          <w:rFonts w:eastAsia="Calibri" w:cstheme="minorHAnsi"/>
          <w:szCs w:val="24"/>
        </w:rPr>
        <w:t>in a peripheral vein</w:t>
      </w:r>
      <w:r w:rsidR="00CC4560" w:rsidRPr="00387141">
        <w:rPr>
          <w:rFonts w:eastAsia="Calibri" w:cstheme="minorHAnsi"/>
          <w:szCs w:val="24"/>
        </w:rPr>
        <w:t xml:space="preserve"> and observing </w:t>
      </w:r>
      <w:r w:rsidR="009C0633" w:rsidRPr="00387141">
        <w:rPr>
          <w:rFonts w:eastAsia="Calibri" w:cstheme="minorHAnsi"/>
          <w:szCs w:val="24"/>
        </w:rPr>
        <w:t>if any microbubbles appear eith</w:t>
      </w:r>
      <w:r w:rsidR="00185DBF" w:rsidRPr="00387141">
        <w:rPr>
          <w:rFonts w:eastAsia="Calibri" w:cstheme="minorHAnsi"/>
          <w:szCs w:val="24"/>
        </w:rPr>
        <w:t>er</w:t>
      </w:r>
      <w:r w:rsidR="00CC4560" w:rsidRPr="00387141">
        <w:rPr>
          <w:rFonts w:eastAsia="Calibri" w:cstheme="minorHAnsi"/>
          <w:szCs w:val="24"/>
        </w:rPr>
        <w:t xml:space="preserve"> </w:t>
      </w:r>
      <w:r w:rsidR="006B413C" w:rsidRPr="00387141">
        <w:rPr>
          <w:rFonts w:eastAsia="Calibri" w:cstheme="minorHAnsi"/>
          <w:szCs w:val="24"/>
        </w:rPr>
        <w:t xml:space="preserve">at rest or during </w:t>
      </w:r>
      <w:r w:rsidR="4B2FF2A4" w:rsidRPr="00387141">
        <w:rPr>
          <w:rFonts w:eastAsia="Calibri" w:cstheme="minorHAnsi"/>
          <w:szCs w:val="24"/>
        </w:rPr>
        <w:t>a</w:t>
      </w:r>
      <w:r w:rsidR="006B413C" w:rsidRPr="00387141">
        <w:rPr>
          <w:rFonts w:eastAsia="Calibri" w:cstheme="minorHAnsi"/>
          <w:szCs w:val="24"/>
        </w:rPr>
        <w:t xml:space="preserve"> Valsalva </w:t>
      </w:r>
      <w:r w:rsidR="00C623A0" w:rsidRPr="00387141">
        <w:rPr>
          <w:rFonts w:eastAsia="Calibri" w:cstheme="minorHAnsi"/>
          <w:szCs w:val="24"/>
        </w:rPr>
        <w:t xml:space="preserve">maneuver </w:t>
      </w:r>
      <w:r w:rsidR="00C623A0" w:rsidRPr="00387141">
        <w:rPr>
          <w:rFonts w:cstheme="minorHAnsi"/>
          <w:szCs w:val="24"/>
        </w:rPr>
        <w:t>(Van der Giessen, 2020).</w:t>
      </w:r>
      <w:r w:rsidR="006B413C" w:rsidRPr="00387141">
        <w:rPr>
          <w:rFonts w:eastAsia="Calibri" w:cstheme="minorHAnsi"/>
          <w:szCs w:val="24"/>
        </w:rPr>
        <w:t xml:space="preserve"> </w:t>
      </w:r>
      <w:r w:rsidR="00E76F89" w:rsidRPr="00387141">
        <w:rPr>
          <w:rFonts w:eastAsia="Calibri" w:cstheme="minorHAnsi"/>
          <w:szCs w:val="24"/>
        </w:rPr>
        <w:t>P</w:t>
      </w:r>
      <w:r w:rsidR="007B778D" w:rsidRPr="00387141">
        <w:rPr>
          <w:rFonts w:eastAsia="Calibri" w:cstheme="minorHAnsi"/>
          <w:szCs w:val="24"/>
        </w:rPr>
        <w:t>atient</w:t>
      </w:r>
      <w:r w:rsidR="00E76F89" w:rsidRPr="00387141">
        <w:rPr>
          <w:rFonts w:eastAsia="Calibri" w:cstheme="minorHAnsi"/>
          <w:szCs w:val="24"/>
        </w:rPr>
        <w:t>s</w:t>
      </w:r>
      <w:r w:rsidR="007B778D" w:rsidRPr="00387141">
        <w:rPr>
          <w:rFonts w:eastAsia="Calibri" w:cstheme="minorHAnsi"/>
          <w:szCs w:val="24"/>
        </w:rPr>
        <w:t xml:space="preserve"> </w:t>
      </w:r>
      <w:r w:rsidR="00E76F89" w:rsidRPr="00387141">
        <w:rPr>
          <w:rFonts w:eastAsia="Calibri" w:cstheme="minorHAnsi"/>
          <w:szCs w:val="24"/>
        </w:rPr>
        <w:t xml:space="preserve">with </w:t>
      </w:r>
      <w:r w:rsidR="007B778D" w:rsidRPr="00387141">
        <w:rPr>
          <w:rFonts w:eastAsia="Calibri" w:cstheme="minorHAnsi"/>
          <w:szCs w:val="24"/>
        </w:rPr>
        <w:t xml:space="preserve">absent temporal bone window </w:t>
      </w:r>
      <w:r w:rsidR="00E76F89" w:rsidRPr="00387141">
        <w:rPr>
          <w:rFonts w:eastAsia="Calibri" w:cstheme="minorHAnsi"/>
          <w:szCs w:val="24"/>
        </w:rPr>
        <w:t xml:space="preserve">may </w:t>
      </w:r>
      <w:r w:rsidR="00920AF6" w:rsidRPr="00387141">
        <w:rPr>
          <w:rFonts w:eastAsia="Calibri" w:cstheme="minorHAnsi"/>
          <w:szCs w:val="24"/>
        </w:rPr>
        <w:t>not be able to use</w:t>
      </w:r>
      <w:r w:rsidR="007B778D" w:rsidRPr="00387141">
        <w:rPr>
          <w:rFonts w:eastAsia="Calibri" w:cstheme="minorHAnsi"/>
          <w:szCs w:val="24"/>
        </w:rPr>
        <w:t xml:space="preserve"> TCD</w:t>
      </w:r>
      <w:r w:rsidR="008B3C5A" w:rsidRPr="00387141">
        <w:rPr>
          <w:rFonts w:eastAsia="Calibri" w:cstheme="minorHAnsi"/>
          <w:szCs w:val="24"/>
        </w:rPr>
        <w:t xml:space="preserve"> </w:t>
      </w:r>
      <w:r w:rsidR="00920AF6" w:rsidRPr="00387141">
        <w:rPr>
          <w:rFonts w:eastAsia="Calibri" w:cstheme="minorHAnsi"/>
          <w:szCs w:val="24"/>
        </w:rPr>
        <w:t xml:space="preserve">as </w:t>
      </w:r>
      <w:r w:rsidR="008B3C5A" w:rsidRPr="00387141">
        <w:rPr>
          <w:rFonts w:eastAsia="Calibri" w:cstheme="minorHAnsi"/>
          <w:szCs w:val="24"/>
        </w:rPr>
        <w:t xml:space="preserve">an effective diagnostic tool </w:t>
      </w:r>
      <w:r w:rsidR="00C623A0" w:rsidRPr="00387141">
        <w:rPr>
          <w:rFonts w:cstheme="minorHAnsi"/>
          <w:szCs w:val="24"/>
        </w:rPr>
        <w:t>(Van der Giessen, 2020)</w:t>
      </w:r>
      <w:r w:rsidR="008B3C5A" w:rsidRPr="00387141">
        <w:rPr>
          <w:rFonts w:eastAsia="Calibri" w:cstheme="minorHAnsi"/>
          <w:szCs w:val="24"/>
        </w:rPr>
        <w:t xml:space="preserve">. TCD is </w:t>
      </w:r>
      <w:r w:rsidR="00075DAF" w:rsidRPr="00387141">
        <w:rPr>
          <w:rFonts w:eastAsia="Calibri" w:cstheme="minorHAnsi"/>
          <w:szCs w:val="24"/>
        </w:rPr>
        <w:t>l</w:t>
      </w:r>
      <w:r w:rsidR="00F4127C" w:rsidRPr="00387141">
        <w:rPr>
          <w:rFonts w:eastAsia="Calibri" w:cstheme="minorHAnsi"/>
          <w:szCs w:val="24"/>
        </w:rPr>
        <w:t>ow</w:t>
      </w:r>
      <w:r w:rsidRPr="00387141">
        <w:rPr>
          <w:rFonts w:eastAsia="Calibri" w:cstheme="minorHAnsi"/>
          <w:szCs w:val="24"/>
        </w:rPr>
        <w:t xml:space="preserve"> risk</w:t>
      </w:r>
      <w:r w:rsidR="00075DAF" w:rsidRPr="00387141">
        <w:rPr>
          <w:rFonts w:eastAsia="Calibri" w:cstheme="minorHAnsi"/>
          <w:szCs w:val="24"/>
        </w:rPr>
        <w:t>, with potential side effects</w:t>
      </w:r>
      <w:r w:rsidRPr="00387141">
        <w:rPr>
          <w:rFonts w:eastAsia="Calibri" w:cstheme="minorHAnsi"/>
          <w:szCs w:val="24"/>
        </w:rPr>
        <w:t xml:space="preserve"> including mild discomfort during test</w:t>
      </w:r>
      <w:r w:rsidR="00075DAF" w:rsidRPr="00387141">
        <w:rPr>
          <w:rFonts w:eastAsia="Calibri" w:cstheme="minorHAnsi"/>
          <w:szCs w:val="24"/>
        </w:rPr>
        <w:t>ing</w:t>
      </w:r>
      <w:r w:rsidRPr="00387141">
        <w:rPr>
          <w:rFonts w:eastAsia="Calibri" w:cstheme="minorHAnsi"/>
          <w:szCs w:val="24"/>
        </w:rPr>
        <w:t xml:space="preserve">, </w:t>
      </w:r>
      <w:r w:rsidR="3DEA01CC" w:rsidRPr="00387141">
        <w:rPr>
          <w:rFonts w:eastAsia="Calibri" w:cstheme="minorHAnsi"/>
          <w:szCs w:val="24"/>
        </w:rPr>
        <w:t>discomfort from t</w:t>
      </w:r>
      <w:r w:rsidR="26CF396E" w:rsidRPr="00387141">
        <w:rPr>
          <w:rFonts w:eastAsia="Calibri" w:cstheme="minorHAnsi"/>
          <w:szCs w:val="24"/>
        </w:rPr>
        <w:t>he</w:t>
      </w:r>
      <w:r w:rsidR="3DEA01CC" w:rsidRPr="00387141">
        <w:rPr>
          <w:rFonts w:eastAsia="Calibri" w:cstheme="minorHAnsi"/>
          <w:szCs w:val="24"/>
        </w:rPr>
        <w:t xml:space="preserve"> IV/injection, </w:t>
      </w:r>
      <w:r w:rsidRPr="00387141">
        <w:rPr>
          <w:rFonts w:eastAsia="Calibri" w:cstheme="minorHAnsi"/>
          <w:szCs w:val="24"/>
        </w:rPr>
        <w:t xml:space="preserve">skin irritation from </w:t>
      </w:r>
      <w:r w:rsidR="00075DAF" w:rsidRPr="00387141">
        <w:rPr>
          <w:rFonts w:eastAsia="Calibri" w:cstheme="minorHAnsi"/>
          <w:szCs w:val="24"/>
        </w:rPr>
        <w:t xml:space="preserve">transducer transmission </w:t>
      </w:r>
      <w:r w:rsidRPr="00387141">
        <w:rPr>
          <w:rFonts w:eastAsia="Calibri" w:cstheme="minorHAnsi"/>
          <w:szCs w:val="24"/>
        </w:rPr>
        <w:t>gel</w:t>
      </w:r>
      <w:r w:rsidR="00075DAF" w:rsidRPr="00387141">
        <w:rPr>
          <w:rFonts w:eastAsia="Calibri" w:cstheme="minorHAnsi"/>
          <w:szCs w:val="24"/>
        </w:rPr>
        <w:t>,</w:t>
      </w:r>
      <w:r w:rsidRPr="00387141">
        <w:rPr>
          <w:rFonts w:eastAsia="Calibri" w:cstheme="minorHAnsi"/>
          <w:szCs w:val="24"/>
        </w:rPr>
        <w:t xml:space="preserve"> </w:t>
      </w:r>
      <w:r w:rsidR="5F6D9A12" w:rsidRPr="00387141">
        <w:rPr>
          <w:rFonts w:eastAsia="Calibri" w:cstheme="minorHAnsi"/>
          <w:szCs w:val="24"/>
        </w:rPr>
        <w:t>and/</w:t>
      </w:r>
      <w:r w:rsidRPr="00387141">
        <w:rPr>
          <w:rFonts w:eastAsia="Calibri" w:cstheme="minorHAnsi"/>
          <w:szCs w:val="24"/>
        </w:rPr>
        <w:t>or dizziness</w:t>
      </w:r>
      <w:r w:rsidR="00075DAF" w:rsidRPr="00387141">
        <w:rPr>
          <w:rFonts w:eastAsia="Calibri" w:cstheme="minorHAnsi"/>
          <w:szCs w:val="24"/>
        </w:rPr>
        <w:t>.</w:t>
      </w:r>
    </w:p>
    <w:p w14:paraId="607284CB" w14:textId="1F34EE08" w:rsidR="00743C1F" w:rsidRPr="00387141" w:rsidRDefault="00FE7C3A">
      <w:pPr>
        <w:pStyle w:val="ListParagraph"/>
        <w:numPr>
          <w:ilvl w:val="0"/>
          <w:numId w:val="26"/>
        </w:numPr>
        <w:spacing w:after="60" w:line="360" w:lineRule="auto"/>
        <w:rPr>
          <w:rFonts w:cstheme="minorHAnsi"/>
          <w:i/>
          <w:iCs/>
          <w:szCs w:val="24"/>
        </w:rPr>
      </w:pPr>
      <w:r w:rsidRPr="00387141">
        <w:rPr>
          <w:rFonts w:eastAsia="Calibri" w:cstheme="minorHAnsi"/>
          <w:b/>
          <w:bCs/>
          <w:szCs w:val="24"/>
        </w:rPr>
        <w:t>Transesophageal echocardiogram (TEE)</w:t>
      </w:r>
      <w:r w:rsidR="00075DAF" w:rsidRPr="00387141">
        <w:rPr>
          <w:rFonts w:eastAsia="Calibri" w:cstheme="minorHAnsi"/>
          <w:szCs w:val="24"/>
        </w:rPr>
        <w:t xml:space="preserve"> </w:t>
      </w:r>
      <w:r w:rsidR="00401797" w:rsidRPr="00387141">
        <w:rPr>
          <w:rFonts w:eastAsia="Calibri" w:cstheme="minorHAnsi"/>
          <w:szCs w:val="24"/>
        </w:rPr>
        <w:t xml:space="preserve">— </w:t>
      </w:r>
      <w:r w:rsidR="00075DAF" w:rsidRPr="00387141">
        <w:rPr>
          <w:rFonts w:eastAsia="Calibri" w:cstheme="minorHAnsi"/>
          <w:szCs w:val="24"/>
        </w:rPr>
        <w:t xml:space="preserve">An </w:t>
      </w:r>
      <w:r w:rsidR="00401797" w:rsidRPr="00387141">
        <w:rPr>
          <w:rFonts w:eastAsia="Calibri" w:cstheme="minorHAnsi"/>
          <w:szCs w:val="24"/>
        </w:rPr>
        <w:t>invasive</w:t>
      </w:r>
      <w:r w:rsidR="00CC3DB3" w:rsidRPr="00387141">
        <w:rPr>
          <w:rFonts w:eastAsia="Calibri" w:cstheme="minorHAnsi"/>
          <w:szCs w:val="24"/>
        </w:rPr>
        <w:t xml:space="preserve"> </w:t>
      </w:r>
      <w:r w:rsidR="007A2085" w:rsidRPr="00387141">
        <w:rPr>
          <w:rFonts w:eastAsia="Calibri" w:cstheme="minorHAnsi"/>
          <w:szCs w:val="24"/>
        </w:rPr>
        <w:t>echocardiography</w:t>
      </w:r>
      <w:r w:rsidR="006666E8" w:rsidRPr="00387141">
        <w:rPr>
          <w:rFonts w:eastAsia="Calibri" w:cstheme="minorHAnsi"/>
          <w:szCs w:val="24"/>
        </w:rPr>
        <w:t xml:space="preserve"> </w:t>
      </w:r>
      <w:r w:rsidR="00CC3DB3" w:rsidRPr="00387141">
        <w:rPr>
          <w:rFonts w:eastAsia="Calibri" w:cstheme="minorHAnsi"/>
          <w:szCs w:val="24"/>
        </w:rPr>
        <w:t>test</w:t>
      </w:r>
      <w:r w:rsidR="00B44C4F" w:rsidRPr="00387141">
        <w:rPr>
          <w:rFonts w:eastAsia="Calibri" w:cstheme="minorHAnsi"/>
          <w:szCs w:val="24"/>
        </w:rPr>
        <w:t xml:space="preserve"> </w:t>
      </w:r>
      <w:r w:rsidR="7CEA0EF2" w:rsidRPr="00387141">
        <w:rPr>
          <w:rFonts w:eastAsia="Calibri" w:cstheme="minorHAnsi"/>
          <w:szCs w:val="24"/>
        </w:rPr>
        <w:t>which places</w:t>
      </w:r>
      <w:r w:rsidR="006666E8" w:rsidRPr="00387141">
        <w:rPr>
          <w:rFonts w:eastAsia="Calibri" w:cstheme="minorHAnsi"/>
          <w:szCs w:val="24"/>
        </w:rPr>
        <w:t xml:space="preserve"> </w:t>
      </w:r>
      <w:r w:rsidR="00923D18" w:rsidRPr="00387141">
        <w:rPr>
          <w:rFonts w:eastAsia="Calibri" w:cstheme="minorHAnsi"/>
          <w:szCs w:val="24"/>
        </w:rPr>
        <w:t xml:space="preserve">a probe with </w:t>
      </w:r>
      <w:r w:rsidR="00A81575" w:rsidRPr="00387141">
        <w:rPr>
          <w:rFonts w:eastAsia="Calibri" w:cstheme="minorHAnsi"/>
          <w:szCs w:val="24"/>
        </w:rPr>
        <w:t>an ultrasound transducer</w:t>
      </w:r>
      <w:r w:rsidR="00923D18" w:rsidRPr="00387141">
        <w:rPr>
          <w:rFonts w:eastAsia="Calibri" w:cstheme="minorHAnsi"/>
          <w:szCs w:val="24"/>
        </w:rPr>
        <w:t xml:space="preserve"> </w:t>
      </w:r>
      <w:r w:rsidR="4D9F81F9" w:rsidRPr="00387141">
        <w:rPr>
          <w:rFonts w:eastAsia="Calibri" w:cstheme="minorHAnsi"/>
          <w:szCs w:val="24"/>
        </w:rPr>
        <w:t>into</w:t>
      </w:r>
      <w:r w:rsidR="00923D18" w:rsidRPr="00387141">
        <w:rPr>
          <w:rFonts w:eastAsia="Calibri" w:cstheme="minorHAnsi"/>
          <w:szCs w:val="24"/>
        </w:rPr>
        <w:t xml:space="preserve"> the esophagus</w:t>
      </w:r>
      <w:r w:rsidR="00364607" w:rsidRPr="00387141">
        <w:rPr>
          <w:rFonts w:eastAsia="Calibri" w:cstheme="minorHAnsi"/>
          <w:szCs w:val="24"/>
        </w:rPr>
        <w:t xml:space="preserve"> </w:t>
      </w:r>
      <w:r w:rsidRPr="00387141">
        <w:rPr>
          <w:rFonts w:eastAsia="Calibri" w:cstheme="minorHAnsi"/>
          <w:szCs w:val="24"/>
        </w:rPr>
        <w:t>to assess structure and function of the heart.</w:t>
      </w:r>
      <w:r w:rsidR="002E3813" w:rsidRPr="00387141">
        <w:rPr>
          <w:rFonts w:eastAsia="Calibri" w:cstheme="minorHAnsi"/>
          <w:szCs w:val="24"/>
        </w:rPr>
        <w:t xml:space="preserve"> </w:t>
      </w:r>
      <w:r w:rsidR="00FE74BC" w:rsidRPr="00387141">
        <w:rPr>
          <w:rFonts w:eastAsia="Calibri" w:cstheme="minorHAnsi"/>
          <w:szCs w:val="24"/>
        </w:rPr>
        <w:t xml:space="preserve">The </w:t>
      </w:r>
      <w:r w:rsidR="00127614" w:rsidRPr="00387141">
        <w:rPr>
          <w:rFonts w:eastAsia="Calibri" w:cstheme="minorHAnsi"/>
          <w:szCs w:val="24"/>
        </w:rPr>
        <w:t>transducer</w:t>
      </w:r>
      <w:r w:rsidR="00FE74BC" w:rsidRPr="00387141">
        <w:rPr>
          <w:rFonts w:eastAsia="Calibri" w:cstheme="minorHAnsi"/>
          <w:szCs w:val="24"/>
        </w:rPr>
        <w:t xml:space="preserve"> is located closer to the atria</w:t>
      </w:r>
      <w:r w:rsidR="00075DAF" w:rsidRPr="00387141">
        <w:rPr>
          <w:rFonts w:eastAsia="Calibri" w:cstheme="minorHAnsi"/>
          <w:szCs w:val="24"/>
        </w:rPr>
        <w:t>,</w:t>
      </w:r>
      <w:r w:rsidR="006F215A" w:rsidRPr="00387141">
        <w:rPr>
          <w:rFonts w:eastAsia="Calibri" w:cstheme="minorHAnsi"/>
          <w:szCs w:val="24"/>
        </w:rPr>
        <w:t xml:space="preserve"> allowing higher frequency ultrasound</w:t>
      </w:r>
      <w:r w:rsidR="00E155FE" w:rsidRPr="00387141">
        <w:rPr>
          <w:rFonts w:eastAsia="Calibri" w:cstheme="minorHAnsi"/>
          <w:szCs w:val="24"/>
        </w:rPr>
        <w:t xml:space="preserve"> than TTE</w:t>
      </w:r>
      <w:r w:rsidR="00F11004" w:rsidRPr="00387141">
        <w:rPr>
          <w:rFonts w:eastAsia="Calibri" w:cstheme="minorHAnsi"/>
          <w:szCs w:val="24"/>
        </w:rPr>
        <w:t xml:space="preserve"> and results in </w:t>
      </w:r>
      <w:r w:rsidR="00605FA4" w:rsidRPr="00387141">
        <w:rPr>
          <w:rFonts w:eastAsia="Calibri" w:cstheme="minorHAnsi"/>
          <w:szCs w:val="24"/>
        </w:rPr>
        <w:t>higher resolution imaging</w:t>
      </w:r>
      <w:r w:rsidR="00075DAF" w:rsidRPr="00387141">
        <w:rPr>
          <w:rFonts w:eastAsia="Calibri" w:cstheme="minorHAnsi"/>
          <w:szCs w:val="24"/>
        </w:rPr>
        <w:t>,</w:t>
      </w:r>
      <w:r w:rsidR="005B52D6" w:rsidRPr="00387141">
        <w:rPr>
          <w:rFonts w:eastAsia="Calibri" w:cstheme="minorHAnsi"/>
          <w:szCs w:val="24"/>
        </w:rPr>
        <w:t xml:space="preserve"> enabling improved identification of PFO and other cardiovascular defects. </w:t>
      </w:r>
      <w:r w:rsidR="005E54FF" w:rsidRPr="00387141">
        <w:rPr>
          <w:rFonts w:eastAsia="Calibri" w:cstheme="minorHAnsi"/>
          <w:szCs w:val="24"/>
        </w:rPr>
        <w:t>T</w:t>
      </w:r>
      <w:r w:rsidR="00F54D68" w:rsidRPr="00387141">
        <w:rPr>
          <w:rFonts w:eastAsia="Calibri" w:cstheme="minorHAnsi"/>
          <w:szCs w:val="24"/>
        </w:rPr>
        <w:t>E</w:t>
      </w:r>
      <w:r w:rsidR="005E54FF" w:rsidRPr="00387141">
        <w:rPr>
          <w:rFonts w:eastAsia="Calibri" w:cstheme="minorHAnsi"/>
          <w:szCs w:val="24"/>
        </w:rPr>
        <w:t>E, like TTE or TCD</w:t>
      </w:r>
      <w:r w:rsidR="00FC03F2" w:rsidRPr="00387141">
        <w:rPr>
          <w:rFonts w:eastAsia="Calibri" w:cstheme="minorHAnsi"/>
          <w:szCs w:val="24"/>
        </w:rPr>
        <w:t>,</w:t>
      </w:r>
      <w:r w:rsidR="005E54FF" w:rsidRPr="00387141">
        <w:rPr>
          <w:rFonts w:eastAsia="Calibri" w:cstheme="minorHAnsi"/>
          <w:szCs w:val="24"/>
        </w:rPr>
        <w:t xml:space="preserve"> may use agitated saline injection</w:t>
      </w:r>
      <w:r w:rsidR="00E4435F" w:rsidRPr="00387141">
        <w:rPr>
          <w:rFonts w:eastAsia="Calibri" w:cstheme="minorHAnsi"/>
          <w:szCs w:val="24"/>
        </w:rPr>
        <w:t xml:space="preserve"> and Valsalva maneuver to assist with PFO identification. </w:t>
      </w:r>
      <w:r w:rsidR="001D0B96" w:rsidRPr="00387141">
        <w:rPr>
          <w:rFonts w:eastAsia="Calibri" w:cstheme="minorHAnsi"/>
          <w:szCs w:val="24"/>
        </w:rPr>
        <w:t>One limit</w:t>
      </w:r>
      <w:r w:rsidR="00FC03F2" w:rsidRPr="00387141">
        <w:rPr>
          <w:rFonts w:eastAsia="Calibri" w:cstheme="minorHAnsi"/>
          <w:szCs w:val="24"/>
        </w:rPr>
        <w:t>ation</w:t>
      </w:r>
      <w:r w:rsidR="001D0B96" w:rsidRPr="00387141">
        <w:rPr>
          <w:rFonts w:eastAsia="Calibri" w:cstheme="minorHAnsi"/>
          <w:szCs w:val="24"/>
        </w:rPr>
        <w:t xml:space="preserve"> is </w:t>
      </w:r>
      <w:r w:rsidR="007E05F6" w:rsidRPr="00387141">
        <w:rPr>
          <w:rFonts w:eastAsia="Calibri" w:cstheme="minorHAnsi"/>
          <w:szCs w:val="24"/>
        </w:rPr>
        <w:t xml:space="preserve">that the </w:t>
      </w:r>
      <w:r w:rsidR="00127614" w:rsidRPr="00387141">
        <w:rPr>
          <w:rFonts w:eastAsia="Calibri" w:cstheme="minorHAnsi"/>
          <w:szCs w:val="24"/>
        </w:rPr>
        <w:t>transducer</w:t>
      </w:r>
      <w:r w:rsidR="00AA575F" w:rsidRPr="00387141">
        <w:rPr>
          <w:rFonts w:eastAsia="Calibri" w:cstheme="minorHAnsi"/>
          <w:szCs w:val="24"/>
        </w:rPr>
        <w:t xml:space="preserve"> may interfere with the patient</w:t>
      </w:r>
      <w:r w:rsidR="00FC03F2" w:rsidRPr="00387141">
        <w:rPr>
          <w:rFonts w:eastAsia="Calibri" w:cstheme="minorHAnsi"/>
          <w:szCs w:val="24"/>
        </w:rPr>
        <w:t>’s</w:t>
      </w:r>
      <w:r w:rsidR="00AA575F" w:rsidRPr="00387141">
        <w:rPr>
          <w:rFonts w:eastAsia="Calibri" w:cstheme="minorHAnsi"/>
          <w:szCs w:val="24"/>
        </w:rPr>
        <w:t xml:space="preserve"> ability to perform an adequate </w:t>
      </w:r>
      <w:r w:rsidR="00127614" w:rsidRPr="00387141">
        <w:rPr>
          <w:rFonts w:eastAsia="Calibri" w:cstheme="minorHAnsi"/>
          <w:szCs w:val="24"/>
        </w:rPr>
        <w:t>Valsalva</w:t>
      </w:r>
      <w:r w:rsidR="007A2243" w:rsidRPr="00387141">
        <w:rPr>
          <w:rFonts w:eastAsia="Calibri" w:cstheme="minorHAnsi"/>
          <w:szCs w:val="24"/>
        </w:rPr>
        <w:t xml:space="preserve"> </w:t>
      </w:r>
      <w:r w:rsidR="00127614" w:rsidRPr="00387141">
        <w:rPr>
          <w:rFonts w:eastAsia="Calibri" w:cstheme="minorHAnsi"/>
          <w:szCs w:val="24"/>
        </w:rPr>
        <w:t>maneuver</w:t>
      </w:r>
      <w:r w:rsidR="00130986" w:rsidRPr="00387141">
        <w:rPr>
          <w:rFonts w:eastAsia="Calibri" w:cstheme="minorHAnsi"/>
          <w:szCs w:val="24"/>
        </w:rPr>
        <w:t xml:space="preserve"> which can help </w:t>
      </w:r>
      <w:r w:rsidR="004D46B6" w:rsidRPr="00387141">
        <w:rPr>
          <w:rFonts w:eastAsia="Calibri" w:cstheme="minorHAnsi"/>
          <w:szCs w:val="24"/>
        </w:rPr>
        <w:t xml:space="preserve">identify a PFO. </w:t>
      </w:r>
      <w:r w:rsidR="005F7A81" w:rsidRPr="00387141">
        <w:rPr>
          <w:rFonts w:eastAsia="Calibri" w:cstheme="minorHAnsi"/>
          <w:szCs w:val="24"/>
        </w:rPr>
        <w:t xml:space="preserve">TEE </w:t>
      </w:r>
      <w:r w:rsidR="00FC03F2" w:rsidRPr="00387141">
        <w:rPr>
          <w:rFonts w:eastAsia="Calibri" w:cstheme="minorHAnsi"/>
          <w:szCs w:val="24"/>
        </w:rPr>
        <w:t>m</w:t>
      </w:r>
      <w:r w:rsidRPr="00387141">
        <w:rPr>
          <w:rFonts w:eastAsia="Calibri" w:cstheme="minorHAnsi"/>
          <w:szCs w:val="24"/>
        </w:rPr>
        <w:t xml:space="preserve">ay require light sedation. </w:t>
      </w:r>
      <w:r w:rsidR="45197DF3" w:rsidRPr="00387141">
        <w:rPr>
          <w:rFonts w:eastAsia="Calibri" w:cstheme="minorHAnsi"/>
          <w:szCs w:val="24"/>
        </w:rPr>
        <w:t xml:space="preserve">TEE is considered a </w:t>
      </w:r>
      <w:r w:rsidR="377E00CB" w:rsidRPr="00387141">
        <w:rPr>
          <w:rFonts w:eastAsia="Calibri" w:cstheme="minorHAnsi"/>
          <w:szCs w:val="24"/>
        </w:rPr>
        <w:t>m</w:t>
      </w:r>
      <w:r w:rsidRPr="00387141">
        <w:rPr>
          <w:rFonts w:eastAsia="Calibri" w:cstheme="minorHAnsi"/>
          <w:szCs w:val="24"/>
        </w:rPr>
        <w:t>ore invasive procedure</w:t>
      </w:r>
      <w:r w:rsidR="00655A1A" w:rsidRPr="00387141">
        <w:rPr>
          <w:rFonts w:eastAsia="Calibri" w:cstheme="minorHAnsi"/>
          <w:szCs w:val="24"/>
        </w:rPr>
        <w:t xml:space="preserve"> </w:t>
      </w:r>
      <w:r w:rsidR="00127614" w:rsidRPr="00387141">
        <w:rPr>
          <w:rFonts w:eastAsia="Calibri" w:cstheme="minorHAnsi"/>
          <w:szCs w:val="24"/>
        </w:rPr>
        <w:t xml:space="preserve">with </w:t>
      </w:r>
      <w:r w:rsidRPr="00387141">
        <w:rPr>
          <w:rFonts w:eastAsia="Calibri" w:cstheme="minorHAnsi"/>
          <w:szCs w:val="24"/>
        </w:rPr>
        <w:t xml:space="preserve">increased risk </w:t>
      </w:r>
      <w:r w:rsidR="004B7875" w:rsidRPr="00387141">
        <w:rPr>
          <w:rFonts w:eastAsia="Calibri" w:cstheme="minorHAnsi"/>
          <w:szCs w:val="24"/>
        </w:rPr>
        <w:t xml:space="preserve">compared </w:t>
      </w:r>
      <w:r w:rsidR="00127614" w:rsidRPr="00387141">
        <w:rPr>
          <w:rFonts w:eastAsia="Calibri" w:cstheme="minorHAnsi"/>
          <w:szCs w:val="24"/>
        </w:rPr>
        <w:t>to</w:t>
      </w:r>
      <w:r w:rsidRPr="00387141">
        <w:rPr>
          <w:rFonts w:eastAsia="Calibri" w:cstheme="minorHAnsi"/>
          <w:szCs w:val="24"/>
        </w:rPr>
        <w:t xml:space="preserve"> TTE</w:t>
      </w:r>
      <w:r w:rsidR="00692836" w:rsidRPr="00387141">
        <w:rPr>
          <w:rFonts w:eastAsia="Calibri" w:cstheme="minorHAnsi"/>
          <w:szCs w:val="24"/>
        </w:rPr>
        <w:t xml:space="preserve"> or </w:t>
      </w:r>
      <w:r w:rsidR="000C2DAC" w:rsidRPr="00387141">
        <w:rPr>
          <w:rFonts w:eastAsia="Calibri" w:cstheme="minorHAnsi"/>
          <w:szCs w:val="24"/>
        </w:rPr>
        <w:t>TCD</w:t>
      </w:r>
      <w:r w:rsidR="00FC03F2" w:rsidRPr="00387141">
        <w:rPr>
          <w:rFonts w:eastAsia="Calibri" w:cstheme="minorHAnsi"/>
          <w:szCs w:val="24"/>
        </w:rPr>
        <w:t>,</w:t>
      </w:r>
      <w:r w:rsidRPr="00387141">
        <w:rPr>
          <w:rFonts w:eastAsia="Calibri" w:cstheme="minorHAnsi"/>
          <w:szCs w:val="24"/>
        </w:rPr>
        <w:t xml:space="preserve"> including risk of esophageal tear during procedure (0.</w:t>
      </w:r>
      <w:r w:rsidR="07E1627A" w:rsidRPr="00387141">
        <w:rPr>
          <w:rFonts w:eastAsia="Calibri" w:cstheme="minorHAnsi"/>
          <w:szCs w:val="24"/>
        </w:rPr>
        <w:t>0</w:t>
      </w:r>
      <w:r w:rsidRPr="00387141">
        <w:rPr>
          <w:rFonts w:eastAsia="Calibri" w:cstheme="minorHAnsi"/>
          <w:szCs w:val="24"/>
        </w:rPr>
        <w:t>3-0.</w:t>
      </w:r>
      <w:r w:rsidR="5BFE4983" w:rsidRPr="00387141">
        <w:rPr>
          <w:rFonts w:eastAsia="Calibri" w:cstheme="minorHAnsi"/>
          <w:szCs w:val="24"/>
        </w:rPr>
        <w:t>0</w:t>
      </w:r>
      <w:r w:rsidRPr="00387141">
        <w:rPr>
          <w:rFonts w:eastAsia="Calibri" w:cstheme="minorHAnsi"/>
          <w:szCs w:val="24"/>
        </w:rPr>
        <w:t xml:space="preserve">9%) and </w:t>
      </w:r>
      <w:r w:rsidR="65C6CE45" w:rsidRPr="00387141">
        <w:rPr>
          <w:rFonts w:eastAsia="Calibri" w:cstheme="minorHAnsi"/>
          <w:szCs w:val="24"/>
        </w:rPr>
        <w:t xml:space="preserve">risk of </w:t>
      </w:r>
      <w:r w:rsidRPr="00387141">
        <w:rPr>
          <w:rFonts w:eastAsia="Calibri" w:cstheme="minorHAnsi"/>
          <w:szCs w:val="24"/>
        </w:rPr>
        <w:t xml:space="preserve">reaction to sedating medication. </w:t>
      </w:r>
      <w:r w:rsidR="0A13F0D6" w:rsidRPr="00387141">
        <w:rPr>
          <w:rFonts w:eastAsia="Calibri" w:cstheme="minorHAnsi"/>
          <w:szCs w:val="24"/>
        </w:rPr>
        <w:t xml:space="preserve">TEE has been considered the </w:t>
      </w:r>
      <w:r w:rsidR="00A81575" w:rsidRPr="00387141">
        <w:rPr>
          <w:rFonts w:eastAsia="Calibri" w:cstheme="minorHAnsi"/>
          <w:szCs w:val="24"/>
        </w:rPr>
        <w:t xml:space="preserve">diagnostic </w:t>
      </w:r>
      <w:r w:rsidR="008C4733" w:rsidRPr="00387141">
        <w:rPr>
          <w:rFonts w:eastAsia="Calibri" w:cstheme="minorHAnsi"/>
          <w:szCs w:val="24"/>
        </w:rPr>
        <w:t>modality</w:t>
      </w:r>
      <w:r w:rsidR="0A13F0D6" w:rsidRPr="00387141">
        <w:rPr>
          <w:rFonts w:eastAsia="Calibri" w:cstheme="minorHAnsi"/>
          <w:szCs w:val="24"/>
        </w:rPr>
        <w:t xml:space="preserve"> of choice for many institutions to </w:t>
      </w:r>
      <w:r w:rsidR="00A81575" w:rsidRPr="00387141">
        <w:rPr>
          <w:rFonts w:eastAsia="Calibri" w:cstheme="minorHAnsi"/>
          <w:szCs w:val="24"/>
        </w:rPr>
        <w:t xml:space="preserve">more definitively rule out or </w:t>
      </w:r>
      <w:r w:rsidR="0A13F0D6" w:rsidRPr="00387141">
        <w:rPr>
          <w:rFonts w:eastAsia="Calibri" w:cstheme="minorHAnsi"/>
          <w:szCs w:val="24"/>
        </w:rPr>
        <w:t xml:space="preserve">further characterize </w:t>
      </w:r>
      <w:r w:rsidR="00A81575" w:rsidRPr="00387141">
        <w:rPr>
          <w:rFonts w:eastAsia="Calibri" w:cstheme="minorHAnsi"/>
          <w:szCs w:val="24"/>
        </w:rPr>
        <w:t xml:space="preserve">a </w:t>
      </w:r>
      <w:r w:rsidR="0A13F0D6" w:rsidRPr="00387141">
        <w:rPr>
          <w:rFonts w:eastAsia="Calibri" w:cstheme="minorHAnsi"/>
          <w:szCs w:val="24"/>
        </w:rPr>
        <w:t xml:space="preserve">PFO after </w:t>
      </w:r>
      <w:r w:rsidR="00A81575" w:rsidRPr="00387141">
        <w:rPr>
          <w:rFonts w:eastAsia="Calibri" w:cstheme="minorHAnsi"/>
          <w:szCs w:val="24"/>
        </w:rPr>
        <w:t>an</w:t>
      </w:r>
      <w:r w:rsidR="0A13F0D6" w:rsidRPr="00387141">
        <w:rPr>
          <w:rFonts w:eastAsia="Calibri" w:cstheme="minorHAnsi"/>
          <w:szCs w:val="24"/>
        </w:rPr>
        <w:t xml:space="preserve"> initial assessment</w:t>
      </w:r>
      <w:r w:rsidR="00A81575" w:rsidRPr="00387141">
        <w:rPr>
          <w:rFonts w:eastAsia="Calibri" w:cstheme="minorHAnsi"/>
          <w:szCs w:val="24"/>
        </w:rPr>
        <w:t xml:space="preserve"> via TTE</w:t>
      </w:r>
      <w:r w:rsidR="0A13F0D6" w:rsidRPr="00387141">
        <w:rPr>
          <w:rFonts w:eastAsia="Calibri" w:cstheme="minorHAnsi"/>
          <w:szCs w:val="24"/>
        </w:rPr>
        <w:t>. But the overall TEE procedure is time consuming, more costly, and more invasive compared to either TCD or TTE.</w:t>
      </w:r>
      <w:r w:rsidR="343ED9CE" w:rsidRPr="00387141">
        <w:rPr>
          <w:rFonts w:eastAsia="Calibri" w:cstheme="minorHAnsi"/>
          <w:szCs w:val="24"/>
        </w:rPr>
        <w:t xml:space="preserve"> </w:t>
      </w:r>
    </w:p>
    <w:p w14:paraId="74977875" w14:textId="53477ADA" w:rsidR="00EE1385" w:rsidRPr="00387141" w:rsidRDefault="00902249">
      <w:pPr>
        <w:pStyle w:val="ListParagraph"/>
        <w:numPr>
          <w:ilvl w:val="0"/>
          <w:numId w:val="25"/>
        </w:numPr>
        <w:spacing w:after="60" w:line="360" w:lineRule="auto"/>
        <w:rPr>
          <w:rFonts w:eastAsia="Calibri" w:cstheme="minorHAnsi"/>
          <w:szCs w:val="24"/>
        </w:rPr>
      </w:pPr>
      <w:r w:rsidRPr="00387141">
        <w:rPr>
          <w:rFonts w:eastAsia="Calibri" w:cstheme="minorHAnsi"/>
          <w:szCs w:val="24"/>
        </w:rPr>
        <w:lastRenderedPageBreak/>
        <w:t xml:space="preserve">See </w:t>
      </w:r>
      <w:r w:rsidR="000C0965" w:rsidRPr="00387141">
        <w:rPr>
          <w:rFonts w:eastAsia="Calibri" w:cstheme="minorHAnsi"/>
          <w:szCs w:val="24"/>
        </w:rPr>
        <w:t>Table 1</w:t>
      </w:r>
      <w:r w:rsidRPr="00387141">
        <w:rPr>
          <w:rFonts w:eastAsia="Calibri" w:cstheme="minorHAnsi"/>
          <w:szCs w:val="24"/>
        </w:rPr>
        <w:t xml:space="preserve"> below for </w:t>
      </w:r>
      <w:r w:rsidR="001A707D" w:rsidRPr="00387141">
        <w:rPr>
          <w:rFonts w:eastAsia="Calibri" w:cstheme="minorHAnsi"/>
          <w:szCs w:val="24"/>
        </w:rPr>
        <w:t xml:space="preserve">a </w:t>
      </w:r>
      <w:r w:rsidRPr="00387141">
        <w:rPr>
          <w:rFonts w:eastAsia="Calibri" w:cstheme="minorHAnsi"/>
          <w:szCs w:val="24"/>
        </w:rPr>
        <w:t xml:space="preserve">summary of studies comparing imaging modalities. </w:t>
      </w:r>
      <w:r w:rsidR="000376F6" w:rsidRPr="00387141">
        <w:rPr>
          <w:rFonts w:eastAsia="Calibri" w:cstheme="minorHAnsi"/>
          <w:szCs w:val="24"/>
        </w:rPr>
        <w:t xml:space="preserve">TCD and TTE, if performed well, </w:t>
      </w:r>
      <w:r w:rsidR="00EF631D" w:rsidRPr="00387141">
        <w:rPr>
          <w:rFonts w:eastAsia="Calibri" w:cstheme="minorHAnsi"/>
          <w:szCs w:val="24"/>
        </w:rPr>
        <w:t>can easily diagnose a PFO and continues to be the most common referral to echocardiography departments (</w:t>
      </w:r>
      <w:r w:rsidR="009B1B8C" w:rsidRPr="00387141">
        <w:rPr>
          <w:rFonts w:eastAsia="Calibri" w:cstheme="minorHAnsi"/>
          <w:szCs w:val="24"/>
        </w:rPr>
        <w:t xml:space="preserve">Van der Giessen, 2020). </w:t>
      </w:r>
      <w:r w:rsidR="000E3EBD" w:rsidRPr="00387141">
        <w:rPr>
          <w:rFonts w:eastAsia="Calibri" w:cstheme="minorHAnsi"/>
          <w:szCs w:val="24"/>
        </w:rPr>
        <w:t xml:space="preserve">Cautions with all tests include the fact that </w:t>
      </w:r>
      <w:r w:rsidR="008E0FFD" w:rsidRPr="00387141">
        <w:rPr>
          <w:rFonts w:eastAsia="Calibri" w:cstheme="minorHAnsi"/>
          <w:szCs w:val="24"/>
        </w:rPr>
        <w:t xml:space="preserve">other shunts </w:t>
      </w:r>
      <w:r w:rsidR="00EF5777" w:rsidRPr="00387141">
        <w:rPr>
          <w:rFonts w:eastAsia="Calibri" w:cstheme="minorHAnsi"/>
          <w:szCs w:val="24"/>
        </w:rPr>
        <w:t xml:space="preserve">(e.g., pulmonary) </w:t>
      </w:r>
      <w:r w:rsidR="008E0FFD" w:rsidRPr="00387141">
        <w:rPr>
          <w:rFonts w:eastAsia="Calibri" w:cstheme="minorHAnsi"/>
          <w:szCs w:val="24"/>
        </w:rPr>
        <w:t>may be detected</w:t>
      </w:r>
      <w:r w:rsidR="000C0965" w:rsidRPr="00387141">
        <w:rPr>
          <w:rFonts w:eastAsia="Calibri" w:cstheme="minorHAnsi"/>
          <w:szCs w:val="24"/>
        </w:rPr>
        <w:t>/present</w:t>
      </w:r>
      <w:r w:rsidR="008E0FFD" w:rsidRPr="00387141">
        <w:rPr>
          <w:rFonts w:eastAsia="Calibri" w:cstheme="minorHAnsi"/>
          <w:szCs w:val="24"/>
        </w:rPr>
        <w:t>,</w:t>
      </w:r>
      <w:r w:rsidR="00BA0D1E" w:rsidRPr="00387141">
        <w:rPr>
          <w:rFonts w:eastAsia="Calibri" w:cstheme="minorHAnsi"/>
          <w:szCs w:val="24"/>
        </w:rPr>
        <w:t xml:space="preserve"> the Valsalva </w:t>
      </w:r>
      <w:r w:rsidR="006015DC" w:rsidRPr="00387141">
        <w:rPr>
          <w:rFonts w:eastAsia="Calibri" w:cstheme="minorHAnsi"/>
          <w:szCs w:val="24"/>
        </w:rPr>
        <w:t>maneuver</w:t>
      </w:r>
      <w:r w:rsidR="00BA0D1E" w:rsidRPr="00387141">
        <w:rPr>
          <w:rFonts w:eastAsia="Calibri" w:cstheme="minorHAnsi"/>
          <w:szCs w:val="24"/>
        </w:rPr>
        <w:t xml:space="preserve"> can be difficult for patients to perform </w:t>
      </w:r>
      <w:r w:rsidR="000C0965" w:rsidRPr="00387141">
        <w:rPr>
          <w:rFonts w:eastAsia="Calibri" w:cstheme="minorHAnsi"/>
          <w:szCs w:val="24"/>
        </w:rPr>
        <w:t xml:space="preserve">(especially sedated) </w:t>
      </w:r>
      <w:r w:rsidR="00385BF3" w:rsidRPr="00387141">
        <w:rPr>
          <w:rFonts w:eastAsia="Calibri" w:cstheme="minorHAnsi"/>
          <w:szCs w:val="24"/>
        </w:rPr>
        <w:t xml:space="preserve">which </w:t>
      </w:r>
      <w:r w:rsidR="00642210" w:rsidRPr="00387141">
        <w:rPr>
          <w:rFonts w:eastAsia="Calibri" w:cstheme="minorHAnsi"/>
          <w:szCs w:val="24"/>
        </w:rPr>
        <w:t xml:space="preserve">can </w:t>
      </w:r>
      <w:r w:rsidR="000C0965" w:rsidRPr="00387141">
        <w:rPr>
          <w:rFonts w:eastAsia="Calibri" w:cstheme="minorHAnsi"/>
          <w:szCs w:val="24"/>
        </w:rPr>
        <w:t xml:space="preserve">limit </w:t>
      </w:r>
      <w:r w:rsidR="008567F8" w:rsidRPr="00387141">
        <w:rPr>
          <w:rFonts w:eastAsia="Calibri" w:cstheme="minorHAnsi"/>
          <w:szCs w:val="24"/>
        </w:rPr>
        <w:t xml:space="preserve">PFO </w:t>
      </w:r>
      <w:r w:rsidR="00722D4C" w:rsidRPr="00387141">
        <w:rPr>
          <w:rFonts w:eastAsia="Calibri" w:cstheme="minorHAnsi"/>
          <w:szCs w:val="24"/>
        </w:rPr>
        <w:t>detection</w:t>
      </w:r>
      <w:r w:rsidR="008567F8" w:rsidRPr="00387141">
        <w:rPr>
          <w:rFonts w:eastAsia="Calibri" w:cstheme="minorHAnsi"/>
          <w:szCs w:val="24"/>
        </w:rPr>
        <w:t xml:space="preserve">, and </w:t>
      </w:r>
      <w:r w:rsidR="00722D4C" w:rsidRPr="00387141">
        <w:rPr>
          <w:rFonts w:eastAsia="Calibri" w:cstheme="minorHAnsi"/>
          <w:szCs w:val="24"/>
        </w:rPr>
        <w:t xml:space="preserve">all detection is </w:t>
      </w:r>
      <w:r w:rsidR="000C0965" w:rsidRPr="00387141">
        <w:rPr>
          <w:rFonts w:eastAsia="Calibri" w:cstheme="minorHAnsi"/>
          <w:szCs w:val="24"/>
        </w:rPr>
        <w:t>subject to the skill</w:t>
      </w:r>
      <w:r w:rsidR="00A81174" w:rsidRPr="00387141">
        <w:rPr>
          <w:rFonts w:eastAsia="Calibri" w:cstheme="minorHAnsi"/>
          <w:szCs w:val="24"/>
        </w:rPr>
        <w:t xml:space="preserve"> of the practitioner. </w:t>
      </w:r>
    </w:p>
    <w:p w14:paraId="591F82A8" w14:textId="15E20FB9" w:rsidR="00355CE3" w:rsidRPr="00355CE3" w:rsidRDefault="001E735D" w:rsidP="00B90B18">
      <w:pPr>
        <w:pStyle w:val="ListParagraph"/>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68A83D50" wp14:editId="2B784CA3">
            <wp:extent cx="4425325" cy="39937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6379" cy="4003752"/>
                    </a:xfrm>
                    <a:prstGeom prst="rect">
                      <a:avLst/>
                    </a:prstGeom>
                    <a:noFill/>
                  </pic:spPr>
                </pic:pic>
              </a:graphicData>
            </a:graphic>
          </wp:inline>
        </w:drawing>
      </w:r>
    </w:p>
    <w:p w14:paraId="3EDC4BB4" w14:textId="2BF27126" w:rsidR="00355CE3" w:rsidRPr="00B724A7" w:rsidRDefault="00C61CCB" w:rsidP="00B90B18">
      <w:pPr>
        <w:pStyle w:val="ListParagraph"/>
        <w:spacing w:after="60" w:line="360" w:lineRule="auto"/>
        <w:jc w:val="center"/>
        <w:rPr>
          <w:rFonts w:ascii="Calibri" w:eastAsia="Calibri" w:hAnsi="Calibri" w:cs="Calibri"/>
          <w:i/>
          <w:iCs/>
          <w:sz w:val="22"/>
        </w:rPr>
      </w:pPr>
      <w:r>
        <w:rPr>
          <w:rFonts w:ascii="Calibri" w:eastAsia="Calibri" w:hAnsi="Calibri" w:cs="Calibri"/>
          <w:i/>
          <w:iCs/>
          <w:sz w:val="22"/>
        </w:rPr>
        <w:t xml:space="preserve"> </w:t>
      </w:r>
    </w:p>
    <w:p w14:paraId="5507C73A" w14:textId="585CFAA1" w:rsidR="00D34F29" w:rsidRPr="00FC03F2" w:rsidRDefault="00D34F29" w:rsidP="00387141">
      <w:pPr>
        <w:pStyle w:val="Heading3"/>
        <w:numPr>
          <w:ilvl w:val="0"/>
          <w:numId w:val="36"/>
        </w:numPr>
      </w:pPr>
      <w:bookmarkStart w:id="5" w:name="_Toc170739828"/>
      <w:r w:rsidRPr="00FC03F2">
        <w:t>PFO Closure</w:t>
      </w:r>
      <w:bookmarkEnd w:id="5"/>
    </w:p>
    <w:p w14:paraId="6C3670DA" w14:textId="77777777" w:rsidR="00387141" w:rsidRPr="00387141" w:rsidRDefault="00D34F29" w:rsidP="00387141">
      <w:pPr>
        <w:pStyle w:val="ListParagraph"/>
        <w:numPr>
          <w:ilvl w:val="0"/>
          <w:numId w:val="27"/>
        </w:numPr>
        <w:spacing w:after="60" w:line="360" w:lineRule="auto"/>
        <w:rPr>
          <w:szCs w:val="24"/>
        </w:rPr>
      </w:pPr>
      <w:r>
        <w:t>Closure of PFOs is an outpatient procedure. Closure is performed using a</w:t>
      </w:r>
      <w:r w:rsidRPr="00AA5241">
        <w:t xml:space="preserve"> transcatheter device fed into the heart via the femoral vein. During this procedure, a transeptal sheath travels through the PFO into the </w:t>
      </w:r>
      <w:r w:rsidR="001840B6">
        <w:t>left atrium</w:t>
      </w:r>
      <w:r w:rsidRPr="00AA5241">
        <w:t xml:space="preserve"> before </w:t>
      </w:r>
      <w:r w:rsidR="73FD2A9C">
        <w:t>it is deployed.</w:t>
      </w:r>
      <w:r w:rsidRPr="00AA5241">
        <w:t xml:space="preserve"> An umbrella‐like structure opens first on the </w:t>
      </w:r>
      <w:r w:rsidR="001840B6">
        <w:t>left atrium</w:t>
      </w:r>
      <w:r w:rsidRPr="00AA5241">
        <w:t xml:space="preserve"> side of the septum</w:t>
      </w:r>
      <w:r>
        <w:t>,</w:t>
      </w:r>
      <w:r w:rsidRPr="00AA5241">
        <w:t xml:space="preserve"> and then the </w:t>
      </w:r>
      <w:r w:rsidR="001840B6">
        <w:t>right atrium</w:t>
      </w:r>
      <w:r w:rsidRPr="00AA5241">
        <w:t xml:space="preserve"> side</w:t>
      </w:r>
      <w:r>
        <w:t>,</w:t>
      </w:r>
      <w:r w:rsidRPr="00AA5241">
        <w:t xml:space="preserve"> creating a seal over the PFO so blood can no longer traverse the septum after the sheath is removed</w:t>
      </w:r>
      <w:r w:rsidR="0060158C">
        <w:t xml:space="preserve"> (the closure device does not create a seal immediately after the </w:t>
      </w:r>
      <w:r w:rsidR="0060158C">
        <w:lastRenderedPageBreak/>
        <w:t>procedure, the endothelium must migrate over the device to accomplish a true seal)</w:t>
      </w:r>
      <w:r w:rsidR="4E1E7FCB">
        <w:t xml:space="preserve">. </w:t>
      </w:r>
      <w:r w:rsidR="00C31054">
        <w:t>The p</w:t>
      </w:r>
      <w:r w:rsidR="4E1E7FCB">
        <w:t>atient is usua</w:t>
      </w:r>
      <w:r w:rsidR="01284A62">
        <w:t xml:space="preserve">lly </w:t>
      </w:r>
      <w:r w:rsidR="4E1E7FCB">
        <w:t xml:space="preserve">prescribed </w:t>
      </w:r>
      <w:r w:rsidR="690FD27B">
        <w:t xml:space="preserve">oral </w:t>
      </w:r>
      <w:r w:rsidR="3AAA7E22">
        <w:t>anticoagulation</w:t>
      </w:r>
      <w:r w:rsidR="4E1E7FCB">
        <w:t xml:space="preserve"> for 3 </w:t>
      </w:r>
      <w:r w:rsidR="6B6D5472">
        <w:t xml:space="preserve">– 6 </w:t>
      </w:r>
      <w:r w:rsidR="4E1E7FCB">
        <w:t>months</w:t>
      </w:r>
      <w:r w:rsidR="00C31054">
        <w:t xml:space="preserve"> post-closure</w:t>
      </w:r>
      <w:r w:rsidR="4E1E7FCB">
        <w:t>.</w:t>
      </w:r>
    </w:p>
    <w:p w14:paraId="23166935" w14:textId="235E1ACA" w:rsidR="23EA9C57" w:rsidRPr="00387141" w:rsidRDefault="4E1E7FCB" w:rsidP="00387141">
      <w:pPr>
        <w:pStyle w:val="ListParagraph"/>
        <w:numPr>
          <w:ilvl w:val="0"/>
          <w:numId w:val="27"/>
        </w:numPr>
        <w:spacing w:after="60" w:line="360" w:lineRule="auto"/>
        <w:rPr>
          <w:szCs w:val="24"/>
        </w:rPr>
      </w:pPr>
      <w:r>
        <w:t>Complication rates with PFO closure are dependent on the device utilized and skill of the clinician. R</w:t>
      </w:r>
      <w:r w:rsidR="00D34F29">
        <w:t xml:space="preserve">isk of serious complication is approximately 1% (complications may include damage to blood vessels, blood clots, infection, </w:t>
      </w:r>
      <w:r w:rsidR="00C31054">
        <w:t>and development of atrial fibrillation)</w:t>
      </w:r>
      <w:r w:rsidR="00D34F29">
        <w:t xml:space="preserve">. </w:t>
      </w:r>
      <w:r w:rsidR="42D60BA8">
        <w:t xml:space="preserve">Other complications reported </w:t>
      </w:r>
      <w:r w:rsidR="000C0965">
        <w:t xml:space="preserve">by </w:t>
      </w:r>
      <w:r w:rsidR="00716586">
        <w:t>various trials</w:t>
      </w:r>
      <w:r w:rsidR="42D60BA8">
        <w:t xml:space="preserve"> include cardiac tamponade (0.4%), device migration/</w:t>
      </w:r>
      <w:r w:rsidR="00C31054">
        <w:t>embolization</w:t>
      </w:r>
      <w:r w:rsidR="42D60BA8">
        <w:t xml:space="preserve"> (0.5%), infective endocarditis (0.2%), </w:t>
      </w:r>
      <w:r w:rsidR="00FF4106">
        <w:t xml:space="preserve">and </w:t>
      </w:r>
      <w:r w:rsidR="42D60BA8">
        <w:t>stroke (0.4%). These potential complications are rare, but all should be mentioned in the patient consent process for device closure</w:t>
      </w:r>
      <w:r w:rsidR="00C240F0">
        <w:t xml:space="preserve"> (</w:t>
      </w:r>
      <w:proofErr w:type="spellStart"/>
      <w:r w:rsidR="00C240F0">
        <w:t>Gonnah</w:t>
      </w:r>
      <w:proofErr w:type="spellEnd"/>
      <w:r w:rsidR="00C240F0">
        <w:t>, 2022)</w:t>
      </w:r>
      <w:r w:rsidR="42D60BA8">
        <w:t>.</w:t>
      </w:r>
      <w:r w:rsidR="00613AFA">
        <w:t xml:space="preserve"> </w:t>
      </w:r>
      <w:r w:rsidR="5EF4FC45">
        <w:t xml:space="preserve">U.S. Food and Drug Administration (FDA) approval and insurance funding is currently written that PFO closure is considered for patients with prior stroke and no other risk factors (not approved for DCS </w:t>
      </w:r>
      <w:r w:rsidR="5EF4FC45" w:rsidRPr="009C1DD6">
        <w:t>risk)</w:t>
      </w:r>
      <w:bookmarkStart w:id="6" w:name="_Hlk170384429"/>
      <w:r w:rsidR="009C1DD6" w:rsidRPr="009C1DD6">
        <w:t xml:space="preserve"> (</w:t>
      </w:r>
      <w:r w:rsidR="5EF4FC45" w:rsidRPr="009C1DD6">
        <w:t>Maxwell</w:t>
      </w:r>
      <w:r w:rsidR="009C1DD6" w:rsidRPr="009C1DD6">
        <w:t xml:space="preserve">, </w:t>
      </w:r>
      <w:r w:rsidR="5EF4FC45" w:rsidRPr="009C1DD6">
        <w:t>2020</w:t>
      </w:r>
      <w:r w:rsidR="009C1DD6" w:rsidRPr="009C1DD6">
        <w:t>;</w:t>
      </w:r>
      <w:bookmarkEnd w:id="6"/>
      <w:r w:rsidR="009C1DD6" w:rsidRPr="009C1DD6">
        <w:t xml:space="preserve"> </w:t>
      </w:r>
      <w:r w:rsidR="5EF4FC45" w:rsidRPr="009C1DD6">
        <w:t xml:space="preserve">Percutaneous Patent Foramen </w:t>
      </w:r>
      <w:proofErr w:type="spellStart"/>
      <w:r w:rsidR="5EF4FC45" w:rsidRPr="009C1DD6">
        <w:t>Ovale</w:t>
      </w:r>
      <w:proofErr w:type="spellEnd"/>
      <w:r w:rsidR="5EF4FC45" w:rsidRPr="009C1DD6">
        <w:t xml:space="preserve"> (PFO) Closure</w:t>
      </w:r>
      <w:r w:rsidR="009C1DD6" w:rsidRPr="009C1DD6">
        <w:t>)</w:t>
      </w:r>
      <w:r w:rsidR="5EF4FC45" w:rsidRPr="009C1DD6">
        <w:t>.</w:t>
      </w:r>
    </w:p>
    <w:p w14:paraId="694EBE2E" w14:textId="45E762C1" w:rsidR="00D34F29" w:rsidRPr="00C31054" w:rsidRDefault="00575F13" w:rsidP="00575F13">
      <w:pPr>
        <w:pStyle w:val="Heading3"/>
      </w:pPr>
      <w:bookmarkStart w:id="7" w:name="_Toc170739829"/>
      <w:r>
        <w:t xml:space="preserve">4.0 </w:t>
      </w:r>
      <w:r w:rsidR="6BA38643" w:rsidRPr="00C31054">
        <w:t xml:space="preserve">PFO and </w:t>
      </w:r>
      <w:r w:rsidR="74C83B11" w:rsidRPr="00C31054">
        <w:t xml:space="preserve">Cryptogenic </w:t>
      </w:r>
      <w:r w:rsidR="00C31054" w:rsidRPr="00C31054">
        <w:t>I</w:t>
      </w:r>
      <w:r w:rsidR="74C83B11" w:rsidRPr="00C31054">
        <w:t xml:space="preserve">schemic </w:t>
      </w:r>
      <w:r w:rsidR="00C31054" w:rsidRPr="00C31054">
        <w:t>S</w:t>
      </w:r>
      <w:r w:rsidR="74C83B11" w:rsidRPr="00C31054">
        <w:t>troke</w:t>
      </w:r>
      <w:bookmarkEnd w:id="7"/>
    </w:p>
    <w:p w14:paraId="4A4E6476" w14:textId="6D26EDC8" w:rsidR="00C31054" w:rsidRDefault="74C83B11">
      <w:pPr>
        <w:pStyle w:val="ListParagraph"/>
        <w:numPr>
          <w:ilvl w:val="0"/>
          <w:numId w:val="28"/>
        </w:numPr>
        <w:spacing w:after="60" w:line="360" w:lineRule="auto"/>
      </w:pPr>
      <w:r>
        <w:t>In a randomized open-label trial of 980 patients with PFO and history of cryptogenic ischemic stroke, long-term (&gt;5 years) follow-up found that closure of PFO was associated with a 45% lower rate of recurrent ischemic strokes than among patients who received medical therapy alone; and PFO closure reduced the relative risk of recurrent cryptogenic stroke by 70% compared to medical therapy</w:t>
      </w:r>
      <w:r w:rsidR="009C1DD6">
        <w:t xml:space="preserve"> (Saver, 2017)</w:t>
      </w:r>
      <w:r>
        <w:t xml:space="preserve">. </w:t>
      </w:r>
    </w:p>
    <w:p w14:paraId="5007DAA6" w14:textId="77777777" w:rsidR="00575F13" w:rsidRDefault="00C31054" w:rsidP="00575F13">
      <w:pPr>
        <w:pStyle w:val="ListParagraph"/>
        <w:numPr>
          <w:ilvl w:val="0"/>
          <w:numId w:val="28"/>
        </w:numPr>
        <w:spacing w:after="60" w:line="360" w:lineRule="auto"/>
      </w:pPr>
      <w:r>
        <w:t>C</w:t>
      </w:r>
      <w:r w:rsidR="1FF7947F">
        <w:t xml:space="preserve">losure of PFOs has shown to decrease cryptogenic stokes in multiple trials, </w:t>
      </w:r>
      <w:r>
        <w:t xml:space="preserve">with </w:t>
      </w:r>
      <w:r w:rsidR="1FF7947F">
        <w:t xml:space="preserve">62% </w:t>
      </w:r>
      <w:r w:rsidR="1FF7947F" w:rsidRPr="002E490E">
        <w:t>relative risk reduction in favor of PFO closure</w:t>
      </w:r>
      <w:r w:rsidR="00975D45" w:rsidRPr="002E490E">
        <w:t xml:space="preserve"> (Saver, 2017; </w:t>
      </w:r>
      <w:proofErr w:type="spellStart"/>
      <w:r w:rsidR="00975D45" w:rsidRPr="002E490E">
        <w:t>Turc</w:t>
      </w:r>
      <w:proofErr w:type="spellEnd"/>
      <w:r w:rsidR="00975D45" w:rsidRPr="002E490E">
        <w:t>, 2018)</w:t>
      </w:r>
      <w:r w:rsidRPr="002E490E">
        <w:t>.</w:t>
      </w:r>
    </w:p>
    <w:p w14:paraId="0CE2EAFE" w14:textId="0B99F2D2" w:rsidR="00D34F29" w:rsidRPr="002E490E" w:rsidRDefault="00575F13" w:rsidP="00575F13">
      <w:pPr>
        <w:pStyle w:val="Heading3"/>
      </w:pPr>
      <w:bookmarkStart w:id="8" w:name="_Toc170739830"/>
      <w:r>
        <w:t xml:space="preserve">5.0 </w:t>
      </w:r>
      <w:r w:rsidR="00D34F29" w:rsidRPr="002E490E">
        <w:t>PFOs and the Diving Community</w:t>
      </w:r>
      <w:bookmarkEnd w:id="8"/>
    </w:p>
    <w:p w14:paraId="39703834" w14:textId="7E680F88" w:rsidR="00971B10" w:rsidRPr="002E490E" w:rsidRDefault="00971B10">
      <w:pPr>
        <w:pStyle w:val="ListParagraph"/>
        <w:numPr>
          <w:ilvl w:val="0"/>
          <w:numId w:val="30"/>
        </w:numPr>
        <w:spacing w:after="60" w:line="360" w:lineRule="auto"/>
      </w:pPr>
      <w:r w:rsidRPr="002E490E">
        <w:t xml:space="preserve">The </w:t>
      </w:r>
      <w:r w:rsidR="00E45BC1">
        <w:t xml:space="preserve">overall risk of experiencing a DCS event in divers </w:t>
      </w:r>
      <w:r w:rsidR="002F4166">
        <w:t xml:space="preserve">regardless of PFO status </w:t>
      </w:r>
      <w:r w:rsidR="00E45BC1">
        <w:t xml:space="preserve">is </w:t>
      </w:r>
      <w:r w:rsidRPr="002E490E">
        <w:t>approximately 2</w:t>
      </w:r>
      <w:r w:rsidR="00BE5027">
        <w:t>.5</w:t>
      </w:r>
      <w:r w:rsidRPr="002E490E">
        <w:t xml:space="preserve"> episodes per 10,000 dives; </w:t>
      </w:r>
      <w:r w:rsidR="002F4166">
        <w:t>but with a PFO is estimated at 5 episodes per 10,00 dives (an approximately 5-fold increase in risk over divers without a PFO)</w:t>
      </w:r>
      <w:r w:rsidRPr="002E490E">
        <w:t xml:space="preserve"> </w:t>
      </w:r>
      <w:bookmarkStart w:id="9" w:name="_Hlk170391168"/>
      <w:r w:rsidR="002E490E">
        <w:t>(</w:t>
      </w:r>
      <w:proofErr w:type="spellStart"/>
      <w:r w:rsidRPr="002E490E">
        <w:t>Koopsen</w:t>
      </w:r>
      <w:proofErr w:type="spellEnd"/>
      <w:r w:rsidR="002E490E" w:rsidRPr="002E490E">
        <w:t xml:space="preserve">, </w:t>
      </w:r>
      <w:r w:rsidRPr="002E490E">
        <w:t>2018</w:t>
      </w:r>
      <w:r w:rsidR="002E490E" w:rsidRPr="002E490E">
        <w:t>;</w:t>
      </w:r>
      <w:bookmarkEnd w:id="9"/>
      <w:r w:rsidR="00F23B19" w:rsidRPr="002E490E">
        <w:t xml:space="preserve"> </w:t>
      </w:r>
      <w:bookmarkStart w:id="10" w:name="_Hlk170391180"/>
      <w:proofErr w:type="spellStart"/>
      <w:r w:rsidR="00A80643" w:rsidRPr="002E490E">
        <w:t>Torti</w:t>
      </w:r>
      <w:proofErr w:type="spellEnd"/>
      <w:r w:rsidR="00A80643" w:rsidRPr="002E490E">
        <w:t xml:space="preserve">, </w:t>
      </w:r>
      <w:r w:rsidR="008F4231" w:rsidRPr="002E490E">
        <w:t>2004).</w:t>
      </w:r>
      <w:r w:rsidR="00D068A7" w:rsidRPr="002E490E">
        <w:t xml:space="preserve"> </w:t>
      </w:r>
      <w:bookmarkEnd w:id="10"/>
    </w:p>
    <w:p w14:paraId="49451982" w14:textId="2D91B160" w:rsidR="00231C86" w:rsidRPr="00DC20F3" w:rsidRDefault="00231C86">
      <w:pPr>
        <w:pStyle w:val="ListParagraph"/>
        <w:numPr>
          <w:ilvl w:val="0"/>
          <w:numId w:val="30"/>
        </w:numPr>
        <w:spacing w:after="60" w:line="360" w:lineRule="auto"/>
      </w:pPr>
      <w:r>
        <w:t xml:space="preserve">Divers who have PFO have 2.5 times greater overall </w:t>
      </w:r>
      <w:r w:rsidR="00C31054">
        <w:t>r</w:t>
      </w:r>
      <w:r>
        <w:t xml:space="preserve">isk of DCS and four times greater risk of neurological DCS. The absolute incidence of neurological DCS in divers with PFO is estimated at </w:t>
      </w:r>
      <w:r w:rsidR="006613BC">
        <w:t xml:space="preserve">by </w:t>
      </w:r>
      <w:proofErr w:type="spellStart"/>
      <w:r w:rsidR="006613BC">
        <w:t>Denoble</w:t>
      </w:r>
      <w:proofErr w:type="spellEnd"/>
      <w:r w:rsidR="006613BC">
        <w:t xml:space="preserve"> at </w:t>
      </w:r>
      <w:r>
        <w:t>4.7 cases per 10,000 dives</w:t>
      </w:r>
      <w:r w:rsidR="006613BC">
        <w:t xml:space="preserve">, which correlates with that of </w:t>
      </w:r>
      <w:proofErr w:type="spellStart"/>
      <w:r w:rsidR="006613BC">
        <w:lastRenderedPageBreak/>
        <w:t>Torti</w:t>
      </w:r>
      <w:proofErr w:type="spellEnd"/>
      <w:r>
        <w:t>.</w:t>
      </w:r>
      <w:r w:rsidR="00120A76">
        <w:t xml:space="preserve"> The greatest risk of DCS among divers is among </w:t>
      </w:r>
      <w:r w:rsidR="00120A76" w:rsidRPr="00DC20F3">
        <w:t>those with large PFO</w:t>
      </w:r>
      <w:bookmarkStart w:id="11" w:name="_Hlk170391277"/>
      <w:r w:rsidR="00DC20F3" w:rsidRPr="00DC20F3">
        <w:t xml:space="preserve"> (</w:t>
      </w:r>
      <w:proofErr w:type="spellStart"/>
      <w:r w:rsidR="006353CA" w:rsidRPr="00DC20F3">
        <w:t>Denoble</w:t>
      </w:r>
      <w:proofErr w:type="spellEnd"/>
      <w:r w:rsidR="006353CA" w:rsidRPr="00DC20F3">
        <w:t xml:space="preserve">, </w:t>
      </w:r>
      <w:r w:rsidR="00DC20F3" w:rsidRPr="00DC20F3">
        <w:t>2015</w:t>
      </w:r>
      <w:bookmarkEnd w:id="11"/>
      <w:r w:rsidR="00DC20F3" w:rsidRPr="00DC20F3">
        <w:t>)</w:t>
      </w:r>
      <w:r w:rsidR="0082781F" w:rsidRPr="00DC20F3">
        <w:t>.</w:t>
      </w:r>
    </w:p>
    <w:p w14:paraId="784CF285" w14:textId="431A48C5" w:rsidR="00D34F29" w:rsidRPr="00DC20F3" w:rsidRDefault="008652DB">
      <w:pPr>
        <w:pStyle w:val="ListParagraph"/>
        <w:numPr>
          <w:ilvl w:val="0"/>
          <w:numId w:val="30"/>
        </w:numPr>
        <w:spacing w:after="60" w:line="360" w:lineRule="auto"/>
      </w:pPr>
      <w:r w:rsidRPr="00DC20F3">
        <w:t xml:space="preserve">In a study of </w:t>
      </w:r>
      <w:r w:rsidR="00A00566" w:rsidRPr="00DC20F3">
        <w:t xml:space="preserve">65 divers, </w:t>
      </w:r>
      <w:r w:rsidR="005625A0" w:rsidRPr="00DC20F3">
        <w:t xml:space="preserve">closure of PFO resulted in a nearly </w:t>
      </w:r>
      <w:r w:rsidR="00D00FB2" w:rsidRPr="00DC20F3">
        <w:t>five</w:t>
      </w:r>
      <w:r w:rsidR="005625A0" w:rsidRPr="00DC20F3">
        <w:t>-fold decrease in</w:t>
      </w:r>
      <w:r w:rsidR="00D10B5C" w:rsidRPr="00DC20F3">
        <w:t xml:space="preserve"> confirmed cases of DCS, compared to divers who </w:t>
      </w:r>
      <w:r w:rsidR="00D00FB2" w:rsidRPr="00DC20F3">
        <w:t xml:space="preserve">chose to continue diving conservatively without closure, which resulted in a two-fold reduction. </w:t>
      </w:r>
      <w:r w:rsidR="00DE0A89" w:rsidRPr="00DC20F3">
        <w:t>Of the</w:t>
      </w:r>
      <w:r w:rsidR="00F42D37" w:rsidRPr="00DC20F3">
        <w:t xml:space="preserve"> divers who were classified to have large PFO</w:t>
      </w:r>
      <w:r w:rsidR="00DE0A89" w:rsidRPr="00DC20F3">
        <w:t xml:space="preserve">, </w:t>
      </w:r>
      <w:r w:rsidR="0063722A" w:rsidRPr="00DC20F3">
        <w:t xml:space="preserve">relative risk of DCS was </w:t>
      </w:r>
      <w:r w:rsidR="00C4147A" w:rsidRPr="00DC20F3">
        <w:t xml:space="preserve">0.2 </w:t>
      </w:r>
      <w:r w:rsidR="00804DEB" w:rsidRPr="00DC20F3">
        <w:t xml:space="preserve">in those who received a closure compared to a relative risk of 9.7 in those who chose to dive conservatively. </w:t>
      </w:r>
      <w:bookmarkStart w:id="12" w:name="_Hlk170391319"/>
      <w:r w:rsidR="00DC20F3" w:rsidRPr="00DC20F3">
        <w:t>(</w:t>
      </w:r>
      <w:r w:rsidR="0040757A" w:rsidRPr="00DC20F3">
        <w:t>Anderson</w:t>
      </w:r>
      <w:r w:rsidR="00DC20F3" w:rsidRPr="00DC20F3">
        <w:t xml:space="preserve">, </w:t>
      </w:r>
      <w:r w:rsidR="0040757A" w:rsidRPr="00DC20F3">
        <w:t>2019</w:t>
      </w:r>
      <w:bookmarkEnd w:id="12"/>
      <w:r w:rsidR="00DC20F3" w:rsidRPr="00DC20F3">
        <w:t>).</w:t>
      </w:r>
    </w:p>
    <w:p w14:paraId="77E781A2" w14:textId="270EFAA7" w:rsidR="00D738F2" w:rsidRDefault="00CE0A6C">
      <w:pPr>
        <w:pStyle w:val="ListParagraph"/>
        <w:numPr>
          <w:ilvl w:val="0"/>
          <w:numId w:val="30"/>
        </w:numPr>
        <w:spacing w:after="60" w:line="360" w:lineRule="auto"/>
      </w:pPr>
      <w:r>
        <w:t xml:space="preserve">A case-control study found that in a group of divers who had experienced DCS, the median PFO size was 10mm, which is </w:t>
      </w:r>
      <w:r w:rsidR="00316BC9">
        <w:t xml:space="preserve">twice as large as the average PFO size of the general population (5mm). The authors concluded that the risk of a diver experiencing DCS is related to the size of the PFO rather than just the presence of the defect. </w:t>
      </w:r>
      <w:r w:rsidR="00DC20F3" w:rsidRPr="00DC20F3">
        <w:t>(Wilmshurst, 2015)</w:t>
      </w:r>
      <w:r w:rsidR="00B01F1D" w:rsidRPr="00DC20F3">
        <w:t>.</w:t>
      </w:r>
    </w:p>
    <w:p w14:paraId="00A876BB" w14:textId="62F2EE31" w:rsidR="00DE42C5" w:rsidRDefault="009A63DB">
      <w:pPr>
        <w:pStyle w:val="ListParagraph"/>
        <w:numPr>
          <w:ilvl w:val="0"/>
          <w:numId w:val="30"/>
        </w:numPr>
        <w:spacing w:after="60" w:line="360" w:lineRule="auto"/>
      </w:pPr>
      <w:r>
        <w:t>Most standard guidelines available</w:t>
      </w:r>
      <w:r w:rsidR="00AE32B0">
        <w:t xml:space="preserve"> have a stratified approach that generally</w:t>
      </w:r>
      <w:r>
        <w:t xml:space="preserve"> suggest that</w:t>
      </w:r>
      <w:r w:rsidR="00AE32B0">
        <w:t xml:space="preserve"> recreational</w:t>
      </w:r>
      <w:r w:rsidR="00771B62">
        <w:t xml:space="preserve"> and commercial</w:t>
      </w:r>
      <w:r>
        <w:t xml:space="preserve"> divers </w:t>
      </w:r>
      <w:r w:rsidR="00771B62">
        <w:t>do not need to</w:t>
      </w:r>
      <w:r>
        <w:t xml:space="preserve"> be screened for PFO, as </w:t>
      </w:r>
      <w:r w:rsidR="0093335F">
        <w:t xml:space="preserve">serious </w:t>
      </w:r>
      <w:r>
        <w:t>DCS is rare</w:t>
      </w:r>
      <w:r w:rsidR="0093335F">
        <w:t xml:space="preserve"> and</w:t>
      </w:r>
      <w:r>
        <w:t xml:space="preserve"> the link between PFOs and DCS is not clear. </w:t>
      </w:r>
      <w:r w:rsidR="00D651F9" w:rsidRPr="00D651F9">
        <w:t xml:space="preserve">The Divers Alert Network (DAN) Guidelines for Patent Foramen </w:t>
      </w:r>
      <w:proofErr w:type="spellStart"/>
      <w:r w:rsidR="00D651F9" w:rsidRPr="00D651F9">
        <w:t>Ovale</w:t>
      </w:r>
      <w:proofErr w:type="spellEnd"/>
      <w:r w:rsidR="00D651F9" w:rsidRPr="00D651F9">
        <w:t xml:space="preserve"> and Fitness recommend “Routine screening for PFO at the time of dive medical fitness assessment (either initial or periodic) is not indicated. Consideration should be given to testing for PFO when there is a history of more than one episode of decompression sickness (DCS) with cerebral, spinal, </w:t>
      </w:r>
      <w:proofErr w:type="gramStart"/>
      <w:r w:rsidR="00D651F9" w:rsidRPr="00D651F9">
        <w:t>vestibulocochlear</w:t>
      </w:r>
      <w:proofErr w:type="gramEnd"/>
      <w:r w:rsidR="00D651F9" w:rsidRPr="00D651F9">
        <w:t xml:space="preserve"> or cutaneous </w:t>
      </w:r>
      <w:r w:rsidR="00D651F9" w:rsidRPr="00DC20F3">
        <w:t>manifestations.”</w:t>
      </w:r>
      <w:r w:rsidR="00D651F9" w:rsidRPr="00DC20F3" w:rsidDel="00D651F9">
        <w:t xml:space="preserve"> </w:t>
      </w:r>
      <w:bookmarkStart w:id="13" w:name="_Hlk170391447"/>
      <w:r w:rsidR="00DC20F3">
        <w:t>(</w:t>
      </w:r>
      <w:proofErr w:type="spellStart"/>
      <w:r w:rsidR="00C21B01" w:rsidRPr="00DC20F3">
        <w:t>Skyes</w:t>
      </w:r>
      <w:proofErr w:type="spellEnd"/>
      <w:r w:rsidR="00DC20F3" w:rsidRPr="00DC20F3">
        <w:t xml:space="preserve">, 2013; </w:t>
      </w:r>
      <w:proofErr w:type="spellStart"/>
      <w:r w:rsidR="00DC20F3" w:rsidRPr="00DC20F3">
        <w:t>Denoble</w:t>
      </w:r>
      <w:proofErr w:type="spellEnd"/>
      <w:r w:rsidR="00DC20F3" w:rsidRPr="00DC20F3">
        <w:t>, 2015</w:t>
      </w:r>
      <w:r w:rsidR="00C21B01" w:rsidRPr="00DC20F3">
        <w:t>).</w:t>
      </w:r>
      <w:bookmarkEnd w:id="13"/>
    </w:p>
    <w:p w14:paraId="6AC9A54A" w14:textId="102BEC04" w:rsidR="0036780F" w:rsidRDefault="00EB12DA" w:rsidP="00905965">
      <w:pPr>
        <w:pStyle w:val="ListParagraph"/>
        <w:numPr>
          <w:ilvl w:val="0"/>
          <w:numId w:val="30"/>
        </w:numPr>
        <w:spacing w:after="60" w:line="360" w:lineRule="auto"/>
      </w:pPr>
      <w:r>
        <w:t xml:space="preserve">PFOs are not routinely screened in the diving community, except for within the Canadian Armed Forces (CAF) Clearance Divers. </w:t>
      </w:r>
      <w:r w:rsidR="00992B3C">
        <w:t>Beginning in 2009,</w:t>
      </w:r>
      <w:r w:rsidR="007D7548">
        <w:t xml:space="preserve"> CAF</w:t>
      </w:r>
      <w:r w:rsidR="00992B3C">
        <w:t xml:space="preserve"> </w:t>
      </w:r>
      <w:r w:rsidR="007D7548">
        <w:t>Clearance Diver applicants were</w:t>
      </w:r>
      <w:r w:rsidR="00DC299C">
        <w:t xml:space="preserve"> screened for PFO. </w:t>
      </w:r>
      <w:r w:rsidR="00325F5F">
        <w:t>G</w:t>
      </w:r>
      <w:r w:rsidR="00DC299C">
        <w:t xml:space="preserve">uidelines were to disqualify candidates if found to have a PFO, however </w:t>
      </w:r>
      <w:r w:rsidR="00A5142A">
        <w:t xml:space="preserve">reassessment of the disqualifying condition in 2013 found the absolute risk was low. CAF </w:t>
      </w:r>
      <w:r w:rsidR="00325F5F">
        <w:t>Clearance D</w:t>
      </w:r>
      <w:r w:rsidR="00A5142A">
        <w:t xml:space="preserve">ivers continue to be screened for PFO at </w:t>
      </w:r>
      <w:r w:rsidR="00325F5F">
        <w:t>selection</w:t>
      </w:r>
      <w:r w:rsidR="00A5142A">
        <w:t xml:space="preserve">, but now </w:t>
      </w:r>
      <w:r w:rsidR="0036780F">
        <w:t>are permitted to proceed with training with informed consent i</w:t>
      </w:r>
      <w:r w:rsidR="008410D5">
        <w:t>f</w:t>
      </w:r>
      <w:r w:rsidR="0036780F">
        <w:t xml:space="preserve"> found to have a PFO, and subsequent development of DCS leads to ‘beaching’</w:t>
      </w:r>
      <w:r w:rsidR="005254FE">
        <w:t>,</w:t>
      </w:r>
      <w:r w:rsidR="0036780F">
        <w:t xml:space="preserve"> re-evaluation of fitness to dive</w:t>
      </w:r>
      <w:r w:rsidR="005254FE">
        <w:t xml:space="preserve">, and consideration of referral for cardiology assessment to </w:t>
      </w:r>
      <w:r w:rsidR="005254FE">
        <w:lastRenderedPageBreak/>
        <w:t>determine whether closure is clinically indicated</w:t>
      </w:r>
      <w:r w:rsidR="0036780F">
        <w:t>.</w:t>
      </w:r>
      <w:r w:rsidR="00A92A5A" w:rsidRPr="00A92A5A">
        <w:t xml:space="preserve"> </w:t>
      </w:r>
      <w:r w:rsidR="00A92A5A">
        <w:t>DCS risk mitigation in CAF diving includes validated decompression tables, standardized dive procedures, rigorous training, dive fitness standards, and requirements for onsite recompression chambers during deep dives</w:t>
      </w:r>
      <w:r w:rsidR="00905965">
        <w:t xml:space="preserve"> (Brett, Vallee, &amp; Saary, 2023).</w:t>
      </w:r>
    </w:p>
    <w:p w14:paraId="7ADD3678" w14:textId="7E40974F" w:rsidR="0003790A" w:rsidRPr="00DC20F3" w:rsidRDefault="00681D12">
      <w:pPr>
        <w:pStyle w:val="ListParagraph"/>
        <w:numPr>
          <w:ilvl w:val="0"/>
          <w:numId w:val="30"/>
        </w:numPr>
        <w:spacing w:after="60" w:line="360" w:lineRule="auto"/>
        <w:rPr>
          <w:szCs w:val="24"/>
        </w:rPr>
      </w:pPr>
      <w:r>
        <w:t>At the NASA Neutral Buoyance Laboratory (NBL), astronauts are trained to conduct suited/pressurized extravehicular activities (EVA) underwater to simulate a microgravity environment</w:t>
      </w:r>
      <w:r w:rsidR="00EF2962">
        <w:t>. S</w:t>
      </w:r>
      <w:r w:rsidR="00CE1189">
        <w:t>upport divers</w:t>
      </w:r>
      <w:r w:rsidR="00EF2962" w:rsidRPr="00EF2962">
        <w:t xml:space="preserve"> </w:t>
      </w:r>
      <w:r w:rsidR="00EF2962">
        <w:t>also participate in underwater activities to observe and assist astronauts during training</w:t>
      </w:r>
      <w:r w:rsidR="0003790A">
        <w:t xml:space="preserve">. </w:t>
      </w:r>
      <w:r w:rsidR="00174800">
        <w:t xml:space="preserve">Since 2015, </w:t>
      </w:r>
      <w:r w:rsidR="0011621C">
        <w:t xml:space="preserve">79,568 </w:t>
      </w:r>
      <w:r w:rsidR="00316ED3">
        <w:t>dive hours</w:t>
      </w:r>
      <w:r w:rsidR="00EF2962">
        <w:t xml:space="preserve"> (including astronauts and support divers)</w:t>
      </w:r>
      <w:r w:rsidR="00316ED3">
        <w:t xml:space="preserve"> have been conducted </w:t>
      </w:r>
      <w:r w:rsidR="00D277C1">
        <w:t xml:space="preserve">with a total of </w:t>
      </w:r>
      <w:r w:rsidR="00C375C1">
        <w:t>5 events of DCS recorded.</w:t>
      </w:r>
    </w:p>
    <w:p w14:paraId="521F3966" w14:textId="517632FC" w:rsidR="00D34F29" w:rsidRPr="0003790A" w:rsidRDefault="00DE6525" w:rsidP="0003790A">
      <w:pPr>
        <w:pStyle w:val="Heading3"/>
      </w:pPr>
      <w:bookmarkStart w:id="14" w:name="_Toc170739831"/>
      <w:r w:rsidRPr="0003790A">
        <w:t xml:space="preserve">6.0 </w:t>
      </w:r>
      <w:r w:rsidR="00D34F29" w:rsidRPr="0003790A">
        <w:t>PFO and High Altitude</w:t>
      </w:r>
      <w:bookmarkEnd w:id="14"/>
      <w:r w:rsidR="00192B67">
        <w:t>/Hypoxia</w:t>
      </w:r>
    </w:p>
    <w:p w14:paraId="0EC027CF" w14:textId="081AB82C" w:rsidR="00D34F29" w:rsidRDefault="3648D219">
      <w:pPr>
        <w:pStyle w:val="ListParagraph"/>
        <w:numPr>
          <w:ilvl w:val="0"/>
          <w:numId w:val="24"/>
        </w:numPr>
        <w:spacing w:afterLines="60" w:after="144" w:line="360" w:lineRule="auto"/>
        <w:rPr>
          <w:rFonts w:ascii="Calibri" w:eastAsia="Calibri" w:hAnsi="Calibri" w:cs="Calibri"/>
        </w:rPr>
      </w:pPr>
      <w:r w:rsidRPr="23EA9C57">
        <w:rPr>
          <w:rFonts w:ascii="Calibri" w:eastAsia="Calibri" w:hAnsi="Calibri" w:cs="Calibri"/>
        </w:rPr>
        <w:t>NASA has observed the following occurrences of DCS in altitude ground research studies and hardware development and verification activities:</w:t>
      </w:r>
    </w:p>
    <w:p w14:paraId="307E7DDA" w14:textId="5D3F47DC" w:rsidR="7FDC6E20" w:rsidRPr="0003790A" w:rsidRDefault="3648D219">
      <w:pPr>
        <w:pStyle w:val="ListParagraph"/>
        <w:numPr>
          <w:ilvl w:val="1"/>
          <w:numId w:val="31"/>
        </w:numPr>
        <w:spacing w:afterLines="60" w:after="144" w:line="360" w:lineRule="auto"/>
        <w:rPr>
          <w:rFonts w:ascii="Calibri" w:eastAsia="Calibri" w:hAnsi="Calibri" w:cs="Calibri"/>
        </w:rPr>
      </w:pPr>
      <w:r w:rsidRPr="23EA9C57">
        <w:rPr>
          <w:rFonts w:ascii="Calibri" w:eastAsia="Calibri" w:hAnsi="Calibri" w:cs="Calibri"/>
        </w:rPr>
        <w:t>NASA has observed five Type II DCS cases</w:t>
      </w:r>
      <w:r w:rsidR="00CD6259">
        <w:rPr>
          <w:rFonts w:ascii="Calibri" w:eastAsia="Calibri" w:hAnsi="Calibri" w:cs="Calibri"/>
        </w:rPr>
        <w:t xml:space="preserve"> (2 known to have PFO)</w:t>
      </w:r>
      <w:r w:rsidRPr="23EA9C57">
        <w:rPr>
          <w:rFonts w:ascii="Calibri" w:eastAsia="Calibri" w:hAnsi="Calibri" w:cs="Calibri"/>
        </w:rPr>
        <w:t xml:space="preserve"> an</w:t>
      </w:r>
      <w:r w:rsidR="0039267A">
        <w:rPr>
          <w:rFonts w:ascii="Calibri" w:eastAsia="Calibri" w:hAnsi="Calibri" w:cs="Calibri"/>
        </w:rPr>
        <w:t>d 92 cases of</w:t>
      </w:r>
      <w:r w:rsidR="694F2DB8" w:rsidRPr="6F3B8B01">
        <w:rPr>
          <w:rFonts w:ascii="Calibri" w:eastAsia="Calibri" w:hAnsi="Calibri" w:cs="Calibri"/>
        </w:rPr>
        <w:t xml:space="preserve"> </w:t>
      </w:r>
      <w:r w:rsidR="0003790A">
        <w:rPr>
          <w:rFonts w:ascii="Calibri" w:eastAsia="Calibri" w:hAnsi="Calibri" w:cs="Calibri"/>
        </w:rPr>
        <w:t>T</w:t>
      </w:r>
      <w:r w:rsidRPr="23EA9C57">
        <w:rPr>
          <w:rFonts w:ascii="Calibri" w:eastAsia="Calibri" w:hAnsi="Calibri" w:cs="Calibri"/>
        </w:rPr>
        <w:t xml:space="preserve">ype I DCS </w:t>
      </w:r>
      <w:r w:rsidR="009E2C29">
        <w:rPr>
          <w:rFonts w:ascii="Calibri" w:eastAsia="Calibri" w:hAnsi="Calibri" w:cs="Calibri"/>
        </w:rPr>
        <w:t>(</w:t>
      </w:r>
      <w:r w:rsidR="009E2C29" w:rsidRPr="009E2C29">
        <w:rPr>
          <w:rFonts w:ascii="Calibri" w:eastAsia="Calibri" w:hAnsi="Calibri" w:cs="Calibri"/>
        </w:rPr>
        <w:t>including</w:t>
      </w:r>
      <w:r w:rsidR="009E2C29">
        <w:rPr>
          <w:rFonts w:ascii="Calibri" w:eastAsia="Calibri" w:hAnsi="Calibri" w:cs="Calibri"/>
        </w:rPr>
        <w:t xml:space="preserve"> </w:t>
      </w:r>
      <w:r w:rsidR="009E2C29" w:rsidRPr="009E2C29">
        <w:rPr>
          <w:rFonts w:ascii="Calibri" w:eastAsia="Calibri" w:hAnsi="Calibri" w:cs="Calibri"/>
        </w:rPr>
        <w:t>three cases of cutis marmorata</w:t>
      </w:r>
      <w:r w:rsidR="00CD6259">
        <w:rPr>
          <w:rFonts w:ascii="Calibri" w:eastAsia="Calibri" w:hAnsi="Calibri" w:cs="Calibri"/>
        </w:rPr>
        <w:t>, one of which confirmed PFO</w:t>
      </w:r>
      <w:r w:rsidR="009E2C29" w:rsidRPr="009E2C29">
        <w:rPr>
          <w:rFonts w:ascii="Calibri" w:eastAsia="Calibri" w:hAnsi="Calibri" w:cs="Calibri"/>
        </w:rPr>
        <w:t xml:space="preserve">) </w:t>
      </w:r>
      <w:r w:rsidRPr="23EA9C57">
        <w:rPr>
          <w:rFonts w:ascii="Calibri" w:eastAsia="Calibri" w:hAnsi="Calibri" w:cs="Calibri"/>
        </w:rPr>
        <w:t xml:space="preserve">during 51 ground research studies on </w:t>
      </w:r>
      <w:proofErr w:type="spellStart"/>
      <w:r w:rsidRPr="23EA9C57">
        <w:rPr>
          <w:rFonts w:ascii="Calibri" w:eastAsia="Calibri" w:hAnsi="Calibri" w:cs="Calibri"/>
        </w:rPr>
        <w:t>prebreathe</w:t>
      </w:r>
      <w:proofErr w:type="spellEnd"/>
      <w:r w:rsidRPr="23EA9C57">
        <w:rPr>
          <w:rFonts w:ascii="Calibri" w:eastAsia="Calibri" w:hAnsi="Calibri" w:cs="Calibri"/>
        </w:rPr>
        <w:t xml:space="preserve"> </w:t>
      </w:r>
      <w:r w:rsidR="002A2022">
        <w:rPr>
          <w:rFonts w:ascii="Calibri" w:eastAsia="Calibri" w:hAnsi="Calibri" w:cs="Calibri"/>
        </w:rPr>
        <w:t xml:space="preserve">studies with a total of 677 exposures from 1983 to </w:t>
      </w:r>
      <w:r w:rsidR="00364BF4">
        <w:rPr>
          <w:rFonts w:ascii="Calibri" w:eastAsia="Calibri" w:hAnsi="Calibri" w:cs="Calibri"/>
        </w:rPr>
        <w:t xml:space="preserve">2023 </w:t>
      </w:r>
      <w:r w:rsidR="00FB1FCC">
        <w:rPr>
          <w:rFonts w:ascii="Calibri" w:eastAsia="Calibri" w:hAnsi="Calibri" w:cs="Calibri"/>
        </w:rPr>
        <w:t>(</w:t>
      </w:r>
      <w:proofErr w:type="spellStart"/>
      <w:r w:rsidR="00FB1FCC">
        <w:rPr>
          <w:rFonts w:ascii="Calibri" w:eastAsia="Calibri" w:hAnsi="Calibri" w:cs="Calibri"/>
        </w:rPr>
        <w:t>Prebreathe</w:t>
      </w:r>
      <w:proofErr w:type="spellEnd"/>
      <w:r w:rsidR="00FB1FCC">
        <w:rPr>
          <w:rFonts w:ascii="Calibri" w:eastAsia="Calibri" w:hAnsi="Calibri" w:cs="Calibri"/>
        </w:rPr>
        <w:t xml:space="preserve"> Reduction </w:t>
      </w:r>
      <w:r w:rsidR="009B47EC">
        <w:rPr>
          <w:rFonts w:ascii="Calibri" w:eastAsia="Calibri" w:hAnsi="Calibri" w:cs="Calibri"/>
        </w:rPr>
        <w:t>P</w:t>
      </w:r>
      <w:r w:rsidR="00FB1FCC">
        <w:rPr>
          <w:rFonts w:ascii="Calibri" w:eastAsia="Calibri" w:hAnsi="Calibri" w:cs="Calibri"/>
        </w:rPr>
        <w:t>rogram</w:t>
      </w:r>
      <w:r w:rsidR="00CA486C">
        <w:rPr>
          <w:rFonts w:ascii="Calibri" w:eastAsia="Calibri" w:hAnsi="Calibri" w:cs="Calibri"/>
        </w:rPr>
        <w:t xml:space="preserve"> – 34 cases of DCS/271 exposures; Nucleation Study – 6 cases of DCS/62 exposures; Shuttle </w:t>
      </w:r>
      <w:proofErr w:type="spellStart"/>
      <w:r w:rsidR="00CA486C">
        <w:rPr>
          <w:rFonts w:ascii="Calibri" w:eastAsia="Calibri" w:hAnsi="Calibri" w:cs="Calibri"/>
        </w:rPr>
        <w:t>Prebreathe</w:t>
      </w:r>
      <w:proofErr w:type="spellEnd"/>
      <w:r w:rsidR="00CA486C">
        <w:rPr>
          <w:rFonts w:ascii="Calibri" w:eastAsia="Calibri" w:hAnsi="Calibri" w:cs="Calibri"/>
        </w:rPr>
        <w:t xml:space="preserve"> Testing – 57 cases of DCS/</w:t>
      </w:r>
      <w:r w:rsidR="009B47EC">
        <w:rPr>
          <w:rFonts w:ascii="Calibri" w:eastAsia="Calibri" w:hAnsi="Calibri" w:cs="Calibri"/>
        </w:rPr>
        <w:t>345 exposures</w:t>
      </w:r>
      <w:r w:rsidR="0071687C">
        <w:rPr>
          <w:rFonts w:ascii="Calibri" w:eastAsia="Calibri" w:hAnsi="Calibri" w:cs="Calibri"/>
        </w:rPr>
        <w:t>;</w:t>
      </w:r>
      <w:r w:rsidR="009B47EC">
        <w:rPr>
          <w:rFonts w:ascii="Calibri" w:eastAsia="Calibri" w:hAnsi="Calibri" w:cs="Calibri"/>
        </w:rPr>
        <w:t xml:space="preserve"> </w:t>
      </w:r>
      <w:r w:rsidR="0071687C">
        <w:rPr>
          <w:rFonts w:ascii="Calibri" w:eastAsia="Calibri" w:hAnsi="Calibri" w:cs="Calibri"/>
        </w:rPr>
        <w:t>(</w:t>
      </w:r>
      <w:r w:rsidR="0095336B" w:rsidRPr="0095336B">
        <w:rPr>
          <w:rFonts w:ascii="Calibri" w:eastAsia="Calibri" w:hAnsi="Calibri" w:cs="Calibri"/>
        </w:rPr>
        <w:t>Gernhardt,</w:t>
      </w:r>
      <w:r w:rsidR="0095336B">
        <w:rPr>
          <w:rFonts w:ascii="Calibri" w:eastAsia="Calibri" w:hAnsi="Calibri" w:cs="Calibri"/>
        </w:rPr>
        <w:t xml:space="preserve"> </w:t>
      </w:r>
      <w:r w:rsidR="0095336B" w:rsidRPr="0095336B">
        <w:rPr>
          <w:rFonts w:ascii="Calibri" w:eastAsia="Calibri" w:hAnsi="Calibri" w:cs="Calibri"/>
        </w:rPr>
        <w:t xml:space="preserve">2016. </w:t>
      </w:r>
      <w:r w:rsidR="0095336B" w:rsidRPr="0095336B">
        <w:rPr>
          <w:rFonts w:ascii="Calibri" w:eastAsia="Calibri" w:hAnsi="Calibri" w:cs="Calibri"/>
          <w:i/>
          <w:iCs/>
        </w:rPr>
        <w:t>Altitude decompression: Past, present, and future</w:t>
      </w:r>
      <w:r w:rsidR="0095336B" w:rsidRPr="0095336B">
        <w:rPr>
          <w:rFonts w:ascii="Calibri" w:eastAsia="Calibri" w:hAnsi="Calibri" w:cs="Calibri"/>
        </w:rPr>
        <w:t xml:space="preserve">. </w:t>
      </w:r>
      <w:r w:rsidR="0095336B">
        <w:rPr>
          <w:rFonts w:ascii="Calibri" w:eastAsia="Calibri" w:hAnsi="Calibri" w:cs="Calibri"/>
        </w:rPr>
        <w:t xml:space="preserve">Presented at the </w:t>
      </w:r>
      <w:r w:rsidR="0095336B" w:rsidRPr="0095336B">
        <w:rPr>
          <w:rFonts w:ascii="Calibri" w:eastAsia="Calibri" w:hAnsi="Calibri" w:cs="Calibri"/>
        </w:rPr>
        <w:t>Naval Sea Systems Command (NAVSEA) 2016 Annual Review</w:t>
      </w:r>
      <w:r w:rsidR="0071687C">
        <w:rPr>
          <w:rFonts w:ascii="Calibri" w:eastAsia="Calibri" w:hAnsi="Calibri" w:cs="Calibri"/>
        </w:rPr>
        <w:t xml:space="preserve">), </w:t>
      </w:r>
      <w:r w:rsidR="009B47EC">
        <w:rPr>
          <w:rFonts w:ascii="Calibri" w:eastAsia="Calibri" w:hAnsi="Calibri" w:cs="Calibri"/>
        </w:rPr>
        <w:t>and Exploration Atmosphere Chamber Testing</w:t>
      </w:r>
      <w:r w:rsidR="00B56DC6">
        <w:rPr>
          <w:rFonts w:ascii="Calibri" w:eastAsia="Calibri" w:hAnsi="Calibri" w:cs="Calibri"/>
        </w:rPr>
        <w:t xml:space="preserve"> (as of 2023)</w:t>
      </w:r>
      <w:r w:rsidR="009B47EC">
        <w:rPr>
          <w:rFonts w:ascii="Calibri" w:eastAsia="Calibri" w:hAnsi="Calibri" w:cs="Calibri"/>
        </w:rPr>
        <w:t xml:space="preserve"> - </w:t>
      </w:r>
      <w:r w:rsidR="00782E6C">
        <w:rPr>
          <w:rFonts w:ascii="Calibri" w:eastAsia="Calibri" w:hAnsi="Calibri" w:cs="Calibri"/>
        </w:rPr>
        <w:t xml:space="preserve">5 </w:t>
      </w:r>
      <w:r w:rsidR="009B47EC">
        <w:rPr>
          <w:rFonts w:ascii="Calibri" w:eastAsia="Calibri" w:hAnsi="Calibri" w:cs="Calibri"/>
        </w:rPr>
        <w:t>DCS cases</w:t>
      </w:r>
      <w:r w:rsidR="00782E6C">
        <w:rPr>
          <w:rFonts w:ascii="Calibri" w:eastAsia="Calibri" w:hAnsi="Calibri" w:cs="Calibri"/>
        </w:rPr>
        <w:t xml:space="preserve">/126 </w:t>
      </w:r>
      <w:r w:rsidR="009B47EC">
        <w:rPr>
          <w:rFonts w:ascii="Calibri" w:eastAsia="Calibri" w:hAnsi="Calibri" w:cs="Calibri"/>
        </w:rPr>
        <w:t>exposures)</w:t>
      </w:r>
      <w:r w:rsidR="002A2022">
        <w:rPr>
          <w:rFonts w:ascii="Calibri" w:eastAsia="Calibri" w:hAnsi="Calibri" w:cs="Calibri"/>
        </w:rPr>
        <w:t>.</w:t>
      </w:r>
      <w:r w:rsidRPr="23EA9C57">
        <w:rPr>
          <w:rFonts w:ascii="Calibri" w:eastAsia="Calibri" w:hAnsi="Calibri" w:cs="Calibri"/>
        </w:rPr>
        <w:t xml:space="preserve"> Recent testing (2022-</w:t>
      </w:r>
      <w:r w:rsidR="694F2DB8" w:rsidRPr="6F3B8B01">
        <w:rPr>
          <w:rFonts w:ascii="Calibri" w:eastAsia="Calibri" w:hAnsi="Calibri" w:cs="Calibri"/>
        </w:rPr>
        <w:t>202</w:t>
      </w:r>
      <w:r w:rsidR="0006091F">
        <w:rPr>
          <w:rFonts w:ascii="Calibri" w:eastAsia="Calibri" w:hAnsi="Calibri" w:cs="Calibri"/>
        </w:rPr>
        <w:t>3</w:t>
      </w:r>
      <w:r w:rsidRPr="23EA9C57">
        <w:rPr>
          <w:rFonts w:ascii="Calibri" w:eastAsia="Calibri" w:hAnsi="Calibri" w:cs="Calibri"/>
        </w:rPr>
        <w:t xml:space="preserve">) for exploration atmospheres has observed one Type </w:t>
      </w:r>
      <w:r w:rsidR="00387141">
        <w:rPr>
          <w:rFonts w:ascii="Calibri" w:eastAsia="Calibri" w:hAnsi="Calibri" w:cs="Calibri"/>
        </w:rPr>
        <w:t>II</w:t>
      </w:r>
      <w:r w:rsidRPr="23EA9C57">
        <w:rPr>
          <w:rFonts w:ascii="Calibri" w:eastAsia="Calibri" w:hAnsi="Calibri" w:cs="Calibri"/>
        </w:rPr>
        <w:t xml:space="preserve"> DCS case and four Type </w:t>
      </w:r>
      <w:r w:rsidR="0B24F506" w:rsidRPr="23EA9C57">
        <w:rPr>
          <w:rFonts w:ascii="Calibri" w:eastAsia="Calibri" w:hAnsi="Calibri" w:cs="Calibri"/>
        </w:rPr>
        <w:t>I</w:t>
      </w:r>
      <w:r w:rsidRPr="23EA9C57">
        <w:rPr>
          <w:rFonts w:ascii="Calibri" w:eastAsia="Calibri" w:hAnsi="Calibri" w:cs="Calibri"/>
        </w:rPr>
        <w:t xml:space="preserve"> cases. </w:t>
      </w:r>
      <w:r w:rsidR="4AD66834" w:rsidRPr="367265BB">
        <w:rPr>
          <w:rFonts w:ascii="Calibri" w:eastAsia="Calibri" w:hAnsi="Calibri" w:cs="Calibri"/>
        </w:rPr>
        <w:t xml:space="preserve">The one Type II case was </w:t>
      </w:r>
      <w:r w:rsidR="4AD66834" w:rsidRPr="09EE5737">
        <w:rPr>
          <w:rFonts w:ascii="Calibri" w:eastAsia="Calibri" w:hAnsi="Calibri" w:cs="Calibri"/>
        </w:rPr>
        <w:t xml:space="preserve">confirmed to have a </w:t>
      </w:r>
      <w:r w:rsidR="4AD66834" w:rsidRPr="76638846">
        <w:rPr>
          <w:rFonts w:ascii="Calibri" w:eastAsia="Calibri" w:hAnsi="Calibri" w:cs="Calibri"/>
        </w:rPr>
        <w:t>PFO</w:t>
      </w:r>
      <w:r w:rsidR="00DC20F3">
        <w:rPr>
          <w:rFonts w:ascii="Calibri" w:eastAsia="Calibri" w:hAnsi="Calibri" w:cs="Calibri"/>
        </w:rPr>
        <w:t xml:space="preserve"> (Garbino, 2024. </w:t>
      </w:r>
      <w:r w:rsidR="00DC20F3" w:rsidRPr="00DC20F3">
        <w:rPr>
          <w:rFonts w:ascii="Calibri" w:eastAsia="Calibri" w:hAnsi="Calibri" w:cs="Calibri"/>
          <w:i/>
          <w:iCs/>
        </w:rPr>
        <w:t>Exploration Atmosphere: Path to Artemis &amp; DCS/LVGE Experience</w:t>
      </w:r>
      <w:r w:rsidR="00DC20F3">
        <w:rPr>
          <w:rFonts w:ascii="Calibri" w:eastAsia="Calibri" w:hAnsi="Calibri" w:cs="Calibri"/>
        </w:rPr>
        <w:t>. Presented at the NASA PFO &amp; DCS Working Group June 4, 2024).</w:t>
      </w:r>
    </w:p>
    <w:p w14:paraId="6BD03E1A" w14:textId="1BDB4FCA" w:rsidR="00D34F29" w:rsidRDefault="3648D219">
      <w:pPr>
        <w:pStyle w:val="ListParagraph"/>
        <w:numPr>
          <w:ilvl w:val="1"/>
          <w:numId w:val="31"/>
        </w:numPr>
        <w:spacing w:afterLines="60" w:after="144" w:line="360" w:lineRule="auto"/>
        <w:rPr>
          <w:rFonts w:ascii="Calibri" w:eastAsia="Calibri" w:hAnsi="Calibri" w:cs="Calibri"/>
          <w:szCs w:val="24"/>
        </w:rPr>
      </w:pPr>
      <w:r w:rsidRPr="23EA9C57">
        <w:rPr>
          <w:rFonts w:ascii="Calibri" w:eastAsia="Calibri" w:hAnsi="Calibri" w:cs="Calibri"/>
        </w:rPr>
        <w:t xml:space="preserve">NASA has observed 6 Type </w:t>
      </w:r>
      <w:r w:rsidR="0003790A">
        <w:rPr>
          <w:rFonts w:ascii="Calibri" w:eastAsia="Calibri" w:hAnsi="Calibri" w:cs="Calibri"/>
        </w:rPr>
        <w:t>II</w:t>
      </w:r>
      <w:r w:rsidRPr="23EA9C57">
        <w:rPr>
          <w:rFonts w:ascii="Calibri" w:eastAsia="Calibri" w:hAnsi="Calibri" w:cs="Calibri"/>
        </w:rPr>
        <w:t xml:space="preserve"> DCS cases and six </w:t>
      </w:r>
      <w:r w:rsidR="0003790A">
        <w:rPr>
          <w:rFonts w:ascii="Calibri" w:eastAsia="Calibri" w:hAnsi="Calibri" w:cs="Calibri"/>
        </w:rPr>
        <w:t>T</w:t>
      </w:r>
      <w:r w:rsidRPr="23EA9C57">
        <w:rPr>
          <w:rFonts w:ascii="Calibri" w:eastAsia="Calibri" w:hAnsi="Calibri" w:cs="Calibri"/>
        </w:rPr>
        <w:t xml:space="preserve">ype </w:t>
      </w:r>
      <w:r w:rsidR="0003790A">
        <w:rPr>
          <w:rFonts w:ascii="Calibri" w:eastAsia="Calibri" w:hAnsi="Calibri" w:cs="Calibri"/>
        </w:rPr>
        <w:t>I</w:t>
      </w:r>
      <w:r w:rsidRPr="23EA9C57">
        <w:rPr>
          <w:rFonts w:ascii="Calibri" w:eastAsia="Calibri" w:hAnsi="Calibri" w:cs="Calibri"/>
        </w:rPr>
        <w:t xml:space="preserve"> DCS cases during 1</w:t>
      </w:r>
      <w:r w:rsidR="0003790A">
        <w:rPr>
          <w:rFonts w:ascii="Calibri" w:eastAsia="Calibri" w:hAnsi="Calibri" w:cs="Calibri"/>
        </w:rPr>
        <w:t>,</w:t>
      </w:r>
      <w:r w:rsidRPr="23EA9C57">
        <w:rPr>
          <w:rFonts w:ascii="Calibri" w:eastAsia="Calibri" w:hAnsi="Calibri" w:cs="Calibri"/>
        </w:rPr>
        <w:t>650 exposures in altitude</w:t>
      </w:r>
      <w:r w:rsidR="00AC24F9">
        <w:rPr>
          <w:rFonts w:ascii="Calibri" w:eastAsia="Calibri" w:hAnsi="Calibri" w:cs="Calibri"/>
        </w:rPr>
        <w:t xml:space="preserve"> physiological</w:t>
      </w:r>
      <w:r w:rsidRPr="23EA9C57">
        <w:rPr>
          <w:rFonts w:ascii="Calibri" w:eastAsia="Calibri" w:hAnsi="Calibri" w:cs="Calibri"/>
        </w:rPr>
        <w:t xml:space="preserve"> chamber test</w:t>
      </w:r>
      <w:r w:rsidR="0003790A">
        <w:rPr>
          <w:rFonts w:ascii="Calibri" w:eastAsia="Calibri" w:hAnsi="Calibri" w:cs="Calibri"/>
        </w:rPr>
        <w:t>s</w:t>
      </w:r>
      <w:r w:rsidRPr="23EA9C57">
        <w:rPr>
          <w:rFonts w:ascii="Calibri" w:eastAsia="Calibri" w:hAnsi="Calibri" w:cs="Calibri"/>
        </w:rPr>
        <w:t xml:space="preserve"> (altitude refresher) since 2015. </w:t>
      </w:r>
    </w:p>
    <w:p w14:paraId="0629160E" w14:textId="2C008AB0" w:rsidR="0C049F20" w:rsidRPr="0003790A" w:rsidRDefault="57A57F0C">
      <w:pPr>
        <w:pStyle w:val="ListParagraph"/>
        <w:numPr>
          <w:ilvl w:val="1"/>
          <w:numId w:val="31"/>
        </w:numPr>
        <w:spacing w:afterLines="60" w:after="144" w:line="360" w:lineRule="auto"/>
        <w:rPr>
          <w:rFonts w:ascii="Calibri" w:eastAsia="Calibri" w:hAnsi="Calibri" w:cs="Calibri"/>
        </w:rPr>
      </w:pPr>
      <w:r w:rsidRPr="50DAABFA">
        <w:rPr>
          <w:rFonts w:ascii="Calibri" w:eastAsia="Calibri" w:hAnsi="Calibri" w:cs="Calibri"/>
        </w:rPr>
        <w:t xml:space="preserve">NASA has </w:t>
      </w:r>
      <w:r w:rsidR="26A1B2A8" w:rsidRPr="50DAABFA">
        <w:rPr>
          <w:rFonts w:ascii="Calibri" w:eastAsia="Calibri" w:hAnsi="Calibri" w:cs="Calibri"/>
        </w:rPr>
        <w:t>observed</w:t>
      </w:r>
      <w:r w:rsidRPr="50DAABFA">
        <w:rPr>
          <w:rFonts w:ascii="Calibri" w:eastAsia="Calibri" w:hAnsi="Calibri" w:cs="Calibri"/>
        </w:rPr>
        <w:t xml:space="preserve"> </w:t>
      </w:r>
      <w:r w:rsidR="2C3A7355" w:rsidRPr="753100D6">
        <w:rPr>
          <w:rFonts w:ascii="Calibri" w:eastAsia="Calibri" w:hAnsi="Calibri" w:cs="Calibri"/>
        </w:rPr>
        <w:t>3</w:t>
      </w:r>
      <w:r w:rsidRPr="50DAABFA">
        <w:rPr>
          <w:rFonts w:ascii="Calibri" w:eastAsia="Calibri" w:hAnsi="Calibri" w:cs="Calibri"/>
        </w:rPr>
        <w:t xml:space="preserve"> Type I DCS </w:t>
      </w:r>
      <w:r w:rsidRPr="753100D6">
        <w:rPr>
          <w:rFonts w:ascii="Calibri" w:eastAsia="Calibri" w:hAnsi="Calibri" w:cs="Calibri"/>
        </w:rPr>
        <w:t>event</w:t>
      </w:r>
      <w:r w:rsidR="38FF3688" w:rsidRPr="753100D6">
        <w:rPr>
          <w:rFonts w:ascii="Calibri" w:eastAsia="Calibri" w:hAnsi="Calibri" w:cs="Calibri"/>
        </w:rPr>
        <w:t xml:space="preserve">s and 1 Type II DCS </w:t>
      </w:r>
      <w:r w:rsidRPr="50DAABFA">
        <w:rPr>
          <w:rFonts w:ascii="Calibri" w:eastAsia="Calibri" w:hAnsi="Calibri" w:cs="Calibri"/>
        </w:rPr>
        <w:t xml:space="preserve">event in </w:t>
      </w:r>
      <w:r w:rsidR="5E767356" w:rsidRPr="26D42AAF">
        <w:rPr>
          <w:rFonts w:ascii="Calibri" w:eastAsia="Calibri" w:hAnsi="Calibri" w:cs="Calibri"/>
        </w:rPr>
        <w:t xml:space="preserve">research and </w:t>
      </w:r>
      <w:r w:rsidRPr="50DAABFA">
        <w:rPr>
          <w:rFonts w:ascii="Calibri" w:eastAsia="Calibri" w:hAnsi="Calibri" w:cs="Calibri"/>
        </w:rPr>
        <w:t xml:space="preserve">hardware development activities </w:t>
      </w:r>
      <w:r w:rsidR="18971380" w:rsidRPr="3B245D4F">
        <w:rPr>
          <w:rFonts w:ascii="Calibri" w:eastAsia="Calibri" w:hAnsi="Calibri" w:cs="Calibri"/>
        </w:rPr>
        <w:t xml:space="preserve">during </w:t>
      </w:r>
      <w:r w:rsidR="6386BC0C" w:rsidRPr="3B245D4F">
        <w:rPr>
          <w:rFonts w:ascii="Calibri" w:eastAsia="Calibri" w:hAnsi="Calibri" w:cs="Calibri"/>
        </w:rPr>
        <w:t xml:space="preserve">approximately 225 </w:t>
      </w:r>
      <w:r w:rsidR="4D1162A5" w:rsidRPr="26D42AAF">
        <w:rPr>
          <w:rFonts w:ascii="Calibri" w:eastAsia="Calibri" w:hAnsi="Calibri" w:cs="Calibri"/>
        </w:rPr>
        <w:t>exposures</w:t>
      </w:r>
      <w:r w:rsidR="0003790A">
        <w:rPr>
          <w:rFonts w:ascii="Calibri" w:eastAsia="Calibri" w:hAnsi="Calibri" w:cs="Calibri"/>
        </w:rPr>
        <w:t xml:space="preserve"> </w:t>
      </w:r>
      <w:r w:rsidR="00DC20F3">
        <w:rPr>
          <w:rFonts w:ascii="Calibri" w:eastAsia="Calibri" w:hAnsi="Calibri" w:cs="Calibri"/>
        </w:rPr>
        <w:t>(</w:t>
      </w:r>
      <w:bookmarkStart w:id="15" w:name="_Hlk170391746"/>
      <w:r w:rsidR="00DC20F3">
        <w:rPr>
          <w:rFonts w:ascii="Calibri" w:eastAsia="Calibri" w:hAnsi="Calibri" w:cs="Calibri"/>
        </w:rPr>
        <w:t xml:space="preserve">Sanders, </w:t>
      </w:r>
      <w:r w:rsidR="00DC20F3">
        <w:rPr>
          <w:rFonts w:ascii="Calibri" w:eastAsia="Calibri" w:hAnsi="Calibri" w:cs="Calibri"/>
        </w:rPr>
        <w:lastRenderedPageBreak/>
        <w:t xml:space="preserve">2024. </w:t>
      </w:r>
      <w:r w:rsidR="00DC20F3" w:rsidRPr="00DC20F3">
        <w:rPr>
          <w:rFonts w:ascii="Calibri" w:eastAsia="Calibri" w:hAnsi="Calibri" w:cs="Calibri"/>
          <w:i/>
          <w:iCs/>
        </w:rPr>
        <w:t>Diving in Space: Extravehicular Activity Parallels Technical Diving</w:t>
      </w:r>
      <w:r w:rsidR="00DC20F3">
        <w:rPr>
          <w:rFonts w:ascii="Calibri" w:eastAsia="Calibri" w:hAnsi="Calibri" w:cs="Calibri"/>
        </w:rPr>
        <w:t>. Presented at the NASA PFO &amp; DCS Working Group June 4, 2024).</w:t>
      </w:r>
      <w:bookmarkEnd w:id="15"/>
      <w:r w:rsidR="00D73C67" w:rsidRPr="00D73C67">
        <w:rPr>
          <w:rFonts w:ascii="Calibri" w:eastAsia="Calibri" w:hAnsi="Calibri" w:cs="Calibri"/>
        </w:rPr>
        <w:t xml:space="preserve"> It should </w:t>
      </w:r>
      <w:r w:rsidR="00D73C67">
        <w:rPr>
          <w:rFonts w:ascii="Calibri" w:eastAsia="Calibri" w:hAnsi="Calibri" w:cs="Calibri"/>
        </w:rPr>
        <w:t xml:space="preserve">be </w:t>
      </w:r>
      <w:r w:rsidR="00D73C67" w:rsidRPr="00D73C67">
        <w:rPr>
          <w:rFonts w:ascii="Calibri" w:eastAsia="Calibri" w:hAnsi="Calibri" w:cs="Calibri"/>
        </w:rPr>
        <w:t xml:space="preserve">noted that these cases were reported after implementation of a NASA DCS disposition policy, which encouraged subjects to report DCS. It is possible that there were other DCS cases which were not reported.  </w:t>
      </w:r>
    </w:p>
    <w:p w14:paraId="6E53311B" w14:textId="272978FD" w:rsidR="4A03FAE2" w:rsidRPr="00DC20F3" w:rsidRDefault="532C67E7">
      <w:pPr>
        <w:pStyle w:val="ListParagraph"/>
        <w:numPr>
          <w:ilvl w:val="1"/>
          <w:numId w:val="31"/>
        </w:numPr>
        <w:spacing w:afterLines="60" w:after="144" w:line="360" w:lineRule="auto"/>
        <w:rPr>
          <w:rFonts w:ascii="Calibri" w:eastAsia="Calibri" w:hAnsi="Calibri" w:cs="Calibri"/>
          <w:szCs w:val="24"/>
        </w:rPr>
      </w:pPr>
      <w:r w:rsidRPr="00DC20F3">
        <w:rPr>
          <w:rFonts w:ascii="Calibri" w:eastAsia="Calibri" w:hAnsi="Calibri" w:cs="Calibri"/>
          <w:szCs w:val="24"/>
        </w:rPr>
        <w:t>NASA has not observed a Type I or Type II DCS cas</w:t>
      </w:r>
      <w:r w:rsidR="445BC649" w:rsidRPr="00DC20F3">
        <w:rPr>
          <w:rFonts w:ascii="Calibri" w:eastAsia="Calibri" w:hAnsi="Calibri" w:cs="Calibri"/>
          <w:szCs w:val="24"/>
        </w:rPr>
        <w:t>e</w:t>
      </w:r>
      <w:r w:rsidRPr="00DC20F3">
        <w:rPr>
          <w:rFonts w:ascii="Calibri" w:eastAsia="Calibri" w:hAnsi="Calibri" w:cs="Calibri"/>
          <w:szCs w:val="24"/>
        </w:rPr>
        <w:t xml:space="preserve"> in spaceflight </w:t>
      </w:r>
      <w:r w:rsidR="3D225E46" w:rsidRPr="00DC20F3">
        <w:rPr>
          <w:rFonts w:ascii="Calibri" w:eastAsia="Calibri" w:hAnsi="Calibri" w:cs="Calibri"/>
          <w:szCs w:val="24"/>
        </w:rPr>
        <w:t xml:space="preserve">utilizing </w:t>
      </w:r>
      <w:r w:rsidR="5ADA5C05" w:rsidRPr="00DC20F3">
        <w:rPr>
          <w:rFonts w:ascii="Calibri" w:eastAsia="Calibri" w:hAnsi="Calibri" w:cs="Calibri"/>
          <w:szCs w:val="24"/>
        </w:rPr>
        <w:t xml:space="preserve">4 different </w:t>
      </w:r>
      <w:proofErr w:type="spellStart"/>
      <w:r w:rsidR="5999B403" w:rsidRPr="00DC20F3">
        <w:rPr>
          <w:rFonts w:ascii="Calibri" w:eastAsia="Calibri" w:hAnsi="Calibri" w:cs="Calibri"/>
          <w:szCs w:val="24"/>
        </w:rPr>
        <w:t>prebreathe</w:t>
      </w:r>
      <w:proofErr w:type="spellEnd"/>
      <w:r w:rsidR="5999B403" w:rsidRPr="00DC20F3">
        <w:rPr>
          <w:rFonts w:ascii="Calibri" w:eastAsia="Calibri" w:hAnsi="Calibri" w:cs="Calibri"/>
          <w:szCs w:val="24"/>
        </w:rPr>
        <w:t xml:space="preserve"> protocols</w:t>
      </w:r>
      <w:r w:rsidR="5B98058B" w:rsidRPr="00DC20F3">
        <w:rPr>
          <w:rFonts w:ascii="Calibri" w:eastAsia="Calibri" w:hAnsi="Calibri" w:cs="Calibri"/>
          <w:szCs w:val="24"/>
        </w:rPr>
        <w:t xml:space="preserve"> (4-hr in suit, CEVIS with exercise, </w:t>
      </w:r>
      <w:proofErr w:type="gramStart"/>
      <w:r w:rsidR="5B98058B" w:rsidRPr="00DC20F3">
        <w:rPr>
          <w:rFonts w:ascii="Calibri" w:eastAsia="Calibri" w:hAnsi="Calibri" w:cs="Calibri"/>
          <w:szCs w:val="24"/>
        </w:rPr>
        <w:t>CAMPOUT</w:t>
      </w:r>
      <w:proofErr w:type="gramEnd"/>
      <w:r w:rsidR="5B98058B" w:rsidRPr="00DC20F3">
        <w:rPr>
          <w:rFonts w:ascii="Calibri" w:eastAsia="Calibri" w:hAnsi="Calibri" w:cs="Calibri"/>
          <w:szCs w:val="24"/>
        </w:rPr>
        <w:t xml:space="preserve"> and </w:t>
      </w:r>
      <w:r w:rsidR="0003790A" w:rsidRPr="00DC20F3">
        <w:rPr>
          <w:rFonts w:ascii="Calibri" w:eastAsia="Calibri" w:hAnsi="Calibri" w:cs="Calibri"/>
          <w:szCs w:val="24"/>
        </w:rPr>
        <w:t>in-suit</w:t>
      </w:r>
      <w:r w:rsidR="5B98058B" w:rsidRPr="00DC20F3">
        <w:rPr>
          <w:rFonts w:ascii="Calibri" w:eastAsia="Calibri" w:hAnsi="Calibri" w:cs="Calibri"/>
          <w:szCs w:val="24"/>
        </w:rPr>
        <w:t xml:space="preserve"> light exercise (ISLE)</w:t>
      </w:r>
      <w:r w:rsidR="5999B403" w:rsidRPr="00DC20F3">
        <w:rPr>
          <w:rFonts w:ascii="Calibri" w:eastAsia="Calibri" w:hAnsi="Calibri" w:cs="Calibri"/>
          <w:szCs w:val="24"/>
        </w:rPr>
        <w:t xml:space="preserve"> in </w:t>
      </w:r>
      <w:r w:rsidR="208F523F" w:rsidRPr="00DC20F3">
        <w:rPr>
          <w:rFonts w:ascii="Calibri" w:eastAsia="Calibri" w:hAnsi="Calibri" w:cs="Calibri"/>
          <w:szCs w:val="24"/>
        </w:rPr>
        <w:t>over 170</w:t>
      </w:r>
      <w:r w:rsidR="5999B403" w:rsidRPr="00DC20F3">
        <w:rPr>
          <w:rFonts w:ascii="Calibri" w:eastAsia="Calibri" w:hAnsi="Calibri" w:cs="Calibri"/>
          <w:szCs w:val="24"/>
        </w:rPr>
        <w:t xml:space="preserve"> EVAs</w:t>
      </w:r>
      <w:r w:rsidR="3E30FD7D" w:rsidRPr="00DC20F3">
        <w:rPr>
          <w:rFonts w:ascii="Calibri" w:eastAsia="Calibri" w:hAnsi="Calibri" w:cs="Calibri"/>
          <w:szCs w:val="24"/>
        </w:rPr>
        <w:t xml:space="preserve"> </w:t>
      </w:r>
      <w:r w:rsidR="243438CE" w:rsidRPr="00DC20F3">
        <w:rPr>
          <w:rFonts w:ascii="Calibri" w:eastAsia="Calibri" w:hAnsi="Calibri" w:cs="Calibri"/>
          <w:szCs w:val="24"/>
        </w:rPr>
        <w:t xml:space="preserve">with 340 crewmembers </w:t>
      </w:r>
      <w:r w:rsidR="3E30FD7D" w:rsidRPr="00DC20F3">
        <w:rPr>
          <w:rFonts w:ascii="Calibri" w:eastAsia="Calibri" w:hAnsi="Calibri" w:cs="Calibri"/>
          <w:szCs w:val="24"/>
        </w:rPr>
        <w:t xml:space="preserve">on </w:t>
      </w:r>
      <w:r w:rsidR="0003790A" w:rsidRPr="00DC20F3">
        <w:rPr>
          <w:rFonts w:ascii="Calibri" w:eastAsia="Calibri" w:hAnsi="Calibri" w:cs="Calibri"/>
          <w:szCs w:val="24"/>
        </w:rPr>
        <w:t>the International Space Station</w:t>
      </w:r>
      <w:r w:rsidR="5999B403" w:rsidRPr="00DC20F3">
        <w:rPr>
          <w:rFonts w:ascii="Calibri" w:eastAsia="Calibri" w:hAnsi="Calibri" w:cs="Calibri"/>
          <w:szCs w:val="24"/>
        </w:rPr>
        <w:t xml:space="preserve"> as of 2023</w:t>
      </w:r>
      <w:r w:rsidR="00DC20F3" w:rsidRPr="00DC20F3">
        <w:rPr>
          <w:rFonts w:ascii="Calibri" w:eastAsia="Calibri" w:hAnsi="Calibri" w:cs="Calibri"/>
          <w:szCs w:val="24"/>
        </w:rPr>
        <w:t xml:space="preserve"> (Dervay, 2024</w:t>
      </w:r>
      <w:r w:rsidR="5999B403" w:rsidRPr="00DC20F3">
        <w:rPr>
          <w:rFonts w:ascii="Calibri" w:eastAsia="Calibri" w:hAnsi="Calibri" w:cs="Calibri"/>
          <w:szCs w:val="24"/>
        </w:rPr>
        <w:t>.</w:t>
      </w:r>
      <w:r w:rsidR="00DC20F3" w:rsidRPr="00DC20F3">
        <w:rPr>
          <w:rFonts w:ascii="Calibri" w:eastAsia="Calibri" w:hAnsi="Calibri" w:cs="Calibri"/>
          <w:szCs w:val="24"/>
        </w:rPr>
        <w:t xml:space="preserve"> </w:t>
      </w:r>
      <w:proofErr w:type="spellStart"/>
      <w:r w:rsidR="00DC20F3" w:rsidRPr="00DC20F3">
        <w:rPr>
          <w:rFonts w:ascii="Calibri" w:eastAsia="Calibri" w:hAnsi="Calibri" w:cs="Calibri"/>
          <w:i/>
          <w:iCs/>
          <w:szCs w:val="24"/>
        </w:rPr>
        <w:t>Prebreathe</w:t>
      </w:r>
      <w:proofErr w:type="spellEnd"/>
      <w:r w:rsidR="00DC20F3" w:rsidRPr="00DC20F3">
        <w:rPr>
          <w:rFonts w:ascii="Calibri" w:eastAsia="Calibri" w:hAnsi="Calibri" w:cs="Calibri"/>
          <w:i/>
          <w:iCs/>
          <w:szCs w:val="24"/>
        </w:rPr>
        <w:t xml:space="preserve"> Protocol Reduction Historical Perspectives: PFO and DCS Aspects</w:t>
      </w:r>
      <w:r w:rsidR="00DC20F3" w:rsidRPr="00DC20F3">
        <w:rPr>
          <w:rFonts w:ascii="Calibri" w:eastAsia="Calibri" w:hAnsi="Calibri" w:cs="Calibri"/>
          <w:szCs w:val="24"/>
        </w:rPr>
        <w:t xml:space="preserve">. </w:t>
      </w:r>
      <w:r w:rsidR="00DC20F3" w:rsidRPr="00DC20F3">
        <w:rPr>
          <w:rFonts w:ascii="Calibri" w:eastAsia="Calibri" w:hAnsi="Calibri" w:cs="Calibri"/>
        </w:rPr>
        <w:t>Presented at the NASA PFO &amp; DCS Working Group June 4, 2024).</w:t>
      </w:r>
    </w:p>
    <w:p w14:paraId="17579498" w14:textId="15C289E2" w:rsidR="6FEA3BBC" w:rsidRPr="00CC631D" w:rsidRDefault="49F15988" w:rsidP="00CC631D">
      <w:pPr>
        <w:pStyle w:val="ListParagraph"/>
        <w:numPr>
          <w:ilvl w:val="0"/>
          <w:numId w:val="34"/>
        </w:numPr>
        <w:spacing w:afterLines="60" w:after="144" w:line="360" w:lineRule="auto"/>
        <w:rPr>
          <w:rFonts w:ascii="Calibri" w:eastAsia="Calibri" w:hAnsi="Calibri" w:cs="Calibri"/>
        </w:rPr>
      </w:pPr>
      <w:r w:rsidRPr="00CC631D">
        <w:rPr>
          <w:rFonts w:ascii="Calibri" w:eastAsia="Calibri" w:hAnsi="Calibri" w:cs="Calibri"/>
        </w:rPr>
        <w:t xml:space="preserve">NASA has never performed routine </w:t>
      </w:r>
      <w:r w:rsidR="000C0965" w:rsidRPr="00CC631D">
        <w:rPr>
          <w:rFonts w:ascii="Calibri" w:eastAsia="Calibri" w:hAnsi="Calibri" w:cs="Calibri"/>
        </w:rPr>
        <w:t xml:space="preserve">screening </w:t>
      </w:r>
      <w:r w:rsidR="00E9645C">
        <w:rPr>
          <w:rFonts w:ascii="Calibri" w:eastAsia="Calibri" w:hAnsi="Calibri" w:cs="Calibri"/>
        </w:rPr>
        <w:t xml:space="preserve">or evaluation </w:t>
      </w:r>
      <w:r w:rsidR="000C0965" w:rsidRPr="00CC631D">
        <w:rPr>
          <w:rFonts w:ascii="Calibri" w:eastAsia="Calibri" w:hAnsi="Calibri" w:cs="Calibri"/>
        </w:rPr>
        <w:t>for</w:t>
      </w:r>
      <w:r w:rsidRPr="00CC631D">
        <w:rPr>
          <w:rFonts w:ascii="Calibri" w:eastAsia="Calibri" w:hAnsi="Calibri" w:cs="Calibri"/>
        </w:rPr>
        <w:t xml:space="preserve"> PFOs</w:t>
      </w:r>
      <w:r w:rsidR="0003790A" w:rsidRPr="00CC631D">
        <w:rPr>
          <w:rFonts w:ascii="Calibri" w:eastAsia="Calibri" w:hAnsi="Calibri" w:cs="Calibri"/>
        </w:rPr>
        <w:t>.</w:t>
      </w:r>
    </w:p>
    <w:p w14:paraId="076EBCF5" w14:textId="03073708" w:rsidR="00D34F29" w:rsidRDefault="0003790A" w:rsidP="00CC631D">
      <w:pPr>
        <w:pStyle w:val="ListParagraph"/>
        <w:numPr>
          <w:ilvl w:val="0"/>
          <w:numId w:val="34"/>
        </w:numPr>
        <w:spacing w:afterLines="60" w:after="144" w:line="360" w:lineRule="auto"/>
      </w:pPr>
      <w:r>
        <w:t>Central nervous system (</w:t>
      </w:r>
      <w:r w:rsidR="18B3C7B2">
        <w:t>CNS</w:t>
      </w:r>
      <w:r>
        <w:t>)</w:t>
      </w:r>
      <w:r w:rsidR="18B3C7B2">
        <w:t xml:space="preserve"> DCS may occur both with and without </w:t>
      </w:r>
      <w:r>
        <w:t>venous gas emboli (</w:t>
      </w:r>
      <w:r w:rsidR="18B3C7B2">
        <w:t>VGE</w:t>
      </w:r>
      <w:r>
        <w:t>)</w:t>
      </w:r>
      <w:r w:rsidR="18B3C7B2">
        <w:t xml:space="preserve">, </w:t>
      </w:r>
      <w:r w:rsidR="3349D087">
        <w:t xml:space="preserve">which </w:t>
      </w:r>
      <w:r w:rsidR="18B3C7B2">
        <w:t xml:space="preserve">indicates that not all CNS DCS cases are </w:t>
      </w:r>
      <w:r w:rsidR="08A7B0A5">
        <w:t>directly</w:t>
      </w:r>
      <w:r w:rsidR="18B3C7B2">
        <w:t xml:space="preserve"> </w:t>
      </w:r>
      <w:r w:rsidR="6966F186">
        <w:t>related</w:t>
      </w:r>
      <w:r w:rsidR="18B3C7B2">
        <w:t xml:space="preserve"> to VGE detections</w:t>
      </w:r>
      <w:r w:rsidR="00DC20F3">
        <w:t xml:space="preserve"> (Webb, 2004)</w:t>
      </w:r>
      <w:r w:rsidR="18B3C7B2">
        <w:t xml:space="preserve">. </w:t>
      </w:r>
    </w:p>
    <w:p w14:paraId="361C8617" w14:textId="77777777" w:rsidR="00A62339" w:rsidRDefault="03035CC9" w:rsidP="00CC631D">
      <w:pPr>
        <w:pStyle w:val="ListParagraph"/>
        <w:numPr>
          <w:ilvl w:val="0"/>
          <w:numId w:val="34"/>
        </w:numPr>
        <w:spacing w:afterLines="60" w:after="144" w:line="360" w:lineRule="auto"/>
      </w:pPr>
      <w:r>
        <w:t xml:space="preserve">In a small study </w:t>
      </w:r>
      <w:r w:rsidR="360E66E0">
        <w:t>of</w:t>
      </w:r>
      <w:r>
        <w:t xml:space="preserve"> altitude</w:t>
      </w:r>
      <w:r w:rsidR="0003790A">
        <w:t>-</w:t>
      </w:r>
      <w:r>
        <w:t xml:space="preserve">induced decompression sickness, </w:t>
      </w:r>
      <w:r w:rsidR="60676B89">
        <w:t>“</w:t>
      </w:r>
      <w:r w:rsidR="29B65F50">
        <w:t xml:space="preserve">unreported left ventricular gas emboli were observed with echo imaging in six subjects at altitude. In all six cases, at the time of </w:t>
      </w:r>
      <w:r w:rsidR="173708D1">
        <w:t>arterial gas emboli</w:t>
      </w:r>
      <w:r w:rsidR="29B65F50">
        <w:t xml:space="preserve"> onset, the </w:t>
      </w:r>
      <w:r w:rsidR="54A40889">
        <w:t xml:space="preserve">venous gas emboli </w:t>
      </w:r>
      <w:r w:rsidR="29B65F50">
        <w:t xml:space="preserve">scores were high from all monitored sites. Three subjects had no septal defect, another had a small sinus venosus defect, a third had a </w:t>
      </w:r>
      <w:r w:rsidR="0003790A">
        <w:t>PFO</w:t>
      </w:r>
      <w:r w:rsidR="29B65F50">
        <w:t>, and one was not available for evaluation</w:t>
      </w:r>
      <w:r w:rsidR="3CB3354C">
        <w:t>.”</w:t>
      </w:r>
      <w:r w:rsidR="00DC20F3">
        <w:t xml:space="preserve"> (Webb, 2004).</w:t>
      </w:r>
    </w:p>
    <w:p w14:paraId="69406C25" w14:textId="46EEE717" w:rsidR="00D34F29" w:rsidRPr="00A62339" w:rsidRDefault="160FA2EE" w:rsidP="00CC631D">
      <w:pPr>
        <w:pStyle w:val="ListParagraph"/>
        <w:numPr>
          <w:ilvl w:val="0"/>
          <w:numId w:val="34"/>
        </w:numPr>
        <w:spacing w:afterLines="60" w:after="144" w:line="360" w:lineRule="auto"/>
      </w:pPr>
      <w:r>
        <w:t>“</w:t>
      </w:r>
      <w:r w:rsidR="2C9C3DC4">
        <w:t>Despite this high prevalence of PFO in the general population</w:t>
      </w:r>
      <w:r w:rsidR="00CC631D">
        <w:t xml:space="preserve"> (approximately 25%)</w:t>
      </w:r>
      <w:r w:rsidR="2C9C3DC4">
        <w:t>, and the relatively common occurrence of venous gas bubbles in diving and altitude exposures, the incidence of Type II DCS in diving or with altitude is remarkably low.</w:t>
      </w:r>
      <w:r w:rsidR="7CC16468">
        <w:t>”</w:t>
      </w:r>
      <w:r w:rsidR="00DC20F3">
        <w:t xml:space="preserve"> (Saary &amp; Gray, 2001).</w:t>
      </w:r>
    </w:p>
    <w:p w14:paraId="3011FD9B" w14:textId="1DAEAD31" w:rsidR="00D34F29" w:rsidRPr="002419CC" w:rsidRDefault="00D34F29" w:rsidP="00CC631D">
      <w:pPr>
        <w:pStyle w:val="ListParagraph"/>
        <w:numPr>
          <w:ilvl w:val="0"/>
          <w:numId w:val="34"/>
        </w:numPr>
        <w:spacing w:afterLines="60" w:after="144" w:line="360" w:lineRule="auto"/>
        <w:rPr>
          <w:rFonts w:eastAsia="Times New Roman"/>
        </w:rPr>
      </w:pPr>
      <w:r w:rsidRPr="00CD3A3D">
        <w:rPr>
          <w:rFonts w:eastAsia="Times New Roman"/>
        </w:rPr>
        <w:t xml:space="preserve">Altitude decompression </w:t>
      </w:r>
      <w:r w:rsidR="00652F47">
        <w:rPr>
          <w:rFonts w:eastAsia="Times New Roman"/>
        </w:rPr>
        <w:t>exposures typically result in higher VGE loads than diving because at lower pressures, the metabolic gases (O</w:t>
      </w:r>
      <w:r w:rsidR="00652F47" w:rsidRPr="000B4FA4">
        <w:rPr>
          <w:rFonts w:eastAsia="Times New Roman"/>
          <w:vertAlign w:val="subscript"/>
        </w:rPr>
        <w:t>2</w:t>
      </w:r>
      <w:r w:rsidR="00652F47">
        <w:rPr>
          <w:rFonts w:eastAsia="Times New Roman"/>
        </w:rPr>
        <w:t>, CO</w:t>
      </w:r>
      <w:r w:rsidR="00652F47" w:rsidRPr="000B4FA4">
        <w:rPr>
          <w:rFonts w:eastAsia="Times New Roman"/>
          <w:vertAlign w:val="subscript"/>
        </w:rPr>
        <w:t>2</w:t>
      </w:r>
      <w:r w:rsidR="00652F47">
        <w:rPr>
          <w:rFonts w:eastAsia="Times New Roman"/>
        </w:rPr>
        <w:t>, and H</w:t>
      </w:r>
      <w:r w:rsidR="00652F47" w:rsidRPr="000B4FA4">
        <w:rPr>
          <w:rFonts w:eastAsia="Times New Roman"/>
          <w:vertAlign w:val="subscript"/>
        </w:rPr>
        <w:t>2</w:t>
      </w:r>
      <w:r w:rsidR="00652F47">
        <w:rPr>
          <w:rFonts w:eastAsia="Times New Roman"/>
        </w:rPr>
        <w:t xml:space="preserve">O vapor), which have an infinite half-time, make a greater contribution to bubble formation and growth. However, the </w:t>
      </w:r>
      <w:r w:rsidR="000B4FA4">
        <w:rPr>
          <w:rFonts w:eastAsia="Times New Roman"/>
        </w:rPr>
        <w:t>pathophysiological</w:t>
      </w:r>
      <w:r w:rsidR="00652F47">
        <w:rPr>
          <w:rFonts w:eastAsia="Times New Roman"/>
        </w:rPr>
        <w:t xml:space="preserve"> effects of those </w:t>
      </w:r>
      <w:r w:rsidR="000B4FA4">
        <w:rPr>
          <w:rFonts w:eastAsia="Times New Roman"/>
        </w:rPr>
        <w:t>bubbles</w:t>
      </w:r>
      <w:r w:rsidR="00652F47">
        <w:rPr>
          <w:rFonts w:eastAsia="Times New Roman"/>
        </w:rPr>
        <w:t xml:space="preserve"> are generally less than in </w:t>
      </w:r>
      <w:r w:rsidR="00652F47">
        <w:rPr>
          <w:rFonts w:eastAsia="Times New Roman"/>
        </w:rPr>
        <w:lastRenderedPageBreak/>
        <w:t xml:space="preserve">diving decompressions. This is because NASA </w:t>
      </w:r>
      <w:proofErr w:type="spellStart"/>
      <w:r w:rsidR="00652F47">
        <w:rPr>
          <w:rFonts w:eastAsia="Times New Roman"/>
        </w:rPr>
        <w:t>prebreathe</w:t>
      </w:r>
      <w:proofErr w:type="spellEnd"/>
      <w:r w:rsidR="00652F47">
        <w:rPr>
          <w:rFonts w:eastAsia="Times New Roman"/>
        </w:rPr>
        <w:t xml:space="preserve"> protocols utilize O</w:t>
      </w:r>
      <w:r w:rsidR="00652F47" w:rsidRPr="000B4FA4">
        <w:rPr>
          <w:rFonts w:eastAsia="Times New Roman"/>
          <w:vertAlign w:val="subscript"/>
        </w:rPr>
        <w:t>2</w:t>
      </w:r>
      <w:r w:rsidR="00652F47">
        <w:rPr>
          <w:rFonts w:eastAsia="Times New Roman"/>
        </w:rPr>
        <w:t xml:space="preserve"> </w:t>
      </w:r>
      <w:proofErr w:type="spellStart"/>
      <w:r w:rsidR="00652F47">
        <w:rPr>
          <w:rFonts w:eastAsia="Times New Roman"/>
        </w:rPr>
        <w:t>prebreathe</w:t>
      </w:r>
      <w:proofErr w:type="spellEnd"/>
      <w:r w:rsidR="00652F47">
        <w:rPr>
          <w:rFonts w:eastAsia="Times New Roman"/>
        </w:rPr>
        <w:t xml:space="preserve"> prior to decompression to lower pressures. The neurological tissues, including the brain and spinal cord, have high perfusion rates and fast nitrogen elimination half-times, resulting in those tissues being undersaturated during the EVA exposure. Therefore, should bubbles enter the arterial circulation, they would encounter an undersaturated environment where the partial pressure of nitrogen in the bubbles is higher than the tension of nitrogen in the tissues, resulting in bubble size reduction by dif</w:t>
      </w:r>
      <w:r w:rsidR="00E41DAF">
        <w:rPr>
          <w:rFonts w:eastAsia="Times New Roman"/>
        </w:rPr>
        <w:t>fusion of the nitrogen form the bubbles into the tissues. In diving decompression, th</w:t>
      </w:r>
      <w:r w:rsidR="00BE48AE">
        <w:rPr>
          <w:rFonts w:eastAsia="Times New Roman"/>
        </w:rPr>
        <w:t xml:space="preserve">e opposite occurs. After surfacing from a hyperbaric exposure, the neurological tissues are supersaturated and if bubbles </w:t>
      </w:r>
      <w:proofErr w:type="gramStart"/>
      <w:r w:rsidR="00BE48AE">
        <w:rPr>
          <w:rFonts w:eastAsia="Times New Roman"/>
        </w:rPr>
        <w:t>enter</w:t>
      </w:r>
      <w:proofErr w:type="gramEnd"/>
      <w:r w:rsidR="00BE48AE">
        <w:rPr>
          <w:rFonts w:eastAsia="Times New Roman"/>
        </w:rPr>
        <w:t xml:space="preserve"> the arterial circulation they would encounter a supersaturated environment and increase in size, resulting in a greater risk of neurological symptoms.</w:t>
      </w:r>
      <w:r w:rsidR="00A80797">
        <w:rPr>
          <w:rFonts w:eastAsia="Times New Roman"/>
        </w:rPr>
        <w:t xml:space="preserve"> (Moon, 2024.</w:t>
      </w:r>
      <w:r w:rsidR="00A80797" w:rsidRPr="00A80797">
        <w:t xml:space="preserve"> </w:t>
      </w:r>
      <w:r w:rsidR="00A80797" w:rsidRPr="00A80797">
        <w:rPr>
          <w:rFonts w:eastAsia="Times New Roman"/>
          <w:i/>
          <w:iCs/>
        </w:rPr>
        <w:t xml:space="preserve">Patent Foramen </w:t>
      </w:r>
      <w:proofErr w:type="spellStart"/>
      <w:r w:rsidR="00A80797" w:rsidRPr="00A80797">
        <w:rPr>
          <w:rFonts w:eastAsia="Times New Roman"/>
          <w:i/>
          <w:iCs/>
        </w:rPr>
        <w:t>Ovale</w:t>
      </w:r>
      <w:proofErr w:type="spellEnd"/>
      <w:r w:rsidR="00A80797" w:rsidRPr="00A80797">
        <w:rPr>
          <w:rFonts w:eastAsia="Times New Roman"/>
          <w:i/>
          <w:iCs/>
        </w:rPr>
        <w:t xml:space="preserve"> and Decompression Illness in Space</w:t>
      </w:r>
      <w:r w:rsidRPr="00CD3A3D">
        <w:rPr>
          <w:rFonts w:eastAsia="Times New Roman"/>
        </w:rPr>
        <w:t xml:space="preserve">. </w:t>
      </w:r>
      <w:r w:rsidR="00A80797" w:rsidRPr="00DC20F3">
        <w:rPr>
          <w:rFonts w:ascii="Calibri" w:eastAsia="Calibri" w:hAnsi="Calibri" w:cs="Calibri"/>
        </w:rPr>
        <w:t>Presented at the NASA PFO &amp; DCS Working Group June 4, 2024</w:t>
      </w:r>
      <w:r w:rsidR="00A80797">
        <w:rPr>
          <w:rFonts w:ascii="Calibri" w:eastAsia="Calibri" w:hAnsi="Calibri" w:cs="Calibri"/>
        </w:rPr>
        <w:t>).</w:t>
      </w:r>
    </w:p>
    <w:p w14:paraId="3D3AF475" w14:textId="7A6B9B78" w:rsidR="00D34F29" w:rsidRPr="0003790A" w:rsidRDefault="00DE6525" w:rsidP="0003790A">
      <w:pPr>
        <w:pStyle w:val="Heading3"/>
      </w:pPr>
      <w:bookmarkStart w:id="16" w:name="_Toc170739832"/>
      <w:r w:rsidRPr="0003790A">
        <w:t xml:space="preserve">7.0 </w:t>
      </w:r>
      <w:r w:rsidR="00D34F29" w:rsidRPr="0003790A">
        <w:t>Other Physiological Factors</w:t>
      </w:r>
      <w:bookmarkEnd w:id="16"/>
      <w:r w:rsidR="00D34F29" w:rsidRPr="0003790A">
        <w:t xml:space="preserve"> </w:t>
      </w:r>
    </w:p>
    <w:p w14:paraId="1B7C6265" w14:textId="11D00B52" w:rsidR="00D34F29" w:rsidRPr="00A80797" w:rsidRDefault="00D34F29">
      <w:pPr>
        <w:pStyle w:val="ListParagraph"/>
        <w:numPr>
          <w:ilvl w:val="0"/>
          <w:numId w:val="23"/>
        </w:numPr>
        <w:spacing w:after="60" w:line="360" w:lineRule="auto"/>
      </w:pPr>
      <w:r>
        <w:t xml:space="preserve">Many other physiological factors contribute to risk of DCS, such as </w:t>
      </w:r>
      <w:r w:rsidR="7AB93E6C">
        <w:t xml:space="preserve">other </w:t>
      </w:r>
      <w:r w:rsidR="0003790A">
        <w:t>a</w:t>
      </w:r>
      <w:r w:rsidR="0003790A" w:rsidRPr="0003790A">
        <w:t>rteriovenous</w:t>
      </w:r>
      <w:r w:rsidR="0003790A">
        <w:t xml:space="preserve"> </w:t>
      </w:r>
      <w:r w:rsidR="7AB93E6C">
        <w:t xml:space="preserve">shunts, </w:t>
      </w:r>
      <w:r>
        <w:t xml:space="preserve">age </w:t>
      </w:r>
      <w:r w:rsidR="00B2646D">
        <w:t>(</w:t>
      </w:r>
      <w:r>
        <w:t>higher risk due to right</w:t>
      </w:r>
      <w:r w:rsidR="00896A81">
        <w:t xml:space="preserve"> </w:t>
      </w:r>
      <w:r>
        <w:t>atrial pressure increases and PFOs enlarge with aging), sex (males at greater risk)</w:t>
      </w:r>
      <w:r w:rsidR="00896A81">
        <w:t>,</w:t>
      </w:r>
      <w:r>
        <w:t xml:space="preserve"> body composition (high fat content = higher risk), and time of menstrual cycle</w:t>
      </w:r>
      <w:r w:rsidR="00E35C68">
        <w:t xml:space="preserve"> (Lee &amp; St. Leger Dowse</w:t>
      </w:r>
      <w:r w:rsidR="00A34F02">
        <w:t>, 2010</w:t>
      </w:r>
      <w:r w:rsidR="00E35C68">
        <w:t>)</w:t>
      </w:r>
      <w:r>
        <w:t xml:space="preserve">. </w:t>
      </w:r>
      <w:r w:rsidR="2E7A70CC">
        <w:t>These other</w:t>
      </w:r>
      <w:r w:rsidR="00CC631D">
        <w:t xml:space="preserve"> risk</w:t>
      </w:r>
      <w:r w:rsidR="2E7A70CC">
        <w:t xml:space="preserve"> factors may contribute to DCS occurrence equal to or greater than PFOs and should be considered </w:t>
      </w:r>
      <w:r w:rsidR="06CD6ABD">
        <w:t>in parallel to PFOs</w:t>
      </w:r>
      <w:r w:rsidR="00A80797">
        <w:t xml:space="preserve"> (Webb, 2004)</w:t>
      </w:r>
      <w:r w:rsidR="2E7A70CC">
        <w:t>.</w:t>
      </w:r>
    </w:p>
    <w:p w14:paraId="0DD785D3" w14:textId="1FECA069" w:rsidR="00D34F29" w:rsidRDefault="002E7857" w:rsidP="009D68D7">
      <w:pPr>
        <w:pStyle w:val="Heading2"/>
      </w:pPr>
      <w:r>
        <w:br w:type="page"/>
      </w:r>
      <w:bookmarkStart w:id="17" w:name="_Toc170739833"/>
      <w:r w:rsidR="00D34F29" w:rsidRPr="00896A81">
        <w:lastRenderedPageBreak/>
        <w:t>Overall Conclusion</w:t>
      </w:r>
      <w:bookmarkEnd w:id="17"/>
    </w:p>
    <w:p w14:paraId="31465035" w14:textId="78C53223" w:rsidR="00063873" w:rsidRPr="00063873" w:rsidRDefault="009D68D7" w:rsidP="1DDAE3A4">
      <w:pPr>
        <w:pBdr>
          <w:top w:val="single" w:sz="4" w:space="4" w:color="000000"/>
          <w:left w:val="single" w:sz="4" w:space="4" w:color="000000"/>
          <w:bottom w:val="single" w:sz="4" w:space="4" w:color="000000"/>
          <w:right w:val="single" w:sz="4" w:space="4" w:color="000000"/>
        </w:pBdr>
      </w:pPr>
      <w:r>
        <w:t xml:space="preserve">The following key points </w:t>
      </w:r>
      <w:r w:rsidR="004A24DC">
        <w:t>a</w:t>
      </w:r>
      <w:r w:rsidR="00746FD2">
        <w:t>s</w:t>
      </w:r>
      <w:r w:rsidR="004A24DC">
        <w:t xml:space="preserve"> summarized by the OCHMO Standards Team a</w:t>
      </w:r>
      <w:r w:rsidR="00746FD2">
        <w:t>re</w:t>
      </w:r>
      <w:r w:rsidR="004A24DC">
        <w:t xml:space="preserve"> the main take-aways from the PFO</w:t>
      </w:r>
      <w:r w:rsidR="00746FD2">
        <w:t>/</w:t>
      </w:r>
      <w:r w:rsidR="004A24DC">
        <w:t xml:space="preserve">DCS working group </w:t>
      </w:r>
      <w:r w:rsidR="00092D9E">
        <w:t>discussions</w:t>
      </w:r>
      <w:r w:rsidR="008174B8">
        <w:t>:</w:t>
      </w:r>
    </w:p>
    <w:p w14:paraId="2035ADEC" w14:textId="0194A0BC" w:rsidR="00D34F29" w:rsidRDefault="00D34F29" w:rsidP="1DDAE3A4">
      <w:pPr>
        <w:pStyle w:val="ListParagraph"/>
        <w:numPr>
          <w:ilvl w:val="0"/>
          <w:numId w:val="22"/>
        </w:numPr>
        <w:pBdr>
          <w:top w:val="single" w:sz="4" w:space="4" w:color="000000"/>
          <w:left w:val="single" w:sz="4" w:space="4" w:color="000000"/>
          <w:bottom w:val="single" w:sz="4" w:space="4" w:color="000000"/>
          <w:right w:val="single" w:sz="4" w:space="4" w:color="000000"/>
        </w:pBdr>
        <w:spacing w:after="60" w:line="360" w:lineRule="auto"/>
      </w:pPr>
      <w:r>
        <w:t xml:space="preserve">In an extreme exposure/high-risk scenario, </w:t>
      </w:r>
      <w:r w:rsidR="001F669E">
        <w:t>excluding individuals with a PFO and treating</w:t>
      </w:r>
      <w:r>
        <w:t xml:space="preserve"> PFOs does not necessarily decrease the risk of DCS or create a ‘safe’ environment. It </w:t>
      </w:r>
      <w:r w:rsidRPr="00685D98">
        <w:rPr>
          <w:i/>
          <w:iCs/>
        </w:rPr>
        <w:t>may</w:t>
      </w:r>
      <w:r>
        <w:t xml:space="preserve"> create incremental differences and slightly reduce overall risk but does not make the risk zero. There are other physiological factors that also contribute to the risk of DCS that may have a larger impact (see </w:t>
      </w:r>
      <w:r w:rsidR="00896A81">
        <w:t xml:space="preserve">7.0 </w:t>
      </w:r>
      <w:r w:rsidR="6234E4E5">
        <w:t xml:space="preserve">Other Physiological </w:t>
      </w:r>
      <w:r w:rsidR="00896A81">
        <w:t>Factors in</w:t>
      </w:r>
      <w:r>
        <w:t xml:space="preserve"> the findings section)</w:t>
      </w:r>
      <w:r w:rsidR="00896A81">
        <w:t>.</w:t>
      </w:r>
      <w:r w:rsidR="00CC631D">
        <w:t xml:space="preserve"> </w:t>
      </w:r>
    </w:p>
    <w:p w14:paraId="465DE80A" w14:textId="70DD6495" w:rsidR="00D34F29" w:rsidRDefault="00D34F29" w:rsidP="1DDAE3A4">
      <w:pPr>
        <w:pStyle w:val="ListParagraph"/>
        <w:numPr>
          <w:ilvl w:val="0"/>
          <w:numId w:val="22"/>
        </w:numPr>
        <w:pBdr>
          <w:top w:val="single" w:sz="4" w:space="4" w:color="000000"/>
          <w:left w:val="single" w:sz="4" w:space="4" w:color="000000"/>
          <w:bottom w:val="single" w:sz="4" w:space="4" w:color="000000"/>
          <w:right w:val="single" w:sz="4" w:space="4" w:color="000000"/>
        </w:pBdr>
        <w:spacing w:after="60" w:line="360" w:lineRule="auto"/>
      </w:pPr>
      <w:r>
        <w:t>Based on the available evidence</w:t>
      </w:r>
      <w:r w:rsidR="00855F35">
        <w:t xml:space="preserve"> and the risk of current decompression exposures (based on current NASA protocols and NASA-STD-3001 requirements to limit the risk of DCS)</w:t>
      </w:r>
      <w:r>
        <w:t xml:space="preserve">, it is not recommended to screen for PFOs in any spaceflight or ground testing participants. The best strategy </w:t>
      </w:r>
      <w:r w:rsidR="00072B13">
        <w:t xml:space="preserve">to reduce the risk of DCS </w:t>
      </w:r>
      <w:r>
        <w:t xml:space="preserve">is to create as safe an environment as possible in every scenario, through effective </w:t>
      </w:r>
      <w:proofErr w:type="spellStart"/>
      <w:r>
        <w:t>prebreathe</w:t>
      </w:r>
      <w:proofErr w:type="spellEnd"/>
      <w:r>
        <w:t xml:space="preserve"> protocols, safety</w:t>
      </w:r>
      <w:r w:rsidR="00746FD2">
        <w:t>,</w:t>
      </w:r>
      <w:r>
        <w:t xml:space="preserve"> and </w:t>
      </w:r>
      <w:r w:rsidR="0016107C">
        <w:t>the capability to rapidly treat DCS should symptoms occur.</w:t>
      </w:r>
      <w:r>
        <w:t xml:space="preserve"> </w:t>
      </w:r>
    </w:p>
    <w:p w14:paraId="532A3A83" w14:textId="77777777" w:rsidR="00387141" w:rsidRDefault="3C473E76" w:rsidP="00387141">
      <w:pPr>
        <w:pStyle w:val="ListParagraph"/>
        <w:numPr>
          <w:ilvl w:val="0"/>
          <w:numId w:val="22"/>
        </w:numPr>
        <w:pBdr>
          <w:top w:val="single" w:sz="4" w:space="4" w:color="000000"/>
          <w:left w:val="single" w:sz="4" w:space="4" w:color="000000"/>
          <w:bottom w:val="single" w:sz="4" w:space="4" w:color="000000"/>
          <w:right w:val="single" w:sz="4" w:space="4" w:color="000000"/>
        </w:pBdr>
        <w:spacing w:after="60" w:line="360" w:lineRule="auto"/>
      </w:pPr>
      <w:r>
        <w:t xml:space="preserve">Based on opinion, no </w:t>
      </w:r>
      <w:r w:rsidR="3F0EB2B4">
        <w:t>specific</w:t>
      </w:r>
      <w:r>
        <w:t xml:space="preserve"> </w:t>
      </w:r>
      <w:r w:rsidR="12576CB2">
        <w:t>research</w:t>
      </w:r>
      <w:r>
        <w:t xml:space="preserve"> is required at this time to </w:t>
      </w:r>
      <w:r w:rsidR="4FD20A3E">
        <w:t>further</w:t>
      </w:r>
      <w:r>
        <w:t xml:space="preserve"> characterize PF</w:t>
      </w:r>
      <w:r w:rsidR="1DFC6C9E">
        <w:t>O</w:t>
      </w:r>
      <w:r>
        <w:t>s</w:t>
      </w:r>
      <w:r w:rsidR="5FB0385A">
        <w:t xml:space="preserve"> with DCS</w:t>
      </w:r>
      <w:r>
        <w:t xml:space="preserve"> and </w:t>
      </w:r>
      <w:r w:rsidR="4192A0F2">
        <w:t>altitude</w:t>
      </w:r>
      <w:r>
        <w:t xml:space="preserve"> exposure, due to the low risk and </w:t>
      </w:r>
      <w:r w:rsidR="07CCB5B8">
        <w:t>preference</w:t>
      </w:r>
      <w:r>
        <w:t xml:space="preserve"> to </w:t>
      </w:r>
      <w:r w:rsidR="6EDA9425">
        <w:t>institute</w:t>
      </w:r>
      <w:r>
        <w:t xml:space="preserve"> </w:t>
      </w:r>
      <w:r w:rsidR="09BDDC9F">
        <w:t>adequate</w:t>
      </w:r>
      <w:r>
        <w:t xml:space="preserve"> </w:t>
      </w:r>
      <w:r w:rsidR="2EAC5173">
        <w:t xml:space="preserve">safe </w:t>
      </w:r>
      <w:r>
        <w:t xml:space="preserve">protocols and </w:t>
      </w:r>
      <w:r w:rsidR="55203750">
        <w:t>ensuring treatment</w:t>
      </w:r>
      <w:r>
        <w:t xml:space="preserve"> </w:t>
      </w:r>
      <w:r w:rsidR="3DD45272">
        <w:t>availability</w:t>
      </w:r>
      <w:r w:rsidR="3F7866CF">
        <w:t xml:space="preserve"> both on the ground and in spaceflight</w:t>
      </w:r>
      <w:r>
        <w:t>.</w:t>
      </w:r>
    </w:p>
    <w:p w14:paraId="5E5B8FED" w14:textId="6C0B0B0E" w:rsidR="00387141" w:rsidRDefault="00387141" w:rsidP="00387141">
      <w:pPr>
        <w:pStyle w:val="ListParagraph"/>
        <w:numPr>
          <w:ilvl w:val="0"/>
          <w:numId w:val="22"/>
        </w:numPr>
        <w:pBdr>
          <w:top w:val="single" w:sz="4" w:space="4" w:color="000000"/>
          <w:left w:val="single" w:sz="4" w:space="4" w:color="000000"/>
          <w:bottom w:val="single" w:sz="4" w:space="4" w:color="000000"/>
          <w:right w:val="single" w:sz="4" w:space="4" w:color="000000"/>
        </w:pBdr>
        <w:spacing w:after="60" w:line="360" w:lineRule="auto"/>
      </w:pPr>
      <w:r>
        <w:t xml:space="preserve">For engineering protocols conducted on the ground, it should be ensured that the same level of treatment capability </w:t>
      </w:r>
      <w:r w:rsidR="00E9645C">
        <w:t xml:space="preserve">(treatment chamber in the immediate vicinity of the testing) </w:t>
      </w:r>
      <w:r>
        <w:t>is provided as during research protocols.</w:t>
      </w:r>
      <w:r w:rsidR="00624EC2">
        <w:t xml:space="preserve"> The ability to immediately treat a DCS case is critical in ensuring the safety of the test subjects.</w:t>
      </w:r>
    </w:p>
    <w:p w14:paraId="001EE83D" w14:textId="5B9FF76C" w:rsidR="00CD1377" w:rsidRPr="00A80797" w:rsidRDefault="00CD1377" w:rsidP="1DDAE3A4">
      <w:pPr>
        <w:pStyle w:val="ListParagraph"/>
        <w:numPr>
          <w:ilvl w:val="0"/>
          <w:numId w:val="22"/>
        </w:numPr>
        <w:pBdr>
          <w:top w:val="single" w:sz="4" w:space="4" w:color="000000"/>
          <w:left w:val="single" w:sz="4" w:space="4" w:color="000000"/>
          <w:bottom w:val="single" w:sz="4" w:space="4" w:color="000000"/>
          <w:right w:val="single" w:sz="4" w:space="4" w:color="000000"/>
        </w:pBdr>
        <w:spacing w:after="60" w:line="360" w:lineRule="auto"/>
      </w:pPr>
      <w:r>
        <w:br w:type="page"/>
      </w:r>
    </w:p>
    <w:p w14:paraId="5EAA37ED" w14:textId="50F5C8A3" w:rsidR="00F01F09" w:rsidRDefault="009003A4" w:rsidP="00DF6F6B">
      <w:pPr>
        <w:pStyle w:val="Heading2"/>
      </w:pPr>
      <w:bookmarkStart w:id="18" w:name="_Toc170739834"/>
      <w:r>
        <w:lastRenderedPageBreak/>
        <w:t>Working Group Goals</w:t>
      </w:r>
      <w:bookmarkEnd w:id="18"/>
    </w:p>
    <w:p w14:paraId="47A95ECB" w14:textId="1801076D" w:rsidR="003E009F" w:rsidRDefault="001C2658" w:rsidP="00C2725E">
      <w:pPr>
        <w:tabs>
          <w:tab w:val="left" w:pos="4185"/>
        </w:tabs>
        <w:spacing w:afterLines="60" w:after="144" w:line="360" w:lineRule="auto"/>
      </w:pPr>
      <w:r>
        <w:t>Pre-defined g</w:t>
      </w:r>
      <w:r w:rsidR="00C2725E">
        <w:t>oals of the working group included:</w:t>
      </w:r>
    </w:p>
    <w:p w14:paraId="52905361" w14:textId="15C63CF0" w:rsidR="001275FC" w:rsidRPr="001275FC" w:rsidRDefault="00E84647" w:rsidP="00C2725E">
      <w:pPr>
        <w:spacing w:afterLines="60" w:after="144" w:line="360" w:lineRule="auto"/>
      </w:pPr>
      <w:r w:rsidRPr="00E84647">
        <w:rPr>
          <w:b/>
          <w:bCs/>
        </w:rPr>
        <w:t>Goal 1:</w:t>
      </w:r>
      <w:r w:rsidRPr="00E84647">
        <w:t xml:space="preserve"> </w:t>
      </w:r>
      <w:r w:rsidR="001275FC" w:rsidRPr="001275FC">
        <w:t>Quantification of any increased risk associated with the presence of a PFO during decompression protocols utilized in ground testing and spaceflight EVAs, as well as unplanned decompressions (e.g., cabin depressurization, EVA suit leak).</w:t>
      </w:r>
    </w:p>
    <w:p w14:paraId="05DBA069" w14:textId="77777777" w:rsidR="001275FC" w:rsidRPr="00E84647" w:rsidRDefault="001275FC">
      <w:pPr>
        <w:pStyle w:val="ListParagraph"/>
        <w:numPr>
          <w:ilvl w:val="0"/>
          <w:numId w:val="1"/>
        </w:numPr>
        <w:tabs>
          <w:tab w:val="left" w:pos="720"/>
        </w:tabs>
        <w:spacing w:afterLines="60" w:after="144" w:line="360" w:lineRule="auto"/>
      </w:pPr>
      <w:r w:rsidRPr="00E84647">
        <w:t xml:space="preserve">Does the presence of a PFO increase the risk of serious DCS? </w:t>
      </w:r>
    </w:p>
    <w:p w14:paraId="55A58C66" w14:textId="77777777" w:rsidR="001275FC" w:rsidRPr="00E84647" w:rsidRDefault="001275FC">
      <w:pPr>
        <w:pStyle w:val="ListParagraph"/>
        <w:numPr>
          <w:ilvl w:val="0"/>
          <w:numId w:val="1"/>
        </w:numPr>
        <w:tabs>
          <w:tab w:val="left" w:pos="720"/>
        </w:tabs>
        <w:spacing w:afterLines="60" w:after="144" w:line="360" w:lineRule="auto"/>
      </w:pPr>
      <w:r w:rsidRPr="00E84647">
        <w:t xml:space="preserve">Do some forms of PFO increase DCS risk more than others? </w:t>
      </w:r>
    </w:p>
    <w:p w14:paraId="4B07FDFF" w14:textId="77777777" w:rsidR="001275FC" w:rsidRPr="00E84647" w:rsidRDefault="001275FC">
      <w:pPr>
        <w:pStyle w:val="ListParagraph"/>
        <w:numPr>
          <w:ilvl w:val="0"/>
          <w:numId w:val="1"/>
        </w:numPr>
        <w:tabs>
          <w:tab w:val="left" w:pos="720"/>
        </w:tabs>
        <w:spacing w:afterLines="60" w:after="144" w:line="360" w:lineRule="auto"/>
      </w:pPr>
      <w:r w:rsidRPr="00E84647">
        <w:t xml:space="preserve">Do specific aspects of EVA or ground testing profiles (e.g., physical exertion) affect PFO-related risk? </w:t>
      </w:r>
    </w:p>
    <w:p w14:paraId="0CA7EA6B" w14:textId="77777777" w:rsidR="001275FC" w:rsidRPr="00E84647" w:rsidRDefault="001275FC">
      <w:pPr>
        <w:pStyle w:val="ListParagraph"/>
        <w:numPr>
          <w:ilvl w:val="0"/>
          <w:numId w:val="1"/>
        </w:numPr>
        <w:tabs>
          <w:tab w:val="left" w:pos="720"/>
        </w:tabs>
        <w:spacing w:afterLines="60" w:after="144" w:line="360" w:lineRule="auto"/>
      </w:pPr>
      <w:r w:rsidRPr="00E84647">
        <w:t xml:space="preserve">Do anticipated increases in EVA frequency and workload during exploration missions (vs. ISS) affect PFO-related risk? </w:t>
      </w:r>
    </w:p>
    <w:p w14:paraId="20D8C8FD" w14:textId="424DAE6D" w:rsidR="001275FC" w:rsidRPr="001275FC" w:rsidRDefault="00E84647" w:rsidP="00C2725E">
      <w:pPr>
        <w:spacing w:afterLines="60" w:after="144" w:line="360" w:lineRule="auto"/>
      </w:pPr>
      <w:r w:rsidRPr="00E84647">
        <w:rPr>
          <w:b/>
          <w:bCs/>
        </w:rPr>
        <w:t>Goal 2:</w:t>
      </w:r>
      <w:r w:rsidRPr="00E84647">
        <w:t xml:space="preserve"> </w:t>
      </w:r>
      <w:r w:rsidR="001275FC" w:rsidRPr="001275FC">
        <w:t>Describe risks and benefits of PFO screening in astronaut candidates, current crewmembers, and chamber test subjects.</w:t>
      </w:r>
    </w:p>
    <w:p w14:paraId="37A35BA4" w14:textId="77777777" w:rsidR="001275FC" w:rsidRPr="00E84647" w:rsidRDefault="001275FC">
      <w:pPr>
        <w:pStyle w:val="ListParagraph"/>
        <w:numPr>
          <w:ilvl w:val="0"/>
          <w:numId w:val="2"/>
        </w:numPr>
        <w:tabs>
          <w:tab w:val="left" w:pos="720"/>
        </w:tabs>
        <w:spacing w:afterLines="60" w:after="144" w:line="360" w:lineRule="auto"/>
      </w:pPr>
      <w:r w:rsidRPr="00E84647">
        <w:t xml:space="preserve">What screening method(s) would be most appropriate? </w:t>
      </w:r>
    </w:p>
    <w:p w14:paraId="10FF723B" w14:textId="77777777" w:rsidR="001275FC" w:rsidRPr="00E84647" w:rsidRDefault="001275FC">
      <w:pPr>
        <w:pStyle w:val="ListParagraph"/>
        <w:numPr>
          <w:ilvl w:val="0"/>
          <w:numId w:val="2"/>
        </w:numPr>
        <w:tabs>
          <w:tab w:val="left" w:pos="720"/>
        </w:tabs>
        <w:spacing w:afterLines="60" w:after="144" w:line="360" w:lineRule="auto"/>
      </w:pPr>
      <w:r w:rsidRPr="00E84647">
        <w:t xml:space="preserve">What are the sensitivity and specificity of the method(s)? </w:t>
      </w:r>
    </w:p>
    <w:p w14:paraId="32CDF822" w14:textId="77777777" w:rsidR="001275FC" w:rsidRPr="00E84647" w:rsidRDefault="001275FC">
      <w:pPr>
        <w:pStyle w:val="ListParagraph"/>
        <w:numPr>
          <w:ilvl w:val="0"/>
          <w:numId w:val="2"/>
        </w:numPr>
        <w:tabs>
          <w:tab w:val="left" w:pos="720"/>
        </w:tabs>
        <w:spacing w:afterLines="60" w:after="144" w:line="360" w:lineRule="auto"/>
      </w:pPr>
      <w:r w:rsidRPr="00E84647">
        <w:t xml:space="preserve">What are the risks to the patient of the screening procedure itself? </w:t>
      </w:r>
    </w:p>
    <w:p w14:paraId="22B4FAC2" w14:textId="77777777" w:rsidR="001275FC" w:rsidRPr="00E84647" w:rsidRDefault="001275FC">
      <w:pPr>
        <w:pStyle w:val="ListParagraph"/>
        <w:numPr>
          <w:ilvl w:val="0"/>
          <w:numId w:val="2"/>
        </w:numPr>
        <w:tabs>
          <w:tab w:val="left" w:pos="720"/>
        </w:tabs>
        <w:spacing w:afterLines="60" w:after="144" w:line="360" w:lineRule="auto"/>
      </w:pPr>
      <w:r w:rsidRPr="00E84647">
        <w:t xml:space="preserve">How should results be characterized in terms of type and magnitude of PFO? </w:t>
      </w:r>
    </w:p>
    <w:p w14:paraId="1404A61E" w14:textId="25F9F255" w:rsidR="001275FC" w:rsidRPr="001275FC" w:rsidRDefault="00E84647" w:rsidP="00C2725E">
      <w:pPr>
        <w:spacing w:afterLines="60" w:after="144" w:line="360" w:lineRule="auto"/>
      </w:pPr>
      <w:r w:rsidRPr="00E84647">
        <w:rPr>
          <w:b/>
          <w:bCs/>
        </w:rPr>
        <w:t>Goal 3:</w:t>
      </w:r>
      <w:r w:rsidRPr="00E84647">
        <w:t xml:space="preserve"> </w:t>
      </w:r>
      <w:r w:rsidR="001275FC" w:rsidRPr="001275FC">
        <w:t>What are potential risk reduction measures that could be considered if a person was believed to be at increased risk of DCS due to a PFO?</w:t>
      </w:r>
    </w:p>
    <w:p w14:paraId="1DD9E5B7" w14:textId="77777777" w:rsidR="00C2725E" w:rsidRDefault="00E84647" w:rsidP="00C2725E">
      <w:pPr>
        <w:spacing w:afterLines="60" w:after="144" w:line="360" w:lineRule="auto"/>
      </w:pPr>
      <w:r w:rsidRPr="00E84647">
        <w:rPr>
          <w:b/>
          <w:bCs/>
        </w:rPr>
        <w:t>Goal 4:</w:t>
      </w:r>
      <w:r w:rsidRPr="00E84647">
        <w:t xml:space="preserve"> </w:t>
      </w:r>
      <w:r w:rsidR="001275FC" w:rsidRPr="001275FC">
        <w:t>What research and/or technology development is recommended that could help inform and/or mitigate PFO-related DCS risk?</w:t>
      </w:r>
      <w:r w:rsidR="00C2725E">
        <w:t xml:space="preserve"> </w:t>
      </w:r>
    </w:p>
    <w:p w14:paraId="162BA46D" w14:textId="55B4898B" w:rsidR="001238C5" w:rsidRDefault="00E84647" w:rsidP="00037512">
      <w:pPr>
        <w:spacing w:afterLines="60" w:after="144" w:line="360" w:lineRule="auto"/>
        <w:rPr>
          <w:i/>
          <w:iCs/>
        </w:rPr>
      </w:pPr>
      <w:r w:rsidRPr="001238C5">
        <w:rPr>
          <w:i/>
          <w:iCs/>
        </w:rPr>
        <w:t>The following sections provide</w:t>
      </w:r>
      <w:r w:rsidR="009003A4" w:rsidRPr="001238C5">
        <w:rPr>
          <w:i/>
          <w:iCs/>
        </w:rPr>
        <w:t xml:space="preserve"> main highlights of </w:t>
      </w:r>
      <w:r w:rsidR="00A64312">
        <w:rPr>
          <w:i/>
          <w:iCs/>
        </w:rPr>
        <w:t xml:space="preserve">feedback and brainstorming from </w:t>
      </w:r>
      <w:r w:rsidR="009003A4" w:rsidRPr="001238C5">
        <w:rPr>
          <w:i/>
          <w:iCs/>
        </w:rPr>
        <w:t>the working group proceedings for each goal</w:t>
      </w:r>
      <w:r w:rsidR="001238C5" w:rsidRPr="001238C5">
        <w:rPr>
          <w:i/>
          <w:iCs/>
        </w:rPr>
        <w:t>.</w:t>
      </w:r>
    </w:p>
    <w:p w14:paraId="41FE9FEB" w14:textId="41373352" w:rsidR="001275FC" w:rsidRPr="001275FC" w:rsidRDefault="001238C5" w:rsidP="00796CB9">
      <w:pPr>
        <w:pStyle w:val="Heading3"/>
        <w:rPr>
          <w:szCs w:val="22"/>
        </w:rPr>
      </w:pPr>
      <w:bookmarkStart w:id="19" w:name="_Goal_1_Overview"/>
      <w:bookmarkStart w:id="20" w:name="_Toc170739835"/>
      <w:bookmarkEnd w:id="19"/>
      <w:r w:rsidRPr="00E84647">
        <w:rPr>
          <w:szCs w:val="22"/>
        </w:rPr>
        <w:t>Goal 1</w:t>
      </w:r>
      <w:r>
        <w:t xml:space="preserve"> Overview</w:t>
      </w:r>
      <w:bookmarkEnd w:id="20"/>
    </w:p>
    <w:p w14:paraId="14BA6962" w14:textId="77777777" w:rsidR="00BC4163" w:rsidRPr="00BC4163" w:rsidRDefault="00BC4163" w:rsidP="00037512">
      <w:pPr>
        <w:spacing w:after="60" w:line="360" w:lineRule="auto"/>
        <w:textAlignment w:val="center"/>
        <w:rPr>
          <w:rFonts w:ascii="Calibri" w:eastAsia="Times New Roman" w:hAnsi="Calibri" w:cs="Calibri"/>
          <w:szCs w:val="24"/>
        </w:rPr>
      </w:pPr>
      <w:r w:rsidRPr="00BC4163">
        <w:rPr>
          <w:rFonts w:ascii="Calibri" w:eastAsia="Times New Roman" w:hAnsi="Calibri" w:cs="Calibri"/>
          <w:szCs w:val="24"/>
        </w:rPr>
        <w:t>Quantification of any increased risk associated with the presence of a PFO during decompression protocols utilized in ground testing and spaceflight EVAs, as well as unplanned decompressions (e.g., cabin depressurization, EVA suit leak).</w:t>
      </w:r>
    </w:p>
    <w:p w14:paraId="4E69817C" w14:textId="77777777" w:rsidR="00BC4163" w:rsidRPr="00BC4163" w:rsidRDefault="00BC4163">
      <w:pPr>
        <w:numPr>
          <w:ilvl w:val="1"/>
          <w:numId w:val="3"/>
        </w:numPr>
        <w:spacing w:after="60" w:line="360" w:lineRule="auto"/>
        <w:textAlignment w:val="center"/>
        <w:rPr>
          <w:rFonts w:ascii="Calibri" w:eastAsia="Times New Roman" w:hAnsi="Calibri" w:cs="Calibri"/>
          <w:szCs w:val="24"/>
        </w:rPr>
      </w:pPr>
      <w:r w:rsidRPr="00BC4163">
        <w:rPr>
          <w:rFonts w:ascii="Calibri" w:eastAsia="Times New Roman" w:hAnsi="Calibri" w:cs="Calibri"/>
          <w:szCs w:val="24"/>
        </w:rPr>
        <w:lastRenderedPageBreak/>
        <w:t xml:space="preserve">Does the presence of a PFO increase the risk of serious DCS? </w:t>
      </w:r>
    </w:p>
    <w:p w14:paraId="40994452" w14:textId="45B7CABF" w:rsidR="00BC4163" w:rsidRPr="00A64312" w:rsidRDefault="00BC4163">
      <w:pPr>
        <w:numPr>
          <w:ilvl w:val="2"/>
          <w:numId w:val="7"/>
        </w:numPr>
        <w:spacing w:after="60" w:line="360" w:lineRule="auto"/>
        <w:textAlignment w:val="center"/>
        <w:rPr>
          <w:rFonts w:ascii="Calibri" w:eastAsia="Times New Roman" w:hAnsi="Calibri" w:cs="Calibri"/>
          <w:szCs w:val="24"/>
        </w:rPr>
      </w:pPr>
      <w:r w:rsidRPr="00A64312">
        <w:rPr>
          <w:rFonts w:ascii="Calibri" w:eastAsia="Times New Roman" w:hAnsi="Calibri" w:cs="Calibri"/>
          <w:szCs w:val="24"/>
        </w:rPr>
        <w:t xml:space="preserve">We do not have compelling data </w:t>
      </w:r>
      <w:r w:rsidR="000270AA" w:rsidRPr="00A64312">
        <w:rPr>
          <w:rFonts w:ascii="Calibri" w:eastAsia="Times New Roman" w:hAnsi="Calibri" w:cs="Calibri"/>
          <w:szCs w:val="24"/>
        </w:rPr>
        <w:t xml:space="preserve">or data with acceptable protocol from human trials </w:t>
      </w:r>
      <w:r w:rsidRPr="00A64312">
        <w:rPr>
          <w:rFonts w:ascii="Calibri" w:eastAsia="Times New Roman" w:hAnsi="Calibri" w:cs="Calibri"/>
          <w:szCs w:val="24"/>
        </w:rPr>
        <w:t xml:space="preserve">that </w:t>
      </w:r>
      <w:r w:rsidR="00A64312" w:rsidRPr="00A64312">
        <w:rPr>
          <w:rFonts w:ascii="Calibri" w:eastAsia="Times New Roman" w:hAnsi="Calibri" w:cs="Calibri"/>
          <w:szCs w:val="24"/>
        </w:rPr>
        <w:t xml:space="preserve">supports an </w:t>
      </w:r>
      <w:r w:rsidRPr="00A64312">
        <w:rPr>
          <w:rFonts w:ascii="Calibri" w:eastAsia="Times New Roman" w:hAnsi="Calibri" w:cs="Calibri"/>
          <w:szCs w:val="24"/>
        </w:rPr>
        <w:t xml:space="preserve">increased </w:t>
      </w:r>
      <w:r w:rsidR="00A64312" w:rsidRPr="00A64312">
        <w:rPr>
          <w:rFonts w:ascii="Calibri" w:eastAsia="Times New Roman" w:hAnsi="Calibri" w:cs="Calibri"/>
          <w:szCs w:val="24"/>
        </w:rPr>
        <w:t>risk</w:t>
      </w:r>
      <w:r w:rsidRPr="00A64312">
        <w:rPr>
          <w:rFonts w:ascii="Calibri" w:eastAsia="Times New Roman" w:hAnsi="Calibri" w:cs="Calibri"/>
          <w:szCs w:val="24"/>
        </w:rPr>
        <w:t xml:space="preserve"> at altitude. The amount of literature is quite lacking </w:t>
      </w:r>
      <w:proofErr w:type="gramStart"/>
      <w:r w:rsidRPr="00A64312">
        <w:rPr>
          <w:rFonts w:ascii="Calibri" w:eastAsia="Times New Roman" w:hAnsi="Calibri" w:cs="Calibri"/>
          <w:szCs w:val="24"/>
        </w:rPr>
        <w:t>in the area of</w:t>
      </w:r>
      <w:proofErr w:type="gramEnd"/>
      <w:r w:rsidRPr="00A64312">
        <w:rPr>
          <w:rFonts w:ascii="Calibri" w:eastAsia="Times New Roman" w:hAnsi="Calibri" w:cs="Calibri"/>
          <w:szCs w:val="24"/>
        </w:rPr>
        <w:t xml:space="preserve"> altitude DCS incidence).</w:t>
      </w:r>
    </w:p>
    <w:p w14:paraId="52DEC233" w14:textId="77777777" w:rsidR="00BC4163" w:rsidRPr="00A64312" w:rsidRDefault="00BC4163">
      <w:pPr>
        <w:numPr>
          <w:ilvl w:val="1"/>
          <w:numId w:val="3"/>
        </w:numPr>
        <w:spacing w:after="60" w:line="360" w:lineRule="auto"/>
        <w:textAlignment w:val="center"/>
        <w:rPr>
          <w:rFonts w:ascii="Calibri" w:eastAsia="Times New Roman" w:hAnsi="Calibri" w:cs="Calibri"/>
          <w:szCs w:val="24"/>
        </w:rPr>
      </w:pPr>
      <w:r w:rsidRPr="00A64312">
        <w:rPr>
          <w:rFonts w:ascii="Calibri" w:eastAsia="Times New Roman" w:hAnsi="Calibri" w:cs="Calibri"/>
          <w:szCs w:val="24"/>
        </w:rPr>
        <w:t xml:space="preserve">Do some forms of PFO increase DCS risk more than others? </w:t>
      </w:r>
    </w:p>
    <w:p w14:paraId="456AF054" w14:textId="1B4120D2" w:rsidR="00A64312" w:rsidRPr="00A64312" w:rsidRDefault="00850018">
      <w:pPr>
        <w:numPr>
          <w:ilvl w:val="2"/>
          <w:numId w:val="8"/>
        </w:numPr>
        <w:spacing w:after="60" w:line="360" w:lineRule="auto"/>
        <w:textAlignment w:val="center"/>
        <w:rPr>
          <w:rFonts w:ascii="Calibri" w:eastAsia="Times New Roman" w:hAnsi="Calibri" w:cs="Calibri"/>
          <w:szCs w:val="24"/>
        </w:rPr>
      </w:pPr>
      <w:r w:rsidRPr="00A64312">
        <w:rPr>
          <w:rFonts w:ascii="Calibri" w:eastAsia="Times New Roman" w:hAnsi="Calibri" w:cs="Calibri"/>
          <w:szCs w:val="24"/>
        </w:rPr>
        <w:t xml:space="preserve">The evidence is currently derived from cryptogenic stroke </w:t>
      </w:r>
      <w:r w:rsidR="006C0075">
        <w:rPr>
          <w:rFonts w:ascii="Calibri" w:eastAsia="Times New Roman" w:hAnsi="Calibri" w:cs="Calibri"/>
          <w:szCs w:val="24"/>
        </w:rPr>
        <w:t xml:space="preserve">and </w:t>
      </w:r>
      <w:r w:rsidR="006159FB">
        <w:rPr>
          <w:rFonts w:ascii="Calibri" w:eastAsia="Times New Roman" w:hAnsi="Calibri" w:cs="Calibri"/>
          <w:szCs w:val="24"/>
        </w:rPr>
        <w:t xml:space="preserve">diving </w:t>
      </w:r>
      <w:r w:rsidRPr="00A64312">
        <w:rPr>
          <w:rFonts w:ascii="Calibri" w:eastAsia="Times New Roman" w:hAnsi="Calibri" w:cs="Calibri"/>
          <w:szCs w:val="24"/>
        </w:rPr>
        <w:t xml:space="preserve">literature; there </w:t>
      </w:r>
      <w:r w:rsidR="00FA1D99">
        <w:rPr>
          <w:rFonts w:ascii="Calibri" w:eastAsia="Times New Roman" w:hAnsi="Calibri" w:cs="Calibri"/>
          <w:szCs w:val="24"/>
        </w:rPr>
        <w:t>are</w:t>
      </w:r>
      <w:r w:rsidRPr="00A64312">
        <w:rPr>
          <w:rFonts w:ascii="Calibri" w:eastAsia="Times New Roman" w:hAnsi="Calibri" w:cs="Calibri"/>
          <w:szCs w:val="24"/>
        </w:rPr>
        <w:t xml:space="preserve"> no data in this specific topic.</w:t>
      </w:r>
    </w:p>
    <w:p w14:paraId="65F3849B" w14:textId="77777777" w:rsidR="00BC4163" w:rsidRPr="00A64312" w:rsidRDefault="00BC4163">
      <w:pPr>
        <w:numPr>
          <w:ilvl w:val="1"/>
          <w:numId w:val="3"/>
        </w:numPr>
        <w:spacing w:after="60" w:line="360" w:lineRule="auto"/>
        <w:textAlignment w:val="center"/>
        <w:rPr>
          <w:rFonts w:ascii="Calibri" w:eastAsia="Times New Roman" w:hAnsi="Calibri" w:cs="Calibri"/>
          <w:szCs w:val="24"/>
        </w:rPr>
      </w:pPr>
      <w:r w:rsidRPr="00A64312">
        <w:rPr>
          <w:rFonts w:ascii="Calibri" w:eastAsia="Times New Roman" w:hAnsi="Calibri" w:cs="Calibri"/>
          <w:szCs w:val="24"/>
        </w:rPr>
        <w:t xml:space="preserve">Do specific aspects of EVA or ground testing profiles (e.g., physical exertion) affect PFO-related risk? </w:t>
      </w:r>
    </w:p>
    <w:p w14:paraId="4A3311D0" w14:textId="5CEB072D" w:rsidR="00BC4163" w:rsidRPr="00A64312" w:rsidRDefault="00BC4163">
      <w:pPr>
        <w:numPr>
          <w:ilvl w:val="2"/>
          <w:numId w:val="9"/>
        </w:numPr>
        <w:spacing w:after="60" w:line="360" w:lineRule="auto"/>
        <w:textAlignment w:val="center"/>
        <w:rPr>
          <w:rFonts w:ascii="Calibri" w:eastAsia="Times New Roman" w:hAnsi="Calibri" w:cs="Calibri"/>
          <w:szCs w:val="24"/>
        </w:rPr>
      </w:pPr>
      <w:r w:rsidRPr="00A64312">
        <w:rPr>
          <w:rFonts w:ascii="Calibri" w:eastAsia="Times New Roman" w:hAnsi="Calibri" w:cs="Calibri"/>
          <w:szCs w:val="24"/>
        </w:rPr>
        <w:t xml:space="preserve">There </w:t>
      </w:r>
      <w:r w:rsidR="00FA1D99">
        <w:rPr>
          <w:rFonts w:ascii="Calibri" w:eastAsia="Times New Roman" w:hAnsi="Calibri" w:cs="Calibri"/>
          <w:szCs w:val="24"/>
        </w:rPr>
        <w:t>are</w:t>
      </w:r>
      <w:r w:rsidRPr="00A64312">
        <w:rPr>
          <w:rFonts w:ascii="Calibri" w:eastAsia="Times New Roman" w:hAnsi="Calibri" w:cs="Calibri"/>
          <w:szCs w:val="24"/>
        </w:rPr>
        <w:t xml:space="preserve"> data that suggests increased physical activity </w:t>
      </w:r>
      <w:r w:rsidR="0033459C">
        <w:rPr>
          <w:rFonts w:ascii="Calibri" w:eastAsia="Times New Roman" w:hAnsi="Calibri" w:cs="Calibri"/>
          <w:szCs w:val="24"/>
        </w:rPr>
        <w:t>increases</w:t>
      </w:r>
      <w:r w:rsidRPr="00A64312">
        <w:rPr>
          <w:rFonts w:ascii="Calibri" w:eastAsia="Times New Roman" w:hAnsi="Calibri" w:cs="Calibri"/>
          <w:szCs w:val="24"/>
        </w:rPr>
        <w:t xml:space="preserve"> doppler</w:t>
      </w:r>
      <w:r w:rsidR="00A64312" w:rsidRPr="00A64312">
        <w:rPr>
          <w:rFonts w:ascii="Calibri" w:eastAsia="Times New Roman" w:hAnsi="Calibri" w:cs="Calibri"/>
          <w:szCs w:val="24"/>
        </w:rPr>
        <w:t>-</w:t>
      </w:r>
      <w:r w:rsidR="00864D0B">
        <w:rPr>
          <w:rFonts w:ascii="Calibri" w:eastAsia="Times New Roman" w:hAnsi="Calibri" w:cs="Calibri"/>
          <w:szCs w:val="24"/>
        </w:rPr>
        <w:t>detectable</w:t>
      </w:r>
      <w:r w:rsidRPr="00A64312">
        <w:rPr>
          <w:rFonts w:ascii="Calibri" w:eastAsia="Times New Roman" w:hAnsi="Calibri" w:cs="Calibri"/>
          <w:szCs w:val="24"/>
        </w:rPr>
        <w:t xml:space="preserve"> bubbles which could</w:t>
      </w:r>
      <w:r w:rsidR="0033459C">
        <w:rPr>
          <w:rFonts w:ascii="Calibri" w:eastAsia="Times New Roman" w:hAnsi="Calibri" w:cs="Calibri"/>
          <w:szCs w:val="24"/>
        </w:rPr>
        <w:t xml:space="preserve"> potentially</w:t>
      </w:r>
      <w:r w:rsidRPr="00A64312">
        <w:rPr>
          <w:rFonts w:ascii="Calibri" w:eastAsia="Times New Roman" w:hAnsi="Calibri" w:cs="Calibri"/>
          <w:szCs w:val="24"/>
        </w:rPr>
        <w:t xml:space="preserve"> lead to increased risk of DCS</w:t>
      </w:r>
      <w:r w:rsidR="006954D5">
        <w:rPr>
          <w:rFonts w:ascii="Calibri" w:eastAsia="Times New Roman" w:hAnsi="Calibri" w:cs="Calibri"/>
          <w:szCs w:val="24"/>
        </w:rPr>
        <w:t>.</w:t>
      </w:r>
    </w:p>
    <w:p w14:paraId="28BF5C9B" w14:textId="77777777" w:rsidR="00BC4163" w:rsidRPr="00A64312" w:rsidRDefault="00BC4163">
      <w:pPr>
        <w:numPr>
          <w:ilvl w:val="1"/>
          <w:numId w:val="3"/>
        </w:numPr>
        <w:spacing w:after="60" w:line="360" w:lineRule="auto"/>
        <w:textAlignment w:val="center"/>
        <w:rPr>
          <w:rFonts w:ascii="Calibri" w:eastAsia="Times New Roman" w:hAnsi="Calibri" w:cs="Calibri"/>
          <w:szCs w:val="24"/>
        </w:rPr>
      </w:pPr>
      <w:r w:rsidRPr="00A64312">
        <w:rPr>
          <w:rFonts w:ascii="Calibri" w:eastAsia="Times New Roman" w:hAnsi="Calibri" w:cs="Calibri"/>
          <w:szCs w:val="24"/>
        </w:rPr>
        <w:t>Do anticipated increases in EVA frequency and workload during exploration missions (vs. ISS) affect PFO-related risk?</w:t>
      </w:r>
    </w:p>
    <w:p w14:paraId="6EEC5790" w14:textId="04C19A05" w:rsidR="001238C5" w:rsidRPr="00C2725E" w:rsidRDefault="00BC4163">
      <w:pPr>
        <w:numPr>
          <w:ilvl w:val="2"/>
          <w:numId w:val="3"/>
        </w:numPr>
        <w:spacing w:after="60" w:line="360" w:lineRule="auto"/>
        <w:textAlignment w:val="center"/>
        <w:rPr>
          <w:rFonts w:ascii="Calibri" w:eastAsia="Times New Roman" w:hAnsi="Calibri" w:cs="Calibri"/>
          <w:szCs w:val="24"/>
        </w:rPr>
      </w:pPr>
      <w:r w:rsidRPr="00A64312">
        <w:rPr>
          <w:rFonts w:ascii="Calibri" w:eastAsia="Times New Roman" w:hAnsi="Calibri" w:cs="Calibri"/>
          <w:szCs w:val="24"/>
        </w:rPr>
        <w:t xml:space="preserve">If PFO is identified as a </w:t>
      </w:r>
      <w:proofErr w:type="gramStart"/>
      <w:r w:rsidRPr="00A64312">
        <w:rPr>
          <w:rFonts w:ascii="Calibri" w:eastAsia="Times New Roman" w:hAnsi="Calibri" w:cs="Calibri"/>
          <w:szCs w:val="24"/>
        </w:rPr>
        <w:t>risk</w:t>
      </w:r>
      <w:proofErr w:type="gramEnd"/>
      <w:r w:rsidRPr="00A64312">
        <w:rPr>
          <w:rFonts w:ascii="Calibri" w:eastAsia="Times New Roman" w:hAnsi="Calibri" w:cs="Calibri"/>
          <w:szCs w:val="24"/>
        </w:rPr>
        <w:t xml:space="preserve"> then it is </w:t>
      </w:r>
      <w:r w:rsidR="00864D0B">
        <w:rPr>
          <w:rFonts w:ascii="Calibri" w:eastAsia="Times New Roman" w:hAnsi="Calibri" w:cs="Calibri"/>
          <w:szCs w:val="24"/>
        </w:rPr>
        <w:t>likely higher EVA frequency and workload would increase the risk of PFO-mediated DCS.</w:t>
      </w:r>
    </w:p>
    <w:p w14:paraId="752911FE" w14:textId="5EBC76DC" w:rsidR="00BD1FFC" w:rsidRDefault="00BD1FFC" w:rsidP="00037512">
      <w:pPr>
        <w:pStyle w:val="Heading3"/>
        <w:spacing w:after="60" w:line="360" w:lineRule="auto"/>
      </w:pPr>
      <w:bookmarkStart w:id="21" w:name="_Goal_2_Overview"/>
      <w:bookmarkStart w:id="22" w:name="_Toc170739836"/>
      <w:bookmarkEnd w:id="21"/>
      <w:r>
        <w:t>Goal 2 Overview</w:t>
      </w:r>
      <w:bookmarkEnd w:id="22"/>
    </w:p>
    <w:p w14:paraId="2A7DAAED" w14:textId="77777777" w:rsidR="00BD1FFC" w:rsidRPr="00BD1FFC" w:rsidRDefault="00BD1FFC" w:rsidP="00037512">
      <w:pPr>
        <w:spacing w:after="60" w:line="360" w:lineRule="auto"/>
        <w:textAlignment w:val="center"/>
        <w:rPr>
          <w:rFonts w:ascii="Calibri" w:eastAsia="Times New Roman" w:hAnsi="Calibri" w:cs="Calibri"/>
          <w:szCs w:val="24"/>
        </w:rPr>
      </w:pPr>
      <w:r w:rsidRPr="00BD1FFC">
        <w:rPr>
          <w:rFonts w:ascii="Calibri" w:eastAsia="Times New Roman" w:hAnsi="Calibri" w:cs="Calibri"/>
          <w:szCs w:val="24"/>
        </w:rPr>
        <w:t>Describe risks and benefits of PFO screening in astronaut candidates, current crewmembers, and chamber test subjects.</w:t>
      </w:r>
    </w:p>
    <w:p w14:paraId="32130E41" w14:textId="77777777" w:rsidR="00BD1FFC" w:rsidRPr="00BD1FFC" w:rsidRDefault="00BD1FFC">
      <w:pPr>
        <w:numPr>
          <w:ilvl w:val="1"/>
          <w:numId w:val="4"/>
        </w:numPr>
        <w:spacing w:after="60" w:line="360" w:lineRule="auto"/>
        <w:textAlignment w:val="center"/>
        <w:rPr>
          <w:rFonts w:ascii="Calibri" w:eastAsia="Times New Roman" w:hAnsi="Calibri" w:cs="Calibri"/>
          <w:szCs w:val="24"/>
        </w:rPr>
      </w:pPr>
      <w:r w:rsidRPr="00BD1FFC">
        <w:rPr>
          <w:rFonts w:ascii="Calibri" w:eastAsia="Times New Roman" w:hAnsi="Calibri" w:cs="Calibri"/>
          <w:szCs w:val="24"/>
        </w:rPr>
        <w:t xml:space="preserve">What screening method(s) would be most appropriate? </w:t>
      </w:r>
    </w:p>
    <w:p w14:paraId="2016AA62" w14:textId="08AFD968" w:rsidR="00BD1FFC" w:rsidRPr="00076919" w:rsidRDefault="00BD1FFC">
      <w:pPr>
        <w:numPr>
          <w:ilvl w:val="2"/>
          <w:numId w:val="10"/>
        </w:numPr>
        <w:spacing w:after="60" w:line="360" w:lineRule="auto"/>
        <w:textAlignment w:val="center"/>
        <w:rPr>
          <w:rFonts w:ascii="Calibri" w:eastAsia="Times New Roman" w:hAnsi="Calibri" w:cs="Calibri"/>
          <w:szCs w:val="24"/>
        </w:rPr>
      </w:pPr>
      <w:r w:rsidRPr="00076919">
        <w:rPr>
          <w:rFonts w:ascii="Calibri" w:eastAsia="Times New Roman" w:hAnsi="Calibri" w:cs="Calibri"/>
          <w:szCs w:val="24"/>
        </w:rPr>
        <w:t xml:space="preserve">Transthoracic </w:t>
      </w:r>
      <w:r w:rsidR="0054721C" w:rsidRPr="00076919">
        <w:rPr>
          <w:rFonts w:ascii="Calibri" w:eastAsia="Times New Roman" w:hAnsi="Calibri" w:cs="Calibri"/>
          <w:szCs w:val="24"/>
        </w:rPr>
        <w:t>E</w:t>
      </w:r>
      <w:r w:rsidRPr="00076919">
        <w:rPr>
          <w:rFonts w:ascii="Calibri" w:eastAsia="Times New Roman" w:hAnsi="Calibri" w:cs="Calibri"/>
          <w:szCs w:val="24"/>
        </w:rPr>
        <w:t xml:space="preserve">cho </w:t>
      </w:r>
      <w:r w:rsidR="0054721C" w:rsidRPr="00076919">
        <w:rPr>
          <w:rFonts w:ascii="Calibri" w:eastAsia="Times New Roman" w:hAnsi="Calibri" w:cs="Calibri"/>
          <w:szCs w:val="24"/>
        </w:rPr>
        <w:t xml:space="preserve">(TTE) </w:t>
      </w:r>
      <w:r w:rsidRPr="00076919">
        <w:rPr>
          <w:rFonts w:ascii="Calibri" w:eastAsia="Times New Roman" w:hAnsi="Calibri" w:cs="Calibri"/>
          <w:szCs w:val="24"/>
        </w:rPr>
        <w:t xml:space="preserve">with a bubble study/injection of agitated saline; </w:t>
      </w:r>
      <w:r w:rsidR="00397433">
        <w:rPr>
          <w:rFonts w:ascii="Calibri" w:eastAsia="Times New Roman" w:hAnsi="Calibri" w:cs="Calibri"/>
          <w:szCs w:val="24"/>
        </w:rPr>
        <w:t>specific</w:t>
      </w:r>
      <w:r w:rsidRPr="00076919">
        <w:rPr>
          <w:rFonts w:ascii="Calibri" w:eastAsia="Times New Roman" w:hAnsi="Calibri" w:cs="Calibri"/>
          <w:szCs w:val="24"/>
        </w:rPr>
        <w:t xml:space="preserve"> provocative maneuvers</w:t>
      </w:r>
      <w:r w:rsidR="00397433">
        <w:rPr>
          <w:rFonts w:ascii="Calibri" w:eastAsia="Times New Roman" w:hAnsi="Calibri" w:cs="Calibri"/>
          <w:szCs w:val="24"/>
        </w:rPr>
        <w:t xml:space="preserve"> protocol (Valsalva, hypoxic stress)</w:t>
      </w:r>
      <w:r w:rsidRPr="00076919">
        <w:rPr>
          <w:rFonts w:ascii="Calibri" w:eastAsia="Times New Roman" w:hAnsi="Calibri" w:cs="Calibri"/>
          <w:szCs w:val="24"/>
        </w:rPr>
        <w:t>.</w:t>
      </w:r>
    </w:p>
    <w:p w14:paraId="4B542C8A" w14:textId="4ACA94E9" w:rsidR="00A2740C" w:rsidRPr="00076919" w:rsidRDefault="00A2740C">
      <w:pPr>
        <w:numPr>
          <w:ilvl w:val="2"/>
          <w:numId w:val="10"/>
        </w:numPr>
        <w:spacing w:after="60" w:line="360" w:lineRule="auto"/>
        <w:textAlignment w:val="center"/>
        <w:rPr>
          <w:rFonts w:ascii="Calibri" w:eastAsia="Times New Roman" w:hAnsi="Calibri" w:cs="Calibri"/>
          <w:szCs w:val="24"/>
        </w:rPr>
      </w:pPr>
      <w:r w:rsidRPr="00076919">
        <w:rPr>
          <w:rFonts w:ascii="Calibri" w:eastAsia="Times New Roman" w:hAnsi="Calibri" w:cs="Calibri"/>
          <w:szCs w:val="24"/>
        </w:rPr>
        <w:t xml:space="preserve">TEE offers more detail if TTE images are not </w:t>
      </w:r>
      <w:r w:rsidR="00864D0B">
        <w:rPr>
          <w:rFonts w:ascii="Calibri" w:eastAsia="Times New Roman" w:hAnsi="Calibri" w:cs="Calibri"/>
          <w:szCs w:val="24"/>
        </w:rPr>
        <w:t>conclusive</w:t>
      </w:r>
      <w:r w:rsidRPr="00076919">
        <w:rPr>
          <w:rFonts w:ascii="Calibri" w:eastAsia="Times New Roman" w:hAnsi="Calibri" w:cs="Calibri"/>
          <w:szCs w:val="24"/>
        </w:rPr>
        <w:t xml:space="preserve">, or results do not match symptomology. Provocative maneuvers (Valsalva, abdominal pressure, lower limb lifting) assist with bubble </w:t>
      </w:r>
      <w:r w:rsidR="00864D0B">
        <w:rPr>
          <w:rFonts w:ascii="Calibri" w:eastAsia="Times New Roman" w:hAnsi="Calibri" w:cs="Calibri"/>
          <w:szCs w:val="24"/>
        </w:rPr>
        <w:t>shunting</w:t>
      </w:r>
      <w:r w:rsidRPr="00076919">
        <w:rPr>
          <w:rFonts w:ascii="Calibri" w:eastAsia="Times New Roman" w:hAnsi="Calibri" w:cs="Calibri"/>
          <w:szCs w:val="24"/>
        </w:rPr>
        <w:t>.</w:t>
      </w:r>
    </w:p>
    <w:p w14:paraId="090DAA39" w14:textId="3DC28AA4" w:rsidR="00A45F17" w:rsidRPr="00A70E6A" w:rsidRDefault="00A2740C">
      <w:pPr>
        <w:numPr>
          <w:ilvl w:val="2"/>
          <w:numId w:val="10"/>
        </w:numPr>
        <w:spacing w:after="60" w:line="360" w:lineRule="auto"/>
        <w:textAlignment w:val="center"/>
        <w:rPr>
          <w:rFonts w:ascii="Calibri" w:eastAsia="Times New Roman" w:hAnsi="Calibri" w:cs="Calibri"/>
          <w:szCs w:val="24"/>
        </w:rPr>
      </w:pPr>
      <w:r w:rsidRPr="00076919">
        <w:rPr>
          <w:rFonts w:ascii="Calibri" w:eastAsia="Times New Roman" w:hAnsi="Calibri" w:cs="Calibri"/>
          <w:szCs w:val="24"/>
        </w:rPr>
        <w:t>Grading: negative – no significant PFO detected &lt;</w:t>
      </w:r>
      <w:r w:rsidR="00950DD5">
        <w:rPr>
          <w:rFonts w:ascii="Calibri" w:eastAsia="Times New Roman" w:hAnsi="Calibri" w:cs="Calibri"/>
          <w:szCs w:val="24"/>
        </w:rPr>
        <w:t xml:space="preserve"> </w:t>
      </w:r>
      <w:r w:rsidRPr="00076919">
        <w:rPr>
          <w:rFonts w:ascii="Calibri" w:eastAsia="Times New Roman" w:hAnsi="Calibri" w:cs="Calibri"/>
          <w:szCs w:val="24"/>
        </w:rPr>
        <w:t xml:space="preserve">9 bubbles, positive/large &gt; 20 </w:t>
      </w:r>
      <w:proofErr w:type="gramStart"/>
      <w:r w:rsidRPr="00076919">
        <w:rPr>
          <w:rFonts w:ascii="Calibri" w:eastAsia="Times New Roman" w:hAnsi="Calibri" w:cs="Calibri"/>
          <w:szCs w:val="24"/>
        </w:rPr>
        <w:t>bubbles</w:t>
      </w:r>
      <w:proofErr w:type="gramEnd"/>
      <w:r w:rsidRPr="00076919">
        <w:rPr>
          <w:rFonts w:ascii="Calibri" w:eastAsia="Times New Roman" w:hAnsi="Calibri" w:cs="Calibri"/>
          <w:szCs w:val="24"/>
        </w:rPr>
        <w:t xml:space="preserve"> or bubbles present with no provocative </w:t>
      </w:r>
      <w:r w:rsidRPr="00A70E6A">
        <w:rPr>
          <w:rFonts w:ascii="Calibri" w:eastAsia="Times New Roman" w:hAnsi="Calibri" w:cs="Calibri"/>
          <w:szCs w:val="24"/>
        </w:rPr>
        <w:t>maneuvers.</w:t>
      </w:r>
    </w:p>
    <w:p w14:paraId="49F66B6F" w14:textId="77777777" w:rsidR="00BD1FFC" w:rsidRPr="00A70E6A" w:rsidRDefault="00BD1FFC">
      <w:pPr>
        <w:numPr>
          <w:ilvl w:val="1"/>
          <w:numId w:val="4"/>
        </w:numPr>
        <w:spacing w:after="60" w:line="360" w:lineRule="auto"/>
        <w:textAlignment w:val="center"/>
        <w:rPr>
          <w:rFonts w:ascii="Calibri" w:eastAsia="Times New Roman" w:hAnsi="Calibri" w:cs="Calibri"/>
          <w:szCs w:val="24"/>
        </w:rPr>
      </w:pPr>
      <w:r w:rsidRPr="00A70E6A">
        <w:rPr>
          <w:rFonts w:ascii="Calibri" w:eastAsia="Times New Roman" w:hAnsi="Calibri" w:cs="Calibri"/>
          <w:szCs w:val="24"/>
        </w:rPr>
        <w:lastRenderedPageBreak/>
        <w:t>What are the sensitivity and specificity of the method(s)?</w:t>
      </w:r>
    </w:p>
    <w:p w14:paraId="7A520675" w14:textId="5A2A3995" w:rsidR="00BD1FFC" w:rsidRPr="00A70E6A" w:rsidRDefault="00884E49">
      <w:pPr>
        <w:pStyle w:val="ListParagraph"/>
        <w:numPr>
          <w:ilvl w:val="2"/>
          <w:numId w:val="11"/>
        </w:numPr>
        <w:spacing w:after="60" w:line="360" w:lineRule="auto"/>
        <w:textAlignment w:val="center"/>
        <w:rPr>
          <w:rFonts w:ascii="Calibri" w:eastAsia="Times New Roman" w:hAnsi="Calibri" w:cs="Calibri"/>
          <w:szCs w:val="24"/>
        </w:rPr>
      </w:pPr>
      <w:r w:rsidRPr="00CD38FD">
        <w:rPr>
          <w:rFonts w:ascii="Calibri" w:eastAsia="Times New Roman" w:hAnsi="Calibri" w:cs="Calibri"/>
          <w:szCs w:val="24"/>
        </w:rPr>
        <w:t>A m</w:t>
      </w:r>
      <w:r w:rsidR="00BD1FFC" w:rsidRPr="00CD38FD">
        <w:rPr>
          <w:rFonts w:ascii="Calibri" w:eastAsia="Times New Roman" w:hAnsi="Calibri" w:cs="Calibri"/>
          <w:szCs w:val="24"/>
        </w:rPr>
        <w:t>etanalysis published</w:t>
      </w:r>
      <w:r w:rsidRPr="00CD38FD">
        <w:rPr>
          <w:rFonts w:ascii="Calibri" w:eastAsia="Times New Roman" w:hAnsi="Calibri" w:cs="Calibri"/>
          <w:szCs w:val="24"/>
        </w:rPr>
        <w:t xml:space="preserve"> by </w:t>
      </w:r>
      <w:r w:rsidR="00CD38FD" w:rsidRPr="00CD38FD">
        <w:rPr>
          <w:rFonts w:ascii="Calibri" w:eastAsia="Times New Roman" w:hAnsi="Calibri" w:cs="Calibri"/>
          <w:szCs w:val="24"/>
        </w:rPr>
        <w:t>Mojadidi et al.</w:t>
      </w:r>
      <w:r w:rsidR="00BD1FFC" w:rsidRPr="00CD38FD">
        <w:rPr>
          <w:rFonts w:ascii="Calibri" w:eastAsia="Times New Roman" w:hAnsi="Calibri" w:cs="Calibri"/>
          <w:szCs w:val="24"/>
        </w:rPr>
        <w:t xml:space="preserve"> in 2014</w:t>
      </w:r>
      <w:r w:rsidR="00BD1FFC" w:rsidRPr="00A70E6A">
        <w:rPr>
          <w:rFonts w:ascii="Calibri" w:eastAsia="Times New Roman" w:hAnsi="Calibri" w:cs="Calibri"/>
          <w:szCs w:val="24"/>
        </w:rPr>
        <w:t xml:space="preserve"> suggests transthoracic echo with agitated saline has a low</w:t>
      </w:r>
      <w:r w:rsidR="00864D0B">
        <w:rPr>
          <w:rFonts w:ascii="Calibri" w:eastAsia="Times New Roman" w:hAnsi="Calibri" w:cs="Calibri"/>
          <w:szCs w:val="24"/>
        </w:rPr>
        <w:t>er</w:t>
      </w:r>
      <w:r w:rsidR="00BD1FFC" w:rsidRPr="00A70E6A">
        <w:rPr>
          <w:rFonts w:ascii="Calibri" w:eastAsia="Times New Roman" w:hAnsi="Calibri" w:cs="Calibri"/>
          <w:szCs w:val="24"/>
        </w:rPr>
        <w:t xml:space="preserve"> sensitivity for PFO compared to TEE; but </w:t>
      </w:r>
      <w:r w:rsidR="00864D0B">
        <w:rPr>
          <w:rFonts w:ascii="Calibri" w:eastAsia="Times New Roman" w:hAnsi="Calibri" w:cs="Calibri"/>
          <w:szCs w:val="24"/>
        </w:rPr>
        <w:t>carries less</w:t>
      </w:r>
      <w:r w:rsidR="00BD1FFC" w:rsidRPr="00A70E6A">
        <w:rPr>
          <w:rFonts w:ascii="Calibri" w:eastAsia="Times New Roman" w:hAnsi="Calibri" w:cs="Calibri"/>
          <w:szCs w:val="24"/>
        </w:rPr>
        <w:t xml:space="preserve"> risk. </w:t>
      </w:r>
      <w:r w:rsidR="00E149A9" w:rsidRPr="00E149A9">
        <w:rPr>
          <w:rFonts w:ascii="Calibri" w:eastAsia="Times New Roman" w:hAnsi="Calibri" w:cs="Calibri"/>
          <w:szCs w:val="24"/>
        </w:rPr>
        <w:t xml:space="preserve">Transesophageal echoes are a medical procedure and should </w:t>
      </w:r>
      <w:r w:rsidR="00864D0B">
        <w:rPr>
          <w:rFonts w:ascii="Calibri" w:eastAsia="Times New Roman" w:hAnsi="Calibri" w:cs="Calibri"/>
          <w:szCs w:val="24"/>
        </w:rPr>
        <w:t>not</w:t>
      </w:r>
      <w:r w:rsidR="00E149A9" w:rsidRPr="00E149A9">
        <w:rPr>
          <w:rFonts w:ascii="Calibri" w:eastAsia="Times New Roman" w:hAnsi="Calibri" w:cs="Calibri"/>
          <w:szCs w:val="24"/>
        </w:rPr>
        <w:t xml:space="preserve"> be used for 'screening' purposes.</w:t>
      </w:r>
    </w:p>
    <w:p w14:paraId="531F0440" w14:textId="5C5F9C94" w:rsidR="009F5125" w:rsidRPr="00E677F1" w:rsidRDefault="009F5125">
      <w:pPr>
        <w:pStyle w:val="ListParagraph"/>
        <w:numPr>
          <w:ilvl w:val="2"/>
          <w:numId w:val="11"/>
        </w:numPr>
        <w:spacing w:after="60" w:line="360" w:lineRule="auto"/>
        <w:textAlignment w:val="center"/>
        <w:rPr>
          <w:rFonts w:ascii="Calibri" w:eastAsia="Times New Roman" w:hAnsi="Calibri" w:cs="Calibri"/>
          <w:szCs w:val="24"/>
        </w:rPr>
      </w:pPr>
      <w:r w:rsidRPr="00A70E6A">
        <w:rPr>
          <w:rFonts w:ascii="Calibri" w:eastAsia="Times New Roman" w:hAnsi="Calibri" w:cs="Calibri"/>
          <w:szCs w:val="24"/>
        </w:rPr>
        <w:t xml:space="preserve">Screening </w:t>
      </w:r>
      <w:r w:rsidR="00A71543" w:rsidRPr="00A70E6A">
        <w:rPr>
          <w:rFonts w:ascii="Calibri" w:eastAsia="Times New Roman" w:hAnsi="Calibri" w:cs="Calibri"/>
          <w:szCs w:val="24"/>
        </w:rPr>
        <w:t xml:space="preserve">is </w:t>
      </w:r>
      <w:r w:rsidRPr="00A70E6A">
        <w:rPr>
          <w:rFonts w:ascii="Calibri" w:eastAsia="Times New Roman" w:hAnsi="Calibri" w:cs="Calibri"/>
          <w:szCs w:val="24"/>
        </w:rPr>
        <w:t>not always accurate</w:t>
      </w:r>
      <w:r w:rsidR="00A71543" w:rsidRPr="00A70E6A">
        <w:rPr>
          <w:rFonts w:ascii="Calibri" w:eastAsia="Times New Roman" w:hAnsi="Calibri" w:cs="Calibri"/>
          <w:szCs w:val="24"/>
        </w:rPr>
        <w:t xml:space="preserve"> in predicting the size of a PFO</w:t>
      </w:r>
      <w:r w:rsidRPr="00A70E6A">
        <w:rPr>
          <w:rFonts w:ascii="Calibri" w:eastAsia="Times New Roman" w:hAnsi="Calibri" w:cs="Calibri"/>
          <w:szCs w:val="24"/>
        </w:rPr>
        <w:t xml:space="preserve"> –</w:t>
      </w:r>
      <w:r w:rsidR="00A71543" w:rsidRPr="00A70E6A">
        <w:rPr>
          <w:rFonts w:ascii="Calibri" w:eastAsia="Times New Roman" w:hAnsi="Calibri" w:cs="Calibri"/>
          <w:szCs w:val="24"/>
        </w:rPr>
        <w:t xml:space="preserve"> the</w:t>
      </w:r>
      <w:r w:rsidRPr="00A70E6A">
        <w:rPr>
          <w:rFonts w:ascii="Calibri" w:eastAsia="Times New Roman" w:hAnsi="Calibri" w:cs="Calibri"/>
          <w:szCs w:val="24"/>
        </w:rPr>
        <w:t xml:space="preserve"> hole </w:t>
      </w:r>
      <w:r w:rsidRPr="00E677F1">
        <w:rPr>
          <w:rFonts w:ascii="Calibri" w:eastAsia="Times New Roman" w:hAnsi="Calibri" w:cs="Calibri"/>
          <w:szCs w:val="24"/>
        </w:rPr>
        <w:t xml:space="preserve">can seem small </w:t>
      </w:r>
      <w:r w:rsidR="00A70E6A" w:rsidRPr="00E677F1">
        <w:rPr>
          <w:rFonts w:ascii="Calibri" w:eastAsia="Times New Roman" w:hAnsi="Calibri" w:cs="Calibri"/>
          <w:szCs w:val="24"/>
        </w:rPr>
        <w:t xml:space="preserve">in screening </w:t>
      </w:r>
      <w:r w:rsidR="00864D0B">
        <w:rPr>
          <w:rFonts w:ascii="Calibri" w:eastAsia="Times New Roman" w:hAnsi="Calibri" w:cs="Calibri"/>
          <w:szCs w:val="24"/>
        </w:rPr>
        <w:t xml:space="preserve">tests </w:t>
      </w:r>
      <w:r w:rsidRPr="00E677F1">
        <w:rPr>
          <w:rFonts w:ascii="Calibri" w:eastAsia="Times New Roman" w:hAnsi="Calibri" w:cs="Calibri"/>
          <w:szCs w:val="24"/>
        </w:rPr>
        <w:t xml:space="preserve">but </w:t>
      </w:r>
      <w:r w:rsidR="00864D0B">
        <w:rPr>
          <w:rFonts w:ascii="Calibri" w:eastAsia="Times New Roman" w:hAnsi="Calibri" w:cs="Calibri"/>
          <w:szCs w:val="24"/>
        </w:rPr>
        <w:t>can be found to be much larger during</w:t>
      </w:r>
      <w:r w:rsidR="00A70E6A" w:rsidRPr="00E677F1">
        <w:rPr>
          <w:rFonts w:ascii="Calibri" w:eastAsia="Times New Roman" w:hAnsi="Calibri" w:cs="Calibri"/>
          <w:szCs w:val="24"/>
        </w:rPr>
        <w:t xml:space="preserve"> surgery</w:t>
      </w:r>
      <w:r w:rsidR="00864D0B">
        <w:rPr>
          <w:rFonts w:ascii="Calibri" w:eastAsia="Times New Roman" w:hAnsi="Calibri" w:cs="Calibri"/>
          <w:szCs w:val="24"/>
        </w:rPr>
        <w:t>/procedures</w:t>
      </w:r>
      <w:r w:rsidR="00A70E6A" w:rsidRPr="00E677F1">
        <w:rPr>
          <w:rFonts w:ascii="Calibri" w:eastAsia="Times New Roman" w:hAnsi="Calibri" w:cs="Calibri"/>
          <w:szCs w:val="24"/>
        </w:rPr>
        <w:t>.</w:t>
      </w:r>
    </w:p>
    <w:p w14:paraId="11E9723E" w14:textId="77777777" w:rsidR="00BD1FFC" w:rsidRPr="00E677F1" w:rsidRDefault="00BD1FFC">
      <w:pPr>
        <w:numPr>
          <w:ilvl w:val="1"/>
          <w:numId w:val="4"/>
        </w:numPr>
        <w:spacing w:after="60" w:line="360" w:lineRule="auto"/>
        <w:textAlignment w:val="center"/>
        <w:rPr>
          <w:rFonts w:ascii="Calibri" w:eastAsia="Times New Roman" w:hAnsi="Calibri" w:cs="Calibri"/>
          <w:szCs w:val="24"/>
        </w:rPr>
      </w:pPr>
      <w:r w:rsidRPr="00E677F1">
        <w:rPr>
          <w:rFonts w:ascii="Calibri" w:eastAsia="Times New Roman" w:hAnsi="Calibri" w:cs="Calibri"/>
          <w:szCs w:val="24"/>
        </w:rPr>
        <w:t xml:space="preserve">What are the risks to the patient of the screening procedure itself? </w:t>
      </w:r>
    </w:p>
    <w:p w14:paraId="2E3C4A2A" w14:textId="3EA8985E" w:rsidR="00BD1FFC" w:rsidRPr="00AB4B18" w:rsidRDefault="00BD1FFC">
      <w:pPr>
        <w:numPr>
          <w:ilvl w:val="2"/>
          <w:numId w:val="12"/>
        </w:numPr>
        <w:spacing w:after="60" w:line="360" w:lineRule="auto"/>
        <w:textAlignment w:val="center"/>
        <w:rPr>
          <w:rFonts w:ascii="Calibri" w:eastAsia="Times New Roman" w:hAnsi="Calibri" w:cs="Calibri"/>
          <w:szCs w:val="24"/>
        </w:rPr>
      </w:pPr>
      <w:r w:rsidRPr="00AB4B18">
        <w:rPr>
          <w:rFonts w:ascii="Calibri" w:eastAsia="Times New Roman" w:hAnsi="Calibri" w:cs="Calibri"/>
          <w:szCs w:val="24"/>
        </w:rPr>
        <w:t xml:space="preserve">No </w:t>
      </w:r>
      <w:r w:rsidR="00864D0B">
        <w:rPr>
          <w:rFonts w:ascii="Calibri" w:eastAsia="Times New Roman" w:hAnsi="Calibri" w:cs="Calibri"/>
          <w:szCs w:val="24"/>
        </w:rPr>
        <w:t>significant</w:t>
      </w:r>
      <w:r w:rsidRPr="00AB4B18">
        <w:rPr>
          <w:rFonts w:ascii="Calibri" w:eastAsia="Times New Roman" w:hAnsi="Calibri" w:cs="Calibri"/>
          <w:szCs w:val="24"/>
        </w:rPr>
        <w:t xml:space="preserve"> recognized risk to transthoracic screening</w:t>
      </w:r>
      <w:r w:rsidR="00F6351A">
        <w:rPr>
          <w:rFonts w:ascii="Calibri" w:eastAsia="Times New Roman" w:hAnsi="Calibri" w:cs="Calibri"/>
          <w:szCs w:val="24"/>
        </w:rPr>
        <w:t xml:space="preserve"> aside from those typically associated with IV insertion</w:t>
      </w:r>
      <w:r w:rsidRPr="00AB4B18">
        <w:rPr>
          <w:rFonts w:ascii="Calibri" w:eastAsia="Times New Roman" w:hAnsi="Calibri" w:cs="Calibri"/>
          <w:szCs w:val="24"/>
        </w:rPr>
        <w:t>.</w:t>
      </w:r>
    </w:p>
    <w:p w14:paraId="0CB4E212" w14:textId="0FB72507" w:rsidR="00F63FD1" w:rsidRPr="00AB4B18" w:rsidRDefault="00F63FD1">
      <w:pPr>
        <w:numPr>
          <w:ilvl w:val="2"/>
          <w:numId w:val="12"/>
        </w:numPr>
        <w:spacing w:after="60" w:line="360" w:lineRule="auto"/>
        <w:textAlignment w:val="center"/>
        <w:rPr>
          <w:rFonts w:ascii="Calibri" w:eastAsia="Times New Roman" w:hAnsi="Calibri" w:cs="Calibri"/>
          <w:szCs w:val="24"/>
        </w:rPr>
      </w:pPr>
      <w:r>
        <w:rPr>
          <w:rFonts w:ascii="Calibri" w:eastAsia="Times New Roman" w:hAnsi="Calibri" w:cs="Calibri"/>
          <w:szCs w:val="24"/>
        </w:rPr>
        <w:t>Considerations for potential career risks – negative selection impact regardless of confidentiality.</w:t>
      </w:r>
    </w:p>
    <w:p w14:paraId="59F5FB1B" w14:textId="77777777" w:rsidR="00BD1FFC" w:rsidRPr="00AB4B18" w:rsidRDefault="00BD1FFC">
      <w:pPr>
        <w:numPr>
          <w:ilvl w:val="1"/>
          <w:numId w:val="4"/>
        </w:numPr>
        <w:spacing w:after="60" w:line="360" w:lineRule="auto"/>
        <w:textAlignment w:val="center"/>
        <w:rPr>
          <w:rFonts w:ascii="Calibri" w:eastAsia="Times New Roman" w:hAnsi="Calibri" w:cs="Calibri"/>
          <w:szCs w:val="24"/>
        </w:rPr>
      </w:pPr>
      <w:r w:rsidRPr="00AB4B18">
        <w:rPr>
          <w:rFonts w:ascii="Calibri" w:eastAsia="Times New Roman" w:hAnsi="Calibri" w:cs="Calibri"/>
          <w:szCs w:val="24"/>
        </w:rPr>
        <w:t xml:space="preserve">How should results be characterized in terms of type and magnitude of PFO? </w:t>
      </w:r>
    </w:p>
    <w:p w14:paraId="4CAF3072" w14:textId="1AE36F69" w:rsidR="00BD1FFC" w:rsidRPr="00AB4B18" w:rsidRDefault="00BD1FFC">
      <w:pPr>
        <w:numPr>
          <w:ilvl w:val="2"/>
          <w:numId w:val="4"/>
        </w:numPr>
        <w:spacing w:after="60" w:line="360" w:lineRule="auto"/>
        <w:textAlignment w:val="center"/>
        <w:rPr>
          <w:rFonts w:ascii="Calibri" w:eastAsia="Times New Roman" w:hAnsi="Calibri" w:cs="Calibri"/>
          <w:szCs w:val="24"/>
        </w:rPr>
      </w:pPr>
      <w:r w:rsidRPr="00AB4B18">
        <w:rPr>
          <w:rFonts w:ascii="Calibri" w:eastAsia="Times New Roman" w:hAnsi="Calibri" w:cs="Calibri"/>
          <w:szCs w:val="24"/>
        </w:rPr>
        <w:t xml:space="preserve">The characterization is only relevant if you are going to </w:t>
      </w:r>
      <w:r w:rsidR="00864D0B" w:rsidRPr="00864D0B">
        <w:rPr>
          <w:rFonts w:ascii="Calibri" w:eastAsia="Times New Roman" w:hAnsi="Calibri" w:cs="Calibri"/>
          <w:i/>
          <w:iCs/>
          <w:szCs w:val="24"/>
        </w:rPr>
        <w:t>use</w:t>
      </w:r>
      <w:r w:rsidRPr="00AB4B18">
        <w:rPr>
          <w:rFonts w:ascii="Calibri" w:eastAsia="Times New Roman" w:hAnsi="Calibri" w:cs="Calibri"/>
          <w:szCs w:val="24"/>
        </w:rPr>
        <w:t xml:space="preserve"> the information proactively</w:t>
      </w:r>
      <w:r w:rsidR="00AB4B18">
        <w:rPr>
          <w:rFonts w:ascii="Calibri" w:eastAsia="Times New Roman" w:hAnsi="Calibri" w:cs="Calibri"/>
          <w:szCs w:val="24"/>
        </w:rPr>
        <w:t xml:space="preserve"> </w:t>
      </w:r>
      <w:r w:rsidR="00A0231E">
        <w:rPr>
          <w:rFonts w:ascii="Calibri" w:eastAsia="Times New Roman" w:hAnsi="Calibri" w:cs="Calibri"/>
          <w:szCs w:val="24"/>
        </w:rPr>
        <w:t xml:space="preserve">for clinical reasons </w:t>
      </w:r>
      <w:r w:rsidR="00AB4B18">
        <w:rPr>
          <w:rFonts w:ascii="Calibri" w:eastAsia="Times New Roman" w:hAnsi="Calibri" w:cs="Calibri"/>
          <w:szCs w:val="24"/>
        </w:rPr>
        <w:t>(i.e</w:t>
      </w:r>
      <w:r w:rsidRPr="00AB4B18">
        <w:rPr>
          <w:rFonts w:ascii="Calibri" w:eastAsia="Times New Roman" w:hAnsi="Calibri" w:cs="Calibri"/>
          <w:szCs w:val="24"/>
        </w:rPr>
        <w:t>.</w:t>
      </w:r>
      <w:r w:rsidR="00AB4B18">
        <w:rPr>
          <w:rFonts w:ascii="Calibri" w:eastAsia="Times New Roman" w:hAnsi="Calibri" w:cs="Calibri"/>
          <w:szCs w:val="24"/>
        </w:rPr>
        <w:t>, ‘screen’ individuals out, recommend closure, etc.)</w:t>
      </w:r>
      <w:r w:rsidR="00F94EEE">
        <w:rPr>
          <w:rFonts w:ascii="Calibri" w:eastAsia="Times New Roman" w:hAnsi="Calibri" w:cs="Calibri"/>
          <w:szCs w:val="24"/>
        </w:rPr>
        <w:t>, or for documenting a baseline for surveillance or awareness in the event of a DCS hit</w:t>
      </w:r>
      <w:r w:rsidR="00AB4B18">
        <w:rPr>
          <w:rFonts w:ascii="Calibri" w:eastAsia="Times New Roman" w:hAnsi="Calibri" w:cs="Calibri"/>
          <w:szCs w:val="24"/>
        </w:rPr>
        <w:t>.</w:t>
      </w:r>
    </w:p>
    <w:p w14:paraId="579AF59F" w14:textId="41D3DF1E" w:rsidR="00BD1FFC" w:rsidRPr="00C2725E" w:rsidRDefault="004D7E55">
      <w:pPr>
        <w:numPr>
          <w:ilvl w:val="2"/>
          <w:numId w:val="4"/>
        </w:numPr>
        <w:spacing w:after="60" w:line="360" w:lineRule="auto"/>
        <w:textAlignment w:val="center"/>
        <w:rPr>
          <w:rFonts w:ascii="Calibri" w:eastAsia="Times New Roman" w:hAnsi="Calibri" w:cs="Calibri"/>
          <w:szCs w:val="24"/>
        </w:rPr>
      </w:pPr>
      <w:r>
        <w:rPr>
          <w:rFonts w:ascii="Calibri" w:eastAsia="Times New Roman" w:hAnsi="Calibri" w:cs="Calibri"/>
          <w:szCs w:val="24"/>
        </w:rPr>
        <w:t>Large PFOs m</w:t>
      </w:r>
      <w:r w:rsidR="009B3B6B">
        <w:rPr>
          <w:rFonts w:ascii="Calibri" w:eastAsia="Times New Roman" w:hAnsi="Calibri" w:cs="Calibri"/>
          <w:szCs w:val="24"/>
        </w:rPr>
        <w:t>a</w:t>
      </w:r>
      <w:r>
        <w:rPr>
          <w:rFonts w:ascii="Calibri" w:eastAsia="Times New Roman" w:hAnsi="Calibri" w:cs="Calibri"/>
          <w:szCs w:val="24"/>
        </w:rPr>
        <w:t xml:space="preserve">y be closed, but shunting from other pathways cannot be easily addressed – and the significance of </w:t>
      </w:r>
      <w:r w:rsidR="009B3B6B">
        <w:rPr>
          <w:rFonts w:ascii="Calibri" w:eastAsia="Times New Roman" w:hAnsi="Calibri" w:cs="Calibri"/>
          <w:szCs w:val="24"/>
        </w:rPr>
        <w:t xml:space="preserve">a </w:t>
      </w:r>
      <w:r>
        <w:rPr>
          <w:rFonts w:ascii="Calibri" w:eastAsia="Times New Roman" w:hAnsi="Calibri" w:cs="Calibri"/>
          <w:szCs w:val="24"/>
        </w:rPr>
        <w:t>shunt resulting in Type II DCS is unknown.</w:t>
      </w:r>
    </w:p>
    <w:p w14:paraId="5A7CA0B3" w14:textId="38AB4E31" w:rsidR="00BD1FFC" w:rsidRDefault="00BD1FFC" w:rsidP="00796CB9">
      <w:pPr>
        <w:pStyle w:val="Heading3"/>
      </w:pPr>
      <w:bookmarkStart w:id="23" w:name="_Goal_3_Overview"/>
      <w:bookmarkStart w:id="24" w:name="_Toc170739837"/>
      <w:bookmarkEnd w:id="23"/>
      <w:r>
        <w:t>Goal 3 Overview</w:t>
      </w:r>
      <w:bookmarkEnd w:id="24"/>
    </w:p>
    <w:p w14:paraId="0A19DA22" w14:textId="1F137C9D" w:rsidR="00CD1EFF" w:rsidRPr="00CD1EFF" w:rsidRDefault="00CD1EFF" w:rsidP="00037512">
      <w:pPr>
        <w:spacing w:after="60" w:line="360" w:lineRule="auto"/>
        <w:textAlignment w:val="center"/>
        <w:rPr>
          <w:rFonts w:ascii="Calibri" w:eastAsia="Times New Roman" w:hAnsi="Calibri" w:cs="Calibri"/>
          <w:szCs w:val="24"/>
        </w:rPr>
      </w:pPr>
      <w:r w:rsidRPr="00CD1EFF">
        <w:rPr>
          <w:rFonts w:ascii="Calibri" w:eastAsia="Times New Roman" w:hAnsi="Calibri" w:cs="Calibri"/>
          <w:szCs w:val="24"/>
        </w:rPr>
        <w:t xml:space="preserve">What are potential risk reduction measures that could be considered if a person </w:t>
      </w:r>
      <w:r w:rsidR="00634127">
        <w:rPr>
          <w:rFonts w:ascii="Calibri" w:eastAsia="Times New Roman" w:hAnsi="Calibri" w:cs="Calibri"/>
          <w:szCs w:val="24"/>
        </w:rPr>
        <w:t>found</w:t>
      </w:r>
      <w:r w:rsidRPr="00CD1EFF">
        <w:rPr>
          <w:rFonts w:ascii="Calibri" w:eastAsia="Times New Roman" w:hAnsi="Calibri" w:cs="Calibri"/>
          <w:szCs w:val="24"/>
        </w:rPr>
        <w:t xml:space="preserve"> to </w:t>
      </w:r>
      <w:r w:rsidR="00634127">
        <w:rPr>
          <w:rFonts w:ascii="Calibri" w:eastAsia="Times New Roman" w:hAnsi="Calibri" w:cs="Calibri"/>
          <w:szCs w:val="24"/>
        </w:rPr>
        <w:t>have</w:t>
      </w:r>
      <w:r w:rsidRPr="00CD1EFF">
        <w:rPr>
          <w:rFonts w:ascii="Calibri" w:eastAsia="Times New Roman" w:hAnsi="Calibri" w:cs="Calibri"/>
          <w:szCs w:val="24"/>
        </w:rPr>
        <w:t xml:space="preserve"> a PFO?</w:t>
      </w:r>
    </w:p>
    <w:p w14:paraId="1CD207A5" w14:textId="1F45E787" w:rsidR="00CD1EFF" w:rsidRPr="00AB4B18" w:rsidRDefault="00B76035">
      <w:pPr>
        <w:numPr>
          <w:ilvl w:val="1"/>
          <w:numId w:val="15"/>
        </w:numPr>
        <w:spacing w:after="60" w:line="360" w:lineRule="auto"/>
        <w:textAlignment w:val="center"/>
        <w:rPr>
          <w:rFonts w:ascii="Calibri" w:eastAsia="Times New Roman" w:hAnsi="Calibri" w:cs="Calibri"/>
          <w:szCs w:val="24"/>
        </w:rPr>
      </w:pPr>
      <w:r>
        <w:rPr>
          <w:rFonts w:ascii="Calibri" w:eastAsia="Times New Roman" w:hAnsi="Calibri" w:cs="Calibri"/>
          <w:szCs w:val="24"/>
        </w:rPr>
        <w:t xml:space="preserve">No data </w:t>
      </w:r>
      <w:r w:rsidR="00CD1EFF" w:rsidRPr="00AB4B18">
        <w:rPr>
          <w:rFonts w:ascii="Calibri" w:eastAsia="Times New Roman" w:hAnsi="Calibri" w:cs="Calibri"/>
          <w:szCs w:val="24"/>
        </w:rPr>
        <w:t>for people in hypobaric</w:t>
      </w:r>
      <w:r>
        <w:rPr>
          <w:rFonts w:ascii="Calibri" w:eastAsia="Times New Roman" w:hAnsi="Calibri" w:cs="Calibri"/>
          <w:szCs w:val="24"/>
        </w:rPr>
        <w:t>/altitude</w:t>
      </w:r>
      <w:r w:rsidR="00CD1EFF" w:rsidRPr="00AB4B18">
        <w:rPr>
          <w:rFonts w:ascii="Calibri" w:eastAsia="Times New Roman" w:hAnsi="Calibri" w:cs="Calibri"/>
          <w:szCs w:val="24"/>
        </w:rPr>
        <w:t xml:space="preserve"> exposure.</w:t>
      </w:r>
      <w:r>
        <w:rPr>
          <w:rFonts w:ascii="Calibri" w:eastAsia="Times New Roman" w:hAnsi="Calibri" w:cs="Calibri"/>
          <w:szCs w:val="24"/>
        </w:rPr>
        <w:t xml:space="preserve"> In diving DCS, only after a neurological/’undeserved’ event.</w:t>
      </w:r>
    </w:p>
    <w:p w14:paraId="724E8C00" w14:textId="2235CA1E" w:rsidR="00CD1EFF" w:rsidRPr="00AB4B18" w:rsidRDefault="00CD1EFF">
      <w:pPr>
        <w:numPr>
          <w:ilvl w:val="1"/>
          <w:numId w:val="15"/>
        </w:numPr>
        <w:spacing w:after="60" w:line="360" w:lineRule="auto"/>
        <w:textAlignment w:val="center"/>
        <w:rPr>
          <w:rFonts w:ascii="Calibri" w:eastAsia="Times New Roman" w:hAnsi="Calibri" w:cs="Calibri"/>
          <w:szCs w:val="24"/>
        </w:rPr>
      </w:pPr>
      <w:r w:rsidRPr="00AB4B18">
        <w:rPr>
          <w:rFonts w:ascii="Calibri" w:eastAsia="Times New Roman" w:hAnsi="Calibri" w:cs="Calibri"/>
          <w:szCs w:val="24"/>
        </w:rPr>
        <w:t>Does closure reduce risk if this is the case?</w:t>
      </w:r>
      <w:r w:rsidR="00AB4B18" w:rsidRPr="00AB4B18">
        <w:rPr>
          <w:rFonts w:ascii="Calibri" w:eastAsia="Times New Roman" w:hAnsi="Calibri" w:cs="Calibri"/>
          <w:szCs w:val="24"/>
        </w:rPr>
        <w:t xml:space="preserve"> </w:t>
      </w:r>
      <w:r w:rsidRPr="00AB4B18">
        <w:rPr>
          <w:rFonts w:ascii="Calibri" w:eastAsia="Times New Roman" w:hAnsi="Calibri" w:cs="Calibri"/>
          <w:szCs w:val="24"/>
        </w:rPr>
        <w:t>What are the risks of closing a PFO</w:t>
      </w:r>
      <w:r w:rsidR="00B76035">
        <w:rPr>
          <w:rFonts w:ascii="Calibri" w:eastAsia="Times New Roman" w:hAnsi="Calibri" w:cs="Calibri"/>
          <w:szCs w:val="24"/>
        </w:rPr>
        <w:t>?</w:t>
      </w:r>
    </w:p>
    <w:p w14:paraId="4A5DDB4E" w14:textId="6B4C9CB7" w:rsidR="00CD1EFF" w:rsidRPr="00AB4B18" w:rsidRDefault="00CD1EFF">
      <w:pPr>
        <w:numPr>
          <w:ilvl w:val="2"/>
          <w:numId w:val="14"/>
        </w:numPr>
        <w:spacing w:after="60" w:line="360" w:lineRule="auto"/>
        <w:textAlignment w:val="center"/>
        <w:rPr>
          <w:rFonts w:ascii="Calibri" w:eastAsia="Times New Roman" w:hAnsi="Calibri" w:cs="Calibri"/>
          <w:szCs w:val="24"/>
        </w:rPr>
      </w:pPr>
      <w:r w:rsidRPr="00AB4B18">
        <w:rPr>
          <w:rFonts w:ascii="Calibri" w:eastAsia="Times New Roman" w:hAnsi="Calibri" w:cs="Calibri"/>
          <w:szCs w:val="24"/>
        </w:rPr>
        <w:lastRenderedPageBreak/>
        <w:t>Severe bleeding, embolization, stroke (combined under 1%) serious complications</w:t>
      </w:r>
      <w:r w:rsidR="00AB4B18" w:rsidRPr="00AB4B18">
        <w:rPr>
          <w:rFonts w:ascii="Calibri" w:eastAsia="Times New Roman" w:hAnsi="Calibri" w:cs="Calibri"/>
          <w:szCs w:val="24"/>
        </w:rPr>
        <w:t>.</w:t>
      </w:r>
    </w:p>
    <w:p w14:paraId="0DB30A31" w14:textId="2711D2B6" w:rsidR="00CD1EFF" w:rsidRPr="00AB4B18" w:rsidRDefault="00CD1EFF">
      <w:pPr>
        <w:numPr>
          <w:ilvl w:val="2"/>
          <w:numId w:val="14"/>
        </w:numPr>
        <w:spacing w:after="60" w:line="360" w:lineRule="auto"/>
        <w:textAlignment w:val="center"/>
        <w:rPr>
          <w:rFonts w:ascii="Calibri" w:eastAsia="Times New Roman" w:hAnsi="Calibri" w:cs="Calibri"/>
          <w:szCs w:val="24"/>
        </w:rPr>
      </w:pPr>
      <w:r w:rsidRPr="00AB4B18">
        <w:rPr>
          <w:rFonts w:ascii="Calibri" w:eastAsia="Times New Roman" w:hAnsi="Calibri" w:cs="Calibri"/>
          <w:szCs w:val="24"/>
        </w:rPr>
        <w:t>Bruise or small hematoma (1-2%) minor complications</w:t>
      </w:r>
      <w:r w:rsidR="00AB4B18" w:rsidRPr="00AB4B18">
        <w:rPr>
          <w:rFonts w:ascii="Calibri" w:eastAsia="Times New Roman" w:hAnsi="Calibri" w:cs="Calibri"/>
          <w:szCs w:val="24"/>
        </w:rPr>
        <w:t>.</w:t>
      </w:r>
    </w:p>
    <w:p w14:paraId="289ABEE3" w14:textId="0100FB93" w:rsidR="00CD1EFF" w:rsidRDefault="00CD1EFF">
      <w:pPr>
        <w:numPr>
          <w:ilvl w:val="2"/>
          <w:numId w:val="14"/>
        </w:numPr>
        <w:spacing w:after="60" w:line="360" w:lineRule="auto"/>
        <w:textAlignment w:val="center"/>
        <w:rPr>
          <w:rFonts w:ascii="Calibri" w:eastAsia="Times New Roman" w:hAnsi="Calibri" w:cs="Calibri"/>
          <w:szCs w:val="24"/>
        </w:rPr>
      </w:pPr>
      <w:r w:rsidRPr="00AB4B18">
        <w:rPr>
          <w:rFonts w:ascii="Calibri" w:eastAsia="Times New Roman" w:hAnsi="Calibri" w:cs="Calibri"/>
          <w:szCs w:val="24"/>
        </w:rPr>
        <w:t>No heavy lifting 3 to 4 days; anti-platelet therapy 3 months post-op; then do a reassessment</w:t>
      </w:r>
      <w:r w:rsidR="00AB4B18" w:rsidRPr="00AB4B18">
        <w:rPr>
          <w:rFonts w:ascii="Calibri" w:eastAsia="Times New Roman" w:hAnsi="Calibri" w:cs="Calibri"/>
          <w:szCs w:val="24"/>
        </w:rPr>
        <w:t>.</w:t>
      </w:r>
    </w:p>
    <w:p w14:paraId="23F92E5E" w14:textId="10B6D78D" w:rsidR="000C4E43" w:rsidRPr="000C4E43" w:rsidRDefault="000C4E43" w:rsidP="000C4E43">
      <w:pPr>
        <w:pStyle w:val="ListParagraph"/>
        <w:numPr>
          <w:ilvl w:val="2"/>
          <w:numId w:val="14"/>
        </w:numPr>
        <w:rPr>
          <w:rFonts w:ascii="Calibri" w:eastAsia="Times New Roman" w:hAnsi="Calibri" w:cs="Calibri"/>
          <w:szCs w:val="24"/>
        </w:rPr>
      </w:pPr>
      <w:r w:rsidRPr="000C4E43">
        <w:rPr>
          <w:rFonts w:ascii="Calibri" w:eastAsia="Times New Roman" w:hAnsi="Calibri" w:cs="Calibri"/>
          <w:szCs w:val="24"/>
        </w:rPr>
        <w:t>Requirement for a period of post-op anti-coagulation</w:t>
      </w:r>
      <w:r>
        <w:rPr>
          <w:rFonts w:ascii="Calibri" w:eastAsia="Times New Roman" w:hAnsi="Calibri" w:cs="Calibri"/>
          <w:szCs w:val="24"/>
        </w:rPr>
        <w:t>.</w:t>
      </w:r>
    </w:p>
    <w:p w14:paraId="5399D013" w14:textId="3DCADF2F" w:rsidR="00CD1EFF" w:rsidRPr="00AB4B18" w:rsidRDefault="00CD1EFF">
      <w:pPr>
        <w:numPr>
          <w:ilvl w:val="1"/>
          <w:numId w:val="13"/>
        </w:numPr>
        <w:spacing w:after="60" w:line="360" w:lineRule="auto"/>
        <w:textAlignment w:val="center"/>
        <w:rPr>
          <w:rFonts w:ascii="Calibri" w:eastAsia="Times New Roman" w:hAnsi="Calibri" w:cs="Calibri"/>
          <w:szCs w:val="24"/>
        </w:rPr>
      </w:pPr>
      <w:r w:rsidRPr="00AB4B18">
        <w:rPr>
          <w:rFonts w:ascii="Calibri" w:eastAsia="Times New Roman" w:hAnsi="Calibri" w:cs="Calibri"/>
          <w:szCs w:val="24"/>
        </w:rPr>
        <w:t>Benefits in the diving world?</w:t>
      </w:r>
    </w:p>
    <w:p w14:paraId="5A7570FE" w14:textId="1A5F3038" w:rsidR="00CD1EFF" w:rsidRPr="00C2725E" w:rsidRDefault="00864D0B">
      <w:pPr>
        <w:numPr>
          <w:ilvl w:val="2"/>
          <w:numId w:val="13"/>
        </w:numPr>
        <w:spacing w:after="60" w:line="360" w:lineRule="auto"/>
        <w:textAlignment w:val="center"/>
        <w:rPr>
          <w:rFonts w:ascii="Calibri" w:eastAsia="Times New Roman" w:hAnsi="Calibri" w:cs="Calibri"/>
          <w:szCs w:val="24"/>
        </w:rPr>
      </w:pPr>
      <w:r>
        <w:rPr>
          <w:rFonts w:ascii="Calibri" w:eastAsia="Times New Roman" w:hAnsi="Calibri" w:cs="Calibri"/>
          <w:szCs w:val="24"/>
        </w:rPr>
        <w:t>Limited data on closure of PFO in divers, but appears to be of benefit</w:t>
      </w:r>
      <w:r w:rsidR="000C4E43">
        <w:rPr>
          <w:rFonts w:ascii="Calibri" w:eastAsia="Times New Roman" w:hAnsi="Calibri" w:cs="Calibri"/>
          <w:szCs w:val="24"/>
        </w:rPr>
        <w:t xml:space="preserve"> (Brett, Vallee, &amp; Saary, 2023)</w:t>
      </w:r>
      <w:r>
        <w:rPr>
          <w:rFonts w:ascii="Calibri" w:eastAsia="Times New Roman" w:hAnsi="Calibri" w:cs="Calibri"/>
          <w:szCs w:val="24"/>
        </w:rPr>
        <w:t>.</w:t>
      </w:r>
    </w:p>
    <w:p w14:paraId="1F661E5D" w14:textId="414B59C3" w:rsidR="00CD1EFF" w:rsidRDefault="00CD1EFF" w:rsidP="00796CB9">
      <w:pPr>
        <w:pStyle w:val="Heading3"/>
      </w:pPr>
      <w:bookmarkStart w:id="25" w:name="_Toc170739838"/>
      <w:r>
        <w:t>Goal 4 Overview</w:t>
      </w:r>
      <w:bookmarkEnd w:id="25"/>
    </w:p>
    <w:p w14:paraId="25EE9564" w14:textId="77777777" w:rsidR="00CD1EFF" w:rsidRPr="00CD1EFF" w:rsidRDefault="00CD1EFF" w:rsidP="00037512">
      <w:pPr>
        <w:spacing w:after="60" w:line="360" w:lineRule="auto"/>
        <w:textAlignment w:val="center"/>
        <w:rPr>
          <w:rFonts w:ascii="Calibri" w:eastAsia="Times New Roman" w:hAnsi="Calibri" w:cs="Calibri"/>
          <w:szCs w:val="24"/>
        </w:rPr>
      </w:pPr>
      <w:r w:rsidRPr="00CD1EFF">
        <w:rPr>
          <w:rFonts w:ascii="Calibri" w:eastAsia="Times New Roman" w:hAnsi="Calibri" w:cs="Calibri"/>
          <w:szCs w:val="24"/>
        </w:rPr>
        <w:t>What research and/or technology development is recommended that could help inform and/or mitigate PFO-related DCS risk?</w:t>
      </w:r>
    </w:p>
    <w:p w14:paraId="6A05BDE0" w14:textId="25A12264" w:rsidR="00CD1EFF" w:rsidRPr="00AB4B18" w:rsidRDefault="00CD1EFF">
      <w:pPr>
        <w:numPr>
          <w:ilvl w:val="1"/>
          <w:numId w:val="16"/>
        </w:numPr>
        <w:spacing w:after="60" w:line="360" w:lineRule="auto"/>
        <w:textAlignment w:val="center"/>
        <w:rPr>
          <w:rFonts w:ascii="Calibri" w:eastAsia="Times New Roman" w:hAnsi="Calibri" w:cs="Calibri"/>
          <w:szCs w:val="24"/>
        </w:rPr>
      </w:pPr>
      <w:r w:rsidRPr="00AB4B18">
        <w:rPr>
          <w:rFonts w:ascii="Calibri" w:eastAsia="Times New Roman" w:hAnsi="Calibri" w:cs="Calibri"/>
          <w:szCs w:val="24"/>
        </w:rPr>
        <w:t xml:space="preserve">Discuss further if there is any value in screening for </w:t>
      </w:r>
      <w:r w:rsidR="00645E7B">
        <w:rPr>
          <w:rFonts w:ascii="Calibri" w:eastAsia="Times New Roman" w:hAnsi="Calibri" w:cs="Calibri"/>
          <w:szCs w:val="24"/>
        </w:rPr>
        <w:t xml:space="preserve">and documenting </w:t>
      </w:r>
      <w:r w:rsidRPr="00AB4B18">
        <w:rPr>
          <w:rFonts w:ascii="Calibri" w:eastAsia="Times New Roman" w:hAnsi="Calibri" w:cs="Calibri"/>
          <w:szCs w:val="24"/>
        </w:rPr>
        <w:t xml:space="preserve">PFO in case an 'event' </w:t>
      </w:r>
      <w:r w:rsidR="002C2DD9">
        <w:rPr>
          <w:rFonts w:ascii="Calibri" w:eastAsia="Times New Roman" w:hAnsi="Calibri" w:cs="Calibri"/>
          <w:szCs w:val="24"/>
        </w:rPr>
        <w:t>was to occur,</w:t>
      </w:r>
      <w:r w:rsidRPr="00AB4B18">
        <w:rPr>
          <w:rFonts w:ascii="Calibri" w:eastAsia="Times New Roman" w:hAnsi="Calibri" w:cs="Calibri"/>
          <w:szCs w:val="24"/>
        </w:rPr>
        <w:t xml:space="preserve"> and having </w:t>
      </w:r>
      <w:r w:rsidR="002C2DD9">
        <w:rPr>
          <w:rFonts w:ascii="Calibri" w:eastAsia="Times New Roman" w:hAnsi="Calibri" w:cs="Calibri"/>
          <w:szCs w:val="24"/>
        </w:rPr>
        <w:t>such</w:t>
      </w:r>
      <w:r w:rsidRPr="00AB4B18">
        <w:rPr>
          <w:rFonts w:ascii="Calibri" w:eastAsia="Times New Roman" w:hAnsi="Calibri" w:cs="Calibri"/>
          <w:szCs w:val="24"/>
        </w:rPr>
        <w:t xml:space="preserve"> information </w:t>
      </w:r>
      <w:r w:rsidR="002C2DD9">
        <w:rPr>
          <w:rFonts w:ascii="Calibri" w:eastAsia="Times New Roman" w:hAnsi="Calibri" w:cs="Calibri"/>
          <w:szCs w:val="24"/>
        </w:rPr>
        <w:t xml:space="preserve">at that time </w:t>
      </w:r>
      <w:r w:rsidRPr="00AB4B18">
        <w:rPr>
          <w:rFonts w:ascii="Calibri" w:eastAsia="Times New Roman" w:hAnsi="Calibri" w:cs="Calibri"/>
          <w:szCs w:val="24"/>
        </w:rPr>
        <w:t>may be useful.</w:t>
      </w:r>
    </w:p>
    <w:p w14:paraId="2C14B203" w14:textId="6FE1D717" w:rsidR="00CD1EFF" w:rsidRPr="00C2725E" w:rsidRDefault="00AE2363">
      <w:pPr>
        <w:numPr>
          <w:ilvl w:val="1"/>
          <w:numId w:val="16"/>
        </w:numPr>
        <w:spacing w:after="60" w:line="360" w:lineRule="auto"/>
        <w:textAlignment w:val="center"/>
        <w:rPr>
          <w:rFonts w:ascii="Calibri" w:eastAsia="Times New Roman" w:hAnsi="Calibri" w:cs="Calibri"/>
          <w:szCs w:val="24"/>
        </w:rPr>
      </w:pPr>
      <w:r w:rsidRPr="00AE2363">
        <w:rPr>
          <w:rFonts w:ascii="Calibri" w:eastAsia="Times New Roman" w:hAnsi="Calibri" w:cs="Calibri"/>
          <w:szCs w:val="24"/>
        </w:rPr>
        <w:t xml:space="preserve">How many neurological DCS cases would you need to have to establish a relationship between PFO and Type II DCS? If you see even one case of Type </w:t>
      </w:r>
      <w:proofErr w:type="gramStart"/>
      <w:r w:rsidRPr="00AE2363">
        <w:rPr>
          <w:rFonts w:ascii="Calibri" w:eastAsia="Times New Roman" w:hAnsi="Calibri" w:cs="Calibri"/>
          <w:szCs w:val="24"/>
        </w:rPr>
        <w:t>II</w:t>
      </w:r>
      <w:proofErr w:type="gramEnd"/>
      <w:r w:rsidRPr="00AE2363">
        <w:rPr>
          <w:rFonts w:ascii="Calibri" w:eastAsia="Times New Roman" w:hAnsi="Calibri" w:cs="Calibri"/>
          <w:szCs w:val="24"/>
        </w:rPr>
        <w:t xml:space="preserve"> then the protocol is going to change and there will never be enough data collected to establish a relationship. </w:t>
      </w:r>
    </w:p>
    <w:p w14:paraId="0DE922AB" w14:textId="4F693586" w:rsidR="009479E3" w:rsidRDefault="009479E3" w:rsidP="009479E3">
      <w:pPr>
        <w:pStyle w:val="Heading2"/>
      </w:pPr>
      <w:bookmarkStart w:id="26" w:name="_Toc170739839"/>
      <w:r>
        <w:t>Other Points of Discussion</w:t>
      </w:r>
      <w:bookmarkEnd w:id="26"/>
    </w:p>
    <w:p w14:paraId="71480652" w14:textId="7BD91378" w:rsidR="003050BE" w:rsidRPr="003050BE" w:rsidRDefault="003050BE">
      <w:pPr>
        <w:pStyle w:val="ListParagraph"/>
        <w:numPr>
          <w:ilvl w:val="0"/>
          <w:numId w:val="17"/>
        </w:numPr>
        <w:spacing w:after="60" w:line="360" w:lineRule="auto"/>
      </w:pPr>
      <w:r w:rsidRPr="003050BE">
        <w:t>Push towards a “no DCS”</w:t>
      </w:r>
      <w:proofErr w:type="gramStart"/>
      <w:r w:rsidRPr="003050BE">
        <w:t>/</w:t>
      </w:r>
      <w:r w:rsidR="00380640">
        <w:t>“</w:t>
      </w:r>
      <w:proofErr w:type="gramEnd"/>
      <w:r w:rsidRPr="003050BE">
        <w:t>low VGE” protocol vs</w:t>
      </w:r>
      <w:r w:rsidR="00AE2363">
        <w:t>.</w:t>
      </w:r>
      <w:r w:rsidRPr="003050BE">
        <w:t xml:space="preserve"> a “shunt/PFO-safe” protocol</w:t>
      </w:r>
    </w:p>
    <w:p w14:paraId="73276628" w14:textId="77777777" w:rsidR="003050BE" w:rsidRPr="003050BE" w:rsidRDefault="003050BE">
      <w:pPr>
        <w:pStyle w:val="ListParagraph"/>
        <w:numPr>
          <w:ilvl w:val="1"/>
          <w:numId w:val="17"/>
        </w:numPr>
        <w:spacing w:after="60" w:line="360" w:lineRule="auto"/>
      </w:pPr>
      <w:r w:rsidRPr="003050BE">
        <w:t xml:space="preserve">ISS effectively implements this through conservative </w:t>
      </w:r>
      <w:proofErr w:type="spellStart"/>
      <w:r w:rsidRPr="003050BE">
        <w:t>prebreathe</w:t>
      </w:r>
      <w:proofErr w:type="spellEnd"/>
      <w:r w:rsidRPr="003050BE">
        <w:t xml:space="preserve"> </w:t>
      </w:r>
      <w:proofErr w:type="gramStart"/>
      <w:r w:rsidRPr="003050BE">
        <w:t>protocol</w:t>
      </w:r>
      <w:proofErr w:type="gramEnd"/>
    </w:p>
    <w:p w14:paraId="2551F176" w14:textId="77777777" w:rsidR="00864D0B" w:rsidRPr="003050BE" w:rsidRDefault="00864D0B" w:rsidP="00864D0B">
      <w:pPr>
        <w:pStyle w:val="ListParagraph"/>
        <w:numPr>
          <w:ilvl w:val="1"/>
          <w:numId w:val="17"/>
        </w:numPr>
        <w:spacing w:after="60" w:line="360" w:lineRule="auto"/>
      </w:pPr>
      <w:r w:rsidRPr="003050BE">
        <w:t>(</w:t>
      </w:r>
      <w:r>
        <w:t xml:space="preserve">ISS </w:t>
      </w:r>
      <w:proofErr w:type="spellStart"/>
      <w:r>
        <w:t>prebreathe</w:t>
      </w:r>
      <w:proofErr w:type="spellEnd"/>
      <w:r>
        <w:t xml:space="preserve"> protocol effectively operates at ~</w:t>
      </w:r>
      <w:r w:rsidRPr="003050BE">
        <w:t>1/10th the ‘</w:t>
      </w:r>
      <w:r>
        <w:t>ground tested/accepted’</w:t>
      </w:r>
      <w:r w:rsidRPr="003050BE">
        <w:t xml:space="preserve"> risk)</w:t>
      </w:r>
    </w:p>
    <w:p w14:paraId="5A76B745" w14:textId="77777777" w:rsidR="003050BE" w:rsidRPr="003050BE" w:rsidRDefault="003050BE">
      <w:pPr>
        <w:pStyle w:val="ListParagraph"/>
        <w:numPr>
          <w:ilvl w:val="1"/>
          <w:numId w:val="17"/>
        </w:numPr>
        <w:spacing w:after="60" w:line="360" w:lineRule="auto"/>
      </w:pPr>
      <w:r w:rsidRPr="003050BE">
        <w:t>Montecarlo for total EVAs over program</w:t>
      </w:r>
    </w:p>
    <w:p w14:paraId="3FEC5AF5" w14:textId="0F8A559F" w:rsidR="00AB4B18" w:rsidRDefault="0078547C">
      <w:pPr>
        <w:pStyle w:val="ListParagraph"/>
        <w:numPr>
          <w:ilvl w:val="0"/>
          <w:numId w:val="17"/>
        </w:numPr>
        <w:spacing w:after="60" w:line="360" w:lineRule="auto"/>
      </w:pPr>
      <w:r>
        <w:t>Screening these populations will most likely have downstream effects.</w:t>
      </w:r>
    </w:p>
    <w:p w14:paraId="33C82CBA" w14:textId="5CB3BE21" w:rsidR="0078547C" w:rsidRDefault="0078547C">
      <w:pPr>
        <w:pStyle w:val="ListParagraph"/>
        <w:numPr>
          <w:ilvl w:val="1"/>
          <w:numId w:val="17"/>
        </w:numPr>
        <w:spacing w:after="60" w:line="360" w:lineRule="auto"/>
      </w:pPr>
      <w:r>
        <w:t xml:space="preserve">Need to add to considerations what would be the concerns to the individuals and organization </w:t>
      </w:r>
      <w:r w:rsidR="002C2DD9">
        <w:t>if screening is undertaken</w:t>
      </w:r>
      <w:r w:rsidR="00AB4B18">
        <w:t>.</w:t>
      </w:r>
    </w:p>
    <w:p w14:paraId="672BF129" w14:textId="50D84B8C" w:rsidR="00AB4B18" w:rsidRDefault="0078547C">
      <w:pPr>
        <w:pStyle w:val="ListParagraph"/>
        <w:numPr>
          <w:ilvl w:val="0"/>
          <w:numId w:val="19"/>
        </w:numPr>
        <w:spacing w:after="60" w:line="360" w:lineRule="auto"/>
      </w:pPr>
      <w:r>
        <w:t xml:space="preserve">High altitude is intrinsically more stressful on VGE </w:t>
      </w:r>
      <w:r w:rsidR="003F4D23">
        <w:t>generation</w:t>
      </w:r>
      <w:r>
        <w:t xml:space="preserve"> than diving.</w:t>
      </w:r>
    </w:p>
    <w:p w14:paraId="109E5E04" w14:textId="2A1026F1" w:rsidR="00AB4B18" w:rsidRDefault="0078547C">
      <w:pPr>
        <w:pStyle w:val="ListParagraph"/>
        <w:numPr>
          <w:ilvl w:val="0"/>
          <w:numId w:val="18"/>
        </w:numPr>
        <w:spacing w:after="60" w:line="360" w:lineRule="auto"/>
      </w:pPr>
      <w:r>
        <w:lastRenderedPageBreak/>
        <w:t xml:space="preserve">It is very reasonable to </w:t>
      </w:r>
      <w:r w:rsidR="00635279">
        <w:t>evaluate</w:t>
      </w:r>
      <w:r>
        <w:t xml:space="preserve"> for a PFO if there is a 'serious undeserved hit'. But at this point it is considered a </w:t>
      </w:r>
      <w:r w:rsidR="003F4D23">
        <w:t xml:space="preserve">diagnostic </w:t>
      </w:r>
      <w:r>
        <w:t>test and not screening - screening is without a clinical indication.</w:t>
      </w:r>
    </w:p>
    <w:p w14:paraId="6513A38D" w14:textId="77777777" w:rsidR="00AB4B18" w:rsidRDefault="0078547C">
      <w:pPr>
        <w:pStyle w:val="ListParagraph"/>
        <w:numPr>
          <w:ilvl w:val="1"/>
          <w:numId w:val="18"/>
        </w:numPr>
        <w:spacing w:after="60" w:line="360" w:lineRule="auto"/>
      </w:pPr>
      <w:r>
        <w:t>The issue is that you have a 1 in 3 chance of being PFO positive if screened so now you need to decide how can you tell whether it's related to a neurological hit?</w:t>
      </w:r>
    </w:p>
    <w:p w14:paraId="79B4B50E" w14:textId="670B01C7" w:rsidR="00303EB2" w:rsidRDefault="0078547C">
      <w:pPr>
        <w:pStyle w:val="ListParagraph"/>
        <w:numPr>
          <w:ilvl w:val="0"/>
          <w:numId w:val="20"/>
        </w:numPr>
        <w:spacing w:after="60" w:line="360" w:lineRule="auto"/>
      </w:pPr>
      <w:r>
        <w:t xml:space="preserve">Left-sided bubbles </w:t>
      </w:r>
      <w:r w:rsidR="003F4D23">
        <w:t xml:space="preserve">(LVGE) </w:t>
      </w:r>
      <w:r>
        <w:t>are not always related to a PFO/shunt.</w:t>
      </w:r>
    </w:p>
    <w:p w14:paraId="0D4A6A3D" w14:textId="3B4E3CD6" w:rsidR="00C03BB9" w:rsidRDefault="0078547C">
      <w:pPr>
        <w:pStyle w:val="ListParagraph"/>
        <w:numPr>
          <w:ilvl w:val="1"/>
          <w:numId w:val="20"/>
        </w:numPr>
        <w:spacing w:after="60" w:line="360" w:lineRule="auto"/>
      </w:pPr>
      <w:r>
        <w:t>No data to sup</w:t>
      </w:r>
      <w:r w:rsidR="00303EB2">
        <w:t>port that left-sided bubbles automatically lead to an increased risk of DCS</w:t>
      </w:r>
      <w:r>
        <w:t xml:space="preserve">, so why do we bother testing and terminate protocol if left </w:t>
      </w:r>
      <w:r w:rsidR="00071CFD">
        <w:t xml:space="preserve">sided </w:t>
      </w:r>
      <w:r>
        <w:t xml:space="preserve">bubbles are found? </w:t>
      </w:r>
      <w:r w:rsidR="003F4D23">
        <w:t xml:space="preserve">Recommended to maintain LVGE as a </w:t>
      </w:r>
      <w:proofErr w:type="gramStart"/>
      <w:r w:rsidR="003F4D23">
        <w:t>test termination criteria</w:t>
      </w:r>
      <w:proofErr w:type="gramEnd"/>
      <w:r w:rsidR="003F4D23">
        <w:t xml:space="preserve"> for now due to lack of data either way</w:t>
      </w:r>
      <w:r>
        <w:t>.</w:t>
      </w:r>
    </w:p>
    <w:p w14:paraId="5830B69A" w14:textId="0D478F20" w:rsidR="0078547C" w:rsidRDefault="0078547C">
      <w:pPr>
        <w:pStyle w:val="ListParagraph"/>
        <w:numPr>
          <w:ilvl w:val="1"/>
          <w:numId w:val="20"/>
        </w:numPr>
        <w:spacing w:after="60" w:line="360" w:lineRule="auto"/>
      </w:pPr>
      <w:r>
        <w:t>Always concerned from my perspective if I see left-sided bubbles but if there are no symptoms then not sure if it matters (Alleman).</w:t>
      </w:r>
    </w:p>
    <w:p w14:paraId="59368D95" w14:textId="7141E4F4" w:rsidR="00F8344B" w:rsidRDefault="00D6247A">
      <w:pPr>
        <w:pStyle w:val="ListParagraph"/>
        <w:numPr>
          <w:ilvl w:val="0"/>
          <w:numId w:val="6"/>
        </w:numPr>
        <w:spacing w:after="60" w:line="360" w:lineRule="auto"/>
      </w:pPr>
      <w:r>
        <w:t xml:space="preserve">Other factors have more impact </w:t>
      </w:r>
      <w:r w:rsidR="00F8344B">
        <w:t>on DCS risk tha</w:t>
      </w:r>
      <w:r w:rsidR="00EC3B46">
        <w:t>n</w:t>
      </w:r>
      <w:r w:rsidR="00F8344B">
        <w:t xml:space="preserve"> PFOs</w:t>
      </w:r>
      <w:r>
        <w:t xml:space="preserve"> – men’s age, women’s time of menstrual cycle</w:t>
      </w:r>
      <w:r w:rsidR="00F8344B">
        <w:t>,</w:t>
      </w:r>
      <w:r>
        <w:t xml:space="preserve"> and body fat</w:t>
      </w:r>
      <w:r w:rsidR="003F4D23">
        <w:t>, for example,</w:t>
      </w:r>
      <w:r>
        <w:t xml:space="preserve"> </w:t>
      </w:r>
      <w:r w:rsidR="00635279">
        <w:t>may increase</w:t>
      </w:r>
      <w:r>
        <w:t xml:space="preserve"> risk</w:t>
      </w:r>
      <w:r w:rsidR="00F8344B">
        <w:t>.</w:t>
      </w:r>
    </w:p>
    <w:p w14:paraId="0C47A7D7" w14:textId="5E7C64AE" w:rsidR="00020EF5" w:rsidRDefault="0078547C" w:rsidP="00354A0F">
      <w:pPr>
        <w:pStyle w:val="ListParagraph"/>
        <w:numPr>
          <w:ilvl w:val="0"/>
          <w:numId w:val="6"/>
        </w:numPr>
        <w:spacing w:after="60" w:line="360" w:lineRule="auto"/>
      </w:pPr>
      <w:r>
        <w:t>Lower saturation in altitude</w:t>
      </w:r>
      <w:r w:rsidR="003F4D23">
        <w:t xml:space="preserve">: </w:t>
      </w:r>
      <w:r w:rsidR="00F8344B">
        <w:t>a</w:t>
      </w:r>
      <w:r>
        <w:t>ltitude decompression intrinsically has higher VGE than diving because metabolic gases make a greater contribution to bubbles than in diving</w:t>
      </w:r>
      <w:r w:rsidR="00387141">
        <w:t xml:space="preserve"> (</w:t>
      </w:r>
      <w:r w:rsidR="0011116C" w:rsidRPr="0011116C">
        <w:t xml:space="preserve">Gernhardt, 2022. </w:t>
      </w:r>
      <w:r w:rsidR="0011116C" w:rsidRPr="0011116C">
        <w:rPr>
          <w:i/>
          <w:iCs/>
        </w:rPr>
        <w:t>Bubble dynamics from sea to space</w:t>
      </w:r>
      <w:r w:rsidR="0011116C" w:rsidRPr="0011116C">
        <w:t xml:space="preserve"> [Plenary presentation].</w:t>
      </w:r>
      <w:r w:rsidR="0011116C">
        <w:t xml:space="preserve"> Presented at the</w:t>
      </w:r>
      <w:r w:rsidR="0011116C" w:rsidRPr="0011116C">
        <w:t xml:space="preserve"> Aerospace Medical Association (</w:t>
      </w:r>
      <w:proofErr w:type="spellStart"/>
      <w:r w:rsidR="0011116C" w:rsidRPr="0011116C">
        <w:t>AsMA</w:t>
      </w:r>
      <w:proofErr w:type="spellEnd"/>
      <w:r w:rsidR="0011116C" w:rsidRPr="0011116C">
        <w:t>)/Undersea &amp; Hyperbaric Medical Society (UHMS) 2022 Annual Scientific Meeting</w:t>
      </w:r>
      <w:r w:rsidR="00BD6CB2">
        <w:t>)</w:t>
      </w:r>
      <w:r>
        <w:t xml:space="preserve">. </w:t>
      </w:r>
      <w:r w:rsidR="00F8344B">
        <w:t>However,</w:t>
      </w:r>
      <w:r>
        <w:t xml:space="preserve"> in altitude decompression</w:t>
      </w:r>
      <w:r w:rsidR="00F8344B">
        <w:t>,</w:t>
      </w:r>
      <w:r>
        <w:t xml:space="preserve"> </w:t>
      </w:r>
      <w:r w:rsidR="00F8344B">
        <w:t>arterialized</w:t>
      </w:r>
      <w:r>
        <w:t xml:space="preserve"> bubbles enter an undersaturated </w:t>
      </w:r>
      <w:r w:rsidR="003F4D23">
        <w:t xml:space="preserve">(denitrogenated) </w:t>
      </w:r>
      <w:r>
        <w:t>environment compared to diving where they enter a supersaturated environment</w:t>
      </w:r>
      <w:r w:rsidR="003F4D23">
        <w:t xml:space="preserve"> – i.e., the bubbles would </w:t>
      </w:r>
      <w:proofErr w:type="gramStart"/>
      <w:r w:rsidR="003F4D23">
        <w:t>have a tendency to</w:t>
      </w:r>
      <w:proofErr w:type="gramEnd"/>
      <w:r w:rsidR="003F4D23">
        <w:t xml:space="preserve"> diffuse nitrogen out (shrink) in altitude exposures, whereas in diving exposures nitrogen would diffuse into the bubbles (stabilize/grow the bubbles)</w:t>
      </w:r>
      <w:r>
        <w:t xml:space="preserve">. </w:t>
      </w:r>
      <w:r w:rsidR="003F4D23">
        <w:t xml:space="preserve">Specifically, this suggests that brain tissue would be nitrogen depleted (under saturated) in high altitude exposures </w:t>
      </w:r>
      <w:r w:rsidR="00B33CC7" w:rsidRPr="00B33CC7">
        <w:t>vs. diver</w:t>
      </w:r>
      <w:r w:rsidR="003F4D23">
        <w:t>s; in whom the brain</w:t>
      </w:r>
      <w:r w:rsidR="00B33CC7" w:rsidRPr="00B33CC7">
        <w:t>/spinal cor</w:t>
      </w:r>
      <w:r w:rsidR="00B33CC7">
        <w:t>d</w:t>
      </w:r>
      <w:r w:rsidR="00B33CC7" w:rsidRPr="00B33CC7">
        <w:t xml:space="preserve"> </w:t>
      </w:r>
      <w:r w:rsidR="003F4D23">
        <w:t xml:space="preserve">is </w:t>
      </w:r>
      <w:r w:rsidR="00B33CC7" w:rsidRPr="00B33CC7">
        <w:t xml:space="preserve">saturated </w:t>
      </w:r>
      <w:r w:rsidR="003F4D23">
        <w:t>with nitrogen, favoring bubble growth</w:t>
      </w:r>
      <w:r w:rsidR="00B33CC7">
        <w:t>.</w:t>
      </w:r>
    </w:p>
    <w:p w14:paraId="6369CD13" w14:textId="487DB3B9" w:rsidR="00663287" w:rsidRDefault="00C33AE8" w:rsidP="00D4386B">
      <w:pPr>
        <w:pStyle w:val="Heading2"/>
      </w:pPr>
      <w:bookmarkStart w:id="27" w:name="_Toc170739840"/>
      <w:r>
        <w:lastRenderedPageBreak/>
        <w:t>Meeting Minutes</w:t>
      </w:r>
      <w:bookmarkEnd w:id="27"/>
    </w:p>
    <w:p w14:paraId="430F14B0" w14:textId="51FE34A9" w:rsidR="00C33AE8" w:rsidRDefault="00C33AE8" w:rsidP="00BD6CB2">
      <w:pPr>
        <w:spacing w:line="360" w:lineRule="auto"/>
      </w:pPr>
      <w:r>
        <w:t xml:space="preserve">The following </w:t>
      </w:r>
      <w:r w:rsidR="00A00886">
        <w:t>meeting minutes were recorded during the working group discussions in a collaborative effort with all attendees</w:t>
      </w:r>
      <w:r w:rsidR="008F4A13">
        <w:t xml:space="preserve"> and a collective consensus </w:t>
      </w:r>
      <w:r w:rsidR="009502E6">
        <w:t xml:space="preserve">was reached </w:t>
      </w:r>
      <w:r w:rsidR="008F4A13">
        <w:t>on the content recorded in the following charts.</w:t>
      </w:r>
    </w:p>
    <w:p w14:paraId="6090CC38" w14:textId="2FA23501" w:rsidR="00663287" w:rsidRDefault="001D20EF">
      <w:r>
        <w:rPr>
          <w:noProof/>
        </w:rPr>
        <w:drawing>
          <wp:inline distT="0" distB="0" distL="0" distR="0" wp14:anchorId="36821F91" wp14:editId="7E03D64C">
            <wp:extent cx="5943600" cy="334327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1B03CA2B" wp14:editId="7EFABA11">
            <wp:extent cx="5943600" cy="3343275"/>
            <wp:effectExtent l="0" t="0" r="0" b="952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188664D3" wp14:editId="1F67EFF2">
            <wp:extent cx="5943600" cy="3343275"/>
            <wp:effectExtent l="0" t="0" r="0" b="952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050D2E2F" wp14:editId="52D64331">
            <wp:extent cx="5943600" cy="3343275"/>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0CA31BC3" wp14:editId="27394FD7">
            <wp:extent cx="5943600" cy="3343275"/>
            <wp:effectExtent l="0" t="0" r="0" b="95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589E4747" wp14:editId="3271CE40">
            <wp:extent cx="5943600" cy="3343275"/>
            <wp:effectExtent l="0" t="0" r="0" b="9525"/>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20EDE716" wp14:editId="1890B8FD">
            <wp:extent cx="5943600" cy="3343275"/>
            <wp:effectExtent l="0" t="0" r="0" b="952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68378523" wp14:editId="6AC3776F">
            <wp:extent cx="5943600" cy="3343275"/>
            <wp:effectExtent l="0" t="0" r="0"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7CD8367C" wp14:editId="448CA081">
            <wp:extent cx="5943600" cy="3343275"/>
            <wp:effectExtent l="0" t="0" r="0" b="952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663287">
        <w:br w:type="page"/>
      </w:r>
    </w:p>
    <w:p w14:paraId="64239AE8" w14:textId="40A636BA" w:rsidR="0078547C" w:rsidRDefault="00663287" w:rsidP="00663287">
      <w:pPr>
        <w:pStyle w:val="Heading2"/>
      </w:pPr>
      <w:bookmarkStart w:id="28" w:name="_Toc170739841"/>
      <w:r>
        <w:lastRenderedPageBreak/>
        <w:t>Bibliography</w:t>
      </w:r>
      <w:bookmarkEnd w:id="28"/>
    </w:p>
    <w:p w14:paraId="00DB5019" w14:textId="63678271" w:rsidR="0014304B" w:rsidRDefault="005C37AA" w:rsidP="00D75469">
      <w:pPr>
        <w:spacing w:after="120" w:line="240" w:lineRule="auto"/>
      </w:pPr>
      <w:proofErr w:type="spellStart"/>
      <w:r>
        <w:t>Akhondi</w:t>
      </w:r>
      <w:proofErr w:type="spellEnd"/>
      <w:r>
        <w:t xml:space="preserve"> A, </w:t>
      </w:r>
      <w:proofErr w:type="spellStart"/>
      <w:r>
        <w:t>Gevorgyan</w:t>
      </w:r>
      <w:proofErr w:type="spellEnd"/>
      <w:r>
        <w:t xml:space="preserve"> R, Tseng CH, </w:t>
      </w:r>
      <w:proofErr w:type="spellStart"/>
      <w:r>
        <w:t>Slavin</w:t>
      </w:r>
      <w:proofErr w:type="spellEnd"/>
      <w:r>
        <w:t xml:space="preserve"> L, </w:t>
      </w:r>
      <w:r w:rsidR="0099798A">
        <w:t xml:space="preserve">Dao C, </w:t>
      </w:r>
      <w:proofErr w:type="spellStart"/>
      <w:r w:rsidR="0099798A">
        <w:t>Liebeskind</w:t>
      </w:r>
      <w:proofErr w:type="spellEnd"/>
      <w:r w:rsidR="0099798A">
        <w:t xml:space="preserve"> DS, </w:t>
      </w:r>
      <w:r w:rsidR="00917D57">
        <w:t xml:space="preserve">&amp; </w:t>
      </w:r>
      <w:proofErr w:type="spellStart"/>
      <w:r w:rsidR="00917D57">
        <w:t>Tobis</w:t>
      </w:r>
      <w:proofErr w:type="spellEnd"/>
      <w:r w:rsidR="00917D57">
        <w:t xml:space="preserve"> JM. (2010). </w:t>
      </w:r>
      <w:r w:rsidR="00D75469" w:rsidRPr="00D75469">
        <w:t xml:space="preserve">The association of patent foramen </w:t>
      </w:r>
      <w:proofErr w:type="spellStart"/>
      <w:r w:rsidR="00D75469" w:rsidRPr="00D75469">
        <w:t>ovale</w:t>
      </w:r>
      <w:proofErr w:type="spellEnd"/>
      <w:r w:rsidR="00D75469" w:rsidRPr="00D75469">
        <w:t xml:space="preserve"> morphology and stroke size in patients with paradoxical embolism</w:t>
      </w:r>
      <w:r w:rsidR="00D75469">
        <w:t xml:space="preserve">. </w:t>
      </w:r>
      <w:r w:rsidR="00D75469" w:rsidRPr="00D75469">
        <w:rPr>
          <w:i/>
          <w:iCs/>
        </w:rPr>
        <w:t xml:space="preserve">Circ </w:t>
      </w:r>
      <w:proofErr w:type="spellStart"/>
      <w:r w:rsidR="00D75469" w:rsidRPr="00D75469">
        <w:rPr>
          <w:i/>
          <w:iCs/>
        </w:rPr>
        <w:t>Cardiovas</w:t>
      </w:r>
      <w:proofErr w:type="spellEnd"/>
      <w:r w:rsidR="00D75469" w:rsidRPr="00D75469">
        <w:rPr>
          <w:i/>
          <w:iCs/>
        </w:rPr>
        <w:t xml:space="preserve"> </w:t>
      </w:r>
      <w:proofErr w:type="spellStart"/>
      <w:r w:rsidR="00D75469" w:rsidRPr="00D75469">
        <w:rPr>
          <w:i/>
          <w:iCs/>
        </w:rPr>
        <w:t>Interv</w:t>
      </w:r>
      <w:proofErr w:type="spellEnd"/>
      <w:r w:rsidR="00D75469" w:rsidRPr="00D75469">
        <w:rPr>
          <w:i/>
          <w:iCs/>
        </w:rPr>
        <w:t>, 4</w:t>
      </w:r>
      <w:r w:rsidR="00D75469">
        <w:t>(5): 506-510.</w:t>
      </w:r>
    </w:p>
    <w:p w14:paraId="10C55317" w14:textId="3663F168" w:rsidR="00037512" w:rsidRDefault="00037512" w:rsidP="00D75469">
      <w:pPr>
        <w:spacing w:after="120" w:line="240" w:lineRule="auto"/>
      </w:pPr>
      <w:r w:rsidRPr="00037512">
        <w:t xml:space="preserve">Anderson G, Ebersole D, Covington D, &amp; </w:t>
      </w:r>
      <w:proofErr w:type="spellStart"/>
      <w:r w:rsidRPr="00037512">
        <w:t>Denoble</w:t>
      </w:r>
      <w:proofErr w:type="spellEnd"/>
      <w:r w:rsidRPr="00037512">
        <w:t xml:space="preserve"> PJ. (2019). The effectiveness of risk mitigation interventions in divers with persistent (patent) foramen </w:t>
      </w:r>
      <w:proofErr w:type="spellStart"/>
      <w:r w:rsidRPr="00037512">
        <w:t>ovale</w:t>
      </w:r>
      <w:proofErr w:type="spellEnd"/>
      <w:r w:rsidRPr="00037512">
        <w:t xml:space="preserve">. </w:t>
      </w:r>
      <w:r w:rsidRPr="00037512">
        <w:rPr>
          <w:i/>
          <w:iCs/>
        </w:rPr>
        <w:t xml:space="preserve">Diving </w:t>
      </w:r>
      <w:proofErr w:type="spellStart"/>
      <w:r w:rsidRPr="00037512">
        <w:rPr>
          <w:i/>
          <w:iCs/>
        </w:rPr>
        <w:t>Hyperb</w:t>
      </w:r>
      <w:proofErr w:type="spellEnd"/>
      <w:r w:rsidRPr="00037512">
        <w:rPr>
          <w:i/>
          <w:iCs/>
        </w:rPr>
        <w:t xml:space="preserve"> Med, 49</w:t>
      </w:r>
      <w:r w:rsidRPr="00037512">
        <w:t>(2): 80-87</w:t>
      </w:r>
    </w:p>
    <w:p w14:paraId="47724ADF" w14:textId="7871A4DB" w:rsidR="005E68C2" w:rsidRDefault="005E68C2" w:rsidP="005E68C2">
      <w:pPr>
        <w:spacing w:after="0" w:line="240" w:lineRule="auto"/>
      </w:pPr>
      <w:r>
        <w:t xml:space="preserve">Barker M, </w:t>
      </w:r>
      <w:proofErr w:type="spellStart"/>
      <w:r>
        <w:t>Muthuppalaniappan</w:t>
      </w:r>
      <w:proofErr w:type="spellEnd"/>
      <w:r>
        <w:t xml:space="preserve"> A, </w:t>
      </w:r>
      <w:proofErr w:type="spellStart"/>
      <w:r>
        <w:t>Abrahamyan</w:t>
      </w:r>
      <w:proofErr w:type="spellEnd"/>
      <w:r>
        <w:t xml:space="preserve"> L, </w:t>
      </w:r>
      <w:proofErr w:type="spellStart"/>
      <w:r>
        <w:t>Osten</w:t>
      </w:r>
      <w:proofErr w:type="spellEnd"/>
      <w:r>
        <w:t xml:space="preserve"> M, Benson L, Bach Y, et al. (2020).</w:t>
      </w:r>
    </w:p>
    <w:p w14:paraId="3C17B605" w14:textId="7871A4DB" w:rsidR="005E68C2" w:rsidRDefault="005E68C2" w:rsidP="005E68C2">
      <w:pPr>
        <w:spacing w:after="120" w:line="240" w:lineRule="auto"/>
      </w:pPr>
      <w:r>
        <w:t xml:space="preserve">Periprocedural Outcomes of Fluoroscopy-Guided Patent Foramen </w:t>
      </w:r>
      <w:proofErr w:type="spellStart"/>
      <w:r>
        <w:t>Ovale</w:t>
      </w:r>
      <w:proofErr w:type="spellEnd"/>
      <w:r>
        <w:t xml:space="preserve"> Closure with Selective Use of Intracardiac Echocardiography. </w:t>
      </w:r>
      <w:r w:rsidRPr="005E68C2">
        <w:rPr>
          <w:i/>
          <w:iCs/>
        </w:rPr>
        <w:t xml:space="preserve">Can J </w:t>
      </w:r>
      <w:proofErr w:type="spellStart"/>
      <w:r w:rsidRPr="005E68C2">
        <w:rPr>
          <w:i/>
          <w:iCs/>
        </w:rPr>
        <w:t>Cardiol</w:t>
      </w:r>
      <w:proofErr w:type="spellEnd"/>
      <w:r w:rsidRPr="005E68C2">
        <w:rPr>
          <w:i/>
          <w:iCs/>
        </w:rPr>
        <w:t>, 36</w:t>
      </w:r>
      <w:r>
        <w:t>:1608-1615.</w:t>
      </w:r>
    </w:p>
    <w:p w14:paraId="236E4CC9" w14:textId="6C735CCD" w:rsidR="007275EC" w:rsidRDefault="007275EC" w:rsidP="005E68C2">
      <w:pPr>
        <w:spacing w:after="120" w:line="240" w:lineRule="auto"/>
      </w:pPr>
      <w:r>
        <w:t xml:space="preserve">Bosi D, Lu Y, He S, Li B, </w:t>
      </w:r>
      <w:r w:rsidR="00F83B26">
        <w:t xml:space="preserve">Li Y, </w:t>
      </w:r>
      <w:r w:rsidR="00FE1FEA">
        <w:t xml:space="preserve">Lai Q, et al. (2023). </w:t>
      </w:r>
      <w:r w:rsidR="00CE6509" w:rsidRPr="00CE6509">
        <w:t xml:space="preserve">Multisite and </w:t>
      </w:r>
      <w:proofErr w:type="spellStart"/>
      <w:r w:rsidR="00CE6509" w:rsidRPr="00CE6509">
        <w:t>multitimepoint</w:t>
      </w:r>
      <w:proofErr w:type="spellEnd"/>
      <w:r w:rsidR="00CE6509" w:rsidRPr="00CE6509">
        <w:t xml:space="preserve"> proteomics reveal that patent foramen </w:t>
      </w:r>
      <w:proofErr w:type="spellStart"/>
      <w:r w:rsidR="00CE6509" w:rsidRPr="00CE6509">
        <w:t>ovale</w:t>
      </w:r>
      <w:proofErr w:type="spellEnd"/>
      <w:r w:rsidR="00CE6509" w:rsidRPr="00CE6509">
        <w:t xml:space="preserve"> closure improves migraine and epilepsy by reducing right-to-left shunt-induced hypoxia</w:t>
      </w:r>
      <w:r w:rsidR="00CE6509">
        <w:t xml:space="preserve">. </w:t>
      </w:r>
      <w:proofErr w:type="spellStart"/>
      <w:r w:rsidR="00CF25DA" w:rsidRPr="00A70D7D">
        <w:rPr>
          <w:i/>
          <w:iCs/>
        </w:rPr>
        <w:t>MedComm</w:t>
      </w:r>
      <w:proofErr w:type="spellEnd"/>
      <w:r w:rsidR="00CF25DA" w:rsidRPr="00A70D7D">
        <w:rPr>
          <w:i/>
          <w:iCs/>
        </w:rPr>
        <w:t xml:space="preserve">, </w:t>
      </w:r>
      <w:r w:rsidR="00A70D7D" w:rsidRPr="00A70D7D">
        <w:rPr>
          <w:i/>
          <w:iCs/>
        </w:rPr>
        <w:t>4</w:t>
      </w:r>
      <w:r w:rsidR="00A70D7D">
        <w:t>(4): e334.</w:t>
      </w:r>
    </w:p>
    <w:p w14:paraId="554A1AAE" w14:textId="4B70EBE5" w:rsidR="00867FA5" w:rsidRDefault="00867FA5" w:rsidP="005E68C2">
      <w:pPr>
        <w:spacing w:after="120" w:line="240" w:lineRule="auto"/>
      </w:pPr>
      <w:r>
        <w:t>Bove AA. (</w:t>
      </w:r>
      <w:r w:rsidR="00A94D65">
        <w:t xml:space="preserve">1998). Risk of decompression sickness with patent foramen </w:t>
      </w:r>
      <w:proofErr w:type="spellStart"/>
      <w:r w:rsidR="00A94D65">
        <w:t>ovale</w:t>
      </w:r>
      <w:proofErr w:type="spellEnd"/>
      <w:r w:rsidR="00A94D65">
        <w:t>.</w:t>
      </w:r>
      <w:r w:rsidR="005A0D06">
        <w:t xml:space="preserve"> </w:t>
      </w:r>
      <w:r w:rsidR="008C5735" w:rsidRPr="008C5735">
        <w:rPr>
          <w:i/>
          <w:iCs/>
        </w:rPr>
        <w:t>Undersea and Hyperbaric Medical Society</w:t>
      </w:r>
      <w:r w:rsidR="008C5735">
        <w:t>, 175-178.</w:t>
      </w:r>
    </w:p>
    <w:p w14:paraId="07661105" w14:textId="1A6C1FBE" w:rsidR="00382294" w:rsidRDefault="00382294" w:rsidP="005E68C2">
      <w:pPr>
        <w:spacing w:after="120" w:line="240" w:lineRule="auto"/>
      </w:pPr>
      <w:r>
        <w:t xml:space="preserve">Bove AA. (2014). The PFO Gets Blamed Again…Perhaps This Time it Is Real. </w:t>
      </w:r>
      <w:r w:rsidR="00D77DF6" w:rsidRPr="009C7526">
        <w:rPr>
          <w:i/>
          <w:iCs/>
        </w:rPr>
        <w:t>JACC Cardiovascular Interventions, 7</w:t>
      </w:r>
      <w:r w:rsidR="00D77DF6">
        <w:t xml:space="preserve">(4): </w:t>
      </w:r>
      <w:r w:rsidR="009C7526">
        <w:t>409-410.</w:t>
      </w:r>
    </w:p>
    <w:p w14:paraId="779D7993" w14:textId="18E28C77" w:rsidR="00C846E7" w:rsidRDefault="00C846E7" w:rsidP="005E68C2">
      <w:pPr>
        <w:spacing w:after="120" w:line="240" w:lineRule="auto"/>
      </w:pPr>
      <w:r>
        <w:t xml:space="preserve">Brett, KD, Vallee, I, Saary, J. Case </w:t>
      </w:r>
      <w:r w:rsidRPr="00C46EED">
        <w:t xml:space="preserve">Report: PFO Closure in an Occupational Diver after Type </w:t>
      </w:r>
      <w:r>
        <w:t xml:space="preserve">II </w:t>
      </w:r>
      <w:r w:rsidRPr="00C46EED">
        <w:t>DCS</w:t>
      </w:r>
      <w:r>
        <w:t xml:space="preserve">. Presented at </w:t>
      </w:r>
      <w:r w:rsidRPr="00C46EED">
        <w:t>2023 UHMS Annual Scientific Meeting. June 16-18, 2023</w:t>
      </w:r>
    </w:p>
    <w:p w14:paraId="03DF2269" w14:textId="7AEA053F" w:rsidR="00DA2AB1" w:rsidRDefault="00DA2AB1" w:rsidP="005E68C2">
      <w:pPr>
        <w:spacing w:after="120" w:line="240" w:lineRule="auto"/>
      </w:pPr>
      <w:r>
        <w:t>Church Committee Report</w:t>
      </w:r>
      <w:r w:rsidR="006450A8">
        <w:t xml:space="preserve">. (December 2000). </w:t>
      </w:r>
      <w:r w:rsidR="003D2A9F" w:rsidRPr="003D2A9F">
        <w:t xml:space="preserve">The NASA Medical Policy Board Advisory Committee Executive Summary: </w:t>
      </w:r>
      <w:r w:rsidR="003D2A9F" w:rsidRPr="003D2A9F">
        <w:rPr>
          <w:i/>
          <w:iCs/>
        </w:rPr>
        <w:t>Review of the NASA Decompression Sickness Risk Mitigation Program</w:t>
      </w:r>
      <w:r w:rsidR="003D2A9F" w:rsidRPr="003D2A9F">
        <w:t xml:space="preserve">; Tommie G. Church, David Johanson, David </w:t>
      </w:r>
      <w:proofErr w:type="spellStart"/>
      <w:r w:rsidR="003D2A9F" w:rsidRPr="003D2A9F">
        <w:t>Cruess</w:t>
      </w:r>
      <w:proofErr w:type="spellEnd"/>
      <w:r w:rsidR="003D2A9F" w:rsidRPr="003D2A9F">
        <w:t>, Russell Raymon, James Hickman, Jr. Alfred Bove</w:t>
      </w:r>
      <w:r w:rsidR="003D2A9F">
        <w:t>.</w:t>
      </w:r>
    </w:p>
    <w:p w14:paraId="0A932BF7" w14:textId="263E4375" w:rsidR="00E91D6E" w:rsidRDefault="00E91D6E" w:rsidP="005E68C2">
      <w:pPr>
        <w:spacing w:after="120" w:line="240" w:lineRule="auto"/>
      </w:pPr>
      <w:r>
        <w:t xml:space="preserve">Conkin J. </w:t>
      </w:r>
      <w:r w:rsidR="00E850E4">
        <w:t xml:space="preserve">(2011). Decompression Sickness After Air </w:t>
      </w:r>
      <w:proofErr w:type="gramStart"/>
      <w:r w:rsidR="00E850E4">
        <w:t>Break</w:t>
      </w:r>
      <w:proofErr w:type="gramEnd"/>
      <w:r w:rsidR="00E850E4">
        <w:t xml:space="preserve"> in </w:t>
      </w:r>
      <w:proofErr w:type="spellStart"/>
      <w:r w:rsidR="00E850E4">
        <w:t>Prebreathe</w:t>
      </w:r>
      <w:proofErr w:type="spellEnd"/>
      <w:r w:rsidR="00E850E4">
        <w:t xml:space="preserve"> Described with a Survival Model. </w:t>
      </w:r>
      <w:proofErr w:type="spellStart"/>
      <w:r w:rsidR="005126A8" w:rsidRPr="002D6DA0">
        <w:rPr>
          <w:i/>
          <w:iCs/>
        </w:rPr>
        <w:t>Aviat</w:t>
      </w:r>
      <w:proofErr w:type="spellEnd"/>
      <w:r w:rsidR="005126A8" w:rsidRPr="002D6DA0">
        <w:rPr>
          <w:i/>
          <w:iCs/>
        </w:rPr>
        <w:t xml:space="preserve"> Space Environ Med, 82</w:t>
      </w:r>
      <w:r w:rsidR="005126A8">
        <w:t xml:space="preserve">: </w:t>
      </w:r>
      <w:r w:rsidR="002D6DA0">
        <w:t>589-598.</w:t>
      </w:r>
    </w:p>
    <w:p w14:paraId="17ADF313" w14:textId="56D1A960" w:rsidR="00B24D7F" w:rsidRDefault="00B24D7F" w:rsidP="005E68C2">
      <w:pPr>
        <w:spacing w:after="120" w:line="240" w:lineRule="auto"/>
      </w:pPr>
      <w:r>
        <w:t xml:space="preserve">Decompression Sickness (DCS) </w:t>
      </w:r>
      <w:proofErr w:type="spellStart"/>
      <w:r>
        <w:t>Prebreathe</w:t>
      </w:r>
      <w:proofErr w:type="spellEnd"/>
      <w:r>
        <w:t xml:space="preserve"> Reference Library. </w:t>
      </w:r>
      <w:r w:rsidRPr="00B24D7F">
        <w:rPr>
          <w:i/>
          <w:iCs/>
        </w:rPr>
        <w:t>NASA Office of the Chief Health and Medical Officer</w:t>
      </w:r>
      <w:r>
        <w:t xml:space="preserve">. </w:t>
      </w:r>
      <w:hyperlink r:id="rId31" w:history="1">
        <w:r w:rsidRPr="00F35258">
          <w:rPr>
            <w:rStyle w:val="Hyperlink"/>
            <w:rFonts w:asciiTheme="minorHAnsi" w:hAnsiTheme="minorHAnsi"/>
          </w:rPr>
          <w:t>https://www.nasa.gov/organizations/ochmo/decompression-sickness-dcs-prebreathe-reference-library/</w:t>
        </w:r>
      </w:hyperlink>
      <w:r>
        <w:t xml:space="preserve"> </w:t>
      </w:r>
    </w:p>
    <w:p w14:paraId="445BBB6B" w14:textId="3FAD50EA" w:rsidR="00037512" w:rsidRDefault="00037512" w:rsidP="005E68C2">
      <w:pPr>
        <w:spacing w:after="120" w:line="240" w:lineRule="auto"/>
      </w:pPr>
      <w:proofErr w:type="spellStart"/>
      <w:r w:rsidRPr="00037512">
        <w:t>Denoble</w:t>
      </w:r>
      <w:proofErr w:type="spellEnd"/>
      <w:r w:rsidRPr="00037512">
        <w:t xml:space="preserve"> PJ, Holm JR, eds. Patent Foramen </w:t>
      </w:r>
      <w:proofErr w:type="spellStart"/>
      <w:r w:rsidRPr="00037512">
        <w:t>Ovale</w:t>
      </w:r>
      <w:proofErr w:type="spellEnd"/>
      <w:r w:rsidRPr="00037512">
        <w:t xml:space="preserve"> and Fitness to Dive Consensus Workshop Proceedings. Durham, NC, </w:t>
      </w:r>
      <w:r w:rsidRPr="00037512">
        <w:rPr>
          <w:i/>
          <w:iCs/>
        </w:rPr>
        <w:t>Divers Alert Network</w:t>
      </w:r>
      <w:r w:rsidRPr="00037512">
        <w:t>, 2015, 146 pp</w:t>
      </w:r>
      <w:r>
        <w:t>.</w:t>
      </w:r>
      <w:r w:rsidR="001C377F" w:rsidRPr="001C377F">
        <w:t xml:space="preserve"> ISBN 978-1-941027-32-5</w:t>
      </w:r>
      <w:r w:rsidR="001C377F">
        <w:t>.</w:t>
      </w:r>
    </w:p>
    <w:p w14:paraId="3E4DC882" w14:textId="02C758CC" w:rsidR="00037512" w:rsidRDefault="00037512" w:rsidP="005E68C2">
      <w:pPr>
        <w:spacing w:after="120" w:line="240" w:lineRule="auto"/>
      </w:pPr>
      <w:r>
        <w:t xml:space="preserve">Fordyce AM, Whalley GA, Coffey S, &amp; Wilson LC. (2022). </w:t>
      </w:r>
      <w:r w:rsidRPr="00037512">
        <w:t xml:space="preserve">Adjunct Methods for the Detection of Patent Foramen </w:t>
      </w:r>
      <w:proofErr w:type="spellStart"/>
      <w:r w:rsidRPr="00037512">
        <w:t>Ovale</w:t>
      </w:r>
      <w:proofErr w:type="spellEnd"/>
      <w:r w:rsidRPr="00037512">
        <w:t xml:space="preserve">: The Contribution of Transcranial Doppler and the Valsalva </w:t>
      </w:r>
      <w:proofErr w:type="spellStart"/>
      <w:r w:rsidRPr="00037512">
        <w:t>Manoeuvre</w:t>
      </w:r>
      <w:proofErr w:type="spellEnd"/>
      <w:r>
        <w:t xml:space="preserve">. </w:t>
      </w:r>
      <w:r w:rsidRPr="00037512">
        <w:rPr>
          <w:i/>
          <w:iCs/>
        </w:rPr>
        <w:t xml:space="preserve">Heart, </w:t>
      </w:r>
      <w:proofErr w:type="gramStart"/>
      <w:r w:rsidRPr="00037512">
        <w:rPr>
          <w:i/>
          <w:iCs/>
        </w:rPr>
        <w:t>Lung</w:t>
      </w:r>
      <w:proofErr w:type="gramEnd"/>
      <w:r w:rsidRPr="00037512">
        <w:rPr>
          <w:i/>
          <w:iCs/>
        </w:rPr>
        <w:t xml:space="preserve"> and Circulation. 31</w:t>
      </w:r>
      <w:r>
        <w:t>(11): 1471-1481.</w:t>
      </w:r>
    </w:p>
    <w:p w14:paraId="7120E6D3" w14:textId="77777777" w:rsidR="0015519B" w:rsidRDefault="0015519B" w:rsidP="0015519B">
      <w:pPr>
        <w:spacing w:after="120" w:line="240" w:lineRule="auto"/>
      </w:pPr>
      <w:r>
        <w:t>Gernhardt, M. (2016). Altitude decompression: Past, present, and future. Naval Sea Systems Command (NAVSEA) 2016 Annual Review, Arlington, VA, United States.</w:t>
      </w:r>
    </w:p>
    <w:p w14:paraId="16441EFF" w14:textId="77777777" w:rsidR="0015519B" w:rsidRDefault="0015519B" w:rsidP="0015519B">
      <w:pPr>
        <w:spacing w:after="120" w:line="240" w:lineRule="auto"/>
      </w:pPr>
      <w:r>
        <w:t>Gernhardt, M. (2022). Bubble dynamics from sea to space. [Plenary presentation]. Aerospace Medical Association (</w:t>
      </w:r>
      <w:proofErr w:type="spellStart"/>
      <w:r>
        <w:t>AsMA</w:t>
      </w:r>
      <w:proofErr w:type="spellEnd"/>
      <w:r>
        <w:t>)/Undersea &amp; Hyperbaric Medical Society (UHMS) 2022 Annual Scientific Meeting, Reno, NV, United States.</w:t>
      </w:r>
    </w:p>
    <w:p w14:paraId="347A3CC6" w14:textId="4E65D74E" w:rsidR="0015519B" w:rsidRDefault="0015519B" w:rsidP="0015519B">
      <w:pPr>
        <w:spacing w:after="120" w:line="240" w:lineRule="auto"/>
      </w:pPr>
      <w:r>
        <w:lastRenderedPageBreak/>
        <w:t>Gernhardt, M. (2022). Decompression from sea to space: Subsea and space decompression were driven by operational needs. [Panel: Overcoming barriers on the pressure spectrum from the past to the future]. Aerospace Medical Association (</w:t>
      </w:r>
      <w:proofErr w:type="spellStart"/>
      <w:r>
        <w:t>AsMA</w:t>
      </w:r>
      <w:proofErr w:type="spellEnd"/>
      <w:r>
        <w:t>)/Undersea &amp; Hyperbaric Medical Society (UHMS) 2022 Annual Scientific Meeting, Reno, NV, United States.</w:t>
      </w:r>
    </w:p>
    <w:p w14:paraId="34A62AA1" w14:textId="6408464D" w:rsidR="00037512" w:rsidRDefault="00037512" w:rsidP="005E68C2">
      <w:pPr>
        <w:spacing w:after="120" w:line="240" w:lineRule="auto"/>
      </w:pPr>
      <w:proofErr w:type="spellStart"/>
      <w:r>
        <w:t>Gonnah</w:t>
      </w:r>
      <w:proofErr w:type="spellEnd"/>
      <w:r>
        <w:t xml:space="preserve"> AR, Bharadwaj MS, Nassar H, Abdelaziz HK, &amp; Roberts DH. (2022). </w:t>
      </w:r>
      <w:r w:rsidRPr="00037512">
        <w:t xml:space="preserve">Patent foramen </w:t>
      </w:r>
      <w:proofErr w:type="spellStart"/>
      <w:r w:rsidRPr="00037512">
        <w:t>ovale</w:t>
      </w:r>
      <w:proofErr w:type="spellEnd"/>
      <w:r w:rsidRPr="00037512">
        <w:t>: diagnostic evaluation and the role of device closure</w:t>
      </w:r>
      <w:r>
        <w:t xml:space="preserve">. </w:t>
      </w:r>
      <w:r w:rsidR="007053A5" w:rsidRPr="007053A5">
        <w:rPr>
          <w:i/>
          <w:iCs/>
        </w:rPr>
        <w:t>Clin Med (Lond), 22</w:t>
      </w:r>
      <w:r w:rsidR="007053A5">
        <w:t>(5): 441-448.</w:t>
      </w:r>
    </w:p>
    <w:p w14:paraId="0F6C0441" w14:textId="19104325" w:rsidR="009B1B8C" w:rsidRDefault="00515BA0" w:rsidP="005E68C2">
      <w:pPr>
        <w:spacing w:after="120" w:line="240" w:lineRule="auto"/>
      </w:pPr>
      <w:r w:rsidRPr="00515BA0">
        <w:t>Gonz</w:t>
      </w:r>
      <w:r w:rsidR="00B2646D">
        <w:t>á</w:t>
      </w:r>
      <w:r w:rsidRPr="00515BA0">
        <w:t>lez-</w:t>
      </w:r>
      <w:proofErr w:type="spellStart"/>
      <w:r w:rsidRPr="00515BA0">
        <w:t>Alujas</w:t>
      </w:r>
      <w:proofErr w:type="spellEnd"/>
      <w:r>
        <w:t xml:space="preserve"> T, Evangelista A, </w:t>
      </w:r>
      <w:proofErr w:type="spellStart"/>
      <w:r>
        <w:t>Santamarina</w:t>
      </w:r>
      <w:proofErr w:type="spellEnd"/>
      <w:r>
        <w:t xml:space="preserve"> E, </w:t>
      </w:r>
      <w:proofErr w:type="spellStart"/>
      <w:r w:rsidR="00AE53F3">
        <w:t>Rubiera</w:t>
      </w:r>
      <w:proofErr w:type="spellEnd"/>
      <w:r w:rsidR="00AE53F3">
        <w:t xml:space="preserve"> M, </w:t>
      </w:r>
      <w:r w:rsidR="00AE53F3" w:rsidRPr="00AE53F3">
        <w:t>Go ́</w:t>
      </w:r>
      <w:proofErr w:type="spellStart"/>
      <w:r w:rsidR="00AE53F3" w:rsidRPr="00AE53F3">
        <w:t>mez</w:t>
      </w:r>
      <w:proofErr w:type="spellEnd"/>
      <w:r w:rsidR="00AE53F3" w:rsidRPr="00AE53F3">
        <w:t>-Bosch</w:t>
      </w:r>
      <w:r w:rsidR="00AE53F3">
        <w:t xml:space="preserve"> Z, </w:t>
      </w:r>
      <w:proofErr w:type="spellStart"/>
      <w:r w:rsidR="00184F49" w:rsidRPr="00184F49">
        <w:t>Rodrı</w:t>
      </w:r>
      <w:proofErr w:type="spellEnd"/>
      <w:r w:rsidR="00184F49" w:rsidRPr="00184F49">
        <w:t xml:space="preserve"> ́</w:t>
      </w:r>
      <w:proofErr w:type="spellStart"/>
      <w:r w:rsidR="00184F49" w:rsidRPr="00184F49">
        <w:t>guez-Palomares</w:t>
      </w:r>
      <w:proofErr w:type="spellEnd"/>
      <w:r w:rsidR="00184F49">
        <w:t xml:space="preserve"> JF, et al. (2011). </w:t>
      </w:r>
      <w:r w:rsidR="0033214C" w:rsidRPr="0033214C">
        <w:t xml:space="preserve">Diagnosis and Quantification of Patent Foramen </w:t>
      </w:r>
      <w:proofErr w:type="spellStart"/>
      <w:r w:rsidR="0033214C" w:rsidRPr="0033214C">
        <w:t>Ovale</w:t>
      </w:r>
      <w:proofErr w:type="spellEnd"/>
      <w:r w:rsidR="0033214C" w:rsidRPr="0033214C">
        <w:t>. Which Is the</w:t>
      </w:r>
      <w:r w:rsidR="0033214C">
        <w:t xml:space="preserve"> </w:t>
      </w:r>
      <w:r w:rsidR="0033214C" w:rsidRPr="0033214C">
        <w:t>Reference</w:t>
      </w:r>
      <w:r w:rsidR="0033214C">
        <w:t xml:space="preserve"> </w:t>
      </w:r>
      <w:r w:rsidR="0033214C" w:rsidRPr="0033214C">
        <w:t xml:space="preserve">Technique? Simultaneous Study </w:t>
      </w:r>
      <w:proofErr w:type="gramStart"/>
      <w:r w:rsidR="0033214C" w:rsidRPr="0033214C">
        <w:t>With</w:t>
      </w:r>
      <w:proofErr w:type="gramEnd"/>
      <w:r w:rsidR="0033214C" w:rsidRPr="0033214C">
        <w:t xml:space="preserve"> Transcranial Doppler, Transthoracic and</w:t>
      </w:r>
      <w:r w:rsidR="0033214C">
        <w:t xml:space="preserve"> </w:t>
      </w:r>
      <w:r w:rsidR="0033214C" w:rsidRPr="0033214C">
        <w:t>Transesophageal Echocardiography</w:t>
      </w:r>
      <w:r w:rsidR="0033214C">
        <w:t xml:space="preserve">. </w:t>
      </w:r>
      <w:r w:rsidR="0033214C" w:rsidRPr="0033214C">
        <w:rPr>
          <w:i/>
          <w:iCs/>
        </w:rPr>
        <w:t xml:space="preserve">Rev Esp </w:t>
      </w:r>
      <w:proofErr w:type="spellStart"/>
      <w:r w:rsidR="0033214C" w:rsidRPr="0033214C">
        <w:rPr>
          <w:i/>
          <w:iCs/>
        </w:rPr>
        <w:t>Cardiol</w:t>
      </w:r>
      <w:proofErr w:type="spellEnd"/>
      <w:r w:rsidR="0033214C" w:rsidRPr="0033214C">
        <w:rPr>
          <w:i/>
          <w:iCs/>
        </w:rPr>
        <w:t>, 64</w:t>
      </w:r>
      <w:r w:rsidR="0033214C">
        <w:t>(2): 133-139.</w:t>
      </w:r>
    </w:p>
    <w:p w14:paraId="2C7DF6FA" w14:textId="1A78EF58" w:rsidR="007053A5" w:rsidRDefault="007053A5" w:rsidP="005E68C2">
      <w:pPr>
        <w:spacing w:after="120" w:line="240" w:lineRule="auto"/>
      </w:pPr>
      <w:r w:rsidRPr="007053A5">
        <w:t>Hagen PT, Scholz DG, Edwards WD.</w:t>
      </w:r>
      <w:r>
        <w:t xml:space="preserve"> (1984).</w:t>
      </w:r>
      <w:r w:rsidRPr="007053A5">
        <w:t xml:space="preserve"> Incidence and size of patent foramen </w:t>
      </w:r>
      <w:proofErr w:type="spellStart"/>
      <w:r w:rsidRPr="007053A5">
        <w:t>ovale</w:t>
      </w:r>
      <w:proofErr w:type="spellEnd"/>
      <w:r w:rsidRPr="007053A5">
        <w:t xml:space="preserve"> during the first 10 decades of life: an autopsy study of 965 normal hearts. </w:t>
      </w:r>
      <w:r w:rsidRPr="007053A5">
        <w:rPr>
          <w:i/>
          <w:iCs/>
        </w:rPr>
        <w:t>Mayo Clin Proc, 59</w:t>
      </w:r>
      <w:r w:rsidRPr="007053A5">
        <w:t>(1): 17–20.</w:t>
      </w:r>
    </w:p>
    <w:p w14:paraId="250D33D1" w14:textId="5B8FC40C" w:rsidR="007E354A" w:rsidRDefault="007E354A" w:rsidP="007E354A">
      <w:pPr>
        <w:spacing w:after="0" w:line="240" w:lineRule="auto"/>
      </w:pPr>
      <w:proofErr w:type="spellStart"/>
      <w:r>
        <w:t>Honěk</w:t>
      </w:r>
      <w:proofErr w:type="spellEnd"/>
      <w:r>
        <w:t xml:space="preserve"> J, </w:t>
      </w:r>
      <w:proofErr w:type="spellStart"/>
      <w:r>
        <w:t>Šefc</w:t>
      </w:r>
      <w:proofErr w:type="spellEnd"/>
      <w:r>
        <w:t xml:space="preserve"> L, </w:t>
      </w:r>
      <w:proofErr w:type="spellStart"/>
      <w:r>
        <w:t>Honěk</w:t>
      </w:r>
      <w:proofErr w:type="spellEnd"/>
      <w:r>
        <w:t xml:space="preserve"> T, </w:t>
      </w:r>
      <w:proofErr w:type="spellStart"/>
      <w:r>
        <w:t>Šrámek</w:t>
      </w:r>
      <w:proofErr w:type="spellEnd"/>
      <w:r>
        <w:t xml:space="preserve"> M, </w:t>
      </w:r>
      <w:proofErr w:type="spellStart"/>
      <w:r>
        <w:t>Horváth</w:t>
      </w:r>
      <w:proofErr w:type="spellEnd"/>
      <w:r>
        <w:t xml:space="preserve"> M, </w:t>
      </w:r>
      <w:r w:rsidR="00250CAD">
        <w:t xml:space="preserve">&amp; </w:t>
      </w:r>
      <w:proofErr w:type="spellStart"/>
      <w:r>
        <w:t>Veselka</w:t>
      </w:r>
      <w:proofErr w:type="spellEnd"/>
      <w:r>
        <w:t xml:space="preserve"> J. (2015). Patent foramen </w:t>
      </w:r>
      <w:proofErr w:type="spellStart"/>
      <w:r>
        <w:t>ovale</w:t>
      </w:r>
      <w:proofErr w:type="spellEnd"/>
      <w:r>
        <w:t xml:space="preserve"> in recreational and professional divers: an important and largely unrecognized </w:t>
      </w:r>
    </w:p>
    <w:p w14:paraId="7388357D" w14:textId="2A6A1D81" w:rsidR="007E354A" w:rsidRDefault="007E354A" w:rsidP="007E354A">
      <w:pPr>
        <w:spacing w:after="120" w:line="240" w:lineRule="auto"/>
      </w:pPr>
      <w:r w:rsidRPr="007E354A">
        <w:t>problem.</w:t>
      </w:r>
      <w:r w:rsidRPr="007E354A">
        <w:rPr>
          <w:i/>
          <w:iCs/>
        </w:rPr>
        <w:t xml:space="preserve"> Can J </w:t>
      </w:r>
      <w:proofErr w:type="spellStart"/>
      <w:r w:rsidRPr="007E354A">
        <w:rPr>
          <w:i/>
          <w:iCs/>
        </w:rPr>
        <w:t>Cardiol</w:t>
      </w:r>
      <w:proofErr w:type="spellEnd"/>
      <w:r>
        <w:rPr>
          <w:i/>
          <w:iCs/>
        </w:rPr>
        <w:t xml:space="preserve">, </w:t>
      </w:r>
      <w:r w:rsidRPr="007E354A">
        <w:rPr>
          <w:i/>
          <w:iCs/>
        </w:rPr>
        <w:t>31</w:t>
      </w:r>
      <w:r>
        <w:t xml:space="preserve">(8): 1061-1066. </w:t>
      </w:r>
    </w:p>
    <w:p w14:paraId="63617251" w14:textId="4D91E977" w:rsidR="004D04CE" w:rsidRDefault="004D04CE" w:rsidP="004D04CE">
      <w:pPr>
        <w:spacing w:after="0" w:line="240" w:lineRule="auto"/>
      </w:pPr>
      <w:proofErr w:type="spellStart"/>
      <w:r>
        <w:t>Honěk</w:t>
      </w:r>
      <w:proofErr w:type="spellEnd"/>
      <w:r>
        <w:t xml:space="preserve"> J, </w:t>
      </w:r>
      <w:proofErr w:type="spellStart"/>
      <w:r>
        <w:t>Šrámek</w:t>
      </w:r>
      <w:proofErr w:type="spellEnd"/>
      <w:r>
        <w:t xml:space="preserve"> M, </w:t>
      </w:r>
      <w:proofErr w:type="spellStart"/>
      <w:r>
        <w:t>Šefc</w:t>
      </w:r>
      <w:proofErr w:type="spellEnd"/>
      <w:r>
        <w:t xml:space="preserve"> L, et al. (2019). High-grade patent foramen </w:t>
      </w:r>
      <w:proofErr w:type="spellStart"/>
      <w:r>
        <w:t>ovale</w:t>
      </w:r>
      <w:proofErr w:type="spellEnd"/>
      <w:r>
        <w:t xml:space="preserve"> is a risk factor of </w:t>
      </w:r>
    </w:p>
    <w:p w14:paraId="0B4CC597" w14:textId="00C8CB57" w:rsidR="004D04CE" w:rsidRDefault="004D04CE" w:rsidP="0066256C">
      <w:pPr>
        <w:spacing w:after="120" w:line="240" w:lineRule="auto"/>
      </w:pPr>
      <w:r>
        <w:t xml:space="preserve">unprovoked decompression sickness in recreational divers. </w:t>
      </w:r>
      <w:r w:rsidRPr="004D04CE">
        <w:rPr>
          <w:i/>
          <w:iCs/>
        </w:rPr>
        <w:t xml:space="preserve">J </w:t>
      </w:r>
      <w:proofErr w:type="spellStart"/>
      <w:r w:rsidRPr="004D04CE">
        <w:rPr>
          <w:i/>
          <w:iCs/>
        </w:rPr>
        <w:t>Cardio</w:t>
      </w:r>
      <w:r w:rsidR="0066256C">
        <w:rPr>
          <w:i/>
          <w:iCs/>
        </w:rPr>
        <w:t>l</w:t>
      </w:r>
      <w:proofErr w:type="spellEnd"/>
      <w:r w:rsidR="0066256C">
        <w:rPr>
          <w:i/>
          <w:iCs/>
        </w:rPr>
        <w:t>,</w:t>
      </w:r>
      <w:r w:rsidRPr="004D04CE">
        <w:rPr>
          <w:i/>
          <w:iCs/>
        </w:rPr>
        <w:t xml:space="preserve"> 74</w:t>
      </w:r>
      <w:r>
        <w:t>(6): 519-23.</w:t>
      </w:r>
    </w:p>
    <w:p w14:paraId="322D665A" w14:textId="13341425" w:rsidR="007053A5" w:rsidRDefault="007053A5" w:rsidP="0066256C">
      <w:pPr>
        <w:spacing w:after="120" w:line="240" w:lineRule="auto"/>
      </w:pPr>
      <w:proofErr w:type="spellStart"/>
      <w:r w:rsidRPr="007053A5">
        <w:t>Koopsen</w:t>
      </w:r>
      <w:proofErr w:type="spellEnd"/>
      <w:r w:rsidRPr="007053A5">
        <w:t xml:space="preserve"> R, Stella PR, Thijs KM, &amp; Rienks R. (2018). Persistent foramen </w:t>
      </w:r>
      <w:proofErr w:type="spellStart"/>
      <w:r w:rsidRPr="007053A5">
        <w:t>ovale</w:t>
      </w:r>
      <w:proofErr w:type="spellEnd"/>
      <w:r w:rsidRPr="007053A5">
        <w:t xml:space="preserve"> closure in divers with a history of decompression sickness</w:t>
      </w:r>
      <w:r w:rsidRPr="007053A5">
        <w:rPr>
          <w:i/>
          <w:iCs/>
        </w:rPr>
        <w:t xml:space="preserve">. </w:t>
      </w:r>
      <w:proofErr w:type="spellStart"/>
      <w:r w:rsidRPr="007053A5">
        <w:rPr>
          <w:i/>
          <w:iCs/>
        </w:rPr>
        <w:t>Neth</w:t>
      </w:r>
      <w:proofErr w:type="spellEnd"/>
      <w:r w:rsidRPr="007053A5">
        <w:rPr>
          <w:i/>
          <w:iCs/>
        </w:rPr>
        <w:t xml:space="preserve"> Heart J, 26</w:t>
      </w:r>
      <w:r w:rsidRPr="007053A5">
        <w:t>(11): 535-539</w:t>
      </w:r>
    </w:p>
    <w:p w14:paraId="5D062B71" w14:textId="17B22E4C" w:rsidR="00C9672F" w:rsidRDefault="00C9672F" w:rsidP="004D04CE">
      <w:pPr>
        <w:spacing w:after="120" w:line="240" w:lineRule="auto"/>
      </w:pPr>
      <w:r>
        <w:t>Law J, &amp; Watkins S</w:t>
      </w:r>
      <w:r w:rsidR="00CD3D1E">
        <w:t>. (2009). Individual Susceptibility to Hypobaric Environments: An Update. NASA</w:t>
      </w:r>
      <w:r w:rsidR="00B25D52">
        <w:t>-</w:t>
      </w:r>
      <w:r w:rsidR="00B25D52" w:rsidRPr="00B25D52">
        <w:t>TP-2010-216123.</w:t>
      </w:r>
      <w:r w:rsidR="00B25D52">
        <w:t xml:space="preserve"> </w:t>
      </w:r>
      <w:hyperlink r:id="rId32" w:history="1">
        <w:r w:rsidR="00F87679" w:rsidRPr="00F35258">
          <w:rPr>
            <w:rStyle w:val="Hyperlink"/>
            <w:rFonts w:asciiTheme="minorHAnsi" w:hAnsiTheme="minorHAnsi"/>
          </w:rPr>
          <w:t>https://humanresearchroadmap.nasa.gov/gaps/closureDocumentation/Law-J_TP-2010-216123.pdf?rnd=0.935669551107879</w:t>
        </w:r>
      </w:hyperlink>
      <w:r w:rsidR="00F87679">
        <w:t xml:space="preserve"> </w:t>
      </w:r>
    </w:p>
    <w:p w14:paraId="3AAEBF2E" w14:textId="25640461" w:rsidR="00287394" w:rsidRPr="00287394" w:rsidRDefault="00287394" w:rsidP="004D04CE">
      <w:pPr>
        <w:spacing w:after="120" w:line="240" w:lineRule="auto"/>
        <w:rPr>
          <w:lang w:val="de-DE"/>
        </w:rPr>
      </w:pPr>
      <w:r>
        <w:rPr>
          <w:lang w:val="de-DE"/>
        </w:rPr>
        <w:t xml:space="preserve">Lee V, St. Leger Dowse M. (2010). Decompression Ilness and the Menstrual Cycle. In C E Fife &amp; M St. Leger Dowse (Eds.), </w:t>
      </w:r>
      <w:r w:rsidRPr="009C135E">
        <w:rPr>
          <w:i/>
          <w:iCs/>
          <w:lang w:val="de-DE"/>
        </w:rPr>
        <w:t>Women and Pressure, Diving and Altitude</w:t>
      </w:r>
      <w:r>
        <w:rPr>
          <w:i/>
          <w:iCs/>
          <w:lang w:val="de-DE"/>
        </w:rPr>
        <w:t xml:space="preserve"> </w:t>
      </w:r>
      <w:r w:rsidRPr="009C135E">
        <w:rPr>
          <w:lang w:val="de-DE"/>
        </w:rPr>
        <w:t xml:space="preserve">(1st </w:t>
      </w:r>
      <w:r w:rsidRPr="0058021C">
        <w:rPr>
          <w:lang w:val="de-DE"/>
        </w:rPr>
        <w:t xml:space="preserve">ed. </w:t>
      </w:r>
      <w:r>
        <w:rPr>
          <w:lang w:val="de-DE"/>
        </w:rPr>
        <w:t>p</w:t>
      </w:r>
      <w:r w:rsidRPr="0058021C">
        <w:rPr>
          <w:lang w:val="de-DE"/>
        </w:rPr>
        <w:t>p 71- 79).</w:t>
      </w:r>
      <w:r>
        <w:rPr>
          <w:lang w:val="de-DE"/>
        </w:rPr>
        <w:t xml:space="preserve"> Best Publishing.</w:t>
      </w:r>
    </w:p>
    <w:p w14:paraId="29A6D9E6" w14:textId="2EA20F42" w:rsidR="007053A5" w:rsidRDefault="007053A5" w:rsidP="004D04CE">
      <w:pPr>
        <w:spacing w:after="120" w:line="240" w:lineRule="auto"/>
      </w:pPr>
      <w:r w:rsidRPr="007053A5">
        <w:t>Maxwell YL. (2020). PFO Closure May Prevent Decompression Sickness in Divers with Large Shunts.</w:t>
      </w:r>
      <w:r w:rsidR="008635A6">
        <w:t xml:space="preserve"> </w:t>
      </w:r>
      <w:proofErr w:type="spellStart"/>
      <w:r w:rsidR="008635A6" w:rsidRPr="008635A6">
        <w:rPr>
          <w:i/>
          <w:iCs/>
        </w:rPr>
        <w:t>tctMD</w:t>
      </w:r>
      <w:proofErr w:type="spellEnd"/>
      <w:r w:rsidR="008635A6">
        <w:t xml:space="preserve">. </w:t>
      </w:r>
      <w:hyperlink r:id="rId33" w:history="1">
        <w:r w:rsidR="008635A6" w:rsidRPr="00727C56">
          <w:rPr>
            <w:rStyle w:val="Hyperlink"/>
            <w:rFonts w:asciiTheme="minorHAnsi" w:hAnsiTheme="minorHAnsi"/>
          </w:rPr>
          <w:t>https://www.tctmd.com/news/pfo-closure-may-prevent-decompression-sickness-divers-large-shunts</w:t>
        </w:r>
      </w:hyperlink>
      <w:r w:rsidR="008635A6">
        <w:t xml:space="preserve"> </w:t>
      </w:r>
    </w:p>
    <w:p w14:paraId="24454C90" w14:textId="44764155" w:rsidR="00C11C19" w:rsidRDefault="00CD38FD" w:rsidP="004A0548">
      <w:pPr>
        <w:spacing w:after="120" w:line="240" w:lineRule="auto"/>
      </w:pPr>
      <w:bookmarkStart w:id="29" w:name="_Hlk170381089"/>
      <w:r>
        <w:t>M</w:t>
      </w:r>
      <w:r w:rsidR="00EE723B">
        <w:t xml:space="preserve">ojadidi MK, </w:t>
      </w:r>
      <w:proofErr w:type="spellStart"/>
      <w:r w:rsidR="00EE723B">
        <w:t>Winoker</w:t>
      </w:r>
      <w:proofErr w:type="spellEnd"/>
      <w:r w:rsidR="00EE723B">
        <w:t xml:space="preserve"> JS, Roberts SC, </w:t>
      </w:r>
      <w:proofErr w:type="spellStart"/>
      <w:r w:rsidR="005223C3">
        <w:t>Msaouel</w:t>
      </w:r>
      <w:proofErr w:type="spellEnd"/>
      <w:r w:rsidR="005223C3">
        <w:t xml:space="preserve"> P, Zaman MO, </w:t>
      </w:r>
      <w:proofErr w:type="spellStart"/>
      <w:r w:rsidR="005223C3">
        <w:t>Gevor</w:t>
      </w:r>
      <w:r w:rsidR="0095591D">
        <w:t>gyan</w:t>
      </w:r>
      <w:proofErr w:type="spellEnd"/>
      <w:r w:rsidR="0095591D">
        <w:t xml:space="preserve"> R, &amp; </w:t>
      </w:r>
      <w:proofErr w:type="spellStart"/>
      <w:r w:rsidR="0095591D">
        <w:t>Tobis</w:t>
      </w:r>
      <w:proofErr w:type="spellEnd"/>
      <w:r w:rsidR="0095591D">
        <w:t xml:space="preserve"> JM</w:t>
      </w:r>
      <w:r w:rsidR="004A0548">
        <w:t>.</w:t>
      </w:r>
      <w:r w:rsidR="0095591D">
        <w:t xml:space="preserve"> (2014). </w:t>
      </w:r>
      <w:r w:rsidR="00223337">
        <w:t xml:space="preserve">Accuracy of Conventional Transthoracic Echocardiography for the Diagnosis of Intracardiac Right-to-Left Shunt: A Meta-Analysis of Prospective Studies. </w:t>
      </w:r>
      <w:r w:rsidR="00223337" w:rsidRPr="00CA1BC1">
        <w:rPr>
          <w:i/>
          <w:iCs/>
        </w:rPr>
        <w:t xml:space="preserve">Echocardiography, </w:t>
      </w:r>
      <w:r w:rsidR="00F41E00" w:rsidRPr="00CA1BC1">
        <w:rPr>
          <w:i/>
          <w:iCs/>
        </w:rPr>
        <w:t>31</w:t>
      </w:r>
      <w:r w:rsidR="00F41E00">
        <w:t xml:space="preserve">(9): </w:t>
      </w:r>
      <w:r w:rsidR="00CA1BC1">
        <w:t>1036-1048.</w:t>
      </w:r>
    </w:p>
    <w:bookmarkEnd w:id="29"/>
    <w:p w14:paraId="45CA745B" w14:textId="0C1C2EAB" w:rsidR="00B41D56" w:rsidRDefault="00B41D56" w:rsidP="004A0548">
      <w:pPr>
        <w:spacing w:after="120" w:line="240" w:lineRule="auto"/>
      </w:pPr>
      <w:r>
        <w:t xml:space="preserve">Moon RE, </w:t>
      </w:r>
      <w:proofErr w:type="spellStart"/>
      <w:r>
        <w:t>Camporesi</w:t>
      </w:r>
      <w:proofErr w:type="spellEnd"/>
      <w:r w:rsidR="00F92145">
        <w:t xml:space="preserve"> EM, &amp; </w:t>
      </w:r>
      <w:proofErr w:type="spellStart"/>
      <w:r w:rsidR="00F92145">
        <w:t>Kisslo</w:t>
      </w:r>
      <w:proofErr w:type="spellEnd"/>
      <w:r w:rsidR="00F92145">
        <w:t xml:space="preserve"> JA. (1989). </w:t>
      </w:r>
      <w:r w:rsidR="00026FFF">
        <w:t xml:space="preserve">Patent Foramen </w:t>
      </w:r>
      <w:proofErr w:type="spellStart"/>
      <w:r w:rsidR="00026FFF">
        <w:t>Ovale</w:t>
      </w:r>
      <w:proofErr w:type="spellEnd"/>
      <w:r w:rsidR="00026FFF">
        <w:t xml:space="preserve"> and Decompression Sickness in Divers. </w:t>
      </w:r>
      <w:r w:rsidR="00026FFF" w:rsidRPr="005048DF">
        <w:rPr>
          <w:i/>
          <w:iCs/>
        </w:rPr>
        <w:t>The Lancet</w:t>
      </w:r>
      <w:r w:rsidR="005048DF">
        <w:t>, March 11, 1989.</w:t>
      </w:r>
    </w:p>
    <w:p w14:paraId="49825808" w14:textId="6EC712BC" w:rsidR="00B2577C" w:rsidRDefault="00B2577C" w:rsidP="004A0548">
      <w:pPr>
        <w:spacing w:after="120" w:line="240" w:lineRule="auto"/>
      </w:pPr>
      <w:proofErr w:type="spellStart"/>
      <w:r>
        <w:t>N</w:t>
      </w:r>
      <w:r w:rsidR="00831C8A">
        <w:t>t</w:t>
      </w:r>
      <w:r w:rsidR="00775C11">
        <w:t>aios</w:t>
      </w:r>
      <w:proofErr w:type="spellEnd"/>
      <w:r w:rsidR="00775C11">
        <w:t xml:space="preserve"> G, </w:t>
      </w:r>
      <w:proofErr w:type="spellStart"/>
      <w:r w:rsidR="00775C11">
        <w:t>Papavasileiou</w:t>
      </w:r>
      <w:proofErr w:type="spellEnd"/>
      <w:r w:rsidR="00775C11">
        <w:t xml:space="preserve"> V, </w:t>
      </w:r>
      <w:proofErr w:type="spellStart"/>
      <w:r w:rsidR="00775C11">
        <w:t>Sagris</w:t>
      </w:r>
      <w:proofErr w:type="spellEnd"/>
      <w:r w:rsidR="00775C11">
        <w:t xml:space="preserve"> D, </w:t>
      </w:r>
      <w:proofErr w:type="spellStart"/>
      <w:r w:rsidR="00775C11">
        <w:t>Makaritsis</w:t>
      </w:r>
      <w:proofErr w:type="spellEnd"/>
      <w:r w:rsidR="00775C11">
        <w:t xml:space="preserve"> K, </w:t>
      </w:r>
      <w:proofErr w:type="spellStart"/>
      <w:r w:rsidR="00775C11">
        <w:t>Vemmos</w:t>
      </w:r>
      <w:proofErr w:type="spellEnd"/>
      <w:r w:rsidR="00775C11">
        <w:t xml:space="preserve"> K, Steiner T, &amp; Michel P. (</w:t>
      </w:r>
      <w:r w:rsidR="0087342F">
        <w:t xml:space="preserve">2018). </w:t>
      </w:r>
      <w:r w:rsidR="0069036D" w:rsidRPr="0069036D">
        <w:t xml:space="preserve">Closure of Patent Foramen </w:t>
      </w:r>
      <w:proofErr w:type="spellStart"/>
      <w:r w:rsidR="0069036D" w:rsidRPr="0069036D">
        <w:t>Ovale</w:t>
      </w:r>
      <w:proofErr w:type="spellEnd"/>
      <w:r w:rsidR="0069036D" w:rsidRPr="0069036D">
        <w:t xml:space="preserve"> Versus Medical Therapy in Patients </w:t>
      </w:r>
      <w:proofErr w:type="gramStart"/>
      <w:r w:rsidR="0069036D" w:rsidRPr="0069036D">
        <w:t>With</w:t>
      </w:r>
      <w:proofErr w:type="gramEnd"/>
      <w:r w:rsidR="0069036D" w:rsidRPr="0069036D">
        <w:t xml:space="preserve"> Cryptogenic Stroke </w:t>
      </w:r>
      <w:r w:rsidR="0069036D" w:rsidRPr="0069036D">
        <w:lastRenderedPageBreak/>
        <w:t>or Transient Ischemic Attack Updated Systematic Review and Meta-Analysis</w:t>
      </w:r>
      <w:r w:rsidR="0069036D">
        <w:t xml:space="preserve">. </w:t>
      </w:r>
      <w:r w:rsidR="00234F70" w:rsidRPr="0000787D">
        <w:rPr>
          <w:i/>
          <w:iCs/>
        </w:rPr>
        <w:t xml:space="preserve">Stroke, </w:t>
      </w:r>
      <w:r w:rsidR="007C2ACB" w:rsidRPr="0000787D">
        <w:rPr>
          <w:i/>
          <w:iCs/>
        </w:rPr>
        <w:t>49</w:t>
      </w:r>
      <w:r w:rsidR="007C2ACB">
        <w:t>:</w:t>
      </w:r>
      <w:r w:rsidR="00854B4C">
        <w:t xml:space="preserve"> </w:t>
      </w:r>
      <w:r w:rsidR="00F825E5">
        <w:t>412</w:t>
      </w:r>
      <w:r w:rsidR="0000787D">
        <w:t>-418.</w:t>
      </w:r>
    </w:p>
    <w:p w14:paraId="1442EDDB" w14:textId="3684FCD8" w:rsidR="007D39CA" w:rsidRDefault="007D39CA" w:rsidP="007D39CA">
      <w:pPr>
        <w:spacing w:after="120" w:line="240" w:lineRule="auto"/>
      </w:pPr>
      <w:r>
        <w:t xml:space="preserve">Oliva L, </w:t>
      </w:r>
      <w:proofErr w:type="spellStart"/>
      <w:r>
        <w:t>Huszti</w:t>
      </w:r>
      <w:proofErr w:type="spellEnd"/>
      <w:r>
        <w:t xml:space="preserve"> E, Hall R, </w:t>
      </w:r>
      <w:proofErr w:type="spellStart"/>
      <w:r>
        <w:t>Abrahamyan</w:t>
      </w:r>
      <w:proofErr w:type="spellEnd"/>
      <w:r>
        <w:t xml:space="preserve"> L, </w:t>
      </w:r>
      <w:r w:rsidR="00250CAD">
        <w:t xml:space="preserve">&amp; </w:t>
      </w:r>
      <w:r>
        <w:t xml:space="preserve">Horlick E. </w:t>
      </w:r>
      <w:r w:rsidR="00250CAD">
        <w:t xml:space="preserve">(2022). </w:t>
      </w:r>
      <w:r>
        <w:t xml:space="preserve">Incidence of new-onset atrial fibrillation after transcatheter patent foramen </w:t>
      </w:r>
      <w:proofErr w:type="spellStart"/>
      <w:r>
        <w:t>ovale</w:t>
      </w:r>
      <w:proofErr w:type="spellEnd"/>
      <w:r>
        <w:t xml:space="preserve"> closure using 15 years of Ontario administrative health data. </w:t>
      </w:r>
      <w:r w:rsidRPr="00250CAD">
        <w:rPr>
          <w:i/>
          <w:iCs/>
        </w:rPr>
        <w:t>Hearth Rhythm</w:t>
      </w:r>
      <w:r w:rsidR="00250CAD" w:rsidRPr="00250CAD">
        <w:rPr>
          <w:i/>
          <w:iCs/>
        </w:rPr>
        <w:t xml:space="preserve">, </w:t>
      </w:r>
      <w:r w:rsidRPr="00250CAD">
        <w:rPr>
          <w:i/>
          <w:iCs/>
        </w:rPr>
        <w:t>19</w:t>
      </w:r>
      <w:r>
        <w:t>(9):</w:t>
      </w:r>
      <w:r w:rsidR="00854B4C">
        <w:t xml:space="preserve"> </w:t>
      </w:r>
      <w:r>
        <w:t xml:space="preserve">1414-1420. 9. </w:t>
      </w:r>
    </w:p>
    <w:p w14:paraId="62ABD688" w14:textId="4FEF2324" w:rsidR="00157046" w:rsidRDefault="00157046" w:rsidP="007D39CA">
      <w:pPr>
        <w:spacing w:after="120" w:line="240" w:lineRule="auto"/>
      </w:pPr>
      <w:r>
        <w:t xml:space="preserve">Palazzo P, </w:t>
      </w:r>
      <w:proofErr w:type="spellStart"/>
      <w:r>
        <w:t>Ingrand</w:t>
      </w:r>
      <w:proofErr w:type="spellEnd"/>
      <w:r>
        <w:t xml:space="preserve"> P, </w:t>
      </w:r>
      <w:proofErr w:type="spellStart"/>
      <w:r w:rsidR="00943F21">
        <w:t>Aguis</w:t>
      </w:r>
      <w:proofErr w:type="spellEnd"/>
      <w:r w:rsidR="00943F21">
        <w:t xml:space="preserve"> P, </w:t>
      </w:r>
      <w:proofErr w:type="spellStart"/>
      <w:r w:rsidR="006A2E13">
        <w:t>Chaidi</w:t>
      </w:r>
      <w:proofErr w:type="spellEnd"/>
      <w:r w:rsidR="006A2E13">
        <w:t xml:space="preserve"> RB, </w:t>
      </w:r>
      <w:r w:rsidR="00F0760E">
        <w:t xml:space="preserve">&amp; </w:t>
      </w:r>
      <w:proofErr w:type="spellStart"/>
      <w:r w:rsidR="00F0760E">
        <w:t>Neau</w:t>
      </w:r>
      <w:proofErr w:type="spellEnd"/>
      <w:r w:rsidR="00F0760E">
        <w:t xml:space="preserve"> JP. (2019). </w:t>
      </w:r>
      <w:r w:rsidR="00F0760E" w:rsidRPr="00F0760E">
        <w:t>Transcranial Doppler to detect right‐to‐left shunt in cryptogenic acute ischemic stroke</w:t>
      </w:r>
      <w:r w:rsidR="00F0760E">
        <w:t xml:space="preserve">. </w:t>
      </w:r>
      <w:r w:rsidR="00F0760E" w:rsidRPr="006A12A2">
        <w:rPr>
          <w:i/>
          <w:iCs/>
        </w:rPr>
        <w:t xml:space="preserve">Brain </w:t>
      </w:r>
      <w:proofErr w:type="spellStart"/>
      <w:r w:rsidR="00F0760E" w:rsidRPr="006A12A2">
        <w:rPr>
          <w:i/>
          <w:iCs/>
        </w:rPr>
        <w:t>Behav</w:t>
      </w:r>
      <w:proofErr w:type="spellEnd"/>
      <w:r w:rsidR="00960970" w:rsidRPr="006A12A2">
        <w:rPr>
          <w:i/>
          <w:iCs/>
        </w:rPr>
        <w:t>, 9</w:t>
      </w:r>
      <w:r w:rsidR="00960970">
        <w:t>(1): e0</w:t>
      </w:r>
      <w:r w:rsidR="006A12A2">
        <w:t>1091.</w:t>
      </w:r>
    </w:p>
    <w:p w14:paraId="2423FE89" w14:textId="7EF8B88F" w:rsidR="008635A6" w:rsidRDefault="008635A6" w:rsidP="007D39CA">
      <w:pPr>
        <w:spacing w:after="120" w:line="240" w:lineRule="auto"/>
      </w:pPr>
      <w:r w:rsidRPr="008635A6">
        <w:t xml:space="preserve">Percutaneous Patent Foramen </w:t>
      </w:r>
      <w:proofErr w:type="spellStart"/>
      <w:r w:rsidRPr="008635A6">
        <w:t>Ovale</w:t>
      </w:r>
      <w:proofErr w:type="spellEnd"/>
      <w:r w:rsidRPr="008635A6">
        <w:t xml:space="preserve"> (PFO) Closure. </w:t>
      </w:r>
      <w:r w:rsidRPr="008635A6">
        <w:rPr>
          <w:i/>
          <w:iCs/>
        </w:rPr>
        <w:t>United Healthcare Community Plan</w:t>
      </w:r>
      <w:r>
        <w:t xml:space="preserve">. </w:t>
      </w:r>
      <w:hyperlink r:id="rId34" w:history="1">
        <w:r w:rsidRPr="00727C56">
          <w:rPr>
            <w:rStyle w:val="Hyperlink"/>
            <w:rFonts w:asciiTheme="minorHAnsi" w:hAnsiTheme="minorHAnsi"/>
          </w:rPr>
          <w:t>https://www.uhcprovider.com/content/dam/provider/docs/public/policies/medicaid-comm-plan/percutaneous-patent-foramen-ovale-closure-cs.pdf</w:t>
        </w:r>
      </w:hyperlink>
      <w:r>
        <w:t xml:space="preserve"> </w:t>
      </w:r>
    </w:p>
    <w:p w14:paraId="01E50AA1" w14:textId="7C50AEE8" w:rsidR="00822670" w:rsidRDefault="00822670" w:rsidP="007D39CA">
      <w:pPr>
        <w:spacing w:after="120" w:line="240" w:lineRule="auto"/>
      </w:pPr>
      <w:proofErr w:type="spellStart"/>
      <w:r>
        <w:t>Pi</w:t>
      </w:r>
      <w:r w:rsidR="000C3C0F">
        <w:t>lmanis</w:t>
      </w:r>
      <w:proofErr w:type="spellEnd"/>
      <w:r w:rsidR="000C3C0F">
        <w:t xml:space="preserve"> AA, Webb JT, </w:t>
      </w:r>
      <w:proofErr w:type="spellStart"/>
      <w:r w:rsidR="000C3C0F">
        <w:t>Balldin</w:t>
      </w:r>
      <w:proofErr w:type="spellEnd"/>
      <w:r w:rsidR="000C3C0F">
        <w:t xml:space="preserve"> UI, Conkin J, </w:t>
      </w:r>
      <w:r w:rsidR="00013F95">
        <w:t xml:space="preserve">&amp; Fischer JR. </w:t>
      </w:r>
      <w:r w:rsidR="00457C54">
        <w:t xml:space="preserve">(2010). Air </w:t>
      </w:r>
      <w:proofErr w:type="gramStart"/>
      <w:r w:rsidR="00457C54">
        <w:t>Break</w:t>
      </w:r>
      <w:proofErr w:type="gramEnd"/>
      <w:r w:rsidR="00457C54">
        <w:t xml:space="preserve"> During Preoxygenation and Risk of Altitude Decompression Sickness. </w:t>
      </w:r>
      <w:r w:rsidR="00457C54" w:rsidRPr="0051454E">
        <w:rPr>
          <w:i/>
          <w:iCs/>
        </w:rPr>
        <w:t xml:space="preserve">Aviation, Space, and Environmental Medicine, </w:t>
      </w:r>
      <w:r w:rsidR="00CB6FAF" w:rsidRPr="0051454E">
        <w:rPr>
          <w:i/>
          <w:iCs/>
        </w:rPr>
        <w:t>81</w:t>
      </w:r>
      <w:r w:rsidR="00CB6FAF">
        <w:t>(10): 944-</w:t>
      </w:r>
      <w:r w:rsidR="0051454E">
        <w:t>950.</w:t>
      </w:r>
    </w:p>
    <w:p w14:paraId="37B9E3A6" w14:textId="0E34817C" w:rsidR="0000431B" w:rsidRDefault="0000431B" w:rsidP="007D39CA">
      <w:pPr>
        <w:spacing w:after="120" w:line="240" w:lineRule="auto"/>
      </w:pPr>
      <w:proofErr w:type="spellStart"/>
      <w:r>
        <w:t>Pri</w:t>
      </w:r>
      <w:r w:rsidR="00841294">
        <w:t>stipino</w:t>
      </w:r>
      <w:proofErr w:type="spellEnd"/>
      <w:r w:rsidR="00841294">
        <w:t xml:space="preserve"> C, </w:t>
      </w:r>
      <w:proofErr w:type="spellStart"/>
      <w:r w:rsidR="00841294">
        <w:t>Germonpre</w:t>
      </w:r>
      <w:proofErr w:type="spellEnd"/>
      <w:r w:rsidR="00841294">
        <w:t xml:space="preserve"> P, </w:t>
      </w:r>
      <w:r w:rsidR="008663CF">
        <w:t xml:space="preserve">Toni D, </w:t>
      </w:r>
      <w:r w:rsidR="00F97EB9">
        <w:t xml:space="preserve">Sievert H, </w:t>
      </w:r>
      <w:proofErr w:type="spellStart"/>
      <w:r w:rsidR="00F97EB9">
        <w:t>Mejer</w:t>
      </w:r>
      <w:proofErr w:type="spellEnd"/>
      <w:r w:rsidR="00F97EB9">
        <w:t xml:space="preserve"> B, </w:t>
      </w:r>
      <w:proofErr w:type="spellStart"/>
      <w:r w:rsidR="001E16A0">
        <w:t>Ascenzo</w:t>
      </w:r>
      <w:proofErr w:type="spellEnd"/>
      <w:r w:rsidR="001E16A0">
        <w:t xml:space="preserve"> </w:t>
      </w:r>
      <w:r w:rsidR="00BC0062">
        <w:t xml:space="preserve">FD, et al. (2021). </w:t>
      </w:r>
      <w:r w:rsidR="003F2862" w:rsidRPr="003F2862">
        <w:t xml:space="preserve">European position paper on the management of patients with patent foramen </w:t>
      </w:r>
      <w:proofErr w:type="spellStart"/>
      <w:r w:rsidR="003F2862" w:rsidRPr="003F2862">
        <w:t>ovale</w:t>
      </w:r>
      <w:proofErr w:type="spellEnd"/>
      <w:r w:rsidR="003F2862" w:rsidRPr="003F2862">
        <w:t xml:space="preserve">. Part II </w:t>
      </w:r>
      <w:r w:rsidR="003F2862">
        <w:t xml:space="preserve">- </w:t>
      </w:r>
      <w:r w:rsidR="003F2862" w:rsidRPr="003F2862">
        <w:t>Decompression sickness, migraine, arterial deoxygenation syndromes and select high-risk clinical conditions</w:t>
      </w:r>
      <w:r w:rsidR="003F2862">
        <w:t xml:space="preserve">. </w:t>
      </w:r>
      <w:proofErr w:type="spellStart"/>
      <w:r w:rsidR="005E3970" w:rsidRPr="008517C8">
        <w:rPr>
          <w:i/>
          <w:iCs/>
        </w:rPr>
        <w:t>EuroIntervention</w:t>
      </w:r>
      <w:proofErr w:type="spellEnd"/>
      <w:r w:rsidR="00AB5868" w:rsidRPr="008517C8">
        <w:rPr>
          <w:i/>
          <w:iCs/>
        </w:rPr>
        <w:t>, 17</w:t>
      </w:r>
      <w:r w:rsidR="00AB5868">
        <w:t>: e</w:t>
      </w:r>
      <w:r w:rsidR="00E850C8">
        <w:t>367</w:t>
      </w:r>
      <w:r w:rsidR="008517C8">
        <w:t>-e375.</w:t>
      </w:r>
    </w:p>
    <w:p w14:paraId="0F582CB8" w14:textId="7CC87C01" w:rsidR="008635A6" w:rsidRDefault="008635A6" w:rsidP="008635A6">
      <w:pPr>
        <w:spacing w:after="120" w:line="240" w:lineRule="auto"/>
      </w:pPr>
      <w:r>
        <w:t xml:space="preserve">Ramakrishna H, Patel PA, </w:t>
      </w:r>
      <w:proofErr w:type="spellStart"/>
      <w:r>
        <w:t>Gutsche</w:t>
      </w:r>
      <w:proofErr w:type="spellEnd"/>
      <w:r>
        <w:t xml:space="preserve"> JT, Kohl BA, Savino JS, &amp; </w:t>
      </w:r>
      <w:proofErr w:type="spellStart"/>
      <w:r>
        <w:t>Augoustides</w:t>
      </w:r>
      <w:proofErr w:type="spellEnd"/>
      <w:r>
        <w:t xml:space="preserve"> JGT. (2014). </w:t>
      </w:r>
      <w:r w:rsidRPr="008635A6">
        <w:t xml:space="preserve">Incidental patent foramen </w:t>
      </w:r>
      <w:proofErr w:type="spellStart"/>
      <w:r w:rsidRPr="008635A6">
        <w:t>ovale</w:t>
      </w:r>
      <w:proofErr w:type="spellEnd"/>
      <w:r w:rsidRPr="008635A6">
        <w:t xml:space="preserve"> in adult cardiac surgery: recent evidence and management options for the perioperative echocardiographer</w:t>
      </w:r>
      <w:r>
        <w:t xml:space="preserve">. </w:t>
      </w:r>
      <w:r w:rsidRPr="008635A6">
        <w:rPr>
          <w:i/>
          <w:iCs/>
        </w:rPr>
        <w:t xml:space="preserve">J </w:t>
      </w:r>
      <w:proofErr w:type="spellStart"/>
      <w:r w:rsidRPr="008635A6">
        <w:rPr>
          <w:i/>
          <w:iCs/>
        </w:rPr>
        <w:t>Cardiothorac</w:t>
      </w:r>
      <w:proofErr w:type="spellEnd"/>
      <w:r w:rsidRPr="008635A6">
        <w:rPr>
          <w:i/>
          <w:iCs/>
        </w:rPr>
        <w:t xml:space="preserve"> </w:t>
      </w:r>
      <w:proofErr w:type="spellStart"/>
      <w:r w:rsidRPr="008635A6">
        <w:rPr>
          <w:i/>
          <w:iCs/>
        </w:rPr>
        <w:t>Vasc</w:t>
      </w:r>
      <w:proofErr w:type="spellEnd"/>
      <w:r w:rsidRPr="008635A6">
        <w:rPr>
          <w:i/>
          <w:iCs/>
        </w:rPr>
        <w:t xml:space="preserve"> </w:t>
      </w:r>
      <w:proofErr w:type="spellStart"/>
      <w:r w:rsidRPr="008635A6">
        <w:rPr>
          <w:i/>
          <w:iCs/>
        </w:rPr>
        <w:t>Anesth</w:t>
      </w:r>
      <w:proofErr w:type="spellEnd"/>
      <w:r w:rsidRPr="008635A6">
        <w:rPr>
          <w:i/>
          <w:iCs/>
        </w:rPr>
        <w:t>, 28</w:t>
      </w:r>
      <w:r>
        <w:t>(6): 1691-1695.</w:t>
      </w:r>
    </w:p>
    <w:p w14:paraId="77531BFB" w14:textId="3B0E96DC" w:rsidR="002A4D6C" w:rsidRDefault="007D39CA" w:rsidP="007D39CA">
      <w:pPr>
        <w:spacing w:after="120" w:line="240" w:lineRule="auto"/>
      </w:pPr>
      <w:proofErr w:type="spellStart"/>
      <w:r>
        <w:t>Ravellette</w:t>
      </w:r>
      <w:proofErr w:type="spellEnd"/>
      <w:r>
        <w:t xml:space="preserve"> K &amp; </w:t>
      </w:r>
      <w:proofErr w:type="spellStart"/>
      <w:r>
        <w:t>Tobis</w:t>
      </w:r>
      <w:proofErr w:type="spellEnd"/>
      <w:r>
        <w:t xml:space="preserve"> JM. (2022). B-29 Incidence of Atrial Fibrillation and Arrhythmias in Six Closure Devices for Patent Foramen </w:t>
      </w:r>
      <w:proofErr w:type="spellStart"/>
      <w:r>
        <w:t>Ovale</w:t>
      </w:r>
      <w:proofErr w:type="spellEnd"/>
      <w:r>
        <w:t xml:space="preserve"> [abstract]. </w:t>
      </w:r>
      <w:r w:rsidRPr="007D39CA">
        <w:rPr>
          <w:i/>
          <w:iCs/>
        </w:rPr>
        <w:t>JSCAI, 1</w:t>
      </w:r>
      <w:r>
        <w:t>(3) Supplement:14.</w:t>
      </w:r>
    </w:p>
    <w:p w14:paraId="6ECE7F6A" w14:textId="4D4734F3" w:rsidR="004C6B85" w:rsidRPr="00C11C19" w:rsidRDefault="004C6B85" w:rsidP="004A0548">
      <w:pPr>
        <w:spacing w:after="120" w:line="240" w:lineRule="auto"/>
      </w:pPr>
      <w:r>
        <w:t>Rubin</w:t>
      </w:r>
      <w:r w:rsidR="00E6189F">
        <w:t xml:space="preserve"> MN, Shah R, Devlin T, </w:t>
      </w:r>
      <w:proofErr w:type="spellStart"/>
      <w:r w:rsidR="00E6189F">
        <w:t>Youn</w:t>
      </w:r>
      <w:proofErr w:type="spellEnd"/>
      <w:r w:rsidR="00E6189F">
        <w:t xml:space="preserve"> TS, Waters MF, Volpi JJ. (2023). Robot-Assisted Transcranial Doppler Versus Transthoracic Echocardiography for Right to Left Shunt Detection. </w:t>
      </w:r>
      <w:r w:rsidR="00E6189F" w:rsidRPr="009101BA">
        <w:rPr>
          <w:i/>
          <w:iCs/>
        </w:rPr>
        <w:t xml:space="preserve">Stroke, </w:t>
      </w:r>
      <w:r w:rsidR="009101BA" w:rsidRPr="009101BA">
        <w:rPr>
          <w:i/>
          <w:iCs/>
        </w:rPr>
        <w:t>54</w:t>
      </w:r>
      <w:r w:rsidR="009101BA">
        <w:t>(11): 2842-2850.</w:t>
      </w:r>
    </w:p>
    <w:p w14:paraId="1372B440" w14:textId="7B7DD715" w:rsidR="00466522" w:rsidRDefault="00192643" w:rsidP="000C7471">
      <w:pPr>
        <w:spacing w:after="120" w:line="240" w:lineRule="auto"/>
      </w:pPr>
      <w:r>
        <w:t xml:space="preserve">Saary MJ </w:t>
      </w:r>
      <w:r w:rsidR="004A0548">
        <w:t xml:space="preserve">&amp; </w:t>
      </w:r>
      <w:r>
        <w:t>Gray GW. (2001)</w:t>
      </w:r>
      <w:r w:rsidR="004A0548">
        <w:t>.</w:t>
      </w:r>
      <w:r>
        <w:t xml:space="preserve"> A review of the relationship between patent foramen </w:t>
      </w:r>
      <w:proofErr w:type="spellStart"/>
      <w:r>
        <w:t>ovale</w:t>
      </w:r>
      <w:proofErr w:type="spellEnd"/>
      <w:r>
        <w:t xml:space="preserve"> and Type II decompression sickness. </w:t>
      </w:r>
      <w:proofErr w:type="spellStart"/>
      <w:r w:rsidRPr="004A0548">
        <w:rPr>
          <w:i/>
        </w:rPr>
        <w:t>Aviat</w:t>
      </w:r>
      <w:proofErr w:type="spellEnd"/>
      <w:r w:rsidRPr="004A0548">
        <w:rPr>
          <w:i/>
        </w:rPr>
        <w:t xml:space="preserve"> Space Environ Med</w:t>
      </w:r>
      <w:r w:rsidR="004A0548">
        <w:rPr>
          <w:i/>
          <w:iCs/>
        </w:rPr>
        <w:t>,</w:t>
      </w:r>
      <w:r w:rsidRPr="004A0548">
        <w:rPr>
          <w:i/>
        </w:rPr>
        <w:t xml:space="preserve"> 72</w:t>
      </w:r>
      <w:r>
        <w:t>: 1113-1120.</w:t>
      </w:r>
    </w:p>
    <w:p w14:paraId="25B142EE" w14:textId="5205281F" w:rsidR="008635A6" w:rsidRPr="00F81FE7" w:rsidRDefault="008635A6" w:rsidP="000C7471">
      <w:pPr>
        <w:spacing w:after="120" w:line="240" w:lineRule="auto"/>
      </w:pPr>
      <w:r w:rsidRPr="008635A6">
        <w:t xml:space="preserve">Saver JL, </w:t>
      </w:r>
      <w:proofErr w:type="spellStart"/>
      <w:r>
        <w:t>Caroll</w:t>
      </w:r>
      <w:proofErr w:type="spellEnd"/>
      <w:r>
        <w:t xml:space="preserve"> JD, Thaler DE, Smalling RW, MacDonald LA, Marks DS, </w:t>
      </w:r>
      <w:r w:rsidRPr="008635A6">
        <w:t xml:space="preserve">et al. (2017). Long-Term Outcomes of Patent Foramen </w:t>
      </w:r>
      <w:proofErr w:type="spellStart"/>
      <w:r w:rsidRPr="008635A6">
        <w:t>Ovale</w:t>
      </w:r>
      <w:proofErr w:type="spellEnd"/>
      <w:r w:rsidRPr="008635A6">
        <w:t xml:space="preserve"> Closure or Medical Therapy after Stroke. </w:t>
      </w:r>
      <w:r w:rsidRPr="008635A6">
        <w:rPr>
          <w:i/>
          <w:iCs/>
        </w:rPr>
        <w:t>NEJM, 377</w:t>
      </w:r>
      <w:r w:rsidRPr="008635A6">
        <w:t>(11)</w:t>
      </w:r>
      <w:r>
        <w:t xml:space="preserve">: </w:t>
      </w:r>
      <w:r w:rsidRPr="00F81FE7">
        <w:t>1022-1032.</w:t>
      </w:r>
    </w:p>
    <w:p w14:paraId="14A6AFF5" w14:textId="26969D9B" w:rsidR="008635A6" w:rsidRPr="00F81FE7" w:rsidRDefault="008635A6" w:rsidP="008635A6">
      <w:pPr>
        <w:spacing w:after="120" w:line="240" w:lineRule="auto"/>
      </w:pPr>
      <w:proofErr w:type="spellStart"/>
      <w:r w:rsidRPr="00F81FE7">
        <w:t>Skyes</w:t>
      </w:r>
      <w:proofErr w:type="spellEnd"/>
      <w:r w:rsidRPr="00F81FE7">
        <w:t xml:space="preserve"> O &amp; Clark JE. (2013). Patent foramen </w:t>
      </w:r>
      <w:proofErr w:type="spellStart"/>
      <w:r w:rsidRPr="00F81FE7">
        <w:t>ovale</w:t>
      </w:r>
      <w:proofErr w:type="spellEnd"/>
      <w:r w:rsidRPr="00F81FE7">
        <w:t xml:space="preserve"> and scuba diving: a practical guide for physicians on when to refer for screening. </w:t>
      </w:r>
      <w:proofErr w:type="spellStart"/>
      <w:r w:rsidRPr="00F81FE7">
        <w:rPr>
          <w:i/>
          <w:iCs/>
        </w:rPr>
        <w:t>Extrem</w:t>
      </w:r>
      <w:proofErr w:type="spellEnd"/>
      <w:r w:rsidRPr="00F81FE7">
        <w:rPr>
          <w:i/>
          <w:iCs/>
        </w:rPr>
        <w:t xml:space="preserve"> </w:t>
      </w:r>
      <w:proofErr w:type="spellStart"/>
      <w:r w:rsidRPr="00F81FE7">
        <w:rPr>
          <w:i/>
          <w:iCs/>
        </w:rPr>
        <w:t>Physiol</w:t>
      </w:r>
      <w:proofErr w:type="spellEnd"/>
      <w:r w:rsidRPr="00F81FE7">
        <w:rPr>
          <w:i/>
          <w:iCs/>
        </w:rPr>
        <w:t xml:space="preserve"> Med, 2</w:t>
      </w:r>
      <w:r w:rsidRPr="00F81FE7">
        <w:t>: 10.</w:t>
      </w:r>
    </w:p>
    <w:p w14:paraId="2AE0FF16" w14:textId="796BC42C" w:rsidR="008635A6" w:rsidRPr="005D75B0" w:rsidRDefault="008635A6" w:rsidP="008635A6">
      <w:pPr>
        <w:spacing w:after="120" w:line="240" w:lineRule="auto"/>
      </w:pPr>
      <w:r w:rsidRPr="005D75B0">
        <w:t xml:space="preserve">Steiner MM, Di </w:t>
      </w:r>
      <w:proofErr w:type="spellStart"/>
      <w:r w:rsidRPr="005D75B0">
        <w:t>Tullio</w:t>
      </w:r>
      <w:proofErr w:type="spellEnd"/>
      <w:r w:rsidRPr="005D75B0">
        <w:t xml:space="preserve"> MR, </w:t>
      </w:r>
      <w:proofErr w:type="spellStart"/>
      <w:r w:rsidRPr="005D75B0">
        <w:t>Rundek</w:t>
      </w:r>
      <w:proofErr w:type="spellEnd"/>
      <w:r w:rsidRPr="005D75B0">
        <w:t xml:space="preserve"> T, Gan R, Chen X, Liguori C, et al. (1998). Patent foramen </w:t>
      </w:r>
      <w:proofErr w:type="spellStart"/>
      <w:r w:rsidRPr="005D75B0">
        <w:t>ovale</w:t>
      </w:r>
      <w:proofErr w:type="spellEnd"/>
      <w:r w:rsidRPr="005D75B0">
        <w:t xml:space="preserve"> size and embolic brain imaging findings among patients with ischemic stroke</w:t>
      </w:r>
      <w:r w:rsidRPr="005D75B0">
        <w:rPr>
          <w:i/>
          <w:iCs/>
        </w:rPr>
        <w:t>. Stroke, 29</w:t>
      </w:r>
      <w:r w:rsidRPr="005D75B0">
        <w:t>(5): 944–8.</w:t>
      </w:r>
    </w:p>
    <w:p w14:paraId="42E1847F" w14:textId="1389A501" w:rsidR="00821A8B" w:rsidRPr="00A377B7" w:rsidRDefault="00B05939" w:rsidP="00A377B7">
      <w:pPr>
        <w:spacing w:after="120" w:line="240" w:lineRule="auto"/>
      </w:pPr>
      <w:r w:rsidRPr="00827EC5">
        <w:t xml:space="preserve">Stepanek J, Farina JM, Mahmoud AK, Chao CJ, </w:t>
      </w:r>
      <w:proofErr w:type="spellStart"/>
      <w:r w:rsidRPr="00827EC5">
        <w:t>Alsidawi</w:t>
      </w:r>
      <w:proofErr w:type="spellEnd"/>
      <w:r w:rsidRPr="00827EC5">
        <w:t xml:space="preserve"> S,</w:t>
      </w:r>
      <w:r w:rsidR="00CC631D">
        <w:t xml:space="preserve"> </w:t>
      </w:r>
      <w:r w:rsidR="00476240" w:rsidRPr="00827EC5">
        <w:t xml:space="preserve">Ayoub C, et al. (2024). </w:t>
      </w:r>
      <w:r w:rsidR="00A377B7">
        <w:t xml:space="preserve">Identifying the Causes of Unexplained Dyspnea at High Altitude Using </w:t>
      </w:r>
      <w:proofErr w:type="spellStart"/>
      <w:r w:rsidR="00A377B7">
        <w:t>Normobaric</w:t>
      </w:r>
      <w:proofErr w:type="spellEnd"/>
      <w:r w:rsidR="00A377B7">
        <w:t xml:space="preserve"> Hypoxia with Echocardiography. </w:t>
      </w:r>
      <w:r w:rsidR="00A377B7" w:rsidRPr="005D75B0">
        <w:rPr>
          <w:i/>
          <w:iCs/>
        </w:rPr>
        <w:t xml:space="preserve">Journal of Imaging, </w:t>
      </w:r>
      <w:r w:rsidR="005D75B0" w:rsidRPr="005D75B0">
        <w:rPr>
          <w:i/>
          <w:iCs/>
        </w:rPr>
        <w:t>10</w:t>
      </w:r>
      <w:r w:rsidR="005D75B0">
        <w:t>(38).</w:t>
      </w:r>
    </w:p>
    <w:p w14:paraId="47FC365B" w14:textId="16D29277" w:rsidR="00BB0233" w:rsidRDefault="00BB0233" w:rsidP="000C7471">
      <w:pPr>
        <w:spacing w:after="120" w:line="240" w:lineRule="auto"/>
      </w:pPr>
      <w:r w:rsidRPr="00F81FE7">
        <w:lastRenderedPageBreak/>
        <w:t xml:space="preserve">Sullivan PJ, Gray G, &amp; Nishi RY. (2000). Patent Foramen </w:t>
      </w:r>
      <w:proofErr w:type="spellStart"/>
      <w:r w:rsidRPr="00F81FE7">
        <w:t>Ovale</w:t>
      </w:r>
      <w:proofErr w:type="spellEnd"/>
      <w:r w:rsidRPr="00F81FE7">
        <w:t xml:space="preserve"> as a Risk Factor for Altitude</w:t>
      </w:r>
      <w:r>
        <w:t xml:space="preserve"> Decompression Illness. </w:t>
      </w:r>
      <w:r w:rsidR="0007773A" w:rsidRPr="0007773A">
        <w:rPr>
          <w:i/>
          <w:iCs/>
        </w:rPr>
        <w:t>Paper presented at the RTO HFM Symposium on "Operational Medical Issues in Hypo- and Hyperbaric Conditions ", held in Toronto, Canada, 16-19 October 2000, and published in RTO MP-062</w:t>
      </w:r>
      <w:r w:rsidR="0007773A">
        <w:t>.</w:t>
      </w:r>
    </w:p>
    <w:p w14:paraId="72E847F6" w14:textId="790D8176" w:rsidR="00821A8B" w:rsidRDefault="00821A8B" w:rsidP="000C7471">
      <w:pPr>
        <w:spacing w:after="120" w:line="240" w:lineRule="auto"/>
      </w:pPr>
      <w:r>
        <w:t xml:space="preserve">Tan Z, Lee PT, </w:t>
      </w:r>
      <w:proofErr w:type="spellStart"/>
      <w:r>
        <w:t>Manohararaj</w:t>
      </w:r>
      <w:proofErr w:type="spellEnd"/>
      <w:r>
        <w:t xml:space="preserve"> N, Tan JL, &amp; Chang HM. (2024). </w:t>
      </w:r>
      <w:r w:rsidRPr="00F67252">
        <w:t xml:space="preserve">Comparison of Simultaneously Performed Transcranial Doppler and Transthoracic Echocardiogram in Patients with Suspected Patent Foramen </w:t>
      </w:r>
      <w:proofErr w:type="spellStart"/>
      <w:r w:rsidRPr="00F67252">
        <w:t>Ovale</w:t>
      </w:r>
      <w:proofErr w:type="spellEnd"/>
      <w:r>
        <w:t xml:space="preserve">. </w:t>
      </w:r>
      <w:r w:rsidRPr="00F67252">
        <w:rPr>
          <w:i/>
          <w:iCs/>
        </w:rPr>
        <w:t>Journal of Asian Pacific Society of Cardiology, 3</w:t>
      </w:r>
      <w:r w:rsidRPr="00F67252">
        <w:t>:</w:t>
      </w:r>
      <w:r>
        <w:t xml:space="preserve"> </w:t>
      </w:r>
      <w:r w:rsidRPr="00F67252">
        <w:t>e17.</w:t>
      </w:r>
    </w:p>
    <w:p w14:paraId="27499B8D" w14:textId="7091C82B" w:rsidR="00F81FE7" w:rsidRDefault="00F81FE7" w:rsidP="000C7471">
      <w:pPr>
        <w:spacing w:after="120" w:line="240" w:lineRule="auto"/>
      </w:pPr>
      <w:proofErr w:type="spellStart"/>
      <w:r w:rsidRPr="00F81FE7">
        <w:t>Torti</w:t>
      </w:r>
      <w:proofErr w:type="spellEnd"/>
      <w:r w:rsidRPr="00F81FE7">
        <w:t xml:space="preserve"> SR, </w:t>
      </w:r>
      <w:proofErr w:type="spellStart"/>
      <w:r w:rsidRPr="00F81FE7">
        <w:t>Billinger</w:t>
      </w:r>
      <w:proofErr w:type="spellEnd"/>
      <w:r w:rsidRPr="00F81FE7">
        <w:t xml:space="preserve"> M, </w:t>
      </w:r>
      <w:proofErr w:type="spellStart"/>
      <w:r w:rsidRPr="00F81FE7">
        <w:t>Schwerzmann</w:t>
      </w:r>
      <w:proofErr w:type="spellEnd"/>
      <w:r w:rsidRPr="00F81FE7">
        <w:t xml:space="preserve"> M, Vogel R, </w:t>
      </w:r>
      <w:proofErr w:type="spellStart"/>
      <w:r w:rsidRPr="00F81FE7">
        <w:t>Zbinden</w:t>
      </w:r>
      <w:proofErr w:type="spellEnd"/>
      <w:r w:rsidRPr="00F81FE7">
        <w:t xml:space="preserve"> R, </w:t>
      </w:r>
      <w:proofErr w:type="spellStart"/>
      <w:r w:rsidRPr="00F81FE7">
        <w:t>Windecker</w:t>
      </w:r>
      <w:proofErr w:type="spellEnd"/>
      <w:r w:rsidRPr="00F81FE7">
        <w:t xml:space="preserve"> S, &amp; Seiler C. (2004). Risk of decompression illness among 230 divers in relation to the presence and size of patent foramen </w:t>
      </w:r>
      <w:proofErr w:type="spellStart"/>
      <w:r w:rsidRPr="00F81FE7">
        <w:t>ovale</w:t>
      </w:r>
      <w:proofErr w:type="spellEnd"/>
      <w:r w:rsidRPr="00F81FE7">
        <w:t xml:space="preserve">. </w:t>
      </w:r>
      <w:r w:rsidRPr="00F81FE7">
        <w:rPr>
          <w:i/>
          <w:iCs/>
        </w:rPr>
        <w:t>European Heart Journal, 25</w:t>
      </w:r>
      <w:r w:rsidRPr="00F81FE7">
        <w:t>: 1014-1020.</w:t>
      </w:r>
    </w:p>
    <w:p w14:paraId="23B8FA22" w14:textId="06FC0A50" w:rsidR="00F81FE7" w:rsidRDefault="00F81FE7" w:rsidP="000C7471">
      <w:pPr>
        <w:spacing w:after="120" w:line="240" w:lineRule="auto"/>
      </w:pPr>
      <w:proofErr w:type="spellStart"/>
      <w:r>
        <w:t>Turc</w:t>
      </w:r>
      <w:proofErr w:type="spellEnd"/>
      <w:r>
        <w:t xml:space="preserve"> G, </w:t>
      </w:r>
      <w:proofErr w:type="spellStart"/>
      <w:r>
        <w:t>Calvet</w:t>
      </w:r>
      <w:proofErr w:type="spellEnd"/>
      <w:r>
        <w:t xml:space="preserve"> D, Guerin P, </w:t>
      </w:r>
      <w:proofErr w:type="spellStart"/>
      <w:r>
        <w:t>Sroussi</w:t>
      </w:r>
      <w:proofErr w:type="spellEnd"/>
      <w:r>
        <w:t xml:space="preserve"> M, </w:t>
      </w:r>
      <w:proofErr w:type="spellStart"/>
      <w:r>
        <w:t>Chatellier</w:t>
      </w:r>
      <w:proofErr w:type="spellEnd"/>
      <w:r>
        <w:t xml:space="preserve"> G, &amp; Mas JL. (2018).</w:t>
      </w:r>
      <w:r w:rsidRPr="00F81FE7">
        <w:t xml:space="preserve"> Closure, Anticoagulation, or Antiplatelet Therapy for Cryptogenic Stroke </w:t>
      </w:r>
      <w:proofErr w:type="gramStart"/>
      <w:r w:rsidRPr="00F81FE7">
        <w:t>With</w:t>
      </w:r>
      <w:proofErr w:type="gramEnd"/>
      <w:r w:rsidRPr="00F81FE7">
        <w:t xml:space="preserve"> Patent Foramen </w:t>
      </w:r>
      <w:proofErr w:type="spellStart"/>
      <w:r w:rsidRPr="00F81FE7">
        <w:t>Ovale</w:t>
      </w:r>
      <w:proofErr w:type="spellEnd"/>
      <w:r w:rsidRPr="00F81FE7">
        <w:t>: Systematic Review of Randomized Trials, Sequential Meta‐Analysis, and New Insights From the CLOSE Study</w:t>
      </w:r>
      <w:r>
        <w:t xml:space="preserve">. </w:t>
      </w:r>
      <w:r w:rsidRPr="00F81FE7">
        <w:rPr>
          <w:i/>
          <w:iCs/>
        </w:rPr>
        <w:t>J Am Heart Assoc, 7</w:t>
      </w:r>
      <w:r w:rsidRPr="00F81FE7">
        <w:t>(12): e008356.</w:t>
      </w:r>
    </w:p>
    <w:p w14:paraId="0E2458C3" w14:textId="1CB3DE8D" w:rsidR="00F81FE7" w:rsidRDefault="00F81FE7" w:rsidP="000C7471">
      <w:pPr>
        <w:spacing w:after="120" w:line="240" w:lineRule="auto"/>
      </w:pPr>
      <w:r>
        <w:t xml:space="preserve">Van der Giessen H, Wilson LC, Coffey S, &amp; Whalley GA. (2020). </w:t>
      </w:r>
      <w:r w:rsidRPr="00F81FE7">
        <w:rPr>
          <w:i/>
          <w:iCs/>
        </w:rPr>
        <w:t>Australian Journal of Ultrasound in Medicine, 23</w:t>
      </w:r>
      <w:r w:rsidRPr="00F81FE7">
        <w:t>(4):</w:t>
      </w:r>
      <w:r>
        <w:t xml:space="preserve"> </w:t>
      </w:r>
      <w:r w:rsidRPr="00F81FE7">
        <w:t>210-219</w:t>
      </w:r>
      <w:r>
        <w:t xml:space="preserve">. </w:t>
      </w:r>
    </w:p>
    <w:p w14:paraId="3B6D79F3" w14:textId="7F851824" w:rsidR="00F81FE7" w:rsidRDefault="00F81FE7" w:rsidP="00F81FE7">
      <w:pPr>
        <w:spacing w:after="120" w:line="240" w:lineRule="auto"/>
      </w:pPr>
      <w:r>
        <w:t xml:space="preserve">Webb JT, </w:t>
      </w:r>
      <w:proofErr w:type="spellStart"/>
      <w:r>
        <w:t>Pilmanis</w:t>
      </w:r>
      <w:proofErr w:type="spellEnd"/>
      <w:r>
        <w:t xml:space="preserve"> AA, &amp; </w:t>
      </w:r>
      <w:proofErr w:type="spellStart"/>
      <w:r>
        <w:t>Balldin</w:t>
      </w:r>
      <w:proofErr w:type="spellEnd"/>
      <w:r>
        <w:t xml:space="preserve"> UI. (2004). </w:t>
      </w:r>
      <w:r w:rsidRPr="00F81FE7">
        <w:t xml:space="preserve">Altitude decompression sickness at 7620 m following </w:t>
      </w:r>
      <w:proofErr w:type="spellStart"/>
      <w:r w:rsidRPr="00F81FE7">
        <w:t>prebreathe</w:t>
      </w:r>
      <w:proofErr w:type="spellEnd"/>
      <w:r w:rsidRPr="00F81FE7">
        <w:t xml:space="preserve"> enhanced with exercise periods</w:t>
      </w:r>
      <w:r>
        <w:t xml:space="preserve">. </w:t>
      </w:r>
      <w:proofErr w:type="spellStart"/>
      <w:r w:rsidRPr="00F81FE7">
        <w:rPr>
          <w:i/>
          <w:iCs/>
        </w:rPr>
        <w:t>Aviat</w:t>
      </w:r>
      <w:proofErr w:type="spellEnd"/>
      <w:r w:rsidRPr="00F81FE7">
        <w:rPr>
          <w:i/>
          <w:iCs/>
        </w:rPr>
        <w:t xml:space="preserve"> Space Environ Med, 75</w:t>
      </w:r>
      <w:r>
        <w:t>(10): 859-64.</w:t>
      </w:r>
    </w:p>
    <w:p w14:paraId="7727EB1C" w14:textId="774F55A4" w:rsidR="0078547C" w:rsidRDefault="00466522" w:rsidP="00F81FE7">
      <w:pPr>
        <w:spacing w:after="120" w:line="240" w:lineRule="auto"/>
      </w:pPr>
      <w:r>
        <w:t>Wilmshur</w:t>
      </w:r>
      <w:r w:rsidR="001668E4">
        <w:t>st</w:t>
      </w:r>
      <w:r w:rsidR="00C073F1">
        <w:t xml:space="preserve"> PT, Byrne JC, &amp; Webb-</w:t>
      </w:r>
      <w:proofErr w:type="spellStart"/>
      <w:r w:rsidR="00C073F1">
        <w:t>Peploe</w:t>
      </w:r>
      <w:proofErr w:type="spellEnd"/>
      <w:r w:rsidR="00C073F1">
        <w:t xml:space="preserve"> MM.</w:t>
      </w:r>
      <w:r w:rsidR="00075EFF">
        <w:t xml:space="preserve"> (1989)</w:t>
      </w:r>
      <w:r w:rsidR="000C7471">
        <w:t>.</w:t>
      </w:r>
      <w:r w:rsidR="00C073F1">
        <w:t xml:space="preserve"> Relation Between </w:t>
      </w:r>
      <w:r w:rsidR="000C7471">
        <w:t>Interatrial</w:t>
      </w:r>
      <w:r w:rsidR="00C073F1">
        <w:t xml:space="preserve"> Shunt and Decompression Sickness in Divers</w:t>
      </w:r>
      <w:r w:rsidR="00C474DE">
        <w:t xml:space="preserve">. </w:t>
      </w:r>
      <w:r w:rsidR="00C474DE" w:rsidRPr="000C7471">
        <w:rPr>
          <w:i/>
        </w:rPr>
        <w:t xml:space="preserve">The </w:t>
      </w:r>
      <w:r w:rsidR="00C474DE" w:rsidRPr="000C7471">
        <w:rPr>
          <w:i/>
          <w:iCs/>
        </w:rPr>
        <w:t>Lanc</w:t>
      </w:r>
      <w:r w:rsidR="000C7471" w:rsidRPr="000C7471">
        <w:rPr>
          <w:i/>
          <w:iCs/>
        </w:rPr>
        <w:t>e</w:t>
      </w:r>
      <w:r w:rsidR="00C474DE" w:rsidRPr="000C7471">
        <w:rPr>
          <w:i/>
          <w:iCs/>
        </w:rPr>
        <w:t>t</w:t>
      </w:r>
      <w:r w:rsidR="00C474DE">
        <w:t xml:space="preserve">, December 2, </w:t>
      </w:r>
      <w:r w:rsidR="00075EFF">
        <w:t>1989.</w:t>
      </w:r>
    </w:p>
    <w:p w14:paraId="32C56FD3" w14:textId="7D2271B9" w:rsidR="00F81FE7" w:rsidRDefault="00F81FE7" w:rsidP="00F81FE7">
      <w:pPr>
        <w:spacing w:after="120" w:line="240" w:lineRule="auto"/>
      </w:pPr>
      <w:proofErr w:type="spellStart"/>
      <w:r w:rsidRPr="00F81FE7">
        <w:t>Wilmshurt</w:t>
      </w:r>
      <w:proofErr w:type="spellEnd"/>
      <w:r w:rsidRPr="00F81FE7">
        <w:t xml:space="preserve"> PT, Morrison WL, &amp; Walsh KP. (2015). Comparison of the size of persistent foramen </w:t>
      </w:r>
      <w:proofErr w:type="spellStart"/>
      <w:r w:rsidRPr="00F81FE7">
        <w:t>ovale</w:t>
      </w:r>
      <w:proofErr w:type="spellEnd"/>
      <w:r w:rsidRPr="00F81FE7">
        <w:t xml:space="preserve"> and atrial septal defects in divers with shunt-related decompression illness and in the general population. </w:t>
      </w:r>
      <w:r w:rsidRPr="00F81FE7">
        <w:rPr>
          <w:i/>
          <w:iCs/>
        </w:rPr>
        <w:t>Diving Hyper Med, 45</w:t>
      </w:r>
      <w:r w:rsidRPr="00F81FE7">
        <w:t>(2): 89-93</w:t>
      </w:r>
      <w:r>
        <w:t>.</w:t>
      </w:r>
    </w:p>
    <w:p w14:paraId="39956160" w14:textId="77777777" w:rsidR="00F81FE7" w:rsidRDefault="00F81FE7" w:rsidP="003E102F">
      <w:pPr>
        <w:spacing w:after="0" w:line="240" w:lineRule="auto"/>
      </w:pPr>
    </w:p>
    <w:sectPr w:rsidR="00F81FE7">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83AA1" w14:textId="77777777" w:rsidR="00F5432C" w:rsidRDefault="00F5432C" w:rsidP="00FF21A0">
      <w:pPr>
        <w:spacing w:after="0" w:line="240" w:lineRule="auto"/>
      </w:pPr>
      <w:r>
        <w:separator/>
      </w:r>
    </w:p>
  </w:endnote>
  <w:endnote w:type="continuationSeparator" w:id="0">
    <w:p w14:paraId="3F261500" w14:textId="77777777" w:rsidR="00F5432C" w:rsidRDefault="00F5432C" w:rsidP="00FF21A0">
      <w:pPr>
        <w:spacing w:after="0" w:line="240" w:lineRule="auto"/>
      </w:pPr>
      <w:r>
        <w:continuationSeparator/>
      </w:r>
    </w:p>
  </w:endnote>
  <w:endnote w:type="continuationNotice" w:id="1">
    <w:p w14:paraId="34305EE2" w14:textId="77777777" w:rsidR="00F5432C" w:rsidRDefault="00F543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C4FD" w14:textId="77777777" w:rsidR="008A1A32" w:rsidRDefault="008A1A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0A1C29" w14:textId="77777777" w:rsidR="008A1A32" w:rsidRDefault="008A1A32">
    <w:r>
      <w:tab/>
    </w:r>
    <w:r>
      <w:tab/>
    </w:r>
    <w:r>
      <w:tab/>
    </w:r>
  </w:p>
  <w:p w14:paraId="1FE753A6" w14:textId="77777777" w:rsidR="008A1A32" w:rsidRDefault="008A1A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7DDC" w14:textId="77777777" w:rsidR="008A1A32" w:rsidRDefault="008A1A32">
    <w:pPr>
      <w:pBdr>
        <w:bottom w:val="single" w:sz="48" w:space="1" w:color="auto"/>
      </w:pBdr>
      <w:ind w:left="-1440" w:right="-1440" w:firstLine="240"/>
    </w:pPr>
    <w:r>
      <w:tab/>
    </w:r>
    <w:r>
      <w:tab/>
    </w:r>
    <w:r>
      <w:tab/>
    </w:r>
  </w:p>
  <w:p w14:paraId="62441F56" w14:textId="4AB33E69" w:rsidR="008A1A32" w:rsidRDefault="00E9676C">
    <w:pPr>
      <w:pStyle w:val="Date"/>
    </w:pPr>
    <w:r>
      <w:t>September</w:t>
    </w:r>
    <w:r w:rsidR="008A1A3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D3D8" w14:textId="77777777" w:rsidR="008A1A32" w:rsidRDefault="008A1A32">
    <w:pPr>
      <w:tabs>
        <w:tab w:val="left" w:pos="5760"/>
      </w:tabs>
    </w:pPr>
    <w:r>
      <w:t xml:space="preserve">National Aeronautics and </w:t>
    </w:r>
  </w:p>
  <w:p w14:paraId="6303E7D9" w14:textId="77777777" w:rsidR="008A1A32" w:rsidRDefault="008A1A32">
    <w:r>
      <w:t>Space Administration</w:t>
    </w:r>
  </w:p>
  <w:p w14:paraId="27E25CA1" w14:textId="77777777" w:rsidR="008A1A32" w:rsidRDefault="008A1A32" w:rsidP="00322767">
    <w:pPr>
      <w:tabs>
        <w:tab w:val="left" w:pos="5580"/>
      </w:tabs>
    </w:pPr>
  </w:p>
  <w:p w14:paraId="32085C70" w14:textId="77777777" w:rsidR="008A1A32" w:rsidRDefault="008A1A32" w:rsidP="00322767">
    <w:pPr>
      <w:tabs>
        <w:tab w:val="left" w:pos="5580"/>
      </w:tabs>
    </w:pPr>
  </w:p>
  <w:p w14:paraId="05CF0743" w14:textId="3B47B155" w:rsidR="008A1A32" w:rsidRPr="00425F52" w:rsidRDefault="00B856D0" w:rsidP="00322767">
    <w:pPr>
      <w:pStyle w:val="footertext"/>
    </w:pPr>
    <w:r>
      <w:t>NASA Johonson Space Center</w:t>
    </w:r>
  </w:p>
  <w:p w14:paraId="72564F42" w14:textId="61E3439F" w:rsidR="008A1A32" w:rsidRDefault="00B856D0" w:rsidP="00322767">
    <w:pPr>
      <w:tabs>
        <w:tab w:val="left" w:pos="5580"/>
      </w:tabs>
    </w:pPr>
    <w:r>
      <w:t>Houston Texas</w:t>
    </w:r>
    <w:r w:rsidR="008A1A32">
      <w:tab/>
    </w:r>
  </w:p>
  <w:p w14:paraId="742B8079" w14:textId="77777777" w:rsidR="008A1A32" w:rsidRDefault="008A1A32">
    <w:pPr>
      <w:pBdr>
        <w:bottom w:val="single" w:sz="48" w:space="1" w:color="auto"/>
      </w:pBdr>
      <w:ind w:left="-1440" w:right="-1440"/>
    </w:pPr>
    <w:r>
      <w:tab/>
    </w:r>
    <w:r>
      <w:tab/>
    </w:r>
    <w:r>
      <w:tab/>
    </w:r>
  </w:p>
  <w:p w14:paraId="66A5E131" w14:textId="4C87EF1E" w:rsidR="008A1A32" w:rsidRDefault="00B856D0">
    <w:pPr>
      <w:pStyle w:val="Footer"/>
    </w:pPr>
    <w:r>
      <w:t>August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BE56" w14:textId="77777777" w:rsidR="008A1A32" w:rsidRDefault="008A1A32">
    <w:pPr>
      <w:rPr>
        <w:sz w:val="18"/>
      </w:rPr>
    </w:pPr>
  </w:p>
  <w:p w14:paraId="2E43D225" w14:textId="77777777" w:rsidR="008A1A32" w:rsidRDefault="008A1A32">
    <w:pPr>
      <w:rPr>
        <w:sz w:val="18"/>
      </w:rPr>
    </w:pPr>
  </w:p>
  <w:p w14:paraId="7AE1944E" w14:textId="77777777" w:rsidR="008A1A32" w:rsidRDefault="008A1A32" w:rsidP="008E391E">
    <w:pPr>
      <w:tabs>
        <w:tab w:val="left" w:pos="5400"/>
      </w:tabs>
      <w:jc w:val="center"/>
    </w:pPr>
    <w:r>
      <w:t>Available from:</w:t>
    </w:r>
  </w:p>
  <w:p w14:paraId="3B035D63" w14:textId="77777777" w:rsidR="008A1A32" w:rsidRDefault="008A1A32" w:rsidP="008E391E"/>
  <w:p w14:paraId="0B226BEB" w14:textId="77777777" w:rsidR="008A1A32" w:rsidRDefault="008A1A32" w:rsidP="002F58EB">
    <w:pPr>
      <w:jc w:val="center"/>
    </w:pPr>
    <w:r>
      <w:t>NASA STI Program / Mail Stop 050</w:t>
    </w:r>
  </w:p>
  <w:p w14:paraId="4292DEC1" w14:textId="77777777" w:rsidR="008A1A32" w:rsidRDefault="008A1A32" w:rsidP="002F58EB">
    <w:pPr>
      <w:jc w:val="center"/>
    </w:pPr>
    <w:r>
      <w:t>NASA Langley Research Center</w:t>
    </w:r>
  </w:p>
  <w:p w14:paraId="1778576D" w14:textId="77777777" w:rsidR="008A1A32" w:rsidRDefault="008A1A32" w:rsidP="002F58EB">
    <w:pPr>
      <w:jc w:val="center"/>
    </w:pPr>
    <w:r>
      <w:t>Hampton, VA  23681-2199</w:t>
    </w:r>
  </w:p>
  <w:p w14:paraId="7EBEA4BF" w14:textId="77777777" w:rsidR="008A1A32" w:rsidRDefault="008A1A32" w:rsidP="008E391E">
    <w:pPr>
      <w:pStyle w:val="FiglegCntr"/>
      <w:keepLines w:val="0"/>
      <w:widowControl/>
      <w:tabs>
        <w:tab w:val="left" w:pos="540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0B7B" w14:textId="5F6BBA96" w:rsidR="00FF21A0" w:rsidRDefault="00FF21A0">
    <w:pPr>
      <w:pStyle w:val="Footer"/>
    </w:pPr>
    <w:r>
      <w:t xml:space="preserve">PFO &amp; DCS </w:t>
    </w:r>
    <w:r w:rsidR="00993AFA">
      <w:t>Working Group Summary</w:t>
    </w:r>
    <w:r w:rsidR="00C240F0">
      <w:t xml:space="preserve"> Report</w:t>
    </w:r>
    <w:r w:rsidR="0015397C">
      <w:tab/>
    </w:r>
    <w:r w:rsidR="0015397C">
      <w:tab/>
    </w:r>
    <w:r w:rsidR="00E9676C">
      <w:t>September</w:t>
    </w:r>
    <w:r w:rsidR="0015397C">
      <w:t xml:space="preserve"> 202</w:t>
    </w:r>
    <w:r w:rsidR="0088218C">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90615" w14:textId="77777777" w:rsidR="00F5432C" w:rsidRDefault="00F5432C" w:rsidP="00FF21A0">
      <w:pPr>
        <w:spacing w:after="0" w:line="240" w:lineRule="auto"/>
      </w:pPr>
      <w:r>
        <w:separator/>
      </w:r>
    </w:p>
  </w:footnote>
  <w:footnote w:type="continuationSeparator" w:id="0">
    <w:p w14:paraId="68AC51C6" w14:textId="77777777" w:rsidR="00F5432C" w:rsidRDefault="00F5432C" w:rsidP="00FF21A0">
      <w:pPr>
        <w:spacing w:after="0" w:line="240" w:lineRule="auto"/>
      </w:pPr>
      <w:r>
        <w:continuationSeparator/>
      </w:r>
    </w:p>
  </w:footnote>
  <w:footnote w:type="continuationNotice" w:id="1">
    <w:p w14:paraId="229DDCC5" w14:textId="77777777" w:rsidR="00F5432C" w:rsidRDefault="00F543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31C0" w14:textId="77777777" w:rsidR="008A1A32" w:rsidRDefault="008A1A32" w:rsidP="00BD41B2">
    <w:pPr>
      <w:pStyle w:val="Heading1"/>
    </w:pPr>
  </w:p>
  <w:p w14:paraId="6DF56924" w14:textId="77777777" w:rsidR="008A1A32" w:rsidRDefault="008A1A32" w:rsidP="00BD41B2"/>
  <w:p w14:paraId="7ACF7479" w14:textId="77777777" w:rsidR="008A1A32" w:rsidRDefault="008A1A32" w:rsidP="00BD41B2"/>
  <w:p w14:paraId="03B44377" w14:textId="77777777" w:rsidR="008A1A32" w:rsidRPr="00BD41B2" w:rsidRDefault="008A1A32" w:rsidP="00BD41B2">
    <w:pPr>
      <w:pStyle w:val="ProfileHead"/>
      <w:spacing w:line="320" w:lineRule="exact"/>
      <w:rPr>
        <w:rFonts w:ascii="Times New Roman" w:hAnsi="Times New Roman"/>
        <w:b w:val="0"/>
        <w:sz w:val="28"/>
        <w:szCs w:val="28"/>
      </w:rPr>
    </w:pPr>
    <w:r w:rsidRPr="00BD41B2">
      <w:rPr>
        <w:rFonts w:ascii="Times New Roman" w:hAnsi="Times New Roman"/>
        <w:b w:val="0"/>
        <w:sz w:val="28"/>
        <w:szCs w:val="28"/>
      </w:rPr>
      <w:t>NASA STI Program Report Series</w:t>
    </w:r>
  </w:p>
  <w:p w14:paraId="358CE94C" w14:textId="77777777" w:rsidR="008A1A32" w:rsidRPr="00BD41B2" w:rsidRDefault="008A1A32" w:rsidP="00BD41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9EA8" w14:textId="77777777" w:rsidR="008A1A32" w:rsidRDefault="008A1A32">
    <w:pPr>
      <w:ind w:left="-1440" w:right="-1440" w:firstLine="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A42FF" w14:textId="77777777" w:rsidR="008A1A32" w:rsidRDefault="008A1A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0749" w14:textId="6979413C" w:rsidR="00ED5BCE" w:rsidRDefault="00000000">
    <w:pPr>
      <w:pStyle w:val="Header"/>
      <w:jc w:val="right"/>
    </w:pPr>
    <w:sdt>
      <w:sdtPr>
        <w:id w:val="-1584684656"/>
        <w:docPartObj>
          <w:docPartGallery w:val="Page Numbers (Top of Page)"/>
          <w:docPartUnique/>
        </w:docPartObj>
      </w:sdtPr>
      <w:sdtEndPr>
        <w:rPr>
          <w:noProof/>
        </w:rPr>
      </w:sdtEndPr>
      <w:sdtContent>
        <w:r w:rsidR="00ED5BCE">
          <w:fldChar w:fldCharType="begin"/>
        </w:r>
        <w:r w:rsidR="00ED5BCE">
          <w:instrText xml:space="preserve"> PAGE   \* MERGEFORMAT </w:instrText>
        </w:r>
        <w:r w:rsidR="00ED5BCE">
          <w:fldChar w:fldCharType="separate"/>
        </w:r>
        <w:r w:rsidR="00ED5BCE">
          <w:rPr>
            <w:noProof/>
          </w:rPr>
          <w:t>2</w:t>
        </w:r>
        <w:r w:rsidR="00ED5BCE">
          <w:rPr>
            <w:noProof/>
          </w:rPr>
          <w:fldChar w:fldCharType="end"/>
        </w:r>
      </w:sdtContent>
    </w:sdt>
  </w:p>
  <w:p w14:paraId="211F661B" w14:textId="6E7843EC" w:rsidR="00ED5BCE" w:rsidRDefault="00ED5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8A16C3"/>
    <w:multiLevelType w:val="hybridMultilevel"/>
    <w:tmpl w:val="B9C073E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714C15"/>
    <w:multiLevelType w:val="hybridMultilevel"/>
    <w:tmpl w:val="44606BB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F46BB"/>
    <w:multiLevelType w:val="multilevel"/>
    <w:tmpl w:val="7FBA75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9F3745"/>
    <w:multiLevelType w:val="multilevel"/>
    <w:tmpl w:val="07F24D0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4F104A9"/>
    <w:multiLevelType w:val="hybridMultilevel"/>
    <w:tmpl w:val="F29009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04347"/>
    <w:multiLevelType w:val="hybridMultilevel"/>
    <w:tmpl w:val="077A1816"/>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4E7B50"/>
    <w:multiLevelType w:val="multilevel"/>
    <w:tmpl w:val="E0E07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1A11AD"/>
    <w:multiLevelType w:val="multilevel"/>
    <w:tmpl w:val="7C94C01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50970D6"/>
    <w:multiLevelType w:val="hybridMultilevel"/>
    <w:tmpl w:val="B9C073E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8882B8B"/>
    <w:multiLevelType w:val="multilevel"/>
    <w:tmpl w:val="B3D4494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D60C82"/>
    <w:multiLevelType w:val="multilevel"/>
    <w:tmpl w:val="315A921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F4105DA"/>
    <w:multiLevelType w:val="hybridMultilevel"/>
    <w:tmpl w:val="4B8C8D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64475"/>
    <w:multiLevelType w:val="multilevel"/>
    <w:tmpl w:val="998CFB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163D81"/>
    <w:multiLevelType w:val="multilevel"/>
    <w:tmpl w:val="752231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A35C14"/>
    <w:multiLevelType w:val="hybridMultilevel"/>
    <w:tmpl w:val="46D4C9E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121787"/>
    <w:multiLevelType w:val="hybridMultilevel"/>
    <w:tmpl w:val="15B4D7F0"/>
    <w:lvl w:ilvl="0" w:tplc="0409001B">
      <w:start w:val="1"/>
      <w:numFmt w:val="lowerRoman"/>
      <w:lvlText w:val="%1."/>
      <w:lvlJc w:val="right"/>
      <w:pPr>
        <w:ind w:left="1440" w:hanging="360"/>
      </w:pPr>
    </w:lvl>
    <w:lvl w:ilvl="1" w:tplc="0409001B">
      <w:start w:val="1"/>
      <w:numFmt w:val="lowerRoman"/>
      <w:lvlText w:val="%2."/>
      <w:lvlJc w:val="right"/>
      <w:pPr>
        <w:ind w:left="1440" w:hanging="360"/>
      </w:pPr>
    </w:lvl>
    <w:lvl w:ilvl="2" w:tplc="FFFFFFFF">
      <w:start w:val="1"/>
      <w:numFmt w:val="bullet"/>
      <w:lvlText w:val=""/>
      <w:lvlJc w:val="left"/>
      <w:pPr>
        <w:ind w:left="720" w:hanging="360"/>
      </w:pPr>
      <w:rPr>
        <w:rFonts w:ascii="Wingdings" w:hAnsi="Wingding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C8C13F8"/>
    <w:multiLevelType w:val="multilevel"/>
    <w:tmpl w:val="A35C80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182070"/>
    <w:multiLevelType w:val="hybridMultilevel"/>
    <w:tmpl w:val="54165C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D5600C"/>
    <w:multiLevelType w:val="multilevel"/>
    <w:tmpl w:val="D4AEC6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BC68C0"/>
    <w:multiLevelType w:val="hybridMultilevel"/>
    <w:tmpl w:val="10587F34"/>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8A6606"/>
    <w:multiLevelType w:val="multilevel"/>
    <w:tmpl w:val="E3164F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93391E"/>
    <w:multiLevelType w:val="multilevel"/>
    <w:tmpl w:val="D8968C3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1C4107C"/>
    <w:multiLevelType w:val="hybridMultilevel"/>
    <w:tmpl w:val="4CC4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D7C2B"/>
    <w:multiLevelType w:val="hybridMultilevel"/>
    <w:tmpl w:val="86D65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35EF2"/>
    <w:multiLevelType w:val="hybridMultilevel"/>
    <w:tmpl w:val="715EC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E0758F"/>
    <w:multiLevelType w:val="hybridMultilevel"/>
    <w:tmpl w:val="98543892"/>
    <w:lvl w:ilvl="0" w:tplc="BB2E5916">
      <w:start w:val="1"/>
      <w:numFmt w:val="lowerLetter"/>
      <w:lvlText w:val="%1."/>
      <w:lvlJc w:val="left"/>
      <w:pPr>
        <w:ind w:left="720" w:hanging="360"/>
      </w:pPr>
      <w:rPr>
        <w:color w:val="auto"/>
      </w:rPr>
    </w:lvl>
    <w:lvl w:ilvl="1" w:tplc="FFFFFFFF">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C40384"/>
    <w:multiLevelType w:val="hybridMultilevel"/>
    <w:tmpl w:val="AD169964"/>
    <w:lvl w:ilvl="0" w:tplc="221E3DE2">
      <w:start w:val="1"/>
      <w:numFmt w:val="lowerRoman"/>
      <w:lvlText w:val="%1."/>
      <w:lvlJc w:val="right"/>
      <w:pPr>
        <w:ind w:left="1800" w:hanging="360"/>
      </w:pPr>
      <w:rPr>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88C0D9E"/>
    <w:multiLevelType w:val="hybridMultilevel"/>
    <w:tmpl w:val="2C24B2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B91C84"/>
    <w:multiLevelType w:val="hybridMultilevel"/>
    <w:tmpl w:val="CE4CC8F8"/>
    <w:lvl w:ilvl="0" w:tplc="8BF6C480">
      <w:start w:val="1"/>
      <w:numFmt w:val="lowerLetter"/>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A447EE2"/>
    <w:multiLevelType w:val="hybridMultilevel"/>
    <w:tmpl w:val="46D4C9E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CF544C1"/>
    <w:multiLevelType w:val="hybridMultilevel"/>
    <w:tmpl w:val="BBB0E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664E5"/>
    <w:multiLevelType w:val="hybridMultilevel"/>
    <w:tmpl w:val="E3ACF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BC3453"/>
    <w:multiLevelType w:val="multilevel"/>
    <w:tmpl w:val="FD1A6F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1E4D56"/>
    <w:multiLevelType w:val="hybridMultilevel"/>
    <w:tmpl w:val="CED0A20C"/>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832602"/>
    <w:multiLevelType w:val="hybridMultilevel"/>
    <w:tmpl w:val="C41612E0"/>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956094"/>
    <w:multiLevelType w:val="hybridMultilevel"/>
    <w:tmpl w:val="AFFC016E"/>
    <w:lvl w:ilvl="0" w:tplc="19D44ED8">
      <w:start w:val="1"/>
      <w:numFmt w:val="bullet"/>
      <w:lvlText w:val=""/>
      <w:lvlJc w:val="left"/>
      <w:pPr>
        <w:ind w:left="720" w:hanging="360"/>
      </w:pPr>
      <w:rPr>
        <w:rFonts w:ascii="Symbol" w:hAnsi="Symbol"/>
      </w:rPr>
    </w:lvl>
    <w:lvl w:ilvl="1" w:tplc="1340BC1E">
      <w:start w:val="1"/>
      <w:numFmt w:val="bullet"/>
      <w:lvlText w:val=""/>
      <w:lvlJc w:val="left"/>
      <w:pPr>
        <w:ind w:left="720" w:hanging="360"/>
      </w:pPr>
      <w:rPr>
        <w:rFonts w:ascii="Symbol" w:hAnsi="Symbol"/>
      </w:rPr>
    </w:lvl>
    <w:lvl w:ilvl="2" w:tplc="4D2E3620">
      <w:start w:val="1"/>
      <w:numFmt w:val="bullet"/>
      <w:lvlText w:val=""/>
      <w:lvlJc w:val="left"/>
      <w:pPr>
        <w:ind w:left="720" w:hanging="360"/>
      </w:pPr>
      <w:rPr>
        <w:rFonts w:ascii="Symbol" w:hAnsi="Symbol"/>
      </w:rPr>
    </w:lvl>
    <w:lvl w:ilvl="3" w:tplc="D7349BFA">
      <w:start w:val="1"/>
      <w:numFmt w:val="bullet"/>
      <w:lvlText w:val=""/>
      <w:lvlJc w:val="left"/>
      <w:pPr>
        <w:ind w:left="720" w:hanging="360"/>
      </w:pPr>
      <w:rPr>
        <w:rFonts w:ascii="Symbol" w:hAnsi="Symbol"/>
      </w:rPr>
    </w:lvl>
    <w:lvl w:ilvl="4" w:tplc="6A78D9C4">
      <w:start w:val="1"/>
      <w:numFmt w:val="bullet"/>
      <w:lvlText w:val=""/>
      <w:lvlJc w:val="left"/>
      <w:pPr>
        <w:ind w:left="720" w:hanging="360"/>
      </w:pPr>
      <w:rPr>
        <w:rFonts w:ascii="Symbol" w:hAnsi="Symbol"/>
      </w:rPr>
    </w:lvl>
    <w:lvl w:ilvl="5" w:tplc="D7708D72">
      <w:start w:val="1"/>
      <w:numFmt w:val="bullet"/>
      <w:lvlText w:val=""/>
      <w:lvlJc w:val="left"/>
      <w:pPr>
        <w:ind w:left="720" w:hanging="360"/>
      </w:pPr>
      <w:rPr>
        <w:rFonts w:ascii="Symbol" w:hAnsi="Symbol"/>
      </w:rPr>
    </w:lvl>
    <w:lvl w:ilvl="6" w:tplc="C466163A">
      <w:start w:val="1"/>
      <w:numFmt w:val="bullet"/>
      <w:lvlText w:val=""/>
      <w:lvlJc w:val="left"/>
      <w:pPr>
        <w:ind w:left="720" w:hanging="360"/>
      </w:pPr>
      <w:rPr>
        <w:rFonts w:ascii="Symbol" w:hAnsi="Symbol"/>
      </w:rPr>
    </w:lvl>
    <w:lvl w:ilvl="7" w:tplc="F23EF852">
      <w:start w:val="1"/>
      <w:numFmt w:val="bullet"/>
      <w:lvlText w:val=""/>
      <w:lvlJc w:val="left"/>
      <w:pPr>
        <w:ind w:left="720" w:hanging="360"/>
      </w:pPr>
      <w:rPr>
        <w:rFonts w:ascii="Symbol" w:hAnsi="Symbol"/>
      </w:rPr>
    </w:lvl>
    <w:lvl w:ilvl="8" w:tplc="24AC45DC">
      <w:start w:val="1"/>
      <w:numFmt w:val="bullet"/>
      <w:lvlText w:val=""/>
      <w:lvlJc w:val="left"/>
      <w:pPr>
        <w:ind w:left="720" w:hanging="360"/>
      </w:pPr>
      <w:rPr>
        <w:rFonts w:ascii="Symbol" w:hAnsi="Symbol"/>
      </w:rPr>
    </w:lvl>
  </w:abstractNum>
  <w:num w:numId="1" w16cid:durableId="100033082">
    <w:abstractNumId w:val="5"/>
  </w:num>
  <w:num w:numId="2" w16cid:durableId="1340086295">
    <w:abstractNumId w:val="28"/>
  </w:num>
  <w:num w:numId="3" w16cid:durableId="1840339827">
    <w:abstractNumId w:val="14"/>
  </w:num>
  <w:num w:numId="4" w16cid:durableId="633218509">
    <w:abstractNumId w:val="33"/>
  </w:num>
  <w:num w:numId="5" w16cid:durableId="1543637820">
    <w:abstractNumId w:val="35"/>
  </w:num>
  <w:num w:numId="6" w16cid:durableId="613250281">
    <w:abstractNumId w:val="23"/>
  </w:num>
  <w:num w:numId="7" w16cid:durableId="1405027820">
    <w:abstractNumId w:val="17"/>
  </w:num>
  <w:num w:numId="8" w16cid:durableId="2112969363">
    <w:abstractNumId w:val="7"/>
  </w:num>
  <w:num w:numId="9" w16cid:durableId="2049330596">
    <w:abstractNumId w:val="13"/>
  </w:num>
  <w:num w:numId="10" w16cid:durableId="1178469385">
    <w:abstractNumId w:val="21"/>
  </w:num>
  <w:num w:numId="11" w16cid:durableId="1176726019">
    <w:abstractNumId w:val="3"/>
  </w:num>
  <w:num w:numId="12" w16cid:durableId="1771504151">
    <w:abstractNumId w:val="19"/>
  </w:num>
  <w:num w:numId="13" w16cid:durableId="1488787056">
    <w:abstractNumId w:val="2"/>
  </w:num>
  <w:num w:numId="14" w16cid:durableId="793602341">
    <w:abstractNumId w:val="6"/>
  </w:num>
  <w:num w:numId="15" w16cid:durableId="1843540991">
    <w:abstractNumId w:val="20"/>
  </w:num>
  <w:num w:numId="16" w16cid:durableId="718476514">
    <w:abstractNumId w:val="10"/>
  </w:num>
  <w:num w:numId="17" w16cid:durableId="1095632397">
    <w:abstractNumId w:val="24"/>
  </w:num>
  <w:num w:numId="18" w16cid:durableId="1460222261">
    <w:abstractNumId w:val="31"/>
  </w:num>
  <w:num w:numId="19" w16cid:durableId="124129652">
    <w:abstractNumId w:val="25"/>
  </w:num>
  <w:num w:numId="20" w16cid:durableId="924916743">
    <w:abstractNumId w:val="32"/>
  </w:num>
  <w:num w:numId="21" w16cid:durableId="1747260347">
    <w:abstractNumId w:val="12"/>
  </w:num>
  <w:num w:numId="22" w16cid:durableId="1983272301">
    <w:abstractNumId w:val="30"/>
  </w:num>
  <w:num w:numId="23" w16cid:durableId="94831151">
    <w:abstractNumId w:val="15"/>
  </w:num>
  <w:num w:numId="24" w16cid:durableId="88552345">
    <w:abstractNumId w:val="9"/>
  </w:num>
  <w:num w:numId="25" w16cid:durableId="2094810901">
    <w:abstractNumId w:val="18"/>
  </w:num>
  <w:num w:numId="26" w16cid:durableId="1053456874">
    <w:abstractNumId w:val="27"/>
  </w:num>
  <w:num w:numId="27" w16cid:durableId="1252736196">
    <w:abstractNumId w:val="26"/>
  </w:num>
  <w:num w:numId="28" w16cid:durableId="408045702">
    <w:abstractNumId w:val="34"/>
  </w:num>
  <w:num w:numId="29" w16cid:durableId="1127507316">
    <w:abstractNumId w:val="8"/>
  </w:num>
  <w:num w:numId="30" w16cid:durableId="915357428">
    <w:abstractNumId w:val="29"/>
  </w:num>
  <w:num w:numId="31" w16cid:durableId="1581058823">
    <w:abstractNumId w:val="16"/>
  </w:num>
  <w:num w:numId="32" w16cid:durableId="2084254977">
    <w:abstractNumId w:val="22"/>
  </w:num>
  <w:num w:numId="33" w16cid:durableId="1485781564">
    <w:abstractNumId w:val="4"/>
  </w:num>
  <w:num w:numId="34" w16cid:durableId="1568570268">
    <w:abstractNumId w:val="1"/>
  </w:num>
  <w:num w:numId="35" w16cid:durableId="836967287">
    <w:abstractNumId w:val="36"/>
  </w:num>
  <w:num w:numId="36" w16cid:durableId="286010953">
    <w:abstractNumId w:val="11"/>
  </w:num>
  <w:num w:numId="37" w16cid:durableId="187611784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721"/>
    <w:rsid w:val="00000BF7"/>
    <w:rsid w:val="00000D3F"/>
    <w:rsid w:val="00000FB8"/>
    <w:rsid w:val="000010C8"/>
    <w:rsid w:val="000016EF"/>
    <w:rsid w:val="000023DB"/>
    <w:rsid w:val="000025C5"/>
    <w:rsid w:val="0000286D"/>
    <w:rsid w:val="00003201"/>
    <w:rsid w:val="0000320C"/>
    <w:rsid w:val="0000431B"/>
    <w:rsid w:val="000049A9"/>
    <w:rsid w:val="00004D0F"/>
    <w:rsid w:val="00005576"/>
    <w:rsid w:val="00006632"/>
    <w:rsid w:val="00006BAC"/>
    <w:rsid w:val="0000787D"/>
    <w:rsid w:val="00007B06"/>
    <w:rsid w:val="00007FED"/>
    <w:rsid w:val="000102DF"/>
    <w:rsid w:val="00010FE6"/>
    <w:rsid w:val="0001112F"/>
    <w:rsid w:val="0001189D"/>
    <w:rsid w:val="00012174"/>
    <w:rsid w:val="000136E7"/>
    <w:rsid w:val="00013F95"/>
    <w:rsid w:val="000145D4"/>
    <w:rsid w:val="00014DE1"/>
    <w:rsid w:val="000150FC"/>
    <w:rsid w:val="00015770"/>
    <w:rsid w:val="000162D0"/>
    <w:rsid w:val="0001683A"/>
    <w:rsid w:val="00020EF5"/>
    <w:rsid w:val="00021305"/>
    <w:rsid w:val="00021420"/>
    <w:rsid w:val="0002607B"/>
    <w:rsid w:val="00026C7B"/>
    <w:rsid w:val="00026FFF"/>
    <w:rsid w:val="000270AA"/>
    <w:rsid w:val="0002716F"/>
    <w:rsid w:val="00032B42"/>
    <w:rsid w:val="000332D5"/>
    <w:rsid w:val="000342F6"/>
    <w:rsid w:val="00034373"/>
    <w:rsid w:val="000368A2"/>
    <w:rsid w:val="00037512"/>
    <w:rsid w:val="000376F6"/>
    <w:rsid w:val="0003790A"/>
    <w:rsid w:val="00040535"/>
    <w:rsid w:val="000419FD"/>
    <w:rsid w:val="00042B91"/>
    <w:rsid w:val="000435DF"/>
    <w:rsid w:val="000436FA"/>
    <w:rsid w:val="00044CA6"/>
    <w:rsid w:val="00044D24"/>
    <w:rsid w:val="00044D76"/>
    <w:rsid w:val="000458C7"/>
    <w:rsid w:val="00045D33"/>
    <w:rsid w:val="000460FA"/>
    <w:rsid w:val="00046D54"/>
    <w:rsid w:val="000471CE"/>
    <w:rsid w:val="00047556"/>
    <w:rsid w:val="000475EF"/>
    <w:rsid w:val="000477A4"/>
    <w:rsid w:val="000508B3"/>
    <w:rsid w:val="00051BB2"/>
    <w:rsid w:val="00052D91"/>
    <w:rsid w:val="000530BD"/>
    <w:rsid w:val="000539A9"/>
    <w:rsid w:val="000543DB"/>
    <w:rsid w:val="00054495"/>
    <w:rsid w:val="000551DF"/>
    <w:rsid w:val="000552C7"/>
    <w:rsid w:val="00056B64"/>
    <w:rsid w:val="00057A40"/>
    <w:rsid w:val="0006091F"/>
    <w:rsid w:val="00062C69"/>
    <w:rsid w:val="00063873"/>
    <w:rsid w:val="00063912"/>
    <w:rsid w:val="000639F8"/>
    <w:rsid w:val="00064E49"/>
    <w:rsid w:val="00065F9B"/>
    <w:rsid w:val="000670B5"/>
    <w:rsid w:val="00067BD7"/>
    <w:rsid w:val="00070927"/>
    <w:rsid w:val="00070BA8"/>
    <w:rsid w:val="00071157"/>
    <w:rsid w:val="00071574"/>
    <w:rsid w:val="00071AD5"/>
    <w:rsid w:val="00071CFD"/>
    <w:rsid w:val="00072B13"/>
    <w:rsid w:val="00072F8D"/>
    <w:rsid w:val="00074252"/>
    <w:rsid w:val="000742EF"/>
    <w:rsid w:val="00074E52"/>
    <w:rsid w:val="0007521A"/>
    <w:rsid w:val="000753FB"/>
    <w:rsid w:val="00075440"/>
    <w:rsid w:val="00075556"/>
    <w:rsid w:val="00075DAF"/>
    <w:rsid w:val="00075EFF"/>
    <w:rsid w:val="00075F3C"/>
    <w:rsid w:val="00076919"/>
    <w:rsid w:val="0007773A"/>
    <w:rsid w:val="00080A8B"/>
    <w:rsid w:val="00081F94"/>
    <w:rsid w:val="000821B5"/>
    <w:rsid w:val="0008362F"/>
    <w:rsid w:val="0008429A"/>
    <w:rsid w:val="00084B8F"/>
    <w:rsid w:val="00085211"/>
    <w:rsid w:val="00085A58"/>
    <w:rsid w:val="0008791E"/>
    <w:rsid w:val="00087D18"/>
    <w:rsid w:val="000901D4"/>
    <w:rsid w:val="00090A94"/>
    <w:rsid w:val="00090DFC"/>
    <w:rsid w:val="0009200C"/>
    <w:rsid w:val="000928F1"/>
    <w:rsid w:val="00092D9E"/>
    <w:rsid w:val="00093141"/>
    <w:rsid w:val="00093616"/>
    <w:rsid w:val="00093A08"/>
    <w:rsid w:val="00093CDF"/>
    <w:rsid w:val="00096952"/>
    <w:rsid w:val="000A1589"/>
    <w:rsid w:val="000A1D83"/>
    <w:rsid w:val="000A2C60"/>
    <w:rsid w:val="000A32A4"/>
    <w:rsid w:val="000A3420"/>
    <w:rsid w:val="000A3701"/>
    <w:rsid w:val="000A482F"/>
    <w:rsid w:val="000A52B8"/>
    <w:rsid w:val="000A577D"/>
    <w:rsid w:val="000A616D"/>
    <w:rsid w:val="000A6DB5"/>
    <w:rsid w:val="000A7DB6"/>
    <w:rsid w:val="000B00F1"/>
    <w:rsid w:val="000B0F58"/>
    <w:rsid w:val="000B219E"/>
    <w:rsid w:val="000B2460"/>
    <w:rsid w:val="000B28C2"/>
    <w:rsid w:val="000B291B"/>
    <w:rsid w:val="000B32B6"/>
    <w:rsid w:val="000B378B"/>
    <w:rsid w:val="000B37EC"/>
    <w:rsid w:val="000B3E67"/>
    <w:rsid w:val="000B4273"/>
    <w:rsid w:val="000B4866"/>
    <w:rsid w:val="000B4FA4"/>
    <w:rsid w:val="000B5114"/>
    <w:rsid w:val="000B5EA7"/>
    <w:rsid w:val="000B6B7D"/>
    <w:rsid w:val="000C039D"/>
    <w:rsid w:val="000C0965"/>
    <w:rsid w:val="000C0AC3"/>
    <w:rsid w:val="000C0D6A"/>
    <w:rsid w:val="000C12F1"/>
    <w:rsid w:val="000C2DAC"/>
    <w:rsid w:val="000C390B"/>
    <w:rsid w:val="000C3C0F"/>
    <w:rsid w:val="000C3E25"/>
    <w:rsid w:val="000C478D"/>
    <w:rsid w:val="000C4AFF"/>
    <w:rsid w:val="000C4E43"/>
    <w:rsid w:val="000C6A0A"/>
    <w:rsid w:val="000C7471"/>
    <w:rsid w:val="000C7AB3"/>
    <w:rsid w:val="000D132E"/>
    <w:rsid w:val="000D17EB"/>
    <w:rsid w:val="000D20E9"/>
    <w:rsid w:val="000D28F0"/>
    <w:rsid w:val="000D46D5"/>
    <w:rsid w:val="000D4EB4"/>
    <w:rsid w:val="000E0DEA"/>
    <w:rsid w:val="000E0FC5"/>
    <w:rsid w:val="000E1D71"/>
    <w:rsid w:val="000E21F3"/>
    <w:rsid w:val="000E2E1D"/>
    <w:rsid w:val="000E335A"/>
    <w:rsid w:val="000E3ADB"/>
    <w:rsid w:val="000E3EBD"/>
    <w:rsid w:val="000E406A"/>
    <w:rsid w:val="000E4E19"/>
    <w:rsid w:val="000E5ED0"/>
    <w:rsid w:val="000E5F0D"/>
    <w:rsid w:val="000E6E28"/>
    <w:rsid w:val="000F005A"/>
    <w:rsid w:val="000F25A0"/>
    <w:rsid w:val="000F28EC"/>
    <w:rsid w:val="000F336D"/>
    <w:rsid w:val="000F3826"/>
    <w:rsid w:val="000F48BE"/>
    <w:rsid w:val="000F6477"/>
    <w:rsid w:val="000F6542"/>
    <w:rsid w:val="000F6769"/>
    <w:rsid w:val="000F68C3"/>
    <w:rsid w:val="000F7305"/>
    <w:rsid w:val="000F752D"/>
    <w:rsid w:val="00103BCA"/>
    <w:rsid w:val="00106B8A"/>
    <w:rsid w:val="00106DBB"/>
    <w:rsid w:val="00107E30"/>
    <w:rsid w:val="00110934"/>
    <w:rsid w:val="00110BE7"/>
    <w:rsid w:val="0011116C"/>
    <w:rsid w:val="001120CE"/>
    <w:rsid w:val="00112EAE"/>
    <w:rsid w:val="00114CCC"/>
    <w:rsid w:val="001150F5"/>
    <w:rsid w:val="00115160"/>
    <w:rsid w:val="001153F3"/>
    <w:rsid w:val="00115D94"/>
    <w:rsid w:val="0011621C"/>
    <w:rsid w:val="001168A6"/>
    <w:rsid w:val="001173AB"/>
    <w:rsid w:val="00117490"/>
    <w:rsid w:val="00117FDD"/>
    <w:rsid w:val="00120A76"/>
    <w:rsid w:val="00120E25"/>
    <w:rsid w:val="00122611"/>
    <w:rsid w:val="00122927"/>
    <w:rsid w:val="001238C5"/>
    <w:rsid w:val="00124DD4"/>
    <w:rsid w:val="001269B2"/>
    <w:rsid w:val="00126B1C"/>
    <w:rsid w:val="0012735D"/>
    <w:rsid w:val="001274BD"/>
    <w:rsid w:val="001275FC"/>
    <w:rsid w:val="00127614"/>
    <w:rsid w:val="00130986"/>
    <w:rsid w:val="0013158C"/>
    <w:rsid w:val="00131C18"/>
    <w:rsid w:val="00132B6B"/>
    <w:rsid w:val="00132BC4"/>
    <w:rsid w:val="00135368"/>
    <w:rsid w:val="001361EA"/>
    <w:rsid w:val="00137797"/>
    <w:rsid w:val="00137B9F"/>
    <w:rsid w:val="00137F38"/>
    <w:rsid w:val="00140BEF"/>
    <w:rsid w:val="00141023"/>
    <w:rsid w:val="001412EB"/>
    <w:rsid w:val="00141B6F"/>
    <w:rsid w:val="0014228F"/>
    <w:rsid w:val="0014304B"/>
    <w:rsid w:val="0014445F"/>
    <w:rsid w:val="00146435"/>
    <w:rsid w:val="00146FEB"/>
    <w:rsid w:val="001473EB"/>
    <w:rsid w:val="0014BF90"/>
    <w:rsid w:val="00150CDA"/>
    <w:rsid w:val="00150EF2"/>
    <w:rsid w:val="00151629"/>
    <w:rsid w:val="00151F6B"/>
    <w:rsid w:val="00152A0C"/>
    <w:rsid w:val="00153799"/>
    <w:rsid w:val="0015397C"/>
    <w:rsid w:val="00153F60"/>
    <w:rsid w:val="00153FB5"/>
    <w:rsid w:val="0015519B"/>
    <w:rsid w:val="001559B4"/>
    <w:rsid w:val="00155D89"/>
    <w:rsid w:val="001561EF"/>
    <w:rsid w:val="00157046"/>
    <w:rsid w:val="0015745F"/>
    <w:rsid w:val="0016107C"/>
    <w:rsid w:val="0016177C"/>
    <w:rsid w:val="00161842"/>
    <w:rsid w:val="00164E07"/>
    <w:rsid w:val="00165158"/>
    <w:rsid w:val="001657D6"/>
    <w:rsid w:val="001660D2"/>
    <w:rsid w:val="001668E4"/>
    <w:rsid w:val="001670DE"/>
    <w:rsid w:val="00167DBC"/>
    <w:rsid w:val="00170874"/>
    <w:rsid w:val="00170E55"/>
    <w:rsid w:val="00171609"/>
    <w:rsid w:val="001726D7"/>
    <w:rsid w:val="00174784"/>
    <w:rsid w:val="00174800"/>
    <w:rsid w:val="00176662"/>
    <w:rsid w:val="00176CF0"/>
    <w:rsid w:val="00176DB0"/>
    <w:rsid w:val="00177578"/>
    <w:rsid w:val="0018091B"/>
    <w:rsid w:val="00180E9E"/>
    <w:rsid w:val="00182064"/>
    <w:rsid w:val="00182BC4"/>
    <w:rsid w:val="00182DCA"/>
    <w:rsid w:val="001840B6"/>
    <w:rsid w:val="00184129"/>
    <w:rsid w:val="00184F49"/>
    <w:rsid w:val="00185663"/>
    <w:rsid w:val="00185DBF"/>
    <w:rsid w:val="00187AC9"/>
    <w:rsid w:val="001901D2"/>
    <w:rsid w:val="00190985"/>
    <w:rsid w:val="00191A6C"/>
    <w:rsid w:val="001924FF"/>
    <w:rsid w:val="00192643"/>
    <w:rsid w:val="00192829"/>
    <w:rsid w:val="00192B67"/>
    <w:rsid w:val="00194AA6"/>
    <w:rsid w:val="00194AD9"/>
    <w:rsid w:val="00194C7F"/>
    <w:rsid w:val="0019557E"/>
    <w:rsid w:val="00196104"/>
    <w:rsid w:val="0019692A"/>
    <w:rsid w:val="00197392"/>
    <w:rsid w:val="001A2282"/>
    <w:rsid w:val="001A2650"/>
    <w:rsid w:val="001A2672"/>
    <w:rsid w:val="001A4886"/>
    <w:rsid w:val="001A4AD0"/>
    <w:rsid w:val="001A4B38"/>
    <w:rsid w:val="001A4FD4"/>
    <w:rsid w:val="001A5336"/>
    <w:rsid w:val="001A69F3"/>
    <w:rsid w:val="001A707D"/>
    <w:rsid w:val="001A74BC"/>
    <w:rsid w:val="001B14AC"/>
    <w:rsid w:val="001B29E0"/>
    <w:rsid w:val="001B2F52"/>
    <w:rsid w:val="001B3C54"/>
    <w:rsid w:val="001B4657"/>
    <w:rsid w:val="001B469F"/>
    <w:rsid w:val="001B46CB"/>
    <w:rsid w:val="001B52D3"/>
    <w:rsid w:val="001B5BC1"/>
    <w:rsid w:val="001B5E8F"/>
    <w:rsid w:val="001B6E0B"/>
    <w:rsid w:val="001B77ED"/>
    <w:rsid w:val="001C042D"/>
    <w:rsid w:val="001C08F2"/>
    <w:rsid w:val="001C2658"/>
    <w:rsid w:val="001C2A79"/>
    <w:rsid w:val="001C2DF3"/>
    <w:rsid w:val="001C377F"/>
    <w:rsid w:val="001C5042"/>
    <w:rsid w:val="001C633B"/>
    <w:rsid w:val="001C6628"/>
    <w:rsid w:val="001C7B90"/>
    <w:rsid w:val="001D003D"/>
    <w:rsid w:val="001D0B96"/>
    <w:rsid w:val="001D0DEB"/>
    <w:rsid w:val="001D100C"/>
    <w:rsid w:val="001D120C"/>
    <w:rsid w:val="001D131D"/>
    <w:rsid w:val="001D14D3"/>
    <w:rsid w:val="001D20EF"/>
    <w:rsid w:val="001D2B0C"/>
    <w:rsid w:val="001D3C70"/>
    <w:rsid w:val="001D4791"/>
    <w:rsid w:val="001D49EE"/>
    <w:rsid w:val="001D5540"/>
    <w:rsid w:val="001D6AE7"/>
    <w:rsid w:val="001D7978"/>
    <w:rsid w:val="001E0579"/>
    <w:rsid w:val="001E0F48"/>
    <w:rsid w:val="001E16A0"/>
    <w:rsid w:val="001E1B73"/>
    <w:rsid w:val="001E310B"/>
    <w:rsid w:val="001E357C"/>
    <w:rsid w:val="001E457D"/>
    <w:rsid w:val="001E4A85"/>
    <w:rsid w:val="001E4CB2"/>
    <w:rsid w:val="001E5732"/>
    <w:rsid w:val="001E648E"/>
    <w:rsid w:val="001E68F4"/>
    <w:rsid w:val="001E6D7B"/>
    <w:rsid w:val="001E7165"/>
    <w:rsid w:val="001E735D"/>
    <w:rsid w:val="001E7441"/>
    <w:rsid w:val="001E7495"/>
    <w:rsid w:val="001F01CF"/>
    <w:rsid w:val="001F1593"/>
    <w:rsid w:val="001F2692"/>
    <w:rsid w:val="001F38B0"/>
    <w:rsid w:val="001F4C56"/>
    <w:rsid w:val="001F5195"/>
    <w:rsid w:val="001F669E"/>
    <w:rsid w:val="001F70E3"/>
    <w:rsid w:val="0020133A"/>
    <w:rsid w:val="00201623"/>
    <w:rsid w:val="00201B8D"/>
    <w:rsid w:val="00201E6C"/>
    <w:rsid w:val="00202096"/>
    <w:rsid w:val="002025DC"/>
    <w:rsid w:val="00203CA6"/>
    <w:rsid w:val="002044C5"/>
    <w:rsid w:val="0020469F"/>
    <w:rsid w:val="002046E2"/>
    <w:rsid w:val="002049A0"/>
    <w:rsid w:val="002053A5"/>
    <w:rsid w:val="00205D3A"/>
    <w:rsid w:val="0020684C"/>
    <w:rsid w:val="002070AE"/>
    <w:rsid w:val="00210798"/>
    <w:rsid w:val="002111C2"/>
    <w:rsid w:val="00213D92"/>
    <w:rsid w:val="00213F1B"/>
    <w:rsid w:val="00214092"/>
    <w:rsid w:val="0021492E"/>
    <w:rsid w:val="00216A82"/>
    <w:rsid w:val="0022112B"/>
    <w:rsid w:val="002225D9"/>
    <w:rsid w:val="00223337"/>
    <w:rsid w:val="0022365E"/>
    <w:rsid w:val="00223C51"/>
    <w:rsid w:val="00223F9E"/>
    <w:rsid w:val="00224414"/>
    <w:rsid w:val="00230AD4"/>
    <w:rsid w:val="00231C86"/>
    <w:rsid w:val="00231E7D"/>
    <w:rsid w:val="002323EE"/>
    <w:rsid w:val="00234F70"/>
    <w:rsid w:val="00236144"/>
    <w:rsid w:val="002369FA"/>
    <w:rsid w:val="00236FFE"/>
    <w:rsid w:val="00237586"/>
    <w:rsid w:val="00237967"/>
    <w:rsid w:val="00240152"/>
    <w:rsid w:val="0024298E"/>
    <w:rsid w:val="00242AA4"/>
    <w:rsid w:val="002443AF"/>
    <w:rsid w:val="002452AC"/>
    <w:rsid w:val="0024730C"/>
    <w:rsid w:val="00247B6D"/>
    <w:rsid w:val="00250139"/>
    <w:rsid w:val="00250C2E"/>
    <w:rsid w:val="00250CAD"/>
    <w:rsid w:val="002511C7"/>
    <w:rsid w:val="00252418"/>
    <w:rsid w:val="0025472F"/>
    <w:rsid w:val="002555D9"/>
    <w:rsid w:val="0025597C"/>
    <w:rsid w:val="00256741"/>
    <w:rsid w:val="00260372"/>
    <w:rsid w:val="002616FA"/>
    <w:rsid w:val="00261D4A"/>
    <w:rsid w:val="00262572"/>
    <w:rsid w:val="00262933"/>
    <w:rsid w:val="00262B69"/>
    <w:rsid w:val="00262E5E"/>
    <w:rsid w:val="00263C1C"/>
    <w:rsid w:val="00264FAE"/>
    <w:rsid w:val="002651E9"/>
    <w:rsid w:val="0026592C"/>
    <w:rsid w:val="00266CB5"/>
    <w:rsid w:val="00266EE0"/>
    <w:rsid w:val="00270F01"/>
    <w:rsid w:val="002711BD"/>
    <w:rsid w:val="00272122"/>
    <w:rsid w:val="00272F98"/>
    <w:rsid w:val="00274060"/>
    <w:rsid w:val="002740DD"/>
    <w:rsid w:val="0027472F"/>
    <w:rsid w:val="002753DF"/>
    <w:rsid w:val="002758FF"/>
    <w:rsid w:val="00276681"/>
    <w:rsid w:val="00276A95"/>
    <w:rsid w:val="00277A2A"/>
    <w:rsid w:val="00277FBE"/>
    <w:rsid w:val="002805D0"/>
    <w:rsid w:val="00280778"/>
    <w:rsid w:val="00282137"/>
    <w:rsid w:val="002828F5"/>
    <w:rsid w:val="00282BD9"/>
    <w:rsid w:val="00283627"/>
    <w:rsid w:val="00284808"/>
    <w:rsid w:val="00284B3C"/>
    <w:rsid w:val="00286BC4"/>
    <w:rsid w:val="00287394"/>
    <w:rsid w:val="0029064C"/>
    <w:rsid w:val="00290C8F"/>
    <w:rsid w:val="00290F51"/>
    <w:rsid w:val="00291261"/>
    <w:rsid w:val="002919F7"/>
    <w:rsid w:val="00292EAE"/>
    <w:rsid w:val="002935AA"/>
    <w:rsid w:val="00293B8B"/>
    <w:rsid w:val="00293B98"/>
    <w:rsid w:val="00294857"/>
    <w:rsid w:val="00295872"/>
    <w:rsid w:val="002A0B74"/>
    <w:rsid w:val="002A0B81"/>
    <w:rsid w:val="002A1853"/>
    <w:rsid w:val="002A2022"/>
    <w:rsid w:val="002A269C"/>
    <w:rsid w:val="002A26CF"/>
    <w:rsid w:val="002A28B2"/>
    <w:rsid w:val="002A2E70"/>
    <w:rsid w:val="002A40CA"/>
    <w:rsid w:val="002A4D6C"/>
    <w:rsid w:val="002A4FAF"/>
    <w:rsid w:val="002A587B"/>
    <w:rsid w:val="002A59B4"/>
    <w:rsid w:val="002A5F2B"/>
    <w:rsid w:val="002A613C"/>
    <w:rsid w:val="002A6344"/>
    <w:rsid w:val="002A6356"/>
    <w:rsid w:val="002A6765"/>
    <w:rsid w:val="002A6817"/>
    <w:rsid w:val="002A6A13"/>
    <w:rsid w:val="002A797B"/>
    <w:rsid w:val="002B04D6"/>
    <w:rsid w:val="002B095C"/>
    <w:rsid w:val="002B0C36"/>
    <w:rsid w:val="002B104C"/>
    <w:rsid w:val="002B1506"/>
    <w:rsid w:val="002B185E"/>
    <w:rsid w:val="002B1AD1"/>
    <w:rsid w:val="002B2AFC"/>
    <w:rsid w:val="002B4BE4"/>
    <w:rsid w:val="002B5FFB"/>
    <w:rsid w:val="002B7A7E"/>
    <w:rsid w:val="002C01B2"/>
    <w:rsid w:val="002C162B"/>
    <w:rsid w:val="002C1A8B"/>
    <w:rsid w:val="002C2BA6"/>
    <w:rsid w:val="002C2DD9"/>
    <w:rsid w:val="002C4B4D"/>
    <w:rsid w:val="002C4E78"/>
    <w:rsid w:val="002C5834"/>
    <w:rsid w:val="002C6B73"/>
    <w:rsid w:val="002C775D"/>
    <w:rsid w:val="002D0ADE"/>
    <w:rsid w:val="002D0E4C"/>
    <w:rsid w:val="002D2217"/>
    <w:rsid w:val="002D22A4"/>
    <w:rsid w:val="002D3348"/>
    <w:rsid w:val="002D44DA"/>
    <w:rsid w:val="002D6DA0"/>
    <w:rsid w:val="002D7B04"/>
    <w:rsid w:val="002D7BD8"/>
    <w:rsid w:val="002D7D94"/>
    <w:rsid w:val="002E0A9E"/>
    <w:rsid w:val="002E0ACE"/>
    <w:rsid w:val="002E17B1"/>
    <w:rsid w:val="002E1AEE"/>
    <w:rsid w:val="002E2A88"/>
    <w:rsid w:val="002E3813"/>
    <w:rsid w:val="002E3BDD"/>
    <w:rsid w:val="002E3F5C"/>
    <w:rsid w:val="002E490E"/>
    <w:rsid w:val="002E4953"/>
    <w:rsid w:val="002E4C3F"/>
    <w:rsid w:val="002E6DA6"/>
    <w:rsid w:val="002E705C"/>
    <w:rsid w:val="002E7141"/>
    <w:rsid w:val="002E7857"/>
    <w:rsid w:val="002E7A5B"/>
    <w:rsid w:val="002E7BAC"/>
    <w:rsid w:val="002E7C76"/>
    <w:rsid w:val="002E7EE0"/>
    <w:rsid w:val="002F0CE2"/>
    <w:rsid w:val="002F0D28"/>
    <w:rsid w:val="002F11E0"/>
    <w:rsid w:val="002F2DB6"/>
    <w:rsid w:val="002F3F59"/>
    <w:rsid w:val="002F4166"/>
    <w:rsid w:val="002F513B"/>
    <w:rsid w:val="002F5963"/>
    <w:rsid w:val="002F7634"/>
    <w:rsid w:val="00301E3A"/>
    <w:rsid w:val="0030231C"/>
    <w:rsid w:val="00303108"/>
    <w:rsid w:val="003036EC"/>
    <w:rsid w:val="00303BA3"/>
    <w:rsid w:val="00303EB2"/>
    <w:rsid w:val="0030434A"/>
    <w:rsid w:val="003050BE"/>
    <w:rsid w:val="00305A4C"/>
    <w:rsid w:val="00306518"/>
    <w:rsid w:val="003065EB"/>
    <w:rsid w:val="00310062"/>
    <w:rsid w:val="0031016F"/>
    <w:rsid w:val="00310DC0"/>
    <w:rsid w:val="00310FD6"/>
    <w:rsid w:val="0031202E"/>
    <w:rsid w:val="00312353"/>
    <w:rsid w:val="00312C7C"/>
    <w:rsid w:val="00313605"/>
    <w:rsid w:val="00313E80"/>
    <w:rsid w:val="003150CD"/>
    <w:rsid w:val="0031593E"/>
    <w:rsid w:val="00315D8C"/>
    <w:rsid w:val="00316518"/>
    <w:rsid w:val="00316BC9"/>
    <w:rsid w:val="00316E6A"/>
    <w:rsid w:val="00316ED3"/>
    <w:rsid w:val="00317418"/>
    <w:rsid w:val="00317547"/>
    <w:rsid w:val="003177BA"/>
    <w:rsid w:val="00317C1C"/>
    <w:rsid w:val="00317F84"/>
    <w:rsid w:val="00320C43"/>
    <w:rsid w:val="00321F7B"/>
    <w:rsid w:val="0032239B"/>
    <w:rsid w:val="00322BF2"/>
    <w:rsid w:val="0032310A"/>
    <w:rsid w:val="00323951"/>
    <w:rsid w:val="0032474B"/>
    <w:rsid w:val="00325F5F"/>
    <w:rsid w:val="0032634F"/>
    <w:rsid w:val="0032773E"/>
    <w:rsid w:val="00331791"/>
    <w:rsid w:val="00331EFA"/>
    <w:rsid w:val="0033214C"/>
    <w:rsid w:val="00332EA2"/>
    <w:rsid w:val="00332F85"/>
    <w:rsid w:val="003331C4"/>
    <w:rsid w:val="0033459C"/>
    <w:rsid w:val="00334663"/>
    <w:rsid w:val="0033622A"/>
    <w:rsid w:val="0033683E"/>
    <w:rsid w:val="00337BC3"/>
    <w:rsid w:val="00341216"/>
    <w:rsid w:val="00341B8F"/>
    <w:rsid w:val="003425CC"/>
    <w:rsid w:val="00343008"/>
    <w:rsid w:val="0034331C"/>
    <w:rsid w:val="0034441A"/>
    <w:rsid w:val="003447CD"/>
    <w:rsid w:val="00344F99"/>
    <w:rsid w:val="00346FCA"/>
    <w:rsid w:val="00347847"/>
    <w:rsid w:val="003518D2"/>
    <w:rsid w:val="003519B5"/>
    <w:rsid w:val="003541AF"/>
    <w:rsid w:val="00354A0F"/>
    <w:rsid w:val="00354EC6"/>
    <w:rsid w:val="00355CE3"/>
    <w:rsid w:val="00356E3B"/>
    <w:rsid w:val="00357210"/>
    <w:rsid w:val="0036072B"/>
    <w:rsid w:val="00360918"/>
    <w:rsid w:val="00360C99"/>
    <w:rsid w:val="00360F06"/>
    <w:rsid w:val="0036115C"/>
    <w:rsid w:val="003620F8"/>
    <w:rsid w:val="0036279D"/>
    <w:rsid w:val="00362856"/>
    <w:rsid w:val="00362CF5"/>
    <w:rsid w:val="00363115"/>
    <w:rsid w:val="00364607"/>
    <w:rsid w:val="00364BF4"/>
    <w:rsid w:val="0036780F"/>
    <w:rsid w:val="00371052"/>
    <w:rsid w:val="00371371"/>
    <w:rsid w:val="00371595"/>
    <w:rsid w:val="00371ECC"/>
    <w:rsid w:val="00372058"/>
    <w:rsid w:val="003734BE"/>
    <w:rsid w:val="003744CB"/>
    <w:rsid w:val="003746B1"/>
    <w:rsid w:val="00374DE5"/>
    <w:rsid w:val="00374FC1"/>
    <w:rsid w:val="00375A30"/>
    <w:rsid w:val="00375F4C"/>
    <w:rsid w:val="0037617D"/>
    <w:rsid w:val="00376478"/>
    <w:rsid w:val="00376822"/>
    <w:rsid w:val="00377F97"/>
    <w:rsid w:val="00380530"/>
    <w:rsid w:val="00380640"/>
    <w:rsid w:val="00381620"/>
    <w:rsid w:val="00382294"/>
    <w:rsid w:val="003822AA"/>
    <w:rsid w:val="003825EA"/>
    <w:rsid w:val="00383BAE"/>
    <w:rsid w:val="00385BF3"/>
    <w:rsid w:val="00387141"/>
    <w:rsid w:val="00387D8C"/>
    <w:rsid w:val="00390276"/>
    <w:rsid w:val="00390B0F"/>
    <w:rsid w:val="003917C6"/>
    <w:rsid w:val="00392134"/>
    <w:rsid w:val="0039267A"/>
    <w:rsid w:val="00393112"/>
    <w:rsid w:val="00393C3D"/>
    <w:rsid w:val="00393E83"/>
    <w:rsid w:val="0039446F"/>
    <w:rsid w:val="00395852"/>
    <w:rsid w:val="00396081"/>
    <w:rsid w:val="003961EB"/>
    <w:rsid w:val="003972E9"/>
    <w:rsid w:val="00397433"/>
    <w:rsid w:val="003979ED"/>
    <w:rsid w:val="003A176A"/>
    <w:rsid w:val="003A22C0"/>
    <w:rsid w:val="003A2BAC"/>
    <w:rsid w:val="003A2ECC"/>
    <w:rsid w:val="003A3844"/>
    <w:rsid w:val="003A422A"/>
    <w:rsid w:val="003A4968"/>
    <w:rsid w:val="003A4C96"/>
    <w:rsid w:val="003A520A"/>
    <w:rsid w:val="003A5BB3"/>
    <w:rsid w:val="003A5C70"/>
    <w:rsid w:val="003A662E"/>
    <w:rsid w:val="003A6717"/>
    <w:rsid w:val="003A7628"/>
    <w:rsid w:val="003B0291"/>
    <w:rsid w:val="003B1870"/>
    <w:rsid w:val="003B2711"/>
    <w:rsid w:val="003B302C"/>
    <w:rsid w:val="003B47C2"/>
    <w:rsid w:val="003B4CF4"/>
    <w:rsid w:val="003B5135"/>
    <w:rsid w:val="003B5539"/>
    <w:rsid w:val="003B5F81"/>
    <w:rsid w:val="003B7844"/>
    <w:rsid w:val="003C0136"/>
    <w:rsid w:val="003C0639"/>
    <w:rsid w:val="003C1BC7"/>
    <w:rsid w:val="003C1D0F"/>
    <w:rsid w:val="003C241F"/>
    <w:rsid w:val="003C30DC"/>
    <w:rsid w:val="003C3391"/>
    <w:rsid w:val="003C3DB3"/>
    <w:rsid w:val="003C4660"/>
    <w:rsid w:val="003C4E07"/>
    <w:rsid w:val="003C5069"/>
    <w:rsid w:val="003C6536"/>
    <w:rsid w:val="003C712F"/>
    <w:rsid w:val="003D164D"/>
    <w:rsid w:val="003D17D7"/>
    <w:rsid w:val="003D1CD4"/>
    <w:rsid w:val="003D2A9F"/>
    <w:rsid w:val="003D34A6"/>
    <w:rsid w:val="003D397D"/>
    <w:rsid w:val="003D45AF"/>
    <w:rsid w:val="003D4BD9"/>
    <w:rsid w:val="003D4FDE"/>
    <w:rsid w:val="003D531E"/>
    <w:rsid w:val="003E009F"/>
    <w:rsid w:val="003E0F91"/>
    <w:rsid w:val="003E102F"/>
    <w:rsid w:val="003E2995"/>
    <w:rsid w:val="003E32D4"/>
    <w:rsid w:val="003E3443"/>
    <w:rsid w:val="003E420A"/>
    <w:rsid w:val="003E421C"/>
    <w:rsid w:val="003E4CFC"/>
    <w:rsid w:val="003E55AC"/>
    <w:rsid w:val="003E5FB5"/>
    <w:rsid w:val="003E7F75"/>
    <w:rsid w:val="003F1977"/>
    <w:rsid w:val="003F2862"/>
    <w:rsid w:val="003F3298"/>
    <w:rsid w:val="003F3457"/>
    <w:rsid w:val="003F391E"/>
    <w:rsid w:val="003F4B58"/>
    <w:rsid w:val="003F4D23"/>
    <w:rsid w:val="003F54AE"/>
    <w:rsid w:val="0040096D"/>
    <w:rsid w:val="00401797"/>
    <w:rsid w:val="00402179"/>
    <w:rsid w:val="00402BD5"/>
    <w:rsid w:val="00404350"/>
    <w:rsid w:val="00404378"/>
    <w:rsid w:val="00404704"/>
    <w:rsid w:val="00404CDF"/>
    <w:rsid w:val="0040757A"/>
    <w:rsid w:val="0041020C"/>
    <w:rsid w:val="004106CA"/>
    <w:rsid w:val="00410BE7"/>
    <w:rsid w:val="00411172"/>
    <w:rsid w:val="004111D2"/>
    <w:rsid w:val="00413B5B"/>
    <w:rsid w:val="00414A1D"/>
    <w:rsid w:val="00414DCB"/>
    <w:rsid w:val="00415DA4"/>
    <w:rsid w:val="00420EFD"/>
    <w:rsid w:val="004224F8"/>
    <w:rsid w:val="00422660"/>
    <w:rsid w:val="004226D9"/>
    <w:rsid w:val="00422A7D"/>
    <w:rsid w:val="0042316E"/>
    <w:rsid w:val="00424FD8"/>
    <w:rsid w:val="0042506E"/>
    <w:rsid w:val="00425D09"/>
    <w:rsid w:val="00425EDA"/>
    <w:rsid w:val="0042611A"/>
    <w:rsid w:val="004262B6"/>
    <w:rsid w:val="00427358"/>
    <w:rsid w:val="004274C9"/>
    <w:rsid w:val="00432C7E"/>
    <w:rsid w:val="00432E25"/>
    <w:rsid w:val="004345F1"/>
    <w:rsid w:val="00436824"/>
    <w:rsid w:val="00440372"/>
    <w:rsid w:val="00441B87"/>
    <w:rsid w:val="00441DF4"/>
    <w:rsid w:val="0044232C"/>
    <w:rsid w:val="00442482"/>
    <w:rsid w:val="004430F8"/>
    <w:rsid w:val="0044377A"/>
    <w:rsid w:val="004449EA"/>
    <w:rsid w:val="00444FF6"/>
    <w:rsid w:val="004453ED"/>
    <w:rsid w:val="00447F87"/>
    <w:rsid w:val="00450302"/>
    <w:rsid w:val="0045103F"/>
    <w:rsid w:val="004540E8"/>
    <w:rsid w:val="00454FEC"/>
    <w:rsid w:val="00456263"/>
    <w:rsid w:val="004572B3"/>
    <w:rsid w:val="00457C54"/>
    <w:rsid w:val="00457E08"/>
    <w:rsid w:val="00457F28"/>
    <w:rsid w:val="004609FC"/>
    <w:rsid w:val="0046102B"/>
    <w:rsid w:val="004612A5"/>
    <w:rsid w:val="004617EF"/>
    <w:rsid w:val="00462CEA"/>
    <w:rsid w:val="00462F07"/>
    <w:rsid w:val="004633B8"/>
    <w:rsid w:val="00463E8D"/>
    <w:rsid w:val="00464067"/>
    <w:rsid w:val="00466503"/>
    <w:rsid w:val="00466522"/>
    <w:rsid w:val="004671B3"/>
    <w:rsid w:val="00467484"/>
    <w:rsid w:val="00467E6C"/>
    <w:rsid w:val="004712E8"/>
    <w:rsid w:val="004725D1"/>
    <w:rsid w:val="00472C13"/>
    <w:rsid w:val="00473533"/>
    <w:rsid w:val="004737A2"/>
    <w:rsid w:val="00473D83"/>
    <w:rsid w:val="004747E6"/>
    <w:rsid w:val="00476240"/>
    <w:rsid w:val="0047733F"/>
    <w:rsid w:val="004818D5"/>
    <w:rsid w:val="00481B6B"/>
    <w:rsid w:val="00481C2E"/>
    <w:rsid w:val="00481D98"/>
    <w:rsid w:val="00482892"/>
    <w:rsid w:val="00483193"/>
    <w:rsid w:val="004837C3"/>
    <w:rsid w:val="00485D6A"/>
    <w:rsid w:val="004875F4"/>
    <w:rsid w:val="00487F82"/>
    <w:rsid w:val="00491156"/>
    <w:rsid w:val="00491303"/>
    <w:rsid w:val="0049157B"/>
    <w:rsid w:val="004921B7"/>
    <w:rsid w:val="004928EE"/>
    <w:rsid w:val="00493741"/>
    <w:rsid w:val="00493BF9"/>
    <w:rsid w:val="00493CFA"/>
    <w:rsid w:val="00495EBE"/>
    <w:rsid w:val="0049606E"/>
    <w:rsid w:val="004960A5"/>
    <w:rsid w:val="004961D8"/>
    <w:rsid w:val="00496E9B"/>
    <w:rsid w:val="004974CE"/>
    <w:rsid w:val="00497734"/>
    <w:rsid w:val="00497AB0"/>
    <w:rsid w:val="004A0548"/>
    <w:rsid w:val="004A0A17"/>
    <w:rsid w:val="004A101E"/>
    <w:rsid w:val="004A16B0"/>
    <w:rsid w:val="004A24DC"/>
    <w:rsid w:val="004A37AE"/>
    <w:rsid w:val="004A47FD"/>
    <w:rsid w:val="004A55CC"/>
    <w:rsid w:val="004A6E61"/>
    <w:rsid w:val="004A7439"/>
    <w:rsid w:val="004B110C"/>
    <w:rsid w:val="004B28BC"/>
    <w:rsid w:val="004B2C7E"/>
    <w:rsid w:val="004B3DF3"/>
    <w:rsid w:val="004B4714"/>
    <w:rsid w:val="004B4A1E"/>
    <w:rsid w:val="004B4DE1"/>
    <w:rsid w:val="004B55D8"/>
    <w:rsid w:val="004B57E7"/>
    <w:rsid w:val="004B5CB4"/>
    <w:rsid w:val="004B6177"/>
    <w:rsid w:val="004B648D"/>
    <w:rsid w:val="004B6DC3"/>
    <w:rsid w:val="004B734F"/>
    <w:rsid w:val="004B7875"/>
    <w:rsid w:val="004B7D79"/>
    <w:rsid w:val="004C0B68"/>
    <w:rsid w:val="004C1024"/>
    <w:rsid w:val="004C1E70"/>
    <w:rsid w:val="004C4D08"/>
    <w:rsid w:val="004C6B85"/>
    <w:rsid w:val="004C7A76"/>
    <w:rsid w:val="004C7DDB"/>
    <w:rsid w:val="004D04CE"/>
    <w:rsid w:val="004D1791"/>
    <w:rsid w:val="004D2B8F"/>
    <w:rsid w:val="004D35A1"/>
    <w:rsid w:val="004D407C"/>
    <w:rsid w:val="004D46B6"/>
    <w:rsid w:val="004D47E1"/>
    <w:rsid w:val="004D4C10"/>
    <w:rsid w:val="004D53C3"/>
    <w:rsid w:val="004D5C07"/>
    <w:rsid w:val="004D5F6A"/>
    <w:rsid w:val="004D6321"/>
    <w:rsid w:val="004D7E55"/>
    <w:rsid w:val="004E0413"/>
    <w:rsid w:val="004E147E"/>
    <w:rsid w:val="004E2593"/>
    <w:rsid w:val="004E2A0D"/>
    <w:rsid w:val="004E40A5"/>
    <w:rsid w:val="004E5D3F"/>
    <w:rsid w:val="004E6573"/>
    <w:rsid w:val="004E73F1"/>
    <w:rsid w:val="004E787C"/>
    <w:rsid w:val="004E7C16"/>
    <w:rsid w:val="004F0B1E"/>
    <w:rsid w:val="004F1362"/>
    <w:rsid w:val="004F18BF"/>
    <w:rsid w:val="004F18DA"/>
    <w:rsid w:val="004F1E70"/>
    <w:rsid w:val="004F34CB"/>
    <w:rsid w:val="004F39F8"/>
    <w:rsid w:val="004F3D29"/>
    <w:rsid w:val="004F4886"/>
    <w:rsid w:val="004F6F3B"/>
    <w:rsid w:val="004F7281"/>
    <w:rsid w:val="004F7336"/>
    <w:rsid w:val="004F77A0"/>
    <w:rsid w:val="004F780E"/>
    <w:rsid w:val="00500376"/>
    <w:rsid w:val="0050284D"/>
    <w:rsid w:val="005028F7"/>
    <w:rsid w:val="0050346D"/>
    <w:rsid w:val="005048DF"/>
    <w:rsid w:val="00504C81"/>
    <w:rsid w:val="00505338"/>
    <w:rsid w:val="00505B8E"/>
    <w:rsid w:val="00506232"/>
    <w:rsid w:val="005067A5"/>
    <w:rsid w:val="0050699C"/>
    <w:rsid w:val="005071B0"/>
    <w:rsid w:val="005077CE"/>
    <w:rsid w:val="00507BEC"/>
    <w:rsid w:val="00507E11"/>
    <w:rsid w:val="00510027"/>
    <w:rsid w:val="005101CA"/>
    <w:rsid w:val="00510691"/>
    <w:rsid w:val="00510C7E"/>
    <w:rsid w:val="005126A8"/>
    <w:rsid w:val="0051328B"/>
    <w:rsid w:val="00513FC2"/>
    <w:rsid w:val="0051454E"/>
    <w:rsid w:val="005147E9"/>
    <w:rsid w:val="00515252"/>
    <w:rsid w:val="005159A3"/>
    <w:rsid w:val="00515BA0"/>
    <w:rsid w:val="0051600C"/>
    <w:rsid w:val="00517AD3"/>
    <w:rsid w:val="00517C24"/>
    <w:rsid w:val="005223C3"/>
    <w:rsid w:val="00522BA2"/>
    <w:rsid w:val="00524557"/>
    <w:rsid w:val="00524C48"/>
    <w:rsid w:val="005254FE"/>
    <w:rsid w:val="005273E2"/>
    <w:rsid w:val="00527839"/>
    <w:rsid w:val="00527910"/>
    <w:rsid w:val="00527F84"/>
    <w:rsid w:val="00530405"/>
    <w:rsid w:val="005314A1"/>
    <w:rsid w:val="00531D53"/>
    <w:rsid w:val="00533C14"/>
    <w:rsid w:val="0053458A"/>
    <w:rsid w:val="00535774"/>
    <w:rsid w:val="0053737A"/>
    <w:rsid w:val="00537B54"/>
    <w:rsid w:val="005401EB"/>
    <w:rsid w:val="00541320"/>
    <w:rsid w:val="00542299"/>
    <w:rsid w:val="0054343D"/>
    <w:rsid w:val="00543B60"/>
    <w:rsid w:val="00545528"/>
    <w:rsid w:val="005467ED"/>
    <w:rsid w:val="0054721C"/>
    <w:rsid w:val="0054768A"/>
    <w:rsid w:val="00547CFB"/>
    <w:rsid w:val="00550206"/>
    <w:rsid w:val="00550A5F"/>
    <w:rsid w:val="00550B8D"/>
    <w:rsid w:val="00551BA4"/>
    <w:rsid w:val="00551C9C"/>
    <w:rsid w:val="00553E39"/>
    <w:rsid w:val="005540AE"/>
    <w:rsid w:val="0055444A"/>
    <w:rsid w:val="0055492D"/>
    <w:rsid w:val="00554D7F"/>
    <w:rsid w:val="005557BB"/>
    <w:rsid w:val="00555CB0"/>
    <w:rsid w:val="0055606A"/>
    <w:rsid w:val="005568A3"/>
    <w:rsid w:val="00556F1A"/>
    <w:rsid w:val="005576DD"/>
    <w:rsid w:val="00561A30"/>
    <w:rsid w:val="005625A0"/>
    <w:rsid w:val="00563752"/>
    <w:rsid w:val="00563945"/>
    <w:rsid w:val="00563EE0"/>
    <w:rsid w:val="00564DDB"/>
    <w:rsid w:val="00564E4E"/>
    <w:rsid w:val="005650DF"/>
    <w:rsid w:val="0056524F"/>
    <w:rsid w:val="00565916"/>
    <w:rsid w:val="00565F03"/>
    <w:rsid w:val="00566F1B"/>
    <w:rsid w:val="00567A1F"/>
    <w:rsid w:val="00567BE0"/>
    <w:rsid w:val="00570805"/>
    <w:rsid w:val="00570D20"/>
    <w:rsid w:val="00574015"/>
    <w:rsid w:val="0057413E"/>
    <w:rsid w:val="005743B6"/>
    <w:rsid w:val="005751B3"/>
    <w:rsid w:val="00575721"/>
    <w:rsid w:val="00575ECD"/>
    <w:rsid w:val="00575F13"/>
    <w:rsid w:val="00577254"/>
    <w:rsid w:val="00577E3E"/>
    <w:rsid w:val="00580C0D"/>
    <w:rsid w:val="005823EB"/>
    <w:rsid w:val="005832A4"/>
    <w:rsid w:val="0058335F"/>
    <w:rsid w:val="00584921"/>
    <w:rsid w:val="005853DF"/>
    <w:rsid w:val="00585690"/>
    <w:rsid w:val="005857DF"/>
    <w:rsid w:val="005866A3"/>
    <w:rsid w:val="00586A8A"/>
    <w:rsid w:val="00586B9E"/>
    <w:rsid w:val="00587A50"/>
    <w:rsid w:val="00587C0F"/>
    <w:rsid w:val="0059073B"/>
    <w:rsid w:val="00590811"/>
    <w:rsid w:val="005908AF"/>
    <w:rsid w:val="005940B3"/>
    <w:rsid w:val="0059451F"/>
    <w:rsid w:val="00594939"/>
    <w:rsid w:val="00595511"/>
    <w:rsid w:val="00596DEF"/>
    <w:rsid w:val="005A038B"/>
    <w:rsid w:val="005A0736"/>
    <w:rsid w:val="005A0D06"/>
    <w:rsid w:val="005A0EA6"/>
    <w:rsid w:val="005A1918"/>
    <w:rsid w:val="005A20CE"/>
    <w:rsid w:val="005A2343"/>
    <w:rsid w:val="005A4D02"/>
    <w:rsid w:val="005A4F1C"/>
    <w:rsid w:val="005A54DA"/>
    <w:rsid w:val="005A594D"/>
    <w:rsid w:val="005A6ABA"/>
    <w:rsid w:val="005B00D4"/>
    <w:rsid w:val="005B1715"/>
    <w:rsid w:val="005B3BA9"/>
    <w:rsid w:val="005B52D6"/>
    <w:rsid w:val="005B53DA"/>
    <w:rsid w:val="005B5C19"/>
    <w:rsid w:val="005B5CFC"/>
    <w:rsid w:val="005B6208"/>
    <w:rsid w:val="005B6896"/>
    <w:rsid w:val="005B74B5"/>
    <w:rsid w:val="005B7A29"/>
    <w:rsid w:val="005B7EB9"/>
    <w:rsid w:val="005C043B"/>
    <w:rsid w:val="005C0B91"/>
    <w:rsid w:val="005C19BD"/>
    <w:rsid w:val="005C1A91"/>
    <w:rsid w:val="005C22D5"/>
    <w:rsid w:val="005C37AA"/>
    <w:rsid w:val="005C42B6"/>
    <w:rsid w:val="005C43BB"/>
    <w:rsid w:val="005C5336"/>
    <w:rsid w:val="005C5550"/>
    <w:rsid w:val="005C5934"/>
    <w:rsid w:val="005C6D45"/>
    <w:rsid w:val="005C72C8"/>
    <w:rsid w:val="005C7D81"/>
    <w:rsid w:val="005D1654"/>
    <w:rsid w:val="005D28C2"/>
    <w:rsid w:val="005D348C"/>
    <w:rsid w:val="005D385C"/>
    <w:rsid w:val="005D3E29"/>
    <w:rsid w:val="005D4E74"/>
    <w:rsid w:val="005D51C3"/>
    <w:rsid w:val="005D571E"/>
    <w:rsid w:val="005D57A3"/>
    <w:rsid w:val="005D75B0"/>
    <w:rsid w:val="005D7CF4"/>
    <w:rsid w:val="005E0B8B"/>
    <w:rsid w:val="005E1035"/>
    <w:rsid w:val="005E1BB4"/>
    <w:rsid w:val="005E22DD"/>
    <w:rsid w:val="005E3970"/>
    <w:rsid w:val="005E4B82"/>
    <w:rsid w:val="005E54FF"/>
    <w:rsid w:val="005E68C2"/>
    <w:rsid w:val="005E6FED"/>
    <w:rsid w:val="005E72A1"/>
    <w:rsid w:val="005F0510"/>
    <w:rsid w:val="005F2026"/>
    <w:rsid w:val="005F27E9"/>
    <w:rsid w:val="005F343F"/>
    <w:rsid w:val="005F3C5D"/>
    <w:rsid w:val="005F466C"/>
    <w:rsid w:val="005F4816"/>
    <w:rsid w:val="005F4F56"/>
    <w:rsid w:val="005F4F5D"/>
    <w:rsid w:val="005F5366"/>
    <w:rsid w:val="005F5709"/>
    <w:rsid w:val="005F5857"/>
    <w:rsid w:val="005F5917"/>
    <w:rsid w:val="005F6140"/>
    <w:rsid w:val="005F66DC"/>
    <w:rsid w:val="005F697B"/>
    <w:rsid w:val="005F6D26"/>
    <w:rsid w:val="005F6F8D"/>
    <w:rsid w:val="005F720E"/>
    <w:rsid w:val="005F7A81"/>
    <w:rsid w:val="005F7D44"/>
    <w:rsid w:val="0060158C"/>
    <w:rsid w:val="006015DC"/>
    <w:rsid w:val="00602C38"/>
    <w:rsid w:val="00602CA8"/>
    <w:rsid w:val="00602D3F"/>
    <w:rsid w:val="00603109"/>
    <w:rsid w:val="0060342B"/>
    <w:rsid w:val="006040B3"/>
    <w:rsid w:val="006045AA"/>
    <w:rsid w:val="00605918"/>
    <w:rsid w:val="0060593B"/>
    <w:rsid w:val="00605BD8"/>
    <w:rsid w:val="00605FA4"/>
    <w:rsid w:val="0060620F"/>
    <w:rsid w:val="00606ED5"/>
    <w:rsid w:val="0060715B"/>
    <w:rsid w:val="00607B9A"/>
    <w:rsid w:val="00607BE4"/>
    <w:rsid w:val="00607D19"/>
    <w:rsid w:val="00610103"/>
    <w:rsid w:val="0061051D"/>
    <w:rsid w:val="00610572"/>
    <w:rsid w:val="0061057F"/>
    <w:rsid w:val="00610A9B"/>
    <w:rsid w:val="006123AF"/>
    <w:rsid w:val="00613543"/>
    <w:rsid w:val="006138BB"/>
    <w:rsid w:val="00613AFA"/>
    <w:rsid w:val="00614688"/>
    <w:rsid w:val="00614D15"/>
    <w:rsid w:val="006154EE"/>
    <w:rsid w:val="006159FB"/>
    <w:rsid w:val="006177AA"/>
    <w:rsid w:val="00617BCD"/>
    <w:rsid w:val="006204F0"/>
    <w:rsid w:val="00621AB5"/>
    <w:rsid w:val="00622C4D"/>
    <w:rsid w:val="00622DEE"/>
    <w:rsid w:val="0062359D"/>
    <w:rsid w:val="0062401C"/>
    <w:rsid w:val="0062411A"/>
    <w:rsid w:val="00624A75"/>
    <w:rsid w:val="00624EC2"/>
    <w:rsid w:val="00625652"/>
    <w:rsid w:val="00625717"/>
    <w:rsid w:val="00625A99"/>
    <w:rsid w:val="00626157"/>
    <w:rsid w:val="00626C8F"/>
    <w:rsid w:val="006277AA"/>
    <w:rsid w:val="00627F4F"/>
    <w:rsid w:val="006303D7"/>
    <w:rsid w:val="006306C7"/>
    <w:rsid w:val="00631068"/>
    <w:rsid w:val="00632118"/>
    <w:rsid w:val="0063342A"/>
    <w:rsid w:val="006335C1"/>
    <w:rsid w:val="00634127"/>
    <w:rsid w:val="00634934"/>
    <w:rsid w:val="00635279"/>
    <w:rsid w:val="006353CA"/>
    <w:rsid w:val="0063722A"/>
    <w:rsid w:val="00637397"/>
    <w:rsid w:val="00637626"/>
    <w:rsid w:val="00637AF2"/>
    <w:rsid w:val="00640EB8"/>
    <w:rsid w:val="00642210"/>
    <w:rsid w:val="00642236"/>
    <w:rsid w:val="006429BF"/>
    <w:rsid w:val="00642E53"/>
    <w:rsid w:val="006436C7"/>
    <w:rsid w:val="006450A8"/>
    <w:rsid w:val="0064514D"/>
    <w:rsid w:val="00645E7B"/>
    <w:rsid w:val="006464AE"/>
    <w:rsid w:val="006479AC"/>
    <w:rsid w:val="00647A75"/>
    <w:rsid w:val="00647D0F"/>
    <w:rsid w:val="00650749"/>
    <w:rsid w:val="00651A51"/>
    <w:rsid w:val="00652510"/>
    <w:rsid w:val="00652698"/>
    <w:rsid w:val="00652F47"/>
    <w:rsid w:val="00653DE0"/>
    <w:rsid w:val="0065546A"/>
    <w:rsid w:val="00655691"/>
    <w:rsid w:val="00655A1A"/>
    <w:rsid w:val="006613BC"/>
    <w:rsid w:val="0066256C"/>
    <w:rsid w:val="006629BB"/>
    <w:rsid w:val="0066318A"/>
    <w:rsid w:val="00663287"/>
    <w:rsid w:val="00664821"/>
    <w:rsid w:val="006649B7"/>
    <w:rsid w:val="00664FB0"/>
    <w:rsid w:val="006666E8"/>
    <w:rsid w:val="0066672D"/>
    <w:rsid w:val="00666CB6"/>
    <w:rsid w:val="006709E9"/>
    <w:rsid w:val="0067121A"/>
    <w:rsid w:val="0067199B"/>
    <w:rsid w:val="006726E5"/>
    <w:rsid w:val="00672BE6"/>
    <w:rsid w:val="00673F91"/>
    <w:rsid w:val="006745EF"/>
    <w:rsid w:val="00675C30"/>
    <w:rsid w:val="00675EC0"/>
    <w:rsid w:val="006776D1"/>
    <w:rsid w:val="006803EA"/>
    <w:rsid w:val="00680488"/>
    <w:rsid w:val="00681326"/>
    <w:rsid w:val="00681D12"/>
    <w:rsid w:val="00681DB9"/>
    <w:rsid w:val="0068297E"/>
    <w:rsid w:val="006837B3"/>
    <w:rsid w:val="006845A7"/>
    <w:rsid w:val="00684671"/>
    <w:rsid w:val="00684878"/>
    <w:rsid w:val="00684F03"/>
    <w:rsid w:val="006857A6"/>
    <w:rsid w:val="00685D98"/>
    <w:rsid w:val="00686044"/>
    <w:rsid w:val="006867FE"/>
    <w:rsid w:val="00686F40"/>
    <w:rsid w:val="006876A9"/>
    <w:rsid w:val="0069005C"/>
    <w:rsid w:val="0069036D"/>
    <w:rsid w:val="006903FE"/>
    <w:rsid w:val="0069122F"/>
    <w:rsid w:val="00691550"/>
    <w:rsid w:val="00691D91"/>
    <w:rsid w:val="00692836"/>
    <w:rsid w:val="00694103"/>
    <w:rsid w:val="00694AFC"/>
    <w:rsid w:val="006954D5"/>
    <w:rsid w:val="00695A5C"/>
    <w:rsid w:val="0069693C"/>
    <w:rsid w:val="00696E29"/>
    <w:rsid w:val="00697B45"/>
    <w:rsid w:val="006A05E5"/>
    <w:rsid w:val="006A1153"/>
    <w:rsid w:val="006A12A2"/>
    <w:rsid w:val="006A2035"/>
    <w:rsid w:val="006A2606"/>
    <w:rsid w:val="006A2BCC"/>
    <w:rsid w:val="006A2E13"/>
    <w:rsid w:val="006A2EA6"/>
    <w:rsid w:val="006A2F94"/>
    <w:rsid w:val="006A3FF8"/>
    <w:rsid w:val="006A4462"/>
    <w:rsid w:val="006A4570"/>
    <w:rsid w:val="006A4C60"/>
    <w:rsid w:val="006A5628"/>
    <w:rsid w:val="006A59B8"/>
    <w:rsid w:val="006A5BDF"/>
    <w:rsid w:val="006A7CD4"/>
    <w:rsid w:val="006A7E01"/>
    <w:rsid w:val="006B01C5"/>
    <w:rsid w:val="006B0ED0"/>
    <w:rsid w:val="006B2071"/>
    <w:rsid w:val="006B244B"/>
    <w:rsid w:val="006B2D69"/>
    <w:rsid w:val="006B413C"/>
    <w:rsid w:val="006B5DC3"/>
    <w:rsid w:val="006B748E"/>
    <w:rsid w:val="006B7DFE"/>
    <w:rsid w:val="006C0075"/>
    <w:rsid w:val="006C092B"/>
    <w:rsid w:val="006C1E65"/>
    <w:rsid w:val="006C2768"/>
    <w:rsid w:val="006C2D1B"/>
    <w:rsid w:val="006C399D"/>
    <w:rsid w:val="006C4550"/>
    <w:rsid w:val="006C718D"/>
    <w:rsid w:val="006D0E69"/>
    <w:rsid w:val="006D1435"/>
    <w:rsid w:val="006D1838"/>
    <w:rsid w:val="006D1D22"/>
    <w:rsid w:val="006D256A"/>
    <w:rsid w:val="006D25CE"/>
    <w:rsid w:val="006D2BD3"/>
    <w:rsid w:val="006D348B"/>
    <w:rsid w:val="006D3A70"/>
    <w:rsid w:val="006D4F82"/>
    <w:rsid w:val="006D6389"/>
    <w:rsid w:val="006E02F8"/>
    <w:rsid w:val="006E0DC9"/>
    <w:rsid w:val="006E11AF"/>
    <w:rsid w:val="006E1966"/>
    <w:rsid w:val="006E1A88"/>
    <w:rsid w:val="006E2205"/>
    <w:rsid w:val="006E2234"/>
    <w:rsid w:val="006E24C5"/>
    <w:rsid w:val="006E3C04"/>
    <w:rsid w:val="006E3F5D"/>
    <w:rsid w:val="006E417E"/>
    <w:rsid w:val="006E424A"/>
    <w:rsid w:val="006E4BFE"/>
    <w:rsid w:val="006E5490"/>
    <w:rsid w:val="006E5B1D"/>
    <w:rsid w:val="006E7471"/>
    <w:rsid w:val="006E777D"/>
    <w:rsid w:val="006F007E"/>
    <w:rsid w:val="006F0F13"/>
    <w:rsid w:val="006F13A5"/>
    <w:rsid w:val="006F1456"/>
    <w:rsid w:val="006F1F61"/>
    <w:rsid w:val="006F215A"/>
    <w:rsid w:val="006F2E6C"/>
    <w:rsid w:val="006F39FE"/>
    <w:rsid w:val="006F48B3"/>
    <w:rsid w:val="006F4D9B"/>
    <w:rsid w:val="006F5073"/>
    <w:rsid w:val="006F61DF"/>
    <w:rsid w:val="006F706F"/>
    <w:rsid w:val="006F7780"/>
    <w:rsid w:val="006F7891"/>
    <w:rsid w:val="00700826"/>
    <w:rsid w:val="007009C6"/>
    <w:rsid w:val="007013E9"/>
    <w:rsid w:val="00701436"/>
    <w:rsid w:val="00701F4B"/>
    <w:rsid w:val="0070203B"/>
    <w:rsid w:val="007026D0"/>
    <w:rsid w:val="007051F5"/>
    <w:rsid w:val="007053A5"/>
    <w:rsid w:val="00705586"/>
    <w:rsid w:val="007055C8"/>
    <w:rsid w:val="00705E3E"/>
    <w:rsid w:val="007073C0"/>
    <w:rsid w:val="007106B7"/>
    <w:rsid w:val="00712005"/>
    <w:rsid w:val="0071276D"/>
    <w:rsid w:val="00712781"/>
    <w:rsid w:val="0071308F"/>
    <w:rsid w:val="00713C4D"/>
    <w:rsid w:val="00714D2C"/>
    <w:rsid w:val="00715699"/>
    <w:rsid w:val="007156B1"/>
    <w:rsid w:val="00716154"/>
    <w:rsid w:val="00716586"/>
    <w:rsid w:val="00716765"/>
    <w:rsid w:val="0071687C"/>
    <w:rsid w:val="00716DCB"/>
    <w:rsid w:val="0071774D"/>
    <w:rsid w:val="0072043D"/>
    <w:rsid w:val="0072051C"/>
    <w:rsid w:val="00720562"/>
    <w:rsid w:val="00720C3A"/>
    <w:rsid w:val="00721365"/>
    <w:rsid w:val="00722D4C"/>
    <w:rsid w:val="00723BB6"/>
    <w:rsid w:val="0072449D"/>
    <w:rsid w:val="00725982"/>
    <w:rsid w:val="00725B69"/>
    <w:rsid w:val="00727380"/>
    <w:rsid w:val="007275EC"/>
    <w:rsid w:val="00727BB3"/>
    <w:rsid w:val="00727D58"/>
    <w:rsid w:val="00727E0C"/>
    <w:rsid w:val="007305D3"/>
    <w:rsid w:val="00731F7A"/>
    <w:rsid w:val="0073211B"/>
    <w:rsid w:val="00733304"/>
    <w:rsid w:val="007341B4"/>
    <w:rsid w:val="00734D4C"/>
    <w:rsid w:val="00735CDB"/>
    <w:rsid w:val="0073631A"/>
    <w:rsid w:val="007371BB"/>
    <w:rsid w:val="00737A77"/>
    <w:rsid w:val="0074000F"/>
    <w:rsid w:val="007403D6"/>
    <w:rsid w:val="00741419"/>
    <w:rsid w:val="00743C1F"/>
    <w:rsid w:val="00744A47"/>
    <w:rsid w:val="00745F9B"/>
    <w:rsid w:val="00746B92"/>
    <w:rsid w:val="00746FD2"/>
    <w:rsid w:val="00747067"/>
    <w:rsid w:val="00747336"/>
    <w:rsid w:val="00747B5A"/>
    <w:rsid w:val="00747F61"/>
    <w:rsid w:val="00750E49"/>
    <w:rsid w:val="007511A8"/>
    <w:rsid w:val="00751D79"/>
    <w:rsid w:val="007523B9"/>
    <w:rsid w:val="00754124"/>
    <w:rsid w:val="007545CD"/>
    <w:rsid w:val="0075488A"/>
    <w:rsid w:val="007558CA"/>
    <w:rsid w:val="007560C7"/>
    <w:rsid w:val="0075781F"/>
    <w:rsid w:val="007579FA"/>
    <w:rsid w:val="007600BF"/>
    <w:rsid w:val="00760416"/>
    <w:rsid w:val="007615AE"/>
    <w:rsid w:val="00761D6E"/>
    <w:rsid w:val="007622AA"/>
    <w:rsid w:val="00762D0D"/>
    <w:rsid w:val="00762FD6"/>
    <w:rsid w:val="00763789"/>
    <w:rsid w:val="00763C10"/>
    <w:rsid w:val="007657F1"/>
    <w:rsid w:val="00765805"/>
    <w:rsid w:val="007659C4"/>
    <w:rsid w:val="00765AE7"/>
    <w:rsid w:val="00765FA7"/>
    <w:rsid w:val="00766742"/>
    <w:rsid w:val="00767105"/>
    <w:rsid w:val="0076762B"/>
    <w:rsid w:val="0076CF58"/>
    <w:rsid w:val="007701CF"/>
    <w:rsid w:val="007703A9"/>
    <w:rsid w:val="00771B62"/>
    <w:rsid w:val="007733D8"/>
    <w:rsid w:val="007736BB"/>
    <w:rsid w:val="00773B6D"/>
    <w:rsid w:val="00773E0E"/>
    <w:rsid w:val="00775552"/>
    <w:rsid w:val="00775C11"/>
    <w:rsid w:val="00775E1B"/>
    <w:rsid w:val="007769A8"/>
    <w:rsid w:val="00776D54"/>
    <w:rsid w:val="00776DF1"/>
    <w:rsid w:val="007805DA"/>
    <w:rsid w:val="00781467"/>
    <w:rsid w:val="00781615"/>
    <w:rsid w:val="00781A2D"/>
    <w:rsid w:val="00782E6C"/>
    <w:rsid w:val="00782F34"/>
    <w:rsid w:val="0078321F"/>
    <w:rsid w:val="0078547C"/>
    <w:rsid w:val="007857AE"/>
    <w:rsid w:val="00786291"/>
    <w:rsid w:val="00786D42"/>
    <w:rsid w:val="00787E2D"/>
    <w:rsid w:val="00790519"/>
    <w:rsid w:val="00790D30"/>
    <w:rsid w:val="0079132A"/>
    <w:rsid w:val="00792367"/>
    <w:rsid w:val="00792B88"/>
    <w:rsid w:val="007930DE"/>
    <w:rsid w:val="00793D84"/>
    <w:rsid w:val="00794A4F"/>
    <w:rsid w:val="00794B4A"/>
    <w:rsid w:val="00794CAB"/>
    <w:rsid w:val="00796CB9"/>
    <w:rsid w:val="00796DAB"/>
    <w:rsid w:val="007A2085"/>
    <w:rsid w:val="007A2243"/>
    <w:rsid w:val="007A23AD"/>
    <w:rsid w:val="007A244A"/>
    <w:rsid w:val="007A382C"/>
    <w:rsid w:val="007A5299"/>
    <w:rsid w:val="007A54A4"/>
    <w:rsid w:val="007A550B"/>
    <w:rsid w:val="007A5BDA"/>
    <w:rsid w:val="007A603D"/>
    <w:rsid w:val="007A68DB"/>
    <w:rsid w:val="007A704E"/>
    <w:rsid w:val="007A7B30"/>
    <w:rsid w:val="007A7E1D"/>
    <w:rsid w:val="007B01D9"/>
    <w:rsid w:val="007B11FD"/>
    <w:rsid w:val="007B1AEF"/>
    <w:rsid w:val="007B26A2"/>
    <w:rsid w:val="007B36B3"/>
    <w:rsid w:val="007B402D"/>
    <w:rsid w:val="007B6257"/>
    <w:rsid w:val="007B6C76"/>
    <w:rsid w:val="007B778D"/>
    <w:rsid w:val="007C01A4"/>
    <w:rsid w:val="007C046D"/>
    <w:rsid w:val="007C0552"/>
    <w:rsid w:val="007C1A24"/>
    <w:rsid w:val="007C1B27"/>
    <w:rsid w:val="007C27F1"/>
    <w:rsid w:val="007C297F"/>
    <w:rsid w:val="007C2A7F"/>
    <w:rsid w:val="007C2ACB"/>
    <w:rsid w:val="007C54E2"/>
    <w:rsid w:val="007C5C63"/>
    <w:rsid w:val="007C5F94"/>
    <w:rsid w:val="007C7693"/>
    <w:rsid w:val="007D0FDE"/>
    <w:rsid w:val="007D104F"/>
    <w:rsid w:val="007D1766"/>
    <w:rsid w:val="007D17E9"/>
    <w:rsid w:val="007D188E"/>
    <w:rsid w:val="007D2E96"/>
    <w:rsid w:val="007D318A"/>
    <w:rsid w:val="007D3844"/>
    <w:rsid w:val="007D39CA"/>
    <w:rsid w:val="007D5AC8"/>
    <w:rsid w:val="007D61A4"/>
    <w:rsid w:val="007D6E43"/>
    <w:rsid w:val="007D7548"/>
    <w:rsid w:val="007D7B52"/>
    <w:rsid w:val="007E05F6"/>
    <w:rsid w:val="007E0771"/>
    <w:rsid w:val="007E0A4E"/>
    <w:rsid w:val="007E1705"/>
    <w:rsid w:val="007E2552"/>
    <w:rsid w:val="007E298F"/>
    <w:rsid w:val="007E354A"/>
    <w:rsid w:val="007E39FC"/>
    <w:rsid w:val="007E3B2C"/>
    <w:rsid w:val="007E46E6"/>
    <w:rsid w:val="007E4711"/>
    <w:rsid w:val="007E4D79"/>
    <w:rsid w:val="007E5824"/>
    <w:rsid w:val="007E6926"/>
    <w:rsid w:val="007E6B5A"/>
    <w:rsid w:val="007F008C"/>
    <w:rsid w:val="007F24B0"/>
    <w:rsid w:val="007F2969"/>
    <w:rsid w:val="007F33A6"/>
    <w:rsid w:val="007F3457"/>
    <w:rsid w:val="007F374E"/>
    <w:rsid w:val="007F4D9B"/>
    <w:rsid w:val="007F55CD"/>
    <w:rsid w:val="007F574D"/>
    <w:rsid w:val="007F7566"/>
    <w:rsid w:val="007F78F2"/>
    <w:rsid w:val="008007C5"/>
    <w:rsid w:val="0080095C"/>
    <w:rsid w:val="00802270"/>
    <w:rsid w:val="00802B51"/>
    <w:rsid w:val="00802E4E"/>
    <w:rsid w:val="00803853"/>
    <w:rsid w:val="0080386D"/>
    <w:rsid w:val="008048B2"/>
    <w:rsid w:val="00804B67"/>
    <w:rsid w:val="00804DEB"/>
    <w:rsid w:val="00805677"/>
    <w:rsid w:val="00805C08"/>
    <w:rsid w:val="00805F95"/>
    <w:rsid w:val="0080764F"/>
    <w:rsid w:val="00807AB4"/>
    <w:rsid w:val="00807C22"/>
    <w:rsid w:val="00811AE5"/>
    <w:rsid w:val="00811CE2"/>
    <w:rsid w:val="00812ACE"/>
    <w:rsid w:val="00814485"/>
    <w:rsid w:val="00814954"/>
    <w:rsid w:val="008150C1"/>
    <w:rsid w:val="008153A8"/>
    <w:rsid w:val="00816AD4"/>
    <w:rsid w:val="008174B8"/>
    <w:rsid w:val="00821A8B"/>
    <w:rsid w:val="00821B60"/>
    <w:rsid w:val="00822670"/>
    <w:rsid w:val="00822673"/>
    <w:rsid w:val="0082445A"/>
    <w:rsid w:val="00824AE2"/>
    <w:rsid w:val="00825446"/>
    <w:rsid w:val="008264CD"/>
    <w:rsid w:val="008266E5"/>
    <w:rsid w:val="00826D22"/>
    <w:rsid w:val="00827001"/>
    <w:rsid w:val="0082745F"/>
    <w:rsid w:val="0082781F"/>
    <w:rsid w:val="008278C0"/>
    <w:rsid w:val="00827A02"/>
    <w:rsid w:val="00827DB7"/>
    <w:rsid w:val="00827EC5"/>
    <w:rsid w:val="00830C92"/>
    <w:rsid w:val="008313CF"/>
    <w:rsid w:val="00831C8A"/>
    <w:rsid w:val="008323A0"/>
    <w:rsid w:val="008328BD"/>
    <w:rsid w:val="00832F6C"/>
    <w:rsid w:val="0083346B"/>
    <w:rsid w:val="00833E9B"/>
    <w:rsid w:val="0083535E"/>
    <w:rsid w:val="00835552"/>
    <w:rsid w:val="0083614E"/>
    <w:rsid w:val="008366C6"/>
    <w:rsid w:val="00837488"/>
    <w:rsid w:val="00840585"/>
    <w:rsid w:val="008410D5"/>
    <w:rsid w:val="00841294"/>
    <w:rsid w:val="00841792"/>
    <w:rsid w:val="008424BC"/>
    <w:rsid w:val="00843DA3"/>
    <w:rsid w:val="00843E8D"/>
    <w:rsid w:val="00843EFA"/>
    <w:rsid w:val="00844EAF"/>
    <w:rsid w:val="00845346"/>
    <w:rsid w:val="0084541F"/>
    <w:rsid w:val="0084579A"/>
    <w:rsid w:val="00847667"/>
    <w:rsid w:val="008476E5"/>
    <w:rsid w:val="008479A7"/>
    <w:rsid w:val="00847B01"/>
    <w:rsid w:val="00847F9E"/>
    <w:rsid w:val="00850018"/>
    <w:rsid w:val="00850254"/>
    <w:rsid w:val="0085076C"/>
    <w:rsid w:val="00851008"/>
    <w:rsid w:val="008517C8"/>
    <w:rsid w:val="008531C6"/>
    <w:rsid w:val="0085416A"/>
    <w:rsid w:val="00854342"/>
    <w:rsid w:val="00854617"/>
    <w:rsid w:val="00854B4C"/>
    <w:rsid w:val="00855702"/>
    <w:rsid w:val="00855F35"/>
    <w:rsid w:val="00856067"/>
    <w:rsid w:val="008567F8"/>
    <w:rsid w:val="00856B5E"/>
    <w:rsid w:val="00856BEF"/>
    <w:rsid w:val="00856E3F"/>
    <w:rsid w:val="008579CF"/>
    <w:rsid w:val="00857E82"/>
    <w:rsid w:val="00857FA5"/>
    <w:rsid w:val="008605E0"/>
    <w:rsid w:val="00860B3D"/>
    <w:rsid w:val="0086129C"/>
    <w:rsid w:val="008614A4"/>
    <w:rsid w:val="00862245"/>
    <w:rsid w:val="00862DB1"/>
    <w:rsid w:val="00863370"/>
    <w:rsid w:val="008635A6"/>
    <w:rsid w:val="00863E74"/>
    <w:rsid w:val="00864181"/>
    <w:rsid w:val="00864AB4"/>
    <w:rsid w:val="00864B76"/>
    <w:rsid w:val="00864D0B"/>
    <w:rsid w:val="00864F92"/>
    <w:rsid w:val="008652DB"/>
    <w:rsid w:val="008655D4"/>
    <w:rsid w:val="00865B80"/>
    <w:rsid w:val="008663CF"/>
    <w:rsid w:val="00867FA5"/>
    <w:rsid w:val="00870283"/>
    <w:rsid w:val="00870CBF"/>
    <w:rsid w:val="0087165B"/>
    <w:rsid w:val="008716F3"/>
    <w:rsid w:val="00871F32"/>
    <w:rsid w:val="0087294A"/>
    <w:rsid w:val="0087342F"/>
    <w:rsid w:val="008735E3"/>
    <w:rsid w:val="0087378F"/>
    <w:rsid w:val="00874BD4"/>
    <w:rsid w:val="00874FA3"/>
    <w:rsid w:val="0087656F"/>
    <w:rsid w:val="00876590"/>
    <w:rsid w:val="008772E1"/>
    <w:rsid w:val="00877F63"/>
    <w:rsid w:val="0088218C"/>
    <w:rsid w:val="008826EE"/>
    <w:rsid w:val="00883527"/>
    <w:rsid w:val="0088479B"/>
    <w:rsid w:val="00884E49"/>
    <w:rsid w:val="00885033"/>
    <w:rsid w:val="00885289"/>
    <w:rsid w:val="008854A6"/>
    <w:rsid w:val="0088593E"/>
    <w:rsid w:val="00886520"/>
    <w:rsid w:val="00890344"/>
    <w:rsid w:val="00891864"/>
    <w:rsid w:val="00891F5E"/>
    <w:rsid w:val="0089363F"/>
    <w:rsid w:val="008949E0"/>
    <w:rsid w:val="008965CD"/>
    <w:rsid w:val="008965F8"/>
    <w:rsid w:val="008967A6"/>
    <w:rsid w:val="00896A81"/>
    <w:rsid w:val="008A1A32"/>
    <w:rsid w:val="008A208C"/>
    <w:rsid w:val="008A3DE1"/>
    <w:rsid w:val="008A5B1D"/>
    <w:rsid w:val="008A5F64"/>
    <w:rsid w:val="008A7BF8"/>
    <w:rsid w:val="008B08E5"/>
    <w:rsid w:val="008B19DE"/>
    <w:rsid w:val="008B1B5B"/>
    <w:rsid w:val="008B2548"/>
    <w:rsid w:val="008B352D"/>
    <w:rsid w:val="008B3C5A"/>
    <w:rsid w:val="008B40A9"/>
    <w:rsid w:val="008B4CD3"/>
    <w:rsid w:val="008B501B"/>
    <w:rsid w:val="008B51F4"/>
    <w:rsid w:val="008B5C63"/>
    <w:rsid w:val="008B617E"/>
    <w:rsid w:val="008B62A8"/>
    <w:rsid w:val="008B6BA4"/>
    <w:rsid w:val="008B74AD"/>
    <w:rsid w:val="008C014F"/>
    <w:rsid w:val="008C06D0"/>
    <w:rsid w:val="008C0D64"/>
    <w:rsid w:val="008C1740"/>
    <w:rsid w:val="008C185D"/>
    <w:rsid w:val="008C20A3"/>
    <w:rsid w:val="008C4402"/>
    <w:rsid w:val="008C4733"/>
    <w:rsid w:val="008C5375"/>
    <w:rsid w:val="008C5735"/>
    <w:rsid w:val="008C68AC"/>
    <w:rsid w:val="008C7D82"/>
    <w:rsid w:val="008D00C7"/>
    <w:rsid w:val="008D0538"/>
    <w:rsid w:val="008D26F1"/>
    <w:rsid w:val="008D3933"/>
    <w:rsid w:val="008D461D"/>
    <w:rsid w:val="008D619A"/>
    <w:rsid w:val="008D733E"/>
    <w:rsid w:val="008E00CF"/>
    <w:rsid w:val="008E0FFD"/>
    <w:rsid w:val="008E1446"/>
    <w:rsid w:val="008E1A79"/>
    <w:rsid w:val="008E1B78"/>
    <w:rsid w:val="008E23A6"/>
    <w:rsid w:val="008E2A0C"/>
    <w:rsid w:val="008E2AA9"/>
    <w:rsid w:val="008E2BF2"/>
    <w:rsid w:val="008E3313"/>
    <w:rsid w:val="008E3647"/>
    <w:rsid w:val="008E54D3"/>
    <w:rsid w:val="008E5A5D"/>
    <w:rsid w:val="008E5E0F"/>
    <w:rsid w:val="008E6C81"/>
    <w:rsid w:val="008E712B"/>
    <w:rsid w:val="008E7E38"/>
    <w:rsid w:val="008F0204"/>
    <w:rsid w:val="008F0384"/>
    <w:rsid w:val="008F087B"/>
    <w:rsid w:val="008F15BF"/>
    <w:rsid w:val="008F1AE4"/>
    <w:rsid w:val="008F4231"/>
    <w:rsid w:val="008F4A13"/>
    <w:rsid w:val="008F4A52"/>
    <w:rsid w:val="008F50EC"/>
    <w:rsid w:val="008F59E0"/>
    <w:rsid w:val="008F5DDF"/>
    <w:rsid w:val="008F73BA"/>
    <w:rsid w:val="008F7D6E"/>
    <w:rsid w:val="009003A4"/>
    <w:rsid w:val="00900DAF"/>
    <w:rsid w:val="00901578"/>
    <w:rsid w:val="00901C5B"/>
    <w:rsid w:val="00902249"/>
    <w:rsid w:val="0090258F"/>
    <w:rsid w:val="0090497E"/>
    <w:rsid w:val="009057E7"/>
    <w:rsid w:val="00905965"/>
    <w:rsid w:val="00905EE4"/>
    <w:rsid w:val="00906C3F"/>
    <w:rsid w:val="009101BA"/>
    <w:rsid w:val="009110A1"/>
    <w:rsid w:val="00911CEF"/>
    <w:rsid w:val="009144E5"/>
    <w:rsid w:val="00914946"/>
    <w:rsid w:val="00915E1D"/>
    <w:rsid w:val="00917D57"/>
    <w:rsid w:val="00920279"/>
    <w:rsid w:val="00920AF6"/>
    <w:rsid w:val="00921229"/>
    <w:rsid w:val="00921B62"/>
    <w:rsid w:val="00923D18"/>
    <w:rsid w:val="0092430D"/>
    <w:rsid w:val="00925882"/>
    <w:rsid w:val="00925A01"/>
    <w:rsid w:val="0092606D"/>
    <w:rsid w:val="009265B6"/>
    <w:rsid w:val="009271C0"/>
    <w:rsid w:val="0092752F"/>
    <w:rsid w:val="00927D01"/>
    <w:rsid w:val="009305B8"/>
    <w:rsid w:val="00930C3C"/>
    <w:rsid w:val="00930E4B"/>
    <w:rsid w:val="00930E9D"/>
    <w:rsid w:val="00931206"/>
    <w:rsid w:val="0093179B"/>
    <w:rsid w:val="00931C34"/>
    <w:rsid w:val="00931E3C"/>
    <w:rsid w:val="00932AAC"/>
    <w:rsid w:val="0093335F"/>
    <w:rsid w:val="00933367"/>
    <w:rsid w:val="00933594"/>
    <w:rsid w:val="00934715"/>
    <w:rsid w:val="009357E1"/>
    <w:rsid w:val="009369BF"/>
    <w:rsid w:val="00936E2D"/>
    <w:rsid w:val="00937088"/>
    <w:rsid w:val="00937C7A"/>
    <w:rsid w:val="00940C03"/>
    <w:rsid w:val="00941B6D"/>
    <w:rsid w:val="0094258E"/>
    <w:rsid w:val="00942CF3"/>
    <w:rsid w:val="00943089"/>
    <w:rsid w:val="00943F21"/>
    <w:rsid w:val="009449A3"/>
    <w:rsid w:val="00944D26"/>
    <w:rsid w:val="00944D47"/>
    <w:rsid w:val="0094501A"/>
    <w:rsid w:val="009474BC"/>
    <w:rsid w:val="009479E3"/>
    <w:rsid w:val="009502E6"/>
    <w:rsid w:val="00950DD5"/>
    <w:rsid w:val="009526C0"/>
    <w:rsid w:val="009526D0"/>
    <w:rsid w:val="00953003"/>
    <w:rsid w:val="0095336B"/>
    <w:rsid w:val="00953AB3"/>
    <w:rsid w:val="009540C4"/>
    <w:rsid w:val="0095591D"/>
    <w:rsid w:val="00955D0F"/>
    <w:rsid w:val="00956179"/>
    <w:rsid w:val="00956DA8"/>
    <w:rsid w:val="00956F1F"/>
    <w:rsid w:val="009570AA"/>
    <w:rsid w:val="00957CB5"/>
    <w:rsid w:val="00957D22"/>
    <w:rsid w:val="009602D1"/>
    <w:rsid w:val="00960970"/>
    <w:rsid w:val="0096112B"/>
    <w:rsid w:val="0096282E"/>
    <w:rsid w:val="00962DEC"/>
    <w:rsid w:val="00963191"/>
    <w:rsid w:val="00964EC4"/>
    <w:rsid w:val="00965104"/>
    <w:rsid w:val="009657D1"/>
    <w:rsid w:val="009666E0"/>
    <w:rsid w:val="00966EAE"/>
    <w:rsid w:val="0096784B"/>
    <w:rsid w:val="0096796B"/>
    <w:rsid w:val="00971B10"/>
    <w:rsid w:val="009725C1"/>
    <w:rsid w:val="0097265C"/>
    <w:rsid w:val="009742E2"/>
    <w:rsid w:val="00974686"/>
    <w:rsid w:val="00975D45"/>
    <w:rsid w:val="0097764D"/>
    <w:rsid w:val="009778A8"/>
    <w:rsid w:val="009779B9"/>
    <w:rsid w:val="00977E32"/>
    <w:rsid w:val="0098104F"/>
    <w:rsid w:val="009815C3"/>
    <w:rsid w:val="00981C6C"/>
    <w:rsid w:val="009834FF"/>
    <w:rsid w:val="00983F9D"/>
    <w:rsid w:val="009840E8"/>
    <w:rsid w:val="00985DC1"/>
    <w:rsid w:val="009861CC"/>
    <w:rsid w:val="009875EB"/>
    <w:rsid w:val="009915F2"/>
    <w:rsid w:val="00991EFA"/>
    <w:rsid w:val="00992B3C"/>
    <w:rsid w:val="00993AFA"/>
    <w:rsid w:val="0099798A"/>
    <w:rsid w:val="009A1C40"/>
    <w:rsid w:val="009A2F6F"/>
    <w:rsid w:val="009A2FB6"/>
    <w:rsid w:val="009A30A9"/>
    <w:rsid w:val="009A3807"/>
    <w:rsid w:val="009A390A"/>
    <w:rsid w:val="009A40B4"/>
    <w:rsid w:val="009A63DB"/>
    <w:rsid w:val="009A6BA0"/>
    <w:rsid w:val="009B0569"/>
    <w:rsid w:val="009B0D0E"/>
    <w:rsid w:val="009B1112"/>
    <w:rsid w:val="009B155E"/>
    <w:rsid w:val="009B1796"/>
    <w:rsid w:val="009B1B8C"/>
    <w:rsid w:val="009B1CC1"/>
    <w:rsid w:val="009B2106"/>
    <w:rsid w:val="009B2D33"/>
    <w:rsid w:val="009B3638"/>
    <w:rsid w:val="009B3B6B"/>
    <w:rsid w:val="009B47EC"/>
    <w:rsid w:val="009B5460"/>
    <w:rsid w:val="009B5827"/>
    <w:rsid w:val="009B60B5"/>
    <w:rsid w:val="009B6A56"/>
    <w:rsid w:val="009B6DB3"/>
    <w:rsid w:val="009B7B18"/>
    <w:rsid w:val="009C04CD"/>
    <w:rsid w:val="009C0633"/>
    <w:rsid w:val="009C06F5"/>
    <w:rsid w:val="009C09C2"/>
    <w:rsid w:val="009C0E94"/>
    <w:rsid w:val="009C1163"/>
    <w:rsid w:val="009C1DD6"/>
    <w:rsid w:val="009C31AD"/>
    <w:rsid w:val="009C3202"/>
    <w:rsid w:val="009C4228"/>
    <w:rsid w:val="009C4D0C"/>
    <w:rsid w:val="009C4F74"/>
    <w:rsid w:val="009C56A1"/>
    <w:rsid w:val="009C60B2"/>
    <w:rsid w:val="009C66DF"/>
    <w:rsid w:val="009C6983"/>
    <w:rsid w:val="009C733D"/>
    <w:rsid w:val="009C7526"/>
    <w:rsid w:val="009D0D35"/>
    <w:rsid w:val="009D14CD"/>
    <w:rsid w:val="009D4D38"/>
    <w:rsid w:val="009D68D7"/>
    <w:rsid w:val="009D715C"/>
    <w:rsid w:val="009D7199"/>
    <w:rsid w:val="009D7955"/>
    <w:rsid w:val="009D797B"/>
    <w:rsid w:val="009D7CEA"/>
    <w:rsid w:val="009D7F60"/>
    <w:rsid w:val="009E284D"/>
    <w:rsid w:val="009E2C29"/>
    <w:rsid w:val="009E35B3"/>
    <w:rsid w:val="009E3622"/>
    <w:rsid w:val="009E40E4"/>
    <w:rsid w:val="009E5B76"/>
    <w:rsid w:val="009E6698"/>
    <w:rsid w:val="009E78C5"/>
    <w:rsid w:val="009F0231"/>
    <w:rsid w:val="009F1282"/>
    <w:rsid w:val="009F15E3"/>
    <w:rsid w:val="009F2427"/>
    <w:rsid w:val="009F2ADB"/>
    <w:rsid w:val="009F2B52"/>
    <w:rsid w:val="009F2CF2"/>
    <w:rsid w:val="009F2CFD"/>
    <w:rsid w:val="009F3116"/>
    <w:rsid w:val="009F43DB"/>
    <w:rsid w:val="009F5125"/>
    <w:rsid w:val="009F5E5D"/>
    <w:rsid w:val="009F7EDE"/>
    <w:rsid w:val="00A00566"/>
    <w:rsid w:val="00A00734"/>
    <w:rsid w:val="00A00886"/>
    <w:rsid w:val="00A00EF9"/>
    <w:rsid w:val="00A01036"/>
    <w:rsid w:val="00A019C2"/>
    <w:rsid w:val="00A01A05"/>
    <w:rsid w:val="00A02280"/>
    <w:rsid w:val="00A0231E"/>
    <w:rsid w:val="00A041AA"/>
    <w:rsid w:val="00A0471C"/>
    <w:rsid w:val="00A056CA"/>
    <w:rsid w:val="00A067CF"/>
    <w:rsid w:val="00A072CE"/>
    <w:rsid w:val="00A0766F"/>
    <w:rsid w:val="00A07A29"/>
    <w:rsid w:val="00A07FBD"/>
    <w:rsid w:val="00A1066C"/>
    <w:rsid w:val="00A12184"/>
    <w:rsid w:val="00A128A0"/>
    <w:rsid w:val="00A1382F"/>
    <w:rsid w:val="00A143B9"/>
    <w:rsid w:val="00A146EC"/>
    <w:rsid w:val="00A14734"/>
    <w:rsid w:val="00A14D49"/>
    <w:rsid w:val="00A15E37"/>
    <w:rsid w:val="00A17C51"/>
    <w:rsid w:val="00A20CEA"/>
    <w:rsid w:val="00A211B9"/>
    <w:rsid w:val="00A22B32"/>
    <w:rsid w:val="00A22CB4"/>
    <w:rsid w:val="00A24301"/>
    <w:rsid w:val="00A25753"/>
    <w:rsid w:val="00A25826"/>
    <w:rsid w:val="00A2601F"/>
    <w:rsid w:val="00A27325"/>
    <w:rsid w:val="00A2740C"/>
    <w:rsid w:val="00A30035"/>
    <w:rsid w:val="00A31231"/>
    <w:rsid w:val="00A3215E"/>
    <w:rsid w:val="00A321B1"/>
    <w:rsid w:val="00A33A18"/>
    <w:rsid w:val="00A3459D"/>
    <w:rsid w:val="00A3466A"/>
    <w:rsid w:val="00A348CF"/>
    <w:rsid w:val="00A34F02"/>
    <w:rsid w:val="00A369BE"/>
    <w:rsid w:val="00A372C5"/>
    <w:rsid w:val="00A377B7"/>
    <w:rsid w:val="00A40206"/>
    <w:rsid w:val="00A40F9C"/>
    <w:rsid w:val="00A420F5"/>
    <w:rsid w:val="00A42331"/>
    <w:rsid w:val="00A428FF"/>
    <w:rsid w:val="00A4405A"/>
    <w:rsid w:val="00A444E0"/>
    <w:rsid w:val="00A44E30"/>
    <w:rsid w:val="00A45F17"/>
    <w:rsid w:val="00A46B3F"/>
    <w:rsid w:val="00A46F37"/>
    <w:rsid w:val="00A47089"/>
    <w:rsid w:val="00A47EAF"/>
    <w:rsid w:val="00A504CC"/>
    <w:rsid w:val="00A5142A"/>
    <w:rsid w:val="00A51EE6"/>
    <w:rsid w:val="00A5281A"/>
    <w:rsid w:val="00A52A0C"/>
    <w:rsid w:val="00A53AD5"/>
    <w:rsid w:val="00A542A2"/>
    <w:rsid w:val="00A54730"/>
    <w:rsid w:val="00A56759"/>
    <w:rsid w:val="00A569B5"/>
    <w:rsid w:val="00A56AE9"/>
    <w:rsid w:val="00A57298"/>
    <w:rsid w:val="00A61F8B"/>
    <w:rsid w:val="00A62339"/>
    <w:rsid w:val="00A624EE"/>
    <w:rsid w:val="00A62648"/>
    <w:rsid w:val="00A63F4A"/>
    <w:rsid w:val="00A64312"/>
    <w:rsid w:val="00A646A4"/>
    <w:rsid w:val="00A65A93"/>
    <w:rsid w:val="00A65DDC"/>
    <w:rsid w:val="00A671A0"/>
    <w:rsid w:val="00A70623"/>
    <w:rsid w:val="00A70D7D"/>
    <w:rsid w:val="00A70E6A"/>
    <w:rsid w:val="00A71543"/>
    <w:rsid w:val="00A71716"/>
    <w:rsid w:val="00A71A2D"/>
    <w:rsid w:val="00A73FA8"/>
    <w:rsid w:val="00A73FDF"/>
    <w:rsid w:val="00A746BB"/>
    <w:rsid w:val="00A74B11"/>
    <w:rsid w:val="00A75967"/>
    <w:rsid w:val="00A75B15"/>
    <w:rsid w:val="00A760C9"/>
    <w:rsid w:val="00A765FE"/>
    <w:rsid w:val="00A76915"/>
    <w:rsid w:val="00A7769D"/>
    <w:rsid w:val="00A77CC5"/>
    <w:rsid w:val="00A803DC"/>
    <w:rsid w:val="00A80643"/>
    <w:rsid w:val="00A80797"/>
    <w:rsid w:val="00A81174"/>
    <w:rsid w:val="00A81575"/>
    <w:rsid w:val="00A819CE"/>
    <w:rsid w:val="00A82F61"/>
    <w:rsid w:val="00A831FC"/>
    <w:rsid w:val="00A842F3"/>
    <w:rsid w:val="00A84AFA"/>
    <w:rsid w:val="00A85222"/>
    <w:rsid w:val="00A8526D"/>
    <w:rsid w:val="00A856CE"/>
    <w:rsid w:val="00A8576A"/>
    <w:rsid w:val="00A86BB2"/>
    <w:rsid w:val="00A87A0F"/>
    <w:rsid w:val="00A87D50"/>
    <w:rsid w:val="00A908B6"/>
    <w:rsid w:val="00A90F61"/>
    <w:rsid w:val="00A92A5A"/>
    <w:rsid w:val="00A92FE4"/>
    <w:rsid w:val="00A94870"/>
    <w:rsid w:val="00A94A0B"/>
    <w:rsid w:val="00A94D65"/>
    <w:rsid w:val="00A94D9D"/>
    <w:rsid w:val="00A950E5"/>
    <w:rsid w:val="00A95540"/>
    <w:rsid w:val="00A9569D"/>
    <w:rsid w:val="00A95D76"/>
    <w:rsid w:val="00A96689"/>
    <w:rsid w:val="00A96813"/>
    <w:rsid w:val="00AA19E2"/>
    <w:rsid w:val="00AA1F10"/>
    <w:rsid w:val="00AA25EB"/>
    <w:rsid w:val="00AA27F3"/>
    <w:rsid w:val="00AA575F"/>
    <w:rsid w:val="00AA58AA"/>
    <w:rsid w:val="00AA6859"/>
    <w:rsid w:val="00AA724C"/>
    <w:rsid w:val="00AA7D8F"/>
    <w:rsid w:val="00AA9732"/>
    <w:rsid w:val="00AB125C"/>
    <w:rsid w:val="00AB150C"/>
    <w:rsid w:val="00AB38C3"/>
    <w:rsid w:val="00AB4B18"/>
    <w:rsid w:val="00AB5868"/>
    <w:rsid w:val="00AB63F1"/>
    <w:rsid w:val="00AB654A"/>
    <w:rsid w:val="00AB689C"/>
    <w:rsid w:val="00AB75C4"/>
    <w:rsid w:val="00AB7B9C"/>
    <w:rsid w:val="00AC0230"/>
    <w:rsid w:val="00AC24F9"/>
    <w:rsid w:val="00AC2C8C"/>
    <w:rsid w:val="00AC308B"/>
    <w:rsid w:val="00AC3656"/>
    <w:rsid w:val="00AC46B0"/>
    <w:rsid w:val="00AC46CD"/>
    <w:rsid w:val="00AC5CE8"/>
    <w:rsid w:val="00AC6CF2"/>
    <w:rsid w:val="00AC7B70"/>
    <w:rsid w:val="00AC7ED1"/>
    <w:rsid w:val="00AD00DB"/>
    <w:rsid w:val="00AD2BCE"/>
    <w:rsid w:val="00AD2E2E"/>
    <w:rsid w:val="00AD347B"/>
    <w:rsid w:val="00AD40FC"/>
    <w:rsid w:val="00AD428A"/>
    <w:rsid w:val="00AD45AC"/>
    <w:rsid w:val="00AD5AD7"/>
    <w:rsid w:val="00AD5CDB"/>
    <w:rsid w:val="00AD6D77"/>
    <w:rsid w:val="00AD7A35"/>
    <w:rsid w:val="00AE01EF"/>
    <w:rsid w:val="00AE0350"/>
    <w:rsid w:val="00AE0987"/>
    <w:rsid w:val="00AE0D9F"/>
    <w:rsid w:val="00AE1883"/>
    <w:rsid w:val="00AE1F41"/>
    <w:rsid w:val="00AE2363"/>
    <w:rsid w:val="00AE3278"/>
    <w:rsid w:val="00AE32B0"/>
    <w:rsid w:val="00AE372F"/>
    <w:rsid w:val="00AE41C4"/>
    <w:rsid w:val="00AE4354"/>
    <w:rsid w:val="00AE467D"/>
    <w:rsid w:val="00AE53DE"/>
    <w:rsid w:val="00AE53F3"/>
    <w:rsid w:val="00AE61EB"/>
    <w:rsid w:val="00AE7782"/>
    <w:rsid w:val="00AF0F0F"/>
    <w:rsid w:val="00AF117A"/>
    <w:rsid w:val="00AF1D29"/>
    <w:rsid w:val="00AF21D7"/>
    <w:rsid w:val="00AF3EED"/>
    <w:rsid w:val="00AF422C"/>
    <w:rsid w:val="00AF4CE9"/>
    <w:rsid w:val="00AF76B0"/>
    <w:rsid w:val="00B001ED"/>
    <w:rsid w:val="00B01F1D"/>
    <w:rsid w:val="00B023FE"/>
    <w:rsid w:val="00B030A6"/>
    <w:rsid w:val="00B04458"/>
    <w:rsid w:val="00B05378"/>
    <w:rsid w:val="00B05939"/>
    <w:rsid w:val="00B06870"/>
    <w:rsid w:val="00B06A30"/>
    <w:rsid w:val="00B0795D"/>
    <w:rsid w:val="00B07F25"/>
    <w:rsid w:val="00B10620"/>
    <w:rsid w:val="00B116F0"/>
    <w:rsid w:val="00B11869"/>
    <w:rsid w:val="00B128E1"/>
    <w:rsid w:val="00B12B84"/>
    <w:rsid w:val="00B13676"/>
    <w:rsid w:val="00B14519"/>
    <w:rsid w:val="00B17CC1"/>
    <w:rsid w:val="00B204E0"/>
    <w:rsid w:val="00B20E3B"/>
    <w:rsid w:val="00B21094"/>
    <w:rsid w:val="00B22474"/>
    <w:rsid w:val="00B230FD"/>
    <w:rsid w:val="00B2354A"/>
    <w:rsid w:val="00B2362C"/>
    <w:rsid w:val="00B23EA3"/>
    <w:rsid w:val="00B24AB9"/>
    <w:rsid w:val="00B24D7F"/>
    <w:rsid w:val="00B2577C"/>
    <w:rsid w:val="00B25D52"/>
    <w:rsid w:val="00B263FA"/>
    <w:rsid w:val="00B2646D"/>
    <w:rsid w:val="00B2681A"/>
    <w:rsid w:val="00B26832"/>
    <w:rsid w:val="00B2707A"/>
    <w:rsid w:val="00B272C9"/>
    <w:rsid w:val="00B27D91"/>
    <w:rsid w:val="00B309F5"/>
    <w:rsid w:val="00B31313"/>
    <w:rsid w:val="00B315A5"/>
    <w:rsid w:val="00B31E9B"/>
    <w:rsid w:val="00B320B8"/>
    <w:rsid w:val="00B3215A"/>
    <w:rsid w:val="00B328DC"/>
    <w:rsid w:val="00B32956"/>
    <w:rsid w:val="00B33CC7"/>
    <w:rsid w:val="00B3460F"/>
    <w:rsid w:val="00B3539D"/>
    <w:rsid w:val="00B3670E"/>
    <w:rsid w:val="00B36E03"/>
    <w:rsid w:val="00B3793B"/>
    <w:rsid w:val="00B40A2A"/>
    <w:rsid w:val="00B41D56"/>
    <w:rsid w:val="00B44C4F"/>
    <w:rsid w:val="00B44FB2"/>
    <w:rsid w:val="00B47388"/>
    <w:rsid w:val="00B47949"/>
    <w:rsid w:val="00B5019C"/>
    <w:rsid w:val="00B50430"/>
    <w:rsid w:val="00B50479"/>
    <w:rsid w:val="00B5139C"/>
    <w:rsid w:val="00B52EC2"/>
    <w:rsid w:val="00B54BB3"/>
    <w:rsid w:val="00B54F35"/>
    <w:rsid w:val="00B552E3"/>
    <w:rsid w:val="00B55517"/>
    <w:rsid w:val="00B558BD"/>
    <w:rsid w:val="00B56369"/>
    <w:rsid w:val="00B56898"/>
    <w:rsid w:val="00B56DC6"/>
    <w:rsid w:val="00B5781F"/>
    <w:rsid w:val="00B60089"/>
    <w:rsid w:val="00B60109"/>
    <w:rsid w:val="00B601BE"/>
    <w:rsid w:val="00B61532"/>
    <w:rsid w:val="00B61F22"/>
    <w:rsid w:val="00B62051"/>
    <w:rsid w:val="00B62742"/>
    <w:rsid w:val="00B634BF"/>
    <w:rsid w:val="00B64BBA"/>
    <w:rsid w:val="00B66382"/>
    <w:rsid w:val="00B6646C"/>
    <w:rsid w:val="00B66484"/>
    <w:rsid w:val="00B66795"/>
    <w:rsid w:val="00B66B5F"/>
    <w:rsid w:val="00B6769D"/>
    <w:rsid w:val="00B678A6"/>
    <w:rsid w:val="00B7155F"/>
    <w:rsid w:val="00B71730"/>
    <w:rsid w:val="00B71F10"/>
    <w:rsid w:val="00B724A7"/>
    <w:rsid w:val="00B72565"/>
    <w:rsid w:val="00B72A8A"/>
    <w:rsid w:val="00B73D34"/>
    <w:rsid w:val="00B744B1"/>
    <w:rsid w:val="00B75632"/>
    <w:rsid w:val="00B76035"/>
    <w:rsid w:val="00B760EC"/>
    <w:rsid w:val="00B80479"/>
    <w:rsid w:val="00B80494"/>
    <w:rsid w:val="00B813B9"/>
    <w:rsid w:val="00B818B5"/>
    <w:rsid w:val="00B82F70"/>
    <w:rsid w:val="00B85449"/>
    <w:rsid w:val="00B856D0"/>
    <w:rsid w:val="00B8583D"/>
    <w:rsid w:val="00B86802"/>
    <w:rsid w:val="00B87675"/>
    <w:rsid w:val="00B878D8"/>
    <w:rsid w:val="00B87D87"/>
    <w:rsid w:val="00B909A3"/>
    <w:rsid w:val="00B90B18"/>
    <w:rsid w:val="00B936B2"/>
    <w:rsid w:val="00B956A9"/>
    <w:rsid w:val="00B95CB2"/>
    <w:rsid w:val="00B96101"/>
    <w:rsid w:val="00B961AC"/>
    <w:rsid w:val="00B968DC"/>
    <w:rsid w:val="00B96A13"/>
    <w:rsid w:val="00B96ADF"/>
    <w:rsid w:val="00B96EE3"/>
    <w:rsid w:val="00B9764E"/>
    <w:rsid w:val="00B977B2"/>
    <w:rsid w:val="00B97DFD"/>
    <w:rsid w:val="00BA0497"/>
    <w:rsid w:val="00BA073D"/>
    <w:rsid w:val="00BA0D1E"/>
    <w:rsid w:val="00BA105C"/>
    <w:rsid w:val="00BA1231"/>
    <w:rsid w:val="00BA2BB9"/>
    <w:rsid w:val="00BA3B71"/>
    <w:rsid w:val="00BA47C7"/>
    <w:rsid w:val="00BA6586"/>
    <w:rsid w:val="00BA66A5"/>
    <w:rsid w:val="00BA677B"/>
    <w:rsid w:val="00BB0233"/>
    <w:rsid w:val="00BB0900"/>
    <w:rsid w:val="00BB2F6D"/>
    <w:rsid w:val="00BB3153"/>
    <w:rsid w:val="00BB38EC"/>
    <w:rsid w:val="00BB3F95"/>
    <w:rsid w:val="00BB476F"/>
    <w:rsid w:val="00BB482B"/>
    <w:rsid w:val="00BB4AF1"/>
    <w:rsid w:val="00BB5B09"/>
    <w:rsid w:val="00BB5E87"/>
    <w:rsid w:val="00BB6233"/>
    <w:rsid w:val="00BB67D7"/>
    <w:rsid w:val="00BC0062"/>
    <w:rsid w:val="00BC061A"/>
    <w:rsid w:val="00BC1FC3"/>
    <w:rsid w:val="00BC3957"/>
    <w:rsid w:val="00BC4163"/>
    <w:rsid w:val="00BC4A24"/>
    <w:rsid w:val="00BC55ED"/>
    <w:rsid w:val="00BC5D3E"/>
    <w:rsid w:val="00BC6D5D"/>
    <w:rsid w:val="00BC6E7B"/>
    <w:rsid w:val="00BC7C49"/>
    <w:rsid w:val="00BCF5B7"/>
    <w:rsid w:val="00BD0959"/>
    <w:rsid w:val="00BD1A46"/>
    <w:rsid w:val="00BD1FFC"/>
    <w:rsid w:val="00BD3465"/>
    <w:rsid w:val="00BD4AC7"/>
    <w:rsid w:val="00BD5069"/>
    <w:rsid w:val="00BD536E"/>
    <w:rsid w:val="00BD5E15"/>
    <w:rsid w:val="00BD653D"/>
    <w:rsid w:val="00BD6BD4"/>
    <w:rsid w:val="00BD6CB2"/>
    <w:rsid w:val="00BD7433"/>
    <w:rsid w:val="00BE23D8"/>
    <w:rsid w:val="00BE2B21"/>
    <w:rsid w:val="00BE3A92"/>
    <w:rsid w:val="00BE4278"/>
    <w:rsid w:val="00BE48AE"/>
    <w:rsid w:val="00BE4B09"/>
    <w:rsid w:val="00BE5027"/>
    <w:rsid w:val="00BE5075"/>
    <w:rsid w:val="00BE5168"/>
    <w:rsid w:val="00BE5928"/>
    <w:rsid w:val="00BE59AD"/>
    <w:rsid w:val="00BE6647"/>
    <w:rsid w:val="00BE7AC4"/>
    <w:rsid w:val="00BF0B17"/>
    <w:rsid w:val="00BF0C2B"/>
    <w:rsid w:val="00BF170C"/>
    <w:rsid w:val="00BF2544"/>
    <w:rsid w:val="00BF26C4"/>
    <w:rsid w:val="00BF30A0"/>
    <w:rsid w:val="00BF400E"/>
    <w:rsid w:val="00BF4385"/>
    <w:rsid w:val="00BF47A3"/>
    <w:rsid w:val="00BF4E31"/>
    <w:rsid w:val="00BF4F8D"/>
    <w:rsid w:val="00BF5F55"/>
    <w:rsid w:val="00BF6008"/>
    <w:rsid w:val="00BF6D0C"/>
    <w:rsid w:val="00BF7E85"/>
    <w:rsid w:val="00C01405"/>
    <w:rsid w:val="00C01481"/>
    <w:rsid w:val="00C023CF"/>
    <w:rsid w:val="00C039F1"/>
    <w:rsid w:val="00C03BB9"/>
    <w:rsid w:val="00C03C32"/>
    <w:rsid w:val="00C04DEC"/>
    <w:rsid w:val="00C0565C"/>
    <w:rsid w:val="00C067F7"/>
    <w:rsid w:val="00C069F4"/>
    <w:rsid w:val="00C073F1"/>
    <w:rsid w:val="00C07826"/>
    <w:rsid w:val="00C10B65"/>
    <w:rsid w:val="00C1145D"/>
    <w:rsid w:val="00C116CA"/>
    <w:rsid w:val="00C11C19"/>
    <w:rsid w:val="00C1325C"/>
    <w:rsid w:val="00C140B4"/>
    <w:rsid w:val="00C14100"/>
    <w:rsid w:val="00C14E49"/>
    <w:rsid w:val="00C16698"/>
    <w:rsid w:val="00C1774D"/>
    <w:rsid w:val="00C178F2"/>
    <w:rsid w:val="00C21871"/>
    <w:rsid w:val="00C21B01"/>
    <w:rsid w:val="00C2240E"/>
    <w:rsid w:val="00C23199"/>
    <w:rsid w:val="00C23531"/>
    <w:rsid w:val="00C23D7A"/>
    <w:rsid w:val="00C23E15"/>
    <w:rsid w:val="00C240F0"/>
    <w:rsid w:val="00C24885"/>
    <w:rsid w:val="00C24BDB"/>
    <w:rsid w:val="00C265C7"/>
    <w:rsid w:val="00C2725E"/>
    <w:rsid w:val="00C27CB8"/>
    <w:rsid w:val="00C27CE9"/>
    <w:rsid w:val="00C31014"/>
    <w:rsid w:val="00C31054"/>
    <w:rsid w:val="00C33AE8"/>
    <w:rsid w:val="00C343B4"/>
    <w:rsid w:val="00C35448"/>
    <w:rsid w:val="00C354C3"/>
    <w:rsid w:val="00C356BF"/>
    <w:rsid w:val="00C36B63"/>
    <w:rsid w:val="00C375C1"/>
    <w:rsid w:val="00C4081B"/>
    <w:rsid w:val="00C40A00"/>
    <w:rsid w:val="00C40F67"/>
    <w:rsid w:val="00C4147A"/>
    <w:rsid w:val="00C42888"/>
    <w:rsid w:val="00C433F3"/>
    <w:rsid w:val="00C43D4F"/>
    <w:rsid w:val="00C44A6E"/>
    <w:rsid w:val="00C45036"/>
    <w:rsid w:val="00C4578E"/>
    <w:rsid w:val="00C459FB"/>
    <w:rsid w:val="00C46C2D"/>
    <w:rsid w:val="00C474DE"/>
    <w:rsid w:val="00C47BCC"/>
    <w:rsid w:val="00C506F1"/>
    <w:rsid w:val="00C507DC"/>
    <w:rsid w:val="00C518D3"/>
    <w:rsid w:val="00C51D51"/>
    <w:rsid w:val="00C52670"/>
    <w:rsid w:val="00C52A50"/>
    <w:rsid w:val="00C54883"/>
    <w:rsid w:val="00C549EF"/>
    <w:rsid w:val="00C56551"/>
    <w:rsid w:val="00C566EA"/>
    <w:rsid w:val="00C56914"/>
    <w:rsid w:val="00C56C17"/>
    <w:rsid w:val="00C57DEB"/>
    <w:rsid w:val="00C6062C"/>
    <w:rsid w:val="00C6065A"/>
    <w:rsid w:val="00C60FE1"/>
    <w:rsid w:val="00C610A2"/>
    <w:rsid w:val="00C6121A"/>
    <w:rsid w:val="00C618F0"/>
    <w:rsid w:val="00C61940"/>
    <w:rsid w:val="00C61CCB"/>
    <w:rsid w:val="00C623A0"/>
    <w:rsid w:val="00C624EC"/>
    <w:rsid w:val="00C645A4"/>
    <w:rsid w:val="00C64E52"/>
    <w:rsid w:val="00C665F2"/>
    <w:rsid w:val="00C67948"/>
    <w:rsid w:val="00C70180"/>
    <w:rsid w:val="00C70733"/>
    <w:rsid w:val="00C71341"/>
    <w:rsid w:val="00C71944"/>
    <w:rsid w:val="00C71A17"/>
    <w:rsid w:val="00C71CC0"/>
    <w:rsid w:val="00C7209E"/>
    <w:rsid w:val="00C7294A"/>
    <w:rsid w:val="00C72B43"/>
    <w:rsid w:val="00C73B5B"/>
    <w:rsid w:val="00C73E84"/>
    <w:rsid w:val="00C8051E"/>
    <w:rsid w:val="00C8153B"/>
    <w:rsid w:val="00C82196"/>
    <w:rsid w:val="00C82989"/>
    <w:rsid w:val="00C82B8E"/>
    <w:rsid w:val="00C82C25"/>
    <w:rsid w:val="00C83608"/>
    <w:rsid w:val="00C83E20"/>
    <w:rsid w:val="00C83E94"/>
    <w:rsid w:val="00C84594"/>
    <w:rsid w:val="00C846E7"/>
    <w:rsid w:val="00C84ABA"/>
    <w:rsid w:val="00C84CFA"/>
    <w:rsid w:val="00C85A76"/>
    <w:rsid w:val="00C85F81"/>
    <w:rsid w:val="00C87FD2"/>
    <w:rsid w:val="00C91D66"/>
    <w:rsid w:val="00C91D85"/>
    <w:rsid w:val="00C91E37"/>
    <w:rsid w:val="00C91FFA"/>
    <w:rsid w:val="00C92E59"/>
    <w:rsid w:val="00C9341A"/>
    <w:rsid w:val="00C93B73"/>
    <w:rsid w:val="00C943D9"/>
    <w:rsid w:val="00C963F1"/>
    <w:rsid w:val="00C9672F"/>
    <w:rsid w:val="00C96AD1"/>
    <w:rsid w:val="00C96F2C"/>
    <w:rsid w:val="00C97205"/>
    <w:rsid w:val="00C975EA"/>
    <w:rsid w:val="00C97B4E"/>
    <w:rsid w:val="00C97DB9"/>
    <w:rsid w:val="00CA0C08"/>
    <w:rsid w:val="00CA1BC1"/>
    <w:rsid w:val="00CA1EFC"/>
    <w:rsid w:val="00CA2039"/>
    <w:rsid w:val="00CA2620"/>
    <w:rsid w:val="00CA298F"/>
    <w:rsid w:val="00CA2ED5"/>
    <w:rsid w:val="00CA2FC8"/>
    <w:rsid w:val="00CA335D"/>
    <w:rsid w:val="00CA3D8A"/>
    <w:rsid w:val="00CA486C"/>
    <w:rsid w:val="00CA4FD3"/>
    <w:rsid w:val="00CA5F63"/>
    <w:rsid w:val="00CA5FDE"/>
    <w:rsid w:val="00CA6C04"/>
    <w:rsid w:val="00CA6F20"/>
    <w:rsid w:val="00CA6F4A"/>
    <w:rsid w:val="00CA75BA"/>
    <w:rsid w:val="00CA7CF8"/>
    <w:rsid w:val="00CB0035"/>
    <w:rsid w:val="00CB0194"/>
    <w:rsid w:val="00CB16FD"/>
    <w:rsid w:val="00CB21EC"/>
    <w:rsid w:val="00CB22D6"/>
    <w:rsid w:val="00CB4332"/>
    <w:rsid w:val="00CB52B5"/>
    <w:rsid w:val="00CB639D"/>
    <w:rsid w:val="00CB6FAF"/>
    <w:rsid w:val="00CB70AC"/>
    <w:rsid w:val="00CB744E"/>
    <w:rsid w:val="00CC0D49"/>
    <w:rsid w:val="00CC171A"/>
    <w:rsid w:val="00CC2C36"/>
    <w:rsid w:val="00CC3DB3"/>
    <w:rsid w:val="00CC4560"/>
    <w:rsid w:val="00CC5250"/>
    <w:rsid w:val="00CC5C50"/>
    <w:rsid w:val="00CC631D"/>
    <w:rsid w:val="00CC72BE"/>
    <w:rsid w:val="00CC7B6E"/>
    <w:rsid w:val="00CC7E97"/>
    <w:rsid w:val="00CC7F1D"/>
    <w:rsid w:val="00CD07E1"/>
    <w:rsid w:val="00CD08DE"/>
    <w:rsid w:val="00CD1377"/>
    <w:rsid w:val="00CD19E6"/>
    <w:rsid w:val="00CD1EFF"/>
    <w:rsid w:val="00CD1F97"/>
    <w:rsid w:val="00CD38FD"/>
    <w:rsid w:val="00CD39D6"/>
    <w:rsid w:val="00CD3A3D"/>
    <w:rsid w:val="00CD3C8C"/>
    <w:rsid w:val="00CD3D1E"/>
    <w:rsid w:val="00CD418B"/>
    <w:rsid w:val="00CD497A"/>
    <w:rsid w:val="00CD4EB0"/>
    <w:rsid w:val="00CD5B9C"/>
    <w:rsid w:val="00CD6259"/>
    <w:rsid w:val="00CD7B12"/>
    <w:rsid w:val="00CE0806"/>
    <w:rsid w:val="00CE0A6C"/>
    <w:rsid w:val="00CE1189"/>
    <w:rsid w:val="00CE11AA"/>
    <w:rsid w:val="00CE1C32"/>
    <w:rsid w:val="00CE1CEE"/>
    <w:rsid w:val="00CE1D3E"/>
    <w:rsid w:val="00CE23AE"/>
    <w:rsid w:val="00CE2BD1"/>
    <w:rsid w:val="00CE371F"/>
    <w:rsid w:val="00CE3DE2"/>
    <w:rsid w:val="00CE410E"/>
    <w:rsid w:val="00CE4411"/>
    <w:rsid w:val="00CE6509"/>
    <w:rsid w:val="00CE70ED"/>
    <w:rsid w:val="00CE714F"/>
    <w:rsid w:val="00CF0020"/>
    <w:rsid w:val="00CF03E5"/>
    <w:rsid w:val="00CF1039"/>
    <w:rsid w:val="00CF10AB"/>
    <w:rsid w:val="00CF1241"/>
    <w:rsid w:val="00CF1539"/>
    <w:rsid w:val="00CF1C35"/>
    <w:rsid w:val="00CF2344"/>
    <w:rsid w:val="00CF25CD"/>
    <w:rsid w:val="00CF25DA"/>
    <w:rsid w:val="00CF3224"/>
    <w:rsid w:val="00CF44DB"/>
    <w:rsid w:val="00CF4540"/>
    <w:rsid w:val="00CF5DEC"/>
    <w:rsid w:val="00CF6EC0"/>
    <w:rsid w:val="00CF77C0"/>
    <w:rsid w:val="00D0003F"/>
    <w:rsid w:val="00D00FB2"/>
    <w:rsid w:val="00D014C7"/>
    <w:rsid w:val="00D023E0"/>
    <w:rsid w:val="00D03359"/>
    <w:rsid w:val="00D03FED"/>
    <w:rsid w:val="00D0672B"/>
    <w:rsid w:val="00D068A7"/>
    <w:rsid w:val="00D07077"/>
    <w:rsid w:val="00D10699"/>
    <w:rsid w:val="00D108E5"/>
    <w:rsid w:val="00D10B5C"/>
    <w:rsid w:val="00D11449"/>
    <w:rsid w:val="00D114C5"/>
    <w:rsid w:val="00D11534"/>
    <w:rsid w:val="00D11935"/>
    <w:rsid w:val="00D120E9"/>
    <w:rsid w:val="00D12B3A"/>
    <w:rsid w:val="00D12BE7"/>
    <w:rsid w:val="00D13005"/>
    <w:rsid w:val="00D13E29"/>
    <w:rsid w:val="00D13EA6"/>
    <w:rsid w:val="00D13F5D"/>
    <w:rsid w:val="00D144E4"/>
    <w:rsid w:val="00D161C0"/>
    <w:rsid w:val="00D1661E"/>
    <w:rsid w:val="00D16F43"/>
    <w:rsid w:val="00D2007A"/>
    <w:rsid w:val="00D21F61"/>
    <w:rsid w:val="00D22ED6"/>
    <w:rsid w:val="00D23216"/>
    <w:rsid w:val="00D25090"/>
    <w:rsid w:val="00D250B2"/>
    <w:rsid w:val="00D25E60"/>
    <w:rsid w:val="00D268D1"/>
    <w:rsid w:val="00D27350"/>
    <w:rsid w:val="00D277C1"/>
    <w:rsid w:val="00D27820"/>
    <w:rsid w:val="00D30C05"/>
    <w:rsid w:val="00D30C08"/>
    <w:rsid w:val="00D30F27"/>
    <w:rsid w:val="00D3141C"/>
    <w:rsid w:val="00D31F94"/>
    <w:rsid w:val="00D3251E"/>
    <w:rsid w:val="00D32628"/>
    <w:rsid w:val="00D32655"/>
    <w:rsid w:val="00D32D2F"/>
    <w:rsid w:val="00D32DBB"/>
    <w:rsid w:val="00D33D98"/>
    <w:rsid w:val="00D3446D"/>
    <w:rsid w:val="00D3471A"/>
    <w:rsid w:val="00D3495E"/>
    <w:rsid w:val="00D34BA4"/>
    <w:rsid w:val="00D34F29"/>
    <w:rsid w:val="00D356F4"/>
    <w:rsid w:val="00D35BF3"/>
    <w:rsid w:val="00D36467"/>
    <w:rsid w:val="00D37FA4"/>
    <w:rsid w:val="00D4072F"/>
    <w:rsid w:val="00D40F07"/>
    <w:rsid w:val="00D4288A"/>
    <w:rsid w:val="00D43741"/>
    <w:rsid w:val="00D4386B"/>
    <w:rsid w:val="00D43C5A"/>
    <w:rsid w:val="00D45139"/>
    <w:rsid w:val="00D50027"/>
    <w:rsid w:val="00D5173F"/>
    <w:rsid w:val="00D51E2A"/>
    <w:rsid w:val="00D52576"/>
    <w:rsid w:val="00D53ABB"/>
    <w:rsid w:val="00D53ADA"/>
    <w:rsid w:val="00D53F6A"/>
    <w:rsid w:val="00D548C3"/>
    <w:rsid w:val="00D54DDD"/>
    <w:rsid w:val="00D5585A"/>
    <w:rsid w:val="00D55960"/>
    <w:rsid w:val="00D55FC8"/>
    <w:rsid w:val="00D57487"/>
    <w:rsid w:val="00D62139"/>
    <w:rsid w:val="00D62198"/>
    <w:rsid w:val="00D6247A"/>
    <w:rsid w:val="00D63DBF"/>
    <w:rsid w:val="00D6413D"/>
    <w:rsid w:val="00D642FD"/>
    <w:rsid w:val="00D651F9"/>
    <w:rsid w:val="00D67A45"/>
    <w:rsid w:val="00D67BA0"/>
    <w:rsid w:val="00D71485"/>
    <w:rsid w:val="00D71E9C"/>
    <w:rsid w:val="00D71F48"/>
    <w:rsid w:val="00D73773"/>
    <w:rsid w:val="00D738F2"/>
    <w:rsid w:val="00D73C67"/>
    <w:rsid w:val="00D73C7C"/>
    <w:rsid w:val="00D75469"/>
    <w:rsid w:val="00D75B98"/>
    <w:rsid w:val="00D75D68"/>
    <w:rsid w:val="00D76BF4"/>
    <w:rsid w:val="00D77020"/>
    <w:rsid w:val="00D773C7"/>
    <w:rsid w:val="00D77DF6"/>
    <w:rsid w:val="00D80BDB"/>
    <w:rsid w:val="00D81218"/>
    <w:rsid w:val="00D81552"/>
    <w:rsid w:val="00D82951"/>
    <w:rsid w:val="00D83648"/>
    <w:rsid w:val="00D841A9"/>
    <w:rsid w:val="00D84C7F"/>
    <w:rsid w:val="00D852EF"/>
    <w:rsid w:val="00D85395"/>
    <w:rsid w:val="00D86FDB"/>
    <w:rsid w:val="00D8729C"/>
    <w:rsid w:val="00D8731C"/>
    <w:rsid w:val="00D8737E"/>
    <w:rsid w:val="00D90696"/>
    <w:rsid w:val="00D90AE1"/>
    <w:rsid w:val="00D91EC0"/>
    <w:rsid w:val="00D92497"/>
    <w:rsid w:val="00D938C0"/>
    <w:rsid w:val="00D9453E"/>
    <w:rsid w:val="00D94729"/>
    <w:rsid w:val="00D9487A"/>
    <w:rsid w:val="00D94992"/>
    <w:rsid w:val="00D96B1A"/>
    <w:rsid w:val="00D9704E"/>
    <w:rsid w:val="00DA2AB1"/>
    <w:rsid w:val="00DA39C7"/>
    <w:rsid w:val="00DA3D92"/>
    <w:rsid w:val="00DA3FD3"/>
    <w:rsid w:val="00DA402D"/>
    <w:rsid w:val="00DA42B3"/>
    <w:rsid w:val="00DA45A4"/>
    <w:rsid w:val="00DA494F"/>
    <w:rsid w:val="00DA4BE0"/>
    <w:rsid w:val="00DA4FD8"/>
    <w:rsid w:val="00DA5D40"/>
    <w:rsid w:val="00DA6CA0"/>
    <w:rsid w:val="00DB1D0F"/>
    <w:rsid w:val="00DB2799"/>
    <w:rsid w:val="00DB311D"/>
    <w:rsid w:val="00DB32DA"/>
    <w:rsid w:val="00DB3BAF"/>
    <w:rsid w:val="00DB41C8"/>
    <w:rsid w:val="00DB55D3"/>
    <w:rsid w:val="00DB5FB9"/>
    <w:rsid w:val="00DB672E"/>
    <w:rsid w:val="00DB681C"/>
    <w:rsid w:val="00DB6F45"/>
    <w:rsid w:val="00DB72F3"/>
    <w:rsid w:val="00DB73AE"/>
    <w:rsid w:val="00DC00C3"/>
    <w:rsid w:val="00DC00E4"/>
    <w:rsid w:val="00DC031E"/>
    <w:rsid w:val="00DC20F3"/>
    <w:rsid w:val="00DC281E"/>
    <w:rsid w:val="00DC299C"/>
    <w:rsid w:val="00DC37DA"/>
    <w:rsid w:val="00DC445D"/>
    <w:rsid w:val="00DC49E4"/>
    <w:rsid w:val="00DC5DB0"/>
    <w:rsid w:val="00DC5EFA"/>
    <w:rsid w:val="00DC63E8"/>
    <w:rsid w:val="00DC7838"/>
    <w:rsid w:val="00DC7BF2"/>
    <w:rsid w:val="00DD141C"/>
    <w:rsid w:val="00DD2F5A"/>
    <w:rsid w:val="00DD3DAD"/>
    <w:rsid w:val="00DD3DE8"/>
    <w:rsid w:val="00DD4165"/>
    <w:rsid w:val="00DD4414"/>
    <w:rsid w:val="00DD6A93"/>
    <w:rsid w:val="00DD6C7C"/>
    <w:rsid w:val="00DD70B6"/>
    <w:rsid w:val="00DE05A2"/>
    <w:rsid w:val="00DE0A89"/>
    <w:rsid w:val="00DE1787"/>
    <w:rsid w:val="00DE1C48"/>
    <w:rsid w:val="00DE2E95"/>
    <w:rsid w:val="00DE302F"/>
    <w:rsid w:val="00DE3B8C"/>
    <w:rsid w:val="00DE42C5"/>
    <w:rsid w:val="00DE4E1D"/>
    <w:rsid w:val="00DE569F"/>
    <w:rsid w:val="00DE6525"/>
    <w:rsid w:val="00DE7655"/>
    <w:rsid w:val="00DE7819"/>
    <w:rsid w:val="00DF021A"/>
    <w:rsid w:val="00DF074B"/>
    <w:rsid w:val="00DF09F4"/>
    <w:rsid w:val="00DF0C7F"/>
    <w:rsid w:val="00DF170C"/>
    <w:rsid w:val="00DF1F7D"/>
    <w:rsid w:val="00DF2230"/>
    <w:rsid w:val="00DF243C"/>
    <w:rsid w:val="00DF2F40"/>
    <w:rsid w:val="00DF4948"/>
    <w:rsid w:val="00DF5336"/>
    <w:rsid w:val="00DF57D3"/>
    <w:rsid w:val="00DF6F6B"/>
    <w:rsid w:val="00DF7205"/>
    <w:rsid w:val="00E00D09"/>
    <w:rsid w:val="00E01BA7"/>
    <w:rsid w:val="00E023BD"/>
    <w:rsid w:val="00E02E15"/>
    <w:rsid w:val="00E03699"/>
    <w:rsid w:val="00E03D1B"/>
    <w:rsid w:val="00E04713"/>
    <w:rsid w:val="00E04852"/>
    <w:rsid w:val="00E05057"/>
    <w:rsid w:val="00E05341"/>
    <w:rsid w:val="00E05E9B"/>
    <w:rsid w:val="00E06989"/>
    <w:rsid w:val="00E10AFB"/>
    <w:rsid w:val="00E10BE8"/>
    <w:rsid w:val="00E11768"/>
    <w:rsid w:val="00E1219B"/>
    <w:rsid w:val="00E132D0"/>
    <w:rsid w:val="00E13839"/>
    <w:rsid w:val="00E139AD"/>
    <w:rsid w:val="00E149A9"/>
    <w:rsid w:val="00E155FE"/>
    <w:rsid w:val="00E15CD3"/>
    <w:rsid w:val="00E20239"/>
    <w:rsid w:val="00E226D4"/>
    <w:rsid w:val="00E2481F"/>
    <w:rsid w:val="00E25442"/>
    <w:rsid w:val="00E25E5B"/>
    <w:rsid w:val="00E271F2"/>
    <w:rsid w:val="00E30B04"/>
    <w:rsid w:val="00E328DA"/>
    <w:rsid w:val="00E32EAE"/>
    <w:rsid w:val="00E35C68"/>
    <w:rsid w:val="00E35EFF"/>
    <w:rsid w:val="00E36FBC"/>
    <w:rsid w:val="00E3724D"/>
    <w:rsid w:val="00E40234"/>
    <w:rsid w:val="00E406F9"/>
    <w:rsid w:val="00E40761"/>
    <w:rsid w:val="00E40CD2"/>
    <w:rsid w:val="00E417C0"/>
    <w:rsid w:val="00E41DAF"/>
    <w:rsid w:val="00E41E0C"/>
    <w:rsid w:val="00E4216A"/>
    <w:rsid w:val="00E42286"/>
    <w:rsid w:val="00E422FC"/>
    <w:rsid w:val="00E439E2"/>
    <w:rsid w:val="00E44300"/>
    <w:rsid w:val="00E4435F"/>
    <w:rsid w:val="00E45BC1"/>
    <w:rsid w:val="00E465C6"/>
    <w:rsid w:val="00E46D92"/>
    <w:rsid w:val="00E46DF6"/>
    <w:rsid w:val="00E4745D"/>
    <w:rsid w:val="00E47734"/>
    <w:rsid w:val="00E47831"/>
    <w:rsid w:val="00E504AF"/>
    <w:rsid w:val="00E504EF"/>
    <w:rsid w:val="00E507A1"/>
    <w:rsid w:val="00E51232"/>
    <w:rsid w:val="00E5193D"/>
    <w:rsid w:val="00E527EB"/>
    <w:rsid w:val="00E53AB7"/>
    <w:rsid w:val="00E53DA6"/>
    <w:rsid w:val="00E565B9"/>
    <w:rsid w:val="00E565E7"/>
    <w:rsid w:val="00E61634"/>
    <w:rsid w:val="00E61721"/>
    <w:rsid w:val="00E6189F"/>
    <w:rsid w:val="00E631E2"/>
    <w:rsid w:val="00E6349B"/>
    <w:rsid w:val="00E63BC5"/>
    <w:rsid w:val="00E645A4"/>
    <w:rsid w:val="00E64D4E"/>
    <w:rsid w:val="00E65275"/>
    <w:rsid w:val="00E658EC"/>
    <w:rsid w:val="00E65E91"/>
    <w:rsid w:val="00E67421"/>
    <w:rsid w:val="00E674F2"/>
    <w:rsid w:val="00E677F1"/>
    <w:rsid w:val="00E701E2"/>
    <w:rsid w:val="00E719BB"/>
    <w:rsid w:val="00E72162"/>
    <w:rsid w:val="00E738AE"/>
    <w:rsid w:val="00E75B17"/>
    <w:rsid w:val="00E767C9"/>
    <w:rsid w:val="00E7691C"/>
    <w:rsid w:val="00E76F89"/>
    <w:rsid w:val="00E82506"/>
    <w:rsid w:val="00E82C00"/>
    <w:rsid w:val="00E8301D"/>
    <w:rsid w:val="00E83412"/>
    <w:rsid w:val="00E84647"/>
    <w:rsid w:val="00E847A1"/>
    <w:rsid w:val="00E850C8"/>
    <w:rsid w:val="00E850E4"/>
    <w:rsid w:val="00E861A5"/>
    <w:rsid w:val="00E86DB2"/>
    <w:rsid w:val="00E87354"/>
    <w:rsid w:val="00E876CC"/>
    <w:rsid w:val="00E87903"/>
    <w:rsid w:val="00E87915"/>
    <w:rsid w:val="00E90713"/>
    <w:rsid w:val="00E90E7B"/>
    <w:rsid w:val="00E91640"/>
    <w:rsid w:val="00E9194D"/>
    <w:rsid w:val="00E91D6E"/>
    <w:rsid w:val="00E9302F"/>
    <w:rsid w:val="00E93CD8"/>
    <w:rsid w:val="00E94146"/>
    <w:rsid w:val="00E941FA"/>
    <w:rsid w:val="00E9447B"/>
    <w:rsid w:val="00E947DE"/>
    <w:rsid w:val="00E9497A"/>
    <w:rsid w:val="00E94B09"/>
    <w:rsid w:val="00E95302"/>
    <w:rsid w:val="00E95674"/>
    <w:rsid w:val="00E959E3"/>
    <w:rsid w:val="00E9645C"/>
    <w:rsid w:val="00E965D2"/>
    <w:rsid w:val="00E96600"/>
    <w:rsid w:val="00E9676C"/>
    <w:rsid w:val="00E96DD5"/>
    <w:rsid w:val="00EA258A"/>
    <w:rsid w:val="00EA2D66"/>
    <w:rsid w:val="00EA4DBA"/>
    <w:rsid w:val="00EA540F"/>
    <w:rsid w:val="00EA5590"/>
    <w:rsid w:val="00EA5714"/>
    <w:rsid w:val="00EA6546"/>
    <w:rsid w:val="00EA6F91"/>
    <w:rsid w:val="00EA7748"/>
    <w:rsid w:val="00EA7AF6"/>
    <w:rsid w:val="00EA7B92"/>
    <w:rsid w:val="00EA7E44"/>
    <w:rsid w:val="00EA7FA3"/>
    <w:rsid w:val="00EB0A18"/>
    <w:rsid w:val="00EB12DA"/>
    <w:rsid w:val="00EB1578"/>
    <w:rsid w:val="00EB194E"/>
    <w:rsid w:val="00EB1AED"/>
    <w:rsid w:val="00EB30B3"/>
    <w:rsid w:val="00EB42FD"/>
    <w:rsid w:val="00EB4926"/>
    <w:rsid w:val="00EB50A8"/>
    <w:rsid w:val="00EB6268"/>
    <w:rsid w:val="00EB6C5E"/>
    <w:rsid w:val="00EC02B0"/>
    <w:rsid w:val="00EC06BB"/>
    <w:rsid w:val="00EC10A0"/>
    <w:rsid w:val="00EC35BB"/>
    <w:rsid w:val="00EC3B46"/>
    <w:rsid w:val="00EC3F68"/>
    <w:rsid w:val="00EC6555"/>
    <w:rsid w:val="00EC6B72"/>
    <w:rsid w:val="00EC6EC6"/>
    <w:rsid w:val="00EC78E2"/>
    <w:rsid w:val="00EC7BEC"/>
    <w:rsid w:val="00EC7DA8"/>
    <w:rsid w:val="00EC7DD3"/>
    <w:rsid w:val="00ED07BC"/>
    <w:rsid w:val="00ED09E1"/>
    <w:rsid w:val="00ED21CF"/>
    <w:rsid w:val="00ED2318"/>
    <w:rsid w:val="00ED2A62"/>
    <w:rsid w:val="00ED5383"/>
    <w:rsid w:val="00ED54B3"/>
    <w:rsid w:val="00ED5BCE"/>
    <w:rsid w:val="00ED5F08"/>
    <w:rsid w:val="00ED688F"/>
    <w:rsid w:val="00EE0909"/>
    <w:rsid w:val="00EE1195"/>
    <w:rsid w:val="00EE1385"/>
    <w:rsid w:val="00EE30CD"/>
    <w:rsid w:val="00EE366F"/>
    <w:rsid w:val="00EE52CC"/>
    <w:rsid w:val="00EE6048"/>
    <w:rsid w:val="00EE61CC"/>
    <w:rsid w:val="00EE6D7C"/>
    <w:rsid w:val="00EE6DDD"/>
    <w:rsid w:val="00EE723B"/>
    <w:rsid w:val="00EF0264"/>
    <w:rsid w:val="00EF068B"/>
    <w:rsid w:val="00EF1E8D"/>
    <w:rsid w:val="00EF2962"/>
    <w:rsid w:val="00EF446C"/>
    <w:rsid w:val="00EF5777"/>
    <w:rsid w:val="00EF631D"/>
    <w:rsid w:val="00F00060"/>
    <w:rsid w:val="00F0033E"/>
    <w:rsid w:val="00F00F00"/>
    <w:rsid w:val="00F01F09"/>
    <w:rsid w:val="00F03797"/>
    <w:rsid w:val="00F039DE"/>
    <w:rsid w:val="00F0452F"/>
    <w:rsid w:val="00F0464B"/>
    <w:rsid w:val="00F049E0"/>
    <w:rsid w:val="00F0556D"/>
    <w:rsid w:val="00F055D5"/>
    <w:rsid w:val="00F06939"/>
    <w:rsid w:val="00F06A3D"/>
    <w:rsid w:val="00F06A74"/>
    <w:rsid w:val="00F0760E"/>
    <w:rsid w:val="00F07AB8"/>
    <w:rsid w:val="00F07F6D"/>
    <w:rsid w:val="00F10BCD"/>
    <w:rsid w:val="00F11004"/>
    <w:rsid w:val="00F12540"/>
    <w:rsid w:val="00F13138"/>
    <w:rsid w:val="00F13C03"/>
    <w:rsid w:val="00F13E72"/>
    <w:rsid w:val="00F145A7"/>
    <w:rsid w:val="00F1464E"/>
    <w:rsid w:val="00F14C67"/>
    <w:rsid w:val="00F1572F"/>
    <w:rsid w:val="00F167A9"/>
    <w:rsid w:val="00F16AED"/>
    <w:rsid w:val="00F20132"/>
    <w:rsid w:val="00F20235"/>
    <w:rsid w:val="00F20C8B"/>
    <w:rsid w:val="00F21582"/>
    <w:rsid w:val="00F21E0C"/>
    <w:rsid w:val="00F2282A"/>
    <w:rsid w:val="00F23B19"/>
    <w:rsid w:val="00F23F78"/>
    <w:rsid w:val="00F2401A"/>
    <w:rsid w:val="00F250D0"/>
    <w:rsid w:val="00F25705"/>
    <w:rsid w:val="00F275C5"/>
    <w:rsid w:val="00F302F2"/>
    <w:rsid w:val="00F3213E"/>
    <w:rsid w:val="00F33987"/>
    <w:rsid w:val="00F34EB7"/>
    <w:rsid w:val="00F357F0"/>
    <w:rsid w:val="00F367CA"/>
    <w:rsid w:val="00F36C09"/>
    <w:rsid w:val="00F372F5"/>
    <w:rsid w:val="00F37E4D"/>
    <w:rsid w:val="00F41149"/>
    <w:rsid w:val="00F4127C"/>
    <w:rsid w:val="00F41A51"/>
    <w:rsid w:val="00F41E00"/>
    <w:rsid w:val="00F425E1"/>
    <w:rsid w:val="00F42D37"/>
    <w:rsid w:val="00F431D9"/>
    <w:rsid w:val="00F452BE"/>
    <w:rsid w:val="00F50022"/>
    <w:rsid w:val="00F506D7"/>
    <w:rsid w:val="00F512AE"/>
    <w:rsid w:val="00F52C73"/>
    <w:rsid w:val="00F530EF"/>
    <w:rsid w:val="00F53DAD"/>
    <w:rsid w:val="00F53E18"/>
    <w:rsid w:val="00F5432C"/>
    <w:rsid w:val="00F5434A"/>
    <w:rsid w:val="00F54A3F"/>
    <w:rsid w:val="00F54D68"/>
    <w:rsid w:val="00F565DB"/>
    <w:rsid w:val="00F573E2"/>
    <w:rsid w:val="00F57F6B"/>
    <w:rsid w:val="00F604C5"/>
    <w:rsid w:val="00F60AF8"/>
    <w:rsid w:val="00F60DDB"/>
    <w:rsid w:val="00F6351A"/>
    <w:rsid w:val="00F636C8"/>
    <w:rsid w:val="00F63DB3"/>
    <w:rsid w:val="00F63FD1"/>
    <w:rsid w:val="00F64DB1"/>
    <w:rsid w:val="00F670C8"/>
    <w:rsid w:val="00F67252"/>
    <w:rsid w:val="00F7199A"/>
    <w:rsid w:val="00F74A22"/>
    <w:rsid w:val="00F76FAF"/>
    <w:rsid w:val="00F77F5B"/>
    <w:rsid w:val="00F8086F"/>
    <w:rsid w:val="00F80D3A"/>
    <w:rsid w:val="00F80D8E"/>
    <w:rsid w:val="00F81FE7"/>
    <w:rsid w:val="00F825E5"/>
    <w:rsid w:val="00F827F4"/>
    <w:rsid w:val="00F8344B"/>
    <w:rsid w:val="00F83B26"/>
    <w:rsid w:val="00F855F0"/>
    <w:rsid w:val="00F862D9"/>
    <w:rsid w:val="00F86781"/>
    <w:rsid w:val="00F86FA1"/>
    <w:rsid w:val="00F87679"/>
    <w:rsid w:val="00F87D2E"/>
    <w:rsid w:val="00F90063"/>
    <w:rsid w:val="00F90099"/>
    <w:rsid w:val="00F90316"/>
    <w:rsid w:val="00F92145"/>
    <w:rsid w:val="00F92B3F"/>
    <w:rsid w:val="00F92F27"/>
    <w:rsid w:val="00F934B9"/>
    <w:rsid w:val="00F934EB"/>
    <w:rsid w:val="00F94EEE"/>
    <w:rsid w:val="00F95A9B"/>
    <w:rsid w:val="00F975D2"/>
    <w:rsid w:val="00F97EB9"/>
    <w:rsid w:val="00FA0004"/>
    <w:rsid w:val="00FA1D99"/>
    <w:rsid w:val="00FA21F8"/>
    <w:rsid w:val="00FA426E"/>
    <w:rsid w:val="00FA5CAF"/>
    <w:rsid w:val="00FA709B"/>
    <w:rsid w:val="00FA7255"/>
    <w:rsid w:val="00FA7784"/>
    <w:rsid w:val="00FA7A10"/>
    <w:rsid w:val="00FB061C"/>
    <w:rsid w:val="00FB09CD"/>
    <w:rsid w:val="00FB1593"/>
    <w:rsid w:val="00FB1F0F"/>
    <w:rsid w:val="00FB1FCC"/>
    <w:rsid w:val="00FB5B09"/>
    <w:rsid w:val="00FB6166"/>
    <w:rsid w:val="00FB7146"/>
    <w:rsid w:val="00FB7594"/>
    <w:rsid w:val="00FB7EB9"/>
    <w:rsid w:val="00FC03F2"/>
    <w:rsid w:val="00FC11D2"/>
    <w:rsid w:val="00FC1250"/>
    <w:rsid w:val="00FC15B0"/>
    <w:rsid w:val="00FC1E93"/>
    <w:rsid w:val="00FC255B"/>
    <w:rsid w:val="00FC2630"/>
    <w:rsid w:val="00FC2967"/>
    <w:rsid w:val="00FC2B7E"/>
    <w:rsid w:val="00FC2D35"/>
    <w:rsid w:val="00FC6023"/>
    <w:rsid w:val="00FC6ABC"/>
    <w:rsid w:val="00FC6F40"/>
    <w:rsid w:val="00FC7A30"/>
    <w:rsid w:val="00FD040A"/>
    <w:rsid w:val="00FD0D44"/>
    <w:rsid w:val="00FD13F0"/>
    <w:rsid w:val="00FD1902"/>
    <w:rsid w:val="00FD2378"/>
    <w:rsid w:val="00FD2511"/>
    <w:rsid w:val="00FD286B"/>
    <w:rsid w:val="00FD3A65"/>
    <w:rsid w:val="00FD4668"/>
    <w:rsid w:val="00FD4B3A"/>
    <w:rsid w:val="00FD68A6"/>
    <w:rsid w:val="00FD7261"/>
    <w:rsid w:val="00FD75BC"/>
    <w:rsid w:val="00FD76A5"/>
    <w:rsid w:val="00FE1634"/>
    <w:rsid w:val="00FE1FEA"/>
    <w:rsid w:val="00FE1FFC"/>
    <w:rsid w:val="00FE4574"/>
    <w:rsid w:val="00FE4B39"/>
    <w:rsid w:val="00FE670B"/>
    <w:rsid w:val="00FE70A6"/>
    <w:rsid w:val="00FE74BC"/>
    <w:rsid w:val="00FE7A98"/>
    <w:rsid w:val="00FE7C3A"/>
    <w:rsid w:val="00FF0108"/>
    <w:rsid w:val="00FF0C53"/>
    <w:rsid w:val="00FF0F84"/>
    <w:rsid w:val="00FF1967"/>
    <w:rsid w:val="00FF21A0"/>
    <w:rsid w:val="00FF4106"/>
    <w:rsid w:val="00FF4780"/>
    <w:rsid w:val="00FF4F48"/>
    <w:rsid w:val="00FF5788"/>
    <w:rsid w:val="00FF5B3A"/>
    <w:rsid w:val="00FF5EA9"/>
    <w:rsid w:val="00FF6C95"/>
    <w:rsid w:val="00FF7694"/>
    <w:rsid w:val="011B78CB"/>
    <w:rsid w:val="01284A62"/>
    <w:rsid w:val="012F0094"/>
    <w:rsid w:val="0131AC2F"/>
    <w:rsid w:val="014D6EDA"/>
    <w:rsid w:val="0163D3B5"/>
    <w:rsid w:val="01E2BD81"/>
    <w:rsid w:val="01F7D9E0"/>
    <w:rsid w:val="02612A97"/>
    <w:rsid w:val="026B1175"/>
    <w:rsid w:val="0277F4EE"/>
    <w:rsid w:val="0296D10F"/>
    <w:rsid w:val="02B282B7"/>
    <w:rsid w:val="02C4BE4B"/>
    <w:rsid w:val="02D23935"/>
    <w:rsid w:val="02D80369"/>
    <w:rsid w:val="02F7C8B7"/>
    <w:rsid w:val="03035CC9"/>
    <w:rsid w:val="037BC3EE"/>
    <w:rsid w:val="037E5C32"/>
    <w:rsid w:val="03821DDD"/>
    <w:rsid w:val="03AD3145"/>
    <w:rsid w:val="03C4C4D2"/>
    <w:rsid w:val="03F0244F"/>
    <w:rsid w:val="041B1382"/>
    <w:rsid w:val="0441FE33"/>
    <w:rsid w:val="04440438"/>
    <w:rsid w:val="0447F5B8"/>
    <w:rsid w:val="045F1653"/>
    <w:rsid w:val="049387EC"/>
    <w:rsid w:val="04ADBB3D"/>
    <w:rsid w:val="04CCFC64"/>
    <w:rsid w:val="04D398B8"/>
    <w:rsid w:val="04DEF828"/>
    <w:rsid w:val="04DF9EE6"/>
    <w:rsid w:val="04E6386F"/>
    <w:rsid w:val="0500AADE"/>
    <w:rsid w:val="0510F0B5"/>
    <w:rsid w:val="05185ADA"/>
    <w:rsid w:val="0549EE06"/>
    <w:rsid w:val="05767B51"/>
    <w:rsid w:val="057A84C7"/>
    <w:rsid w:val="05D0616F"/>
    <w:rsid w:val="05D3457C"/>
    <w:rsid w:val="05D897A5"/>
    <w:rsid w:val="05E2A6A9"/>
    <w:rsid w:val="06012624"/>
    <w:rsid w:val="06202981"/>
    <w:rsid w:val="0641805B"/>
    <w:rsid w:val="06495490"/>
    <w:rsid w:val="0655DDD7"/>
    <w:rsid w:val="065D65BB"/>
    <w:rsid w:val="06703429"/>
    <w:rsid w:val="067FCBF7"/>
    <w:rsid w:val="0689211F"/>
    <w:rsid w:val="0690BAF4"/>
    <w:rsid w:val="06A01DCE"/>
    <w:rsid w:val="06CC2CAA"/>
    <w:rsid w:val="06CD6ABD"/>
    <w:rsid w:val="06CF7930"/>
    <w:rsid w:val="06D85759"/>
    <w:rsid w:val="072D65B7"/>
    <w:rsid w:val="072DECC6"/>
    <w:rsid w:val="073DD388"/>
    <w:rsid w:val="0743BCD5"/>
    <w:rsid w:val="074926C6"/>
    <w:rsid w:val="076D0A5D"/>
    <w:rsid w:val="0776C3DC"/>
    <w:rsid w:val="079FA801"/>
    <w:rsid w:val="07CB3932"/>
    <w:rsid w:val="07CCB5B8"/>
    <w:rsid w:val="07E1627A"/>
    <w:rsid w:val="07FB299E"/>
    <w:rsid w:val="08065DF0"/>
    <w:rsid w:val="082469AC"/>
    <w:rsid w:val="083404AB"/>
    <w:rsid w:val="08366F6E"/>
    <w:rsid w:val="08489D36"/>
    <w:rsid w:val="0852609D"/>
    <w:rsid w:val="0881132E"/>
    <w:rsid w:val="08A7B0A5"/>
    <w:rsid w:val="08D4FC38"/>
    <w:rsid w:val="0929162F"/>
    <w:rsid w:val="094648CE"/>
    <w:rsid w:val="098B1523"/>
    <w:rsid w:val="098D202E"/>
    <w:rsid w:val="09B07C98"/>
    <w:rsid w:val="09BDDC9F"/>
    <w:rsid w:val="09EE5737"/>
    <w:rsid w:val="0A13F0D6"/>
    <w:rsid w:val="0A220C1A"/>
    <w:rsid w:val="0A30D9EE"/>
    <w:rsid w:val="0A3A0A3F"/>
    <w:rsid w:val="0A439157"/>
    <w:rsid w:val="0A64C600"/>
    <w:rsid w:val="0A656963"/>
    <w:rsid w:val="0AB4CD20"/>
    <w:rsid w:val="0B24F506"/>
    <w:rsid w:val="0BB3C8CA"/>
    <w:rsid w:val="0BFB8491"/>
    <w:rsid w:val="0C049F20"/>
    <w:rsid w:val="0C314C3F"/>
    <w:rsid w:val="0C5E3050"/>
    <w:rsid w:val="0C854BC1"/>
    <w:rsid w:val="0C98E8E9"/>
    <w:rsid w:val="0CE9523C"/>
    <w:rsid w:val="0CEF0009"/>
    <w:rsid w:val="0D50BABF"/>
    <w:rsid w:val="0D58DB63"/>
    <w:rsid w:val="0D7C0ABB"/>
    <w:rsid w:val="0D84C18F"/>
    <w:rsid w:val="0DD28B4F"/>
    <w:rsid w:val="0DE91049"/>
    <w:rsid w:val="0E3030D2"/>
    <w:rsid w:val="0EFB0885"/>
    <w:rsid w:val="0F1D5185"/>
    <w:rsid w:val="0F225478"/>
    <w:rsid w:val="0F368605"/>
    <w:rsid w:val="0F465868"/>
    <w:rsid w:val="0F59429E"/>
    <w:rsid w:val="0F5D7B5C"/>
    <w:rsid w:val="0F8F21CA"/>
    <w:rsid w:val="0FA32729"/>
    <w:rsid w:val="0FCB44B9"/>
    <w:rsid w:val="10243F16"/>
    <w:rsid w:val="102A988D"/>
    <w:rsid w:val="1070F30C"/>
    <w:rsid w:val="107192E8"/>
    <w:rsid w:val="109BDBAC"/>
    <w:rsid w:val="10EA4825"/>
    <w:rsid w:val="10FE4E01"/>
    <w:rsid w:val="113CEA46"/>
    <w:rsid w:val="1142572F"/>
    <w:rsid w:val="115C3843"/>
    <w:rsid w:val="11890842"/>
    <w:rsid w:val="11927B4E"/>
    <w:rsid w:val="11A16BC8"/>
    <w:rsid w:val="11B0C2E7"/>
    <w:rsid w:val="1248F019"/>
    <w:rsid w:val="12576CB2"/>
    <w:rsid w:val="125DC4A6"/>
    <w:rsid w:val="128D0991"/>
    <w:rsid w:val="1296C548"/>
    <w:rsid w:val="12BA19C4"/>
    <w:rsid w:val="12F4BDFB"/>
    <w:rsid w:val="12F68D2D"/>
    <w:rsid w:val="13362496"/>
    <w:rsid w:val="1362DDA6"/>
    <w:rsid w:val="13B33B31"/>
    <w:rsid w:val="13BB9EBC"/>
    <w:rsid w:val="13E400CD"/>
    <w:rsid w:val="13E9A602"/>
    <w:rsid w:val="13F3E453"/>
    <w:rsid w:val="13FF4068"/>
    <w:rsid w:val="14598278"/>
    <w:rsid w:val="145B1564"/>
    <w:rsid w:val="14843618"/>
    <w:rsid w:val="14B3624E"/>
    <w:rsid w:val="14BA393B"/>
    <w:rsid w:val="152EEB5A"/>
    <w:rsid w:val="1530C0D8"/>
    <w:rsid w:val="153BE1D6"/>
    <w:rsid w:val="154D1FDB"/>
    <w:rsid w:val="15785DB2"/>
    <w:rsid w:val="15810570"/>
    <w:rsid w:val="15882B07"/>
    <w:rsid w:val="15C12927"/>
    <w:rsid w:val="15C326BD"/>
    <w:rsid w:val="15DD32A5"/>
    <w:rsid w:val="15E5D269"/>
    <w:rsid w:val="16029133"/>
    <w:rsid w:val="160FA2EE"/>
    <w:rsid w:val="161E0E3B"/>
    <w:rsid w:val="16429A8C"/>
    <w:rsid w:val="164E788E"/>
    <w:rsid w:val="16542738"/>
    <w:rsid w:val="165B1499"/>
    <w:rsid w:val="166FF5BF"/>
    <w:rsid w:val="1682B1DC"/>
    <w:rsid w:val="16936F7D"/>
    <w:rsid w:val="169F1274"/>
    <w:rsid w:val="16FD9667"/>
    <w:rsid w:val="1704D690"/>
    <w:rsid w:val="17273821"/>
    <w:rsid w:val="1730217D"/>
    <w:rsid w:val="17323CB7"/>
    <w:rsid w:val="173708D1"/>
    <w:rsid w:val="1752D990"/>
    <w:rsid w:val="175F712C"/>
    <w:rsid w:val="176D2CF8"/>
    <w:rsid w:val="178AE7E1"/>
    <w:rsid w:val="178B2EDA"/>
    <w:rsid w:val="1797F706"/>
    <w:rsid w:val="17D6EC54"/>
    <w:rsid w:val="184F96CE"/>
    <w:rsid w:val="1850C277"/>
    <w:rsid w:val="18611E37"/>
    <w:rsid w:val="186AA2DE"/>
    <w:rsid w:val="1880D5E3"/>
    <w:rsid w:val="18971380"/>
    <w:rsid w:val="18B3C7B2"/>
    <w:rsid w:val="18C4393B"/>
    <w:rsid w:val="18D6D104"/>
    <w:rsid w:val="19958537"/>
    <w:rsid w:val="199A5843"/>
    <w:rsid w:val="19C12D1E"/>
    <w:rsid w:val="19E7BB01"/>
    <w:rsid w:val="1A03DFBC"/>
    <w:rsid w:val="1A340839"/>
    <w:rsid w:val="1A457725"/>
    <w:rsid w:val="1A580270"/>
    <w:rsid w:val="1A790EB7"/>
    <w:rsid w:val="1A995D94"/>
    <w:rsid w:val="1AB6CAE8"/>
    <w:rsid w:val="1AB8CC8D"/>
    <w:rsid w:val="1AC3D4A8"/>
    <w:rsid w:val="1AF5B435"/>
    <w:rsid w:val="1B072A8A"/>
    <w:rsid w:val="1B464F63"/>
    <w:rsid w:val="1B479220"/>
    <w:rsid w:val="1B4FD080"/>
    <w:rsid w:val="1B761FC8"/>
    <w:rsid w:val="1B7E2439"/>
    <w:rsid w:val="1B8709D2"/>
    <w:rsid w:val="1B9856C4"/>
    <w:rsid w:val="1B9BE9A2"/>
    <w:rsid w:val="1BA47947"/>
    <w:rsid w:val="1BA6E9AE"/>
    <w:rsid w:val="1BAB91EC"/>
    <w:rsid w:val="1BC013AC"/>
    <w:rsid w:val="1BC5950D"/>
    <w:rsid w:val="1BD70601"/>
    <w:rsid w:val="1BF62B53"/>
    <w:rsid w:val="1BFFD711"/>
    <w:rsid w:val="1C176448"/>
    <w:rsid w:val="1C5813DD"/>
    <w:rsid w:val="1C6F71D2"/>
    <w:rsid w:val="1C7016F2"/>
    <w:rsid w:val="1C86404F"/>
    <w:rsid w:val="1CA987AE"/>
    <w:rsid w:val="1CB3AE92"/>
    <w:rsid w:val="1CB84299"/>
    <w:rsid w:val="1CBE53CC"/>
    <w:rsid w:val="1D1BD6E0"/>
    <w:rsid w:val="1D537B2D"/>
    <w:rsid w:val="1D56F1D1"/>
    <w:rsid w:val="1D5C33DB"/>
    <w:rsid w:val="1DB6BD87"/>
    <w:rsid w:val="1DD8DABF"/>
    <w:rsid w:val="1DDAE3A4"/>
    <w:rsid w:val="1DDF4908"/>
    <w:rsid w:val="1DFC6C9E"/>
    <w:rsid w:val="1E0AFE65"/>
    <w:rsid w:val="1E13BAC5"/>
    <w:rsid w:val="1E159A8A"/>
    <w:rsid w:val="1E195675"/>
    <w:rsid w:val="1E603FD4"/>
    <w:rsid w:val="1E76A2FB"/>
    <w:rsid w:val="1EAAE85A"/>
    <w:rsid w:val="1EC8F2B6"/>
    <w:rsid w:val="1F298079"/>
    <w:rsid w:val="1F32EA80"/>
    <w:rsid w:val="1F42BB59"/>
    <w:rsid w:val="1F48C550"/>
    <w:rsid w:val="1F52643C"/>
    <w:rsid w:val="1F6E0CFF"/>
    <w:rsid w:val="1F873430"/>
    <w:rsid w:val="1FA2B5DE"/>
    <w:rsid w:val="1FA2FDAE"/>
    <w:rsid w:val="1FCA2253"/>
    <w:rsid w:val="1FCCA741"/>
    <w:rsid w:val="1FF095A9"/>
    <w:rsid w:val="1FF7947F"/>
    <w:rsid w:val="203EE54A"/>
    <w:rsid w:val="2053B828"/>
    <w:rsid w:val="20802187"/>
    <w:rsid w:val="208F523F"/>
    <w:rsid w:val="20940B41"/>
    <w:rsid w:val="20AC145E"/>
    <w:rsid w:val="20AF60D5"/>
    <w:rsid w:val="20DCE1BE"/>
    <w:rsid w:val="210CE24B"/>
    <w:rsid w:val="2115BAF5"/>
    <w:rsid w:val="212520B9"/>
    <w:rsid w:val="219275EC"/>
    <w:rsid w:val="21C294C8"/>
    <w:rsid w:val="21C9CBAE"/>
    <w:rsid w:val="21CEA75E"/>
    <w:rsid w:val="21DD1832"/>
    <w:rsid w:val="21EA4A29"/>
    <w:rsid w:val="21ED0C89"/>
    <w:rsid w:val="2209B4ED"/>
    <w:rsid w:val="2247123C"/>
    <w:rsid w:val="224872A6"/>
    <w:rsid w:val="226A219D"/>
    <w:rsid w:val="2270720D"/>
    <w:rsid w:val="22D0D64C"/>
    <w:rsid w:val="231C8B08"/>
    <w:rsid w:val="2323721D"/>
    <w:rsid w:val="2367E416"/>
    <w:rsid w:val="236ECB57"/>
    <w:rsid w:val="23CB9FDF"/>
    <w:rsid w:val="23EA9C57"/>
    <w:rsid w:val="243438CE"/>
    <w:rsid w:val="245AFBD5"/>
    <w:rsid w:val="24E4162E"/>
    <w:rsid w:val="24E866FB"/>
    <w:rsid w:val="24EC266D"/>
    <w:rsid w:val="24F3676F"/>
    <w:rsid w:val="25032B17"/>
    <w:rsid w:val="25087982"/>
    <w:rsid w:val="251D24B0"/>
    <w:rsid w:val="256BF58F"/>
    <w:rsid w:val="2583733F"/>
    <w:rsid w:val="258C7F80"/>
    <w:rsid w:val="25935291"/>
    <w:rsid w:val="25A1E10F"/>
    <w:rsid w:val="25ABC062"/>
    <w:rsid w:val="25B1FEDC"/>
    <w:rsid w:val="25BD3C98"/>
    <w:rsid w:val="25C4B8DE"/>
    <w:rsid w:val="25DFAD0B"/>
    <w:rsid w:val="25F9A2EE"/>
    <w:rsid w:val="260AC74B"/>
    <w:rsid w:val="26226B67"/>
    <w:rsid w:val="263A3B2B"/>
    <w:rsid w:val="2661F8D5"/>
    <w:rsid w:val="2683015C"/>
    <w:rsid w:val="26A1B2A8"/>
    <w:rsid w:val="26CF396E"/>
    <w:rsid w:val="26D42AAF"/>
    <w:rsid w:val="26DFD3B6"/>
    <w:rsid w:val="2719C18A"/>
    <w:rsid w:val="273CA738"/>
    <w:rsid w:val="27853279"/>
    <w:rsid w:val="279C4A7B"/>
    <w:rsid w:val="27A39A42"/>
    <w:rsid w:val="27EC4D1D"/>
    <w:rsid w:val="27EE5499"/>
    <w:rsid w:val="27F1DCFD"/>
    <w:rsid w:val="27F31DAA"/>
    <w:rsid w:val="2813B8DA"/>
    <w:rsid w:val="28152337"/>
    <w:rsid w:val="2824E389"/>
    <w:rsid w:val="286F82C4"/>
    <w:rsid w:val="28A053A6"/>
    <w:rsid w:val="28A66F9D"/>
    <w:rsid w:val="28DA4E35"/>
    <w:rsid w:val="28F4DFD6"/>
    <w:rsid w:val="291476A9"/>
    <w:rsid w:val="2926F9D9"/>
    <w:rsid w:val="294B8A8B"/>
    <w:rsid w:val="294CADCD"/>
    <w:rsid w:val="29723F88"/>
    <w:rsid w:val="29901919"/>
    <w:rsid w:val="29B46958"/>
    <w:rsid w:val="29B65F50"/>
    <w:rsid w:val="29C24A30"/>
    <w:rsid w:val="29C8345E"/>
    <w:rsid w:val="29C940DF"/>
    <w:rsid w:val="29D25748"/>
    <w:rsid w:val="29F1D3A7"/>
    <w:rsid w:val="2A1CEC5B"/>
    <w:rsid w:val="2A4E36E8"/>
    <w:rsid w:val="2A726BB4"/>
    <w:rsid w:val="2A74A4FF"/>
    <w:rsid w:val="2AC556DF"/>
    <w:rsid w:val="2B41AA9B"/>
    <w:rsid w:val="2B515DB9"/>
    <w:rsid w:val="2B76626A"/>
    <w:rsid w:val="2B76F21B"/>
    <w:rsid w:val="2BA97DF4"/>
    <w:rsid w:val="2BD19A5F"/>
    <w:rsid w:val="2BE500EC"/>
    <w:rsid w:val="2C15409A"/>
    <w:rsid w:val="2C233911"/>
    <w:rsid w:val="2C23DDDC"/>
    <w:rsid w:val="2C3A7355"/>
    <w:rsid w:val="2C40D97F"/>
    <w:rsid w:val="2C8EB2EB"/>
    <w:rsid w:val="2C9C3DC4"/>
    <w:rsid w:val="2CA6D941"/>
    <w:rsid w:val="2CBF3ECC"/>
    <w:rsid w:val="2CE2D0AB"/>
    <w:rsid w:val="2D00328E"/>
    <w:rsid w:val="2D835831"/>
    <w:rsid w:val="2D89BAB6"/>
    <w:rsid w:val="2D931305"/>
    <w:rsid w:val="2D9C63D6"/>
    <w:rsid w:val="2DB01D9A"/>
    <w:rsid w:val="2DC52279"/>
    <w:rsid w:val="2DC52FBA"/>
    <w:rsid w:val="2DF96429"/>
    <w:rsid w:val="2DFFEE73"/>
    <w:rsid w:val="2E545297"/>
    <w:rsid w:val="2E7A70CC"/>
    <w:rsid w:val="2EAC5173"/>
    <w:rsid w:val="2F024C3E"/>
    <w:rsid w:val="2F0C2F7E"/>
    <w:rsid w:val="2F468F73"/>
    <w:rsid w:val="2F552F6A"/>
    <w:rsid w:val="2F5BCE2C"/>
    <w:rsid w:val="2F7A8665"/>
    <w:rsid w:val="2FF51402"/>
    <w:rsid w:val="30513885"/>
    <w:rsid w:val="3057796A"/>
    <w:rsid w:val="306D524B"/>
    <w:rsid w:val="307516F9"/>
    <w:rsid w:val="307617A3"/>
    <w:rsid w:val="30988AD2"/>
    <w:rsid w:val="30A57037"/>
    <w:rsid w:val="30CF9FC0"/>
    <w:rsid w:val="30DD1CBD"/>
    <w:rsid w:val="30FB3DC6"/>
    <w:rsid w:val="311675D8"/>
    <w:rsid w:val="31446B51"/>
    <w:rsid w:val="31540D5E"/>
    <w:rsid w:val="3176B5A5"/>
    <w:rsid w:val="31885DEE"/>
    <w:rsid w:val="31CA73B3"/>
    <w:rsid w:val="31CBA805"/>
    <w:rsid w:val="31DDC62D"/>
    <w:rsid w:val="320BF0DB"/>
    <w:rsid w:val="32210D4C"/>
    <w:rsid w:val="325A3616"/>
    <w:rsid w:val="32AF7D83"/>
    <w:rsid w:val="32B4404A"/>
    <w:rsid w:val="33209DB5"/>
    <w:rsid w:val="3321E20C"/>
    <w:rsid w:val="3349D087"/>
    <w:rsid w:val="335B3C8D"/>
    <w:rsid w:val="3367F783"/>
    <w:rsid w:val="33698887"/>
    <w:rsid w:val="337CF719"/>
    <w:rsid w:val="339990E6"/>
    <w:rsid w:val="3417FF3F"/>
    <w:rsid w:val="343ED9CE"/>
    <w:rsid w:val="345E55E3"/>
    <w:rsid w:val="34D24871"/>
    <w:rsid w:val="34D7D517"/>
    <w:rsid w:val="35157A00"/>
    <w:rsid w:val="351A3B10"/>
    <w:rsid w:val="352A8C46"/>
    <w:rsid w:val="3555DC79"/>
    <w:rsid w:val="356CC5E1"/>
    <w:rsid w:val="3585B9E6"/>
    <w:rsid w:val="35941658"/>
    <w:rsid w:val="3595B259"/>
    <w:rsid w:val="359E64D1"/>
    <w:rsid w:val="35B033D1"/>
    <w:rsid w:val="35D215B1"/>
    <w:rsid w:val="35ECD75D"/>
    <w:rsid w:val="3603AC45"/>
    <w:rsid w:val="360E66E0"/>
    <w:rsid w:val="3616962D"/>
    <w:rsid w:val="362198E5"/>
    <w:rsid w:val="3623F580"/>
    <w:rsid w:val="36460511"/>
    <w:rsid w:val="3648D219"/>
    <w:rsid w:val="3650AEC3"/>
    <w:rsid w:val="365831EC"/>
    <w:rsid w:val="36671F31"/>
    <w:rsid w:val="36695EA6"/>
    <w:rsid w:val="367265BB"/>
    <w:rsid w:val="36C7F183"/>
    <w:rsid w:val="36F8173E"/>
    <w:rsid w:val="37083B3E"/>
    <w:rsid w:val="375E70D4"/>
    <w:rsid w:val="377E00CB"/>
    <w:rsid w:val="3792ABAB"/>
    <w:rsid w:val="37A7142C"/>
    <w:rsid w:val="37E773FF"/>
    <w:rsid w:val="37F5FC67"/>
    <w:rsid w:val="380CD9B8"/>
    <w:rsid w:val="382DD048"/>
    <w:rsid w:val="383CF9AA"/>
    <w:rsid w:val="383E2B02"/>
    <w:rsid w:val="38443E97"/>
    <w:rsid w:val="3844648C"/>
    <w:rsid w:val="38550740"/>
    <w:rsid w:val="3861482C"/>
    <w:rsid w:val="3888F367"/>
    <w:rsid w:val="3898EDCA"/>
    <w:rsid w:val="38B2EEF1"/>
    <w:rsid w:val="38F02EFA"/>
    <w:rsid w:val="38FF3688"/>
    <w:rsid w:val="390102F2"/>
    <w:rsid w:val="39482BEB"/>
    <w:rsid w:val="396B7130"/>
    <w:rsid w:val="397964D2"/>
    <w:rsid w:val="398FEB36"/>
    <w:rsid w:val="39996B58"/>
    <w:rsid w:val="399C5D90"/>
    <w:rsid w:val="39DD089F"/>
    <w:rsid w:val="3A3D6FD7"/>
    <w:rsid w:val="3A4973AF"/>
    <w:rsid w:val="3A733CA0"/>
    <w:rsid w:val="3A775067"/>
    <w:rsid w:val="3A8B45F6"/>
    <w:rsid w:val="3AA6F0A8"/>
    <w:rsid w:val="3AAA7E22"/>
    <w:rsid w:val="3AAD7820"/>
    <w:rsid w:val="3ADA805C"/>
    <w:rsid w:val="3AE7C183"/>
    <w:rsid w:val="3B245D4F"/>
    <w:rsid w:val="3B482810"/>
    <w:rsid w:val="3B749A6C"/>
    <w:rsid w:val="3BA7C745"/>
    <w:rsid w:val="3BBA468A"/>
    <w:rsid w:val="3BBCB8E5"/>
    <w:rsid w:val="3BC81FB0"/>
    <w:rsid w:val="3BD2EBEA"/>
    <w:rsid w:val="3C180217"/>
    <w:rsid w:val="3C3549B7"/>
    <w:rsid w:val="3C40178B"/>
    <w:rsid w:val="3C473E76"/>
    <w:rsid w:val="3C7C95DC"/>
    <w:rsid w:val="3C8B4B28"/>
    <w:rsid w:val="3CB3354C"/>
    <w:rsid w:val="3CEEF8A9"/>
    <w:rsid w:val="3D225E46"/>
    <w:rsid w:val="3D3A8157"/>
    <w:rsid w:val="3D677A0A"/>
    <w:rsid w:val="3D695F76"/>
    <w:rsid w:val="3D915EA0"/>
    <w:rsid w:val="3D93733A"/>
    <w:rsid w:val="3DA43DD0"/>
    <w:rsid w:val="3DCB1E9A"/>
    <w:rsid w:val="3DD45272"/>
    <w:rsid w:val="3DE55F07"/>
    <w:rsid w:val="3DEA01CC"/>
    <w:rsid w:val="3E140732"/>
    <w:rsid w:val="3E28A403"/>
    <w:rsid w:val="3E2B6176"/>
    <w:rsid w:val="3E30FD7D"/>
    <w:rsid w:val="3E42D858"/>
    <w:rsid w:val="3E7C51E5"/>
    <w:rsid w:val="3E8BB382"/>
    <w:rsid w:val="3E8F1C8E"/>
    <w:rsid w:val="3EA65B1C"/>
    <w:rsid w:val="3F02A550"/>
    <w:rsid w:val="3F0EB2B4"/>
    <w:rsid w:val="3F11BA81"/>
    <w:rsid w:val="3F19E791"/>
    <w:rsid w:val="3F215729"/>
    <w:rsid w:val="3F2C4246"/>
    <w:rsid w:val="3F639699"/>
    <w:rsid w:val="3F6532F5"/>
    <w:rsid w:val="3F6C9953"/>
    <w:rsid w:val="3F742EF0"/>
    <w:rsid w:val="3F7866CF"/>
    <w:rsid w:val="3FAAC09F"/>
    <w:rsid w:val="3FBA6F26"/>
    <w:rsid w:val="3FC13232"/>
    <w:rsid w:val="3FE52742"/>
    <w:rsid w:val="3FE5521A"/>
    <w:rsid w:val="3FED0056"/>
    <w:rsid w:val="40060959"/>
    <w:rsid w:val="401D599F"/>
    <w:rsid w:val="40331DE1"/>
    <w:rsid w:val="404AAF6E"/>
    <w:rsid w:val="40610177"/>
    <w:rsid w:val="407E9401"/>
    <w:rsid w:val="4084444E"/>
    <w:rsid w:val="41032E65"/>
    <w:rsid w:val="413964D7"/>
    <w:rsid w:val="4192A0F2"/>
    <w:rsid w:val="41C867E8"/>
    <w:rsid w:val="41D93B25"/>
    <w:rsid w:val="421A2472"/>
    <w:rsid w:val="422734B1"/>
    <w:rsid w:val="422862D9"/>
    <w:rsid w:val="4236A7AD"/>
    <w:rsid w:val="424BC8B1"/>
    <w:rsid w:val="425F7073"/>
    <w:rsid w:val="42806227"/>
    <w:rsid w:val="42D60BA8"/>
    <w:rsid w:val="42F3BD5F"/>
    <w:rsid w:val="432A22B9"/>
    <w:rsid w:val="43331487"/>
    <w:rsid w:val="437A95FA"/>
    <w:rsid w:val="43C8AF21"/>
    <w:rsid w:val="43F62B67"/>
    <w:rsid w:val="44564B34"/>
    <w:rsid w:val="445BC649"/>
    <w:rsid w:val="4462F4E4"/>
    <w:rsid w:val="447EFB82"/>
    <w:rsid w:val="44982B45"/>
    <w:rsid w:val="449E7D1E"/>
    <w:rsid w:val="44C4C40D"/>
    <w:rsid w:val="44CA18E7"/>
    <w:rsid w:val="44DF3214"/>
    <w:rsid w:val="4500F48A"/>
    <w:rsid w:val="450615AA"/>
    <w:rsid w:val="450BE7A1"/>
    <w:rsid w:val="4512A090"/>
    <w:rsid w:val="451684E0"/>
    <w:rsid w:val="45197DF3"/>
    <w:rsid w:val="4521D078"/>
    <w:rsid w:val="4523C957"/>
    <w:rsid w:val="4533DB22"/>
    <w:rsid w:val="45343FC9"/>
    <w:rsid w:val="4554EF14"/>
    <w:rsid w:val="459EC0AA"/>
    <w:rsid w:val="45B5EBDC"/>
    <w:rsid w:val="45C959F4"/>
    <w:rsid w:val="45D08448"/>
    <w:rsid w:val="45DEE824"/>
    <w:rsid w:val="45EB07A8"/>
    <w:rsid w:val="46005B97"/>
    <w:rsid w:val="46038B98"/>
    <w:rsid w:val="46124D65"/>
    <w:rsid w:val="4615081F"/>
    <w:rsid w:val="4628221F"/>
    <w:rsid w:val="468317F8"/>
    <w:rsid w:val="46A20B31"/>
    <w:rsid w:val="46ADA430"/>
    <w:rsid w:val="46C0E15E"/>
    <w:rsid w:val="4722C57F"/>
    <w:rsid w:val="4729AC9A"/>
    <w:rsid w:val="4734BB3B"/>
    <w:rsid w:val="4738B906"/>
    <w:rsid w:val="475A61E4"/>
    <w:rsid w:val="47F99B40"/>
    <w:rsid w:val="47FE32DF"/>
    <w:rsid w:val="480173FE"/>
    <w:rsid w:val="4802B6BB"/>
    <w:rsid w:val="480B7014"/>
    <w:rsid w:val="482AB379"/>
    <w:rsid w:val="484B1B1A"/>
    <w:rsid w:val="48837952"/>
    <w:rsid w:val="48947AD3"/>
    <w:rsid w:val="48F49F79"/>
    <w:rsid w:val="4906A499"/>
    <w:rsid w:val="49128062"/>
    <w:rsid w:val="491B4086"/>
    <w:rsid w:val="495C17A9"/>
    <w:rsid w:val="49A78F7F"/>
    <w:rsid w:val="49C33271"/>
    <w:rsid w:val="49EFD937"/>
    <w:rsid w:val="49F15988"/>
    <w:rsid w:val="4A03FAE2"/>
    <w:rsid w:val="4A12AE53"/>
    <w:rsid w:val="4A1CB538"/>
    <w:rsid w:val="4A27A485"/>
    <w:rsid w:val="4A3B450C"/>
    <w:rsid w:val="4A445FCF"/>
    <w:rsid w:val="4A49266A"/>
    <w:rsid w:val="4A9757E2"/>
    <w:rsid w:val="4A98198B"/>
    <w:rsid w:val="4AAAFA3C"/>
    <w:rsid w:val="4ABC80EF"/>
    <w:rsid w:val="4AD66834"/>
    <w:rsid w:val="4ADA5362"/>
    <w:rsid w:val="4ADEEF75"/>
    <w:rsid w:val="4AE2B0C8"/>
    <w:rsid w:val="4B1B95EC"/>
    <w:rsid w:val="4B2A27B9"/>
    <w:rsid w:val="4B2FF2A4"/>
    <w:rsid w:val="4B448E4F"/>
    <w:rsid w:val="4B6EDF89"/>
    <w:rsid w:val="4B8ABE36"/>
    <w:rsid w:val="4BABB0C8"/>
    <w:rsid w:val="4BAC191D"/>
    <w:rsid w:val="4BAF69E7"/>
    <w:rsid w:val="4BB27127"/>
    <w:rsid w:val="4BB903BB"/>
    <w:rsid w:val="4BE5ACA2"/>
    <w:rsid w:val="4BFD67A1"/>
    <w:rsid w:val="4C2B6269"/>
    <w:rsid w:val="4C2E2E16"/>
    <w:rsid w:val="4C3639CC"/>
    <w:rsid w:val="4C4B60B1"/>
    <w:rsid w:val="4C4C77C7"/>
    <w:rsid w:val="4C50DDAA"/>
    <w:rsid w:val="4C6346F5"/>
    <w:rsid w:val="4C636924"/>
    <w:rsid w:val="4C6F70C2"/>
    <w:rsid w:val="4C72EC27"/>
    <w:rsid w:val="4C8FD60E"/>
    <w:rsid w:val="4C97A811"/>
    <w:rsid w:val="4CA50552"/>
    <w:rsid w:val="4CC80B00"/>
    <w:rsid w:val="4CD371EF"/>
    <w:rsid w:val="4CE46BB5"/>
    <w:rsid w:val="4D1162A5"/>
    <w:rsid w:val="4D116BDA"/>
    <w:rsid w:val="4D37B17F"/>
    <w:rsid w:val="4D6174B6"/>
    <w:rsid w:val="4D6D5FE6"/>
    <w:rsid w:val="4D7EBFC0"/>
    <w:rsid w:val="4D88BC89"/>
    <w:rsid w:val="4D9F81F9"/>
    <w:rsid w:val="4DA5763D"/>
    <w:rsid w:val="4DD5A09A"/>
    <w:rsid w:val="4E1E7FCB"/>
    <w:rsid w:val="4E2187F5"/>
    <w:rsid w:val="4E46172E"/>
    <w:rsid w:val="4E4D1FFB"/>
    <w:rsid w:val="4E4EABBC"/>
    <w:rsid w:val="4E6B5B67"/>
    <w:rsid w:val="4E8043BA"/>
    <w:rsid w:val="4E99F4FD"/>
    <w:rsid w:val="4E9F7461"/>
    <w:rsid w:val="4EAADE5B"/>
    <w:rsid w:val="4EEC4C47"/>
    <w:rsid w:val="4F02F2BE"/>
    <w:rsid w:val="4F13FD32"/>
    <w:rsid w:val="4F63C1F9"/>
    <w:rsid w:val="4F80A9D8"/>
    <w:rsid w:val="4FA3B17C"/>
    <w:rsid w:val="4FB1AD13"/>
    <w:rsid w:val="4FB72CFC"/>
    <w:rsid w:val="4FCAF1D5"/>
    <w:rsid w:val="4FD108DA"/>
    <w:rsid w:val="4FD20A3E"/>
    <w:rsid w:val="4FE23355"/>
    <w:rsid w:val="4FE3566F"/>
    <w:rsid w:val="50056BFF"/>
    <w:rsid w:val="50177D68"/>
    <w:rsid w:val="5028488E"/>
    <w:rsid w:val="502C5919"/>
    <w:rsid w:val="503BF8D4"/>
    <w:rsid w:val="50807271"/>
    <w:rsid w:val="50DAABFA"/>
    <w:rsid w:val="51270708"/>
    <w:rsid w:val="512E0A9E"/>
    <w:rsid w:val="517076DF"/>
    <w:rsid w:val="518EDD0D"/>
    <w:rsid w:val="51D195BF"/>
    <w:rsid w:val="5221DA40"/>
    <w:rsid w:val="5228A87E"/>
    <w:rsid w:val="5275A77A"/>
    <w:rsid w:val="52B5BA08"/>
    <w:rsid w:val="52E72290"/>
    <w:rsid w:val="530BCD82"/>
    <w:rsid w:val="531F7834"/>
    <w:rsid w:val="53261AE2"/>
    <w:rsid w:val="532BFDA8"/>
    <w:rsid w:val="532C67E7"/>
    <w:rsid w:val="53349421"/>
    <w:rsid w:val="5353AFDC"/>
    <w:rsid w:val="535E6DA6"/>
    <w:rsid w:val="5388FE90"/>
    <w:rsid w:val="538E1A2B"/>
    <w:rsid w:val="53A146EE"/>
    <w:rsid w:val="53DCBB50"/>
    <w:rsid w:val="53E199BE"/>
    <w:rsid w:val="5402C864"/>
    <w:rsid w:val="54069E5F"/>
    <w:rsid w:val="54340F83"/>
    <w:rsid w:val="543EAD2D"/>
    <w:rsid w:val="546AE4E2"/>
    <w:rsid w:val="547A82A7"/>
    <w:rsid w:val="547F272B"/>
    <w:rsid w:val="54A40889"/>
    <w:rsid w:val="54AA9B7C"/>
    <w:rsid w:val="54D05752"/>
    <w:rsid w:val="54D17EB6"/>
    <w:rsid w:val="54D9DCC0"/>
    <w:rsid w:val="54EFF547"/>
    <w:rsid w:val="54F6CD16"/>
    <w:rsid w:val="55021567"/>
    <w:rsid w:val="55203750"/>
    <w:rsid w:val="5551CC11"/>
    <w:rsid w:val="5569D4CE"/>
    <w:rsid w:val="55900BCB"/>
    <w:rsid w:val="55EE4026"/>
    <w:rsid w:val="55F5CD9C"/>
    <w:rsid w:val="56400F92"/>
    <w:rsid w:val="56596322"/>
    <w:rsid w:val="56EE06F1"/>
    <w:rsid w:val="56FCB599"/>
    <w:rsid w:val="57019283"/>
    <w:rsid w:val="57220F68"/>
    <w:rsid w:val="57223858"/>
    <w:rsid w:val="576E5085"/>
    <w:rsid w:val="577FAFED"/>
    <w:rsid w:val="57837834"/>
    <w:rsid w:val="57A57F0C"/>
    <w:rsid w:val="5812A056"/>
    <w:rsid w:val="5835BC3C"/>
    <w:rsid w:val="5849F1F4"/>
    <w:rsid w:val="587EAAF6"/>
    <w:rsid w:val="58976E0C"/>
    <w:rsid w:val="58B10DE2"/>
    <w:rsid w:val="58B37EAF"/>
    <w:rsid w:val="58E22347"/>
    <w:rsid w:val="5906FCEF"/>
    <w:rsid w:val="590D8D67"/>
    <w:rsid w:val="595EC9FA"/>
    <w:rsid w:val="598F4BCA"/>
    <w:rsid w:val="5999B403"/>
    <w:rsid w:val="59A2E21D"/>
    <w:rsid w:val="59C57D9C"/>
    <w:rsid w:val="59D8EE98"/>
    <w:rsid w:val="5A14A6B4"/>
    <w:rsid w:val="5A215B0A"/>
    <w:rsid w:val="5A4BC663"/>
    <w:rsid w:val="5A64290B"/>
    <w:rsid w:val="5A6EB8A5"/>
    <w:rsid w:val="5A96CD60"/>
    <w:rsid w:val="5A9C4939"/>
    <w:rsid w:val="5AD8C5EE"/>
    <w:rsid w:val="5ADA5C05"/>
    <w:rsid w:val="5AFB3905"/>
    <w:rsid w:val="5AFD01E3"/>
    <w:rsid w:val="5B24B5B2"/>
    <w:rsid w:val="5B38C7DB"/>
    <w:rsid w:val="5B45F5D1"/>
    <w:rsid w:val="5B62EFA6"/>
    <w:rsid w:val="5B84BC11"/>
    <w:rsid w:val="5B98058B"/>
    <w:rsid w:val="5BE1D3F7"/>
    <w:rsid w:val="5BEC40F7"/>
    <w:rsid w:val="5BEE4EE4"/>
    <w:rsid w:val="5BFE4983"/>
    <w:rsid w:val="5C2F5E08"/>
    <w:rsid w:val="5C6449BC"/>
    <w:rsid w:val="5C79E799"/>
    <w:rsid w:val="5CA03691"/>
    <w:rsid w:val="5CB2B0A0"/>
    <w:rsid w:val="5CB9E5BC"/>
    <w:rsid w:val="5CC8C563"/>
    <w:rsid w:val="5CE81F26"/>
    <w:rsid w:val="5CFB0EF9"/>
    <w:rsid w:val="5D1E741B"/>
    <w:rsid w:val="5D490591"/>
    <w:rsid w:val="5D72DF87"/>
    <w:rsid w:val="5DB2E040"/>
    <w:rsid w:val="5DCED53E"/>
    <w:rsid w:val="5DD79128"/>
    <w:rsid w:val="5DDF9627"/>
    <w:rsid w:val="5DF8A3A5"/>
    <w:rsid w:val="5E1F3A7D"/>
    <w:rsid w:val="5E5446EF"/>
    <w:rsid w:val="5E767356"/>
    <w:rsid w:val="5E8C89CA"/>
    <w:rsid w:val="5EB4A6C2"/>
    <w:rsid w:val="5ECAB518"/>
    <w:rsid w:val="5EF4FC45"/>
    <w:rsid w:val="5F3BF8ED"/>
    <w:rsid w:val="5F515C61"/>
    <w:rsid w:val="5F6D9A12"/>
    <w:rsid w:val="5F8A2DF8"/>
    <w:rsid w:val="5FB0385A"/>
    <w:rsid w:val="5FC40300"/>
    <w:rsid w:val="5FC4D970"/>
    <w:rsid w:val="5FC5653F"/>
    <w:rsid w:val="5FD2951E"/>
    <w:rsid w:val="6000342A"/>
    <w:rsid w:val="6030452F"/>
    <w:rsid w:val="60676B89"/>
    <w:rsid w:val="60A42110"/>
    <w:rsid w:val="60B689F6"/>
    <w:rsid w:val="60D217C1"/>
    <w:rsid w:val="61004433"/>
    <w:rsid w:val="6146A410"/>
    <w:rsid w:val="61683CA4"/>
    <w:rsid w:val="6175A53B"/>
    <w:rsid w:val="61A58311"/>
    <w:rsid w:val="61DA9D2C"/>
    <w:rsid w:val="61F7A0F9"/>
    <w:rsid w:val="620852E5"/>
    <w:rsid w:val="6233F017"/>
    <w:rsid w:val="6234E4E5"/>
    <w:rsid w:val="623EFCF0"/>
    <w:rsid w:val="6246D455"/>
    <w:rsid w:val="62543295"/>
    <w:rsid w:val="626BA08A"/>
    <w:rsid w:val="629481F5"/>
    <w:rsid w:val="6296BB0D"/>
    <w:rsid w:val="62E6D63C"/>
    <w:rsid w:val="62F17722"/>
    <w:rsid w:val="62F2ABA0"/>
    <w:rsid w:val="630B4FB3"/>
    <w:rsid w:val="6331034E"/>
    <w:rsid w:val="63724F13"/>
    <w:rsid w:val="637FBC03"/>
    <w:rsid w:val="6386BC0C"/>
    <w:rsid w:val="638EABC8"/>
    <w:rsid w:val="63A1E5AD"/>
    <w:rsid w:val="63B60926"/>
    <w:rsid w:val="63D8E3F9"/>
    <w:rsid w:val="63E23F45"/>
    <w:rsid w:val="63FA4022"/>
    <w:rsid w:val="63FDB0E5"/>
    <w:rsid w:val="6423C29E"/>
    <w:rsid w:val="64400D86"/>
    <w:rsid w:val="646A4881"/>
    <w:rsid w:val="648301F8"/>
    <w:rsid w:val="64837B2B"/>
    <w:rsid w:val="64A6AEEE"/>
    <w:rsid w:val="64C48303"/>
    <w:rsid w:val="64D4E6E9"/>
    <w:rsid w:val="64F88C7D"/>
    <w:rsid w:val="6506E9BD"/>
    <w:rsid w:val="650BB758"/>
    <w:rsid w:val="652BE2F3"/>
    <w:rsid w:val="653785EA"/>
    <w:rsid w:val="65447125"/>
    <w:rsid w:val="654BF745"/>
    <w:rsid w:val="6565257C"/>
    <w:rsid w:val="65688AD5"/>
    <w:rsid w:val="65889D56"/>
    <w:rsid w:val="6595A522"/>
    <w:rsid w:val="6595E985"/>
    <w:rsid w:val="65A5CE12"/>
    <w:rsid w:val="65BF28FE"/>
    <w:rsid w:val="65C4F3BD"/>
    <w:rsid w:val="65C6CE45"/>
    <w:rsid w:val="65CA1CBC"/>
    <w:rsid w:val="65D8D5BD"/>
    <w:rsid w:val="65EA8E2F"/>
    <w:rsid w:val="66013834"/>
    <w:rsid w:val="66079DCC"/>
    <w:rsid w:val="66238E28"/>
    <w:rsid w:val="665212CC"/>
    <w:rsid w:val="667BA268"/>
    <w:rsid w:val="6682EF36"/>
    <w:rsid w:val="66929061"/>
    <w:rsid w:val="66BBC017"/>
    <w:rsid w:val="66EE0BE2"/>
    <w:rsid w:val="66F01E4A"/>
    <w:rsid w:val="66F5A4BB"/>
    <w:rsid w:val="66F801A0"/>
    <w:rsid w:val="671F6C2E"/>
    <w:rsid w:val="672189DF"/>
    <w:rsid w:val="672A1279"/>
    <w:rsid w:val="673DF563"/>
    <w:rsid w:val="673F36BD"/>
    <w:rsid w:val="67805C0B"/>
    <w:rsid w:val="67C61CC3"/>
    <w:rsid w:val="67D2D83C"/>
    <w:rsid w:val="67D4835D"/>
    <w:rsid w:val="6804BA1F"/>
    <w:rsid w:val="681625BD"/>
    <w:rsid w:val="6842C0A2"/>
    <w:rsid w:val="6858016A"/>
    <w:rsid w:val="687934D3"/>
    <w:rsid w:val="68CA50A0"/>
    <w:rsid w:val="68EE9119"/>
    <w:rsid w:val="68F0B48B"/>
    <w:rsid w:val="68F76E6C"/>
    <w:rsid w:val="690FD27B"/>
    <w:rsid w:val="694F2DB8"/>
    <w:rsid w:val="6966F186"/>
    <w:rsid w:val="69A95C3A"/>
    <w:rsid w:val="69BC8078"/>
    <w:rsid w:val="6A13493A"/>
    <w:rsid w:val="6A9D18FD"/>
    <w:rsid w:val="6A9EAF05"/>
    <w:rsid w:val="6A9F6A9B"/>
    <w:rsid w:val="6ABFB068"/>
    <w:rsid w:val="6B09DCED"/>
    <w:rsid w:val="6B11A149"/>
    <w:rsid w:val="6B48B049"/>
    <w:rsid w:val="6B54EBC6"/>
    <w:rsid w:val="6B6D5472"/>
    <w:rsid w:val="6B8EE1CE"/>
    <w:rsid w:val="6B910CDD"/>
    <w:rsid w:val="6BA38643"/>
    <w:rsid w:val="6BB0FD59"/>
    <w:rsid w:val="6BE60B00"/>
    <w:rsid w:val="6BEC4844"/>
    <w:rsid w:val="6BFFBADC"/>
    <w:rsid w:val="6C050CA6"/>
    <w:rsid w:val="6C051DBD"/>
    <w:rsid w:val="6C4AFEB5"/>
    <w:rsid w:val="6C86E712"/>
    <w:rsid w:val="6C95E77F"/>
    <w:rsid w:val="6CA7837F"/>
    <w:rsid w:val="6CB2B643"/>
    <w:rsid w:val="6CC2B7CC"/>
    <w:rsid w:val="6CF1B021"/>
    <w:rsid w:val="6D10DF88"/>
    <w:rsid w:val="6D28FC7A"/>
    <w:rsid w:val="6D3D4319"/>
    <w:rsid w:val="6D8E65F6"/>
    <w:rsid w:val="6D9EB02D"/>
    <w:rsid w:val="6DAC4871"/>
    <w:rsid w:val="6DB264CA"/>
    <w:rsid w:val="6DDEA390"/>
    <w:rsid w:val="6E062BC2"/>
    <w:rsid w:val="6E17E028"/>
    <w:rsid w:val="6E196927"/>
    <w:rsid w:val="6E5FDF89"/>
    <w:rsid w:val="6E5FE8ED"/>
    <w:rsid w:val="6E7BC8EB"/>
    <w:rsid w:val="6E8D9C74"/>
    <w:rsid w:val="6EA6EF14"/>
    <w:rsid w:val="6EB472D8"/>
    <w:rsid w:val="6EDA9425"/>
    <w:rsid w:val="6EF33F60"/>
    <w:rsid w:val="6F0B46AE"/>
    <w:rsid w:val="6F0D2DC6"/>
    <w:rsid w:val="6F3B8B01"/>
    <w:rsid w:val="6F565329"/>
    <w:rsid w:val="6F6C8D28"/>
    <w:rsid w:val="6F7FFDCE"/>
    <w:rsid w:val="6F95386E"/>
    <w:rsid w:val="6FB25573"/>
    <w:rsid w:val="6FB43D69"/>
    <w:rsid w:val="6FC1E7FB"/>
    <w:rsid w:val="6FD6C6E4"/>
    <w:rsid w:val="6FDC4D55"/>
    <w:rsid w:val="6FEA3BBC"/>
    <w:rsid w:val="6FEA5705"/>
    <w:rsid w:val="6FFA6B21"/>
    <w:rsid w:val="70B29224"/>
    <w:rsid w:val="70B4A57C"/>
    <w:rsid w:val="70B8633D"/>
    <w:rsid w:val="70D3EB66"/>
    <w:rsid w:val="70E3B1AA"/>
    <w:rsid w:val="711E2BE7"/>
    <w:rsid w:val="7138A5DC"/>
    <w:rsid w:val="718E9886"/>
    <w:rsid w:val="719E5499"/>
    <w:rsid w:val="71C0D34B"/>
    <w:rsid w:val="71E52198"/>
    <w:rsid w:val="720CD692"/>
    <w:rsid w:val="722F6B32"/>
    <w:rsid w:val="7231BE4A"/>
    <w:rsid w:val="72856DE9"/>
    <w:rsid w:val="72901CBF"/>
    <w:rsid w:val="7299B593"/>
    <w:rsid w:val="72AE18BF"/>
    <w:rsid w:val="72B7C7E0"/>
    <w:rsid w:val="72C03B3D"/>
    <w:rsid w:val="72CD2A1A"/>
    <w:rsid w:val="72E3FA24"/>
    <w:rsid w:val="72FB7A1C"/>
    <w:rsid w:val="7351D327"/>
    <w:rsid w:val="7353E0E1"/>
    <w:rsid w:val="738C48E8"/>
    <w:rsid w:val="7396026F"/>
    <w:rsid w:val="739A81F6"/>
    <w:rsid w:val="73B68BA7"/>
    <w:rsid w:val="73EFBFD7"/>
    <w:rsid w:val="73FD2A9C"/>
    <w:rsid w:val="7420224C"/>
    <w:rsid w:val="7447CA55"/>
    <w:rsid w:val="74492F72"/>
    <w:rsid w:val="747750D0"/>
    <w:rsid w:val="747962B2"/>
    <w:rsid w:val="7496F07D"/>
    <w:rsid w:val="7496F694"/>
    <w:rsid w:val="74A1887B"/>
    <w:rsid w:val="74C83B11"/>
    <w:rsid w:val="74FDA388"/>
    <w:rsid w:val="753100D6"/>
    <w:rsid w:val="753B3135"/>
    <w:rsid w:val="754FE337"/>
    <w:rsid w:val="756D0C01"/>
    <w:rsid w:val="757B2CA3"/>
    <w:rsid w:val="758ACFFF"/>
    <w:rsid w:val="759D20DF"/>
    <w:rsid w:val="75A6D19E"/>
    <w:rsid w:val="75B6B480"/>
    <w:rsid w:val="75C7BD81"/>
    <w:rsid w:val="75E6187A"/>
    <w:rsid w:val="7625DE1B"/>
    <w:rsid w:val="7662AA34"/>
    <w:rsid w:val="76638846"/>
    <w:rsid w:val="7664F925"/>
    <w:rsid w:val="766BD254"/>
    <w:rsid w:val="76AD6CCB"/>
    <w:rsid w:val="76C3FAEE"/>
    <w:rsid w:val="76E9EC4B"/>
    <w:rsid w:val="76FA2B58"/>
    <w:rsid w:val="771EC194"/>
    <w:rsid w:val="774821C5"/>
    <w:rsid w:val="77A1620B"/>
    <w:rsid w:val="77A4CABD"/>
    <w:rsid w:val="77C3F9A3"/>
    <w:rsid w:val="77DC9F0A"/>
    <w:rsid w:val="7806C829"/>
    <w:rsid w:val="78113FAC"/>
    <w:rsid w:val="782394BD"/>
    <w:rsid w:val="78C61E18"/>
    <w:rsid w:val="79055D28"/>
    <w:rsid w:val="79101C76"/>
    <w:rsid w:val="7914029B"/>
    <w:rsid w:val="79147625"/>
    <w:rsid w:val="791C326E"/>
    <w:rsid w:val="7973DED1"/>
    <w:rsid w:val="79B12E71"/>
    <w:rsid w:val="79C3D9A1"/>
    <w:rsid w:val="7A05F554"/>
    <w:rsid w:val="7A192BCA"/>
    <w:rsid w:val="7A3091D6"/>
    <w:rsid w:val="7A35D517"/>
    <w:rsid w:val="7A3C1920"/>
    <w:rsid w:val="7A509D6A"/>
    <w:rsid w:val="7A6A7992"/>
    <w:rsid w:val="7A9E459F"/>
    <w:rsid w:val="7AB93E6C"/>
    <w:rsid w:val="7AC56374"/>
    <w:rsid w:val="7AF99393"/>
    <w:rsid w:val="7B02C24E"/>
    <w:rsid w:val="7B080CBC"/>
    <w:rsid w:val="7B0C7CB8"/>
    <w:rsid w:val="7B71147F"/>
    <w:rsid w:val="7B93D95E"/>
    <w:rsid w:val="7B9A0069"/>
    <w:rsid w:val="7B9D9CB8"/>
    <w:rsid w:val="7BAEE9F3"/>
    <w:rsid w:val="7BC2D60E"/>
    <w:rsid w:val="7C45CA1A"/>
    <w:rsid w:val="7C5FBBC5"/>
    <w:rsid w:val="7CA604D8"/>
    <w:rsid w:val="7CC16468"/>
    <w:rsid w:val="7CCB5B77"/>
    <w:rsid w:val="7CD7CB2D"/>
    <w:rsid w:val="7CEA0EF2"/>
    <w:rsid w:val="7CECFDC1"/>
    <w:rsid w:val="7CF180D2"/>
    <w:rsid w:val="7D3DC3AD"/>
    <w:rsid w:val="7D7C57D1"/>
    <w:rsid w:val="7DCB6E67"/>
    <w:rsid w:val="7E1A34B9"/>
    <w:rsid w:val="7E2099C5"/>
    <w:rsid w:val="7E32AC7D"/>
    <w:rsid w:val="7E716824"/>
    <w:rsid w:val="7EED7903"/>
    <w:rsid w:val="7F28C668"/>
    <w:rsid w:val="7FACB61B"/>
    <w:rsid w:val="7FDC6E20"/>
    <w:rsid w:val="7FE752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77389"/>
  <w15:chartTrackingRefBased/>
  <w15:docId w15:val="{A593CFF6-8B1B-434E-A931-FB3EBB2F8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3F3"/>
    <w:rPr>
      <w:sz w:val="24"/>
    </w:rPr>
  </w:style>
  <w:style w:type="paragraph" w:styleId="Heading1">
    <w:name w:val="heading 1"/>
    <w:basedOn w:val="Normal"/>
    <w:next w:val="Normal"/>
    <w:link w:val="Heading1Char"/>
    <w:uiPriority w:val="9"/>
    <w:qFormat/>
    <w:rsid w:val="001A22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2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6CB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3F3"/>
    <w:rPr>
      <w:rFonts w:ascii="Times New Roman" w:hAnsi="Times New Roman"/>
      <w:color w:val="0563C1" w:themeColor="hyperlink"/>
      <w:sz w:val="24"/>
      <w:u w:val="none"/>
    </w:rPr>
  </w:style>
  <w:style w:type="paragraph" w:styleId="PlainText">
    <w:name w:val="Plain Text"/>
    <w:basedOn w:val="Normal"/>
    <w:link w:val="PlainTextChar"/>
    <w:uiPriority w:val="99"/>
    <w:unhideWhenUsed/>
    <w:rsid w:val="001153F3"/>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1153F3"/>
    <w:rPr>
      <w:rFonts w:ascii="Calibri" w:hAnsi="Calibri"/>
      <w:szCs w:val="21"/>
    </w:rPr>
  </w:style>
  <w:style w:type="paragraph" w:styleId="Header">
    <w:name w:val="header"/>
    <w:basedOn w:val="Normal"/>
    <w:link w:val="HeaderChar"/>
    <w:unhideWhenUsed/>
    <w:rsid w:val="00FF2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1A0"/>
    <w:rPr>
      <w:sz w:val="24"/>
    </w:rPr>
  </w:style>
  <w:style w:type="paragraph" w:styleId="Footer">
    <w:name w:val="footer"/>
    <w:basedOn w:val="Normal"/>
    <w:link w:val="FooterChar"/>
    <w:unhideWhenUsed/>
    <w:rsid w:val="00FF2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1A0"/>
    <w:rPr>
      <w:sz w:val="24"/>
    </w:rPr>
  </w:style>
  <w:style w:type="character" w:customStyle="1" w:styleId="Heading2Char">
    <w:name w:val="Heading 2 Char"/>
    <w:basedOn w:val="DefaultParagraphFont"/>
    <w:link w:val="Heading2"/>
    <w:uiPriority w:val="9"/>
    <w:rsid w:val="001A228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28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712E8"/>
    <w:pPr>
      <w:ind w:left="720"/>
      <w:contextualSpacing/>
    </w:pPr>
  </w:style>
  <w:style w:type="paragraph" w:styleId="TOCHeading">
    <w:name w:val="TOC Heading"/>
    <w:basedOn w:val="Heading1"/>
    <w:next w:val="Normal"/>
    <w:uiPriority w:val="39"/>
    <w:unhideWhenUsed/>
    <w:qFormat/>
    <w:rsid w:val="00796CB9"/>
    <w:pPr>
      <w:outlineLvl w:val="9"/>
    </w:pPr>
  </w:style>
  <w:style w:type="paragraph" w:styleId="TOC2">
    <w:name w:val="toc 2"/>
    <w:basedOn w:val="Normal"/>
    <w:next w:val="Normal"/>
    <w:autoRedefine/>
    <w:uiPriority w:val="39"/>
    <w:unhideWhenUsed/>
    <w:rsid w:val="00796CB9"/>
    <w:pPr>
      <w:spacing w:after="100"/>
      <w:ind w:left="240"/>
    </w:pPr>
  </w:style>
  <w:style w:type="character" w:customStyle="1" w:styleId="Heading3Char">
    <w:name w:val="Heading 3 Char"/>
    <w:basedOn w:val="DefaultParagraphFont"/>
    <w:link w:val="Heading3"/>
    <w:uiPriority w:val="9"/>
    <w:rsid w:val="00796CB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94939"/>
    <w:pPr>
      <w:tabs>
        <w:tab w:val="right" w:leader="dot" w:pos="9350"/>
      </w:tabs>
      <w:spacing w:after="100"/>
      <w:ind w:left="480"/>
    </w:pPr>
  </w:style>
  <w:style w:type="character" w:styleId="UnresolvedMention">
    <w:name w:val="Unresolved Mention"/>
    <w:basedOn w:val="DefaultParagraphFont"/>
    <w:uiPriority w:val="99"/>
    <w:semiHidden/>
    <w:unhideWhenUsed/>
    <w:rsid w:val="00EF068B"/>
    <w:rPr>
      <w:color w:val="605E5C"/>
      <w:shd w:val="clear" w:color="auto" w:fill="E1DFDD"/>
    </w:rPr>
  </w:style>
  <w:style w:type="character" w:styleId="CommentReference">
    <w:name w:val="annotation reference"/>
    <w:basedOn w:val="DefaultParagraphFont"/>
    <w:uiPriority w:val="99"/>
    <w:semiHidden/>
    <w:unhideWhenUsed/>
    <w:rsid w:val="00205D3A"/>
    <w:rPr>
      <w:sz w:val="16"/>
      <w:szCs w:val="16"/>
    </w:rPr>
  </w:style>
  <w:style w:type="paragraph" w:styleId="CommentText">
    <w:name w:val="annotation text"/>
    <w:basedOn w:val="Normal"/>
    <w:link w:val="CommentTextChar"/>
    <w:uiPriority w:val="99"/>
    <w:unhideWhenUsed/>
    <w:rsid w:val="00205D3A"/>
    <w:pPr>
      <w:spacing w:line="240" w:lineRule="auto"/>
    </w:pPr>
    <w:rPr>
      <w:sz w:val="20"/>
      <w:szCs w:val="20"/>
    </w:rPr>
  </w:style>
  <w:style w:type="character" w:customStyle="1" w:styleId="CommentTextChar">
    <w:name w:val="Comment Text Char"/>
    <w:basedOn w:val="DefaultParagraphFont"/>
    <w:link w:val="CommentText"/>
    <w:uiPriority w:val="99"/>
    <w:rsid w:val="00205D3A"/>
    <w:rPr>
      <w:sz w:val="20"/>
      <w:szCs w:val="20"/>
    </w:rPr>
  </w:style>
  <w:style w:type="paragraph" w:styleId="CommentSubject">
    <w:name w:val="annotation subject"/>
    <w:basedOn w:val="CommentText"/>
    <w:next w:val="CommentText"/>
    <w:link w:val="CommentSubjectChar"/>
    <w:uiPriority w:val="99"/>
    <w:semiHidden/>
    <w:unhideWhenUsed/>
    <w:rsid w:val="00205D3A"/>
    <w:rPr>
      <w:b/>
      <w:bCs/>
    </w:rPr>
  </w:style>
  <w:style w:type="character" w:customStyle="1" w:styleId="CommentSubjectChar">
    <w:name w:val="Comment Subject Char"/>
    <w:basedOn w:val="CommentTextChar"/>
    <w:link w:val="CommentSubject"/>
    <w:uiPriority w:val="99"/>
    <w:semiHidden/>
    <w:rsid w:val="00205D3A"/>
    <w:rPr>
      <w:b/>
      <w:bCs/>
      <w:sz w:val="20"/>
      <w:szCs w:val="20"/>
    </w:rPr>
  </w:style>
  <w:style w:type="character" w:styleId="FollowedHyperlink">
    <w:name w:val="FollowedHyperlink"/>
    <w:basedOn w:val="DefaultParagraphFont"/>
    <w:uiPriority w:val="99"/>
    <w:semiHidden/>
    <w:unhideWhenUsed/>
    <w:rsid w:val="00C10B65"/>
    <w:rPr>
      <w:color w:val="954F72" w:themeColor="followedHyperlink"/>
      <w:u w:val="single"/>
    </w:rPr>
  </w:style>
  <w:style w:type="paragraph" w:styleId="Revision">
    <w:name w:val="Revision"/>
    <w:hidden/>
    <w:uiPriority w:val="99"/>
    <w:semiHidden/>
    <w:rsid w:val="00432C7E"/>
    <w:pPr>
      <w:spacing w:after="0" w:line="240" w:lineRule="auto"/>
    </w:pPr>
    <w:rPr>
      <w:sz w:val="24"/>
    </w:rPr>
  </w:style>
  <w:style w:type="character" w:customStyle="1" w:styleId="citationtext">
    <w:name w:val="citationtext"/>
    <w:basedOn w:val="DefaultParagraphFont"/>
    <w:rsid w:val="00D16F43"/>
  </w:style>
  <w:style w:type="paragraph" w:customStyle="1" w:styleId="Author">
    <w:name w:val="Author"/>
    <w:basedOn w:val="Normal"/>
    <w:autoRedefine/>
    <w:rsid w:val="008A1A32"/>
    <w:pPr>
      <w:tabs>
        <w:tab w:val="left" w:pos="8640"/>
      </w:tabs>
      <w:spacing w:before="240" w:after="0" w:line="280" w:lineRule="exact"/>
    </w:pPr>
    <w:rPr>
      <w:rFonts w:ascii="Times New Roman" w:eastAsia="Times New Roman" w:hAnsi="Times New Roman" w:cs="Times New Roman"/>
      <w:i/>
      <w:noProof/>
      <w:szCs w:val="20"/>
    </w:rPr>
  </w:style>
  <w:style w:type="paragraph" w:styleId="Date">
    <w:name w:val="Date"/>
    <w:basedOn w:val="Normal"/>
    <w:link w:val="DateChar"/>
    <w:autoRedefine/>
    <w:rsid w:val="008A1A32"/>
    <w:pPr>
      <w:tabs>
        <w:tab w:val="left" w:pos="8640"/>
      </w:tabs>
      <w:spacing w:after="0" w:line="370" w:lineRule="exact"/>
    </w:pPr>
    <w:rPr>
      <w:rFonts w:ascii="Times New Roman" w:eastAsia="Times New Roman" w:hAnsi="Times New Roman" w:cs="Times New Roman"/>
      <w:noProof/>
      <w:sz w:val="31"/>
      <w:szCs w:val="20"/>
    </w:rPr>
  </w:style>
  <w:style w:type="character" w:customStyle="1" w:styleId="DateChar">
    <w:name w:val="Date Char"/>
    <w:basedOn w:val="DefaultParagraphFont"/>
    <w:link w:val="Date"/>
    <w:rsid w:val="008A1A32"/>
    <w:rPr>
      <w:rFonts w:ascii="Times New Roman" w:eastAsia="Times New Roman" w:hAnsi="Times New Roman" w:cs="Times New Roman"/>
      <w:noProof/>
      <w:sz w:val="31"/>
      <w:szCs w:val="20"/>
    </w:rPr>
  </w:style>
  <w:style w:type="paragraph" w:customStyle="1" w:styleId="ReportNo">
    <w:name w:val="ReportNo."/>
    <w:basedOn w:val="Normal"/>
    <w:autoRedefine/>
    <w:rsid w:val="008A1A32"/>
    <w:pPr>
      <w:tabs>
        <w:tab w:val="left" w:pos="8640"/>
      </w:tabs>
      <w:spacing w:after="0" w:line="370" w:lineRule="exact"/>
    </w:pPr>
    <w:rPr>
      <w:rFonts w:ascii="Times New Roman" w:eastAsia="Times New Roman" w:hAnsi="Times New Roman" w:cs="Times New Roman"/>
      <w:noProof/>
      <w:sz w:val="31"/>
      <w:szCs w:val="20"/>
    </w:rPr>
  </w:style>
  <w:style w:type="paragraph" w:customStyle="1" w:styleId="Title1">
    <w:name w:val="Title1"/>
    <w:basedOn w:val="Normal"/>
    <w:autoRedefine/>
    <w:rsid w:val="008A1A32"/>
    <w:pPr>
      <w:tabs>
        <w:tab w:val="left" w:pos="8640"/>
      </w:tabs>
      <w:spacing w:after="0" w:line="560" w:lineRule="exact"/>
    </w:pPr>
    <w:rPr>
      <w:rFonts w:ascii="Times New Roman" w:eastAsia="Times New Roman" w:hAnsi="Times New Roman" w:cs="Times New Roman"/>
      <w:noProof/>
      <w:sz w:val="48"/>
      <w:szCs w:val="20"/>
    </w:rPr>
  </w:style>
  <w:style w:type="paragraph" w:customStyle="1" w:styleId="Affiliation">
    <w:name w:val="Affiliation"/>
    <w:basedOn w:val="Normal"/>
    <w:autoRedefine/>
    <w:rsid w:val="008A1A32"/>
    <w:pPr>
      <w:tabs>
        <w:tab w:val="left" w:pos="8640"/>
      </w:tabs>
      <w:spacing w:after="0" w:line="280" w:lineRule="exact"/>
    </w:pPr>
    <w:rPr>
      <w:rFonts w:ascii="Times New Roman" w:eastAsia="Times New Roman" w:hAnsi="Times New Roman" w:cs="Times New Roman"/>
      <w:i/>
      <w:noProof/>
      <w:szCs w:val="20"/>
    </w:rPr>
  </w:style>
  <w:style w:type="character" w:styleId="PageNumber">
    <w:name w:val="page number"/>
    <w:rsid w:val="008A1A32"/>
    <w:rPr>
      <w:rFonts w:ascii="Times New Roman" w:hAnsi="Times New Roman"/>
    </w:rPr>
  </w:style>
  <w:style w:type="paragraph" w:customStyle="1" w:styleId="Body">
    <w:name w:val="Body"/>
    <w:autoRedefine/>
    <w:rsid w:val="008A1A32"/>
    <w:pPr>
      <w:widowControl w:val="0"/>
      <w:spacing w:after="260" w:line="260" w:lineRule="exact"/>
      <w:ind w:firstLine="288"/>
      <w:jc w:val="both"/>
    </w:pPr>
    <w:rPr>
      <w:rFonts w:ascii="Times New Roman" w:eastAsia="Times New Roman" w:hAnsi="Times New Roman" w:cs="Times New Roman"/>
      <w:color w:val="000000"/>
      <w:szCs w:val="20"/>
    </w:rPr>
  </w:style>
  <w:style w:type="paragraph" w:customStyle="1" w:styleId="FiglegCntr">
    <w:name w:val="FiglegCntr"/>
    <w:autoRedefine/>
    <w:rsid w:val="008A1A32"/>
    <w:pPr>
      <w:keepLines/>
      <w:widowControl w:val="0"/>
      <w:spacing w:after="260" w:line="240" w:lineRule="exact"/>
      <w:jc w:val="center"/>
    </w:pPr>
    <w:rPr>
      <w:rFonts w:ascii="Times New Roman" w:eastAsia="Times New Roman" w:hAnsi="Times New Roman" w:cs="Times New Roman"/>
      <w:sz w:val="20"/>
      <w:szCs w:val="20"/>
    </w:rPr>
  </w:style>
  <w:style w:type="paragraph" w:customStyle="1" w:styleId="ReportText">
    <w:name w:val="Report Text"/>
    <w:rsid w:val="008A1A32"/>
    <w:pPr>
      <w:spacing w:after="0" w:line="240" w:lineRule="auto"/>
      <w:ind w:firstLine="360"/>
    </w:pPr>
    <w:rPr>
      <w:rFonts w:ascii="Arial" w:eastAsia="Times New Roman" w:hAnsi="Arial" w:cs="Times New Roman"/>
    </w:rPr>
  </w:style>
  <w:style w:type="paragraph" w:customStyle="1" w:styleId="ReportTextBullet">
    <w:name w:val="Report Text Bullet"/>
    <w:rsid w:val="008A1A32"/>
    <w:pPr>
      <w:spacing w:after="0" w:line="240" w:lineRule="auto"/>
      <w:ind w:left="720" w:hanging="360"/>
    </w:pPr>
    <w:rPr>
      <w:rFonts w:ascii="Arial" w:eastAsia="Times New Roman" w:hAnsi="Arial" w:cs="Times New Roman"/>
      <w:szCs w:val="20"/>
    </w:rPr>
  </w:style>
  <w:style w:type="paragraph" w:customStyle="1" w:styleId="ProfileHead">
    <w:name w:val="ProfileHead"/>
    <w:basedOn w:val="Normal"/>
    <w:semiHidden/>
    <w:rsid w:val="008A1A32"/>
    <w:pPr>
      <w:spacing w:after="0" w:line="260" w:lineRule="exact"/>
      <w:jc w:val="center"/>
    </w:pPr>
    <w:rPr>
      <w:rFonts w:ascii="Arial" w:eastAsia="Times New Roman" w:hAnsi="Arial" w:cs="Times New Roman"/>
      <w:b/>
      <w:szCs w:val="20"/>
    </w:rPr>
  </w:style>
  <w:style w:type="paragraph" w:customStyle="1" w:styleId="footertext">
    <w:name w:val="footer text"/>
    <w:qFormat/>
    <w:rsid w:val="008A1A32"/>
    <w:pPr>
      <w:spacing w:after="0" w:line="240" w:lineRule="auto"/>
    </w:pPr>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45748">
      <w:bodyDiv w:val="1"/>
      <w:marLeft w:val="0"/>
      <w:marRight w:val="0"/>
      <w:marTop w:val="0"/>
      <w:marBottom w:val="0"/>
      <w:divBdr>
        <w:top w:val="none" w:sz="0" w:space="0" w:color="auto"/>
        <w:left w:val="none" w:sz="0" w:space="0" w:color="auto"/>
        <w:bottom w:val="none" w:sz="0" w:space="0" w:color="auto"/>
        <w:right w:val="none" w:sz="0" w:space="0" w:color="auto"/>
      </w:divBdr>
    </w:div>
    <w:div w:id="322197282">
      <w:bodyDiv w:val="1"/>
      <w:marLeft w:val="0"/>
      <w:marRight w:val="0"/>
      <w:marTop w:val="0"/>
      <w:marBottom w:val="0"/>
      <w:divBdr>
        <w:top w:val="none" w:sz="0" w:space="0" w:color="auto"/>
        <w:left w:val="none" w:sz="0" w:space="0" w:color="auto"/>
        <w:bottom w:val="none" w:sz="0" w:space="0" w:color="auto"/>
        <w:right w:val="none" w:sz="0" w:space="0" w:color="auto"/>
      </w:divBdr>
      <w:divsChild>
        <w:div w:id="125242222">
          <w:marLeft w:val="1166"/>
          <w:marRight w:val="0"/>
          <w:marTop w:val="72"/>
          <w:marBottom w:val="0"/>
          <w:divBdr>
            <w:top w:val="none" w:sz="0" w:space="0" w:color="auto"/>
            <w:left w:val="none" w:sz="0" w:space="0" w:color="auto"/>
            <w:bottom w:val="none" w:sz="0" w:space="0" w:color="auto"/>
            <w:right w:val="none" w:sz="0" w:space="0" w:color="auto"/>
          </w:divBdr>
        </w:div>
        <w:div w:id="426930036">
          <w:marLeft w:val="1166"/>
          <w:marRight w:val="0"/>
          <w:marTop w:val="72"/>
          <w:marBottom w:val="0"/>
          <w:divBdr>
            <w:top w:val="none" w:sz="0" w:space="0" w:color="auto"/>
            <w:left w:val="none" w:sz="0" w:space="0" w:color="auto"/>
            <w:bottom w:val="none" w:sz="0" w:space="0" w:color="auto"/>
            <w:right w:val="none" w:sz="0" w:space="0" w:color="auto"/>
          </w:divBdr>
        </w:div>
        <w:div w:id="453601071">
          <w:marLeft w:val="1166"/>
          <w:marRight w:val="0"/>
          <w:marTop w:val="72"/>
          <w:marBottom w:val="0"/>
          <w:divBdr>
            <w:top w:val="none" w:sz="0" w:space="0" w:color="auto"/>
            <w:left w:val="none" w:sz="0" w:space="0" w:color="auto"/>
            <w:bottom w:val="none" w:sz="0" w:space="0" w:color="auto"/>
            <w:right w:val="none" w:sz="0" w:space="0" w:color="auto"/>
          </w:divBdr>
        </w:div>
        <w:div w:id="581448534">
          <w:marLeft w:val="1166"/>
          <w:marRight w:val="0"/>
          <w:marTop w:val="72"/>
          <w:marBottom w:val="0"/>
          <w:divBdr>
            <w:top w:val="none" w:sz="0" w:space="0" w:color="auto"/>
            <w:left w:val="none" w:sz="0" w:space="0" w:color="auto"/>
            <w:bottom w:val="none" w:sz="0" w:space="0" w:color="auto"/>
            <w:right w:val="none" w:sz="0" w:space="0" w:color="auto"/>
          </w:divBdr>
        </w:div>
      </w:divsChild>
    </w:div>
    <w:div w:id="337393714">
      <w:bodyDiv w:val="1"/>
      <w:marLeft w:val="0"/>
      <w:marRight w:val="0"/>
      <w:marTop w:val="0"/>
      <w:marBottom w:val="0"/>
      <w:divBdr>
        <w:top w:val="none" w:sz="0" w:space="0" w:color="auto"/>
        <w:left w:val="none" w:sz="0" w:space="0" w:color="auto"/>
        <w:bottom w:val="none" w:sz="0" w:space="0" w:color="auto"/>
        <w:right w:val="none" w:sz="0" w:space="0" w:color="auto"/>
      </w:divBdr>
      <w:divsChild>
        <w:div w:id="1848012511">
          <w:marLeft w:val="547"/>
          <w:marRight w:val="0"/>
          <w:marTop w:val="400"/>
          <w:marBottom w:val="0"/>
          <w:divBdr>
            <w:top w:val="none" w:sz="0" w:space="0" w:color="auto"/>
            <w:left w:val="none" w:sz="0" w:space="0" w:color="auto"/>
            <w:bottom w:val="none" w:sz="0" w:space="0" w:color="auto"/>
            <w:right w:val="none" w:sz="0" w:space="0" w:color="auto"/>
          </w:divBdr>
        </w:div>
      </w:divsChild>
    </w:div>
    <w:div w:id="430440716">
      <w:bodyDiv w:val="1"/>
      <w:marLeft w:val="0"/>
      <w:marRight w:val="0"/>
      <w:marTop w:val="0"/>
      <w:marBottom w:val="0"/>
      <w:divBdr>
        <w:top w:val="none" w:sz="0" w:space="0" w:color="auto"/>
        <w:left w:val="none" w:sz="0" w:space="0" w:color="auto"/>
        <w:bottom w:val="none" w:sz="0" w:space="0" w:color="auto"/>
        <w:right w:val="none" w:sz="0" w:space="0" w:color="auto"/>
      </w:divBdr>
    </w:div>
    <w:div w:id="431628685">
      <w:bodyDiv w:val="1"/>
      <w:marLeft w:val="0"/>
      <w:marRight w:val="0"/>
      <w:marTop w:val="0"/>
      <w:marBottom w:val="0"/>
      <w:divBdr>
        <w:top w:val="none" w:sz="0" w:space="0" w:color="auto"/>
        <w:left w:val="none" w:sz="0" w:space="0" w:color="auto"/>
        <w:bottom w:val="none" w:sz="0" w:space="0" w:color="auto"/>
        <w:right w:val="none" w:sz="0" w:space="0" w:color="auto"/>
      </w:divBdr>
    </w:div>
    <w:div w:id="783887137">
      <w:bodyDiv w:val="1"/>
      <w:marLeft w:val="0"/>
      <w:marRight w:val="0"/>
      <w:marTop w:val="0"/>
      <w:marBottom w:val="0"/>
      <w:divBdr>
        <w:top w:val="none" w:sz="0" w:space="0" w:color="auto"/>
        <w:left w:val="none" w:sz="0" w:space="0" w:color="auto"/>
        <w:bottom w:val="none" w:sz="0" w:space="0" w:color="auto"/>
        <w:right w:val="none" w:sz="0" w:space="0" w:color="auto"/>
      </w:divBdr>
      <w:divsChild>
        <w:div w:id="147484473">
          <w:marLeft w:val="547"/>
          <w:marRight w:val="0"/>
          <w:marTop w:val="0"/>
          <w:marBottom w:val="160"/>
          <w:divBdr>
            <w:top w:val="none" w:sz="0" w:space="0" w:color="auto"/>
            <w:left w:val="none" w:sz="0" w:space="0" w:color="auto"/>
            <w:bottom w:val="none" w:sz="0" w:space="0" w:color="auto"/>
            <w:right w:val="none" w:sz="0" w:space="0" w:color="auto"/>
          </w:divBdr>
        </w:div>
        <w:div w:id="257562309">
          <w:marLeft w:val="1166"/>
          <w:marRight w:val="0"/>
          <w:marTop w:val="0"/>
          <w:marBottom w:val="0"/>
          <w:divBdr>
            <w:top w:val="none" w:sz="0" w:space="0" w:color="auto"/>
            <w:left w:val="none" w:sz="0" w:space="0" w:color="auto"/>
            <w:bottom w:val="none" w:sz="0" w:space="0" w:color="auto"/>
            <w:right w:val="none" w:sz="0" w:space="0" w:color="auto"/>
          </w:divBdr>
        </w:div>
        <w:div w:id="418404274">
          <w:marLeft w:val="1166"/>
          <w:marRight w:val="0"/>
          <w:marTop w:val="0"/>
          <w:marBottom w:val="0"/>
          <w:divBdr>
            <w:top w:val="none" w:sz="0" w:space="0" w:color="auto"/>
            <w:left w:val="none" w:sz="0" w:space="0" w:color="auto"/>
            <w:bottom w:val="none" w:sz="0" w:space="0" w:color="auto"/>
            <w:right w:val="none" w:sz="0" w:space="0" w:color="auto"/>
          </w:divBdr>
        </w:div>
        <w:div w:id="718819411">
          <w:marLeft w:val="1166"/>
          <w:marRight w:val="0"/>
          <w:marTop w:val="0"/>
          <w:marBottom w:val="0"/>
          <w:divBdr>
            <w:top w:val="none" w:sz="0" w:space="0" w:color="auto"/>
            <w:left w:val="none" w:sz="0" w:space="0" w:color="auto"/>
            <w:bottom w:val="none" w:sz="0" w:space="0" w:color="auto"/>
            <w:right w:val="none" w:sz="0" w:space="0" w:color="auto"/>
          </w:divBdr>
        </w:div>
        <w:div w:id="959803438">
          <w:marLeft w:val="1166"/>
          <w:marRight w:val="0"/>
          <w:marTop w:val="0"/>
          <w:marBottom w:val="0"/>
          <w:divBdr>
            <w:top w:val="none" w:sz="0" w:space="0" w:color="auto"/>
            <w:left w:val="none" w:sz="0" w:space="0" w:color="auto"/>
            <w:bottom w:val="none" w:sz="0" w:space="0" w:color="auto"/>
            <w:right w:val="none" w:sz="0" w:space="0" w:color="auto"/>
          </w:divBdr>
        </w:div>
        <w:div w:id="1017007319">
          <w:marLeft w:val="547"/>
          <w:marRight w:val="0"/>
          <w:marTop w:val="0"/>
          <w:marBottom w:val="160"/>
          <w:divBdr>
            <w:top w:val="none" w:sz="0" w:space="0" w:color="auto"/>
            <w:left w:val="none" w:sz="0" w:space="0" w:color="auto"/>
            <w:bottom w:val="none" w:sz="0" w:space="0" w:color="auto"/>
            <w:right w:val="none" w:sz="0" w:space="0" w:color="auto"/>
          </w:divBdr>
        </w:div>
        <w:div w:id="1052119196">
          <w:marLeft w:val="1166"/>
          <w:marRight w:val="0"/>
          <w:marTop w:val="0"/>
          <w:marBottom w:val="0"/>
          <w:divBdr>
            <w:top w:val="none" w:sz="0" w:space="0" w:color="auto"/>
            <w:left w:val="none" w:sz="0" w:space="0" w:color="auto"/>
            <w:bottom w:val="none" w:sz="0" w:space="0" w:color="auto"/>
            <w:right w:val="none" w:sz="0" w:space="0" w:color="auto"/>
          </w:divBdr>
        </w:div>
        <w:div w:id="1060128495">
          <w:marLeft w:val="1166"/>
          <w:marRight w:val="0"/>
          <w:marTop w:val="0"/>
          <w:marBottom w:val="0"/>
          <w:divBdr>
            <w:top w:val="none" w:sz="0" w:space="0" w:color="auto"/>
            <w:left w:val="none" w:sz="0" w:space="0" w:color="auto"/>
            <w:bottom w:val="none" w:sz="0" w:space="0" w:color="auto"/>
            <w:right w:val="none" w:sz="0" w:space="0" w:color="auto"/>
          </w:divBdr>
        </w:div>
        <w:div w:id="1157960676">
          <w:marLeft w:val="547"/>
          <w:marRight w:val="0"/>
          <w:marTop w:val="0"/>
          <w:marBottom w:val="160"/>
          <w:divBdr>
            <w:top w:val="none" w:sz="0" w:space="0" w:color="auto"/>
            <w:left w:val="none" w:sz="0" w:space="0" w:color="auto"/>
            <w:bottom w:val="none" w:sz="0" w:space="0" w:color="auto"/>
            <w:right w:val="none" w:sz="0" w:space="0" w:color="auto"/>
          </w:divBdr>
        </w:div>
        <w:div w:id="1249120054">
          <w:marLeft w:val="1166"/>
          <w:marRight w:val="0"/>
          <w:marTop w:val="0"/>
          <w:marBottom w:val="0"/>
          <w:divBdr>
            <w:top w:val="none" w:sz="0" w:space="0" w:color="auto"/>
            <w:left w:val="none" w:sz="0" w:space="0" w:color="auto"/>
            <w:bottom w:val="none" w:sz="0" w:space="0" w:color="auto"/>
            <w:right w:val="none" w:sz="0" w:space="0" w:color="auto"/>
          </w:divBdr>
        </w:div>
        <w:div w:id="1491479426">
          <w:marLeft w:val="547"/>
          <w:marRight w:val="0"/>
          <w:marTop w:val="0"/>
          <w:marBottom w:val="160"/>
          <w:divBdr>
            <w:top w:val="none" w:sz="0" w:space="0" w:color="auto"/>
            <w:left w:val="none" w:sz="0" w:space="0" w:color="auto"/>
            <w:bottom w:val="none" w:sz="0" w:space="0" w:color="auto"/>
            <w:right w:val="none" w:sz="0" w:space="0" w:color="auto"/>
          </w:divBdr>
        </w:div>
        <w:div w:id="1603801221">
          <w:marLeft w:val="1166"/>
          <w:marRight w:val="0"/>
          <w:marTop w:val="0"/>
          <w:marBottom w:val="0"/>
          <w:divBdr>
            <w:top w:val="none" w:sz="0" w:space="0" w:color="auto"/>
            <w:left w:val="none" w:sz="0" w:space="0" w:color="auto"/>
            <w:bottom w:val="none" w:sz="0" w:space="0" w:color="auto"/>
            <w:right w:val="none" w:sz="0" w:space="0" w:color="auto"/>
          </w:divBdr>
        </w:div>
      </w:divsChild>
    </w:div>
    <w:div w:id="896936822">
      <w:bodyDiv w:val="1"/>
      <w:marLeft w:val="0"/>
      <w:marRight w:val="0"/>
      <w:marTop w:val="0"/>
      <w:marBottom w:val="0"/>
      <w:divBdr>
        <w:top w:val="none" w:sz="0" w:space="0" w:color="auto"/>
        <w:left w:val="none" w:sz="0" w:space="0" w:color="auto"/>
        <w:bottom w:val="none" w:sz="0" w:space="0" w:color="auto"/>
        <w:right w:val="none" w:sz="0" w:space="0" w:color="auto"/>
      </w:divBdr>
    </w:div>
    <w:div w:id="939724095">
      <w:bodyDiv w:val="1"/>
      <w:marLeft w:val="0"/>
      <w:marRight w:val="0"/>
      <w:marTop w:val="0"/>
      <w:marBottom w:val="0"/>
      <w:divBdr>
        <w:top w:val="none" w:sz="0" w:space="0" w:color="auto"/>
        <w:left w:val="none" w:sz="0" w:space="0" w:color="auto"/>
        <w:bottom w:val="none" w:sz="0" w:space="0" w:color="auto"/>
        <w:right w:val="none" w:sz="0" w:space="0" w:color="auto"/>
      </w:divBdr>
    </w:div>
    <w:div w:id="974681441">
      <w:bodyDiv w:val="1"/>
      <w:marLeft w:val="0"/>
      <w:marRight w:val="0"/>
      <w:marTop w:val="0"/>
      <w:marBottom w:val="0"/>
      <w:divBdr>
        <w:top w:val="none" w:sz="0" w:space="0" w:color="auto"/>
        <w:left w:val="none" w:sz="0" w:space="0" w:color="auto"/>
        <w:bottom w:val="none" w:sz="0" w:space="0" w:color="auto"/>
        <w:right w:val="none" w:sz="0" w:space="0" w:color="auto"/>
      </w:divBdr>
    </w:div>
    <w:div w:id="1295017928">
      <w:bodyDiv w:val="1"/>
      <w:marLeft w:val="0"/>
      <w:marRight w:val="0"/>
      <w:marTop w:val="0"/>
      <w:marBottom w:val="0"/>
      <w:divBdr>
        <w:top w:val="none" w:sz="0" w:space="0" w:color="auto"/>
        <w:left w:val="none" w:sz="0" w:space="0" w:color="auto"/>
        <w:bottom w:val="none" w:sz="0" w:space="0" w:color="auto"/>
        <w:right w:val="none" w:sz="0" w:space="0" w:color="auto"/>
      </w:divBdr>
      <w:divsChild>
        <w:div w:id="1232813783">
          <w:marLeft w:val="547"/>
          <w:marRight w:val="0"/>
          <w:marTop w:val="400"/>
          <w:marBottom w:val="0"/>
          <w:divBdr>
            <w:top w:val="none" w:sz="0" w:space="0" w:color="auto"/>
            <w:left w:val="none" w:sz="0" w:space="0" w:color="auto"/>
            <w:bottom w:val="none" w:sz="0" w:space="0" w:color="auto"/>
            <w:right w:val="none" w:sz="0" w:space="0" w:color="auto"/>
          </w:divBdr>
        </w:div>
      </w:divsChild>
    </w:div>
    <w:div w:id="1330597441">
      <w:bodyDiv w:val="1"/>
      <w:marLeft w:val="0"/>
      <w:marRight w:val="0"/>
      <w:marTop w:val="0"/>
      <w:marBottom w:val="0"/>
      <w:divBdr>
        <w:top w:val="none" w:sz="0" w:space="0" w:color="auto"/>
        <w:left w:val="none" w:sz="0" w:space="0" w:color="auto"/>
        <w:bottom w:val="none" w:sz="0" w:space="0" w:color="auto"/>
        <w:right w:val="none" w:sz="0" w:space="0" w:color="auto"/>
      </w:divBdr>
    </w:div>
    <w:div w:id="1362433337">
      <w:bodyDiv w:val="1"/>
      <w:marLeft w:val="0"/>
      <w:marRight w:val="0"/>
      <w:marTop w:val="0"/>
      <w:marBottom w:val="0"/>
      <w:divBdr>
        <w:top w:val="none" w:sz="0" w:space="0" w:color="auto"/>
        <w:left w:val="none" w:sz="0" w:space="0" w:color="auto"/>
        <w:bottom w:val="none" w:sz="0" w:space="0" w:color="auto"/>
        <w:right w:val="none" w:sz="0" w:space="0" w:color="auto"/>
      </w:divBdr>
    </w:div>
    <w:div w:id="1402679665">
      <w:bodyDiv w:val="1"/>
      <w:marLeft w:val="0"/>
      <w:marRight w:val="0"/>
      <w:marTop w:val="0"/>
      <w:marBottom w:val="0"/>
      <w:divBdr>
        <w:top w:val="none" w:sz="0" w:space="0" w:color="auto"/>
        <w:left w:val="none" w:sz="0" w:space="0" w:color="auto"/>
        <w:bottom w:val="none" w:sz="0" w:space="0" w:color="auto"/>
        <w:right w:val="none" w:sz="0" w:space="0" w:color="auto"/>
      </w:divBdr>
      <w:divsChild>
        <w:div w:id="1246184615">
          <w:marLeft w:val="0"/>
          <w:marRight w:val="0"/>
          <w:marTop w:val="0"/>
          <w:marBottom w:val="0"/>
          <w:divBdr>
            <w:top w:val="none" w:sz="0" w:space="0" w:color="auto"/>
            <w:left w:val="none" w:sz="0" w:space="0" w:color="auto"/>
            <w:bottom w:val="none" w:sz="0" w:space="0" w:color="auto"/>
            <w:right w:val="none" w:sz="0" w:space="0" w:color="auto"/>
          </w:divBdr>
        </w:div>
        <w:div w:id="1641882698">
          <w:marLeft w:val="0"/>
          <w:marRight w:val="0"/>
          <w:marTop w:val="0"/>
          <w:marBottom w:val="0"/>
          <w:divBdr>
            <w:top w:val="none" w:sz="0" w:space="0" w:color="auto"/>
            <w:left w:val="none" w:sz="0" w:space="0" w:color="auto"/>
            <w:bottom w:val="none" w:sz="0" w:space="0" w:color="auto"/>
            <w:right w:val="none" w:sz="0" w:space="0" w:color="auto"/>
          </w:divBdr>
        </w:div>
        <w:div w:id="1760322856">
          <w:marLeft w:val="0"/>
          <w:marRight w:val="0"/>
          <w:marTop w:val="0"/>
          <w:marBottom w:val="0"/>
          <w:divBdr>
            <w:top w:val="none" w:sz="0" w:space="0" w:color="auto"/>
            <w:left w:val="none" w:sz="0" w:space="0" w:color="auto"/>
            <w:bottom w:val="none" w:sz="0" w:space="0" w:color="auto"/>
            <w:right w:val="none" w:sz="0" w:space="0" w:color="auto"/>
          </w:divBdr>
        </w:div>
      </w:divsChild>
    </w:div>
    <w:div w:id="1564024762">
      <w:bodyDiv w:val="1"/>
      <w:marLeft w:val="0"/>
      <w:marRight w:val="0"/>
      <w:marTop w:val="0"/>
      <w:marBottom w:val="0"/>
      <w:divBdr>
        <w:top w:val="none" w:sz="0" w:space="0" w:color="auto"/>
        <w:left w:val="none" w:sz="0" w:space="0" w:color="auto"/>
        <w:bottom w:val="none" w:sz="0" w:space="0" w:color="auto"/>
        <w:right w:val="none" w:sz="0" w:space="0" w:color="auto"/>
      </w:divBdr>
      <w:divsChild>
        <w:div w:id="347953670">
          <w:marLeft w:val="0"/>
          <w:marRight w:val="0"/>
          <w:marTop w:val="0"/>
          <w:marBottom w:val="0"/>
          <w:divBdr>
            <w:top w:val="none" w:sz="0" w:space="0" w:color="auto"/>
            <w:left w:val="none" w:sz="0" w:space="0" w:color="auto"/>
            <w:bottom w:val="none" w:sz="0" w:space="0" w:color="auto"/>
            <w:right w:val="none" w:sz="0" w:space="0" w:color="auto"/>
          </w:divBdr>
        </w:div>
        <w:div w:id="1231888271">
          <w:marLeft w:val="0"/>
          <w:marRight w:val="0"/>
          <w:marTop w:val="0"/>
          <w:marBottom w:val="0"/>
          <w:divBdr>
            <w:top w:val="none" w:sz="0" w:space="0" w:color="auto"/>
            <w:left w:val="none" w:sz="0" w:space="0" w:color="auto"/>
            <w:bottom w:val="none" w:sz="0" w:space="0" w:color="auto"/>
            <w:right w:val="none" w:sz="0" w:space="0" w:color="auto"/>
          </w:divBdr>
        </w:div>
        <w:div w:id="1273050335">
          <w:marLeft w:val="0"/>
          <w:marRight w:val="0"/>
          <w:marTop w:val="0"/>
          <w:marBottom w:val="0"/>
          <w:divBdr>
            <w:top w:val="none" w:sz="0" w:space="0" w:color="auto"/>
            <w:left w:val="none" w:sz="0" w:space="0" w:color="auto"/>
            <w:bottom w:val="none" w:sz="0" w:space="0" w:color="auto"/>
            <w:right w:val="none" w:sz="0" w:space="0" w:color="auto"/>
          </w:divBdr>
        </w:div>
        <w:div w:id="1298684735">
          <w:marLeft w:val="0"/>
          <w:marRight w:val="0"/>
          <w:marTop w:val="0"/>
          <w:marBottom w:val="0"/>
          <w:divBdr>
            <w:top w:val="none" w:sz="0" w:space="0" w:color="auto"/>
            <w:left w:val="none" w:sz="0" w:space="0" w:color="auto"/>
            <w:bottom w:val="none" w:sz="0" w:space="0" w:color="auto"/>
            <w:right w:val="none" w:sz="0" w:space="0" w:color="auto"/>
          </w:divBdr>
        </w:div>
      </w:divsChild>
    </w:div>
    <w:div w:id="1749617906">
      <w:bodyDiv w:val="1"/>
      <w:marLeft w:val="0"/>
      <w:marRight w:val="0"/>
      <w:marTop w:val="0"/>
      <w:marBottom w:val="0"/>
      <w:divBdr>
        <w:top w:val="none" w:sz="0" w:space="0" w:color="auto"/>
        <w:left w:val="none" w:sz="0" w:space="0" w:color="auto"/>
        <w:bottom w:val="none" w:sz="0" w:space="0" w:color="auto"/>
        <w:right w:val="none" w:sz="0" w:space="0" w:color="auto"/>
      </w:divBdr>
    </w:div>
    <w:div w:id="1766807822">
      <w:bodyDiv w:val="1"/>
      <w:marLeft w:val="0"/>
      <w:marRight w:val="0"/>
      <w:marTop w:val="0"/>
      <w:marBottom w:val="0"/>
      <w:divBdr>
        <w:top w:val="none" w:sz="0" w:space="0" w:color="auto"/>
        <w:left w:val="none" w:sz="0" w:space="0" w:color="auto"/>
        <w:bottom w:val="none" w:sz="0" w:space="0" w:color="auto"/>
        <w:right w:val="none" w:sz="0" w:space="0" w:color="auto"/>
      </w:divBdr>
    </w:div>
    <w:div w:id="1794444434">
      <w:bodyDiv w:val="1"/>
      <w:marLeft w:val="0"/>
      <w:marRight w:val="0"/>
      <w:marTop w:val="0"/>
      <w:marBottom w:val="0"/>
      <w:divBdr>
        <w:top w:val="none" w:sz="0" w:space="0" w:color="auto"/>
        <w:left w:val="none" w:sz="0" w:space="0" w:color="auto"/>
        <w:bottom w:val="none" w:sz="0" w:space="0" w:color="auto"/>
        <w:right w:val="none" w:sz="0" w:space="0" w:color="auto"/>
      </w:divBdr>
    </w:div>
    <w:div w:id="2072577778">
      <w:bodyDiv w:val="1"/>
      <w:marLeft w:val="0"/>
      <w:marRight w:val="0"/>
      <w:marTop w:val="0"/>
      <w:marBottom w:val="0"/>
      <w:divBdr>
        <w:top w:val="none" w:sz="0" w:space="0" w:color="auto"/>
        <w:left w:val="none" w:sz="0" w:space="0" w:color="auto"/>
        <w:bottom w:val="none" w:sz="0" w:space="0" w:color="auto"/>
        <w:right w:val="none" w:sz="0" w:space="0" w:color="auto"/>
      </w:divBdr>
    </w:div>
    <w:div w:id="2082747569">
      <w:bodyDiv w:val="1"/>
      <w:marLeft w:val="0"/>
      <w:marRight w:val="0"/>
      <w:marTop w:val="0"/>
      <w:marBottom w:val="0"/>
      <w:divBdr>
        <w:top w:val="none" w:sz="0" w:space="0" w:color="auto"/>
        <w:left w:val="none" w:sz="0" w:space="0" w:color="auto"/>
        <w:bottom w:val="none" w:sz="0" w:space="0" w:color="auto"/>
        <w:right w:val="none" w:sz="0" w:space="0" w:color="auto"/>
      </w:divBdr>
    </w:div>
    <w:div w:id="208483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G"/><Relationship Id="rId21" Type="http://schemas.openxmlformats.org/officeDocument/2006/relationships/image" Target="media/image2.png"/><Relationship Id="rId34" Type="http://schemas.openxmlformats.org/officeDocument/2006/relationships/hyperlink" Target="https://www.uhcprovider.com/content/dam/provider/docs/public/policies/medicaid-comm-plan/percutaneous-patent-foramen-ovale-closure-cs.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G"/><Relationship Id="rId33" Type="http://schemas.openxmlformats.org/officeDocument/2006/relationships/hyperlink" Target="https://www.tctmd.com/news/pfo-closure-may-prevent-decompression-sickness-divers-large-shunt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nasa.gov/ochmo/human-spaceflight-and-aviation-standards/"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openxmlformats.org/officeDocument/2006/relationships/hyperlink" Target="https://humanresearchroadmap.nasa.gov/gaps/closureDocumentation/Law-J_TP-2010-216123.pdf?rnd=0.935669551107879"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nasa.gov/wp-content/uploads/2023/12/ochmo-tb-037-decompression-sickness.pdf?emrc=6ad713?emrc=6ad713" TargetMode="External"/><Relationship Id="rId31" Type="http://schemas.openxmlformats.org/officeDocument/2006/relationships/hyperlink" Target="https://www.nasa.gov/organizations/ochmo/decompression-sickness-dcs-prebreathe-reference-libr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00e117-17a0-4b24-9e47-511ef1d02c43" xsi:nil="true"/>
    <lcf76f155ced4ddcb4097134ff3c332f xmlns="e1a97bce-a69c-4926-a806-7786f4a03424">
      <Terms xmlns="http://schemas.microsoft.com/office/infopath/2007/PartnerControls"/>
    </lcf76f155ced4ddcb4097134ff3c332f>
    <Data_x0020_Categorization xmlns="d900e117-17a0-4b24-9e47-511ef1d02c4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D9FD22AAFEFE4693BE8AD18CC1D577" ma:contentTypeVersion="17" ma:contentTypeDescription="Create a new document." ma:contentTypeScope="" ma:versionID="322c78270059475c66c20c4eb0cd22d8">
  <xsd:schema xmlns:xsd="http://www.w3.org/2001/XMLSchema" xmlns:xs="http://www.w3.org/2001/XMLSchema" xmlns:p="http://schemas.microsoft.com/office/2006/metadata/properties" xmlns:ns2="d900e117-17a0-4b24-9e47-511ef1d02c43" xmlns:ns3="e1a97bce-a69c-4926-a806-7786f4a03424" xmlns:ns4="79a67442-70fe-4deb-b6bd-988e3ccd540a" targetNamespace="http://schemas.microsoft.com/office/2006/metadata/properties" ma:root="true" ma:fieldsID="208780c19de1b267cb60ecccd7a23438" ns2:_="" ns3:_="" ns4:_="">
    <xsd:import namespace="d900e117-17a0-4b24-9e47-511ef1d02c43"/>
    <xsd:import namespace="e1a97bce-a69c-4926-a806-7786f4a03424"/>
    <xsd:import namespace="79a67442-70fe-4deb-b6bd-988e3ccd540a"/>
    <xsd:element name="properties">
      <xsd:complexType>
        <xsd:sequence>
          <xsd:element name="documentManagement">
            <xsd:complexType>
              <xsd:all>
                <xsd:element ref="ns2:Data_x0020_Categorization"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4:SharedWithUsers" minOccurs="0"/>
                <xsd:element ref="ns4:SharedWithDetails"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Data_x0020_Categorization" ma:index="8" nillable="true" ma:displayName="Data Categorization" ma:default="" ma:description="This column is for noting what type of file is being stored so items are clearly marked. Please note that for something to be considered  for &quot;Public Release&quot; it must go through for Center Export Control Representative. And if you have questions about data classifications or want to have your data reviewed, visit: https://nasa.sharepoint.com/sites/privacy" ma:format="Dropdown" ma:internalName="Data_x0020_Categorization">
      <xsd:simpleType>
        <xsd:union memberTypes="dms:Text">
          <xsd:simpleType>
            <xsd:restriction base="dms:Choice">
              <xsd:enumeration value="NASA Internal"/>
              <xsd:enumeration value="ITAR/EAR...CUI: Export Control"/>
              <xsd:enumeration value="CUI: General Proprietary Business Information"/>
              <xsd:enumeration value="CUI: Emergency Management"/>
              <xsd:enumeration value="CUI: General Financial Information"/>
              <xsd:enumeration value="CUI: General Critical Infrastructure Information"/>
              <xsd:enumeration value="CUI: Internal Personnel Rules/Practice"/>
              <xsd:enumeration value="CUI: Investigation"/>
              <xsd:enumeration value="CUI: Information Systems Vulnerability Information"/>
              <xsd:enumeration value="CUI: Patent Application"/>
              <xsd:enumeration value="Sensitive PII...CUI: General Privacy"/>
              <xsd:enumeration value="SBU: Company Proprietary Information"/>
              <xsd:enumeration value="SBU: Financial Institution Information"/>
            </xsd:restriction>
          </xsd:simpleType>
        </xsd:union>
      </xsd:simpleType>
    </xsd:element>
    <xsd:element name="TaxCatchAll" ma:index="15" nillable="true" ma:displayName="Taxonomy Catch All Column" ma:hidden="true" ma:list="{1050a233-ffb0-44f9-befe-8a9b38af780f}" ma:internalName="TaxCatchAll" ma:showField="CatchAllData" ma:web="79a67442-70fe-4deb-b6bd-988e3ccd540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a97bce-a69c-4926-a806-7786f4a0342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a67442-70fe-4deb-b6bd-988e3ccd54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9C2508-E970-41A8-9A48-FBD4B5632D8D}">
  <ds:schemaRefs>
    <ds:schemaRef ds:uri="http://schemas.microsoft.com/office/2006/metadata/properties"/>
    <ds:schemaRef ds:uri="http://schemas.microsoft.com/office/infopath/2007/PartnerControls"/>
    <ds:schemaRef ds:uri="d900e117-17a0-4b24-9e47-511ef1d02c43"/>
    <ds:schemaRef ds:uri="e1a97bce-a69c-4926-a806-7786f4a03424"/>
  </ds:schemaRefs>
</ds:datastoreItem>
</file>

<file path=customXml/itemProps2.xml><?xml version="1.0" encoding="utf-8"?>
<ds:datastoreItem xmlns:ds="http://schemas.openxmlformats.org/officeDocument/2006/customXml" ds:itemID="{BF958947-FF7E-452B-8D35-F3C27C4E7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0e117-17a0-4b24-9e47-511ef1d02c43"/>
    <ds:schemaRef ds:uri="e1a97bce-a69c-4926-a806-7786f4a03424"/>
    <ds:schemaRef ds:uri="79a67442-70fe-4deb-b6bd-988e3ccd5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E393DE-2C71-47A6-9DD8-EAFF47BF7E64}">
  <ds:schemaRefs>
    <ds:schemaRef ds:uri="http://schemas.openxmlformats.org/officeDocument/2006/bibliography"/>
  </ds:schemaRefs>
</ds:datastoreItem>
</file>

<file path=customXml/itemProps4.xml><?xml version="1.0" encoding="utf-8"?>
<ds:datastoreItem xmlns:ds="http://schemas.openxmlformats.org/officeDocument/2006/customXml" ds:itemID="{95147176-6E3C-4F1B-BF4C-250719FA3D95}">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3</TotalTime>
  <Pages>31</Pages>
  <Words>7278</Words>
  <Characters>41486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48667</CharactersWithSpaces>
  <SharedDoc>false</SharedDoc>
  <HLinks>
    <vt:vector size="192" baseType="variant">
      <vt:variant>
        <vt:i4>393296</vt:i4>
      </vt:variant>
      <vt:variant>
        <vt:i4>126</vt:i4>
      </vt:variant>
      <vt:variant>
        <vt:i4>0</vt:i4>
      </vt:variant>
      <vt:variant>
        <vt:i4>5</vt:i4>
      </vt:variant>
      <vt:variant>
        <vt:lpwstr>https://www.uhcprovider.com/content/dam/provider/docs/public/policies/medicaid-comm-plan/percutaneous-patent-foramen-ovale-closure-cs.pdf</vt:lpwstr>
      </vt:variant>
      <vt:variant>
        <vt:lpwstr/>
      </vt:variant>
      <vt:variant>
        <vt:i4>1507398</vt:i4>
      </vt:variant>
      <vt:variant>
        <vt:i4>123</vt:i4>
      </vt:variant>
      <vt:variant>
        <vt:i4>0</vt:i4>
      </vt:variant>
      <vt:variant>
        <vt:i4>5</vt:i4>
      </vt:variant>
      <vt:variant>
        <vt:lpwstr>https://www.tctmd.com/news/pfo-closure-may-prevent-decompression-sickness-divers-large-shunts</vt:lpwstr>
      </vt:variant>
      <vt:variant>
        <vt:lpwstr/>
      </vt:variant>
      <vt:variant>
        <vt:i4>721021</vt:i4>
      </vt:variant>
      <vt:variant>
        <vt:i4>120</vt:i4>
      </vt:variant>
      <vt:variant>
        <vt:i4>0</vt:i4>
      </vt:variant>
      <vt:variant>
        <vt:i4>5</vt:i4>
      </vt:variant>
      <vt:variant>
        <vt:lpwstr>https://humanresearchroadmap.nasa.gov/gaps/closureDocumentation/Law-J_TP-2010-216123.pdf?rnd=0.935669551107879</vt:lpwstr>
      </vt:variant>
      <vt:variant>
        <vt:lpwstr/>
      </vt:variant>
      <vt:variant>
        <vt:i4>5767181</vt:i4>
      </vt:variant>
      <vt:variant>
        <vt:i4>117</vt:i4>
      </vt:variant>
      <vt:variant>
        <vt:i4>0</vt:i4>
      </vt:variant>
      <vt:variant>
        <vt:i4>5</vt:i4>
      </vt:variant>
      <vt:variant>
        <vt:lpwstr>https://www.nasa.gov/organizations/ochmo/decompression-sickness-dcs-prebreathe-reference-library/</vt:lpwstr>
      </vt:variant>
      <vt:variant>
        <vt:lpwstr/>
      </vt:variant>
      <vt:variant>
        <vt:i4>5832790</vt:i4>
      </vt:variant>
      <vt:variant>
        <vt:i4>114</vt:i4>
      </vt:variant>
      <vt:variant>
        <vt:i4>0</vt:i4>
      </vt:variant>
      <vt:variant>
        <vt:i4>5</vt:i4>
      </vt:variant>
      <vt:variant>
        <vt:lpwstr>https://www.nasa.gov/ochmo/human-spaceflight-and-aviation-standards/</vt:lpwstr>
      </vt:variant>
      <vt:variant>
        <vt:lpwstr/>
      </vt:variant>
      <vt:variant>
        <vt:i4>8192121</vt:i4>
      </vt:variant>
      <vt:variant>
        <vt:i4>111</vt:i4>
      </vt:variant>
      <vt:variant>
        <vt:i4>0</vt:i4>
      </vt:variant>
      <vt:variant>
        <vt:i4>5</vt:i4>
      </vt:variant>
      <vt:variant>
        <vt:lpwstr>https://www.nasa.gov/wp-content/uploads/2023/12/ochmo-tb-037-decompression-sickness.pdf?emrc=6ad713?emrc=6ad713</vt:lpwstr>
      </vt:variant>
      <vt:variant>
        <vt:lpwstr/>
      </vt:variant>
      <vt:variant>
        <vt:i4>1703994</vt:i4>
      </vt:variant>
      <vt:variant>
        <vt:i4>104</vt:i4>
      </vt:variant>
      <vt:variant>
        <vt:i4>0</vt:i4>
      </vt:variant>
      <vt:variant>
        <vt:i4>5</vt:i4>
      </vt:variant>
      <vt:variant>
        <vt:lpwstr/>
      </vt:variant>
      <vt:variant>
        <vt:lpwstr>_Toc170739841</vt:lpwstr>
      </vt:variant>
      <vt:variant>
        <vt:i4>1703994</vt:i4>
      </vt:variant>
      <vt:variant>
        <vt:i4>98</vt:i4>
      </vt:variant>
      <vt:variant>
        <vt:i4>0</vt:i4>
      </vt:variant>
      <vt:variant>
        <vt:i4>5</vt:i4>
      </vt:variant>
      <vt:variant>
        <vt:lpwstr/>
      </vt:variant>
      <vt:variant>
        <vt:lpwstr>_Toc170739840</vt:lpwstr>
      </vt:variant>
      <vt:variant>
        <vt:i4>1900602</vt:i4>
      </vt:variant>
      <vt:variant>
        <vt:i4>92</vt:i4>
      </vt:variant>
      <vt:variant>
        <vt:i4>0</vt:i4>
      </vt:variant>
      <vt:variant>
        <vt:i4>5</vt:i4>
      </vt:variant>
      <vt:variant>
        <vt:lpwstr/>
      </vt:variant>
      <vt:variant>
        <vt:lpwstr>_Toc170739839</vt:lpwstr>
      </vt:variant>
      <vt:variant>
        <vt:i4>1900602</vt:i4>
      </vt:variant>
      <vt:variant>
        <vt:i4>86</vt:i4>
      </vt:variant>
      <vt:variant>
        <vt:i4>0</vt:i4>
      </vt:variant>
      <vt:variant>
        <vt:i4>5</vt:i4>
      </vt:variant>
      <vt:variant>
        <vt:lpwstr/>
      </vt:variant>
      <vt:variant>
        <vt:lpwstr>_Toc170739838</vt:lpwstr>
      </vt:variant>
      <vt:variant>
        <vt:i4>1900602</vt:i4>
      </vt:variant>
      <vt:variant>
        <vt:i4>80</vt:i4>
      </vt:variant>
      <vt:variant>
        <vt:i4>0</vt:i4>
      </vt:variant>
      <vt:variant>
        <vt:i4>5</vt:i4>
      </vt:variant>
      <vt:variant>
        <vt:lpwstr/>
      </vt:variant>
      <vt:variant>
        <vt:lpwstr>_Toc170739837</vt:lpwstr>
      </vt:variant>
      <vt:variant>
        <vt:i4>1900602</vt:i4>
      </vt:variant>
      <vt:variant>
        <vt:i4>74</vt:i4>
      </vt:variant>
      <vt:variant>
        <vt:i4>0</vt:i4>
      </vt:variant>
      <vt:variant>
        <vt:i4>5</vt:i4>
      </vt:variant>
      <vt:variant>
        <vt:lpwstr/>
      </vt:variant>
      <vt:variant>
        <vt:lpwstr>_Toc170739836</vt:lpwstr>
      </vt:variant>
      <vt:variant>
        <vt:i4>1900602</vt:i4>
      </vt:variant>
      <vt:variant>
        <vt:i4>68</vt:i4>
      </vt:variant>
      <vt:variant>
        <vt:i4>0</vt:i4>
      </vt:variant>
      <vt:variant>
        <vt:i4>5</vt:i4>
      </vt:variant>
      <vt:variant>
        <vt:lpwstr/>
      </vt:variant>
      <vt:variant>
        <vt:lpwstr>_Toc170739835</vt:lpwstr>
      </vt:variant>
      <vt:variant>
        <vt:i4>1900602</vt:i4>
      </vt:variant>
      <vt:variant>
        <vt:i4>62</vt:i4>
      </vt:variant>
      <vt:variant>
        <vt:i4>0</vt:i4>
      </vt:variant>
      <vt:variant>
        <vt:i4>5</vt:i4>
      </vt:variant>
      <vt:variant>
        <vt:lpwstr/>
      </vt:variant>
      <vt:variant>
        <vt:lpwstr>_Toc170739834</vt:lpwstr>
      </vt:variant>
      <vt:variant>
        <vt:i4>1900602</vt:i4>
      </vt:variant>
      <vt:variant>
        <vt:i4>56</vt:i4>
      </vt:variant>
      <vt:variant>
        <vt:i4>0</vt:i4>
      </vt:variant>
      <vt:variant>
        <vt:i4>5</vt:i4>
      </vt:variant>
      <vt:variant>
        <vt:lpwstr/>
      </vt:variant>
      <vt:variant>
        <vt:lpwstr>_Toc170739833</vt:lpwstr>
      </vt:variant>
      <vt:variant>
        <vt:i4>1900602</vt:i4>
      </vt:variant>
      <vt:variant>
        <vt:i4>50</vt:i4>
      </vt:variant>
      <vt:variant>
        <vt:i4>0</vt:i4>
      </vt:variant>
      <vt:variant>
        <vt:i4>5</vt:i4>
      </vt:variant>
      <vt:variant>
        <vt:lpwstr/>
      </vt:variant>
      <vt:variant>
        <vt:lpwstr>_Toc170739832</vt:lpwstr>
      </vt:variant>
      <vt:variant>
        <vt:i4>1900602</vt:i4>
      </vt:variant>
      <vt:variant>
        <vt:i4>44</vt:i4>
      </vt:variant>
      <vt:variant>
        <vt:i4>0</vt:i4>
      </vt:variant>
      <vt:variant>
        <vt:i4>5</vt:i4>
      </vt:variant>
      <vt:variant>
        <vt:lpwstr/>
      </vt:variant>
      <vt:variant>
        <vt:lpwstr>_Toc170739831</vt:lpwstr>
      </vt:variant>
      <vt:variant>
        <vt:i4>1900602</vt:i4>
      </vt:variant>
      <vt:variant>
        <vt:i4>38</vt:i4>
      </vt:variant>
      <vt:variant>
        <vt:i4>0</vt:i4>
      </vt:variant>
      <vt:variant>
        <vt:i4>5</vt:i4>
      </vt:variant>
      <vt:variant>
        <vt:lpwstr/>
      </vt:variant>
      <vt:variant>
        <vt:lpwstr>_Toc170739830</vt:lpwstr>
      </vt:variant>
      <vt:variant>
        <vt:i4>1835066</vt:i4>
      </vt:variant>
      <vt:variant>
        <vt:i4>32</vt:i4>
      </vt:variant>
      <vt:variant>
        <vt:i4>0</vt:i4>
      </vt:variant>
      <vt:variant>
        <vt:i4>5</vt:i4>
      </vt:variant>
      <vt:variant>
        <vt:lpwstr/>
      </vt:variant>
      <vt:variant>
        <vt:lpwstr>_Toc170739829</vt:lpwstr>
      </vt:variant>
      <vt:variant>
        <vt:i4>1835066</vt:i4>
      </vt:variant>
      <vt:variant>
        <vt:i4>26</vt:i4>
      </vt:variant>
      <vt:variant>
        <vt:i4>0</vt:i4>
      </vt:variant>
      <vt:variant>
        <vt:i4>5</vt:i4>
      </vt:variant>
      <vt:variant>
        <vt:lpwstr/>
      </vt:variant>
      <vt:variant>
        <vt:lpwstr>_Toc170739828</vt:lpwstr>
      </vt:variant>
      <vt:variant>
        <vt:i4>1835066</vt:i4>
      </vt:variant>
      <vt:variant>
        <vt:i4>20</vt:i4>
      </vt:variant>
      <vt:variant>
        <vt:i4>0</vt:i4>
      </vt:variant>
      <vt:variant>
        <vt:i4>5</vt:i4>
      </vt:variant>
      <vt:variant>
        <vt:lpwstr/>
      </vt:variant>
      <vt:variant>
        <vt:lpwstr>_Toc170739827</vt:lpwstr>
      </vt:variant>
      <vt:variant>
        <vt:i4>1835066</vt:i4>
      </vt:variant>
      <vt:variant>
        <vt:i4>14</vt:i4>
      </vt:variant>
      <vt:variant>
        <vt:i4>0</vt:i4>
      </vt:variant>
      <vt:variant>
        <vt:i4>5</vt:i4>
      </vt:variant>
      <vt:variant>
        <vt:lpwstr/>
      </vt:variant>
      <vt:variant>
        <vt:lpwstr>_Toc170739826</vt:lpwstr>
      </vt:variant>
      <vt:variant>
        <vt:i4>1835066</vt:i4>
      </vt:variant>
      <vt:variant>
        <vt:i4>8</vt:i4>
      </vt:variant>
      <vt:variant>
        <vt:i4>0</vt:i4>
      </vt:variant>
      <vt:variant>
        <vt:i4>5</vt:i4>
      </vt:variant>
      <vt:variant>
        <vt:lpwstr/>
      </vt:variant>
      <vt:variant>
        <vt:lpwstr>_Toc170739825</vt:lpwstr>
      </vt:variant>
      <vt:variant>
        <vt:i4>1835066</vt:i4>
      </vt:variant>
      <vt:variant>
        <vt:i4>2</vt:i4>
      </vt:variant>
      <vt:variant>
        <vt:i4>0</vt:i4>
      </vt:variant>
      <vt:variant>
        <vt:i4>5</vt:i4>
      </vt:variant>
      <vt:variant>
        <vt:lpwstr/>
      </vt:variant>
      <vt:variant>
        <vt:lpwstr>_Toc170739824</vt:lpwstr>
      </vt:variant>
      <vt:variant>
        <vt:i4>2752563</vt:i4>
      </vt:variant>
      <vt:variant>
        <vt:i4>21</vt:i4>
      </vt:variant>
      <vt:variant>
        <vt:i4>0</vt:i4>
      </vt:variant>
      <vt:variant>
        <vt:i4>5</vt:i4>
      </vt:variant>
      <vt:variant>
        <vt:lpwstr>https://www.ncbi.nlm.nih.gov/pmc/articles/PMC6704009/</vt:lpwstr>
      </vt:variant>
      <vt:variant>
        <vt:lpwstr>R12</vt:lpwstr>
      </vt:variant>
      <vt:variant>
        <vt:i4>2752563</vt:i4>
      </vt:variant>
      <vt:variant>
        <vt:i4>18</vt:i4>
      </vt:variant>
      <vt:variant>
        <vt:i4>0</vt:i4>
      </vt:variant>
      <vt:variant>
        <vt:i4>5</vt:i4>
      </vt:variant>
      <vt:variant>
        <vt:lpwstr>https://www.ncbi.nlm.nih.gov/pmc/articles/PMC6704009/</vt:lpwstr>
      </vt:variant>
      <vt:variant>
        <vt:lpwstr>R11</vt:lpwstr>
      </vt:variant>
      <vt:variant>
        <vt:i4>2752563</vt:i4>
      </vt:variant>
      <vt:variant>
        <vt:i4>15</vt:i4>
      </vt:variant>
      <vt:variant>
        <vt:i4>0</vt:i4>
      </vt:variant>
      <vt:variant>
        <vt:i4>5</vt:i4>
      </vt:variant>
      <vt:variant>
        <vt:lpwstr>https://www.ncbi.nlm.nih.gov/pmc/articles/PMC6704009/</vt:lpwstr>
      </vt:variant>
      <vt:variant>
        <vt:lpwstr>R10</vt:lpwstr>
      </vt:variant>
      <vt:variant>
        <vt:i4>2818099</vt:i4>
      </vt:variant>
      <vt:variant>
        <vt:i4>12</vt:i4>
      </vt:variant>
      <vt:variant>
        <vt:i4>0</vt:i4>
      </vt:variant>
      <vt:variant>
        <vt:i4>5</vt:i4>
      </vt:variant>
      <vt:variant>
        <vt:lpwstr>https://www.ncbi.nlm.nih.gov/pmc/articles/PMC6704009/</vt:lpwstr>
      </vt:variant>
      <vt:variant>
        <vt:lpwstr>R09</vt:lpwstr>
      </vt:variant>
      <vt:variant>
        <vt:i4>2818099</vt:i4>
      </vt:variant>
      <vt:variant>
        <vt:i4>9</vt:i4>
      </vt:variant>
      <vt:variant>
        <vt:i4>0</vt:i4>
      </vt:variant>
      <vt:variant>
        <vt:i4>5</vt:i4>
      </vt:variant>
      <vt:variant>
        <vt:lpwstr>https://www.ncbi.nlm.nih.gov/pmc/articles/PMC6704009/</vt:lpwstr>
      </vt:variant>
      <vt:variant>
        <vt:lpwstr>R08</vt:lpwstr>
      </vt:variant>
      <vt:variant>
        <vt:i4>2818099</vt:i4>
      </vt:variant>
      <vt:variant>
        <vt:i4>6</vt:i4>
      </vt:variant>
      <vt:variant>
        <vt:i4>0</vt:i4>
      </vt:variant>
      <vt:variant>
        <vt:i4>5</vt:i4>
      </vt:variant>
      <vt:variant>
        <vt:lpwstr>https://www.ncbi.nlm.nih.gov/pmc/articles/PMC6704009/</vt:lpwstr>
      </vt:variant>
      <vt:variant>
        <vt:lpwstr>R07</vt:lpwstr>
      </vt:variant>
      <vt:variant>
        <vt:i4>2424955</vt:i4>
      </vt:variant>
      <vt:variant>
        <vt:i4>3</vt:i4>
      </vt:variant>
      <vt:variant>
        <vt:i4>0</vt:i4>
      </vt:variant>
      <vt:variant>
        <vt:i4>5</vt:i4>
      </vt:variant>
      <vt:variant>
        <vt:lpwstr>https://nasa.sharepoint.com/:b:/r/sites/OCHMO-STD-3001/Shared Documents/External Reviews and TIMs/PFO %26 Type II DCS/Reference Documents/Mojadidi (2019).pdf?csf=1&amp;web=1&amp;e=C94NU2</vt:lpwstr>
      </vt:variant>
      <vt:variant>
        <vt:lpwstr/>
      </vt:variant>
      <vt:variant>
        <vt:i4>6488093</vt:i4>
      </vt:variant>
      <vt:variant>
        <vt:i4>0</vt:i4>
      </vt:variant>
      <vt:variant>
        <vt:i4>0</vt:i4>
      </vt:variant>
      <vt:variant>
        <vt:i4>5</vt:i4>
      </vt:variant>
      <vt:variant>
        <vt:lpwstr>https://mctools-my.sharepoint.com/personal/stepanek_jan_mayo_edu/Documents/2024 Supplemental Request_Ong_03042024 Stepanek edits.docx?xsdata=MDV8MDJ8c2FyYWguZC5jaGlsZHJlc3NAbmFzYS5nb3Z8NjI3NTY5ZWI1ZGNiNDdiNzc0OWUwOGRjYjFjODBkM2J8NzAwNWQ0NTg0NWJlNDhhZTgxNDBkNDNkYTk2ZGQxN2J8MHwwfDYzODU4MDcyMTUxMzE1NzU4N3xVbmtub3dufFRXRnBiR1pzYjNkOGV5SldJam9pTUM0d0xqQXdNREFpTENKUUlqb2lWMmx1TXpJaUxDSkJUaUk2SWsxaGFXd2lMQ0pYVkNJNk1uMD18MHx8fA%3d%3d&amp;sdata=dHhmOENJU2hxbkdOUXRpZ1dXUWd4am9YRXpPVmRRa2tsZDRjU0ZkcXpXWT0%3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Childress, Sarah D. (JSC-QA000)[KBR Wyle Services, LLC]</dc:creator>
  <cp:keywords/>
  <dc:description/>
  <cp:lastModifiedBy>Francisco, David R. (JSC-QA000)</cp:lastModifiedBy>
  <cp:revision>2</cp:revision>
  <dcterms:created xsi:type="dcterms:W3CDTF">2024-09-05T20:52:00Z</dcterms:created>
  <dcterms:modified xsi:type="dcterms:W3CDTF">2024-09-05T20:52:00Z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0x0101005DD9FD22AAFEFE4693BE8AD18CC1D577</vt:lpwstr>
  </property>
  <property fmtid="{D5CDD505-2E9C-101B-9397-08002B2CF9AE}" pid="3" name="MediaServiceImageTags">
    <vt:lpwstr/>
  </property>
</Properties>
</file>