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4A317" w14:textId="712986BD" w:rsidR="006C5253" w:rsidRPr="00E15F7B" w:rsidRDefault="00950253" w:rsidP="00822749">
      <w:pPr>
        <w:pStyle w:val="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spacing w:line="280" w:lineRule="exact"/>
        <w:jc w:val="center"/>
        <w:outlineLvl w:val="0"/>
        <w:rPr>
          <w:rFonts w:ascii="Times New Roman" w:hAnsi="Times New Roman"/>
          <w:b/>
        </w:rPr>
      </w:pPr>
      <w:r w:rsidRPr="00950253">
        <w:rPr>
          <w:rFonts w:ascii="Times New Roman" w:hAnsi="Times New Roman"/>
          <w:b/>
        </w:rPr>
        <w:t>Trace Oxygen Measurements of Asteroid Sample Storage Desiccators</w:t>
      </w:r>
    </w:p>
    <w:p w14:paraId="31C15471" w14:textId="77777777" w:rsidR="006C5253" w:rsidRPr="00E15F7B" w:rsidRDefault="006C5253">
      <w:pPr>
        <w:pStyle w:val="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spacing w:line="280" w:lineRule="exact"/>
        <w:jc w:val="center"/>
        <w:rPr>
          <w:rFonts w:ascii="Times New Roman" w:hAnsi="Times New Roman"/>
          <w:b/>
        </w:rPr>
      </w:pPr>
    </w:p>
    <w:p w14:paraId="492B2676" w14:textId="0F22226A" w:rsidR="00950253" w:rsidRDefault="00950253" w:rsidP="00822749">
      <w:pPr>
        <w:pStyle w:val="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spacing w:line="280" w:lineRule="exact"/>
        <w:jc w:val="center"/>
        <w:outlineLvl w:val="0"/>
        <w:rPr>
          <w:rFonts w:ascii="Times New Roman" w:hAnsi="Times New Roman"/>
          <w:sz w:val="20"/>
          <w:vertAlign w:val="superscript"/>
        </w:rPr>
      </w:pPr>
      <w:r w:rsidRPr="00950253">
        <w:rPr>
          <w:rFonts w:ascii="Times New Roman" w:hAnsi="Times New Roman"/>
          <w:sz w:val="20"/>
        </w:rPr>
        <w:t>M. Montoya</w:t>
      </w:r>
      <w:r w:rsidRPr="000F09F1">
        <w:rPr>
          <w:rFonts w:ascii="Times New Roman" w:hAnsi="Times New Roman"/>
          <w:sz w:val="20"/>
          <w:vertAlign w:val="superscript"/>
        </w:rPr>
        <w:t>1</w:t>
      </w:r>
      <w:r w:rsidRPr="00950253">
        <w:rPr>
          <w:rFonts w:ascii="Times New Roman" w:hAnsi="Times New Roman"/>
          <w:sz w:val="20"/>
        </w:rPr>
        <w:t>, C. J. Snead</w:t>
      </w:r>
      <w:r w:rsidRPr="000F09F1">
        <w:rPr>
          <w:rFonts w:ascii="Times New Roman" w:hAnsi="Times New Roman"/>
          <w:sz w:val="20"/>
          <w:vertAlign w:val="superscript"/>
        </w:rPr>
        <w:t>2</w:t>
      </w:r>
      <w:r w:rsidRPr="00950253">
        <w:rPr>
          <w:rFonts w:ascii="Times New Roman" w:hAnsi="Times New Roman"/>
          <w:sz w:val="20"/>
        </w:rPr>
        <w:t>, F.M. McCubbin</w:t>
      </w:r>
      <w:r w:rsidRPr="000F09F1">
        <w:rPr>
          <w:rFonts w:ascii="Times New Roman" w:hAnsi="Times New Roman"/>
          <w:sz w:val="20"/>
          <w:vertAlign w:val="superscript"/>
        </w:rPr>
        <w:t>2</w:t>
      </w:r>
      <w:r w:rsidRPr="00950253">
        <w:rPr>
          <w:rFonts w:ascii="Times New Roman" w:hAnsi="Times New Roman"/>
          <w:sz w:val="20"/>
        </w:rPr>
        <w:t>, R. Resendez</w:t>
      </w:r>
      <w:r w:rsidRPr="000F09F1">
        <w:rPr>
          <w:rFonts w:ascii="Times New Roman" w:hAnsi="Times New Roman"/>
          <w:sz w:val="20"/>
          <w:vertAlign w:val="superscript"/>
        </w:rPr>
        <w:t>1</w:t>
      </w:r>
      <w:r w:rsidRPr="00950253">
        <w:rPr>
          <w:rFonts w:ascii="Times New Roman" w:hAnsi="Times New Roman"/>
          <w:sz w:val="20"/>
        </w:rPr>
        <w:t>, F. Cantu</w:t>
      </w:r>
      <w:r w:rsidRPr="000F09F1">
        <w:rPr>
          <w:rFonts w:ascii="Times New Roman" w:hAnsi="Times New Roman"/>
          <w:sz w:val="20"/>
          <w:vertAlign w:val="superscript"/>
        </w:rPr>
        <w:t>1</w:t>
      </w:r>
      <w:r w:rsidRPr="00950253">
        <w:rPr>
          <w:rFonts w:ascii="Times New Roman" w:hAnsi="Times New Roman"/>
          <w:sz w:val="20"/>
        </w:rPr>
        <w:t>, J. Ponce</w:t>
      </w:r>
      <w:r w:rsidR="006C5253" w:rsidRPr="00E15F7B">
        <w:rPr>
          <w:rFonts w:ascii="Times New Roman" w:hAnsi="Times New Roman"/>
          <w:sz w:val="20"/>
          <w:vertAlign w:val="superscript"/>
        </w:rPr>
        <w:t>1</w:t>
      </w:r>
    </w:p>
    <w:p w14:paraId="7BA2410B" w14:textId="77777777" w:rsidR="00950253" w:rsidRPr="007C0A01" w:rsidRDefault="00950253" w:rsidP="00950253">
      <w:pPr>
        <w:pStyle w:val="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spacing w:line="280" w:lineRule="exact"/>
        <w:jc w:val="center"/>
        <w:rPr>
          <w:rFonts w:ascii="Times New Roman" w:hAnsi="Times New Roman"/>
          <w:i/>
          <w:iCs/>
          <w:color w:val="auto"/>
          <w:sz w:val="20"/>
        </w:rPr>
      </w:pPr>
      <w:r w:rsidRPr="007C0A01">
        <w:rPr>
          <w:rFonts w:ascii="Times New Roman" w:hAnsi="Times New Roman"/>
          <w:i/>
          <w:iCs/>
          <w:color w:val="auto"/>
          <w:sz w:val="20"/>
          <w:vertAlign w:val="superscript"/>
        </w:rPr>
        <w:t>1</w:t>
      </w:r>
      <w:r w:rsidRPr="007C0A01">
        <w:rPr>
          <w:rFonts w:ascii="Times New Roman" w:hAnsi="Times New Roman"/>
          <w:i/>
          <w:iCs/>
          <w:color w:val="auto"/>
          <w:sz w:val="20"/>
        </w:rPr>
        <w:t>JETS II, NASA Johnson Space Center, Houston, TX 77058, USA.</w:t>
      </w:r>
    </w:p>
    <w:p w14:paraId="1AA6375D" w14:textId="77777777" w:rsidR="00950253" w:rsidRPr="007C0A01" w:rsidRDefault="00950253" w:rsidP="00950253">
      <w:pPr>
        <w:pStyle w:val="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spacing w:line="280" w:lineRule="exact"/>
        <w:jc w:val="center"/>
        <w:rPr>
          <w:rFonts w:ascii="Times New Roman" w:hAnsi="Times New Roman"/>
          <w:i/>
          <w:iCs/>
          <w:color w:val="auto"/>
          <w:sz w:val="20"/>
        </w:rPr>
      </w:pPr>
      <w:r w:rsidRPr="007C0A01">
        <w:rPr>
          <w:rFonts w:ascii="Times New Roman" w:hAnsi="Times New Roman"/>
          <w:i/>
          <w:iCs/>
          <w:color w:val="auto"/>
          <w:sz w:val="20"/>
          <w:vertAlign w:val="superscript"/>
        </w:rPr>
        <w:t>2</w:t>
      </w:r>
      <w:r w:rsidRPr="007C0A01">
        <w:rPr>
          <w:rFonts w:ascii="Times New Roman" w:hAnsi="Times New Roman"/>
          <w:i/>
          <w:iCs/>
          <w:color w:val="auto"/>
          <w:sz w:val="20"/>
        </w:rPr>
        <w:t>NASA Johnson Space Center, Houston, TX 77058, USA.</w:t>
      </w:r>
    </w:p>
    <w:p w14:paraId="224C9244" w14:textId="77777777" w:rsidR="006C5253" w:rsidRPr="00E15F7B" w:rsidRDefault="006C5253" w:rsidP="006C5253">
      <w:pPr>
        <w:pStyle w:val="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spacing w:line="280" w:lineRule="exact"/>
        <w:rPr>
          <w:rFonts w:ascii="Times New Roman" w:hAnsi="Times New Roman"/>
          <w:sz w:val="20"/>
        </w:rPr>
      </w:pPr>
    </w:p>
    <w:p w14:paraId="52FBA2D8" w14:textId="07CB7A71" w:rsidR="00950253" w:rsidRPr="00950253" w:rsidRDefault="000F09F1" w:rsidP="00950253">
      <w:pPr>
        <w:pStyle w:val="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spacing w:line="280" w:lineRule="exact"/>
        <w:jc w:val="both"/>
        <w:rPr>
          <w:rFonts w:ascii="Times New Roman" w:hAnsi="Times New Roman"/>
          <w:sz w:val="20"/>
        </w:rPr>
      </w:pPr>
      <w:r>
        <w:rPr>
          <w:rFonts w:ascii="Times New Roman" w:hAnsi="Times New Roman"/>
          <w:sz w:val="20"/>
        </w:rPr>
        <w:tab/>
      </w:r>
      <w:r w:rsidR="00950253" w:rsidRPr="00950253">
        <w:rPr>
          <w:rFonts w:ascii="Times New Roman" w:hAnsi="Times New Roman"/>
          <w:sz w:val="20"/>
        </w:rPr>
        <w:t xml:space="preserve">The Astromaterials Curation facility at the NASA Johnson Space Center is currently curating more than 120 g of carbonaceous asteroid Bennu material as well as over 500 mg of asteroid </w:t>
      </w:r>
      <w:proofErr w:type="spellStart"/>
      <w:r w:rsidR="00950253" w:rsidRPr="00950253">
        <w:rPr>
          <w:rFonts w:ascii="Times New Roman" w:hAnsi="Times New Roman"/>
          <w:sz w:val="20"/>
        </w:rPr>
        <w:t>Ryugu</w:t>
      </w:r>
      <w:proofErr w:type="spellEnd"/>
      <w:r w:rsidR="00950253" w:rsidRPr="00950253">
        <w:rPr>
          <w:rFonts w:ascii="Times New Roman" w:hAnsi="Times New Roman"/>
          <w:sz w:val="20"/>
        </w:rPr>
        <w:t xml:space="preserve"> [1 and 2]. These astromaterials are stored in isolating desiccators and gloveboxes under a continuous purge of pure (&lt;1 ppm O</w:t>
      </w:r>
      <w:r w:rsidR="00950253" w:rsidRPr="00AC73EF">
        <w:rPr>
          <w:rFonts w:ascii="Times New Roman" w:hAnsi="Times New Roman"/>
          <w:sz w:val="20"/>
          <w:vertAlign w:val="subscript"/>
        </w:rPr>
        <w:t>2</w:t>
      </w:r>
      <w:r w:rsidR="00950253" w:rsidRPr="00950253">
        <w:rPr>
          <w:rFonts w:ascii="Times New Roman" w:hAnsi="Times New Roman"/>
          <w:sz w:val="20"/>
        </w:rPr>
        <w:t>) gaseous nitrogen. The oxygen and moisture concentrations in our OSIRIS-</w:t>
      </w:r>
      <w:proofErr w:type="spellStart"/>
      <w:r w:rsidR="00950253" w:rsidRPr="00950253">
        <w:rPr>
          <w:rFonts w:ascii="Times New Roman" w:hAnsi="Times New Roman"/>
          <w:sz w:val="20"/>
        </w:rPr>
        <w:t>REx</w:t>
      </w:r>
      <w:proofErr w:type="spellEnd"/>
      <w:r w:rsidR="00950253" w:rsidRPr="00950253">
        <w:rPr>
          <w:rFonts w:ascii="Times New Roman" w:hAnsi="Times New Roman"/>
          <w:sz w:val="20"/>
        </w:rPr>
        <w:t xml:space="preserve"> sample processing gloveboxes are continuously monitored via integrated sensors; however, our sample storage desiccators lack integrated oxygen and humidity sensors. In previous studies, we used </w:t>
      </w:r>
      <w:proofErr w:type="spellStart"/>
      <w:r w:rsidR="00950253" w:rsidRPr="00950253">
        <w:rPr>
          <w:rFonts w:ascii="Times New Roman" w:hAnsi="Times New Roman"/>
          <w:sz w:val="20"/>
        </w:rPr>
        <w:t>PreSens</w:t>
      </w:r>
      <w:proofErr w:type="spellEnd"/>
      <w:r w:rsidR="00950253" w:rsidRPr="00950253">
        <w:rPr>
          <w:rFonts w:ascii="Times New Roman" w:hAnsi="Times New Roman"/>
          <w:sz w:val="20"/>
        </w:rPr>
        <w:t xml:space="preserve"> </w:t>
      </w:r>
      <w:r>
        <w:rPr>
          <w:rFonts w:ascii="Times New Roman" w:hAnsi="Times New Roman"/>
          <w:sz w:val="20"/>
        </w:rPr>
        <w:t xml:space="preserve">Fibox 4 trace </w:t>
      </w:r>
      <w:r w:rsidRPr="00950253">
        <w:rPr>
          <w:rFonts w:ascii="Times New Roman" w:hAnsi="Times New Roman"/>
          <w:sz w:val="20"/>
        </w:rPr>
        <w:t xml:space="preserve"> </w:t>
      </w:r>
      <w:r w:rsidR="00950253" w:rsidRPr="00950253">
        <w:rPr>
          <w:rFonts w:ascii="Times New Roman" w:hAnsi="Times New Roman"/>
          <w:sz w:val="20"/>
        </w:rPr>
        <w:t>oxygen meters and optochemical PSt9 spot sensors to measure the oxygen concentrations in candidate asteroid sample containers that had been</w:t>
      </w:r>
      <w:r w:rsidR="00CB346E">
        <w:rPr>
          <w:rFonts w:ascii="Times New Roman" w:hAnsi="Times New Roman"/>
          <w:sz w:val="20"/>
        </w:rPr>
        <w:t xml:space="preserve"> sealed in nitrogen</w:t>
      </w:r>
      <w:r w:rsidR="00950253" w:rsidRPr="00950253">
        <w:rPr>
          <w:rFonts w:ascii="Times New Roman" w:hAnsi="Times New Roman"/>
          <w:sz w:val="20"/>
        </w:rPr>
        <w:t xml:space="preserve">; we determined that Eagle stainless steel containers inhibit the ingress of external oxygen for several weeks [3]. This optochemical sensor technology allowed us to take precise, contactless measurements within a trace range of 0 to 200 </w:t>
      </w:r>
      <w:proofErr w:type="spellStart"/>
      <w:r w:rsidR="00950253" w:rsidRPr="00950253">
        <w:rPr>
          <w:rFonts w:ascii="Times New Roman" w:hAnsi="Times New Roman"/>
          <w:sz w:val="20"/>
        </w:rPr>
        <w:t>ppmv</w:t>
      </w:r>
      <w:proofErr w:type="spellEnd"/>
      <w:r w:rsidR="00950253" w:rsidRPr="00950253">
        <w:rPr>
          <w:rFonts w:ascii="Times New Roman" w:hAnsi="Times New Roman"/>
          <w:sz w:val="20"/>
        </w:rPr>
        <w:t xml:space="preserve"> O</w:t>
      </w:r>
      <w:r w:rsidR="00950253" w:rsidRPr="00724D60">
        <w:rPr>
          <w:rFonts w:ascii="Times New Roman" w:hAnsi="Times New Roman"/>
          <w:sz w:val="20"/>
          <w:vertAlign w:val="subscript"/>
        </w:rPr>
        <w:t>2</w:t>
      </w:r>
      <w:r w:rsidR="00950253" w:rsidRPr="00950253">
        <w:rPr>
          <w:rFonts w:ascii="Times New Roman" w:hAnsi="Times New Roman"/>
          <w:sz w:val="20"/>
        </w:rPr>
        <w:t xml:space="preserve">. The effectiveness of the trace oxygen sensors in our container experiments inspired us to utilize them to assess the performance of our desiccators that previously lacked trace oxygen monitoring. </w:t>
      </w:r>
    </w:p>
    <w:p w14:paraId="1AA329FD" w14:textId="473BCF75" w:rsidR="00950253" w:rsidRPr="00950253" w:rsidRDefault="00950253" w:rsidP="00950253">
      <w:pPr>
        <w:pStyle w:val="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spacing w:line="280" w:lineRule="exact"/>
        <w:jc w:val="both"/>
        <w:rPr>
          <w:rFonts w:ascii="Times New Roman" w:hAnsi="Times New Roman"/>
          <w:sz w:val="20"/>
        </w:rPr>
      </w:pPr>
      <w:r w:rsidRPr="00950253">
        <w:rPr>
          <w:rFonts w:ascii="Times New Roman" w:hAnsi="Times New Roman"/>
          <w:sz w:val="20"/>
        </w:rPr>
        <w:t xml:space="preserve"> </w:t>
      </w:r>
      <w:r>
        <w:rPr>
          <w:rFonts w:ascii="Times New Roman" w:hAnsi="Times New Roman"/>
          <w:sz w:val="20"/>
        </w:rPr>
        <w:tab/>
      </w:r>
      <w:r w:rsidRPr="00950253">
        <w:rPr>
          <w:rFonts w:ascii="Times New Roman" w:hAnsi="Times New Roman"/>
          <w:sz w:val="20"/>
        </w:rPr>
        <w:t xml:space="preserve">In this study, our goal was to determine the quality of the nitrogen purge in the isolating desiccator under normal operating conditions by measuring the trace oxygen content. Utilizing optochemical sensor technology, we </w:t>
      </w:r>
      <w:r w:rsidR="003F6D07">
        <w:rPr>
          <w:rFonts w:ascii="Times New Roman" w:hAnsi="Times New Roman"/>
          <w:sz w:val="20"/>
        </w:rPr>
        <w:t>determined</w:t>
      </w:r>
      <w:r w:rsidRPr="00950253">
        <w:rPr>
          <w:rFonts w:ascii="Times New Roman" w:hAnsi="Times New Roman"/>
          <w:sz w:val="20"/>
        </w:rPr>
        <w:t xml:space="preserve"> how long the oxygen concentration takes to reach an equilibrium in the desiccator; that is, determine the rate at which the oxygen diffusion into the desiccator equals the rate at which oxygen diffuses out of the desiccator via N</w:t>
      </w:r>
      <w:r w:rsidRPr="003F6D07">
        <w:rPr>
          <w:rFonts w:ascii="Times New Roman" w:hAnsi="Times New Roman"/>
          <w:sz w:val="20"/>
          <w:vertAlign w:val="subscript"/>
        </w:rPr>
        <w:t>2</w:t>
      </w:r>
      <w:r w:rsidRPr="00950253">
        <w:rPr>
          <w:rFonts w:ascii="Times New Roman" w:hAnsi="Times New Roman"/>
          <w:sz w:val="20"/>
        </w:rPr>
        <w:t xml:space="preserve"> purge. Additionally, we wanted to determine the oxygen concentration at this equilibrium, the state in which our desiccators are in during normal operating conditions.</w:t>
      </w:r>
    </w:p>
    <w:p w14:paraId="008E8982" w14:textId="4B1A8562" w:rsidR="00950253" w:rsidRPr="00950253" w:rsidRDefault="00950253" w:rsidP="00950253">
      <w:pPr>
        <w:pStyle w:val="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spacing w:line="280" w:lineRule="exact"/>
        <w:jc w:val="both"/>
        <w:rPr>
          <w:rFonts w:ascii="Times New Roman" w:hAnsi="Times New Roman"/>
          <w:sz w:val="20"/>
        </w:rPr>
      </w:pPr>
      <w:r>
        <w:rPr>
          <w:rFonts w:ascii="Times New Roman" w:hAnsi="Times New Roman"/>
          <w:sz w:val="20"/>
        </w:rPr>
        <w:tab/>
      </w:r>
      <w:r w:rsidRPr="00950253">
        <w:rPr>
          <w:rFonts w:ascii="Times New Roman" w:hAnsi="Times New Roman"/>
          <w:sz w:val="20"/>
        </w:rPr>
        <w:t xml:space="preserve">We tested a custom three chamber desiccator manufactured by Germfree using a PSt9 trace oxygen sensor spot that was mounted into a ¼” National Pipe Tapered (NPT) metal flow-through cell and attached it to the desiccator exhaust. The desiccator consists of top, middle, and </w:t>
      </w:r>
      <w:r w:rsidR="003F6D07">
        <w:rPr>
          <w:rFonts w:ascii="Times New Roman" w:hAnsi="Times New Roman"/>
          <w:sz w:val="20"/>
        </w:rPr>
        <w:t>bottom</w:t>
      </w:r>
      <w:r w:rsidRPr="00950253">
        <w:rPr>
          <w:rFonts w:ascii="Times New Roman" w:hAnsi="Times New Roman"/>
          <w:sz w:val="20"/>
        </w:rPr>
        <w:t xml:space="preserve"> isolating chambers. The top chamber door was opened for several minutes to simulate a sample exchange, it was sealed, and then purged ~15 Standard Cubic Feet per Hour (SCFH). Oxygen measurements were automatically recorded via the </w:t>
      </w:r>
      <w:proofErr w:type="spellStart"/>
      <w:r w:rsidR="000F09F1">
        <w:rPr>
          <w:rFonts w:ascii="Times New Roman" w:hAnsi="Times New Roman"/>
          <w:sz w:val="20"/>
        </w:rPr>
        <w:t>Fibox</w:t>
      </w:r>
      <w:proofErr w:type="spellEnd"/>
      <w:r w:rsidR="000F09F1">
        <w:rPr>
          <w:rFonts w:ascii="Times New Roman" w:hAnsi="Times New Roman"/>
          <w:sz w:val="20"/>
        </w:rPr>
        <w:t xml:space="preserve"> 4 trace</w:t>
      </w:r>
      <w:r w:rsidR="000F09F1" w:rsidRPr="00950253">
        <w:rPr>
          <w:rFonts w:ascii="Times New Roman" w:hAnsi="Times New Roman"/>
          <w:sz w:val="20"/>
        </w:rPr>
        <w:t xml:space="preserve"> </w:t>
      </w:r>
      <w:r w:rsidRPr="00950253">
        <w:rPr>
          <w:rFonts w:ascii="Times New Roman" w:hAnsi="Times New Roman"/>
          <w:sz w:val="20"/>
        </w:rPr>
        <w:t xml:space="preserve">oxygen meter in 5-minute intervals over the course of a 24-hour period. </w:t>
      </w:r>
    </w:p>
    <w:p w14:paraId="26396E65" w14:textId="23B5E2A8" w:rsidR="00950253" w:rsidRDefault="00950253" w:rsidP="00950253">
      <w:pPr>
        <w:pStyle w:val="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spacing w:line="280" w:lineRule="exact"/>
        <w:jc w:val="both"/>
        <w:rPr>
          <w:rFonts w:ascii="Times New Roman" w:hAnsi="Times New Roman"/>
          <w:sz w:val="20"/>
        </w:rPr>
      </w:pPr>
      <w:r>
        <w:rPr>
          <w:rFonts w:ascii="Times New Roman" w:hAnsi="Times New Roman"/>
          <w:sz w:val="20"/>
        </w:rPr>
        <w:tab/>
      </w:r>
      <w:r w:rsidRPr="00950253">
        <w:rPr>
          <w:rFonts w:ascii="Times New Roman" w:hAnsi="Times New Roman"/>
          <w:sz w:val="20"/>
        </w:rPr>
        <w:t>Our results indicate the desiccator reached an equilibrium value of 10-15 ppm O</w:t>
      </w:r>
      <w:r w:rsidRPr="000F09F1">
        <w:rPr>
          <w:rFonts w:ascii="Times New Roman" w:hAnsi="Times New Roman"/>
          <w:sz w:val="20"/>
          <w:vertAlign w:val="subscript"/>
        </w:rPr>
        <w:t>2</w:t>
      </w:r>
      <w:r w:rsidRPr="00950253">
        <w:rPr>
          <w:rFonts w:ascii="Times New Roman" w:hAnsi="Times New Roman"/>
          <w:sz w:val="20"/>
        </w:rPr>
        <w:t xml:space="preserve"> after ~5 hours (Fig. 1). This data allows us to explore standards for purging and exchange protocols that can be applied to similar types of desiccators in Hayabusa2, OSIRIS-</w:t>
      </w:r>
      <w:proofErr w:type="spellStart"/>
      <w:r w:rsidRPr="00950253">
        <w:rPr>
          <w:rFonts w:ascii="Times New Roman" w:hAnsi="Times New Roman"/>
          <w:sz w:val="20"/>
        </w:rPr>
        <w:t>REx</w:t>
      </w:r>
      <w:proofErr w:type="spellEnd"/>
      <w:r w:rsidRPr="00950253">
        <w:rPr>
          <w:rFonts w:ascii="Times New Roman" w:hAnsi="Times New Roman"/>
          <w:sz w:val="20"/>
        </w:rPr>
        <w:t xml:space="preserve">, and for </w:t>
      </w:r>
      <w:r w:rsidR="00B7228D">
        <w:rPr>
          <w:rFonts w:ascii="Times New Roman" w:hAnsi="Times New Roman"/>
          <w:sz w:val="20"/>
        </w:rPr>
        <w:t>sample</w:t>
      </w:r>
      <w:r w:rsidRPr="00950253">
        <w:rPr>
          <w:rFonts w:ascii="Times New Roman" w:hAnsi="Times New Roman"/>
          <w:sz w:val="20"/>
        </w:rPr>
        <w:t xml:space="preserve"> return </w:t>
      </w:r>
      <w:r w:rsidR="00B7228D">
        <w:rPr>
          <w:rFonts w:ascii="Times New Roman" w:hAnsi="Times New Roman"/>
          <w:sz w:val="20"/>
        </w:rPr>
        <w:t>collections</w:t>
      </w:r>
      <w:r w:rsidRPr="00950253">
        <w:rPr>
          <w:rFonts w:ascii="Times New Roman" w:hAnsi="Times New Roman"/>
          <w:sz w:val="20"/>
        </w:rPr>
        <w:t xml:space="preserve">. The assessment of the internal gaseous </w:t>
      </w:r>
      <w:r w:rsidR="007833A5">
        <w:rPr>
          <w:rFonts w:ascii="Times New Roman" w:hAnsi="Times New Roman"/>
          <w:sz w:val="20"/>
        </w:rPr>
        <w:t xml:space="preserve">compositions </w:t>
      </w:r>
      <w:r w:rsidRPr="00950253">
        <w:rPr>
          <w:rFonts w:ascii="Times New Roman" w:hAnsi="Times New Roman"/>
          <w:sz w:val="20"/>
        </w:rPr>
        <w:t>of desiccators also allows us to share with the community the N</w:t>
      </w:r>
      <w:r w:rsidRPr="000F09F1">
        <w:rPr>
          <w:rFonts w:ascii="Times New Roman" w:hAnsi="Times New Roman"/>
          <w:sz w:val="20"/>
          <w:vertAlign w:val="subscript"/>
        </w:rPr>
        <w:t>2</w:t>
      </w:r>
      <w:r w:rsidRPr="00950253">
        <w:rPr>
          <w:rFonts w:ascii="Times New Roman" w:hAnsi="Times New Roman"/>
          <w:sz w:val="20"/>
        </w:rPr>
        <w:t xml:space="preserve"> environment in which many of our asteroid samples and hardware are securely </w:t>
      </w:r>
      <w:r w:rsidR="007833A5">
        <w:rPr>
          <w:rFonts w:ascii="Times New Roman" w:hAnsi="Times New Roman"/>
          <w:sz w:val="20"/>
        </w:rPr>
        <w:t>curated</w:t>
      </w:r>
      <w:r w:rsidRPr="00950253">
        <w:rPr>
          <w:rFonts w:ascii="Times New Roman" w:hAnsi="Times New Roman"/>
          <w:sz w:val="20"/>
        </w:rPr>
        <w:t xml:space="preserve">. Future measurements will include other </w:t>
      </w:r>
      <w:r w:rsidR="00B7228D">
        <w:rPr>
          <w:rFonts w:ascii="Times New Roman" w:hAnsi="Times New Roman"/>
          <w:sz w:val="20"/>
        </w:rPr>
        <w:t>nitrogen</w:t>
      </w:r>
      <w:r w:rsidRPr="00950253">
        <w:rPr>
          <w:rFonts w:ascii="Times New Roman" w:hAnsi="Times New Roman"/>
          <w:sz w:val="20"/>
        </w:rPr>
        <w:t xml:space="preserve"> flow rates and measuring the trace oxygen concentration as a function of time for the levels of the previous commercial desiccator in which the Hayabusa2 sample collection was stored. We will also analyze how long the desiccators hold N</w:t>
      </w:r>
      <w:r w:rsidRPr="000F09F1">
        <w:rPr>
          <w:rFonts w:ascii="Times New Roman" w:hAnsi="Times New Roman"/>
          <w:sz w:val="20"/>
          <w:vertAlign w:val="subscript"/>
        </w:rPr>
        <w:t>2</w:t>
      </w:r>
      <w:r w:rsidRPr="00950253">
        <w:rPr>
          <w:rFonts w:ascii="Times New Roman" w:hAnsi="Times New Roman"/>
          <w:sz w:val="20"/>
        </w:rPr>
        <w:t xml:space="preserve"> after being disconnected from their N</w:t>
      </w:r>
      <w:r w:rsidRPr="000F09F1">
        <w:rPr>
          <w:rFonts w:ascii="Times New Roman" w:hAnsi="Times New Roman"/>
          <w:sz w:val="20"/>
          <w:vertAlign w:val="subscript"/>
        </w:rPr>
        <w:t>2</w:t>
      </w:r>
      <w:r w:rsidRPr="00950253">
        <w:rPr>
          <w:rFonts w:ascii="Times New Roman" w:hAnsi="Times New Roman"/>
          <w:sz w:val="20"/>
        </w:rPr>
        <w:t xml:space="preserve"> source, an extended measurement for sample security reassurance.</w:t>
      </w:r>
    </w:p>
    <w:p w14:paraId="24AAD2F4" w14:textId="77777777" w:rsidR="000F09F1" w:rsidRDefault="000F09F1" w:rsidP="00950253">
      <w:pPr>
        <w:pStyle w:val="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spacing w:line="280" w:lineRule="exact"/>
        <w:jc w:val="both"/>
        <w:rPr>
          <w:rFonts w:ascii="Times New Roman" w:hAnsi="Times New Roman"/>
          <w:sz w:val="20"/>
        </w:rPr>
      </w:pPr>
    </w:p>
    <w:p w14:paraId="044CDB4E" w14:textId="317CAB1B" w:rsidR="00950253" w:rsidRPr="00950253" w:rsidRDefault="00950253" w:rsidP="00950253">
      <w:pPr>
        <w:jc w:val="both"/>
        <w:rPr>
          <w:rFonts w:eastAsia="ヒラギノ角ゴ Pro W3"/>
          <w:color w:val="000000"/>
          <w:sz w:val="20"/>
          <w:szCs w:val="20"/>
          <w:lang w:eastAsia="ja-JP"/>
        </w:rPr>
      </w:pPr>
      <w:r w:rsidRPr="00950253">
        <w:rPr>
          <w:rFonts w:eastAsia="ヒラギノ角ゴ Pro W3"/>
          <w:noProof/>
          <w:color w:val="000000"/>
          <w:sz w:val="20"/>
          <w:szCs w:val="20"/>
          <w:lang w:eastAsia="ja-JP"/>
        </w:rPr>
        <w:drawing>
          <wp:inline distT="0" distB="0" distL="0" distR="0" wp14:anchorId="5B681343" wp14:editId="61B82D89">
            <wp:extent cx="2905125" cy="2105025"/>
            <wp:effectExtent l="19050" t="19050" r="9525" b="9525"/>
            <wp:docPr id="3"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5125" cy="2105025"/>
                    </a:xfrm>
                    <a:prstGeom prst="rect">
                      <a:avLst/>
                    </a:prstGeom>
                    <a:noFill/>
                    <a:ln w="9525" cmpd="sng">
                      <a:solidFill>
                        <a:srgbClr val="F6F6F6"/>
                      </a:solidFill>
                      <a:miter lim="800000"/>
                      <a:headEnd/>
                      <a:tailEnd/>
                    </a:ln>
                    <a:effectLst/>
                  </pic:spPr>
                </pic:pic>
              </a:graphicData>
            </a:graphic>
          </wp:inline>
        </w:drawing>
      </w:r>
      <w:r>
        <w:rPr>
          <w:rFonts w:eastAsia="ヒラギノ角ゴ Pro W3"/>
          <w:color w:val="000000"/>
          <w:sz w:val="20"/>
          <w:szCs w:val="20"/>
          <w:lang w:eastAsia="ja-JP"/>
        </w:rPr>
        <w:t xml:space="preserve"> </w:t>
      </w:r>
      <w:r w:rsidRPr="00950253">
        <w:rPr>
          <w:rFonts w:eastAsia="ヒラギノ角ゴ Pro W3"/>
          <w:noProof/>
          <w:color w:val="000000"/>
          <w:sz w:val="20"/>
          <w:szCs w:val="20"/>
          <w:lang w:eastAsia="ja-JP"/>
        </w:rPr>
        <w:drawing>
          <wp:inline distT="0" distB="0" distL="0" distR="0" wp14:anchorId="073361DB" wp14:editId="56E31C0E">
            <wp:extent cx="2895600" cy="2105025"/>
            <wp:effectExtent l="19050" t="19050" r="0" b="952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5600" cy="2105025"/>
                    </a:xfrm>
                    <a:prstGeom prst="rect">
                      <a:avLst/>
                    </a:prstGeom>
                    <a:noFill/>
                    <a:ln w="9525" cmpd="sng">
                      <a:solidFill>
                        <a:srgbClr val="F6F6F6"/>
                      </a:solidFill>
                      <a:miter lim="800000"/>
                      <a:headEnd/>
                      <a:tailEnd/>
                    </a:ln>
                    <a:effectLst/>
                  </pic:spPr>
                </pic:pic>
              </a:graphicData>
            </a:graphic>
          </wp:inline>
        </w:drawing>
      </w:r>
    </w:p>
    <w:p w14:paraId="1386052C" w14:textId="4C58FE6C" w:rsidR="00950253" w:rsidRPr="009E1612" w:rsidRDefault="00950253" w:rsidP="00950253">
      <w:pPr>
        <w:jc w:val="both"/>
        <w:rPr>
          <w:rFonts w:eastAsia="ヒラギノ角ゴ Pro W3"/>
          <w:color w:val="000000"/>
          <w:sz w:val="18"/>
          <w:szCs w:val="18"/>
          <w:lang w:eastAsia="ja-JP"/>
        </w:rPr>
      </w:pPr>
      <w:r w:rsidRPr="009E1612">
        <w:rPr>
          <w:rFonts w:eastAsia="ヒラギノ角ゴ Pro W3"/>
          <w:color w:val="000000"/>
          <w:sz w:val="18"/>
          <w:szCs w:val="18"/>
          <w:lang w:eastAsia="ja-JP"/>
        </w:rPr>
        <w:t>Fig 1: Chart A and B display O</w:t>
      </w:r>
      <w:r w:rsidRPr="000F09F1">
        <w:rPr>
          <w:rFonts w:eastAsia="ヒラギノ角ゴ Pro W3"/>
          <w:color w:val="000000"/>
          <w:sz w:val="18"/>
          <w:szCs w:val="18"/>
          <w:vertAlign w:val="subscript"/>
          <w:lang w:eastAsia="ja-JP"/>
        </w:rPr>
        <w:t>2</w:t>
      </w:r>
      <w:r w:rsidRPr="009E1612">
        <w:rPr>
          <w:rFonts w:eastAsia="ヒラギノ角ゴ Pro W3"/>
          <w:color w:val="000000"/>
          <w:sz w:val="18"/>
          <w:szCs w:val="18"/>
          <w:lang w:eastAsia="ja-JP"/>
        </w:rPr>
        <w:t xml:space="preserve"> ppm vs. time of a Germfree desiccator. </w:t>
      </w:r>
    </w:p>
    <w:p w14:paraId="395D4888" w14:textId="2CC89644" w:rsidR="006C5253" w:rsidRDefault="00C143C4" w:rsidP="00950253">
      <w:pPr>
        <w:pStyle w:val="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spacing w:line="280" w:lineRule="exact"/>
        <w:jc w:val="both"/>
        <w:rPr>
          <w:rFonts w:ascii="Times New Roman" w:hAnsi="Times New Roman"/>
          <w:sz w:val="20"/>
        </w:rPr>
      </w:pPr>
      <w:r w:rsidRPr="00E15F7B">
        <w:rPr>
          <w:rFonts w:ascii="Times New Roman" w:hAnsi="Times New Roman"/>
          <w:sz w:val="20"/>
        </w:rPr>
        <w:br/>
      </w:r>
    </w:p>
    <w:p w14:paraId="6B519DD5" w14:textId="77777777" w:rsidR="00B7228D" w:rsidRPr="00E15F7B" w:rsidRDefault="00B7228D" w:rsidP="00950253">
      <w:pPr>
        <w:pStyle w:val="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spacing w:line="280" w:lineRule="exact"/>
        <w:jc w:val="both"/>
        <w:rPr>
          <w:rFonts w:ascii="Times New Roman" w:hAnsi="Times New Roman"/>
          <w:sz w:val="20"/>
        </w:rPr>
      </w:pPr>
    </w:p>
    <w:p w14:paraId="204545D1" w14:textId="77777777" w:rsidR="006C5253" w:rsidRPr="00E15F7B" w:rsidRDefault="006C5253">
      <w:pPr>
        <w:pStyle w:val="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spacing w:line="280" w:lineRule="exact"/>
        <w:rPr>
          <w:rFonts w:ascii="Times New Roman" w:hAnsi="Times New Roman"/>
          <w:sz w:val="18"/>
        </w:rPr>
      </w:pPr>
    </w:p>
    <w:p w14:paraId="1C942517" w14:textId="77777777" w:rsidR="006C5253" w:rsidRPr="00E15F7B" w:rsidRDefault="006C5253" w:rsidP="00822749">
      <w:pPr>
        <w:pStyle w:val="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spacing w:line="280" w:lineRule="exact"/>
        <w:outlineLvl w:val="0"/>
        <w:rPr>
          <w:rFonts w:ascii="Times New Roman" w:hAnsi="Times New Roman"/>
          <w:b/>
          <w:sz w:val="20"/>
        </w:rPr>
      </w:pPr>
      <w:r w:rsidRPr="00E15F7B">
        <w:rPr>
          <w:rFonts w:ascii="Times New Roman" w:hAnsi="Times New Roman"/>
          <w:b/>
          <w:sz w:val="20"/>
        </w:rPr>
        <w:t>References</w:t>
      </w:r>
    </w:p>
    <w:p w14:paraId="7A5FA5BD" w14:textId="18A64E29" w:rsidR="00DB0C9A" w:rsidRPr="00E15F7B" w:rsidRDefault="009E1612" w:rsidP="009E1612">
      <w:pPr>
        <w:pStyle w:val="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spacing w:line="280" w:lineRule="exact"/>
        <w:rPr>
          <w:rFonts w:ascii="Times New Roman" w:hAnsi="Times New Roman"/>
          <w:sz w:val="20"/>
        </w:rPr>
      </w:pPr>
      <w:r w:rsidRPr="009E1612">
        <w:rPr>
          <w:rFonts w:ascii="Times New Roman" w:hAnsi="Times New Roman"/>
          <w:sz w:val="20"/>
        </w:rPr>
        <w:t xml:space="preserve">[1] Lauretta D. S. (2017) Space Sciences Reviews, 212, p. 925-984. [2] Watanabe S. (2017) Space Sciences Reviews, 208, p. 3-16. [3] Snead, C.J. (2024). LPSC LV, Abstract #2555. [4] FTM-PSt3/PSt6/PSt9 Metal Flow-Through Cell with Oxygen Sensor Instruction Manual, </w:t>
      </w:r>
      <w:proofErr w:type="spellStart"/>
      <w:r w:rsidRPr="009E1612">
        <w:rPr>
          <w:rFonts w:ascii="Times New Roman" w:hAnsi="Times New Roman"/>
          <w:sz w:val="20"/>
        </w:rPr>
        <w:t>PreSens</w:t>
      </w:r>
      <w:proofErr w:type="spellEnd"/>
      <w:r w:rsidRPr="009E1612">
        <w:rPr>
          <w:rFonts w:ascii="Times New Roman" w:hAnsi="Times New Roman"/>
          <w:sz w:val="20"/>
        </w:rPr>
        <w:t xml:space="preserve">., </w:t>
      </w:r>
      <w:proofErr w:type="spellStart"/>
      <w:r w:rsidRPr="009E1612">
        <w:rPr>
          <w:rFonts w:ascii="Times New Roman" w:hAnsi="Times New Roman"/>
          <w:sz w:val="20"/>
        </w:rPr>
        <w:t>Regenburg</w:t>
      </w:r>
      <w:proofErr w:type="spellEnd"/>
      <w:r w:rsidRPr="009E1612">
        <w:rPr>
          <w:rFonts w:ascii="Times New Roman" w:hAnsi="Times New Roman"/>
          <w:sz w:val="20"/>
        </w:rPr>
        <w:t>, Germany, p. 1-21.</w:t>
      </w:r>
    </w:p>
    <w:sectPr w:rsidR="00DB0C9A" w:rsidRPr="00E15F7B" w:rsidSect="006C5253">
      <w:headerReference w:type="even" r:id="rId8"/>
      <w:headerReference w:type="default" r:id="rId9"/>
      <w:footerReference w:type="even" r:id="rId10"/>
      <w:footerReference w:type="default" r:id="rId11"/>
      <w:pgSz w:w="11900" w:h="16840"/>
      <w:pgMar w:top="1134" w:right="851" w:bottom="1134" w:left="851"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3656B" w14:textId="77777777" w:rsidR="003645E0" w:rsidRDefault="003645E0" w:rsidP="006C5253">
      <w:r>
        <w:separator/>
      </w:r>
    </w:p>
  </w:endnote>
  <w:endnote w:type="continuationSeparator" w:id="0">
    <w:p w14:paraId="7D33C54F" w14:textId="77777777" w:rsidR="003645E0" w:rsidRDefault="003645E0" w:rsidP="006C5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MS Mincho"/>
    <w:panose1 w:val="020B0300000000000000"/>
    <w:charset w:val="80"/>
    <w:family w:val="auto"/>
    <w:pitch w:val="variable"/>
    <w:sig w:usb0="00000000"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8541D" w14:textId="77777777" w:rsidR="006C5253" w:rsidRDefault="006C5253">
    <w:pPr>
      <w:pStyle w:val="a"/>
      <w:tabs>
        <w:tab w:val="left" w:pos="9921"/>
      </w:tabs>
      <w:rPr>
        <w:rFonts w:ascii="Times New Roman" w:eastAsia="Times New Roman" w:hAnsi="Times New Roman"/>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B8953" w14:textId="77777777" w:rsidR="006C5253" w:rsidRDefault="006C5253">
    <w:pPr>
      <w:pStyle w:val="a"/>
      <w:tabs>
        <w:tab w:val="left" w:pos="9921"/>
      </w:tabs>
      <w:rPr>
        <w:rFonts w:ascii="Times New Roman" w:eastAsia="Times New Roman" w:hAnsi="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D0ACB" w14:textId="77777777" w:rsidR="003645E0" w:rsidRDefault="003645E0" w:rsidP="006C5253">
      <w:r>
        <w:separator/>
      </w:r>
    </w:p>
  </w:footnote>
  <w:footnote w:type="continuationSeparator" w:id="0">
    <w:p w14:paraId="2C550046" w14:textId="77777777" w:rsidR="003645E0" w:rsidRDefault="003645E0" w:rsidP="006C5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36D39" w14:textId="77777777" w:rsidR="006C5253" w:rsidRDefault="006C5253">
    <w:pPr>
      <w:pStyle w:val="a"/>
      <w:tabs>
        <w:tab w:val="left" w:pos="9921"/>
      </w:tabs>
      <w:rPr>
        <w:rFonts w:ascii="Times New Roman" w:eastAsia="Times New Roman" w:hAnsi="Times New Roman"/>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E4583" w14:textId="77777777" w:rsidR="006C5253" w:rsidRDefault="006C5253">
    <w:pPr>
      <w:pStyle w:val="a"/>
      <w:tabs>
        <w:tab w:val="left" w:pos="9921"/>
      </w:tabs>
      <w:rPr>
        <w:rFonts w:ascii="Times New Roman" w:eastAsia="Times New Roman" w:hAnsi="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3"/>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trackRevision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596"/>
    <w:rsid w:val="000A1855"/>
    <w:rsid w:val="000F09F1"/>
    <w:rsid w:val="0012105D"/>
    <w:rsid w:val="00145876"/>
    <w:rsid w:val="002B7627"/>
    <w:rsid w:val="00300298"/>
    <w:rsid w:val="00352A4D"/>
    <w:rsid w:val="003645E0"/>
    <w:rsid w:val="003B775D"/>
    <w:rsid w:val="003F3750"/>
    <w:rsid w:val="003F6D07"/>
    <w:rsid w:val="0047447E"/>
    <w:rsid w:val="00477596"/>
    <w:rsid w:val="004A1F47"/>
    <w:rsid w:val="00507D3B"/>
    <w:rsid w:val="005D1483"/>
    <w:rsid w:val="005E5537"/>
    <w:rsid w:val="006166A9"/>
    <w:rsid w:val="006C5253"/>
    <w:rsid w:val="00724D60"/>
    <w:rsid w:val="007833A5"/>
    <w:rsid w:val="007F3AC7"/>
    <w:rsid w:val="00822749"/>
    <w:rsid w:val="00854F16"/>
    <w:rsid w:val="00872340"/>
    <w:rsid w:val="008D233D"/>
    <w:rsid w:val="008F7B77"/>
    <w:rsid w:val="00950253"/>
    <w:rsid w:val="009859D9"/>
    <w:rsid w:val="009E1612"/>
    <w:rsid w:val="00A01F21"/>
    <w:rsid w:val="00A427CA"/>
    <w:rsid w:val="00AC73EF"/>
    <w:rsid w:val="00B7228D"/>
    <w:rsid w:val="00B75CA6"/>
    <w:rsid w:val="00B87667"/>
    <w:rsid w:val="00BB703E"/>
    <w:rsid w:val="00C143C4"/>
    <w:rsid w:val="00CB346E"/>
    <w:rsid w:val="00CF74C1"/>
    <w:rsid w:val="00D201EB"/>
    <w:rsid w:val="00DB0C9A"/>
    <w:rsid w:val="00E00CE2"/>
    <w:rsid w:val="00E15F7B"/>
    <w:rsid w:val="00F613E4"/>
    <w:rsid w:val="00FA0FD5"/>
    <w:rsid w:val="00FF1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0845279"/>
  <w14:defaultImageDpi w14:val="32767"/>
  <w15:chartTrackingRefBased/>
  <w15:docId w15:val="{DF8A1A8A-99A4-407C-BB11-EE62E6E6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ヘッダとフッタ"/>
    <w:pPr>
      <w:tabs>
        <w:tab w:val="right" w:pos="9632"/>
      </w:tabs>
    </w:pPr>
    <w:rPr>
      <w:rFonts w:ascii="ヒラギノ角ゴ Pro W3" w:eastAsia="ヒラギノ角ゴ Pro W3" w:hAnsi="ヒラギノ角ゴ Pro W3"/>
      <w:color w:val="000000"/>
      <w:lang w:eastAsia="ja-JP"/>
    </w:rPr>
  </w:style>
  <w:style w:type="paragraph" w:styleId="BodyText">
    <w:name w:val="Body Text"/>
    <w:link w:val="BodyTextChar"/>
    <w:rPr>
      <w:rFonts w:ascii="ヒラギノ角ゴ Pro W3" w:eastAsia="ヒラギノ角ゴ Pro W3" w:hAnsi="ヒラギノ角ゴ Pro W3"/>
      <w:color w:val="000000"/>
      <w:sz w:val="24"/>
      <w:lang w:eastAsia="ja-JP"/>
    </w:rPr>
  </w:style>
  <w:style w:type="table" w:styleId="TableGrid">
    <w:name w:val="Table Grid"/>
    <w:basedOn w:val="TableNormal"/>
    <w:rsid w:val="00477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CF74C1"/>
    <w:pPr>
      <w:tabs>
        <w:tab w:val="center" w:pos="4252"/>
        <w:tab w:val="right" w:pos="8504"/>
      </w:tabs>
      <w:snapToGrid w:val="0"/>
    </w:pPr>
  </w:style>
  <w:style w:type="character" w:customStyle="1" w:styleId="HeaderChar">
    <w:name w:val="Header Char"/>
    <w:link w:val="Header"/>
    <w:uiPriority w:val="99"/>
    <w:semiHidden/>
    <w:rsid w:val="00CF74C1"/>
    <w:rPr>
      <w:sz w:val="24"/>
      <w:szCs w:val="24"/>
      <w:lang w:eastAsia="en-US"/>
    </w:rPr>
  </w:style>
  <w:style w:type="paragraph" w:styleId="Footer">
    <w:name w:val="footer"/>
    <w:basedOn w:val="Normal"/>
    <w:link w:val="FooterChar"/>
    <w:uiPriority w:val="99"/>
    <w:semiHidden/>
    <w:unhideWhenUsed/>
    <w:rsid w:val="00CF74C1"/>
    <w:pPr>
      <w:tabs>
        <w:tab w:val="center" w:pos="4252"/>
        <w:tab w:val="right" w:pos="8504"/>
      </w:tabs>
      <w:snapToGrid w:val="0"/>
    </w:pPr>
  </w:style>
  <w:style w:type="character" w:customStyle="1" w:styleId="FooterChar">
    <w:name w:val="Footer Char"/>
    <w:link w:val="Footer"/>
    <w:uiPriority w:val="99"/>
    <w:semiHidden/>
    <w:rsid w:val="00CF74C1"/>
    <w:rPr>
      <w:sz w:val="24"/>
      <w:szCs w:val="24"/>
      <w:lang w:eastAsia="en-US"/>
    </w:rPr>
  </w:style>
  <w:style w:type="character" w:styleId="Hyperlink">
    <w:name w:val="Hyperlink"/>
    <w:uiPriority w:val="99"/>
    <w:unhideWhenUsed/>
    <w:rsid w:val="00E15F7B"/>
    <w:rPr>
      <w:color w:val="0000FF"/>
      <w:u w:val="single"/>
    </w:rPr>
  </w:style>
  <w:style w:type="character" w:customStyle="1" w:styleId="BodyTextChar">
    <w:name w:val="Body Text Char"/>
    <w:link w:val="BodyText"/>
    <w:rsid w:val="00950253"/>
    <w:rPr>
      <w:rFonts w:ascii="ヒラギノ角ゴ Pro W3" w:eastAsia="ヒラギノ角ゴ Pro W3" w:hAnsi="ヒラギノ角ゴ Pro W3"/>
      <w:color w:val="000000"/>
      <w:sz w:val="24"/>
      <w:lang w:val="en-US" w:eastAsia="ja-JP"/>
    </w:rPr>
  </w:style>
  <w:style w:type="paragraph" w:styleId="Revision">
    <w:name w:val="Revision"/>
    <w:hidden/>
    <w:uiPriority w:val="71"/>
    <w:rsid w:val="000A1855"/>
    <w:rPr>
      <w:sz w:val="24"/>
      <w:szCs w:val="24"/>
    </w:rPr>
  </w:style>
  <w:style w:type="character" w:styleId="CommentReference">
    <w:name w:val="annotation reference"/>
    <w:basedOn w:val="DefaultParagraphFont"/>
    <w:uiPriority w:val="99"/>
    <w:semiHidden/>
    <w:unhideWhenUsed/>
    <w:rsid w:val="000A1855"/>
    <w:rPr>
      <w:sz w:val="16"/>
      <w:szCs w:val="16"/>
    </w:rPr>
  </w:style>
  <w:style w:type="paragraph" w:styleId="CommentText">
    <w:name w:val="annotation text"/>
    <w:basedOn w:val="Normal"/>
    <w:link w:val="CommentTextChar"/>
    <w:uiPriority w:val="99"/>
    <w:unhideWhenUsed/>
    <w:rsid w:val="000A1855"/>
    <w:rPr>
      <w:sz w:val="20"/>
      <w:szCs w:val="20"/>
    </w:rPr>
  </w:style>
  <w:style w:type="character" w:customStyle="1" w:styleId="CommentTextChar">
    <w:name w:val="Comment Text Char"/>
    <w:basedOn w:val="DefaultParagraphFont"/>
    <w:link w:val="CommentText"/>
    <w:uiPriority w:val="99"/>
    <w:rsid w:val="000A1855"/>
  </w:style>
  <w:style w:type="paragraph" w:styleId="CommentSubject">
    <w:name w:val="annotation subject"/>
    <w:basedOn w:val="CommentText"/>
    <w:next w:val="CommentText"/>
    <w:link w:val="CommentSubjectChar"/>
    <w:uiPriority w:val="99"/>
    <w:semiHidden/>
    <w:unhideWhenUsed/>
    <w:rsid w:val="000A1855"/>
    <w:rPr>
      <w:b/>
      <w:bCs/>
    </w:rPr>
  </w:style>
  <w:style w:type="character" w:customStyle="1" w:styleId="CommentSubjectChar">
    <w:name w:val="Comment Subject Char"/>
    <w:basedOn w:val="CommentTextChar"/>
    <w:link w:val="CommentSubject"/>
    <w:uiPriority w:val="99"/>
    <w:semiHidden/>
    <w:rsid w:val="000A18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3390</Characters>
  <Application>Microsoft Office Word</Application>
  <DocSecurity>0</DocSecurity>
  <Lines>28</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HY2017symp_template</vt:lpstr>
      <vt:lpstr>HY2017symp_template</vt:lpstr>
    </vt:vector>
  </TitlesOfParts>
  <Company>NIPR</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HY2017symp_template</dc:title>
  <dc:subject>English version</dc:subject>
  <dc:creator>NIPR Symposium LOC</dc:creator>
  <cp:keywords>HAYABUSA Symposium</cp:keywords>
  <cp:lastModifiedBy>Snead, Christopher J. (JSC-XI211)</cp:lastModifiedBy>
  <cp:revision>2</cp:revision>
  <dcterms:created xsi:type="dcterms:W3CDTF">2024-09-16T17:01:00Z</dcterms:created>
  <dcterms:modified xsi:type="dcterms:W3CDTF">2024-09-16T17:01:00Z</dcterms:modified>
</cp:coreProperties>
</file>