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8CC83" w14:textId="77777777" w:rsidR="00440BAE" w:rsidRDefault="000E4007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Hydrogen Sensor via Plasma Techniques Development*</w:t>
      </w:r>
    </w:p>
    <w:p w14:paraId="070AAD3D" w14:textId="77777777" w:rsidR="00440BAE" w:rsidRDefault="000E4007">
      <w:pPr>
        <w:spacing w:after="120"/>
        <w:jc w:val="center"/>
        <w:rPr>
          <w:vertAlign w:val="superscript"/>
        </w:rPr>
      </w:pPr>
      <w:r>
        <w:rPr>
          <w:u w:val="single"/>
        </w:rPr>
        <w:t>Sarah Feldman</w:t>
      </w:r>
      <w:r>
        <w:t xml:space="preserve"> </w:t>
      </w:r>
      <w:r>
        <w:rPr>
          <w:vertAlign w:val="superscript"/>
        </w:rPr>
        <w:t>a</w:t>
      </w:r>
      <w:r>
        <w:t xml:space="preserve">, Kenneth Engeling, PhD. </w:t>
      </w:r>
      <w:r>
        <w:rPr>
          <w:vertAlign w:val="superscript"/>
        </w:rPr>
        <w:t>b</w:t>
      </w:r>
      <w:r>
        <w:t xml:space="preserve">, Carolina Franco, PhD. </w:t>
      </w:r>
      <w:r>
        <w:rPr>
          <w:vertAlign w:val="superscript"/>
        </w:rPr>
        <w:t>b</w:t>
      </w:r>
      <w:r>
        <w:t xml:space="preserve">, Nicholas Spangler </w:t>
      </w:r>
      <w:r>
        <w:rPr>
          <w:vertAlign w:val="superscript"/>
        </w:rPr>
        <w:t>c</w:t>
      </w:r>
      <w:r>
        <w:t xml:space="preserve">, and Jessica Schwend </w:t>
      </w:r>
      <w:r>
        <w:rPr>
          <w:vertAlign w:val="superscript"/>
        </w:rPr>
        <w:t>b</w:t>
      </w:r>
    </w:p>
    <w:p w14:paraId="3FA4A326" w14:textId="77777777" w:rsidR="00440BAE" w:rsidRDefault="000E400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</w:pPr>
      <w:r>
        <w:rPr>
          <w:sz w:val="22"/>
          <w:szCs w:val="22"/>
        </w:rPr>
        <w:t>University of Michigan (sarfeldm@umich.edu)</w:t>
      </w:r>
    </w:p>
    <w:p w14:paraId="2A13C62B" w14:textId="77777777" w:rsidR="00440BAE" w:rsidRDefault="000E4007">
      <w:pPr>
        <w:ind w:left="360"/>
        <w:jc w:val="center"/>
        <w:rPr>
          <w:sz w:val="22"/>
          <w:szCs w:val="22"/>
        </w:rPr>
      </w:pPr>
      <w:r>
        <w:rPr>
          <w:sz w:val="22"/>
          <w:szCs w:val="22"/>
        </w:rPr>
        <w:t>(b) NASA Kennedy Space Center Applied Chemistry Laboratory (kenneth.engeling@nasa.gov,  carolina.franco@nasa.gov, jessica.schwend.@nasa.gov)</w:t>
      </w:r>
    </w:p>
    <w:p w14:paraId="53A61F89" w14:textId="77777777" w:rsidR="00440BAE" w:rsidRDefault="000E4007">
      <w:pPr>
        <w:ind w:left="360"/>
        <w:jc w:val="center"/>
        <w:rPr>
          <w:sz w:val="22"/>
          <w:szCs w:val="22"/>
        </w:rPr>
      </w:pPr>
      <w:r>
        <w:rPr>
          <w:sz w:val="22"/>
          <w:szCs w:val="22"/>
        </w:rPr>
        <w:t>(c) NASA Kennedy Space Center Applied Physics Laboratory (nicholas.b.spangler@nasa.gov)</w:t>
      </w:r>
    </w:p>
    <w:p w14:paraId="2714A24A" w14:textId="77777777" w:rsidR="00440BAE" w:rsidRDefault="00440BAE">
      <w:pPr>
        <w:ind w:left="360"/>
        <w:jc w:val="center"/>
        <w:rPr>
          <w:sz w:val="22"/>
          <w:szCs w:val="22"/>
        </w:rPr>
      </w:pPr>
    </w:p>
    <w:p w14:paraId="5DA2AA5A" w14:textId="77777777" w:rsidR="00440BAE" w:rsidRDefault="00440BAE">
      <w:pPr>
        <w:rPr>
          <w:sz w:val="22"/>
          <w:szCs w:val="22"/>
        </w:rPr>
      </w:pPr>
    </w:p>
    <w:p w14:paraId="446E24BF" w14:textId="77777777" w:rsidR="00440BAE" w:rsidRDefault="000E4007">
      <w:pPr>
        <w:tabs>
          <w:tab w:val="right" w:pos="8640"/>
        </w:tabs>
        <w:ind w:firstLine="567"/>
        <w:jc w:val="both"/>
      </w:pPr>
      <w:r>
        <w:t>Currently, NASA Kennedy S</w:t>
      </w:r>
      <w:r>
        <w:t>pace Center’s Exploration Ground Systems (EGS) uses liquid hydrogen (LH</w:t>
      </w:r>
      <w:r>
        <w:rPr>
          <w:vertAlign w:val="subscript"/>
        </w:rPr>
        <w:t>2</w:t>
      </w:r>
      <w:r>
        <w:t xml:space="preserve">) as fuel for launches and ensures hydrogen is no longer in the fill lines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17EBD68C" wp14:editId="4D9265E4">
                <wp:simplePos x="0" y="0"/>
                <wp:positionH relativeFrom="margin">
                  <wp:posOffset>2931160</wp:posOffset>
                </wp:positionH>
                <wp:positionV relativeFrom="margin">
                  <wp:posOffset>2129991</wp:posOffset>
                </wp:positionV>
                <wp:extent cx="2844165" cy="2074011"/>
                <wp:effectExtent l="0" t="0" r="0" b="0"/>
                <wp:wrapSquare wrapText="bothSides" distT="0" distB="0" distL="114300" distR="114300"/>
                <wp:docPr id="3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4165" cy="2074011"/>
                          <a:chOff x="3066100" y="2493325"/>
                          <a:chExt cx="4003150" cy="2912050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3070875" y="2498100"/>
                            <a:ext cx="3993600" cy="2902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045BBC0A" w14:textId="77777777" w:rsidR="00440BAE" w:rsidRDefault="00440BAE">
                              <w:pPr>
                                <w:textDirection w:val="btLr"/>
                              </w:pPr>
                            </w:p>
                            <w:p w14:paraId="4E4987CD" w14:textId="77777777" w:rsidR="00440BAE" w:rsidRDefault="00440BAE">
                              <w:pPr>
                                <w:jc w:val="both"/>
                                <w:textDirection w:val="btLr"/>
                              </w:pPr>
                            </w:p>
                            <w:p w14:paraId="75EB97D7" w14:textId="77777777" w:rsidR="00440BAE" w:rsidRDefault="00440BAE">
                              <w:pPr>
                                <w:jc w:val="both"/>
                                <w:textDirection w:val="btLr"/>
                              </w:pPr>
                            </w:p>
                            <w:p w14:paraId="6A2D012C" w14:textId="77777777" w:rsidR="00440BAE" w:rsidRDefault="00440BAE">
                              <w:pPr>
                                <w:jc w:val="both"/>
                                <w:textDirection w:val="btLr"/>
                              </w:pPr>
                            </w:p>
                            <w:p w14:paraId="5B92EEBE" w14:textId="77777777" w:rsidR="00440BAE" w:rsidRDefault="00440BAE">
                              <w:pPr>
                                <w:jc w:val="both"/>
                                <w:textDirection w:val="btLr"/>
                              </w:pPr>
                            </w:p>
                            <w:p w14:paraId="2EDDCF3C" w14:textId="77777777" w:rsidR="00440BAE" w:rsidRDefault="00440BAE">
                              <w:pPr>
                                <w:jc w:val="both"/>
                                <w:textDirection w:val="btLr"/>
                              </w:pPr>
                            </w:p>
                            <w:p w14:paraId="0E63ECF8" w14:textId="77777777" w:rsidR="00440BAE" w:rsidRDefault="00440BAE">
                              <w:pPr>
                                <w:jc w:val="both"/>
                                <w:textDirection w:val="btLr"/>
                              </w:pPr>
                            </w:p>
                            <w:p w14:paraId="2A86941A" w14:textId="77777777" w:rsidR="00440BAE" w:rsidRDefault="00440BAE">
                              <w:pPr>
                                <w:jc w:val="both"/>
                                <w:textDirection w:val="btLr"/>
                              </w:pPr>
                            </w:p>
                            <w:p w14:paraId="07EC7128" w14:textId="77777777" w:rsidR="00440BAE" w:rsidRDefault="00440BAE">
                              <w:pPr>
                                <w:jc w:val="both"/>
                                <w:textDirection w:val="btLr"/>
                              </w:pPr>
                            </w:p>
                            <w:p w14:paraId="14BDB87E" w14:textId="77777777" w:rsidR="00440BAE" w:rsidRDefault="00440BAE">
                              <w:pPr>
                                <w:jc w:val="both"/>
                                <w:textDirection w:val="btLr"/>
                              </w:pPr>
                            </w:p>
                            <w:p w14:paraId="4D5B6CA6" w14:textId="77777777" w:rsidR="00440BAE" w:rsidRDefault="00440BAE">
                              <w:pPr>
                                <w:jc w:val="both"/>
                                <w:textDirection w:val="btLr"/>
                              </w:pPr>
                            </w:p>
                            <w:p w14:paraId="476402F5" w14:textId="77777777" w:rsidR="00440BAE" w:rsidRDefault="00440BAE">
                              <w:pPr>
                                <w:jc w:val="both"/>
                                <w:textDirection w:val="btLr"/>
                              </w:pPr>
                            </w:p>
                            <w:p w14:paraId="62D244FF" w14:textId="77777777" w:rsidR="00440BAE" w:rsidRDefault="00440BAE">
                              <w:pPr>
                                <w:jc w:val="both"/>
                                <w:textDirection w:val="btLr"/>
                              </w:pPr>
                            </w:p>
                            <w:p w14:paraId="37ADDC3B" w14:textId="77777777" w:rsidR="00440BAE" w:rsidRDefault="00440BAE">
                              <w:pPr>
                                <w:jc w:val="both"/>
                                <w:textDirection w:val="btLr"/>
                              </w:pPr>
                            </w:p>
                            <w:p w14:paraId="23E684FF" w14:textId="77777777" w:rsidR="00440BAE" w:rsidRDefault="000E4007">
                              <w:pPr>
                                <w:jc w:val="both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 xml:space="preserve">Figure 1 - Simple </w:t>
                              </w:r>
                              <w:r>
                                <w:rPr>
                                  <w:color w:val="000000"/>
                                  <w:sz w:val="22"/>
                                </w:rPr>
                                <w:t xml:space="preserve">schematic of the plasma-based hydrogen sensor setup (not to scale). 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Shape 3"/>
                          <pic:cNvPicPr preferRelativeResize="0"/>
                        </pic:nvPicPr>
                        <pic:blipFill>
                          <a:blip r:embed="rId6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14675" y="2721825"/>
                            <a:ext cx="3905999" cy="211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2931160</wp:posOffset>
                </wp:positionH>
                <wp:positionV relativeFrom="margin">
                  <wp:posOffset>2129991</wp:posOffset>
                </wp:positionV>
                <wp:extent cx="2844165" cy="2074011"/>
                <wp:effectExtent b="0" l="0" r="0" t="0"/>
                <wp:wrapSquare wrapText="bothSides" distB="0" distT="0" distL="114300" distR="11430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165" cy="207401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t>by sampling gas into a controlled environment. Then they use a catalytic sensor that detects when hydrogen interacts with oxygen. However, this procedure requires repeatedly backfilling a</w:t>
      </w:r>
      <w:r>
        <w:t>nd flushing with helium, which can be wasteful during a global helium shortage and expensive for each sampling port. Therefore, the team at KSC set out to establish proof-of-concept of a plasma-based hydrogen sensor that is anaerobic – and can in fact dete</w:t>
      </w:r>
      <w:r>
        <w:t>ct in most environments and below atmospheric pressures – and with a small footprint and more sensitive than other hydrogen sensors currently on the market.</w:t>
      </w:r>
    </w:p>
    <w:p w14:paraId="50849C5C" w14:textId="77777777" w:rsidR="00440BAE" w:rsidRDefault="000E4007">
      <w:pPr>
        <w:tabs>
          <w:tab w:val="right" w:pos="8640"/>
        </w:tabs>
        <w:ind w:firstLine="567"/>
        <w:jc w:val="both"/>
      </w:pPr>
      <w:r>
        <w:tab/>
        <w:t>The technology development was done by testing known concentrations of hydrogen in argon gas fed t</w:t>
      </w:r>
      <w:r>
        <w:t xml:space="preserve">hrough a vacuum cube containing an electrode feedthrough at varying pressures. The resultant emission spectra were recorded with a fiber optic spectrometer and analyzed to determine the instrument's accuracy. Throughout testing, efforts were made to prove </w:t>
      </w:r>
      <w:r>
        <w:t>the off-the-shelf capabilities of the setup. The traditional high voltage AC-power source was switched to an affordable, handheld plasma lighter. Additionally, the spectrometer was supplemented with a double photodiode circuit to take targeted measurements</w:t>
      </w:r>
      <w:r>
        <w:t xml:space="preserve"> of the Balmer-α and - β lines in the hydrogen spectrum. </w:t>
      </w:r>
    </w:p>
    <w:p w14:paraId="0A6F619F" w14:textId="77777777" w:rsidR="00440BAE" w:rsidRDefault="000E4007">
      <w:pPr>
        <w:tabs>
          <w:tab w:val="right" w:pos="8640"/>
        </w:tabs>
        <w:ind w:firstLine="567"/>
        <w:jc w:val="both"/>
      </w:pPr>
      <w:r>
        <w:t>From this, we established a proof of concept sensor. SLS required it to detect as low as 100 ppm whereas we detected hydrogen in concentrations as low as 50 ppm and in an anaerobic environment.</w:t>
      </w:r>
    </w:p>
    <w:p w14:paraId="6E00CF53" w14:textId="77777777" w:rsidR="00440BAE" w:rsidRDefault="00440BAE">
      <w:pPr>
        <w:tabs>
          <w:tab w:val="right" w:pos="8640"/>
        </w:tabs>
        <w:ind w:firstLine="567"/>
        <w:jc w:val="both"/>
      </w:pPr>
    </w:p>
    <w:p w14:paraId="301E96B1" w14:textId="77777777" w:rsidR="00440BAE" w:rsidRDefault="000E4007">
      <w:pPr>
        <w:tabs>
          <w:tab w:val="right" w:pos="8640"/>
        </w:tabs>
        <w:jc w:val="both"/>
      </w:pPr>
      <w:r>
        <w:t>* W</w:t>
      </w:r>
      <w:r>
        <w:t>ork supported by NASA Kennedy Space Center’s Science Mission Directorate Innovative Research and Development Fund.</w:t>
      </w:r>
    </w:p>
    <w:p w14:paraId="2087E1BD" w14:textId="77777777" w:rsidR="00440BAE" w:rsidRDefault="00440BAE">
      <w:pPr>
        <w:rPr>
          <w:sz w:val="22"/>
          <w:szCs w:val="22"/>
        </w:rPr>
      </w:pPr>
    </w:p>
    <w:sectPr w:rsidR="00440BAE">
      <w:pgSz w:w="12240" w:h="15840"/>
      <w:pgMar w:top="1440" w:right="1699" w:bottom="1440" w:left="1440" w:header="706" w:footer="70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notTrueType/>
    <w:pitch w:val="default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6201A1"/>
    <w:multiLevelType w:val="multilevel"/>
    <w:tmpl w:val="3E1E5776"/>
    <w:lvl w:ilvl="0">
      <w:start w:val="1"/>
      <w:numFmt w:val="lowerLetter"/>
      <w:lvlText w:val="(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(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(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 w16cid:durableId="874846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BAE"/>
    <w:rsid w:val="000E4007"/>
    <w:rsid w:val="0044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14B4B"/>
  <w15:docId w15:val="{058ED912-6C2F-4C45-98AB-A1AC9BFB1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 w:eastAsia="es-E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pPr>
      <w:tabs>
        <w:tab w:val="right" w:pos="8640"/>
      </w:tabs>
      <w:spacing w:after="280" w:line="360" w:lineRule="auto"/>
      <w:jc w:val="both"/>
    </w:pPr>
    <w:rPr>
      <w:rFonts w:ascii="Garamond" w:hAnsi="Garamond"/>
      <w:spacing w:val="-2"/>
      <w:szCs w:val="20"/>
      <w:lang w:val="it-IT" w:eastAsia="en-US"/>
    </w:rPr>
  </w:style>
  <w:style w:type="paragraph" w:customStyle="1" w:styleId="Autore">
    <w:name w:val="Autore"/>
    <w:basedOn w:val="BodyText"/>
    <w:pPr>
      <w:spacing w:after="0" w:line="480" w:lineRule="auto"/>
      <w:jc w:val="center"/>
    </w:pPr>
  </w:style>
  <w:style w:type="paragraph" w:customStyle="1" w:styleId="Sottotitolofrontespizio">
    <w:name w:val="Sottotitolo frontespizio"/>
    <w:basedOn w:val="Normal"/>
    <w:next w:val="BodyText"/>
    <w:pPr>
      <w:keepNext/>
      <w:tabs>
        <w:tab w:val="right" w:pos="8640"/>
      </w:tabs>
      <w:spacing w:after="560"/>
      <w:ind w:left="1800" w:right="1800"/>
      <w:jc w:val="center"/>
    </w:pPr>
    <w:rPr>
      <w:rFonts w:ascii="Garamond" w:hAnsi="Garamond"/>
      <w:spacing w:val="-2"/>
      <w:szCs w:val="20"/>
      <w:lang w:val="it-IT" w:eastAsia="en-US"/>
    </w:rPr>
  </w:style>
  <w:style w:type="character" w:styleId="Hyperlink">
    <w:name w:val="Hyperlink"/>
    <w:rsid w:val="005B610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A107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0798"/>
    <w:rPr>
      <w:rFonts w:ascii="Tahoma" w:hAnsi="Tahoma" w:cs="Tahoma"/>
      <w:sz w:val="16"/>
      <w:szCs w:val="16"/>
      <w:lang w:val="es-ES" w:eastAsia="es-E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nBpdY6YxRhsqMGICzQOiS+5jfg==">CgMxLjA4AHIhMXMyWkpEYTFNeTVPbHVyUkJjZXRSZHhQTF9oeVhWaElC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1866</Characters>
  <Application>Microsoft Office Word</Application>
  <DocSecurity>4</DocSecurity>
  <Lines>15</Lines>
  <Paragraphs>4</Paragraphs>
  <ScaleCrop>false</ScaleCrop>
  <Company>NASA OCIO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</dc:creator>
  <cp:lastModifiedBy>Engeling, Kenneth (KSC-UBE00)</cp:lastModifiedBy>
  <cp:revision>2</cp:revision>
  <dcterms:created xsi:type="dcterms:W3CDTF">2024-09-20T12:39:00Z</dcterms:created>
  <dcterms:modified xsi:type="dcterms:W3CDTF">2024-09-20T12:39:00Z</dcterms:modified>
</cp:coreProperties>
</file>