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B2FFD" w14:textId="0CFFFC84" w:rsidR="004E15B0" w:rsidRDefault="00BA7A58">
      <w:pPr>
        <w:pStyle w:val="Title"/>
      </w:pPr>
      <w:r>
        <w:t>In and Out: A Comparative Analysis of NASA-Built and Industry-Built Spacecraft Costs</w:t>
      </w:r>
    </w:p>
    <w:p w14:paraId="561CD087" w14:textId="45EAA0FE" w:rsidR="004E15B0" w:rsidRPr="00E31146" w:rsidRDefault="00BA7A58">
      <w:pPr>
        <w:pStyle w:val="AuthorNames"/>
      </w:pPr>
      <w:r>
        <w:t>Moon J. Kim, Ph.D.</w:t>
      </w:r>
      <w:r w:rsidR="00223D1F" w:rsidRPr="00E31146">
        <w:t>,</w:t>
      </w:r>
      <w:r w:rsidR="004E15B0" w:rsidRPr="00592807">
        <w:rPr>
          <w:rStyle w:val="FootnoteReference"/>
        </w:rPr>
        <w:footnoteReference w:id="2"/>
      </w:r>
      <w:r w:rsidR="00C37985" w:rsidRPr="00E31146">
        <w:t xml:space="preserve"> </w:t>
      </w:r>
    </w:p>
    <w:p w14:paraId="2A78C028" w14:textId="467399C0" w:rsidR="004E15B0" w:rsidRDefault="00BA7A58">
      <w:pPr>
        <w:pStyle w:val="AuthorAffiliations"/>
      </w:pPr>
      <w:r>
        <w:t>National Aeronautics and Space Administration</w:t>
      </w:r>
      <w:r w:rsidR="00F12266">
        <w:t>,</w:t>
      </w:r>
      <w:r>
        <w:t xml:space="preserve"> Headquarters</w:t>
      </w:r>
      <w:r w:rsidR="004E15B0" w:rsidRPr="00E31146">
        <w:t xml:space="preserve">, </w:t>
      </w:r>
      <w:r>
        <w:t>Washington D.C.</w:t>
      </w:r>
      <w:r w:rsidR="004E15B0" w:rsidRPr="00E31146">
        <w:t xml:space="preserve">, </w:t>
      </w:r>
      <w:r>
        <w:t>DC</w:t>
      </w:r>
      <w:r w:rsidR="004E15B0" w:rsidRPr="00E31146">
        <w:t xml:space="preserve">, </w:t>
      </w:r>
      <w:r>
        <w:t>20546</w:t>
      </w:r>
      <w:r w:rsidR="00475ED5" w:rsidRPr="00E31146">
        <w:t xml:space="preserve">, </w:t>
      </w:r>
      <w:r>
        <w:t>USA</w:t>
      </w:r>
    </w:p>
    <w:p w14:paraId="1477803E" w14:textId="552F0F82" w:rsidR="00BA7A58" w:rsidRPr="00E31146" w:rsidRDefault="00BA7A58" w:rsidP="00BA7A58">
      <w:pPr>
        <w:pStyle w:val="AuthorNames"/>
      </w:pPr>
      <w:r>
        <w:t>Tupper Hype, Ph.D.</w:t>
      </w:r>
      <w:r w:rsidRPr="00592807">
        <w:rPr>
          <w:rStyle w:val="FootnoteReference"/>
        </w:rPr>
        <w:footnoteReference w:id="3"/>
      </w:r>
    </w:p>
    <w:p w14:paraId="58717A8E" w14:textId="5CEB3596" w:rsidR="00BA7A58" w:rsidRPr="00BA7A58" w:rsidRDefault="00BA7A58" w:rsidP="00BA7A58">
      <w:pPr>
        <w:pStyle w:val="AuthorAffiliations"/>
      </w:pPr>
      <w:r>
        <w:t>National Aeronautics and Space Administration</w:t>
      </w:r>
      <w:r w:rsidR="00F12266">
        <w:t>,</w:t>
      </w:r>
      <w:r>
        <w:t xml:space="preserve"> Goddard Space Flight Center</w:t>
      </w:r>
      <w:r w:rsidRPr="00E31146">
        <w:t xml:space="preserve">, </w:t>
      </w:r>
      <w:r>
        <w:t>Greenbelt</w:t>
      </w:r>
      <w:r w:rsidRPr="00E31146">
        <w:t xml:space="preserve">, </w:t>
      </w:r>
      <w:r>
        <w:t>MD</w:t>
      </w:r>
      <w:r w:rsidRPr="00E31146">
        <w:t xml:space="preserve">, </w:t>
      </w:r>
      <w:r>
        <w:t>20771</w:t>
      </w:r>
      <w:r w:rsidRPr="00E31146">
        <w:t xml:space="preserve">, </w:t>
      </w:r>
      <w:r>
        <w:t>USA</w:t>
      </w:r>
    </w:p>
    <w:p w14:paraId="77EE8506" w14:textId="69BCAF23" w:rsidR="004E15B0" w:rsidRDefault="00B05574" w:rsidP="00B05574">
      <w:pPr>
        <w:pStyle w:val="StyleAbstractLinespacingDouble1"/>
      </w:pPr>
      <w:r>
        <w:t>Spacecraft development is costly and complex, requiring diverse management and acquisition strategies. As the private sector's role grows, cost models must account for varying private sector participation. Existing models focus on project ownership, distinguishing between traditional procurement and commercial development. Science missions without commercial value rely on traditional procurement, where a public agency leads. Within this approach, agencies must decide whether to develop spacecraft in-house or contract with industry.</w:t>
      </w:r>
      <w:r w:rsidR="009F4D1C">
        <w:t xml:space="preserve"> </w:t>
      </w:r>
      <w:bookmarkStart w:id="0" w:name="_Hlk191041343"/>
      <w:r>
        <w:t>This study examines whether spacecraft developer type—NASA in-house or industry—affects spacecraft cost under traditional procurement. A multi-variable regression model finds that industry-built spacecraft are generally less costly, especially for lower-risk classification C and D projects. However, for higher-risk class A/B projects, developer type has no significant impact. Additionally, spacecraft developer type does not significantly affect total project cost, regardless of risk classification. Consistent with existing models, spacecraft mass remains the primary cost driver, with mission risk classification and deep-space operation also influencing costs. These findings offer insights into spacecraft cost dynamics, particularly in complex missions, and suggest ways to leverage industry cost advantages in public programs.</w:t>
      </w:r>
      <w:bookmarkEnd w:id="0"/>
    </w:p>
    <w:p w14:paraId="291BB7A6" w14:textId="77777777" w:rsidR="00911E3B" w:rsidRPr="00E31146" w:rsidRDefault="00911E3B" w:rsidP="00911E3B">
      <w:pPr>
        <w:pStyle w:val="Heading1"/>
      </w:pPr>
      <w:r w:rsidRPr="00E31146">
        <w:t>Nomenclature</w:t>
      </w:r>
    </w:p>
    <w:p w14:paraId="57465DDA" w14:textId="3E68B0AC" w:rsidR="00911E3B" w:rsidRPr="00E31146" w:rsidRDefault="00911E3B" w:rsidP="00911E3B">
      <w:pPr>
        <w:pStyle w:val="Nomenclature"/>
        <w:tabs>
          <w:tab w:val="clear" w:pos="864"/>
          <w:tab w:val="clear" w:pos="1152"/>
          <w:tab w:val="left" w:pos="540"/>
          <w:tab w:val="left" w:pos="990"/>
        </w:tabs>
        <w:spacing w:line="480" w:lineRule="auto"/>
      </w:pPr>
      <w:r>
        <w:rPr>
          <w:i/>
        </w:rPr>
        <w:t>y</w:t>
      </w:r>
      <w:r w:rsidRPr="00E31146">
        <w:tab/>
        <w:t>=</w:t>
      </w:r>
      <w:r w:rsidRPr="00E31146">
        <w:tab/>
      </w:r>
      <w:r>
        <w:t>spacecraft cost in dollars</w:t>
      </w:r>
    </w:p>
    <w:p w14:paraId="418B6BB5" w14:textId="4FE7F41C" w:rsidR="00911E3B" w:rsidRPr="00E31146" w:rsidRDefault="00911E3B" w:rsidP="00911E3B">
      <w:pPr>
        <w:pStyle w:val="Nomenclature"/>
        <w:tabs>
          <w:tab w:val="clear" w:pos="864"/>
          <w:tab w:val="clear" w:pos="1152"/>
          <w:tab w:val="left" w:pos="540"/>
          <w:tab w:val="left" w:pos="990"/>
        </w:tabs>
        <w:spacing w:line="480" w:lineRule="auto"/>
      </w:pPr>
      <m:oMath>
        <m:sSub>
          <m:sSubPr>
            <m:ctrlPr>
              <w:rPr>
                <w:rFonts w:ascii="Cambria Math" w:hAnsi="Cambria Math"/>
                <w:i/>
              </w:rPr>
            </m:ctrlPr>
          </m:sSubPr>
          <m:e>
            <m:r>
              <w:rPr>
                <w:rFonts w:ascii="Cambria Math" w:hAnsi="Cambria Math"/>
              </w:rPr>
              <m:t>x</m:t>
            </m:r>
          </m:e>
          <m:sub>
            <m:r>
              <w:rPr>
                <w:rFonts w:ascii="Cambria Math" w:hAnsi="Cambria Math"/>
              </w:rPr>
              <m:t>1</m:t>
            </m:r>
          </m:sub>
        </m:sSub>
      </m:oMath>
      <w:r w:rsidRPr="00E31146">
        <w:rPr>
          <w:i/>
        </w:rPr>
        <w:tab/>
      </w:r>
      <w:r w:rsidRPr="00E31146">
        <w:t>=</w:t>
      </w:r>
      <w:r w:rsidRPr="00E31146">
        <w:tab/>
      </w:r>
      <w:r>
        <w:t>Spacecraft Developer (0 if NASA, 1 if otherwise)</w:t>
      </w:r>
    </w:p>
    <w:p w14:paraId="1CAFCDBB" w14:textId="0CD11E6D" w:rsidR="00911E3B" w:rsidRPr="00E31146" w:rsidRDefault="00911E3B" w:rsidP="00911E3B">
      <w:pPr>
        <w:pStyle w:val="Nomenclature"/>
        <w:tabs>
          <w:tab w:val="clear" w:pos="864"/>
          <w:tab w:val="clear" w:pos="1152"/>
          <w:tab w:val="left" w:pos="540"/>
          <w:tab w:val="left" w:pos="990"/>
        </w:tabs>
        <w:spacing w:line="480" w:lineRule="auto"/>
      </w:pPr>
      <m:oMath>
        <m:sSub>
          <m:sSubPr>
            <m:ctrlPr>
              <w:rPr>
                <w:rFonts w:ascii="Cambria Math" w:hAnsi="Cambria Math"/>
                <w:i/>
              </w:rPr>
            </m:ctrlPr>
          </m:sSubPr>
          <m:e>
            <m:r>
              <w:rPr>
                <w:rFonts w:ascii="Cambria Math" w:hAnsi="Cambria Math"/>
              </w:rPr>
              <m:t>x</m:t>
            </m:r>
          </m:e>
          <m:sub>
            <m:r>
              <w:rPr>
                <w:rFonts w:ascii="Cambria Math" w:hAnsi="Cambria Math"/>
              </w:rPr>
              <m:t>2</m:t>
            </m:r>
          </m:sub>
        </m:sSub>
      </m:oMath>
      <w:r w:rsidRPr="00E31146">
        <w:rPr>
          <w:vertAlign w:val="subscript"/>
        </w:rPr>
        <w:tab/>
      </w:r>
      <w:r w:rsidRPr="00E31146">
        <w:t>=</w:t>
      </w:r>
      <w:r w:rsidRPr="00E31146">
        <w:tab/>
      </w:r>
      <w:r>
        <w:t>log of dry mass in kilograms</w:t>
      </w:r>
    </w:p>
    <w:p w14:paraId="1F7443A5" w14:textId="46E6ABCF" w:rsidR="00911E3B" w:rsidRPr="00E31146" w:rsidRDefault="00911E3B" w:rsidP="00911E3B">
      <w:pPr>
        <w:pStyle w:val="Nomenclature"/>
        <w:tabs>
          <w:tab w:val="clear" w:pos="864"/>
          <w:tab w:val="clear" w:pos="1152"/>
          <w:tab w:val="left" w:pos="540"/>
          <w:tab w:val="left" w:pos="990"/>
        </w:tabs>
        <w:spacing w:line="480" w:lineRule="auto"/>
      </w:pPr>
      <m:oMath>
        <m:sSub>
          <m:sSubPr>
            <m:ctrlPr>
              <w:rPr>
                <w:rFonts w:ascii="Cambria Math" w:hAnsi="Cambria Math"/>
                <w:i/>
              </w:rPr>
            </m:ctrlPr>
          </m:sSubPr>
          <m:e>
            <m:r>
              <w:rPr>
                <w:rFonts w:ascii="Cambria Math" w:hAnsi="Cambria Math"/>
              </w:rPr>
              <m:t>x</m:t>
            </m:r>
          </m:e>
          <m:sub>
            <m:r>
              <w:rPr>
                <w:rFonts w:ascii="Cambria Math" w:hAnsi="Cambria Math"/>
              </w:rPr>
              <m:t>3</m:t>
            </m:r>
          </m:sub>
        </m:sSub>
      </m:oMath>
      <w:r w:rsidRPr="00E31146">
        <w:tab/>
        <w:t>=</w:t>
      </w:r>
      <w:r w:rsidRPr="00E31146">
        <w:tab/>
      </w:r>
      <w:r>
        <w:t>Mission Risk Classification (0 if Class A/B, 1 if otherwise)</w:t>
      </w:r>
    </w:p>
    <w:p w14:paraId="4A53DA12" w14:textId="284DAA13" w:rsidR="00911E3B" w:rsidRPr="00E31146" w:rsidRDefault="00911E3B" w:rsidP="00911E3B">
      <w:pPr>
        <w:pStyle w:val="Nomenclature"/>
        <w:tabs>
          <w:tab w:val="clear" w:pos="864"/>
          <w:tab w:val="clear" w:pos="1152"/>
          <w:tab w:val="left" w:pos="540"/>
          <w:tab w:val="left" w:pos="990"/>
        </w:tabs>
        <w:spacing w:line="480" w:lineRule="auto"/>
      </w:pPr>
      <m:oMath>
        <m:sSub>
          <m:sSubPr>
            <m:ctrlPr>
              <w:rPr>
                <w:rFonts w:ascii="Cambria Math" w:hAnsi="Cambria Math"/>
                <w:i/>
              </w:rPr>
            </m:ctrlPr>
          </m:sSubPr>
          <m:e>
            <m:r>
              <w:rPr>
                <w:rFonts w:ascii="Cambria Math" w:hAnsi="Cambria Math"/>
              </w:rPr>
              <m:t>x</m:t>
            </m:r>
          </m:e>
          <m:sub>
            <m:r>
              <w:rPr>
                <w:rFonts w:ascii="Cambria Math" w:hAnsi="Cambria Math"/>
              </w:rPr>
              <m:t>4</m:t>
            </m:r>
          </m:sub>
        </m:sSub>
      </m:oMath>
      <w:r w:rsidRPr="00E31146">
        <w:tab/>
        <w:t>=</w:t>
      </w:r>
      <w:r w:rsidRPr="00E31146">
        <w:tab/>
      </w:r>
      <w:r>
        <w:t>Near Earth Operations (0 if non-Near Earth, 1 if otherwise)</w:t>
      </w:r>
    </w:p>
    <w:p w14:paraId="0DE1C92C" w14:textId="58FA763E" w:rsidR="00911E3B" w:rsidRPr="00E31146" w:rsidRDefault="00911E3B" w:rsidP="00911E3B">
      <w:pPr>
        <w:pStyle w:val="Nomenclature"/>
        <w:tabs>
          <w:tab w:val="clear" w:pos="864"/>
          <w:tab w:val="clear" w:pos="1152"/>
          <w:tab w:val="left" w:pos="540"/>
          <w:tab w:val="left" w:pos="990"/>
        </w:tabs>
        <w:spacing w:line="480" w:lineRule="auto"/>
      </w:pPr>
      <m:oMath>
        <m:sSub>
          <m:sSubPr>
            <m:ctrlPr>
              <w:rPr>
                <w:rFonts w:ascii="Cambria Math" w:hAnsi="Cambria Math"/>
                <w:i/>
              </w:rPr>
            </m:ctrlPr>
          </m:sSubPr>
          <m:e>
            <m:r>
              <w:rPr>
                <w:rFonts w:ascii="Cambria Math" w:hAnsi="Cambria Math"/>
              </w:rPr>
              <m:t>x</m:t>
            </m:r>
          </m:e>
          <m:sub>
            <m:r>
              <w:rPr>
                <w:rFonts w:ascii="Cambria Math" w:hAnsi="Cambria Math"/>
              </w:rPr>
              <m:t>5</m:t>
            </m:r>
          </m:sub>
        </m:sSub>
      </m:oMath>
      <w:r w:rsidRPr="00E31146">
        <w:tab/>
        <w:t>=</w:t>
      </w:r>
      <w:r w:rsidRPr="00E31146">
        <w:tab/>
      </w:r>
      <w:r>
        <w:t>Lander (0 if non-Lander, 1 if otherwise)</w:t>
      </w:r>
    </w:p>
    <w:p w14:paraId="3FF84659" w14:textId="77777777" w:rsidR="008C2F99" w:rsidRPr="00E31146" w:rsidRDefault="008C2F99" w:rsidP="008C2F99">
      <w:pPr>
        <w:pStyle w:val="Heading1"/>
        <w:numPr>
          <w:ilvl w:val="0"/>
          <w:numId w:val="38"/>
        </w:numPr>
        <w:ind w:left="360"/>
      </w:pPr>
      <w:r w:rsidRPr="00E31146">
        <w:t>Introduction</w:t>
      </w:r>
    </w:p>
    <w:p w14:paraId="11FF2814" w14:textId="53FC6446" w:rsidR="003D0780" w:rsidRDefault="00867529" w:rsidP="0050676B">
      <w:pPr>
        <w:pStyle w:val="Text"/>
      </w:pPr>
      <w:r>
        <w:t>S</w:t>
      </w:r>
      <w:r w:rsidR="00C560E6">
        <w:t xml:space="preserve">pacecraft </w:t>
      </w:r>
      <w:r>
        <w:t xml:space="preserve">development </w:t>
      </w:r>
      <w:r w:rsidR="00582B9E">
        <w:t>has historically been</w:t>
      </w:r>
      <w:r w:rsidR="00C560E6">
        <w:t xml:space="preserve"> a </w:t>
      </w:r>
      <w:proofErr w:type="gramStart"/>
      <w:r w:rsidR="00BF79D1">
        <w:t>high-cost</w:t>
      </w:r>
      <w:proofErr w:type="gramEnd"/>
      <w:r w:rsidR="00C560E6">
        <w:t xml:space="preserve"> </w:t>
      </w:r>
      <w:r>
        <w:t xml:space="preserve">undertaking that involve </w:t>
      </w:r>
      <w:r w:rsidR="00D321F0">
        <w:t>complex</w:t>
      </w:r>
      <w:r>
        <w:t xml:space="preserve"> governance</w:t>
      </w:r>
      <w:r w:rsidR="001344DD">
        <w:t>,</w:t>
      </w:r>
      <w:r>
        <w:t xml:space="preserve"> management</w:t>
      </w:r>
      <w:r w:rsidR="001344DD">
        <w:t>, and acquisition</w:t>
      </w:r>
      <w:r>
        <w:t xml:space="preserve"> strategies. </w:t>
      </w:r>
      <w:r w:rsidR="006265B4">
        <w:t>As public space agencies continue to push the boundaries of exploration, the role of private industry is expanding, leveraging its competitive advantages to enhance project outcomes.</w:t>
      </w:r>
      <w:r w:rsidR="00A40A89">
        <w:t xml:space="preserve"> </w:t>
      </w:r>
      <w:r w:rsidR="00C0321A">
        <w:t>There are several benefits of internal spacecraft development:</w:t>
      </w:r>
      <w:r w:rsidR="00D321F0">
        <w:t xml:space="preserve"> mainly the absence of </w:t>
      </w:r>
      <w:r w:rsidR="00C0321A">
        <w:t>contracting delay</w:t>
      </w:r>
      <w:r w:rsidR="00D321F0">
        <w:t xml:space="preserve"> and </w:t>
      </w:r>
      <w:r w:rsidR="00C0321A">
        <w:t>overhead</w:t>
      </w:r>
      <w:r w:rsidR="00C0321A" w:rsidRPr="00C0321A">
        <w:t>,</w:t>
      </w:r>
      <w:r w:rsidR="00C0321A">
        <w:t xml:space="preserve"> accommodation of</w:t>
      </w:r>
      <w:r w:rsidR="00C0321A" w:rsidRPr="00C0321A">
        <w:t xml:space="preserve"> first-of-a-kind</w:t>
      </w:r>
      <w:r w:rsidR="00C0321A">
        <w:t xml:space="preserve"> mission profile or </w:t>
      </w:r>
      <w:r w:rsidR="00C0321A" w:rsidRPr="00C0321A">
        <w:t>technolog</w:t>
      </w:r>
      <w:r w:rsidR="00C0321A">
        <w:t xml:space="preserve">y, and ability to handle </w:t>
      </w:r>
      <w:r w:rsidR="00C0321A" w:rsidRPr="00C0321A">
        <w:t>complex</w:t>
      </w:r>
      <w:r w:rsidR="00C0321A">
        <w:t xml:space="preserve"> programmatics</w:t>
      </w:r>
      <w:r w:rsidR="00C0321A" w:rsidRPr="00C0321A">
        <w:t xml:space="preserve"> and </w:t>
      </w:r>
      <w:r w:rsidR="00C0321A">
        <w:t xml:space="preserve">evolving requirements. There are also several benefits of spacecraft built by industry: access to production (standard repeat build) models, supporting private space economic growth, and the general edict that government should not compete with industry. </w:t>
      </w:r>
      <w:r w:rsidR="001067EB">
        <w:t>Among these advantages, cost savings driven by economies of scale and competition are particularly significant</w:t>
      </w:r>
      <w:r w:rsidR="0050676B">
        <w:t xml:space="preserve"> </w:t>
      </w:r>
      <w:r w:rsidR="0050676B">
        <w:fldChar w:fldCharType="begin"/>
      </w:r>
      <w:r w:rsidR="0050676B">
        <w:instrText xml:space="preserve"> ADDIN ZOTERO_ITEM CSL_CITATION {"citationID":"DE5zLR0R","properties":{"formattedCitation":"[1\\uc0\\u8211{}3]","plainCitation":"[1–3]","noteIndex":0},"citationItems":[{"id":563,"uris":["http://zotero.org/users/5839368/items/IJPNZ6KB"],"itemData":{"id":563,"type":"paper-conference","container-title":"Cost Methods and Analysis","DOI":"https://doi.org/10.2514/6.2016-5245","event-place":"Long Beach, CA","event-title":"AIAA Space 2016","publisher":"AIAA","publisher-place":"Long Beach, CA","title":"A Survey of Cost Estimating Methodologies for Distrubted Spacecraft Missions","author":[{"family":"Foreman","given":"Veronica"},{"family":"Le Moigne","given":"Jacqueline"},{"family":"Weck","given":"Olivier","non-dropping-particle":"de"}],"issued":{"date-parts":[["2016",9,13]]}}},{"id":518,"uris":["http://zotero.org/users/5839368/items/W5Z4C5V9"],"itemData":{"id":518,"type":"report","event-place":"Los Angeles, California","publisher":"Reason Foundation","publisher-place":"Los Angeles, California","title":"The Economics of Space: An Industry Ready to Launch","URL":"https://reason.org/wp-content/uploads/economics-of-space.pdf","author":[{"family":"Greason","given":"Jeff"},{"family":"Bennett","given":"James C."}],"issued":{"date-parts":[["2019",6]]}}},{"id":532,"uris":["http://zotero.org/users/5839368/items/ZELPFJIN"],"itemData":{"id":532,"type":"document","publisher":"Harvard Business School","title":"SpaceX, Economies of Scale, and a Revolution in Space Access - HBS Case Collection","URL":"https://www.hbs.edu/faculty/Pages/item.aspx?num=57679#:~:text=Using%20reusable%20rockets%20to%20exploit,to%20newcomers%20in%20the%20industry.","author":[{"family":"Weinzierl","given":"Matthew C."},{"family":"Lucas","given":"Kylie"},{"family":"Sarang","given":"Mehak"}],"accessed":{"date-parts":[["2023",10,6]]},"issued":{"date-parts":[["2021",10]]}}}],"schema":"https://github.com/citation-style-language/schema/raw/master/csl-citation.json"} </w:instrText>
      </w:r>
      <w:r w:rsidR="0050676B">
        <w:fldChar w:fldCharType="separate"/>
      </w:r>
      <w:r w:rsidR="0050676B" w:rsidRPr="0060392D">
        <w:rPr>
          <w:szCs w:val="24"/>
        </w:rPr>
        <w:t>[1–3]</w:t>
      </w:r>
      <w:r w:rsidR="0050676B">
        <w:fldChar w:fldCharType="end"/>
      </w:r>
      <w:r w:rsidR="0050676B">
        <w:t>.</w:t>
      </w:r>
      <w:r w:rsidR="00C552B7">
        <w:t xml:space="preserve"> In this environment,</w:t>
      </w:r>
      <w:r w:rsidR="00CB3BFD">
        <w:t xml:space="preserve"> </w:t>
      </w:r>
      <w:r w:rsidR="00C552B7">
        <w:t>g</w:t>
      </w:r>
      <w:r w:rsidR="001067EB">
        <w:t>aining a deeper understanding of the dynamics between private and public entities in space projects can help decision-makers more effectively harness the potential for cost efficiencies.</w:t>
      </w:r>
    </w:p>
    <w:p w14:paraId="54CF9DF0" w14:textId="74D26C7A" w:rsidR="00BE5167" w:rsidRDefault="003B0D3B" w:rsidP="00B020A6">
      <w:pPr>
        <w:pStyle w:val="Text"/>
      </w:pPr>
      <w:r>
        <w:t xml:space="preserve">Previous studies comparing </w:t>
      </w:r>
      <w:r w:rsidR="002012D2">
        <w:t xml:space="preserve">the cost performance of </w:t>
      </w:r>
      <w:r>
        <w:t>public and private entities in the space sector primarily focus on overall project governance structure. In essence, these studies examine the cost differences between space systems</w:t>
      </w:r>
      <w:r w:rsidR="00C14920">
        <w:t xml:space="preserve"> development</w:t>
      </w:r>
      <w:r>
        <w:t xml:space="preserve"> managed by NASA versus those managed by private industry. A notable example is the </w:t>
      </w:r>
      <w:r>
        <w:rPr>
          <w:rStyle w:val="Emphasis"/>
        </w:rPr>
        <w:t>Commercial Market Assessment for Crew and Cargo Systems</w:t>
      </w:r>
      <w:r>
        <w:t xml:space="preserve"> report, which estimated that developing a Falcon 9-like vehicle through NASA's traditional procurement approach would have cost nearly $4 billion, compared to SpaceX's reported development cost of $390 million </w:t>
      </w:r>
      <w:r>
        <w:fldChar w:fldCharType="begin"/>
      </w:r>
      <w:r w:rsidR="00295884">
        <w:instrText xml:space="preserve"> ADDIN ZOTERO_ITEM CSL_CITATION {"citationID":"mwHX3JHB","properties":{"formattedCitation":"[4]","plainCitation":"[4]","noteIndex":0},"citationItems":[{"id":517,"uris":["http://zotero.org/users/5839368/items/VZU945X4"],"itemData":{"id":517,"type":"document","publisher":"National Aeronautics and Space Administration","title":"Commercial Market Assessment for Crew and Cargo Systems Pursuant to Section 403 of the NASA Authorization Act of 2010 (P.L. 111-267)","URL":"https://www.nasa.gov/sites/default/files/files/Section403(b)CommercialMarketAssessmentReportFinal.pdf","author":[{"family":"NASA","given":""}],"issued":{"date-parts":[["2011",4,27]]}}}],"schema":"https://github.com/citation-style-language/schema/raw/master/csl-citation.json"} </w:instrText>
      </w:r>
      <w:r>
        <w:fldChar w:fldCharType="separate"/>
      </w:r>
      <w:r w:rsidR="00295884" w:rsidRPr="00295884">
        <w:t>[4]</w:t>
      </w:r>
      <w:r>
        <w:fldChar w:fldCharType="end"/>
      </w:r>
      <w:r>
        <w:t>.</w:t>
      </w:r>
    </w:p>
    <w:p w14:paraId="0A697351" w14:textId="7C7DF446" w:rsidR="00435241" w:rsidRDefault="002C47C9" w:rsidP="00191036">
      <w:pPr>
        <w:pStyle w:val="Text"/>
      </w:pPr>
      <w:r>
        <w:t>This study explores a more nuanced integration of private entities into space programs. Scientific missions often lack commercial profitability</w:t>
      </w:r>
      <w:r w:rsidR="00574917">
        <w:t xml:space="preserve"> and are one-of-a-kind or first-of-a-kind developments.</w:t>
      </w:r>
      <w:r>
        <w:t xml:space="preserve"> </w:t>
      </w:r>
      <w:r w:rsidR="00574917">
        <w:t xml:space="preserve">Current </w:t>
      </w:r>
      <w:r w:rsidR="0092358A">
        <w:t>economics of space missions</w:t>
      </w:r>
      <w:r w:rsidR="00574917">
        <w:t xml:space="preserve"> </w:t>
      </w:r>
      <w:r>
        <w:t xml:space="preserve">limit public agencies to </w:t>
      </w:r>
      <w:r w:rsidR="00AA779B">
        <w:t xml:space="preserve">the </w:t>
      </w:r>
      <w:r>
        <w:t>traditional procurement approach</w:t>
      </w:r>
      <w:r w:rsidR="00AA779B">
        <w:t>,</w:t>
      </w:r>
      <w:r>
        <w:t xml:space="preserve"> requir</w:t>
      </w:r>
      <w:r w:rsidR="00AA779B">
        <w:t>ing</w:t>
      </w:r>
      <w:r>
        <w:t xml:space="preserve"> public entities to manage </w:t>
      </w:r>
      <w:r w:rsidR="00574917">
        <w:t xml:space="preserve">overall </w:t>
      </w:r>
      <w:r>
        <w:t xml:space="preserve">financing, design, and development responsibilities </w:t>
      </w:r>
      <w:r>
        <w:fldChar w:fldCharType="begin"/>
      </w:r>
      <w:r w:rsidR="00295884">
        <w:instrText xml:space="preserve"> ADDIN ZOTERO_ITEM CSL_CITATION {"citationID":"pbuLEDgb","properties":{"formattedCitation":"[5]","plainCitation":"[5]","noteIndex":0},"citationItems":[{"id":107,"uris":["http://zotero.org/users/5839368/items/IKC84DGP"],"itemData":{"id":107,"type":"article-journal","container-title":"Space Policy","DOI":"https://doi.org/10.1016/j.spacepol.2023.101549","page":"101549","title":"Toward Coherence: A Space Sector Public-Private Partnership Typology","volume":"64","author":[{"family":"Kim","given":"Moon J."}],"issued":{"date-parts":[["2023",5]]}}}],"schema":"https://github.com/citation-style-language/schema/raw/master/csl-citation.json"} </w:instrText>
      </w:r>
      <w:r>
        <w:fldChar w:fldCharType="separate"/>
      </w:r>
      <w:r w:rsidR="00295884" w:rsidRPr="00295884">
        <w:t>[5]</w:t>
      </w:r>
      <w:r>
        <w:fldChar w:fldCharType="end"/>
      </w:r>
      <w:r>
        <w:t xml:space="preserve">. Even </w:t>
      </w:r>
      <w:r w:rsidR="00AA779B">
        <w:t>in such approach</w:t>
      </w:r>
      <w:r>
        <w:t>, public agencies face a choice: develop and build the spacecraft in-house or outsource it to private contractors. In this context, the study aims to determine whether the type of spacecraft developer—NASA or industry—has a statistically significant effect on spacecraft cost</w:t>
      </w:r>
      <w:r w:rsidR="007F3593">
        <w:t xml:space="preserve"> </w:t>
      </w:r>
      <w:r w:rsidR="007F3593">
        <w:lastRenderedPageBreak/>
        <w:t xml:space="preserve">and total </w:t>
      </w:r>
      <w:r w:rsidR="00435241">
        <w:t xml:space="preserve">project </w:t>
      </w:r>
      <w:r w:rsidR="007F3593">
        <w:t>cost</w:t>
      </w:r>
      <w:r w:rsidR="000B77C1">
        <w:t xml:space="preserve"> </w:t>
      </w:r>
      <w:r w:rsidR="009C0072">
        <w:t>in NASA managed projects</w:t>
      </w:r>
      <w:r w:rsidR="0052034E">
        <w:t xml:space="preserve"> with minimal </w:t>
      </w:r>
      <w:r w:rsidR="009C0072">
        <w:t>economies of scale and competitio</w:t>
      </w:r>
      <w:r w:rsidR="0052034E">
        <w:t>n</w:t>
      </w:r>
      <w:r w:rsidR="00BC36BA">
        <w:t xml:space="preserve">. </w:t>
      </w:r>
      <w:r>
        <w:t xml:space="preserve">To address this question, a multi-variable linear regression model is used, incorporating independent variables such as mission risk classification, dry mass, whether the spacecraft is a lander, and </w:t>
      </w:r>
      <w:r w:rsidRPr="00D321F0">
        <w:t>whether it is</w:t>
      </w:r>
      <w:r w:rsidR="006717A0" w:rsidRPr="00D321F0">
        <w:t xml:space="preserve"> designed for near</w:t>
      </w:r>
      <w:r w:rsidR="00204DF2" w:rsidRPr="00D321F0">
        <w:t>-E</w:t>
      </w:r>
      <w:r w:rsidR="006717A0" w:rsidRPr="00D321F0">
        <w:t>arth operation</w:t>
      </w:r>
      <w:r w:rsidR="00204DF2" w:rsidRPr="00D321F0">
        <w:t>s</w:t>
      </w:r>
      <w:r w:rsidRPr="00D321F0">
        <w:t>.</w:t>
      </w:r>
      <w:r w:rsidR="007A209B">
        <w:t xml:space="preserve"> </w:t>
      </w:r>
    </w:p>
    <w:p w14:paraId="644027E3" w14:textId="54825BA3" w:rsidR="00722FD3" w:rsidRDefault="00411A38" w:rsidP="00722FD3">
      <w:pPr>
        <w:pStyle w:val="Text"/>
      </w:pPr>
      <w:r>
        <w:t xml:space="preserve">The results of this study indicate that, while industry-built spacecraft are generally less costly than NASA-built spacecraft, factors such as dry mass and mission risk classification have a more significant impact on spacecraft cost. Notably, the spacecraft developer </w:t>
      </w:r>
      <w:r w:rsidR="007F5A31">
        <w:t xml:space="preserve">variable </w:t>
      </w:r>
      <w:r>
        <w:t xml:space="preserve">does not significantly affect cost for the more technologically complex </w:t>
      </w:r>
      <w:r w:rsidR="0042013F">
        <w:t xml:space="preserve">risk classification </w:t>
      </w:r>
      <w:r w:rsidR="00B05574">
        <w:t>A/B (Class A/B)</w:t>
      </w:r>
      <w:r>
        <w:t xml:space="preserve"> projects. In contrast, for less complex </w:t>
      </w:r>
      <w:r w:rsidR="00B05574">
        <w:t>mission classification</w:t>
      </w:r>
      <w:r>
        <w:t xml:space="preserve"> C and D</w:t>
      </w:r>
      <w:r w:rsidR="00B05574">
        <w:t xml:space="preserve"> (Class C/D)</w:t>
      </w:r>
      <w:r>
        <w:t xml:space="preserve"> projects, industry-built spacecraft result in lower costs compared to NASA-built ones. Furthermore, the spacecraft developer variable has no statistically significant effect on overall project cost, regardless of mission risk classification. These findings contribute to the existing literature by offering </w:t>
      </w:r>
      <w:r w:rsidR="00697185">
        <w:t>a more granular</w:t>
      </w:r>
      <w:r w:rsidR="00BC36BA">
        <w:t xml:space="preserve"> </w:t>
      </w:r>
      <w:r>
        <w:t>insight into the dynamics between spacecraft developer</w:t>
      </w:r>
      <w:r w:rsidR="00ED0AAE">
        <w:t xml:space="preserve"> </w:t>
      </w:r>
      <w:r>
        <w:t>and cost.</w:t>
      </w:r>
      <w:r w:rsidR="00DF4AAC">
        <w:t xml:space="preserve"> </w:t>
      </w:r>
      <w:r w:rsidR="00722FD3">
        <w:t>In particular</w:t>
      </w:r>
      <w:r w:rsidR="00F16C05">
        <w:t>, t</w:t>
      </w:r>
      <w:r w:rsidR="00ED0AAE">
        <w:t>he study offers a new perspective</w:t>
      </w:r>
      <w:r w:rsidR="00A97366">
        <w:t xml:space="preserve"> </w:t>
      </w:r>
      <w:r w:rsidR="0031468C">
        <w:t>on</w:t>
      </w:r>
      <w:r w:rsidR="00D111C9">
        <w:t xml:space="preserve"> </w:t>
      </w:r>
      <w:r w:rsidR="0031468C">
        <w:t xml:space="preserve">the </w:t>
      </w:r>
      <w:r w:rsidR="00722FD3">
        <w:t>scope</w:t>
      </w:r>
      <w:r w:rsidR="0031468C">
        <w:t xml:space="preserve"> of </w:t>
      </w:r>
      <w:r w:rsidR="00F62ED7">
        <w:t>industry</w:t>
      </w:r>
      <w:r w:rsidR="00B34C8B">
        <w:t>’s</w:t>
      </w:r>
      <w:r w:rsidR="00F62ED7">
        <w:t xml:space="preserve"> </w:t>
      </w:r>
      <w:r w:rsidR="00DB471B">
        <w:t>cost</w:t>
      </w:r>
      <w:r w:rsidR="00B34C8B">
        <w:t xml:space="preserve"> </w:t>
      </w:r>
      <w:r w:rsidR="00DB471B">
        <w:t xml:space="preserve">advantages and how </w:t>
      </w:r>
      <w:r w:rsidR="00F46A7A">
        <w:t>these advantages</w:t>
      </w:r>
      <w:r w:rsidR="00DB471B">
        <w:t xml:space="preserve"> can be leveraged more effectively</w:t>
      </w:r>
      <w:r w:rsidR="00F46A7A">
        <w:t xml:space="preserve"> to achieve government’s goals</w:t>
      </w:r>
      <w:r w:rsidR="00DB471B">
        <w:t>.</w:t>
      </w:r>
      <w:r w:rsidR="00ED0AAE">
        <w:t xml:space="preserve"> </w:t>
      </w:r>
    </w:p>
    <w:p w14:paraId="5391396C" w14:textId="38AC4890" w:rsidR="00722FD3" w:rsidRDefault="00152CBF" w:rsidP="00722FD3">
      <w:pPr>
        <w:pStyle w:val="Text"/>
      </w:pPr>
      <w:r>
        <w:t>The next section reviews the literature on cost models in the aerospace sector, emphasizing the absence of spacecraft developer as a variable in existing models. The third section details the study's methodology, including the data and regression model used. The fourth section presents the model's results, followed by an in-depth discussion. Finally, the paper addresses its limitations and concludes with key takeaways.</w:t>
      </w:r>
    </w:p>
    <w:p w14:paraId="5C903217" w14:textId="4CC4EF90" w:rsidR="00134C81" w:rsidRDefault="00402DAD" w:rsidP="00722FD3">
      <w:pPr>
        <w:pStyle w:val="Text"/>
      </w:pPr>
      <w:r>
        <w:t>For</w:t>
      </w:r>
      <w:r w:rsidR="00134C81">
        <w:t xml:space="preserve"> </w:t>
      </w:r>
      <w:r w:rsidR="00F7088D">
        <w:t>this study</w:t>
      </w:r>
      <w:r w:rsidR="00134C81">
        <w:t>,</w:t>
      </w:r>
      <w:r w:rsidR="008F0FB2">
        <w:t xml:space="preserve"> </w:t>
      </w:r>
      <w:r w:rsidR="008C28EA">
        <w:t>t</w:t>
      </w:r>
      <w:r w:rsidR="008F0FB2">
        <w:t xml:space="preserve">he </w:t>
      </w:r>
      <w:r w:rsidR="00FD7DF0">
        <w:t>research</w:t>
      </w:r>
      <w:r w:rsidR="008F0FB2">
        <w:t xml:space="preserve"> team </w:t>
      </w:r>
      <w:r w:rsidR="002C6C33">
        <w:t>categorize</w:t>
      </w:r>
      <w:r w:rsidR="008C28EA">
        <w:t>d</w:t>
      </w:r>
      <w:r w:rsidR="002C6C33">
        <w:t xml:space="preserve"> </w:t>
      </w:r>
      <w:r w:rsidR="008C28EA">
        <w:t xml:space="preserve">the Jet Propulsion Laboratory (JPL) of the California Institute of Technology and the Applied Physics Laboratory (APL) of the Johns Hopkins University as </w:t>
      </w:r>
      <w:r w:rsidR="00FD7DF0">
        <w:t>eq</w:t>
      </w:r>
      <w:r w:rsidR="00753859">
        <w:t xml:space="preserve">uivalent to </w:t>
      </w:r>
      <w:r w:rsidR="00BB12DD">
        <w:t>NASA Centers</w:t>
      </w:r>
      <w:r w:rsidR="00753859">
        <w:t xml:space="preserve">, such as </w:t>
      </w:r>
      <w:r w:rsidR="00BB12DD">
        <w:t>the Goddard Space Flight Center</w:t>
      </w:r>
      <w:r w:rsidR="00753859">
        <w:t xml:space="preserve"> (GSFC)</w:t>
      </w:r>
      <w:r w:rsidR="00BB12DD">
        <w:t xml:space="preserve">. </w:t>
      </w:r>
      <w:r w:rsidR="00A77F8A">
        <w:t xml:space="preserve">This decision </w:t>
      </w:r>
      <w:r w:rsidR="00666831">
        <w:t>stems from the roles of</w:t>
      </w:r>
      <w:r w:rsidR="006C013B">
        <w:t xml:space="preserve"> JPL and APL</w:t>
      </w:r>
      <w:r w:rsidR="0042013F">
        <w:t xml:space="preserve"> under NASA governance. JPL and APL can be assigned missions without competition </w:t>
      </w:r>
      <w:r w:rsidR="00D321F0">
        <w:t>and</w:t>
      </w:r>
      <w:r w:rsidR="0042013F">
        <w:t xml:space="preserve"> directly</w:t>
      </w:r>
      <w:r w:rsidR="006C013B">
        <w:t xml:space="preserve"> sign key decision point </w:t>
      </w:r>
      <w:r w:rsidR="0046509B">
        <w:t>management agreements</w:t>
      </w:r>
      <w:r w:rsidR="004A2CC9">
        <w:t>, just as NASA Centers do</w:t>
      </w:r>
      <w:r w:rsidR="00666831">
        <w:t xml:space="preserve">. </w:t>
      </w:r>
      <w:r w:rsidR="00261EC1">
        <w:t xml:space="preserve">The management agreements </w:t>
      </w:r>
      <w:r w:rsidR="00892614">
        <w:t>baseline project cost</w:t>
      </w:r>
      <w:r w:rsidR="00666831">
        <w:t>s</w:t>
      </w:r>
      <w:r w:rsidR="00892614">
        <w:t xml:space="preserve"> and </w:t>
      </w:r>
      <w:r w:rsidR="006E45D6">
        <w:t>schedule</w:t>
      </w:r>
      <w:r w:rsidR="00666831">
        <w:t>s</w:t>
      </w:r>
      <w:r w:rsidR="006E45D6">
        <w:t xml:space="preserve"> and</w:t>
      </w:r>
      <w:r w:rsidR="00892614">
        <w:t xml:space="preserve"> </w:t>
      </w:r>
      <w:r w:rsidR="006E45D6">
        <w:t>assign</w:t>
      </w:r>
      <w:r w:rsidR="00892614">
        <w:t xml:space="preserve"> the responsibility of the </w:t>
      </w:r>
      <w:r w:rsidR="00C33AD2">
        <w:t xml:space="preserve">overall </w:t>
      </w:r>
      <w:r w:rsidR="00892614">
        <w:t>program management</w:t>
      </w:r>
      <w:r w:rsidR="00F01915">
        <w:t>.</w:t>
      </w:r>
      <w:r w:rsidR="00E1199C">
        <w:t xml:space="preserve"> </w:t>
      </w:r>
      <w:r w:rsidR="00841110">
        <w:t xml:space="preserve">Just as NASA centers, APL and JPL </w:t>
      </w:r>
      <w:r w:rsidR="00574917">
        <w:t xml:space="preserve">depend on NASA missions to exist </w:t>
      </w:r>
      <w:r w:rsidR="00D321F0">
        <w:t>and</w:t>
      </w:r>
      <w:r w:rsidR="00841110">
        <w:t xml:space="preserve"> </w:t>
      </w:r>
      <w:r w:rsidR="0042013F">
        <w:t>exercise</w:t>
      </w:r>
      <w:r w:rsidR="00841110">
        <w:t xml:space="preserve"> make-buy decision</w:t>
      </w:r>
      <w:r w:rsidR="00574917">
        <w:t xml:space="preserve">s for each mission (on whether to build the spacecraft in-house or with industry). </w:t>
      </w:r>
      <w:r w:rsidR="00E1199C">
        <w:t>In th</w:t>
      </w:r>
      <w:r w:rsidR="00574917">
        <w:t>ese</w:t>
      </w:r>
      <w:r w:rsidR="00E1199C">
        <w:t xml:space="preserve"> regard</w:t>
      </w:r>
      <w:r w:rsidR="00574917">
        <w:t>s</w:t>
      </w:r>
      <w:r w:rsidR="00E1199C">
        <w:t xml:space="preserve">, NASA’s governance model for JPL and APL are </w:t>
      </w:r>
      <w:r w:rsidR="00223DE6">
        <w:t>like</w:t>
      </w:r>
      <w:r w:rsidR="00E1199C">
        <w:t xml:space="preserve"> that of NASA Centers.</w:t>
      </w:r>
      <w:r w:rsidR="008560BD">
        <w:t xml:space="preserve"> </w:t>
      </w:r>
      <w:r w:rsidR="00BF79D1">
        <w:t>I</w:t>
      </w:r>
      <w:r w:rsidR="008560BD">
        <w:t xml:space="preserve">n contrast, </w:t>
      </w:r>
      <w:r w:rsidR="00765DF6">
        <w:t xml:space="preserve">the industry spacecraft bus developers do not sign the </w:t>
      </w:r>
      <w:r w:rsidR="00BF5942">
        <w:t>agreements</w:t>
      </w:r>
      <w:r w:rsidR="00574917">
        <w:t>, do not have NASA as a primary customer, and do not exercise spacecraft make-buy decisions</w:t>
      </w:r>
      <w:r w:rsidR="007D2FC2">
        <w:t>. Instead,</w:t>
      </w:r>
      <w:r w:rsidR="00BF5942">
        <w:t xml:space="preserve"> </w:t>
      </w:r>
      <w:r w:rsidR="007D2FC2">
        <w:t>they operate under</w:t>
      </w:r>
      <w:r w:rsidR="00765DF6">
        <w:t xml:space="preserve"> contracts </w:t>
      </w:r>
      <w:r w:rsidR="00BF5942">
        <w:t xml:space="preserve">with the entity </w:t>
      </w:r>
      <w:r w:rsidR="007D2FC2">
        <w:t xml:space="preserve">responsible for </w:t>
      </w:r>
      <w:r w:rsidR="00BF5942">
        <w:t>the overall program management</w:t>
      </w:r>
      <w:r w:rsidR="007D2FC2">
        <w:t xml:space="preserve">. </w:t>
      </w:r>
    </w:p>
    <w:p w14:paraId="619DD423" w14:textId="7AC669C3" w:rsidR="00B61D54" w:rsidRDefault="006717A0" w:rsidP="008C2F99">
      <w:pPr>
        <w:pStyle w:val="Heading1"/>
        <w:numPr>
          <w:ilvl w:val="0"/>
          <w:numId w:val="38"/>
        </w:numPr>
        <w:ind w:left="360"/>
      </w:pPr>
      <w:r>
        <w:lastRenderedPageBreak/>
        <w:t xml:space="preserve"> </w:t>
      </w:r>
      <w:r w:rsidR="001B0350">
        <w:t>Literature Review</w:t>
      </w:r>
    </w:p>
    <w:p w14:paraId="20C7410B" w14:textId="6539A451" w:rsidR="00F81EBB" w:rsidRDefault="004F265A" w:rsidP="00525B1F">
      <w:pPr>
        <w:pStyle w:val="Text"/>
      </w:pPr>
      <w:r>
        <w:t xml:space="preserve">Previous studies on </w:t>
      </w:r>
      <w:r w:rsidR="00046FF2">
        <w:t>the subject of NASA versus industry</w:t>
      </w:r>
      <w:r>
        <w:t xml:space="preserve"> </w:t>
      </w:r>
      <w:r w:rsidR="00B15ED5">
        <w:t xml:space="preserve">compare traditional procurement and commercial development, where either NASA or industry assumes the authority of the overall project governance </w:t>
      </w:r>
      <w:r w:rsidR="00B15ED5">
        <w:fldChar w:fldCharType="begin"/>
      </w:r>
      <w:r w:rsidR="00295884">
        <w:instrText xml:space="preserve"> ADDIN ZOTERO_ITEM CSL_CITATION {"citationID":"fJQKBkE5","properties":{"formattedCitation":"[5]","plainCitation":"[5]","noteIndex":0},"citationItems":[{"id":107,"uris":["http://zotero.org/users/5839368/items/IKC84DGP"],"itemData":{"id":107,"type":"article-journal","container-title":"Space Policy","DOI":"https://doi.org/10.1016/j.spacepol.2023.101549","page":"101549","title":"Toward Coherence: A Space Sector Public-Private Partnership Typology","volume":"64","author":[{"family":"Kim","given":"Moon J."}],"issued":{"date-parts":[["2023",5]]}}}],"schema":"https://github.com/citation-style-language/schema/raw/master/csl-citation.json"} </w:instrText>
      </w:r>
      <w:r w:rsidR="00B15ED5">
        <w:fldChar w:fldCharType="separate"/>
      </w:r>
      <w:r w:rsidR="00295884" w:rsidRPr="00295884">
        <w:t>[5]</w:t>
      </w:r>
      <w:r w:rsidR="00B15ED5">
        <w:fldChar w:fldCharType="end"/>
      </w:r>
      <w:r w:rsidR="00B15ED5">
        <w:t xml:space="preserve">. For example, </w:t>
      </w:r>
      <w:r w:rsidR="005708A4">
        <w:t xml:space="preserve">Kim (2023) </w:t>
      </w:r>
      <w:r>
        <w:t>evaluated the cost-effectiveness of space projects with different levels of public and private sector involvement</w:t>
      </w:r>
      <w:r w:rsidR="005708A4">
        <w:t xml:space="preserve"> in various combinations of project management</w:t>
      </w:r>
      <w:r w:rsidR="00295884">
        <w:t xml:space="preserve"> </w:t>
      </w:r>
      <w:r w:rsidR="00295884">
        <w:fldChar w:fldCharType="begin"/>
      </w:r>
      <w:r w:rsidR="00295884">
        <w:instrText xml:space="preserve"> ADDIN ZOTERO_ITEM CSL_CITATION {"citationID":"s7nrZiqh","properties":{"formattedCitation":"[6]","plainCitation":"[6]","noteIndex":0},"citationItems":[{"id":572,"uris":["http://zotero.org/users/5839368/items/Y9QJPWHM"],"itemData":{"id":572,"type":"document","publisher":"RAND Corporation","title":"Coherence to Choices: Informing Decisions on Public-Private Partnerships in the Space Sector","URL":"https://www.rand.org/pubs/rgs_dissertations/RGSDA2739-1.html","author":[{"family":"Kim","given":"Moon J."}],"issued":{"date-parts":[["2023",5,3]]}}}],"schema":"https://github.com/citation-style-language/schema/raw/master/csl-citation.json"} </w:instrText>
      </w:r>
      <w:r w:rsidR="00295884">
        <w:fldChar w:fldCharType="separate"/>
      </w:r>
      <w:r w:rsidR="00295884" w:rsidRPr="00295884">
        <w:t>[6]</w:t>
      </w:r>
      <w:r w:rsidR="00295884">
        <w:fldChar w:fldCharType="end"/>
      </w:r>
      <w:r>
        <w:t xml:space="preserve">, </w:t>
      </w:r>
      <w:r w:rsidR="00060E5A">
        <w:t>and NASA (2011) and Zapata (2017)</w:t>
      </w:r>
      <w:r>
        <w:t xml:space="preserve"> </w:t>
      </w:r>
      <w:r w:rsidR="007C7837">
        <w:t xml:space="preserve">compared the </w:t>
      </w:r>
      <w:r>
        <w:t xml:space="preserve">development and operations costs of private versus government-owned </w:t>
      </w:r>
      <w:r w:rsidR="007C7837">
        <w:t xml:space="preserve">launch </w:t>
      </w:r>
      <w:r w:rsidR="00046FF2">
        <w:t>systems</w:t>
      </w:r>
      <w:r w:rsidR="009217C1">
        <w:t xml:space="preserve"> </w:t>
      </w:r>
      <w:r w:rsidR="00E83B5E">
        <w:fldChar w:fldCharType="begin"/>
      </w:r>
      <w:r w:rsidR="007C7837">
        <w:instrText xml:space="preserve"> ADDIN ZOTERO_ITEM CSL_CITATION {"citationID":"iB1b5YKR","properties":{"formattedCitation":"[4,7]","plainCitation":"[4,7]","noteIndex":0},"citationItems":[{"id":517,"uris":["http://zotero.org/users/5839368/items/VZU945X4"],"itemData":{"id":517,"type":"document","publisher":"National Aeronautics and Space Administration","title":"Commercial Market Assessment for Crew and Cargo Systems Pursuant to Section 403 of the NASA Authorization Act of 2010 (P.L. 111-267)","URL":"https://www.nasa.gov/sites/default/files/files/Section403(b)CommercialMarketAssessmentReportFinal.pdf","author":[{"family":"NASA","given":""}],"issued":{"date-parts":[["2011",4,27]]}}},{"id":347,"uris":["http://zotero.org/users/5839368/items/D9Q958SW"],"itemData":{"id":347,"type":"document","publisher":"National Aeronautics and Space Administration","title":"An Assessment of Cost Improvements in the NASA COTS/CRS Program and Implications for Future NASA Missions","URL":"https://ntrs.nasa.gov/api/citations/20170008895/downloads/20170008895.pdf","author":[{"family":"Zapata","given":"Edgar"}],"issued":{"date-parts":[["2017"]]}}}],"schema":"https://github.com/citation-style-language/schema/raw/master/csl-citation.json"} </w:instrText>
      </w:r>
      <w:r w:rsidR="00E83B5E">
        <w:fldChar w:fldCharType="separate"/>
      </w:r>
      <w:r w:rsidR="007C7837" w:rsidRPr="007C7837">
        <w:t>[4,7]</w:t>
      </w:r>
      <w:r w:rsidR="00E83B5E">
        <w:fldChar w:fldCharType="end"/>
      </w:r>
      <w:r w:rsidR="00E6232B">
        <w:t>.</w:t>
      </w:r>
      <w:r w:rsidR="007632AE">
        <w:t xml:space="preserve"> </w:t>
      </w:r>
      <w:r w:rsidR="008F4B72">
        <w:t>This paper does not compare the various types of procurement arrangements. Rather, t</w:t>
      </w:r>
      <w:r>
        <w:t>he focus of this paper is</w:t>
      </w:r>
      <w:r w:rsidR="00130E4E">
        <w:t xml:space="preserve"> on</w:t>
      </w:r>
      <w:r w:rsidR="00D07929">
        <w:t xml:space="preserve"> how the type of </w:t>
      </w:r>
      <w:r w:rsidR="00130E4E">
        <w:t>spacecraft developer (i.e., NASA or industry)</w:t>
      </w:r>
      <w:r w:rsidR="00D07929">
        <w:t xml:space="preserve"> affects</w:t>
      </w:r>
      <w:r w:rsidR="00130E4E">
        <w:t xml:space="preserve"> NASA's project costs</w:t>
      </w:r>
      <w:r w:rsidR="005C5EDE">
        <w:t xml:space="preserve"> in traditional procurement</w:t>
      </w:r>
      <w:r w:rsidR="00130E4E">
        <w:t xml:space="preserve">. </w:t>
      </w:r>
      <w:r w:rsidR="00336CD7">
        <w:t>Accordingly, the following literature review highlights various project cost estimation models related to spacecraft development</w:t>
      </w:r>
      <w:r w:rsidR="008F4B72">
        <w:t xml:space="preserve"> </w:t>
      </w:r>
      <w:r w:rsidR="008041F6">
        <w:t xml:space="preserve">with </w:t>
      </w:r>
      <w:r w:rsidR="00B7508F">
        <w:t xml:space="preserve">particular </w:t>
      </w:r>
      <w:r w:rsidR="008041F6">
        <w:t xml:space="preserve">attention to the distinction </w:t>
      </w:r>
      <w:r w:rsidR="00B7508F">
        <w:t>in the spacecraft developer</w:t>
      </w:r>
      <w:r w:rsidR="00336CD7">
        <w:t xml:space="preserve">. The study examines parametric models, rather than bottoms-up or analogous approaches, to align with its objective of assessing the statistical significance of spacecraft cost determinants. For a detailed explanation of </w:t>
      </w:r>
      <w:r w:rsidR="00B7508F">
        <w:t xml:space="preserve">the </w:t>
      </w:r>
      <w:r w:rsidR="00336CD7">
        <w:t xml:space="preserve">cost-estimating methods, readers may refer to the </w:t>
      </w:r>
      <w:r w:rsidR="00336CD7" w:rsidRPr="00336CD7">
        <w:rPr>
          <w:i/>
          <w:iCs/>
        </w:rPr>
        <w:t>NASA Cost Estimating Handbook</w:t>
      </w:r>
      <w:r w:rsidR="00427816">
        <w:t>.</w:t>
      </w:r>
      <w:r w:rsidR="00F81EBB">
        <w:t xml:space="preserve"> </w:t>
      </w:r>
    </w:p>
    <w:p w14:paraId="2D3C32D0" w14:textId="79591B7C" w:rsidR="00EC242B" w:rsidRDefault="0035668F" w:rsidP="00EC242B">
      <w:pPr>
        <w:pStyle w:val="Text"/>
      </w:pPr>
      <w:r>
        <w:t xml:space="preserve">Parametric cost estimation for space projects relies on cost-estimating relationships (CERs) based on the assumption that factors driving costs in historical projects will continue to do so in the future </w:t>
      </w:r>
      <w:r w:rsidR="00170D88">
        <w:fldChar w:fldCharType="begin"/>
      </w:r>
      <w:r w:rsidR="00170D88">
        <w:instrText xml:space="preserve"> ADDIN ZOTERO_ITEM CSL_CITATION {"citationID":"ToqFjSDb","properties":{"formattedCitation":"[8]","plainCitation":"[8]","noteIndex":0},"citationItems":[{"id":573,"uris":["http://zotero.org/users/5839368/items/JXKJ2U8S"],"itemData":{"id":573,"type":"webpage","container-title":"NASA OCFO","title":"NASA Cost Estimating Handbook (CEH)","URL":"https://www.nasa.gov/ocfo/ppc-corner/nasa-cost-estimating-handbook-ceh/","author":[{"family":"NASA","given":""}],"accessed":{"date-parts":[["2024",12,20]]}}}],"schema":"https://github.com/citation-style-language/schema/raw/master/csl-citation.json"} </w:instrText>
      </w:r>
      <w:r w:rsidR="00170D88">
        <w:fldChar w:fldCharType="separate"/>
      </w:r>
      <w:r w:rsidR="00170D88" w:rsidRPr="00170D88">
        <w:t>[8]</w:t>
      </w:r>
      <w:r w:rsidR="00170D88">
        <w:fldChar w:fldCharType="end"/>
      </w:r>
      <w:r w:rsidR="008D5B59">
        <w:t xml:space="preserve">. </w:t>
      </w:r>
      <w:r w:rsidR="00DE66AC">
        <w:t>For example, m</w:t>
      </w:r>
      <w:r w:rsidR="00B5579D">
        <w:t xml:space="preserve">odels developed from the 1980s to early 2000s, such as the </w:t>
      </w:r>
      <w:proofErr w:type="spellStart"/>
      <w:r w:rsidR="00B5579D">
        <w:t>Meinel</w:t>
      </w:r>
      <w:proofErr w:type="spellEnd"/>
      <w:r w:rsidR="00B5579D">
        <w:t xml:space="preserve">, Bely, Mass, Planning Research Corporation, Wong, </w:t>
      </w:r>
      <w:proofErr w:type="spellStart"/>
      <w:r w:rsidR="00B5579D">
        <w:t>Horek</w:t>
      </w:r>
      <w:proofErr w:type="spellEnd"/>
      <w:r w:rsidR="00B5579D">
        <w:t xml:space="preserve">, and Aerospace models, explored CERs related to variables like technology readiness levels (TRLs), mass, sensor diameters, and average power </w:t>
      </w:r>
      <w:r w:rsidR="006235F2">
        <w:fldChar w:fldCharType="begin"/>
      </w:r>
      <w:r w:rsidR="006235F2">
        <w:instrText xml:space="preserve"> ADDIN ZOTERO_ITEM CSL_CITATION {"citationID":"3yLUTqlH","properties":{"formattedCitation":"[9]","plainCitation":"[9]","noteIndex":0},"citationItems":[{"id":568,"uris":["http://zotero.org/users/5839368/items/6ZHB9B94"],"itemData":{"id":568,"type":"article-journal","container-title":"Optical Engineering","DOI":"10.1117/1.3430603","issue":"5","page":"053005","title":"Survey of Cost Models for Space Telescopes","volume":"49","author":[{"family":"Stahl","given":"Phillip H."}],"issued":{"date-parts":[["2010",5]]}}}],"schema":"https://github.com/citation-style-language/schema/raw/master/csl-citation.json"} </w:instrText>
      </w:r>
      <w:r w:rsidR="006235F2">
        <w:fldChar w:fldCharType="separate"/>
      </w:r>
      <w:r w:rsidR="006235F2" w:rsidRPr="0031354C">
        <w:t>[9]</w:t>
      </w:r>
      <w:r w:rsidR="006235F2">
        <w:fldChar w:fldCharType="end"/>
      </w:r>
      <w:r w:rsidR="00CB0E16">
        <w:t>.</w:t>
      </w:r>
      <w:r w:rsidR="00EC242B">
        <w:t xml:space="preserve"> Fischman </w:t>
      </w:r>
      <w:r w:rsidR="007A6E0F">
        <w:t xml:space="preserve">et al. </w:t>
      </w:r>
      <w:r w:rsidR="003A005D">
        <w:t>(</w:t>
      </w:r>
      <w:r w:rsidR="00EC242B">
        <w:t>2008</w:t>
      </w:r>
      <w:r w:rsidR="003A005D">
        <w:t xml:space="preserve">) </w:t>
      </w:r>
      <w:r w:rsidR="00AC1052">
        <w:t>proposed</w:t>
      </w:r>
      <w:r w:rsidR="003A005D">
        <w:t xml:space="preserve"> a</w:t>
      </w:r>
      <w:r w:rsidR="00EC242B">
        <w:t xml:space="preserve">n </w:t>
      </w:r>
      <w:r w:rsidR="003A005D">
        <w:t>a</w:t>
      </w:r>
      <w:r w:rsidR="00EC242B">
        <w:t xml:space="preserve">dvanced </w:t>
      </w:r>
      <w:r w:rsidR="003A005D">
        <w:t>o</w:t>
      </w:r>
      <w:r w:rsidR="00EC242B">
        <w:t xml:space="preserve">rbital </w:t>
      </w:r>
      <w:r w:rsidR="003A005D">
        <w:t>s</w:t>
      </w:r>
      <w:r w:rsidR="00EC242B">
        <w:t xml:space="preserve">pacecraft </w:t>
      </w:r>
      <w:r w:rsidR="003A005D">
        <w:t>c</w:t>
      </w:r>
      <w:r w:rsidR="00EC242B">
        <w:t xml:space="preserve">ost </w:t>
      </w:r>
      <w:r w:rsidR="003A005D">
        <w:t>m</w:t>
      </w:r>
      <w:r w:rsidR="00EC242B">
        <w:t>odel</w:t>
      </w:r>
      <w:r w:rsidR="003A005D">
        <w:t xml:space="preserve"> that utilizes</w:t>
      </w:r>
      <w:r w:rsidR="00EC242B">
        <w:t xml:space="preserve"> neural network </w:t>
      </w:r>
      <w:r w:rsidR="003A005D">
        <w:t xml:space="preserve">with </w:t>
      </w:r>
      <w:r w:rsidR="00EC242B">
        <w:t xml:space="preserve">27 </w:t>
      </w:r>
      <w:r w:rsidR="003A005D">
        <w:t xml:space="preserve">predictor </w:t>
      </w:r>
      <w:r w:rsidR="00EC242B">
        <w:t>variables</w:t>
      </w:r>
      <w:r w:rsidR="0061333A">
        <w:t>, including</w:t>
      </w:r>
      <w:r w:rsidR="00610C32">
        <w:t xml:space="preserve"> </w:t>
      </w:r>
      <w:r w:rsidR="00D42EE9">
        <w:t>mass,</w:t>
      </w:r>
      <w:r w:rsidR="00610C32">
        <w:t xml:space="preserve"> maximum</w:t>
      </w:r>
      <w:r w:rsidR="00D42EE9">
        <w:t xml:space="preserve"> power, </w:t>
      </w:r>
      <w:r w:rsidR="00C1135F">
        <w:t>number of instruments, orbital destination, and data transmission link.</w:t>
      </w:r>
      <w:r w:rsidR="00610C32">
        <w:t xml:space="preserve"> Similarly, </w:t>
      </w:r>
      <w:proofErr w:type="spellStart"/>
      <w:r w:rsidR="00610C32">
        <w:t>Coonce</w:t>
      </w:r>
      <w:proofErr w:type="spellEnd"/>
      <w:r w:rsidR="00610C32">
        <w:t xml:space="preserve"> et al. (2010) explore </w:t>
      </w:r>
      <w:r w:rsidR="009133CC">
        <w:t xml:space="preserve">a multi-variable regression model to estimate cost as a </w:t>
      </w:r>
      <w:r w:rsidR="009D21B8">
        <w:t xml:space="preserve">measure of productivity change over time </w:t>
      </w:r>
      <w:r w:rsidR="0003428F">
        <w:fldChar w:fldCharType="begin"/>
      </w:r>
      <w:r w:rsidR="0003428F">
        <w:instrText xml:space="preserve"> ADDIN ZOTERO_ITEM CSL_CITATION {"citationID":"XjtHMIIT","properties":{"formattedCitation":"[10]","plainCitation":"[10]","noteIndex":0},"citationItems":[{"id":574,"uris":["http://zotero.org/users/5839368/items/Z6D9ZKEG"],"itemData":{"id":574,"type":"article-journal","container-title":"Journal of Cost Analysis and Parametrics","DOI":"10.1080/1941658X.2010.10462228","issue":"1","page":"59-78","title":"NASA Productivity","volume":"3","author":[{"family":"Coonce","given":"Thomas"},{"family":"Bitten","given":"Robert"},{"family":"Hamaker","given":"Joseph"},{"family":"Hertzfeld","given":"Henry"}],"issued":{"date-parts":[["2010"]]}}}],"schema":"https://github.com/citation-style-language/schema/raw/master/csl-citation.json"} </w:instrText>
      </w:r>
      <w:r w:rsidR="0003428F">
        <w:fldChar w:fldCharType="separate"/>
      </w:r>
      <w:r w:rsidR="0003428F" w:rsidRPr="0003428F">
        <w:t>[10]</w:t>
      </w:r>
      <w:r w:rsidR="0003428F">
        <w:fldChar w:fldCharType="end"/>
      </w:r>
      <w:r w:rsidR="009D21B8">
        <w:t>.</w:t>
      </w:r>
      <w:r w:rsidR="00144DAA">
        <w:t xml:space="preserve"> The authors reviewed </w:t>
      </w:r>
      <w:r w:rsidR="00785C49">
        <w:t xml:space="preserve">120 historical space projects and selected dry mass, maximum power, </w:t>
      </w:r>
      <w:r w:rsidR="00080EF7">
        <w:t>data rate, design life, percent of technology inheritance, and the year of authority to proceed, as well as an indicator variable for planetary missions, as the set of variables for estimating cost.</w:t>
      </w:r>
      <w:r w:rsidR="002D33BB">
        <w:t xml:space="preserve"> </w:t>
      </w:r>
      <w:r w:rsidR="005E0EB6">
        <w:t>Despite the wide range of CERs explored in these models, none include a variable to distinguish whether spacecraft bus development is undertaken by government or industry.</w:t>
      </w:r>
    </w:p>
    <w:p w14:paraId="1B96A418" w14:textId="3A27395C" w:rsidR="00530972" w:rsidRDefault="0028574F" w:rsidP="00FE2463">
      <w:pPr>
        <w:pStyle w:val="Text"/>
      </w:pPr>
      <w:r>
        <w:t xml:space="preserve">In addition to the models from academic literature, government agencies have developed several parametric cost models tailored to their needs. </w:t>
      </w:r>
      <w:r w:rsidR="00F026DD">
        <w:t xml:space="preserve">For example, the United States Space Force (USSF) </w:t>
      </w:r>
      <w:r w:rsidR="00EF6C7A">
        <w:t xml:space="preserve">has the </w:t>
      </w:r>
      <w:r w:rsidR="00F026DD">
        <w:t>Unmanned Space</w:t>
      </w:r>
      <w:r w:rsidR="00530972">
        <w:t>-</w:t>
      </w:r>
      <w:r w:rsidR="00F026DD">
        <w:t>Vehicle Cost Model</w:t>
      </w:r>
      <w:r w:rsidR="00530972">
        <w:t xml:space="preserve"> (USCM)</w:t>
      </w:r>
      <w:r w:rsidR="003F7DBD">
        <w:t xml:space="preserve">, </w:t>
      </w:r>
      <w:r w:rsidR="00516A64">
        <w:t xml:space="preserve">a comprehensive </w:t>
      </w:r>
      <w:r w:rsidR="00702671">
        <w:t>estimation tool</w:t>
      </w:r>
      <w:r w:rsidR="00516A64">
        <w:t xml:space="preserve"> with more than 100 CERs</w:t>
      </w:r>
      <w:r w:rsidR="00A4209C">
        <w:t xml:space="preserve"> </w:t>
      </w:r>
      <w:r w:rsidR="00A4209C">
        <w:fldChar w:fldCharType="begin"/>
      </w:r>
      <w:r w:rsidR="00A4209C">
        <w:instrText xml:space="preserve"> ADDIN ZOTERO_ITEM CSL_CITATION {"citationID":"CxWBhlxz","properties":{"formattedCitation":"[11]","plainCitation":"[11]","noteIndex":0},"citationItems":[{"id":577,"uris":["http://zotero.org/users/5839368/items/G8TD23K7"],"itemData":{"id":577,"type":"speech","event-title":"ICEAA 2021 Online Workshop","title":"Unmanned Space Vehicle Cost Model (USCM) 11","URL":"https://www.iceaaonline.com/wp-content/uploads/2021/06/MLD07-ppt-Kwok-USCM11-%E2%80%93-an-Evolution-of-Techniques.pdf","author":[{"family":"Tecolote","given":""}],"accessed":{"date-parts":[["2024",12,23]]},"issued":{"date-parts":[["2021",6]]}}}],"schema":"https://github.com/citation-style-language/schema/raw/master/csl-citation.json"} </w:instrText>
      </w:r>
      <w:r w:rsidR="00A4209C">
        <w:fldChar w:fldCharType="separate"/>
      </w:r>
      <w:r w:rsidR="00A4209C" w:rsidRPr="00A4209C">
        <w:t>[11]</w:t>
      </w:r>
      <w:r w:rsidR="00A4209C">
        <w:fldChar w:fldCharType="end"/>
      </w:r>
      <w:r w:rsidR="003F7DBD">
        <w:t xml:space="preserve">. </w:t>
      </w:r>
      <w:r w:rsidR="00C12F5C">
        <w:t xml:space="preserve">Similarly, </w:t>
      </w:r>
      <w:r w:rsidR="00795526">
        <w:t xml:space="preserve">NASA had </w:t>
      </w:r>
      <w:r w:rsidR="00795526">
        <w:lastRenderedPageBreak/>
        <w:t xml:space="preserve">developed the </w:t>
      </w:r>
      <w:r w:rsidR="00507F5A">
        <w:t>NASA-Air Force Cost Model (NAFCOM) in the late 1980s, which underwent multiple updates until 2011</w:t>
      </w:r>
      <w:r w:rsidR="00C12F5C">
        <w:t xml:space="preserve"> </w:t>
      </w:r>
      <w:r w:rsidR="00C12F5C">
        <w:fldChar w:fldCharType="begin"/>
      </w:r>
      <w:r w:rsidR="00295884">
        <w:instrText xml:space="preserve"> ADDIN ZOTERO_ITEM CSL_CITATION {"citationID":"oXJnSvHG","properties":{"formattedCitation":"[12]","plainCitation":"[12]","noteIndex":0},"citationItems":[{"id":564,"uris":["http://zotero.org/users/5839368/items/GEKKUSDS"],"itemData":{"id":564,"type":"paper-conference","event-place":"Bellevue, WA","event-title":"45th International Conference on Environmental Systems","publisher-place":"Bellevue, WA","title":"Estimating the Life Cycle Cost of Space Systems","URL":"https://ntrs.nasa.gov/citations/20160001190","author":[{"family":"Jones","given":"Harry W."}],"issued":{"date-parts":[["2015",7,12]]}}}],"schema":"https://github.com/citation-style-language/schema/raw/master/csl-citation.json"} </w:instrText>
      </w:r>
      <w:r w:rsidR="00C12F5C">
        <w:fldChar w:fldCharType="separate"/>
      </w:r>
      <w:r w:rsidR="00295884" w:rsidRPr="00295884">
        <w:t>[12]</w:t>
      </w:r>
      <w:r w:rsidR="00C12F5C">
        <w:fldChar w:fldCharType="end"/>
      </w:r>
      <w:r w:rsidR="00C12F5C">
        <w:t>. With more than 150 historical space flight projects in the underlying data, NAFCOM</w:t>
      </w:r>
      <w:r w:rsidR="00507F5A">
        <w:t xml:space="preserve"> </w:t>
      </w:r>
      <w:r w:rsidR="00960D8E">
        <w:t>incorporated</w:t>
      </w:r>
      <w:r w:rsidR="00C12F5C">
        <w:t xml:space="preserve"> programmatic factors such as manufacturing methods, engineering management, funding availability, and test approach, as well as the common technical CERs </w:t>
      </w:r>
      <w:r w:rsidR="00960D8E">
        <w:t xml:space="preserve">found in academic </w:t>
      </w:r>
      <w:r w:rsidR="00C12F5C">
        <w:t xml:space="preserve">literature </w:t>
      </w:r>
      <w:r w:rsidR="00C12F5C">
        <w:fldChar w:fldCharType="begin"/>
      </w:r>
      <w:r w:rsidR="00295884">
        <w:instrText xml:space="preserve"> ADDIN ZOTERO_ITEM CSL_CITATION {"citationID":"r7K9SIGa","properties":{"formattedCitation":"[13]","plainCitation":"[13]","noteIndex":0},"citationItems":[{"id":575,"uris":["http://zotero.org/users/5839368/items/5R87JNLX"],"itemData":{"id":575,"type":"speech","event-place":"Huntsville, AL","event-title":"JANNAF 8th Modeling and Simulation Subcommittee Meeting","publisher-place":"Huntsville, AL","title":"NASA Air Force Cost Model (NAFCOM): Capabilities and Results","URL":"https://ntrs.nasa.gov/citations/20120002891","author":[{"family":"McAfee","given":"Julie"},{"family":"Culver","given":"George"},{"family":"Naderi","given":"Mahmoud"}],"issued":{"date-parts":[["2011",12,5]]}}}],"schema":"https://github.com/citation-style-language/schema/raw/master/csl-citation.json"} </w:instrText>
      </w:r>
      <w:r w:rsidR="00C12F5C">
        <w:fldChar w:fldCharType="separate"/>
      </w:r>
      <w:r w:rsidR="00295884" w:rsidRPr="00295884">
        <w:t>[13]</w:t>
      </w:r>
      <w:r w:rsidR="00C12F5C">
        <w:fldChar w:fldCharType="end"/>
      </w:r>
      <w:r w:rsidR="00C12F5C">
        <w:t xml:space="preserve">. NAFCOM evolved to NASA’s Project Cost Estimating Capability (PCEC), which </w:t>
      </w:r>
      <w:r w:rsidR="00DB3C78">
        <w:t>remains</w:t>
      </w:r>
      <w:r w:rsidR="00C12F5C">
        <w:t xml:space="preserve"> in use by NASA and other </w:t>
      </w:r>
      <w:r w:rsidR="00DB3C78">
        <w:t>organizations</w:t>
      </w:r>
      <w:r w:rsidR="00C12F5C">
        <w:t xml:space="preserve"> in the sector </w:t>
      </w:r>
      <w:r w:rsidR="00C12F5C">
        <w:fldChar w:fldCharType="begin"/>
      </w:r>
      <w:r w:rsidR="00295884">
        <w:instrText xml:space="preserve"> ADDIN ZOTERO_ITEM CSL_CITATION {"citationID":"JLeu9zsM","properties":{"formattedCitation":"[14]","plainCitation":"[14]","noteIndex":0},"citationItems":[{"id":576,"uris":["http://zotero.org/users/5839368/items/VESTUM2F"],"itemData":{"id":576,"type":"webpage","title":"PCEC – Project Cost Estimating Capability","URL":"https://www.nasa.gov/ocfo/ppc-corner/pcec-project-cost-estimating-capability/","author":[{"family":"NASA","given":""}],"accessed":{"date-parts":[["2024",12,20]]}}}],"schema":"https://github.com/citation-style-language/schema/raw/master/csl-citation.json"} </w:instrText>
      </w:r>
      <w:r w:rsidR="00C12F5C">
        <w:fldChar w:fldCharType="separate"/>
      </w:r>
      <w:r w:rsidR="00295884" w:rsidRPr="00295884">
        <w:t>[14]</w:t>
      </w:r>
      <w:r w:rsidR="00C12F5C">
        <w:fldChar w:fldCharType="end"/>
      </w:r>
      <w:r w:rsidR="00C12F5C">
        <w:t>.</w:t>
      </w:r>
      <w:r w:rsidR="00FE2463">
        <w:t xml:space="preserve"> </w:t>
      </w:r>
      <w:r w:rsidR="007952BE">
        <w:t>Both USCM and PCEC include CERs related to project governance. USCM’s "Spacecraft Bus T1" CER allows users to specify whether a program is commercial or military. Similarly, PCEC’s "Project Management/Spacecraft Lead Organization" CER lets users select the lead organization from a predefined list. However, discussions with the developers of these models revealed that these CERs primarily address overall program governance (e.g., traditional procurement versus commercial development) and do not specifically distinguish the spacecraft developer’s role.</w:t>
      </w:r>
    </w:p>
    <w:p w14:paraId="6E19375E" w14:textId="13C1704C" w:rsidR="002C3C2A" w:rsidRDefault="00E9747E" w:rsidP="00FF5606">
      <w:pPr>
        <w:pStyle w:val="Text"/>
      </w:pPr>
      <w:r>
        <w:t>From</w:t>
      </w:r>
      <w:r w:rsidR="00792A8D">
        <w:t xml:space="preserve"> the private sector, SEER-H and PRICE </w:t>
      </w:r>
      <w:proofErr w:type="spellStart"/>
      <w:r w:rsidR="00792A8D">
        <w:t>TruePlanning</w:t>
      </w:r>
      <w:proofErr w:type="spellEnd"/>
      <w:r w:rsidR="00792A8D">
        <w:t xml:space="preserve"> are two </w:t>
      </w:r>
      <w:r>
        <w:t>commercially available</w:t>
      </w:r>
      <w:r w:rsidR="00792A8D">
        <w:t xml:space="preserve"> cost estimation tools </w:t>
      </w:r>
      <w:r>
        <w:t xml:space="preserve">that are popular </w:t>
      </w:r>
      <w:r w:rsidR="00792A8D">
        <w:t>in the aerospace industry. Although the full list</w:t>
      </w:r>
      <w:r>
        <w:t>s</w:t>
      </w:r>
      <w:r w:rsidR="00792A8D">
        <w:t xml:space="preserve"> of CERs for these tools </w:t>
      </w:r>
      <w:r>
        <w:t>are</w:t>
      </w:r>
      <w:r w:rsidR="00792A8D">
        <w:t xml:space="preserve"> proprietary and could not be verified, publicly available information </w:t>
      </w:r>
      <w:r>
        <w:t>do</w:t>
      </w:r>
      <w:r w:rsidR="00792A8D">
        <w:t xml:space="preserve"> not indicate the inclusion of a spacecraft developer variable as a CER</w:t>
      </w:r>
      <w:r w:rsidR="00FE2463">
        <w:t xml:space="preserve"> </w:t>
      </w:r>
      <w:r w:rsidR="00FE2463">
        <w:fldChar w:fldCharType="begin"/>
      </w:r>
      <w:r w:rsidR="00295884">
        <w:instrText xml:space="preserve"> ADDIN ZOTERO_ITEM CSL_CITATION {"citationID":"gAjlqbTq","properties":{"formattedCitation":"[15\\uc0\\u8211{}17]","plainCitation":"[15–17]","noteIndex":0},"citationItems":[{"id":570,"uris":["http://zotero.org/users/5839368/items/ILS7Z4MB"],"itemData":{"id":570,"type":"document","publisher":"Price Systems, LLC","title":"Space Missions Cost Estimation in TruePlanning","URL":"https://www.iceaaonline.com/wp-content/uploads/2014/09/9.17.14-Minkiewicz-Space-Missions.pdf","author":[{"family":"Minkiewics","given":"Arlene"}],"accessed":{"date-parts":[["2024",12,12]]},"issued":{"date-parts":[["2014",9,17]]}}},{"id":569,"uris":["http://zotero.org/users/5839368/items/9JBJ7S6X"],"itemData":{"id":569,"type":"document","publisher":"Unison Software","title":"Model-based Cost Engineering Space Missions Estimating","URL":"https://www.nasa.gov/wp-content/uploads/2023/06/15-trueplanning-space-missions-catalog.pdf","author":[{"family":"Price","given":"Chris"},{"family":"Hayes","given":"Shawn"},{"family":"Jacobs","given":"Mark"}],"accessed":{"date-parts":[["2024",12,12]]},"issued":{"date-parts":[["2022",4,28]]}}},{"id":571,"uris":["http://zotero.org/users/5839368/items/IFGY35H8"],"itemData":{"id":571,"type":"document","publisher":"Galorath Inc.","title":"Modeling Cost Improvement with SEER-H","URL":"https://galorath.com/wp-content/uploads/2024/02/Cost__Learning_SEER-H.pdf","author":[{"family":"Galorath","given":""}],"accessed":{"date-parts":[["2024",12,12]]},"issued":{"date-parts":[["2024",2]]}}}],"schema":"https://github.com/citation-style-language/schema/raw/master/csl-citation.json"} </w:instrText>
      </w:r>
      <w:r w:rsidR="00FE2463">
        <w:fldChar w:fldCharType="separate"/>
      </w:r>
      <w:r w:rsidR="00295884" w:rsidRPr="00295884">
        <w:rPr>
          <w:szCs w:val="24"/>
        </w:rPr>
        <w:t>[15–17]</w:t>
      </w:r>
      <w:r w:rsidR="00FE2463">
        <w:fldChar w:fldCharType="end"/>
      </w:r>
      <w:r w:rsidR="00FE2463">
        <w:t xml:space="preserve">. </w:t>
      </w:r>
      <w:r w:rsidR="00FF5606">
        <w:t>Similarly, the Aerospace Corporation’s Small Satellite Cost Model (SSCM) incorporates parameters such as destination, design life, dry mass, solar cell type, and primary structure material but does not account for spacecraft developer as a variable</w:t>
      </w:r>
      <w:r w:rsidR="00141B0B">
        <w:t xml:space="preserve"> </w:t>
      </w:r>
      <w:r w:rsidR="00A042A2">
        <w:fldChar w:fldCharType="begin"/>
      </w:r>
      <w:r w:rsidR="00295884">
        <w:instrText xml:space="preserve"> ADDIN ZOTERO_ITEM CSL_CITATION {"citationID":"trYt5ARn","properties":{"formattedCitation":"[18]","plainCitation":"[18]","noteIndex":0},"citationItems":[{"id":567,"uris":["http://zotero.org/users/5839368/items/LSD4EZZE"],"itemData":{"id":567,"type":"paper-conference","DOI":"https://doi.org/10.1109/AERO47225.2020.9172374","event-place":"Big Sky, MT","event-title":"2020 IEEE Aerospace Conference","publisher":"IEEE","publisher-place":"Big Sky, MT","title":"Development of the Small Satellite Cost Model 2019 (SSCM19)","author":[{"family":"Mahr","given":"Eric"},{"family":"Tu","given":"Anh"},{"family":"Gupta","given":"Anil"}],"issued":{"date-parts":[["2020",3,7]]}}}],"schema":"https://github.com/citation-style-language/schema/raw/master/csl-citation.json"} </w:instrText>
      </w:r>
      <w:r w:rsidR="00A042A2">
        <w:fldChar w:fldCharType="separate"/>
      </w:r>
      <w:r w:rsidR="00295884" w:rsidRPr="00295884">
        <w:t>[18]</w:t>
      </w:r>
      <w:r w:rsidR="00A042A2">
        <w:fldChar w:fldCharType="end"/>
      </w:r>
      <w:r w:rsidR="0045491C">
        <w:t>.</w:t>
      </w:r>
      <w:r w:rsidR="001064EF">
        <w:t xml:space="preserve"> </w:t>
      </w:r>
    </w:p>
    <w:p w14:paraId="48AC90C0" w14:textId="545C0AEF" w:rsidR="006140CE" w:rsidRDefault="008C72EC" w:rsidP="008C72EC">
      <w:pPr>
        <w:pStyle w:val="Text"/>
        <w:ind w:firstLine="0"/>
      </w:pPr>
      <w:r>
        <w:tab/>
      </w:r>
      <w:r w:rsidR="00487415">
        <w:t>The review</w:t>
      </w:r>
      <w:r w:rsidR="00FF5606">
        <w:t xml:space="preserve"> of parametric</w:t>
      </w:r>
      <w:r w:rsidR="00487415">
        <w:t xml:space="preserve"> cost estimation</w:t>
      </w:r>
      <w:r w:rsidR="00FF5606">
        <w:t xml:space="preserve"> models from </w:t>
      </w:r>
      <w:r w:rsidR="000C4BF0">
        <w:t xml:space="preserve">academia, government agencies, and industry </w:t>
      </w:r>
      <w:r w:rsidR="0068401E">
        <w:t xml:space="preserve">highlights a gap in </w:t>
      </w:r>
      <w:r w:rsidR="00487415">
        <w:t xml:space="preserve">the current knowledge in the topic of cost estimation: </w:t>
      </w:r>
      <w:r w:rsidR="000C4BF0">
        <w:t>the lack of differentiation between government</w:t>
      </w:r>
      <w:r w:rsidR="00487415">
        <w:t>-built</w:t>
      </w:r>
      <w:r w:rsidR="000C4BF0">
        <w:t xml:space="preserve"> and industry-built spacecrafts</w:t>
      </w:r>
      <w:r w:rsidR="00487415">
        <w:t xml:space="preserve"> </w:t>
      </w:r>
      <w:r w:rsidR="000C4BF0">
        <w:t>for government-managed spaceflight programs.</w:t>
      </w:r>
      <w:r w:rsidR="006140CE">
        <w:t xml:space="preserve"> </w:t>
      </w:r>
      <w:r w:rsidR="00C439D2">
        <w:t>M</w:t>
      </w:r>
      <w:r w:rsidR="006140CE">
        <w:t xml:space="preserve">odels that do allow for </w:t>
      </w:r>
      <w:r w:rsidR="00C439D2">
        <w:t>such</w:t>
      </w:r>
      <w:r w:rsidR="006140CE">
        <w:t xml:space="preserve"> differentiation </w:t>
      </w:r>
      <w:r w:rsidR="00F23613">
        <w:t xml:space="preserve">focus on the overall project management </w:t>
      </w:r>
      <w:r w:rsidR="00705CEE">
        <w:t xml:space="preserve">aspect </w:t>
      </w:r>
      <w:r w:rsidR="00F23613">
        <w:t xml:space="preserve">that reflects the </w:t>
      </w:r>
      <w:r w:rsidR="0030654F">
        <w:t xml:space="preserve">traditional </w:t>
      </w:r>
      <w:r w:rsidR="00B607A7">
        <w:t>procurement</w:t>
      </w:r>
      <w:r w:rsidR="0030654F">
        <w:t xml:space="preserve"> </w:t>
      </w:r>
      <w:r w:rsidR="00B607A7">
        <w:t>versus</w:t>
      </w:r>
      <w:r w:rsidR="0030654F">
        <w:t xml:space="preserve"> commercial development</w:t>
      </w:r>
      <w:r w:rsidR="00705CEE">
        <w:t xml:space="preserve"> </w:t>
      </w:r>
      <w:r w:rsidR="00FB1F2F">
        <w:t>approaches of acquisition</w:t>
      </w:r>
      <w:r w:rsidR="0065789F">
        <w:t xml:space="preserve">. </w:t>
      </w:r>
      <w:r w:rsidR="00E8676D">
        <w:t xml:space="preserve">This paper </w:t>
      </w:r>
      <w:r w:rsidR="00FB1F2F">
        <w:t>addresses</w:t>
      </w:r>
      <w:r w:rsidR="00E8676D">
        <w:t xml:space="preserve"> </w:t>
      </w:r>
      <w:r w:rsidR="00FB1F2F">
        <w:t>this</w:t>
      </w:r>
      <w:r w:rsidR="00FB186B">
        <w:t xml:space="preserve"> </w:t>
      </w:r>
      <w:r w:rsidR="00E8676D">
        <w:t xml:space="preserve">gap </w:t>
      </w:r>
      <w:r w:rsidR="00FB1F2F">
        <w:t xml:space="preserve">by providing a </w:t>
      </w:r>
      <w:r w:rsidR="00FB186B">
        <w:t>more nuanced</w:t>
      </w:r>
      <w:r w:rsidR="00E8676D">
        <w:t xml:space="preserve"> </w:t>
      </w:r>
      <w:r w:rsidR="00FB1F2F">
        <w:t>analyses</w:t>
      </w:r>
      <w:r w:rsidR="00E8676D">
        <w:t xml:space="preserve"> </w:t>
      </w:r>
      <w:r w:rsidR="00FB186B">
        <w:t xml:space="preserve">of </w:t>
      </w:r>
      <w:r w:rsidR="00E8676D">
        <w:t xml:space="preserve">changes in cost </w:t>
      </w:r>
      <w:r w:rsidR="00134C81">
        <w:t>in</w:t>
      </w:r>
      <w:r w:rsidR="00E8676D">
        <w:t xml:space="preserve"> </w:t>
      </w:r>
      <w:r w:rsidR="00134C81">
        <w:t xml:space="preserve">the </w:t>
      </w:r>
      <w:r w:rsidR="00E8676D">
        <w:t>traditional procurement arrangement</w:t>
      </w:r>
      <w:r w:rsidR="00134C81">
        <w:t>, specifically comparing</w:t>
      </w:r>
      <w:r w:rsidR="00B97F97">
        <w:t xml:space="preserve"> </w:t>
      </w:r>
      <w:r w:rsidR="00134C81">
        <w:t>s</w:t>
      </w:r>
      <w:r w:rsidR="00B97F97">
        <w:t xml:space="preserve">pacecraft built in-house at NASA versus </w:t>
      </w:r>
      <w:r w:rsidR="00134C81">
        <w:t>those developed externally by</w:t>
      </w:r>
      <w:r w:rsidR="00B97F97">
        <w:t xml:space="preserve"> industry.</w:t>
      </w:r>
    </w:p>
    <w:p w14:paraId="4CA03FC8" w14:textId="533145FF" w:rsidR="004E15B0" w:rsidRDefault="00371D61" w:rsidP="008C2F99">
      <w:pPr>
        <w:pStyle w:val="Heading1"/>
        <w:numPr>
          <w:ilvl w:val="0"/>
          <w:numId w:val="38"/>
        </w:numPr>
        <w:ind w:left="360"/>
      </w:pPr>
      <w:r>
        <w:t xml:space="preserve"> </w:t>
      </w:r>
      <w:r w:rsidR="00342642">
        <w:t>Methodology</w:t>
      </w:r>
      <w:r w:rsidR="001B0350">
        <w:t xml:space="preserve"> </w:t>
      </w:r>
    </w:p>
    <w:p w14:paraId="0FE12938" w14:textId="77777777" w:rsidR="001F629B" w:rsidRDefault="00342642" w:rsidP="001F629B">
      <w:pPr>
        <w:pStyle w:val="Heading2"/>
        <w:spacing w:line="480" w:lineRule="auto"/>
      </w:pPr>
      <w:r>
        <w:t>Data</w:t>
      </w:r>
    </w:p>
    <w:p w14:paraId="6EBF1DC3" w14:textId="68F30707" w:rsidR="002D08C3" w:rsidRDefault="00130040" w:rsidP="001F629B">
      <w:pPr>
        <w:pStyle w:val="Text"/>
      </w:pPr>
      <w:r>
        <w:t xml:space="preserve">NASA’s One NASA Cost Engineering (ONCE) database </w:t>
      </w:r>
      <w:r w:rsidR="00183F76">
        <w:t xml:space="preserve">is an internal </w:t>
      </w:r>
      <w:r w:rsidR="001C369C">
        <w:t xml:space="preserve">repository of programmatic data for </w:t>
      </w:r>
      <w:r w:rsidR="00F61145">
        <w:t>the space flight projects subjected to NASA Procedural Requirements</w:t>
      </w:r>
      <w:r w:rsidR="00C82366">
        <w:t xml:space="preserve"> (NPR)</w:t>
      </w:r>
      <w:r w:rsidR="00F61145">
        <w:t xml:space="preserve"> 7120</w:t>
      </w:r>
      <w:r w:rsidR="003779A1">
        <w:t>.5</w:t>
      </w:r>
      <w:r w:rsidR="00695C90" w:rsidRPr="00E31146">
        <w:t xml:space="preserve"> </w:t>
      </w:r>
      <w:r w:rsidR="00604AFD">
        <w:fldChar w:fldCharType="begin"/>
      </w:r>
      <w:r w:rsidR="00A4209C">
        <w:instrText xml:space="preserve"> ADDIN ZOTERO_ITEM CSL_CITATION {"citationID":"CgfFHr4P","properties":{"formattedCitation":"[19]","plainCitation":"[19]","noteIndex":0},"citationItems":[{"id":127,"uris":["http://zotero.org/users/5839368/items/YTEWS45R"],"itemData":{"id":127,"type":"document","publisher":"National Aeronautics and Space Administration","title":"NASA Procedural Requirements 7120.5F","URL":"https://nodis3.gsfc.nasa.gov/displayDir.cfm?Internal_ID=N_PR_7120_005F_&amp;page_name=main","author":[{"family":"NASA","given":""}],"accessed":{"date-parts":[["2022",12,17]]},"issued":{"date-parts":[["2021",8,3]]}}}],"schema":"https://github.com/citation-style-language/schema/raw/master/csl-citation.json"} </w:instrText>
      </w:r>
      <w:r w:rsidR="00604AFD">
        <w:fldChar w:fldCharType="separate"/>
      </w:r>
      <w:r w:rsidR="00A4209C" w:rsidRPr="00A4209C">
        <w:t>[19]</w:t>
      </w:r>
      <w:r w:rsidR="00604AFD">
        <w:fldChar w:fldCharType="end"/>
      </w:r>
      <w:r w:rsidR="00604AFD">
        <w:t xml:space="preserve">. </w:t>
      </w:r>
      <w:r w:rsidR="00C82366">
        <w:t>NPR 7120</w:t>
      </w:r>
      <w:r w:rsidR="00CF6296">
        <w:t>.5</w:t>
      </w:r>
      <w:r w:rsidR="00C82366">
        <w:t xml:space="preserve"> requires </w:t>
      </w:r>
      <w:r w:rsidR="0090456E">
        <w:t xml:space="preserve">the </w:t>
      </w:r>
      <w:r w:rsidR="000360D3">
        <w:t>projects</w:t>
      </w:r>
      <w:r w:rsidR="0090456E">
        <w:t xml:space="preserve"> to </w:t>
      </w:r>
      <w:r w:rsidR="002F7F87">
        <w:t>document</w:t>
      </w:r>
      <w:r w:rsidR="0090456E">
        <w:t xml:space="preserve"> </w:t>
      </w:r>
      <w:r w:rsidR="0018178F">
        <w:t xml:space="preserve">the Cost Analysis Data Requirements (CADRe) </w:t>
      </w:r>
      <w:r w:rsidR="001D35A0">
        <w:t xml:space="preserve">which involves </w:t>
      </w:r>
      <w:r w:rsidR="0090456E">
        <w:t>key technical parameters</w:t>
      </w:r>
      <w:r w:rsidR="00F808AB">
        <w:t xml:space="preserve">, project </w:t>
      </w:r>
      <w:r w:rsidR="00F808AB">
        <w:lastRenderedPageBreak/>
        <w:t>specifications, cost and schedule data</w:t>
      </w:r>
      <w:r w:rsidR="002F7F87">
        <w:t xml:space="preserve"> at each lifecycle milestone</w:t>
      </w:r>
      <w:r w:rsidR="006D71FF">
        <w:t xml:space="preserve"> </w:t>
      </w:r>
      <w:r w:rsidR="006D71FF">
        <w:fldChar w:fldCharType="begin"/>
      </w:r>
      <w:r w:rsidR="00A4209C">
        <w:instrText xml:space="preserve"> ADDIN ZOTERO_ITEM CSL_CITATION {"citationID":"xIG9g1kn","properties":{"formattedCitation":"[20]","plainCitation":"[20]","noteIndex":0},"citationItems":[{"id":535,"uris":["http://zotero.org/users/5839368/items/L3AL779U"],"itemData":{"id":535,"type":"webpage","container-title":"NASA OCFO","title":"CADRe/ONCE – Data Collection and Database","URL":"https://www.nasa.gov/ocfo/cadre-once-data-collection-and-database/","author":[{"family":"NASA","given":""}],"accessed":{"date-parts":[["2023",10,13]]}}}],"schema":"https://github.com/citation-style-language/schema/raw/master/csl-citation.json"} </w:instrText>
      </w:r>
      <w:r w:rsidR="006D71FF">
        <w:fldChar w:fldCharType="separate"/>
      </w:r>
      <w:r w:rsidR="00A4209C" w:rsidRPr="00A4209C">
        <w:t>[20]</w:t>
      </w:r>
      <w:r w:rsidR="006D71FF">
        <w:fldChar w:fldCharType="end"/>
      </w:r>
      <w:r w:rsidR="006D71FF">
        <w:t xml:space="preserve">. </w:t>
      </w:r>
      <w:r w:rsidR="002D2A09">
        <w:t xml:space="preserve">The study began with a </w:t>
      </w:r>
      <w:r w:rsidR="00874F53">
        <w:t>set of</w:t>
      </w:r>
      <w:r w:rsidR="001351CD">
        <w:t xml:space="preserve"> non-crew</w:t>
      </w:r>
      <w:r w:rsidR="00874F53">
        <w:t xml:space="preserve"> projects that have </w:t>
      </w:r>
      <w:r w:rsidR="00E7202E">
        <w:t xml:space="preserve">launched and </w:t>
      </w:r>
      <w:r w:rsidR="00874F53">
        <w:t xml:space="preserve">submitted either Launch Readiness </w:t>
      </w:r>
      <w:r w:rsidR="006014F4">
        <w:t>Review</w:t>
      </w:r>
      <w:r w:rsidR="00874F53">
        <w:t xml:space="preserve"> (</w:t>
      </w:r>
      <w:r w:rsidR="006014F4">
        <w:t>LRR</w:t>
      </w:r>
      <w:r w:rsidR="00874F53">
        <w:t>)</w:t>
      </w:r>
      <w:r w:rsidR="006014F4">
        <w:t xml:space="preserve"> or End-of-Mission (EOM) CADRe data</w:t>
      </w:r>
      <w:r w:rsidR="001754BD">
        <w:t xml:space="preserve"> </w:t>
      </w:r>
      <w:r w:rsidR="00994291">
        <w:t>at the time of data collection</w:t>
      </w:r>
      <w:r w:rsidR="006014F4">
        <w:t>.</w:t>
      </w:r>
      <w:r w:rsidR="001011D6">
        <w:t xml:space="preserve"> </w:t>
      </w:r>
    </w:p>
    <w:p w14:paraId="0530267D" w14:textId="4D82BBD7" w:rsidR="00494D8D" w:rsidRDefault="001011D6" w:rsidP="001F629B">
      <w:pPr>
        <w:pStyle w:val="Text"/>
      </w:pPr>
      <w:r>
        <w:t xml:space="preserve">From this initial set of 117 missions, </w:t>
      </w:r>
      <w:r w:rsidR="00CE605C">
        <w:t xml:space="preserve">the study removed projects that are instrument-only </w:t>
      </w:r>
      <w:r w:rsidR="006F71E0">
        <w:t>missions</w:t>
      </w:r>
      <w:r w:rsidR="006F68ED">
        <w:t xml:space="preserve"> as such projects do not involve spacecraft bus </w:t>
      </w:r>
      <w:r w:rsidR="00120511">
        <w:t>related costs. The study further removed projects that are</w:t>
      </w:r>
      <w:r w:rsidR="006F71E0">
        <w:t xml:space="preserve"> collaborations with another agency</w:t>
      </w:r>
      <w:r w:rsidR="00A61143">
        <w:t xml:space="preserve"> </w:t>
      </w:r>
      <w:r w:rsidR="00B70F11">
        <w:t>that involved budgetary contributions</w:t>
      </w:r>
      <w:r w:rsidR="00A61143">
        <w:t xml:space="preserve">. </w:t>
      </w:r>
      <w:r w:rsidR="00AD2214" w:rsidRPr="00AD2214">
        <w:t xml:space="preserve">Furthermore, </w:t>
      </w:r>
      <w:r w:rsidR="00AD2214">
        <w:t>the study</w:t>
      </w:r>
      <w:r w:rsidR="00AD2214" w:rsidRPr="00AD2214">
        <w:t xml:space="preserve"> excluded projects involving multiple spacecraft builds because the available data did not allow </w:t>
      </w:r>
      <w:r w:rsidR="00AD2214">
        <w:t>for the</w:t>
      </w:r>
      <w:r w:rsidR="00AD2214" w:rsidRPr="00AD2214">
        <w:t xml:space="preserve"> separat</w:t>
      </w:r>
      <w:r w:rsidR="00AD2214">
        <w:t>ion of</w:t>
      </w:r>
      <w:r w:rsidR="00AD2214" w:rsidRPr="00AD2214">
        <w:t xml:space="preserve"> the initial unit development costs from the subsequent unit production costs.</w:t>
      </w:r>
      <w:r w:rsidR="006C1EE9">
        <w:t xml:space="preserve"> </w:t>
      </w:r>
      <w:r w:rsidR="00695618">
        <w:t xml:space="preserve">These filtering </w:t>
      </w:r>
      <w:r w:rsidR="00494D8D">
        <w:t>criteria resulted in the sample size of 72 projects.</w:t>
      </w:r>
      <w:r w:rsidR="00F37694">
        <w:t xml:space="preserve"> Of the 72 projects, </w:t>
      </w:r>
      <w:r w:rsidR="00FB69E1">
        <w:t>three</w:t>
      </w:r>
      <w:r w:rsidR="00F37694">
        <w:t xml:space="preserve"> project</w:t>
      </w:r>
      <w:r w:rsidR="00FB69E1">
        <w:t>s</w:t>
      </w:r>
      <w:r w:rsidR="00F37694">
        <w:t xml:space="preserve"> </w:t>
      </w:r>
      <w:r w:rsidR="00FB69E1">
        <w:t xml:space="preserve">were </w:t>
      </w:r>
      <w:r w:rsidR="00F37694">
        <w:t xml:space="preserve">highly influential </w:t>
      </w:r>
      <w:r w:rsidR="00FB69E1">
        <w:t xml:space="preserve">points </w:t>
      </w:r>
      <w:r w:rsidR="00B21FB2">
        <w:t xml:space="preserve">and thus removed </w:t>
      </w:r>
      <w:r w:rsidR="00C34BD8">
        <w:t>for</w:t>
      </w:r>
      <w:r w:rsidR="00B21FB2">
        <w:t xml:space="preserve"> bias </w:t>
      </w:r>
      <w:r w:rsidR="00C34BD8">
        <w:t>reduction</w:t>
      </w:r>
      <w:r w:rsidR="00B21FB2">
        <w:t>.</w:t>
      </w:r>
      <w:r w:rsidR="00C34BD8">
        <w:t xml:space="preserve"> </w:t>
      </w:r>
      <w:r w:rsidR="009D7B49" w:rsidRPr="00D321F0">
        <w:t xml:space="preserve">The final sample of </w:t>
      </w:r>
      <w:r w:rsidR="00FB69E1" w:rsidRPr="00D321F0">
        <w:t xml:space="preserve">69 </w:t>
      </w:r>
      <w:r w:rsidR="009D7B49" w:rsidRPr="00D321F0">
        <w:t>projects</w:t>
      </w:r>
      <w:r w:rsidR="009D7B49">
        <w:t xml:space="preserve"> </w:t>
      </w:r>
      <w:r w:rsidR="00370CC4">
        <w:t>included</w:t>
      </w:r>
      <w:r w:rsidR="009D7B49">
        <w:t xml:space="preserve"> 2</w:t>
      </w:r>
      <w:r w:rsidR="008E3A1A">
        <w:t>2</w:t>
      </w:r>
      <w:r w:rsidR="009D7B49">
        <w:t xml:space="preserve"> projects</w:t>
      </w:r>
      <w:r w:rsidR="00370CC4">
        <w:t xml:space="preserve"> with NASA-built spacecraft and 4</w:t>
      </w:r>
      <w:r w:rsidR="00156648">
        <w:t>7</w:t>
      </w:r>
      <w:r w:rsidR="00370CC4">
        <w:t xml:space="preserve"> projects with industry-built spacecraft as shown in </w:t>
      </w:r>
      <w:r w:rsidR="005E16AC">
        <w:t xml:space="preserve">Table </w:t>
      </w:r>
      <w:r w:rsidR="00BF79D1">
        <w:t>1</w:t>
      </w:r>
      <w:r w:rsidR="005E16AC">
        <w:t xml:space="preserve"> below.</w:t>
      </w:r>
      <w:r w:rsidR="00C26E14">
        <w:t xml:space="preserve"> </w:t>
      </w:r>
    </w:p>
    <w:p w14:paraId="67C79079" w14:textId="1E7E6194" w:rsidR="005E16AC" w:rsidRDefault="005E16AC" w:rsidP="005E16AC">
      <w:pPr>
        <w:pStyle w:val="Heading4"/>
      </w:pPr>
      <w:r w:rsidRPr="00E31146">
        <w:t xml:space="preserve">Table </w:t>
      </w:r>
      <w:r w:rsidR="00BF79D1">
        <w:t>1</w:t>
      </w:r>
      <w:r w:rsidRPr="00E31146">
        <w:t xml:space="preserve"> </w:t>
      </w:r>
      <w:r>
        <w:t>Sample Projects</w:t>
      </w:r>
    </w:p>
    <w:p w14:paraId="734D3BCE" w14:textId="77777777" w:rsidR="008C2F99" w:rsidRPr="008C2F99" w:rsidRDefault="008C2F99" w:rsidP="008C2F99"/>
    <w:tbl>
      <w:tblPr>
        <w:tblStyle w:val="TableGrid"/>
        <w:tblW w:w="0" w:type="auto"/>
        <w:tblLook w:val="04A0" w:firstRow="1" w:lastRow="0" w:firstColumn="1" w:lastColumn="0" w:noHBand="0" w:noVBand="1"/>
      </w:tblPr>
      <w:tblGrid>
        <w:gridCol w:w="1657"/>
        <w:gridCol w:w="1939"/>
        <w:gridCol w:w="1427"/>
        <w:gridCol w:w="1420"/>
        <w:gridCol w:w="1429"/>
        <w:gridCol w:w="1442"/>
      </w:tblGrid>
      <w:tr w:rsidR="00072F91" w:rsidRPr="00D96D28" w14:paraId="26B2E396" w14:textId="77777777" w:rsidTr="00CD3CE8">
        <w:tc>
          <w:tcPr>
            <w:tcW w:w="3596" w:type="dxa"/>
            <w:gridSpan w:val="2"/>
            <w:tcBorders>
              <w:top w:val="single" w:sz="18" w:space="0" w:color="auto"/>
              <w:left w:val="single" w:sz="18" w:space="0" w:color="auto"/>
              <w:bottom w:val="single" w:sz="18" w:space="0" w:color="auto"/>
              <w:right w:val="single" w:sz="18" w:space="0" w:color="auto"/>
            </w:tcBorders>
            <w:vAlign w:val="center"/>
          </w:tcPr>
          <w:p w14:paraId="2CDF4131" w14:textId="4901822C" w:rsidR="00072F91" w:rsidRPr="00D96D28" w:rsidRDefault="00072F91" w:rsidP="00D96D28">
            <w:pPr>
              <w:jc w:val="center"/>
              <w:rPr>
                <w:b/>
                <w:bCs/>
                <w:sz w:val="18"/>
                <w:szCs w:val="18"/>
              </w:rPr>
            </w:pPr>
            <w:r w:rsidRPr="00D96D28">
              <w:rPr>
                <w:b/>
                <w:bCs/>
                <w:sz w:val="18"/>
                <w:szCs w:val="18"/>
              </w:rPr>
              <w:t>NASA-Built Spacecraft Projects (n=2</w:t>
            </w:r>
            <w:r w:rsidR="005374F3">
              <w:rPr>
                <w:b/>
                <w:bCs/>
                <w:sz w:val="18"/>
                <w:szCs w:val="18"/>
              </w:rPr>
              <w:t>2</w:t>
            </w:r>
            <w:r w:rsidRPr="00D96D28">
              <w:rPr>
                <w:b/>
                <w:bCs/>
                <w:sz w:val="18"/>
                <w:szCs w:val="18"/>
              </w:rPr>
              <w:t>)</w:t>
            </w:r>
          </w:p>
        </w:tc>
        <w:tc>
          <w:tcPr>
            <w:tcW w:w="5718" w:type="dxa"/>
            <w:gridSpan w:val="4"/>
            <w:tcBorders>
              <w:top w:val="single" w:sz="18" w:space="0" w:color="auto"/>
              <w:left w:val="single" w:sz="18" w:space="0" w:color="auto"/>
              <w:bottom w:val="single" w:sz="18" w:space="0" w:color="auto"/>
              <w:right w:val="single" w:sz="18" w:space="0" w:color="auto"/>
            </w:tcBorders>
            <w:vAlign w:val="center"/>
          </w:tcPr>
          <w:p w14:paraId="761F37F7" w14:textId="7852E9FF" w:rsidR="00072F91" w:rsidRPr="00D96D28" w:rsidRDefault="00072F91" w:rsidP="00D96D28">
            <w:pPr>
              <w:jc w:val="center"/>
              <w:rPr>
                <w:b/>
                <w:bCs/>
                <w:sz w:val="18"/>
                <w:szCs w:val="18"/>
              </w:rPr>
            </w:pPr>
            <w:r w:rsidRPr="00D96D28">
              <w:rPr>
                <w:b/>
                <w:bCs/>
                <w:sz w:val="18"/>
                <w:szCs w:val="18"/>
              </w:rPr>
              <w:t>Industry-Built Spacecraft Projects (n=47)</w:t>
            </w:r>
          </w:p>
        </w:tc>
      </w:tr>
      <w:tr w:rsidR="00CD3CE8" w:rsidRPr="00D96D28" w14:paraId="729ACB89" w14:textId="77777777" w:rsidTr="00CD3CE8">
        <w:tc>
          <w:tcPr>
            <w:tcW w:w="1657" w:type="dxa"/>
            <w:tcBorders>
              <w:top w:val="single" w:sz="18" w:space="0" w:color="auto"/>
              <w:left w:val="single" w:sz="18" w:space="0" w:color="auto"/>
            </w:tcBorders>
            <w:vAlign w:val="center"/>
          </w:tcPr>
          <w:p w14:paraId="37D1B7DA" w14:textId="06E78F0E" w:rsidR="00CD3CE8" w:rsidRPr="00D96D28" w:rsidRDefault="00CD3CE8" w:rsidP="00CD3CE8">
            <w:pPr>
              <w:jc w:val="center"/>
              <w:rPr>
                <w:sz w:val="18"/>
                <w:szCs w:val="18"/>
              </w:rPr>
            </w:pPr>
            <w:r w:rsidRPr="00D96D28">
              <w:rPr>
                <w:color w:val="000000"/>
                <w:sz w:val="18"/>
                <w:szCs w:val="18"/>
              </w:rPr>
              <w:t>ACE</w:t>
            </w:r>
          </w:p>
        </w:tc>
        <w:tc>
          <w:tcPr>
            <w:tcW w:w="1939" w:type="dxa"/>
            <w:tcBorders>
              <w:top w:val="single" w:sz="18" w:space="0" w:color="auto"/>
              <w:right w:val="single" w:sz="18" w:space="0" w:color="auto"/>
            </w:tcBorders>
            <w:vAlign w:val="center"/>
          </w:tcPr>
          <w:p w14:paraId="0386EF2E" w14:textId="1CB01255" w:rsidR="00CD3CE8" w:rsidRPr="00D96D28" w:rsidRDefault="00CD3CE8" w:rsidP="00CD3CE8">
            <w:pPr>
              <w:jc w:val="center"/>
              <w:rPr>
                <w:sz w:val="18"/>
                <w:szCs w:val="18"/>
              </w:rPr>
            </w:pPr>
            <w:r w:rsidRPr="00D96D28">
              <w:rPr>
                <w:color w:val="000000"/>
                <w:sz w:val="18"/>
                <w:szCs w:val="18"/>
              </w:rPr>
              <w:t>MSL</w:t>
            </w:r>
            <w:r>
              <w:rPr>
                <w:color w:val="000000"/>
                <w:sz w:val="18"/>
                <w:szCs w:val="18"/>
              </w:rPr>
              <w:t>-Curiosity</w:t>
            </w:r>
          </w:p>
        </w:tc>
        <w:tc>
          <w:tcPr>
            <w:tcW w:w="1427" w:type="dxa"/>
            <w:tcBorders>
              <w:top w:val="single" w:sz="18" w:space="0" w:color="auto"/>
              <w:left w:val="single" w:sz="18" w:space="0" w:color="auto"/>
            </w:tcBorders>
            <w:vAlign w:val="center"/>
          </w:tcPr>
          <w:p w14:paraId="6A92680A" w14:textId="51373314" w:rsidR="00CD3CE8" w:rsidRPr="00D96D28" w:rsidRDefault="00CD3CE8" w:rsidP="00CD3CE8">
            <w:pPr>
              <w:jc w:val="center"/>
              <w:rPr>
                <w:sz w:val="18"/>
                <w:szCs w:val="18"/>
              </w:rPr>
            </w:pPr>
            <w:r w:rsidRPr="00D96D28">
              <w:rPr>
                <w:color w:val="000000"/>
                <w:sz w:val="18"/>
                <w:szCs w:val="18"/>
              </w:rPr>
              <w:t>AIM</w:t>
            </w:r>
          </w:p>
        </w:tc>
        <w:tc>
          <w:tcPr>
            <w:tcW w:w="1420" w:type="dxa"/>
            <w:tcBorders>
              <w:top w:val="single" w:sz="18" w:space="0" w:color="auto"/>
            </w:tcBorders>
            <w:vAlign w:val="center"/>
          </w:tcPr>
          <w:p w14:paraId="0DAE278B" w14:textId="4DAF64D3" w:rsidR="00CD3CE8" w:rsidRPr="00D96D28" w:rsidRDefault="00CD3CE8" w:rsidP="00CD3CE8">
            <w:pPr>
              <w:jc w:val="center"/>
              <w:rPr>
                <w:sz w:val="18"/>
                <w:szCs w:val="18"/>
              </w:rPr>
            </w:pPr>
            <w:r w:rsidRPr="00D96D28">
              <w:rPr>
                <w:color w:val="000000"/>
                <w:sz w:val="18"/>
                <w:szCs w:val="18"/>
              </w:rPr>
              <w:t>ICESat</w:t>
            </w:r>
          </w:p>
        </w:tc>
        <w:tc>
          <w:tcPr>
            <w:tcW w:w="1429" w:type="dxa"/>
            <w:tcBorders>
              <w:top w:val="single" w:sz="18" w:space="0" w:color="auto"/>
            </w:tcBorders>
            <w:vAlign w:val="center"/>
          </w:tcPr>
          <w:p w14:paraId="6D2FC627" w14:textId="5CBBD555" w:rsidR="00CD3CE8" w:rsidRPr="00D96D28" w:rsidRDefault="00CD3CE8" w:rsidP="00CD3CE8">
            <w:pPr>
              <w:jc w:val="center"/>
              <w:rPr>
                <w:sz w:val="18"/>
                <w:szCs w:val="18"/>
              </w:rPr>
            </w:pPr>
            <w:r w:rsidRPr="00D96D28">
              <w:rPr>
                <w:color w:val="000000"/>
                <w:sz w:val="18"/>
                <w:szCs w:val="18"/>
              </w:rPr>
              <w:t>Landsat 9</w:t>
            </w:r>
          </w:p>
        </w:tc>
        <w:tc>
          <w:tcPr>
            <w:tcW w:w="1442" w:type="dxa"/>
            <w:tcBorders>
              <w:top w:val="single" w:sz="18" w:space="0" w:color="auto"/>
              <w:right w:val="single" w:sz="18" w:space="0" w:color="auto"/>
            </w:tcBorders>
            <w:vAlign w:val="center"/>
          </w:tcPr>
          <w:p w14:paraId="5CD1AB05" w14:textId="2CF40030" w:rsidR="00CD3CE8" w:rsidRPr="00D96D28" w:rsidRDefault="00CD3CE8" w:rsidP="00CD3CE8">
            <w:pPr>
              <w:jc w:val="center"/>
              <w:rPr>
                <w:sz w:val="18"/>
                <w:szCs w:val="18"/>
              </w:rPr>
            </w:pPr>
            <w:r w:rsidRPr="00D96D28">
              <w:rPr>
                <w:color w:val="000000"/>
                <w:sz w:val="18"/>
                <w:szCs w:val="18"/>
              </w:rPr>
              <w:t>Psyche</w:t>
            </w:r>
          </w:p>
        </w:tc>
      </w:tr>
      <w:tr w:rsidR="00CD3CE8" w:rsidRPr="00D96D28" w14:paraId="2FD7E9A0" w14:textId="77777777" w:rsidTr="00CD3CE8">
        <w:tc>
          <w:tcPr>
            <w:tcW w:w="1657" w:type="dxa"/>
            <w:tcBorders>
              <w:left w:val="single" w:sz="18" w:space="0" w:color="auto"/>
            </w:tcBorders>
            <w:vAlign w:val="center"/>
          </w:tcPr>
          <w:p w14:paraId="377F361D" w14:textId="3121A086" w:rsidR="00CD3CE8" w:rsidRPr="00D96D28" w:rsidRDefault="00CD3CE8" w:rsidP="00CD3CE8">
            <w:pPr>
              <w:jc w:val="center"/>
              <w:rPr>
                <w:sz w:val="18"/>
                <w:szCs w:val="18"/>
              </w:rPr>
            </w:pPr>
            <w:r w:rsidRPr="00D96D28">
              <w:rPr>
                <w:color w:val="000000"/>
                <w:sz w:val="18"/>
                <w:szCs w:val="18"/>
              </w:rPr>
              <w:t>Cassini</w:t>
            </w:r>
          </w:p>
        </w:tc>
        <w:tc>
          <w:tcPr>
            <w:tcW w:w="1939" w:type="dxa"/>
            <w:tcBorders>
              <w:right w:val="single" w:sz="18" w:space="0" w:color="auto"/>
            </w:tcBorders>
            <w:vAlign w:val="center"/>
          </w:tcPr>
          <w:p w14:paraId="264BCD61" w14:textId="709EEB76" w:rsidR="00CD3CE8" w:rsidRPr="00D96D28" w:rsidRDefault="00CD3CE8" w:rsidP="00CD3CE8">
            <w:pPr>
              <w:jc w:val="center"/>
              <w:rPr>
                <w:sz w:val="18"/>
                <w:szCs w:val="18"/>
              </w:rPr>
            </w:pPr>
            <w:r w:rsidRPr="00D96D28">
              <w:rPr>
                <w:color w:val="000000"/>
                <w:sz w:val="18"/>
                <w:szCs w:val="18"/>
              </w:rPr>
              <w:t>NEAR</w:t>
            </w:r>
          </w:p>
        </w:tc>
        <w:tc>
          <w:tcPr>
            <w:tcW w:w="1427" w:type="dxa"/>
            <w:tcBorders>
              <w:left w:val="single" w:sz="18" w:space="0" w:color="auto"/>
            </w:tcBorders>
            <w:vAlign w:val="center"/>
          </w:tcPr>
          <w:p w14:paraId="4512C9B8" w14:textId="27B7F0E7" w:rsidR="00CD3CE8" w:rsidRPr="00D96D28" w:rsidRDefault="00CD3CE8" w:rsidP="00CD3CE8">
            <w:pPr>
              <w:jc w:val="center"/>
              <w:rPr>
                <w:sz w:val="18"/>
                <w:szCs w:val="18"/>
              </w:rPr>
            </w:pPr>
            <w:r w:rsidRPr="00D96D28">
              <w:rPr>
                <w:color w:val="000000"/>
                <w:sz w:val="18"/>
                <w:szCs w:val="18"/>
              </w:rPr>
              <w:t>Aqua</w:t>
            </w:r>
          </w:p>
        </w:tc>
        <w:tc>
          <w:tcPr>
            <w:tcW w:w="1420" w:type="dxa"/>
            <w:vAlign w:val="center"/>
          </w:tcPr>
          <w:p w14:paraId="7CD17C9E" w14:textId="56A1A1FD" w:rsidR="00CD3CE8" w:rsidRPr="00D96D28" w:rsidRDefault="00CD3CE8" w:rsidP="00CD3CE8">
            <w:pPr>
              <w:jc w:val="center"/>
              <w:rPr>
                <w:sz w:val="18"/>
                <w:szCs w:val="18"/>
              </w:rPr>
            </w:pPr>
            <w:r w:rsidRPr="00D96D28">
              <w:rPr>
                <w:color w:val="000000"/>
                <w:sz w:val="18"/>
                <w:szCs w:val="18"/>
              </w:rPr>
              <w:t>ICESat-2</w:t>
            </w:r>
          </w:p>
        </w:tc>
        <w:tc>
          <w:tcPr>
            <w:tcW w:w="1429" w:type="dxa"/>
            <w:vAlign w:val="center"/>
          </w:tcPr>
          <w:p w14:paraId="0BA6C55E" w14:textId="11D0391C" w:rsidR="00CD3CE8" w:rsidRPr="00D96D28" w:rsidRDefault="00CD3CE8" w:rsidP="00CD3CE8">
            <w:pPr>
              <w:jc w:val="center"/>
              <w:rPr>
                <w:sz w:val="18"/>
                <w:szCs w:val="18"/>
              </w:rPr>
            </w:pPr>
            <w:r w:rsidRPr="00D96D28">
              <w:rPr>
                <w:color w:val="000000"/>
                <w:sz w:val="18"/>
                <w:szCs w:val="18"/>
              </w:rPr>
              <w:t>LUCY</w:t>
            </w:r>
          </w:p>
        </w:tc>
        <w:tc>
          <w:tcPr>
            <w:tcW w:w="1442" w:type="dxa"/>
            <w:tcBorders>
              <w:right w:val="single" w:sz="18" w:space="0" w:color="auto"/>
            </w:tcBorders>
            <w:vAlign w:val="center"/>
          </w:tcPr>
          <w:p w14:paraId="17EE6651" w14:textId="7C2BA49C" w:rsidR="00CD3CE8" w:rsidRPr="00D96D28" w:rsidRDefault="00CD3CE8" w:rsidP="00CD3CE8">
            <w:pPr>
              <w:jc w:val="center"/>
              <w:rPr>
                <w:sz w:val="18"/>
                <w:szCs w:val="18"/>
              </w:rPr>
            </w:pPr>
            <w:proofErr w:type="spellStart"/>
            <w:r w:rsidRPr="00D96D28">
              <w:rPr>
                <w:color w:val="000000"/>
                <w:sz w:val="18"/>
                <w:szCs w:val="18"/>
              </w:rPr>
              <w:t>QuikSCAT</w:t>
            </w:r>
            <w:proofErr w:type="spellEnd"/>
          </w:p>
        </w:tc>
      </w:tr>
      <w:tr w:rsidR="00CD3CE8" w:rsidRPr="00D96D28" w14:paraId="51A4CB83" w14:textId="77777777" w:rsidTr="00CD3CE8">
        <w:tc>
          <w:tcPr>
            <w:tcW w:w="1657" w:type="dxa"/>
            <w:tcBorders>
              <w:left w:val="single" w:sz="18" w:space="0" w:color="auto"/>
            </w:tcBorders>
            <w:vAlign w:val="center"/>
          </w:tcPr>
          <w:p w14:paraId="092A5B72" w14:textId="4B8DE05C" w:rsidR="00CD3CE8" w:rsidRPr="00D96D28" w:rsidRDefault="00CD3CE8" w:rsidP="00CD3CE8">
            <w:pPr>
              <w:jc w:val="center"/>
              <w:rPr>
                <w:sz w:val="18"/>
                <w:szCs w:val="18"/>
              </w:rPr>
            </w:pPr>
            <w:r w:rsidRPr="00D96D28">
              <w:rPr>
                <w:color w:val="000000"/>
                <w:sz w:val="18"/>
                <w:szCs w:val="18"/>
              </w:rPr>
              <w:t>DART</w:t>
            </w:r>
          </w:p>
        </w:tc>
        <w:tc>
          <w:tcPr>
            <w:tcW w:w="1939" w:type="dxa"/>
            <w:tcBorders>
              <w:right w:val="single" w:sz="18" w:space="0" w:color="auto"/>
            </w:tcBorders>
            <w:vAlign w:val="center"/>
          </w:tcPr>
          <w:p w14:paraId="3902E05C" w14:textId="0904D794" w:rsidR="00CD3CE8" w:rsidRPr="00D96D28" w:rsidRDefault="00CD3CE8" w:rsidP="00CD3CE8">
            <w:pPr>
              <w:jc w:val="center"/>
              <w:rPr>
                <w:sz w:val="18"/>
                <w:szCs w:val="18"/>
              </w:rPr>
            </w:pPr>
            <w:r w:rsidRPr="00D96D28">
              <w:rPr>
                <w:color w:val="000000"/>
                <w:sz w:val="18"/>
                <w:szCs w:val="18"/>
              </w:rPr>
              <w:t>New Horizons</w:t>
            </w:r>
          </w:p>
        </w:tc>
        <w:tc>
          <w:tcPr>
            <w:tcW w:w="1427" w:type="dxa"/>
            <w:tcBorders>
              <w:left w:val="single" w:sz="18" w:space="0" w:color="auto"/>
            </w:tcBorders>
            <w:vAlign w:val="center"/>
          </w:tcPr>
          <w:p w14:paraId="3E65E8E3" w14:textId="3156F2C7" w:rsidR="00CD3CE8" w:rsidRPr="00D96D28" w:rsidRDefault="00CD3CE8" w:rsidP="00CD3CE8">
            <w:pPr>
              <w:jc w:val="center"/>
              <w:rPr>
                <w:sz w:val="18"/>
                <w:szCs w:val="18"/>
              </w:rPr>
            </w:pPr>
            <w:r w:rsidRPr="00D96D28">
              <w:rPr>
                <w:color w:val="000000"/>
                <w:sz w:val="18"/>
                <w:szCs w:val="18"/>
              </w:rPr>
              <w:t>Aura</w:t>
            </w:r>
          </w:p>
        </w:tc>
        <w:tc>
          <w:tcPr>
            <w:tcW w:w="1420" w:type="dxa"/>
            <w:vAlign w:val="center"/>
          </w:tcPr>
          <w:p w14:paraId="66A42088" w14:textId="6FAC8ABE" w:rsidR="00CD3CE8" w:rsidRPr="00D96D28" w:rsidRDefault="00CD3CE8" w:rsidP="00CD3CE8">
            <w:pPr>
              <w:jc w:val="center"/>
              <w:rPr>
                <w:sz w:val="18"/>
                <w:szCs w:val="18"/>
              </w:rPr>
            </w:pPr>
            <w:r w:rsidRPr="00D96D28">
              <w:rPr>
                <w:color w:val="000000"/>
                <w:sz w:val="18"/>
                <w:szCs w:val="18"/>
              </w:rPr>
              <w:t>ICON</w:t>
            </w:r>
          </w:p>
        </w:tc>
        <w:tc>
          <w:tcPr>
            <w:tcW w:w="1429" w:type="dxa"/>
            <w:vAlign w:val="center"/>
          </w:tcPr>
          <w:p w14:paraId="4180F9F7" w14:textId="49537BAE" w:rsidR="00CD3CE8" w:rsidRPr="00D96D28" w:rsidRDefault="00CD3CE8" w:rsidP="00CD3CE8">
            <w:pPr>
              <w:jc w:val="center"/>
              <w:rPr>
                <w:sz w:val="18"/>
                <w:szCs w:val="18"/>
              </w:rPr>
            </w:pPr>
            <w:r w:rsidRPr="00D96D28">
              <w:rPr>
                <w:color w:val="000000"/>
                <w:sz w:val="18"/>
                <w:szCs w:val="18"/>
              </w:rPr>
              <w:t>Mars Odyssey</w:t>
            </w:r>
          </w:p>
        </w:tc>
        <w:tc>
          <w:tcPr>
            <w:tcW w:w="1442" w:type="dxa"/>
            <w:tcBorders>
              <w:right w:val="single" w:sz="18" w:space="0" w:color="auto"/>
            </w:tcBorders>
            <w:vAlign w:val="center"/>
          </w:tcPr>
          <w:p w14:paraId="0C025C8A" w14:textId="22BCA857" w:rsidR="00CD3CE8" w:rsidRPr="00D96D28" w:rsidRDefault="00CD3CE8" w:rsidP="00CD3CE8">
            <w:pPr>
              <w:jc w:val="center"/>
              <w:rPr>
                <w:sz w:val="18"/>
                <w:szCs w:val="18"/>
              </w:rPr>
            </w:pPr>
            <w:r w:rsidRPr="00D96D28">
              <w:rPr>
                <w:color w:val="000000"/>
                <w:sz w:val="18"/>
                <w:szCs w:val="18"/>
              </w:rPr>
              <w:t>RHESSI</w:t>
            </w:r>
          </w:p>
        </w:tc>
      </w:tr>
      <w:tr w:rsidR="00CD3CE8" w:rsidRPr="00D96D28" w14:paraId="7C37052B" w14:textId="77777777" w:rsidTr="00CD3CE8">
        <w:tc>
          <w:tcPr>
            <w:tcW w:w="1657" w:type="dxa"/>
            <w:tcBorders>
              <w:left w:val="single" w:sz="18" w:space="0" w:color="auto"/>
            </w:tcBorders>
            <w:vAlign w:val="center"/>
          </w:tcPr>
          <w:p w14:paraId="3A202EF7" w14:textId="218B1FED" w:rsidR="00CD3CE8" w:rsidRPr="00D96D28" w:rsidRDefault="00CD3CE8" w:rsidP="00CD3CE8">
            <w:pPr>
              <w:jc w:val="center"/>
              <w:rPr>
                <w:sz w:val="18"/>
                <w:szCs w:val="18"/>
              </w:rPr>
            </w:pPr>
            <w:r w:rsidRPr="00D96D28">
              <w:rPr>
                <w:color w:val="000000"/>
                <w:sz w:val="18"/>
                <w:szCs w:val="18"/>
              </w:rPr>
              <w:t>DSCOVR</w:t>
            </w:r>
          </w:p>
        </w:tc>
        <w:tc>
          <w:tcPr>
            <w:tcW w:w="1939" w:type="dxa"/>
            <w:tcBorders>
              <w:right w:val="single" w:sz="18" w:space="0" w:color="auto"/>
            </w:tcBorders>
            <w:vAlign w:val="center"/>
          </w:tcPr>
          <w:p w14:paraId="7FB6936B" w14:textId="6AE4A7A6" w:rsidR="00CD3CE8" w:rsidRPr="00D96D28" w:rsidRDefault="00CD3CE8" w:rsidP="00CD3CE8">
            <w:pPr>
              <w:jc w:val="center"/>
              <w:rPr>
                <w:sz w:val="18"/>
                <w:szCs w:val="18"/>
              </w:rPr>
            </w:pPr>
            <w:r w:rsidRPr="00D96D28">
              <w:rPr>
                <w:color w:val="000000"/>
                <w:sz w:val="18"/>
                <w:szCs w:val="18"/>
              </w:rPr>
              <w:t>PACE</w:t>
            </w:r>
          </w:p>
        </w:tc>
        <w:tc>
          <w:tcPr>
            <w:tcW w:w="1427" w:type="dxa"/>
            <w:tcBorders>
              <w:left w:val="single" w:sz="18" w:space="0" w:color="auto"/>
            </w:tcBorders>
            <w:vAlign w:val="center"/>
          </w:tcPr>
          <w:p w14:paraId="1A4259F9" w14:textId="3A92DB30" w:rsidR="00CD3CE8" w:rsidRPr="00D96D28" w:rsidRDefault="00CD3CE8" w:rsidP="00CD3CE8">
            <w:pPr>
              <w:jc w:val="center"/>
              <w:rPr>
                <w:sz w:val="18"/>
                <w:szCs w:val="18"/>
              </w:rPr>
            </w:pPr>
            <w:r w:rsidRPr="00D96D28">
              <w:rPr>
                <w:color w:val="000000"/>
                <w:sz w:val="18"/>
                <w:szCs w:val="18"/>
              </w:rPr>
              <w:t>CloudSat</w:t>
            </w:r>
          </w:p>
        </w:tc>
        <w:tc>
          <w:tcPr>
            <w:tcW w:w="1420" w:type="dxa"/>
            <w:vAlign w:val="center"/>
          </w:tcPr>
          <w:p w14:paraId="7E8260B9" w14:textId="2EEF8227" w:rsidR="00CD3CE8" w:rsidRPr="00D96D28" w:rsidRDefault="00CD3CE8" w:rsidP="00CD3CE8">
            <w:pPr>
              <w:jc w:val="center"/>
              <w:rPr>
                <w:sz w:val="18"/>
                <w:szCs w:val="18"/>
              </w:rPr>
            </w:pPr>
            <w:r w:rsidRPr="00D96D28">
              <w:rPr>
                <w:color w:val="000000"/>
                <w:sz w:val="18"/>
                <w:szCs w:val="18"/>
              </w:rPr>
              <w:t>IMAGE</w:t>
            </w:r>
          </w:p>
        </w:tc>
        <w:tc>
          <w:tcPr>
            <w:tcW w:w="1429" w:type="dxa"/>
            <w:vAlign w:val="center"/>
          </w:tcPr>
          <w:p w14:paraId="6AC58D0B" w14:textId="3560D11C" w:rsidR="00CD3CE8" w:rsidRPr="00D96D28" w:rsidRDefault="00CD3CE8" w:rsidP="00CD3CE8">
            <w:pPr>
              <w:jc w:val="center"/>
              <w:rPr>
                <w:sz w:val="18"/>
                <w:szCs w:val="18"/>
              </w:rPr>
            </w:pPr>
            <w:r w:rsidRPr="00D96D28">
              <w:rPr>
                <w:color w:val="000000"/>
                <w:sz w:val="18"/>
                <w:szCs w:val="18"/>
              </w:rPr>
              <w:t>MAVEN</w:t>
            </w:r>
          </w:p>
        </w:tc>
        <w:tc>
          <w:tcPr>
            <w:tcW w:w="1442" w:type="dxa"/>
            <w:tcBorders>
              <w:right w:val="single" w:sz="18" w:space="0" w:color="auto"/>
            </w:tcBorders>
            <w:vAlign w:val="center"/>
          </w:tcPr>
          <w:p w14:paraId="37C0D84E" w14:textId="5E42E8D3" w:rsidR="00CD3CE8" w:rsidRPr="00D96D28" w:rsidRDefault="00CD3CE8" w:rsidP="00CD3CE8">
            <w:pPr>
              <w:jc w:val="center"/>
              <w:rPr>
                <w:sz w:val="18"/>
                <w:szCs w:val="18"/>
              </w:rPr>
            </w:pPr>
            <w:r w:rsidRPr="00D96D28">
              <w:rPr>
                <w:color w:val="000000"/>
                <w:sz w:val="18"/>
                <w:szCs w:val="18"/>
              </w:rPr>
              <w:t>SIRTF</w:t>
            </w:r>
          </w:p>
        </w:tc>
      </w:tr>
      <w:tr w:rsidR="00CD3CE8" w:rsidRPr="00D96D28" w14:paraId="1ADEC8D7" w14:textId="77777777" w:rsidTr="00CD3CE8">
        <w:tc>
          <w:tcPr>
            <w:tcW w:w="1657" w:type="dxa"/>
            <w:tcBorders>
              <w:left w:val="single" w:sz="18" w:space="0" w:color="auto"/>
            </w:tcBorders>
            <w:vAlign w:val="center"/>
          </w:tcPr>
          <w:p w14:paraId="65CE44D8" w14:textId="3D68E571" w:rsidR="00CD3CE8" w:rsidRPr="00D96D28" w:rsidRDefault="00CD3CE8" w:rsidP="00CD3CE8">
            <w:pPr>
              <w:jc w:val="center"/>
              <w:rPr>
                <w:sz w:val="18"/>
                <w:szCs w:val="18"/>
              </w:rPr>
            </w:pPr>
            <w:r w:rsidRPr="00D96D28">
              <w:rPr>
                <w:color w:val="000000"/>
                <w:sz w:val="18"/>
                <w:szCs w:val="18"/>
              </w:rPr>
              <w:t>FAST</w:t>
            </w:r>
          </w:p>
        </w:tc>
        <w:tc>
          <w:tcPr>
            <w:tcW w:w="1939" w:type="dxa"/>
            <w:tcBorders>
              <w:right w:val="single" w:sz="18" w:space="0" w:color="auto"/>
            </w:tcBorders>
            <w:vAlign w:val="center"/>
          </w:tcPr>
          <w:p w14:paraId="353406FC" w14:textId="38ECCA02" w:rsidR="00CD3CE8" w:rsidRPr="00D96D28" w:rsidRDefault="00CD3CE8" w:rsidP="00CD3CE8">
            <w:pPr>
              <w:jc w:val="center"/>
              <w:rPr>
                <w:sz w:val="18"/>
                <w:szCs w:val="18"/>
              </w:rPr>
            </w:pPr>
            <w:r w:rsidRPr="00D96D28">
              <w:rPr>
                <w:color w:val="000000"/>
                <w:sz w:val="18"/>
                <w:szCs w:val="18"/>
              </w:rPr>
              <w:t>Parker Solar Probe</w:t>
            </w:r>
          </w:p>
        </w:tc>
        <w:tc>
          <w:tcPr>
            <w:tcW w:w="1427" w:type="dxa"/>
            <w:tcBorders>
              <w:left w:val="single" w:sz="18" w:space="0" w:color="auto"/>
            </w:tcBorders>
            <w:vAlign w:val="center"/>
          </w:tcPr>
          <w:p w14:paraId="27FCB655" w14:textId="47EAD5B2" w:rsidR="00CD3CE8" w:rsidRPr="00D96D28" w:rsidRDefault="00CD3CE8" w:rsidP="00CD3CE8">
            <w:pPr>
              <w:jc w:val="center"/>
              <w:rPr>
                <w:sz w:val="18"/>
                <w:szCs w:val="18"/>
              </w:rPr>
            </w:pPr>
            <w:r w:rsidRPr="00D96D28">
              <w:rPr>
                <w:color w:val="000000"/>
                <w:sz w:val="18"/>
                <w:szCs w:val="18"/>
              </w:rPr>
              <w:t>Dawn</w:t>
            </w:r>
          </w:p>
        </w:tc>
        <w:tc>
          <w:tcPr>
            <w:tcW w:w="1420" w:type="dxa"/>
            <w:vAlign w:val="center"/>
          </w:tcPr>
          <w:p w14:paraId="24EBAAFB" w14:textId="1714EED9" w:rsidR="00CD3CE8" w:rsidRPr="00D96D28" w:rsidRDefault="00CD3CE8" w:rsidP="00CD3CE8">
            <w:pPr>
              <w:jc w:val="center"/>
              <w:rPr>
                <w:sz w:val="18"/>
                <w:szCs w:val="18"/>
              </w:rPr>
            </w:pPr>
            <w:r w:rsidRPr="00D96D28">
              <w:rPr>
                <w:color w:val="000000"/>
                <w:sz w:val="18"/>
                <w:szCs w:val="18"/>
              </w:rPr>
              <w:t>InSight</w:t>
            </w:r>
          </w:p>
        </w:tc>
        <w:tc>
          <w:tcPr>
            <w:tcW w:w="1429" w:type="dxa"/>
            <w:vAlign w:val="center"/>
          </w:tcPr>
          <w:p w14:paraId="000B1955" w14:textId="191BC4DD" w:rsidR="00CD3CE8" w:rsidRPr="00D96D28" w:rsidRDefault="00CD3CE8" w:rsidP="00CD3CE8">
            <w:pPr>
              <w:jc w:val="center"/>
              <w:rPr>
                <w:sz w:val="18"/>
                <w:szCs w:val="18"/>
              </w:rPr>
            </w:pPr>
            <w:r w:rsidRPr="00D96D28">
              <w:rPr>
                <w:color w:val="000000"/>
                <w:sz w:val="18"/>
                <w:szCs w:val="18"/>
              </w:rPr>
              <w:t>MGS</w:t>
            </w:r>
          </w:p>
        </w:tc>
        <w:tc>
          <w:tcPr>
            <w:tcW w:w="1442" w:type="dxa"/>
            <w:tcBorders>
              <w:right w:val="single" w:sz="18" w:space="0" w:color="auto"/>
            </w:tcBorders>
            <w:vAlign w:val="center"/>
          </w:tcPr>
          <w:p w14:paraId="44D7838E" w14:textId="595C1771" w:rsidR="00CD3CE8" w:rsidRPr="00D96D28" w:rsidRDefault="00CD3CE8" w:rsidP="00CD3CE8">
            <w:pPr>
              <w:jc w:val="center"/>
              <w:rPr>
                <w:sz w:val="18"/>
                <w:szCs w:val="18"/>
              </w:rPr>
            </w:pPr>
            <w:r w:rsidRPr="00D96D28">
              <w:rPr>
                <w:color w:val="000000"/>
                <w:sz w:val="18"/>
                <w:szCs w:val="18"/>
              </w:rPr>
              <w:t>Stardust</w:t>
            </w:r>
          </w:p>
        </w:tc>
      </w:tr>
      <w:tr w:rsidR="005374F3" w:rsidRPr="00D96D28" w14:paraId="3C567A8F" w14:textId="77777777" w:rsidTr="00CD3CE8">
        <w:tc>
          <w:tcPr>
            <w:tcW w:w="1657" w:type="dxa"/>
            <w:tcBorders>
              <w:left w:val="single" w:sz="18" w:space="0" w:color="auto"/>
            </w:tcBorders>
            <w:vAlign w:val="center"/>
          </w:tcPr>
          <w:p w14:paraId="6FCB9095" w14:textId="0C98886A" w:rsidR="005374F3" w:rsidRPr="00D96D28" w:rsidRDefault="005374F3" w:rsidP="005374F3">
            <w:pPr>
              <w:jc w:val="center"/>
              <w:rPr>
                <w:sz w:val="18"/>
                <w:szCs w:val="18"/>
              </w:rPr>
            </w:pPr>
            <w:r w:rsidRPr="00D96D28">
              <w:rPr>
                <w:color w:val="000000"/>
                <w:sz w:val="18"/>
                <w:szCs w:val="18"/>
              </w:rPr>
              <w:t>GPM</w:t>
            </w:r>
          </w:p>
        </w:tc>
        <w:tc>
          <w:tcPr>
            <w:tcW w:w="1939" w:type="dxa"/>
            <w:tcBorders>
              <w:right w:val="single" w:sz="18" w:space="0" w:color="auto"/>
            </w:tcBorders>
            <w:vAlign w:val="center"/>
          </w:tcPr>
          <w:p w14:paraId="6F7691F9" w14:textId="63F6E27D" w:rsidR="005374F3" w:rsidRPr="00D96D28" w:rsidRDefault="005374F3" w:rsidP="005374F3">
            <w:pPr>
              <w:jc w:val="center"/>
              <w:rPr>
                <w:sz w:val="18"/>
                <w:szCs w:val="18"/>
              </w:rPr>
            </w:pPr>
            <w:r w:rsidRPr="00D96D28">
              <w:rPr>
                <w:color w:val="000000"/>
                <w:sz w:val="18"/>
                <w:szCs w:val="18"/>
              </w:rPr>
              <w:t>SDO</w:t>
            </w:r>
          </w:p>
        </w:tc>
        <w:tc>
          <w:tcPr>
            <w:tcW w:w="1427" w:type="dxa"/>
            <w:tcBorders>
              <w:left w:val="single" w:sz="18" w:space="0" w:color="auto"/>
            </w:tcBorders>
            <w:vAlign w:val="center"/>
          </w:tcPr>
          <w:p w14:paraId="32CAE263" w14:textId="3CFC3CFE" w:rsidR="005374F3" w:rsidRPr="00D96D28" w:rsidRDefault="005374F3" w:rsidP="005374F3">
            <w:pPr>
              <w:jc w:val="center"/>
              <w:rPr>
                <w:sz w:val="18"/>
                <w:szCs w:val="18"/>
              </w:rPr>
            </w:pPr>
            <w:r w:rsidRPr="00D96D28">
              <w:rPr>
                <w:color w:val="000000"/>
                <w:sz w:val="18"/>
                <w:szCs w:val="18"/>
              </w:rPr>
              <w:t>Deep Impact</w:t>
            </w:r>
          </w:p>
        </w:tc>
        <w:tc>
          <w:tcPr>
            <w:tcW w:w="1420" w:type="dxa"/>
            <w:vAlign w:val="center"/>
          </w:tcPr>
          <w:p w14:paraId="2C5BBD38" w14:textId="33BCA82D" w:rsidR="005374F3" w:rsidRPr="00D96D28" w:rsidRDefault="005374F3" w:rsidP="005374F3">
            <w:pPr>
              <w:jc w:val="center"/>
              <w:rPr>
                <w:sz w:val="18"/>
                <w:szCs w:val="18"/>
              </w:rPr>
            </w:pPr>
            <w:r w:rsidRPr="00D96D28">
              <w:rPr>
                <w:color w:val="000000"/>
                <w:sz w:val="18"/>
                <w:szCs w:val="18"/>
              </w:rPr>
              <w:t>IRIS</w:t>
            </w:r>
          </w:p>
        </w:tc>
        <w:tc>
          <w:tcPr>
            <w:tcW w:w="1429" w:type="dxa"/>
            <w:vAlign w:val="center"/>
          </w:tcPr>
          <w:p w14:paraId="5676CB3C" w14:textId="678CA042" w:rsidR="005374F3" w:rsidRPr="00D96D28" w:rsidRDefault="005374F3" w:rsidP="005374F3">
            <w:pPr>
              <w:jc w:val="center"/>
              <w:rPr>
                <w:sz w:val="18"/>
                <w:szCs w:val="18"/>
              </w:rPr>
            </w:pPr>
            <w:r w:rsidRPr="00D96D28">
              <w:rPr>
                <w:color w:val="000000"/>
                <w:sz w:val="18"/>
                <w:szCs w:val="18"/>
              </w:rPr>
              <w:t>MRO</w:t>
            </w:r>
          </w:p>
        </w:tc>
        <w:tc>
          <w:tcPr>
            <w:tcW w:w="1442" w:type="dxa"/>
            <w:tcBorders>
              <w:right w:val="single" w:sz="18" w:space="0" w:color="auto"/>
            </w:tcBorders>
            <w:vAlign w:val="center"/>
          </w:tcPr>
          <w:p w14:paraId="265F97FD" w14:textId="18ED02FC" w:rsidR="005374F3" w:rsidRPr="00D96D28" w:rsidRDefault="005374F3" w:rsidP="005374F3">
            <w:pPr>
              <w:jc w:val="center"/>
              <w:rPr>
                <w:sz w:val="18"/>
                <w:szCs w:val="18"/>
              </w:rPr>
            </w:pPr>
            <w:r w:rsidRPr="00D96D28">
              <w:rPr>
                <w:color w:val="000000"/>
                <w:sz w:val="18"/>
                <w:szCs w:val="18"/>
              </w:rPr>
              <w:t>Suomi-NPP</w:t>
            </w:r>
          </w:p>
        </w:tc>
      </w:tr>
      <w:tr w:rsidR="005374F3" w:rsidRPr="00D96D28" w14:paraId="07784744" w14:textId="77777777" w:rsidTr="00CD3CE8">
        <w:tc>
          <w:tcPr>
            <w:tcW w:w="1657" w:type="dxa"/>
            <w:tcBorders>
              <w:left w:val="single" w:sz="18" w:space="0" w:color="auto"/>
            </w:tcBorders>
            <w:vAlign w:val="center"/>
          </w:tcPr>
          <w:p w14:paraId="5254AFD0" w14:textId="49D5A91E" w:rsidR="005374F3" w:rsidRPr="00D96D28" w:rsidRDefault="005374F3" w:rsidP="005374F3">
            <w:pPr>
              <w:jc w:val="center"/>
              <w:rPr>
                <w:sz w:val="18"/>
                <w:szCs w:val="18"/>
              </w:rPr>
            </w:pPr>
            <w:r w:rsidRPr="00D96D28">
              <w:rPr>
                <w:color w:val="000000"/>
                <w:sz w:val="18"/>
                <w:szCs w:val="18"/>
              </w:rPr>
              <w:t>LADEE</w:t>
            </w:r>
          </w:p>
        </w:tc>
        <w:tc>
          <w:tcPr>
            <w:tcW w:w="1939" w:type="dxa"/>
            <w:tcBorders>
              <w:right w:val="single" w:sz="18" w:space="0" w:color="auto"/>
            </w:tcBorders>
            <w:vAlign w:val="center"/>
          </w:tcPr>
          <w:p w14:paraId="15E9A2E5" w14:textId="6EEA7560" w:rsidR="005374F3" w:rsidRPr="00D96D28" w:rsidRDefault="005374F3" w:rsidP="005374F3">
            <w:pPr>
              <w:jc w:val="center"/>
              <w:rPr>
                <w:sz w:val="18"/>
                <w:szCs w:val="18"/>
              </w:rPr>
            </w:pPr>
            <w:r w:rsidRPr="00D96D28">
              <w:rPr>
                <w:color w:val="000000"/>
                <w:sz w:val="18"/>
                <w:szCs w:val="18"/>
              </w:rPr>
              <w:t>SMAP</w:t>
            </w:r>
          </w:p>
        </w:tc>
        <w:tc>
          <w:tcPr>
            <w:tcW w:w="1427" w:type="dxa"/>
            <w:tcBorders>
              <w:left w:val="single" w:sz="18" w:space="0" w:color="auto"/>
            </w:tcBorders>
            <w:vAlign w:val="center"/>
          </w:tcPr>
          <w:p w14:paraId="3F1AE6FC" w14:textId="57982C73" w:rsidR="005374F3" w:rsidRPr="00D96D28" w:rsidRDefault="005374F3" w:rsidP="005374F3">
            <w:pPr>
              <w:jc w:val="center"/>
              <w:rPr>
                <w:sz w:val="18"/>
                <w:szCs w:val="18"/>
              </w:rPr>
            </w:pPr>
            <w:r w:rsidRPr="00D96D28">
              <w:rPr>
                <w:color w:val="000000"/>
                <w:sz w:val="18"/>
                <w:szCs w:val="18"/>
              </w:rPr>
              <w:t>EO-1</w:t>
            </w:r>
          </w:p>
        </w:tc>
        <w:tc>
          <w:tcPr>
            <w:tcW w:w="1420" w:type="dxa"/>
            <w:vAlign w:val="center"/>
          </w:tcPr>
          <w:p w14:paraId="061C2971" w14:textId="03EE2CBF" w:rsidR="005374F3" w:rsidRPr="00D96D28" w:rsidRDefault="005374F3" w:rsidP="005374F3">
            <w:pPr>
              <w:jc w:val="center"/>
              <w:rPr>
                <w:sz w:val="18"/>
                <w:szCs w:val="18"/>
              </w:rPr>
            </w:pPr>
            <w:r w:rsidRPr="00D96D28">
              <w:rPr>
                <w:color w:val="000000"/>
                <w:sz w:val="18"/>
                <w:szCs w:val="18"/>
              </w:rPr>
              <w:t>IXPE</w:t>
            </w:r>
          </w:p>
        </w:tc>
        <w:tc>
          <w:tcPr>
            <w:tcW w:w="1429" w:type="dxa"/>
            <w:vAlign w:val="center"/>
          </w:tcPr>
          <w:p w14:paraId="016E8A01" w14:textId="352F0A33" w:rsidR="005374F3" w:rsidRPr="00D96D28" w:rsidRDefault="005374F3" w:rsidP="005374F3">
            <w:pPr>
              <w:jc w:val="center"/>
              <w:rPr>
                <w:sz w:val="18"/>
                <w:szCs w:val="18"/>
              </w:rPr>
            </w:pPr>
            <w:r w:rsidRPr="00D96D28">
              <w:rPr>
                <w:color w:val="000000"/>
                <w:sz w:val="18"/>
                <w:szCs w:val="18"/>
              </w:rPr>
              <w:t xml:space="preserve">NOAA-N </w:t>
            </w:r>
          </w:p>
        </w:tc>
        <w:tc>
          <w:tcPr>
            <w:tcW w:w="1442" w:type="dxa"/>
            <w:tcBorders>
              <w:right w:val="single" w:sz="18" w:space="0" w:color="auto"/>
            </w:tcBorders>
            <w:vAlign w:val="center"/>
          </w:tcPr>
          <w:p w14:paraId="08B0F373" w14:textId="5935C459" w:rsidR="005374F3" w:rsidRPr="00D96D28" w:rsidRDefault="005374F3" w:rsidP="005374F3">
            <w:pPr>
              <w:jc w:val="center"/>
              <w:rPr>
                <w:sz w:val="18"/>
                <w:szCs w:val="18"/>
              </w:rPr>
            </w:pPr>
            <w:r w:rsidRPr="00D96D28">
              <w:rPr>
                <w:color w:val="000000"/>
                <w:sz w:val="18"/>
                <w:szCs w:val="18"/>
              </w:rPr>
              <w:t>SWIFT</w:t>
            </w:r>
          </w:p>
        </w:tc>
      </w:tr>
      <w:tr w:rsidR="005374F3" w:rsidRPr="00D96D28" w14:paraId="39D4B54C" w14:textId="77777777" w:rsidTr="00CD3CE8">
        <w:tc>
          <w:tcPr>
            <w:tcW w:w="1657" w:type="dxa"/>
            <w:tcBorders>
              <w:left w:val="single" w:sz="18" w:space="0" w:color="auto"/>
            </w:tcBorders>
            <w:vAlign w:val="center"/>
          </w:tcPr>
          <w:p w14:paraId="2C52BB6E" w14:textId="69C4C4F0" w:rsidR="005374F3" w:rsidRPr="00D96D28" w:rsidRDefault="005374F3" w:rsidP="005374F3">
            <w:pPr>
              <w:jc w:val="center"/>
              <w:rPr>
                <w:sz w:val="18"/>
                <w:szCs w:val="18"/>
              </w:rPr>
            </w:pPr>
            <w:r w:rsidRPr="00D96D28">
              <w:rPr>
                <w:color w:val="000000"/>
                <w:sz w:val="18"/>
                <w:szCs w:val="18"/>
              </w:rPr>
              <w:t>LRO</w:t>
            </w:r>
          </w:p>
        </w:tc>
        <w:tc>
          <w:tcPr>
            <w:tcW w:w="1939" w:type="dxa"/>
            <w:tcBorders>
              <w:right w:val="single" w:sz="18" w:space="0" w:color="auto"/>
            </w:tcBorders>
            <w:vAlign w:val="center"/>
          </w:tcPr>
          <w:p w14:paraId="7CED443C" w14:textId="6F3C7C03" w:rsidR="005374F3" w:rsidRPr="00D96D28" w:rsidRDefault="005374F3" w:rsidP="005374F3">
            <w:pPr>
              <w:jc w:val="center"/>
              <w:rPr>
                <w:sz w:val="18"/>
                <w:szCs w:val="18"/>
              </w:rPr>
            </w:pPr>
            <w:r w:rsidRPr="00D96D28">
              <w:rPr>
                <w:color w:val="000000"/>
                <w:sz w:val="18"/>
                <w:szCs w:val="18"/>
              </w:rPr>
              <w:t>TIMED</w:t>
            </w:r>
          </w:p>
        </w:tc>
        <w:tc>
          <w:tcPr>
            <w:tcW w:w="1427" w:type="dxa"/>
            <w:tcBorders>
              <w:left w:val="single" w:sz="18" w:space="0" w:color="auto"/>
            </w:tcBorders>
            <w:vAlign w:val="center"/>
          </w:tcPr>
          <w:p w14:paraId="355FAF1E" w14:textId="7EBA6D16" w:rsidR="005374F3" w:rsidRPr="00D96D28" w:rsidRDefault="005374F3" w:rsidP="005374F3">
            <w:pPr>
              <w:jc w:val="center"/>
              <w:rPr>
                <w:sz w:val="18"/>
                <w:szCs w:val="18"/>
              </w:rPr>
            </w:pPr>
            <w:r w:rsidRPr="00D96D28">
              <w:rPr>
                <w:color w:val="000000"/>
                <w:sz w:val="18"/>
                <w:szCs w:val="18"/>
              </w:rPr>
              <w:t>GALEX</w:t>
            </w:r>
          </w:p>
        </w:tc>
        <w:tc>
          <w:tcPr>
            <w:tcW w:w="1420" w:type="dxa"/>
            <w:vAlign w:val="center"/>
          </w:tcPr>
          <w:p w14:paraId="32CDD0C4" w14:textId="50F7CE44" w:rsidR="005374F3" w:rsidRPr="00D96D28" w:rsidRDefault="005374F3" w:rsidP="005374F3">
            <w:pPr>
              <w:jc w:val="center"/>
              <w:rPr>
                <w:sz w:val="18"/>
                <w:szCs w:val="18"/>
              </w:rPr>
            </w:pPr>
            <w:r w:rsidRPr="00D96D28">
              <w:rPr>
                <w:color w:val="000000"/>
                <w:sz w:val="18"/>
                <w:szCs w:val="18"/>
              </w:rPr>
              <w:t>JPSS-1</w:t>
            </w:r>
          </w:p>
        </w:tc>
        <w:tc>
          <w:tcPr>
            <w:tcW w:w="1429" w:type="dxa"/>
            <w:vAlign w:val="center"/>
          </w:tcPr>
          <w:p w14:paraId="1CCEB1E4" w14:textId="4DB0E87C" w:rsidR="005374F3" w:rsidRPr="00D96D28" w:rsidRDefault="005374F3" w:rsidP="005374F3">
            <w:pPr>
              <w:jc w:val="center"/>
              <w:rPr>
                <w:sz w:val="18"/>
                <w:szCs w:val="18"/>
              </w:rPr>
            </w:pPr>
            <w:proofErr w:type="spellStart"/>
            <w:r w:rsidRPr="00D96D28">
              <w:rPr>
                <w:color w:val="000000"/>
                <w:sz w:val="18"/>
                <w:szCs w:val="18"/>
              </w:rPr>
              <w:t>NuSTAR</w:t>
            </w:r>
            <w:proofErr w:type="spellEnd"/>
          </w:p>
        </w:tc>
        <w:tc>
          <w:tcPr>
            <w:tcW w:w="1442" w:type="dxa"/>
            <w:tcBorders>
              <w:right w:val="single" w:sz="18" w:space="0" w:color="auto"/>
            </w:tcBorders>
            <w:vAlign w:val="center"/>
          </w:tcPr>
          <w:p w14:paraId="408B44A1" w14:textId="0B541ED2" w:rsidR="005374F3" w:rsidRPr="00D96D28" w:rsidRDefault="005374F3" w:rsidP="005374F3">
            <w:pPr>
              <w:jc w:val="center"/>
              <w:rPr>
                <w:sz w:val="18"/>
                <w:szCs w:val="18"/>
              </w:rPr>
            </w:pPr>
            <w:r w:rsidRPr="00D96D28">
              <w:rPr>
                <w:color w:val="000000"/>
                <w:sz w:val="18"/>
                <w:szCs w:val="18"/>
              </w:rPr>
              <w:t xml:space="preserve">TDRS-M </w:t>
            </w:r>
          </w:p>
        </w:tc>
      </w:tr>
      <w:tr w:rsidR="005374F3" w:rsidRPr="00D96D28" w14:paraId="1CE03826" w14:textId="77777777" w:rsidTr="00CD3CE8">
        <w:tc>
          <w:tcPr>
            <w:tcW w:w="1657" w:type="dxa"/>
            <w:tcBorders>
              <w:left w:val="single" w:sz="18" w:space="0" w:color="auto"/>
            </w:tcBorders>
            <w:vAlign w:val="center"/>
          </w:tcPr>
          <w:p w14:paraId="303BF229" w14:textId="4EC0EED1" w:rsidR="005374F3" w:rsidRPr="00D96D28" w:rsidRDefault="005374F3" w:rsidP="005374F3">
            <w:pPr>
              <w:jc w:val="center"/>
              <w:rPr>
                <w:sz w:val="18"/>
                <w:szCs w:val="18"/>
              </w:rPr>
            </w:pPr>
            <w:r w:rsidRPr="00D96D28">
              <w:rPr>
                <w:color w:val="000000"/>
                <w:sz w:val="18"/>
                <w:szCs w:val="18"/>
              </w:rPr>
              <w:t>MAP</w:t>
            </w:r>
            <w:r>
              <w:rPr>
                <w:color w:val="000000"/>
                <w:sz w:val="18"/>
                <w:szCs w:val="18"/>
              </w:rPr>
              <w:t>-WMAP</w:t>
            </w:r>
          </w:p>
        </w:tc>
        <w:tc>
          <w:tcPr>
            <w:tcW w:w="1939" w:type="dxa"/>
            <w:tcBorders>
              <w:right w:val="single" w:sz="18" w:space="0" w:color="auto"/>
            </w:tcBorders>
            <w:vAlign w:val="center"/>
          </w:tcPr>
          <w:p w14:paraId="06C5E8AA" w14:textId="483AAABE" w:rsidR="005374F3" w:rsidRPr="00D96D28" w:rsidRDefault="005374F3" w:rsidP="005374F3">
            <w:pPr>
              <w:jc w:val="center"/>
              <w:rPr>
                <w:sz w:val="18"/>
                <w:szCs w:val="18"/>
              </w:rPr>
            </w:pPr>
            <w:r w:rsidRPr="00D96D28">
              <w:rPr>
                <w:color w:val="000000"/>
                <w:sz w:val="18"/>
                <w:szCs w:val="18"/>
              </w:rPr>
              <w:t>TRMM</w:t>
            </w:r>
          </w:p>
        </w:tc>
        <w:tc>
          <w:tcPr>
            <w:tcW w:w="1427" w:type="dxa"/>
            <w:tcBorders>
              <w:left w:val="single" w:sz="18" w:space="0" w:color="auto"/>
            </w:tcBorders>
            <w:vAlign w:val="center"/>
          </w:tcPr>
          <w:p w14:paraId="717B6618" w14:textId="5358516C" w:rsidR="005374F3" w:rsidRPr="00D96D28" w:rsidRDefault="005374F3" w:rsidP="005374F3">
            <w:pPr>
              <w:jc w:val="center"/>
              <w:rPr>
                <w:sz w:val="18"/>
                <w:szCs w:val="18"/>
              </w:rPr>
            </w:pPr>
            <w:r w:rsidRPr="00D96D28">
              <w:rPr>
                <w:color w:val="000000"/>
                <w:sz w:val="18"/>
                <w:szCs w:val="18"/>
              </w:rPr>
              <w:t>Genesis</w:t>
            </w:r>
          </w:p>
        </w:tc>
        <w:tc>
          <w:tcPr>
            <w:tcW w:w="1420" w:type="dxa"/>
            <w:vAlign w:val="center"/>
          </w:tcPr>
          <w:p w14:paraId="2608AA98" w14:textId="7E386BCE" w:rsidR="005374F3" w:rsidRPr="00D96D28" w:rsidRDefault="005374F3" w:rsidP="005374F3">
            <w:pPr>
              <w:jc w:val="center"/>
              <w:rPr>
                <w:sz w:val="18"/>
                <w:szCs w:val="18"/>
              </w:rPr>
            </w:pPr>
            <w:r w:rsidRPr="00D96D28">
              <w:rPr>
                <w:color w:val="000000"/>
                <w:sz w:val="18"/>
                <w:szCs w:val="18"/>
              </w:rPr>
              <w:t>Juno</w:t>
            </w:r>
          </w:p>
        </w:tc>
        <w:tc>
          <w:tcPr>
            <w:tcW w:w="1429" w:type="dxa"/>
            <w:vAlign w:val="center"/>
          </w:tcPr>
          <w:p w14:paraId="35855712" w14:textId="558CBA4A" w:rsidR="005374F3" w:rsidRPr="00D96D28" w:rsidRDefault="005374F3" w:rsidP="005374F3">
            <w:pPr>
              <w:jc w:val="center"/>
              <w:rPr>
                <w:sz w:val="18"/>
                <w:szCs w:val="18"/>
              </w:rPr>
            </w:pPr>
            <w:r w:rsidRPr="00D96D28">
              <w:rPr>
                <w:color w:val="000000"/>
                <w:sz w:val="18"/>
                <w:szCs w:val="18"/>
              </w:rPr>
              <w:t>OCO</w:t>
            </w:r>
          </w:p>
        </w:tc>
        <w:tc>
          <w:tcPr>
            <w:tcW w:w="1442" w:type="dxa"/>
            <w:tcBorders>
              <w:right w:val="single" w:sz="18" w:space="0" w:color="auto"/>
            </w:tcBorders>
            <w:vAlign w:val="center"/>
          </w:tcPr>
          <w:p w14:paraId="576A1CD0" w14:textId="12D39DD9" w:rsidR="005374F3" w:rsidRPr="00D96D28" w:rsidRDefault="005374F3" w:rsidP="005374F3">
            <w:pPr>
              <w:jc w:val="center"/>
              <w:rPr>
                <w:sz w:val="18"/>
                <w:szCs w:val="18"/>
              </w:rPr>
            </w:pPr>
            <w:r w:rsidRPr="00D96D28">
              <w:rPr>
                <w:color w:val="000000"/>
                <w:sz w:val="18"/>
                <w:szCs w:val="18"/>
              </w:rPr>
              <w:t>Terra</w:t>
            </w:r>
          </w:p>
        </w:tc>
      </w:tr>
      <w:tr w:rsidR="005374F3" w:rsidRPr="00D96D28" w14:paraId="7D95CF01" w14:textId="77777777" w:rsidTr="00CD3CE8">
        <w:tc>
          <w:tcPr>
            <w:tcW w:w="1657" w:type="dxa"/>
            <w:tcBorders>
              <w:left w:val="single" w:sz="18" w:space="0" w:color="auto"/>
            </w:tcBorders>
            <w:vAlign w:val="center"/>
          </w:tcPr>
          <w:p w14:paraId="60D6C273" w14:textId="2DC3905D" w:rsidR="005374F3" w:rsidRPr="00D96D28" w:rsidRDefault="005374F3" w:rsidP="005374F3">
            <w:pPr>
              <w:jc w:val="center"/>
              <w:rPr>
                <w:sz w:val="18"/>
                <w:szCs w:val="18"/>
              </w:rPr>
            </w:pPr>
            <w:r w:rsidRPr="00D96D28">
              <w:rPr>
                <w:color w:val="000000"/>
                <w:sz w:val="18"/>
                <w:szCs w:val="18"/>
              </w:rPr>
              <w:t>Mars 2020</w:t>
            </w:r>
            <w:r w:rsidR="00204DF2">
              <w:rPr>
                <w:color w:val="000000"/>
                <w:sz w:val="18"/>
                <w:szCs w:val="18"/>
              </w:rPr>
              <w:t xml:space="preserve"> - </w:t>
            </w:r>
            <w:r>
              <w:rPr>
                <w:color w:val="000000"/>
                <w:sz w:val="18"/>
                <w:szCs w:val="18"/>
              </w:rPr>
              <w:t>Perseverance</w:t>
            </w:r>
          </w:p>
        </w:tc>
        <w:tc>
          <w:tcPr>
            <w:tcW w:w="1939" w:type="dxa"/>
            <w:tcBorders>
              <w:right w:val="single" w:sz="18" w:space="0" w:color="auto"/>
            </w:tcBorders>
            <w:vAlign w:val="center"/>
          </w:tcPr>
          <w:p w14:paraId="29EE9BE8" w14:textId="061CFAAF" w:rsidR="005374F3" w:rsidRPr="00D96D28" w:rsidRDefault="005374F3" w:rsidP="005374F3">
            <w:pPr>
              <w:jc w:val="center"/>
              <w:rPr>
                <w:sz w:val="18"/>
                <w:szCs w:val="18"/>
              </w:rPr>
            </w:pPr>
            <w:r w:rsidRPr="00D96D28">
              <w:rPr>
                <w:color w:val="000000"/>
                <w:sz w:val="18"/>
                <w:szCs w:val="18"/>
              </w:rPr>
              <w:t>WIRE</w:t>
            </w:r>
          </w:p>
        </w:tc>
        <w:tc>
          <w:tcPr>
            <w:tcW w:w="1427" w:type="dxa"/>
            <w:tcBorders>
              <w:left w:val="single" w:sz="18" w:space="0" w:color="auto"/>
            </w:tcBorders>
            <w:vAlign w:val="center"/>
          </w:tcPr>
          <w:p w14:paraId="41DFDCDC" w14:textId="5B5B5610" w:rsidR="005374F3" w:rsidRPr="00D96D28" w:rsidRDefault="005374F3" w:rsidP="005374F3">
            <w:pPr>
              <w:jc w:val="center"/>
              <w:rPr>
                <w:sz w:val="18"/>
                <w:szCs w:val="18"/>
              </w:rPr>
            </w:pPr>
            <w:r w:rsidRPr="00D96D28">
              <w:rPr>
                <w:color w:val="000000"/>
                <w:sz w:val="18"/>
                <w:szCs w:val="18"/>
              </w:rPr>
              <w:t>GLAST</w:t>
            </w:r>
          </w:p>
        </w:tc>
        <w:tc>
          <w:tcPr>
            <w:tcW w:w="1420" w:type="dxa"/>
            <w:vAlign w:val="center"/>
          </w:tcPr>
          <w:p w14:paraId="4428CBFF" w14:textId="5A01818C" w:rsidR="005374F3" w:rsidRPr="00D96D28" w:rsidRDefault="005374F3" w:rsidP="005374F3">
            <w:pPr>
              <w:jc w:val="center"/>
              <w:rPr>
                <w:sz w:val="18"/>
                <w:szCs w:val="18"/>
              </w:rPr>
            </w:pPr>
            <w:r w:rsidRPr="00D96D28">
              <w:rPr>
                <w:color w:val="000000"/>
                <w:sz w:val="18"/>
                <w:szCs w:val="18"/>
              </w:rPr>
              <w:t>Kepler</w:t>
            </w:r>
          </w:p>
        </w:tc>
        <w:tc>
          <w:tcPr>
            <w:tcW w:w="1429" w:type="dxa"/>
            <w:vAlign w:val="center"/>
          </w:tcPr>
          <w:p w14:paraId="6C26DAF0" w14:textId="06D3BA9E" w:rsidR="005374F3" w:rsidRPr="00D96D28" w:rsidRDefault="005374F3" w:rsidP="005374F3">
            <w:pPr>
              <w:jc w:val="center"/>
              <w:rPr>
                <w:sz w:val="18"/>
                <w:szCs w:val="18"/>
              </w:rPr>
            </w:pPr>
            <w:r w:rsidRPr="00D96D28">
              <w:rPr>
                <w:color w:val="000000"/>
                <w:sz w:val="18"/>
                <w:szCs w:val="18"/>
              </w:rPr>
              <w:t>OCO-2</w:t>
            </w:r>
          </w:p>
        </w:tc>
        <w:tc>
          <w:tcPr>
            <w:tcW w:w="1442" w:type="dxa"/>
            <w:tcBorders>
              <w:right w:val="single" w:sz="18" w:space="0" w:color="auto"/>
            </w:tcBorders>
            <w:vAlign w:val="center"/>
          </w:tcPr>
          <w:p w14:paraId="29AA1935" w14:textId="03AB0250" w:rsidR="005374F3" w:rsidRPr="00D96D28" w:rsidRDefault="005374F3" w:rsidP="005374F3">
            <w:pPr>
              <w:jc w:val="center"/>
              <w:rPr>
                <w:sz w:val="18"/>
                <w:szCs w:val="18"/>
              </w:rPr>
            </w:pPr>
            <w:r w:rsidRPr="00D96D28">
              <w:rPr>
                <w:color w:val="000000"/>
                <w:sz w:val="18"/>
                <w:szCs w:val="18"/>
              </w:rPr>
              <w:t>TESS</w:t>
            </w:r>
          </w:p>
        </w:tc>
      </w:tr>
      <w:tr w:rsidR="005374F3" w:rsidRPr="00D96D28" w14:paraId="08DA5218" w14:textId="77777777" w:rsidTr="00CD3CE8">
        <w:tc>
          <w:tcPr>
            <w:tcW w:w="1657" w:type="dxa"/>
            <w:tcBorders>
              <w:left w:val="single" w:sz="18" w:space="0" w:color="auto"/>
            </w:tcBorders>
            <w:vAlign w:val="center"/>
          </w:tcPr>
          <w:p w14:paraId="773367E0" w14:textId="307B0E81" w:rsidR="005374F3" w:rsidRPr="00D96D28" w:rsidRDefault="005374F3" w:rsidP="005374F3">
            <w:pPr>
              <w:jc w:val="center"/>
              <w:rPr>
                <w:sz w:val="18"/>
                <w:szCs w:val="18"/>
              </w:rPr>
            </w:pPr>
            <w:r w:rsidRPr="00D96D28">
              <w:rPr>
                <w:color w:val="000000"/>
                <w:sz w:val="18"/>
                <w:szCs w:val="18"/>
              </w:rPr>
              <w:t>Mars Pathfinder</w:t>
            </w:r>
          </w:p>
        </w:tc>
        <w:tc>
          <w:tcPr>
            <w:tcW w:w="1939" w:type="dxa"/>
            <w:tcBorders>
              <w:right w:val="single" w:sz="18" w:space="0" w:color="auto"/>
            </w:tcBorders>
            <w:vAlign w:val="center"/>
          </w:tcPr>
          <w:p w14:paraId="0A24E8CD" w14:textId="20C9C19A" w:rsidR="005374F3" w:rsidRPr="00D96D28" w:rsidRDefault="005374F3" w:rsidP="005374F3">
            <w:pPr>
              <w:jc w:val="center"/>
              <w:rPr>
                <w:sz w:val="18"/>
                <w:szCs w:val="18"/>
              </w:rPr>
            </w:pPr>
          </w:p>
        </w:tc>
        <w:tc>
          <w:tcPr>
            <w:tcW w:w="1427" w:type="dxa"/>
            <w:tcBorders>
              <w:left w:val="single" w:sz="18" w:space="0" w:color="auto"/>
            </w:tcBorders>
            <w:vAlign w:val="center"/>
          </w:tcPr>
          <w:p w14:paraId="4503ADA8" w14:textId="52847268" w:rsidR="005374F3" w:rsidRPr="00D96D28" w:rsidRDefault="005374F3" w:rsidP="005374F3">
            <w:pPr>
              <w:jc w:val="center"/>
              <w:rPr>
                <w:sz w:val="18"/>
                <w:szCs w:val="18"/>
              </w:rPr>
            </w:pPr>
            <w:r w:rsidRPr="00D96D28">
              <w:rPr>
                <w:color w:val="000000"/>
                <w:sz w:val="18"/>
                <w:szCs w:val="18"/>
              </w:rPr>
              <w:t>Glory</w:t>
            </w:r>
          </w:p>
        </w:tc>
        <w:tc>
          <w:tcPr>
            <w:tcW w:w="1420" w:type="dxa"/>
            <w:vAlign w:val="center"/>
          </w:tcPr>
          <w:p w14:paraId="3929CDD0" w14:textId="3E25D43A" w:rsidR="005374F3" w:rsidRPr="00D96D28" w:rsidRDefault="005374F3" w:rsidP="005374F3">
            <w:pPr>
              <w:jc w:val="center"/>
              <w:rPr>
                <w:sz w:val="18"/>
                <w:szCs w:val="18"/>
              </w:rPr>
            </w:pPr>
            <w:r w:rsidRPr="00D96D28">
              <w:rPr>
                <w:color w:val="000000"/>
                <w:sz w:val="18"/>
                <w:szCs w:val="18"/>
              </w:rPr>
              <w:t>Landsat 7</w:t>
            </w:r>
          </w:p>
        </w:tc>
        <w:tc>
          <w:tcPr>
            <w:tcW w:w="1429" w:type="dxa"/>
            <w:vAlign w:val="center"/>
          </w:tcPr>
          <w:p w14:paraId="13C97EDB" w14:textId="4C4B83BF" w:rsidR="005374F3" w:rsidRPr="00D96D28" w:rsidRDefault="005374F3" w:rsidP="005374F3">
            <w:pPr>
              <w:jc w:val="center"/>
              <w:rPr>
                <w:sz w:val="18"/>
                <w:szCs w:val="18"/>
              </w:rPr>
            </w:pPr>
            <w:r w:rsidRPr="00D96D28">
              <w:rPr>
                <w:color w:val="000000"/>
                <w:sz w:val="18"/>
                <w:szCs w:val="18"/>
              </w:rPr>
              <w:t>OSIRIS-REx</w:t>
            </w:r>
          </w:p>
        </w:tc>
        <w:tc>
          <w:tcPr>
            <w:tcW w:w="1442" w:type="dxa"/>
            <w:tcBorders>
              <w:right w:val="single" w:sz="18" w:space="0" w:color="auto"/>
            </w:tcBorders>
            <w:vAlign w:val="center"/>
          </w:tcPr>
          <w:p w14:paraId="34144651" w14:textId="080A0597" w:rsidR="005374F3" w:rsidRPr="00D96D28" w:rsidRDefault="005374F3" w:rsidP="005374F3">
            <w:pPr>
              <w:jc w:val="center"/>
              <w:rPr>
                <w:sz w:val="18"/>
                <w:szCs w:val="18"/>
              </w:rPr>
            </w:pPr>
            <w:r w:rsidRPr="00D96D28">
              <w:rPr>
                <w:color w:val="000000"/>
                <w:sz w:val="18"/>
                <w:szCs w:val="18"/>
              </w:rPr>
              <w:t>WISE</w:t>
            </w:r>
          </w:p>
        </w:tc>
      </w:tr>
      <w:tr w:rsidR="005374F3" w:rsidRPr="00D96D28" w14:paraId="6AAB4995" w14:textId="77777777" w:rsidTr="00CD3CE8">
        <w:tc>
          <w:tcPr>
            <w:tcW w:w="1657" w:type="dxa"/>
            <w:tcBorders>
              <w:left w:val="single" w:sz="18" w:space="0" w:color="auto"/>
              <w:bottom w:val="single" w:sz="18" w:space="0" w:color="auto"/>
            </w:tcBorders>
            <w:vAlign w:val="center"/>
          </w:tcPr>
          <w:p w14:paraId="3A8C0CD4" w14:textId="4F272AEC" w:rsidR="005374F3" w:rsidRPr="00D96D28" w:rsidRDefault="005374F3" w:rsidP="005374F3">
            <w:pPr>
              <w:jc w:val="center"/>
              <w:rPr>
                <w:sz w:val="18"/>
                <w:szCs w:val="18"/>
              </w:rPr>
            </w:pPr>
            <w:r w:rsidRPr="00D96D28">
              <w:rPr>
                <w:color w:val="000000"/>
                <w:sz w:val="18"/>
                <w:szCs w:val="18"/>
              </w:rPr>
              <w:t>MESSENGER</w:t>
            </w:r>
          </w:p>
        </w:tc>
        <w:tc>
          <w:tcPr>
            <w:tcW w:w="1939" w:type="dxa"/>
            <w:tcBorders>
              <w:bottom w:val="single" w:sz="18" w:space="0" w:color="auto"/>
              <w:right w:val="single" w:sz="18" w:space="0" w:color="auto"/>
            </w:tcBorders>
            <w:vAlign w:val="center"/>
          </w:tcPr>
          <w:p w14:paraId="29D4FE01" w14:textId="6BBF10F5" w:rsidR="005374F3" w:rsidRPr="00D96D28" w:rsidRDefault="005374F3" w:rsidP="005374F3">
            <w:pPr>
              <w:jc w:val="center"/>
              <w:rPr>
                <w:sz w:val="18"/>
                <w:szCs w:val="18"/>
              </w:rPr>
            </w:pPr>
          </w:p>
        </w:tc>
        <w:tc>
          <w:tcPr>
            <w:tcW w:w="1427" w:type="dxa"/>
            <w:tcBorders>
              <w:left w:val="single" w:sz="18" w:space="0" w:color="auto"/>
              <w:bottom w:val="single" w:sz="18" w:space="0" w:color="auto"/>
            </w:tcBorders>
            <w:vAlign w:val="center"/>
          </w:tcPr>
          <w:p w14:paraId="6B212FCC" w14:textId="0385251C" w:rsidR="005374F3" w:rsidRPr="00D96D28" w:rsidRDefault="005374F3" w:rsidP="005374F3">
            <w:pPr>
              <w:jc w:val="center"/>
              <w:rPr>
                <w:sz w:val="18"/>
                <w:szCs w:val="18"/>
              </w:rPr>
            </w:pPr>
            <w:r w:rsidRPr="00D96D28">
              <w:rPr>
                <w:color w:val="000000"/>
                <w:sz w:val="18"/>
                <w:szCs w:val="18"/>
              </w:rPr>
              <w:t>IBEX</w:t>
            </w:r>
          </w:p>
        </w:tc>
        <w:tc>
          <w:tcPr>
            <w:tcW w:w="1420" w:type="dxa"/>
            <w:tcBorders>
              <w:bottom w:val="single" w:sz="18" w:space="0" w:color="auto"/>
            </w:tcBorders>
            <w:vAlign w:val="center"/>
          </w:tcPr>
          <w:p w14:paraId="7333913A" w14:textId="25ED5FF1" w:rsidR="005374F3" w:rsidRPr="00D96D28" w:rsidRDefault="005374F3" w:rsidP="005374F3">
            <w:pPr>
              <w:jc w:val="center"/>
              <w:rPr>
                <w:sz w:val="18"/>
                <w:szCs w:val="18"/>
              </w:rPr>
            </w:pPr>
            <w:r w:rsidRPr="00D96D28">
              <w:rPr>
                <w:color w:val="000000"/>
                <w:sz w:val="18"/>
                <w:szCs w:val="18"/>
              </w:rPr>
              <w:t>Landsat 8</w:t>
            </w:r>
          </w:p>
        </w:tc>
        <w:tc>
          <w:tcPr>
            <w:tcW w:w="1429" w:type="dxa"/>
            <w:tcBorders>
              <w:bottom w:val="single" w:sz="18" w:space="0" w:color="auto"/>
            </w:tcBorders>
            <w:vAlign w:val="center"/>
          </w:tcPr>
          <w:p w14:paraId="1C576279" w14:textId="1E865FF1" w:rsidR="005374F3" w:rsidRPr="00D96D28" w:rsidRDefault="005374F3" w:rsidP="005374F3">
            <w:pPr>
              <w:jc w:val="center"/>
              <w:rPr>
                <w:sz w:val="18"/>
                <w:szCs w:val="18"/>
              </w:rPr>
            </w:pPr>
            <w:r w:rsidRPr="00D96D28">
              <w:rPr>
                <w:color w:val="000000"/>
                <w:sz w:val="18"/>
                <w:szCs w:val="18"/>
              </w:rPr>
              <w:t>Phoenix</w:t>
            </w:r>
          </w:p>
        </w:tc>
        <w:tc>
          <w:tcPr>
            <w:tcW w:w="1442" w:type="dxa"/>
            <w:tcBorders>
              <w:bottom w:val="single" w:sz="18" w:space="0" w:color="auto"/>
              <w:right w:val="single" w:sz="18" w:space="0" w:color="auto"/>
            </w:tcBorders>
            <w:vAlign w:val="center"/>
          </w:tcPr>
          <w:p w14:paraId="5F696DEF" w14:textId="77777777" w:rsidR="005374F3" w:rsidRPr="00D96D28" w:rsidRDefault="005374F3" w:rsidP="005374F3">
            <w:pPr>
              <w:jc w:val="center"/>
              <w:rPr>
                <w:sz w:val="18"/>
                <w:szCs w:val="18"/>
              </w:rPr>
            </w:pPr>
          </w:p>
        </w:tc>
      </w:tr>
    </w:tbl>
    <w:p w14:paraId="4D7FD24E" w14:textId="77777777" w:rsidR="005353AE" w:rsidRPr="005353AE" w:rsidRDefault="005353AE" w:rsidP="005353AE"/>
    <w:p w14:paraId="2AB6993D" w14:textId="39D86AEE" w:rsidR="00647357" w:rsidRDefault="00B83875" w:rsidP="001A1199">
      <w:pPr>
        <w:pStyle w:val="Text"/>
      </w:pPr>
      <w:r>
        <w:t xml:space="preserve">NASA’s </w:t>
      </w:r>
      <w:r w:rsidR="006F0421">
        <w:t xml:space="preserve">Office of Safety and Missions Assurance categorizes its </w:t>
      </w:r>
      <w:r w:rsidR="00D67AEA">
        <w:t>projects</w:t>
      </w:r>
      <w:r w:rsidR="006F0421">
        <w:t xml:space="preserve"> </w:t>
      </w:r>
      <w:r w:rsidR="002F0281">
        <w:t xml:space="preserve">as Class A, B, C, or D, depending on </w:t>
      </w:r>
      <w:r w:rsidR="00AA164E">
        <w:t>a complex risk characterization factors</w:t>
      </w:r>
      <w:r w:rsidR="008F6712">
        <w:t xml:space="preserve"> </w:t>
      </w:r>
      <w:r w:rsidR="008F6712">
        <w:fldChar w:fldCharType="begin"/>
      </w:r>
      <w:r w:rsidR="00A4209C">
        <w:instrText xml:space="preserve"> ADDIN ZOTERO_ITEM CSL_CITATION {"citationID":"nprA4T8N","properties":{"formattedCitation":"[21]","plainCitation":"[21]","noteIndex":0},"citationItems":[{"id":540,"uris":["http://zotero.org/users/5839368/items/ULUUB9TZ"],"itemData":{"id":540,"type":"document","publisher":"National Aeronautics and Space Administration","title":"NASA Procedural Requirements 8705.4A","URL":"https://explorers.larc.nasa.gov/2021APMIDEX/pdf_files/NPR_8705_4A.pdf","author":[{"family":"NASA","given":""}],"issued":{"date-parts":[["2021",4,29]]}}}],"schema":"https://github.com/citation-style-language/schema/raw/master/csl-citation.json"} </w:instrText>
      </w:r>
      <w:r w:rsidR="008F6712">
        <w:fldChar w:fldCharType="separate"/>
      </w:r>
      <w:r w:rsidR="00A4209C" w:rsidRPr="00A4209C">
        <w:t>[21]</w:t>
      </w:r>
      <w:r w:rsidR="008F6712">
        <w:fldChar w:fldCharType="end"/>
      </w:r>
      <w:r w:rsidR="00AA164E">
        <w:t xml:space="preserve">. </w:t>
      </w:r>
      <w:r w:rsidR="008B3EFC">
        <w:t>Mission risk classification drives the degree of government oversight in the project with Class A</w:t>
      </w:r>
      <w:r w:rsidR="00B05574">
        <w:t>/</w:t>
      </w:r>
      <w:r w:rsidR="008B3EFC">
        <w:t xml:space="preserve">B usually heavily overseen with prescriptive NASA mission assurance, engineering, and management practices, while Class </w:t>
      </w:r>
      <w:r w:rsidR="00B05574">
        <w:t>C/D</w:t>
      </w:r>
      <w:r w:rsidR="008B3EFC">
        <w:t xml:space="preserve"> missions are more accepting of developer practices</w:t>
      </w:r>
      <w:r w:rsidR="001A1199">
        <w:t xml:space="preserve"> </w:t>
      </w:r>
      <w:r w:rsidR="001A1199">
        <w:fldChar w:fldCharType="begin"/>
      </w:r>
      <w:r w:rsidR="001A1199">
        <w:instrText xml:space="preserve"> ADDIN ZOTERO_ITEM CSL_CITATION {"citationID":"20nk8M1s","properties":{"formattedCitation":"[22]","plainCitation":"[22]","noteIndex":0},"citationItems":[{"id":578,"uris":["http://zotero.org/users/5839368/items/6I8Y5X3Q"],"itemData":{"id":578,"type":"article-journal","container-title":"Acta Astronautica","DOI":"https://doi.org/10.1016/j.actaastro.2022.10.043","page":"333-340","title":"Modernizing NASA's Risk Classification System","volume":"202","author":[{"family":"Leitner","given":"Jesse"},{"family":"Hyde","given":"Tupper"}],"issued":{"date-parts":[["2023",1]]}}}],"schema":"https://github.com/citation-style-language/schema/raw/master/csl-citation.json"} </w:instrText>
      </w:r>
      <w:r w:rsidR="001A1199">
        <w:fldChar w:fldCharType="separate"/>
      </w:r>
      <w:r w:rsidR="001A1199" w:rsidRPr="001A1199">
        <w:t>[22]</w:t>
      </w:r>
      <w:r w:rsidR="001A1199">
        <w:fldChar w:fldCharType="end"/>
      </w:r>
      <w:r w:rsidR="001A1199">
        <w:t>.</w:t>
      </w:r>
      <w:r w:rsidR="008B3EFC">
        <w:t xml:space="preserve"> </w:t>
      </w:r>
      <w:r w:rsidR="00D67AEA">
        <w:t xml:space="preserve">As shown in Table </w:t>
      </w:r>
      <w:r w:rsidR="00BF79D1">
        <w:t>2</w:t>
      </w:r>
      <w:r w:rsidR="00D67AEA">
        <w:t xml:space="preserve">, the characterization </w:t>
      </w:r>
      <w:r w:rsidR="00E25266">
        <w:t xml:space="preserve">hierarchy involves factors such as </w:t>
      </w:r>
      <w:r w:rsidR="002A1557">
        <w:t>priority</w:t>
      </w:r>
      <w:r w:rsidR="00E25266">
        <w:t xml:space="preserve">, complexity, </w:t>
      </w:r>
      <w:r w:rsidR="00C10587">
        <w:t xml:space="preserve">and </w:t>
      </w:r>
      <w:r w:rsidR="00E25266">
        <w:t xml:space="preserve">mission lifetime. </w:t>
      </w:r>
      <w:r w:rsidR="00647357" w:rsidRPr="00D321F0">
        <w:t>The 2</w:t>
      </w:r>
      <w:r w:rsidR="005374F3" w:rsidRPr="00D321F0">
        <w:t>2</w:t>
      </w:r>
      <w:r w:rsidR="00647357" w:rsidRPr="00D321F0">
        <w:t xml:space="preserve"> NASA-built spacecraft projects comprised of </w:t>
      </w:r>
      <w:r w:rsidR="005374F3" w:rsidRPr="00D321F0">
        <w:t xml:space="preserve">9 </w:t>
      </w:r>
      <w:r w:rsidR="00B05574">
        <w:t>Class</w:t>
      </w:r>
      <w:r w:rsidR="00156648" w:rsidRPr="00D321F0">
        <w:t xml:space="preserve"> </w:t>
      </w:r>
      <w:r w:rsidR="00B05574">
        <w:t>A/B</w:t>
      </w:r>
      <w:r w:rsidR="000C2A13" w:rsidRPr="00D321F0">
        <w:t xml:space="preserve"> projects</w:t>
      </w:r>
      <w:r w:rsidR="00647357" w:rsidRPr="00D321F0">
        <w:t xml:space="preserve">, and </w:t>
      </w:r>
      <w:r w:rsidR="005374F3" w:rsidRPr="00D321F0">
        <w:t xml:space="preserve">13 </w:t>
      </w:r>
      <w:r w:rsidR="00AE5241" w:rsidRPr="00D321F0">
        <w:t xml:space="preserve">Class </w:t>
      </w:r>
      <w:r w:rsidR="00B05574">
        <w:t>C/D</w:t>
      </w:r>
      <w:r w:rsidR="000C2A13" w:rsidRPr="00D321F0">
        <w:t xml:space="preserve"> projects. For the industry-built spacecraft projects, </w:t>
      </w:r>
      <w:r w:rsidR="000B0289" w:rsidRPr="00D321F0">
        <w:t>26</w:t>
      </w:r>
      <w:r w:rsidR="00AE5241" w:rsidRPr="00D321F0">
        <w:t xml:space="preserve"> projects were Class </w:t>
      </w:r>
      <w:r w:rsidR="00B05574">
        <w:t>A/B</w:t>
      </w:r>
      <w:r w:rsidR="00AE5241" w:rsidRPr="00D321F0">
        <w:t xml:space="preserve"> projects, and 21 were Class </w:t>
      </w:r>
      <w:r w:rsidR="00B05574">
        <w:t>C/D</w:t>
      </w:r>
      <w:r w:rsidR="00AE5241" w:rsidRPr="00D321F0">
        <w:t xml:space="preserve"> projects.</w:t>
      </w:r>
      <w:r w:rsidR="00156648">
        <w:t xml:space="preserve"> </w:t>
      </w:r>
    </w:p>
    <w:p w14:paraId="2A77135D" w14:textId="4C0B7DF3" w:rsidR="00E25266" w:rsidRDefault="00E25266" w:rsidP="00E25266">
      <w:pPr>
        <w:pStyle w:val="Heading4"/>
      </w:pPr>
      <w:r w:rsidRPr="00E31146">
        <w:t xml:space="preserve">Table </w:t>
      </w:r>
      <w:r w:rsidR="00BF79D1">
        <w:t>2</w:t>
      </w:r>
      <w:r w:rsidRPr="00E31146">
        <w:t xml:space="preserve"> </w:t>
      </w:r>
      <w:r w:rsidR="008B3EFC">
        <w:t>NASA Risk Classification Considerations (NPR 8705.4A)</w:t>
      </w:r>
    </w:p>
    <w:p w14:paraId="13862FBA" w14:textId="77777777" w:rsidR="008C2F99" w:rsidRPr="008C2F99" w:rsidRDefault="008C2F99" w:rsidP="008C2F99"/>
    <w:tbl>
      <w:tblPr>
        <w:tblW w:w="9360" w:type="dxa"/>
        <w:jc w:val="center"/>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Look w:val="04A0" w:firstRow="1" w:lastRow="0" w:firstColumn="1" w:lastColumn="0" w:noHBand="0" w:noVBand="1"/>
      </w:tblPr>
      <w:tblGrid>
        <w:gridCol w:w="4752"/>
        <w:gridCol w:w="3415"/>
        <w:gridCol w:w="1193"/>
      </w:tblGrid>
      <w:tr w:rsidR="008B3EFC" w:rsidRPr="008C2F99" w14:paraId="2322C7FE" w14:textId="77777777" w:rsidTr="004C60ED">
        <w:trPr>
          <w:cantSplit/>
          <w:jc w:val="center"/>
        </w:trPr>
        <w:tc>
          <w:tcPr>
            <w:tcW w:w="9360" w:type="dxa"/>
            <w:gridSpan w:val="3"/>
            <w:tcBorders>
              <w:top w:val="threeDEmboss" w:sz="6" w:space="0" w:color="auto"/>
              <w:left w:val="threeDEmboss" w:sz="6" w:space="0" w:color="auto"/>
            </w:tcBorders>
            <w:shd w:val="clear" w:color="auto" w:fill="auto"/>
          </w:tcPr>
          <w:p w14:paraId="0EDF2F35" w14:textId="77777777" w:rsidR="008B3EFC" w:rsidRPr="008C2F99" w:rsidRDefault="008B3EFC" w:rsidP="004C60ED">
            <w:pPr>
              <w:pStyle w:val="Caption"/>
              <w:spacing w:before="0" w:after="0"/>
              <w:rPr>
                <w:b w:val="0"/>
                <w:bCs/>
                <w:sz w:val="18"/>
                <w:szCs w:val="18"/>
              </w:rPr>
            </w:pPr>
            <w:r w:rsidRPr="008C2F99">
              <w:rPr>
                <w:b w:val="0"/>
                <w:bCs/>
                <w:sz w:val="18"/>
                <w:szCs w:val="18"/>
              </w:rPr>
              <w:t>Mission and Instrument Risk Classification Considerations</w:t>
            </w:r>
          </w:p>
        </w:tc>
      </w:tr>
      <w:tr w:rsidR="008B3EFC" w:rsidRPr="008C2F99" w14:paraId="1E3617D3" w14:textId="77777777" w:rsidTr="004C60ED">
        <w:trPr>
          <w:cantSplit/>
          <w:jc w:val="center"/>
        </w:trPr>
        <w:tc>
          <w:tcPr>
            <w:tcW w:w="4752" w:type="dxa"/>
            <w:vMerge w:val="restart"/>
            <w:tcBorders>
              <w:left w:val="threeDEmboss" w:sz="6" w:space="0" w:color="auto"/>
              <w:bottom w:val="threeDEmboss" w:sz="6" w:space="0" w:color="auto"/>
            </w:tcBorders>
            <w:shd w:val="clear" w:color="auto" w:fill="auto"/>
            <w:vAlign w:val="center"/>
          </w:tcPr>
          <w:p w14:paraId="42F09FF9" w14:textId="57B78402" w:rsidR="008B3EFC" w:rsidRPr="008C2F99" w:rsidRDefault="008B3EFC" w:rsidP="004C60ED">
            <w:pPr>
              <w:pStyle w:val="Caption"/>
              <w:spacing w:before="0" w:after="0"/>
              <w:rPr>
                <w:b w:val="0"/>
                <w:bCs/>
                <w:sz w:val="18"/>
                <w:szCs w:val="18"/>
              </w:rPr>
            </w:pPr>
            <w:r w:rsidRPr="008C2F99">
              <w:rPr>
                <w:b w:val="0"/>
                <w:bCs/>
                <w:sz w:val="18"/>
                <w:szCs w:val="18"/>
              </w:rPr>
              <w:lastRenderedPageBreak/>
              <w:t>Priority</w:t>
            </w:r>
            <w:r w:rsidR="001A1199" w:rsidRPr="008C2F99">
              <w:rPr>
                <w:b w:val="0"/>
                <w:bCs/>
                <w:sz w:val="18"/>
                <w:szCs w:val="18"/>
              </w:rPr>
              <w:t xml:space="preserve"> </w:t>
            </w:r>
            <w:r w:rsidRPr="008C2F99">
              <w:rPr>
                <w:b w:val="0"/>
                <w:bCs/>
                <w:i/>
                <w:iCs/>
                <w:sz w:val="18"/>
                <w:szCs w:val="18"/>
              </w:rPr>
              <w:t xml:space="preserve">(Relevance to Agency Strategic Plan, National Significance, </w:t>
            </w:r>
            <w:r w:rsidR="001A1199" w:rsidRPr="008C2F99">
              <w:rPr>
                <w:b w:val="0"/>
                <w:bCs/>
                <w:i/>
                <w:iCs/>
                <w:sz w:val="18"/>
                <w:szCs w:val="18"/>
              </w:rPr>
              <w:t xml:space="preserve">and </w:t>
            </w:r>
            <w:r w:rsidRPr="008C2F99">
              <w:rPr>
                <w:b w:val="0"/>
                <w:bCs/>
                <w:i/>
                <w:iCs/>
                <w:sz w:val="18"/>
                <w:szCs w:val="18"/>
              </w:rPr>
              <w:t>Significance to the Agency and Strategic Partners)</w:t>
            </w:r>
          </w:p>
        </w:tc>
        <w:tc>
          <w:tcPr>
            <w:tcW w:w="3415" w:type="dxa"/>
            <w:tcBorders>
              <w:bottom w:val="nil"/>
              <w:right w:val="nil"/>
            </w:tcBorders>
            <w:shd w:val="clear" w:color="auto" w:fill="auto"/>
          </w:tcPr>
          <w:p w14:paraId="2435E641" w14:textId="4B593B6D" w:rsidR="008B3EFC" w:rsidRPr="008C2F99" w:rsidRDefault="008B3EFC" w:rsidP="004C60ED">
            <w:pPr>
              <w:pStyle w:val="Caption"/>
              <w:spacing w:before="0" w:after="0"/>
              <w:jc w:val="left"/>
              <w:rPr>
                <w:b w:val="0"/>
                <w:bCs/>
                <w:sz w:val="18"/>
                <w:szCs w:val="18"/>
              </w:rPr>
            </w:pPr>
            <w:r w:rsidRPr="008C2F99">
              <w:rPr>
                <w:b w:val="0"/>
                <w:bCs/>
                <w:sz w:val="18"/>
                <w:szCs w:val="18"/>
              </w:rPr>
              <w:t>Very High</w:t>
            </w:r>
          </w:p>
        </w:tc>
        <w:tc>
          <w:tcPr>
            <w:tcW w:w="1193" w:type="dxa"/>
            <w:tcBorders>
              <w:left w:val="nil"/>
              <w:bottom w:val="nil"/>
              <w:right w:val="threeDEmboss" w:sz="6" w:space="0" w:color="auto"/>
            </w:tcBorders>
            <w:shd w:val="clear" w:color="auto" w:fill="auto"/>
            <w:tcMar>
              <w:left w:w="0" w:type="dxa"/>
              <w:right w:w="0" w:type="dxa"/>
            </w:tcMar>
          </w:tcPr>
          <w:p w14:paraId="42CF1A70" w14:textId="77777777" w:rsidR="008B3EFC" w:rsidRPr="008C2F99" w:rsidRDefault="008B3EFC" w:rsidP="004C60ED">
            <w:pPr>
              <w:pStyle w:val="Caption"/>
              <w:spacing w:before="0" w:after="0"/>
              <w:jc w:val="left"/>
              <w:rPr>
                <w:b w:val="0"/>
                <w:bCs/>
                <w:sz w:val="18"/>
                <w:szCs w:val="18"/>
              </w:rPr>
            </w:pPr>
            <w:r w:rsidRPr="008C2F99">
              <w:rPr>
                <w:b w:val="0"/>
                <w:bCs/>
                <w:sz w:val="18"/>
                <w:szCs w:val="18"/>
              </w:rPr>
              <w:t>Class A</w:t>
            </w:r>
          </w:p>
        </w:tc>
      </w:tr>
      <w:tr w:rsidR="008B3EFC" w:rsidRPr="008C2F99" w14:paraId="2CC26626" w14:textId="77777777" w:rsidTr="004C60ED">
        <w:trPr>
          <w:cantSplit/>
          <w:jc w:val="center"/>
        </w:trPr>
        <w:tc>
          <w:tcPr>
            <w:tcW w:w="4752" w:type="dxa"/>
            <w:vMerge/>
            <w:tcBorders>
              <w:top w:val="threeDEmboss" w:sz="6" w:space="0" w:color="auto"/>
              <w:left w:val="threeDEmboss" w:sz="6" w:space="0" w:color="auto"/>
              <w:bottom w:val="threeDEmboss" w:sz="6" w:space="0" w:color="auto"/>
            </w:tcBorders>
            <w:shd w:val="clear" w:color="auto" w:fill="auto"/>
            <w:vAlign w:val="center"/>
          </w:tcPr>
          <w:p w14:paraId="1C3CCB07" w14:textId="77777777" w:rsidR="008B3EFC" w:rsidRPr="008C2F99" w:rsidRDefault="008B3EFC" w:rsidP="004C60ED">
            <w:pPr>
              <w:pStyle w:val="Caption"/>
              <w:spacing w:before="0" w:after="0"/>
              <w:rPr>
                <w:b w:val="0"/>
                <w:bCs/>
                <w:sz w:val="18"/>
                <w:szCs w:val="18"/>
              </w:rPr>
            </w:pPr>
          </w:p>
        </w:tc>
        <w:tc>
          <w:tcPr>
            <w:tcW w:w="3415" w:type="dxa"/>
            <w:tcBorders>
              <w:top w:val="nil"/>
              <w:bottom w:val="nil"/>
              <w:right w:val="nil"/>
            </w:tcBorders>
            <w:shd w:val="clear" w:color="auto" w:fill="auto"/>
          </w:tcPr>
          <w:p w14:paraId="6345890F" w14:textId="7433E9BD" w:rsidR="008B3EFC" w:rsidRPr="008C2F99" w:rsidRDefault="008B3EFC" w:rsidP="004C60ED">
            <w:pPr>
              <w:pStyle w:val="Caption"/>
              <w:spacing w:before="0" w:after="0"/>
              <w:jc w:val="left"/>
              <w:rPr>
                <w:b w:val="0"/>
                <w:bCs/>
                <w:sz w:val="18"/>
                <w:szCs w:val="18"/>
              </w:rPr>
            </w:pPr>
            <w:r w:rsidRPr="008C2F99">
              <w:rPr>
                <w:b w:val="0"/>
                <w:bCs/>
                <w:sz w:val="18"/>
                <w:szCs w:val="18"/>
              </w:rPr>
              <w:t>High</w:t>
            </w:r>
          </w:p>
        </w:tc>
        <w:tc>
          <w:tcPr>
            <w:tcW w:w="1193" w:type="dxa"/>
            <w:tcBorders>
              <w:top w:val="nil"/>
              <w:left w:val="nil"/>
              <w:bottom w:val="nil"/>
              <w:right w:val="threeDEmboss" w:sz="6" w:space="0" w:color="auto"/>
            </w:tcBorders>
            <w:shd w:val="clear" w:color="auto" w:fill="auto"/>
            <w:tcMar>
              <w:left w:w="0" w:type="dxa"/>
              <w:right w:w="0" w:type="dxa"/>
            </w:tcMar>
          </w:tcPr>
          <w:p w14:paraId="7DA7E328" w14:textId="77777777" w:rsidR="008B3EFC" w:rsidRPr="008C2F99" w:rsidRDefault="008B3EFC" w:rsidP="004C60ED">
            <w:pPr>
              <w:pStyle w:val="Caption"/>
              <w:spacing w:before="0" w:after="0"/>
              <w:jc w:val="left"/>
              <w:rPr>
                <w:b w:val="0"/>
                <w:bCs/>
                <w:sz w:val="18"/>
                <w:szCs w:val="18"/>
              </w:rPr>
            </w:pPr>
            <w:r w:rsidRPr="008C2F99">
              <w:rPr>
                <w:b w:val="0"/>
                <w:bCs/>
                <w:sz w:val="18"/>
                <w:szCs w:val="18"/>
              </w:rPr>
              <w:t>Class B</w:t>
            </w:r>
          </w:p>
        </w:tc>
      </w:tr>
      <w:tr w:rsidR="008B3EFC" w:rsidRPr="008C2F99" w14:paraId="3E9264B6" w14:textId="77777777" w:rsidTr="004C60ED">
        <w:trPr>
          <w:cantSplit/>
          <w:jc w:val="center"/>
        </w:trPr>
        <w:tc>
          <w:tcPr>
            <w:tcW w:w="4752" w:type="dxa"/>
            <w:vMerge/>
            <w:tcBorders>
              <w:top w:val="threeDEmboss" w:sz="6" w:space="0" w:color="auto"/>
              <w:left w:val="threeDEmboss" w:sz="6" w:space="0" w:color="auto"/>
              <w:bottom w:val="threeDEmboss" w:sz="6" w:space="0" w:color="auto"/>
            </w:tcBorders>
            <w:shd w:val="clear" w:color="auto" w:fill="auto"/>
            <w:vAlign w:val="center"/>
          </w:tcPr>
          <w:p w14:paraId="38D599F2" w14:textId="77777777" w:rsidR="008B3EFC" w:rsidRPr="008C2F99" w:rsidRDefault="008B3EFC" w:rsidP="004C60ED">
            <w:pPr>
              <w:pStyle w:val="Caption"/>
              <w:spacing w:before="0" w:after="0"/>
              <w:rPr>
                <w:b w:val="0"/>
                <w:bCs/>
                <w:sz w:val="18"/>
                <w:szCs w:val="18"/>
              </w:rPr>
            </w:pPr>
          </w:p>
        </w:tc>
        <w:tc>
          <w:tcPr>
            <w:tcW w:w="3415" w:type="dxa"/>
            <w:tcBorders>
              <w:top w:val="nil"/>
              <w:bottom w:val="nil"/>
              <w:right w:val="nil"/>
            </w:tcBorders>
            <w:shd w:val="clear" w:color="auto" w:fill="auto"/>
          </w:tcPr>
          <w:p w14:paraId="757FA018" w14:textId="4349E7D2" w:rsidR="008B3EFC" w:rsidRPr="008C2F99" w:rsidRDefault="008B3EFC" w:rsidP="004C60ED">
            <w:pPr>
              <w:pStyle w:val="Caption"/>
              <w:spacing w:before="0" w:after="0"/>
              <w:jc w:val="left"/>
              <w:rPr>
                <w:b w:val="0"/>
                <w:bCs/>
                <w:sz w:val="18"/>
                <w:szCs w:val="18"/>
              </w:rPr>
            </w:pPr>
            <w:r w:rsidRPr="008C2F99">
              <w:rPr>
                <w:b w:val="0"/>
                <w:bCs/>
                <w:sz w:val="18"/>
                <w:szCs w:val="18"/>
              </w:rPr>
              <w:t>Medium</w:t>
            </w:r>
          </w:p>
        </w:tc>
        <w:tc>
          <w:tcPr>
            <w:tcW w:w="1193" w:type="dxa"/>
            <w:tcBorders>
              <w:top w:val="nil"/>
              <w:left w:val="nil"/>
              <w:bottom w:val="nil"/>
              <w:right w:val="threeDEmboss" w:sz="6" w:space="0" w:color="auto"/>
            </w:tcBorders>
            <w:shd w:val="clear" w:color="auto" w:fill="auto"/>
            <w:tcMar>
              <w:left w:w="0" w:type="dxa"/>
              <w:right w:w="0" w:type="dxa"/>
            </w:tcMar>
          </w:tcPr>
          <w:p w14:paraId="3C2DA7FD" w14:textId="77777777" w:rsidR="008B3EFC" w:rsidRPr="008C2F99" w:rsidRDefault="008B3EFC" w:rsidP="004C60ED">
            <w:pPr>
              <w:pStyle w:val="Caption"/>
              <w:spacing w:before="0" w:after="0"/>
              <w:jc w:val="left"/>
              <w:rPr>
                <w:b w:val="0"/>
                <w:bCs/>
                <w:sz w:val="18"/>
                <w:szCs w:val="18"/>
              </w:rPr>
            </w:pPr>
            <w:r w:rsidRPr="008C2F99">
              <w:rPr>
                <w:b w:val="0"/>
                <w:bCs/>
                <w:sz w:val="18"/>
                <w:szCs w:val="18"/>
              </w:rPr>
              <w:t>Class C</w:t>
            </w:r>
          </w:p>
        </w:tc>
      </w:tr>
      <w:tr w:rsidR="008B3EFC" w:rsidRPr="008C2F99" w14:paraId="603F3E00" w14:textId="77777777" w:rsidTr="004C60ED">
        <w:trPr>
          <w:cantSplit/>
          <w:jc w:val="center"/>
        </w:trPr>
        <w:tc>
          <w:tcPr>
            <w:tcW w:w="4752" w:type="dxa"/>
            <w:vMerge/>
            <w:tcBorders>
              <w:top w:val="threeDEmboss" w:sz="6" w:space="0" w:color="auto"/>
              <w:left w:val="threeDEmboss" w:sz="6" w:space="0" w:color="auto"/>
            </w:tcBorders>
            <w:shd w:val="clear" w:color="auto" w:fill="auto"/>
            <w:vAlign w:val="center"/>
          </w:tcPr>
          <w:p w14:paraId="112E5EC1" w14:textId="77777777" w:rsidR="008B3EFC" w:rsidRPr="008C2F99" w:rsidRDefault="008B3EFC" w:rsidP="004C60ED">
            <w:pPr>
              <w:pStyle w:val="Caption"/>
              <w:spacing w:before="0" w:after="0"/>
              <w:rPr>
                <w:b w:val="0"/>
                <w:bCs/>
                <w:sz w:val="18"/>
                <w:szCs w:val="18"/>
              </w:rPr>
            </w:pPr>
          </w:p>
        </w:tc>
        <w:tc>
          <w:tcPr>
            <w:tcW w:w="3415" w:type="dxa"/>
            <w:tcBorders>
              <w:top w:val="nil"/>
              <w:bottom w:val="threeDEmboss" w:sz="6" w:space="0" w:color="auto"/>
              <w:right w:val="nil"/>
            </w:tcBorders>
            <w:shd w:val="clear" w:color="auto" w:fill="auto"/>
          </w:tcPr>
          <w:p w14:paraId="3AF5D447" w14:textId="54DFF3C9" w:rsidR="008B3EFC" w:rsidRPr="008C2F99" w:rsidRDefault="008B3EFC" w:rsidP="004C60ED">
            <w:pPr>
              <w:pStyle w:val="Caption"/>
              <w:spacing w:before="0" w:after="0"/>
              <w:jc w:val="left"/>
              <w:rPr>
                <w:b w:val="0"/>
                <w:bCs/>
                <w:sz w:val="18"/>
                <w:szCs w:val="18"/>
              </w:rPr>
            </w:pPr>
            <w:r w:rsidRPr="008C2F99">
              <w:rPr>
                <w:b w:val="0"/>
                <w:bCs/>
                <w:sz w:val="18"/>
                <w:szCs w:val="18"/>
              </w:rPr>
              <w:t>Low</w:t>
            </w:r>
          </w:p>
        </w:tc>
        <w:tc>
          <w:tcPr>
            <w:tcW w:w="1193" w:type="dxa"/>
            <w:tcBorders>
              <w:top w:val="nil"/>
              <w:left w:val="nil"/>
              <w:bottom w:val="threeDEmboss" w:sz="6" w:space="0" w:color="auto"/>
              <w:right w:val="threeDEmboss" w:sz="6" w:space="0" w:color="auto"/>
            </w:tcBorders>
            <w:shd w:val="clear" w:color="auto" w:fill="auto"/>
            <w:tcMar>
              <w:left w:w="0" w:type="dxa"/>
              <w:right w:w="0" w:type="dxa"/>
            </w:tcMar>
          </w:tcPr>
          <w:p w14:paraId="03DD6A2F" w14:textId="77777777" w:rsidR="008B3EFC" w:rsidRPr="008C2F99" w:rsidRDefault="008B3EFC" w:rsidP="004C60ED">
            <w:pPr>
              <w:pStyle w:val="Caption"/>
              <w:spacing w:before="0" w:after="0"/>
              <w:jc w:val="left"/>
              <w:rPr>
                <w:b w:val="0"/>
                <w:bCs/>
                <w:sz w:val="18"/>
                <w:szCs w:val="18"/>
              </w:rPr>
            </w:pPr>
            <w:r w:rsidRPr="008C2F99">
              <w:rPr>
                <w:b w:val="0"/>
                <w:bCs/>
                <w:sz w:val="18"/>
                <w:szCs w:val="18"/>
              </w:rPr>
              <w:t>Class D</w:t>
            </w:r>
          </w:p>
        </w:tc>
      </w:tr>
      <w:tr w:rsidR="008B3EFC" w:rsidRPr="008C2F99" w14:paraId="55B70223" w14:textId="77777777" w:rsidTr="004C60ED">
        <w:trPr>
          <w:cantSplit/>
          <w:jc w:val="center"/>
        </w:trPr>
        <w:tc>
          <w:tcPr>
            <w:tcW w:w="4752" w:type="dxa"/>
            <w:vMerge w:val="restart"/>
            <w:tcBorders>
              <w:left w:val="threeDEmboss" w:sz="6" w:space="0" w:color="auto"/>
              <w:bottom w:val="threeDEmboss" w:sz="6" w:space="0" w:color="auto"/>
            </w:tcBorders>
            <w:shd w:val="clear" w:color="auto" w:fill="auto"/>
            <w:vAlign w:val="center"/>
          </w:tcPr>
          <w:p w14:paraId="753A774A" w14:textId="77777777" w:rsidR="008B3EFC" w:rsidRPr="008C2F99" w:rsidRDefault="008B3EFC" w:rsidP="004C60ED">
            <w:pPr>
              <w:pStyle w:val="Caption"/>
              <w:spacing w:before="0" w:after="0"/>
              <w:rPr>
                <w:b w:val="0"/>
                <w:bCs/>
                <w:sz w:val="18"/>
                <w:szCs w:val="18"/>
              </w:rPr>
            </w:pPr>
            <w:r w:rsidRPr="008C2F99">
              <w:rPr>
                <w:b w:val="0"/>
                <w:bCs/>
                <w:sz w:val="18"/>
                <w:szCs w:val="18"/>
              </w:rPr>
              <w:t>Primary Mission Lifetime</w:t>
            </w:r>
          </w:p>
        </w:tc>
        <w:tc>
          <w:tcPr>
            <w:tcW w:w="3415" w:type="dxa"/>
            <w:tcBorders>
              <w:bottom w:val="nil"/>
              <w:right w:val="nil"/>
            </w:tcBorders>
            <w:shd w:val="clear" w:color="auto" w:fill="auto"/>
          </w:tcPr>
          <w:p w14:paraId="5EFF444C" w14:textId="5AEB5BE4" w:rsidR="008B3EFC" w:rsidRPr="008C2F99" w:rsidRDefault="008B3EFC" w:rsidP="004C60ED">
            <w:pPr>
              <w:pStyle w:val="Caption"/>
              <w:spacing w:before="0" w:after="0"/>
              <w:jc w:val="left"/>
              <w:rPr>
                <w:b w:val="0"/>
                <w:bCs/>
                <w:sz w:val="18"/>
                <w:szCs w:val="18"/>
              </w:rPr>
            </w:pPr>
            <w:r w:rsidRPr="008C2F99">
              <w:rPr>
                <w:b w:val="0"/>
                <w:bCs/>
                <w:sz w:val="18"/>
                <w:szCs w:val="18"/>
              </w:rPr>
              <w:t xml:space="preserve">Long </w:t>
            </w:r>
            <w:r w:rsidR="001A1199" w:rsidRPr="008C2F99">
              <w:rPr>
                <w:b w:val="0"/>
                <w:bCs/>
                <w:sz w:val="18"/>
                <w:szCs w:val="18"/>
              </w:rPr>
              <w:t>(More than</w:t>
            </w:r>
            <w:r w:rsidRPr="008C2F99">
              <w:rPr>
                <w:b w:val="0"/>
                <w:bCs/>
                <w:sz w:val="18"/>
                <w:szCs w:val="18"/>
              </w:rPr>
              <w:t xml:space="preserve"> 5 Years</w:t>
            </w:r>
            <w:r w:rsidR="001A1199" w:rsidRPr="008C2F99">
              <w:rPr>
                <w:b w:val="0"/>
                <w:bCs/>
                <w:sz w:val="18"/>
                <w:szCs w:val="18"/>
              </w:rPr>
              <w:t>)</w:t>
            </w:r>
          </w:p>
        </w:tc>
        <w:tc>
          <w:tcPr>
            <w:tcW w:w="1193" w:type="dxa"/>
            <w:tcBorders>
              <w:left w:val="nil"/>
              <w:bottom w:val="nil"/>
              <w:right w:val="threeDEmboss" w:sz="6" w:space="0" w:color="auto"/>
            </w:tcBorders>
            <w:shd w:val="clear" w:color="auto" w:fill="auto"/>
            <w:tcMar>
              <w:left w:w="0" w:type="dxa"/>
              <w:right w:w="0" w:type="dxa"/>
            </w:tcMar>
          </w:tcPr>
          <w:p w14:paraId="01EBFF8A" w14:textId="77777777" w:rsidR="008B3EFC" w:rsidRPr="008C2F99" w:rsidRDefault="008B3EFC" w:rsidP="004C60ED">
            <w:pPr>
              <w:pStyle w:val="Caption"/>
              <w:spacing w:before="0" w:after="0"/>
              <w:jc w:val="left"/>
              <w:rPr>
                <w:b w:val="0"/>
                <w:bCs/>
                <w:sz w:val="18"/>
                <w:szCs w:val="18"/>
              </w:rPr>
            </w:pPr>
            <w:r w:rsidRPr="008C2F99">
              <w:rPr>
                <w:b w:val="0"/>
                <w:bCs/>
                <w:sz w:val="18"/>
                <w:szCs w:val="18"/>
              </w:rPr>
              <w:t>Class A</w:t>
            </w:r>
          </w:p>
        </w:tc>
      </w:tr>
      <w:tr w:rsidR="008B3EFC" w:rsidRPr="008C2F99" w14:paraId="22CF0F51" w14:textId="77777777" w:rsidTr="004C60ED">
        <w:trPr>
          <w:cantSplit/>
          <w:jc w:val="center"/>
        </w:trPr>
        <w:tc>
          <w:tcPr>
            <w:tcW w:w="4752" w:type="dxa"/>
            <w:vMerge/>
            <w:tcBorders>
              <w:top w:val="threeDEmboss" w:sz="6" w:space="0" w:color="auto"/>
              <w:left w:val="threeDEmboss" w:sz="6" w:space="0" w:color="auto"/>
              <w:bottom w:val="threeDEmboss" w:sz="6" w:space="0" w:color="auto"/>
            </w:tcBorders>
            <w:shd w:val="clear" w:color="auto" w:fill="auto"/>
            <w:vAlign w:val="center"/>
          </w:tcPr>
          <w:p w14:paraId="68D9CA9D" w14:textId="77777777" w:rsidR="008B3EFC" w:rsidRPr="008C2F99" w:rsidRDefault="008B3EFC" w:rsidP="004C60ED">
            <w:pPr>
              <w:pStyle w:val="Caption"/>
              <w:spacing w:before="0" w:after="0"/>
              <w:rPr>
                <w:b w:val="0"/>
                <w:bCs/>
                <w:sz w:val="18"/>
                <w:szCs w:val="18"/>
              </w:rPr>
            </w:pPr>
          </w:p>
        </w:tc>
        <w:tc>
          <w:tcPr>
            <w:tcW w:w="3415" w:type="dxa"/>
            <w:tcBorders>
              <w:top w:val="nil"/>
              <w:bottom w:val="nil"/>
              <w:right w:val="nil"/>
            </w:tcBorders>
            <w:shd w:val="clear" w:color="auto" w:fill="auto"/>
          </w:tcPr>
          <w:p w14:paraId="063EC7F9" w14:textId="55FCD9F4" w:rsidR="008B3EFC" w:rsidRPr="008C2F99" w:rsidRDefault="008B3EFC" w:rsidP="004C60ED">
            <w:pPr>
              <w:pStyle w:val="Caption"/>
              <w:spacing w:before="0" w:after="0"/>
              <w:jc w:val="left"/>
              <w:rPr>
                <w:b w:val="0"/>
                <w:bCs/>
                <w:sz w:val="18"/>
                <w:szCs w:val="18"/>
              </w:rPr>
            </w:pPr>
            <w:r w:rsidRPr="008C2F99">
              <w:rPr>
                <w:b w:val="0"/>
                <w:bCs/>
                <w:sz w:val="18"/>
                <w:szCs w:val="18"/>
              </w:rPr>
              <w:t>Medium</w:t>
            </w:r>
            <w:r w:rsidR="001A1199" w:rsidRPr="008C2F99">
              <w:rPr>
                <w:b w:val="0"/>
                <w:bCs/>
                <w:sz w:val="18"/>
                <w:szCs w:val="18"/>
              </w:rPr>
              <w:t xml:space="preserve"> (3 to 5 Years)</w:t>
            </w:r>
          </w:p>
        </w:tc>
        <w:tc>
          <w:tcPr>
            <w:tcW w:w="1193" w:type="dxa"/>
            <w:tcBorders>
              <w:top w:val="nil"/>
              <w:left w:val="nil"/>
              <w:bottom w:val="nil"/>
              <w:right w:val="threeDEmboss" w:sz="6" w:space="0" w:color="auto"/>
            </w:tcBorders>
            <w:shd w:val="clear" w:color="auto" w:fill="auto"/>
            <w:tcMar>
              <w:left w:w="0" w:type="dxa"/>
              <w:right w:w="0" w:type="dxa"/>
            </w:tcMar>
          </w:tcPr>
          <w:p w14:paraId="318A5441" w14:textId="77777777" w:rsidR="008B3EFC" w:rsidRPr="008C2F99" w:rsidRDefault="008B3EFC" w:rsidP="004C60ED">
            <w:pPr>
              <w:pStyle w:val="Caption"/>
              <w:spacing w:before="0" w:after="0"/>
              <w:jc w:val="left"/>
              <w:rPr>
                <w:b w:val="0"/>
                <w:bCs/>
                <w:sz w:val="18"/>
                <w:szCs w:val="18"/>
              </w:rPr>
            </w:pPr>
            <w:r w:rsidRPr="008C2F99">
              <w:rPr>
                <w:b w:val="0"/>
                <w:bCs/>
                <w:sz w:val="18"/>
                <w:szCs w:val="18"/>
              </w:rPr>
              <w:t>Class B</w:t>
            </w:r>
          </w:p>
        </w:tc>
      </w:tr>
      <w:tr w:rsidR="008B3EFC" w:rsidRPr="008C2F99" w14:paraId="362FFA7F" w14:textId="77777777" w:rsidTr="004C60ED">
        <w:trPr>
          <w:cantSplit/>
          <w:jc w:val="center"/>
        </w:trPr>
        <w:tc>
          <w:tcPr>
            <w:tcW w:w="4752" w:type="dxa"/>
            <w:vMerge/>
            <w:tcBorders>
              <w:top w:val="threeDEmboss" w:sz="6" w:space="0" w:color="auto"/>
              <w:left w:val="threeDEmboss" w:sz="6" w:space="0" w:color="auto"/>
              <w:bottom w:val="threeDEmboss" w:sz="6" w:space="0" w:color="auto"/>
            </w:tcBorders>
            <w:shd w:val="clear" w:color="auto" w:fill="auto"/>
            <w:vAlign w:val="center"/>
          </w:tcPr>
          <w:p w14:paraId="7C8B57C3" w14:textId="77777777" w:rsidR="008B3EFC" w:rsidRPr="008C2F99" w:rsidRDefault="008B3EFC" w:rsidP="004C60ED">
            <w:pPr>
              <w:pStyle w:val="Caption"/>
              <w:spacing w:before="0" w:after="0"/>
              <w:rPr>
                <w:b w:val="0"/>
                <w:bCs/>
                <w:sz w:val="18"/>
                <w:szCs w:val="18"/>
              </w:rPr>
            </w:pPr>
          </w:p>
        </w:tc>
        <w:tc>
          <w:tcPr>
            <w:tcW w:w="3415" w:type="dxa"/>
            <w:tcBorders>
              <w:top w:val="nil"/>
              <w:bottom w:val="nil"/>
              <w:right w:val="nil"/>
            </w:tcBorders>
            <w:shd w:val="clear" w:color="auto" w:fill="auto"/>
          </w:tcPr>
          <w:p w14:paraId="08B2BCAB" w14:textId="19C6187F" w:rsidR="008B3EFC" w:rsidRPr="008C2F99" w:rsidRDefault="008B3EFC" w:rsidP="004C60ED">
            <w:pPr>
              <w:pStyle w:val="Caption"/>
              <w:spacing w:before="0" w:after="0"/>
              <w:jc w:val="left"/>
              <w:rPr>
                <w:b w:val="0"/>
                <w:bCs/>
                <w:sz w:val="18"/>
                <w:szCs w:val="18"/>
              </w:rPr>
            </w:pPr>
            <w:r w:rsidRPr="008C2F99">
              <w:rPr>
                <w:b w:val="0"/>
                <w:bCs/>
                <w:sz w:val="18"/>
                <w:szCs w:val="18"/>
              </w:rPr>
              <w:t xml:space="preserve">Short, </w:t>
            </w:r>
            <w:r w:rsidR="001A1199" w:rsidRPr="008C2F99">
              <w:rPr>
                <w:b w:val="0"/>
                <w:bCs/>
                <w:sz w:val="18"/>
                <w:szCs w:val="18"/>
              </w:rPr>
              <w:t>(1 to 3 Years)</w:t>
            </w:r>
          </w:p>
        </w:tc>
        <w:tc>
          <w:tcPr>
            <w:tcW w:w="1193" w:type="dxa"/>
            <w:tcBorders>
              <w:top w:val="nil"/>
              <w:left w:val="nil"/>
              <w:bottom w:val="nil"/>
              <w:right w:val="threeDEmboss" w:sz="6" w:space="0" w:color="auto"/>
            </w:tcBorders>
            <w:shd w:val="clear" w:color="auto" w:fill="auto"/>
            <w:tcMar>
              <w:left w:w="0" w:type="dxa"/>
              <w:right w:w="0" w:type="dxa"/>
            </w:tcMar>
          </w:tcPr>
          <w:p w14:paraId="4BFCA418" w14:textId="77777777" w:rsidR="008B3EFC" w:rsidRPr="008C2F99" w:rsidRDefault="008B3EFC" w:rsidP="004C60ED">
            <w:pPr>
              <w:pStyle w:val="Caption"/>
              <w:spacing w:before="0" w:after="0"/>
              <w:jc w:val="left"/>
              <w:rPr>
                <w:b w:val="0"/>
                <w:bCs/>
                <w:sz w:val="18"/>
                <w:szCs w:val="18"/>
              </w:rPr>
            </w:pPr>
            <w:r w:rsidRPr="008C2F99">
              <w:rPr>
                <w:b w:val="0"/>
                <w:bCs/>
                <w:sz w:val="18"/>
                <w:szCs w:val="18"/>
              </w:rPr>
              <w:t>Class C</w:t>
            </w:r>
          </w:p>
        </w:tc>
      </w:tr>
      <w:tr w:rsidR="008B3EFC" w:rsidRPr="008C2F99" w14:paraId="0665C00A" w14:textId="77777777" w:rsidTr="004C60ED">
        <w:trPr>
          <w:cantSplit/>
          <w:jc w:val="center"/>
        </w:trPr>
        <w:tc>
          <w:tcPr>
            <w:tcW w:w="4752" w:type="dxa"/>
            <w:vMerge/>
            <w:tcBorders>
              <w:top w:val="threeDEmboss" w:sz="6" w:space="0" w:color="auto"/>
              <w:left w:val="threeDEmboss" w:sz="6" w:space="0" w:color="auto"/>
            </w:tcBorders>
            <w:shd w:val="clear" w:color="auto" w:fill="auto"/>
            <w:vAlign w:val="center"/>
          </w:tcPr>
          <w:p w14:paraId="69A9A271" w14:textId="77777777" w:rsidR="008B3EFC" w:rsidRPr="008C2F99" w:rsidRDefault="008B3EFC" w:rsidP="004C60ED">
            <w:pPr>
              <w:pStyle w:val="Caption"/>
              <w:spacing w:before="0" w:after="0"/>
              <w:rPr>
                <w:b w:val="0"/>
                <w:bCs/>
                <w:sz w:val="18"/>
                <w:szCs w:val="18"/>
              </w:rPr>
            </w:pPr>
          </w:p>
        </w:tc>
        <w:tc>
          <w:tcPr>
            <w:tcW w:w="3415" w:type="dxa"/>
            <w:tcBorders>
              <w:top w:val="nil"/>
              <w:bottom w:val="threeDEmboss" w:sz="6" w:space="0" w:color="auto"/>
              <w:right w:val="nil"/>
            </w:tcBorders>
            <w:shd w:val="clear" w:color="auto" w:fill="auto"/>
          </w:tcPr>
          <w:p w14:paraId="2BC9ADC2" w14:textId="619A4D48" w:rsidR="008B3EFC" w:rsidRPr="008C2F99" w:rsidRDefault="008B3EFC" w:rsidP="004C60ED">
            <w:pPr>
              <w:pStyle w:val="Caption"/>
              <w:spacing w:before="0" w:after="0"/>
              <w:jc w:val="left"/>
              <w:rPr>
                <w:b w:val="0"/>
                <w:bCs/>
                <w:sz w:val="18"/>
                <w:szCs w:val="18"/>
              </w:rPr>
            </w:pPr>
            <w:r w:rsidRPr="008C2F99">
              <w:rPr>
                <w:b w:val="0"/>
                <w:bCs/>
                <w:sz w:val="18"/>
                <w:szCs w:val="18"/>
              </w:rPr>
              <w:t>Brief</w:t>
            </w:r>
            <w:r w:rsidR="001A1199" w:rsidRPr="008C2F99">
              <w:rPr>
                <w:b w:val="0"/>
                <w:bCs/>
                <w:sz w:val="18"/>
                <w:szCs w:val="18"/>
              </w:rPr>
              <w:t xml:space="preserve"> (Less than 1 Year)</w:t>
            </w:r>
            <w:r w:rsidRPr="008C2F99">
              <w:rPr>
                <w:b w:val="0"/>
                <w:bCs/>
                <w:sz w:val="18"/>
                <w:szCs w:val="18"/>
              </w:rPr>
              <w:t xml:space="preserve"> </w:t>
            </w:r>
          </w:p>
        </w:tc>
        <w:tc>
          <w:tcPr>
            <w:tcW w:w="1193" w:type="dxa"/>
            <w:tcBorders>
              <w:top w:val="nil"/>
              <w:left w:val="nil"/>
              <w:bottom w:val="threeDEmboss" w:sz="6" w:space="0" w:color="auto"/>
              <w:right w:val="threeDEmboss" w:sz="6" w:space="0" w:color="auto"/>
            </w:tcBorders>
            <w:shd w:val="clear" w:color="auto" w:fill="auto"/>
            <w:tcMar>
              <w:left w:w="0" w:type="dxa"/>
              <w:right w:w="0" w:type="dxa"/>
            </w:tcMar>
          </w:tcPr>
          <w:p w14:paraId="731BA3BF" w14:textId="77777777" w:rsidR="008B3EFC" w:rsidRPr="008C2F99" w:rsidRDefault="008B3EFC" w:rsidP="004C60ED">
            <w:pPr>
              <w:pStyle w:val="Caption"/>
              <w:spacing w:before="0" w:after="0"/>
              <w:jc w:val="left"/>
              <w:rPr>
                <w:b w:val="0"/>
                <w:bCs/>
                <w:sz w:val="18"/>
                <w:szCs w:val="18"/>
              </w:rPr>
            </w:pPr>
            <w:r w:rsidRPr="008C2F99">
              <w:rPr>
                <w:b w:val="0"/>
                <w:bCs/>
                <w:sz w:val="18"/>
                <w:szCs w:val="18"/>
              </w:rPr>
              <w:t>Class D</w:t>
            </w:r>
          </w:p>
        </w:tc>
      </w:tr>
      <w:tr w:rsidR="008B3EFC" w:rsidRPr="008C2F99" w14:paraId="24A2B7D5" w14:textId="77777777" w:rsidTr="004C60ED">
        <w:trPr>
          <w:cantSplit/>
          <w:jc w:val="center"/>
        </w:trPr>
        <w:tc>
          <w:tcPr>
            <w:tcW w:w="4752" w:type="dxa"/>
            <w:vMerge w:val="restart"/>
            <w:tcBorders>
              <w:left w:val="threeDEmboss" w:sz="6" w:space="0" w:color="auto"/>
              <w:bottom w:val="threeDEmboss" w:sz="6" w:space="0" w:color="auto"/>
            </w:tcBorders>
            <w:shd w:val="clear" w:color="auto" w:fill="auto"/>
            <w:vAlign w:val="center"/>
          </w:tcPr>
          <w:p w14:paraId="70160357" w14:textId="4CA26D7C" w:rsidR="008B3EFC" w:rsidRPr="008C2F99" w:rsidRDefault="008B3EFC" w:rsidP="004C60ED">
            <w:pPr>
              <w:pStyle w:val="Caption"/>
              <w:spacing w:before="0" w:after="0"/>
              <w:rPr>
                <w:b w:val="0"/>
                <w:bCs/>
                <w:i/>
                <w:iCs/>
                <w:sz w:val="18"/>
                <w:szCs w:val="18"/>
              </w:rPr>
            </w:pPr>
            <w:r w:rsidRPr="008C2F99">
              <w:rPr>
                <w:b w:val="0"/>
                <w:bCs/>
                <w:sz w:val="18"/>
                <w:szCs w:val="18"/>
              </w:rPr>
              <w:t>Complexity and Challenges</w:t>
            </w:r>
            <w:r w:rsidR="001A1199" w:rsidRPr="008C2F99">
              <w:rPr>
                <w:b w:val="0"/>
                <w:bCs/>
                <w:i/>
                <w:iCs/>
                <w:sz w:val="18"/>
                <w:szCs w:val="18"/>
              </w:rPr>
              <w:t xml:space="preserve"> </w:t>
            </w:r>
            <w:r w:rsidRPr="008C2F99">
              <w:rPr>
                <w:b w:val="0"/>
                <w:bCs/>
                <w:i/>
                <w:iCs/>
                <w:sz w:val="18"/>
                <w:szCs w:val="18"/>
              </w:rPr>
              <w:t xml:space="preserve">(Interfaces, International Partnerships, Uniqueness of Instruments, Mission Profile, Technologies, Ability to Reservice, </w:t>
            </w:r>
            <w:r w:rsidR="001A1199" w:rsidRPr="008C2F99">
              <w:rPr>
                <w:b w:val="0"/>
                <w:bCs/>
                <w:i/>
                <w:iCs/>
                <w:sz w:val="18"/>
                <w:szCs w:val="18"/>
              </w:rPr>
              <w:t xml:space="preserve">and </w:t>
            </w:r>
            <w:r w:rsidRPr="008C2F99">
              <w:rPr>
                <w:b w:val="0"/>
                <w:bCs/>
                <w:i/>
                <w:iCs/>
                <w:sz w:val="18"/>
                <w:szCs w:val="18"/>
              </w:rPr>
              <w:t>Sensitivity to Process Variations)</w:t>
            </w:r>
          </w:p>
        </w:tc>
        <w:tc>
          <w:tcPr>
            <w:tcW w:w="3415" w:type="dxa"/>
            <w:tcBorders>
              <w:bottom w:val="nil"/>
              <w:right w:val="nil"/>
            </w:tcBorders>
            <w:shd w:val="clear" w:color="auto" w:fill="auto"/>
          </w:tcPr>
          <w:p w14:paraId="178B1785" w14:textId="2E270344" w:rsidR="008B3EFC" w:rsidRPr="008C2F99" w:rsidRDefault="008B3EFC" w:rsidP="004C60ED">
            <w:pPr>
              <w:pStyle w:val="Caption"/>
              <w:spacing w:before="0" w:after="0"/>
              <w:jc w:val="left"/>
              <w:rPr>
                <w:b w:val="0"/>
                <w:bCs/>
                <w:sz w:val="18"/>
                <w:szCs w:val="18"/>
              </w:rPr>
            </w:pPr>
            <w:r w:rsidRPr="008C2F99">
              <w:rPr>
                <w:b w:val="0"/>
                <w:bCs/>
                <w:sz w:val="18"/>
                <w:szCs w:val="18"/>
              </w:rPr>
              <w:t>Very High</w:t>
            </w:r>
          </w:p>
        </w:tc>
        <w:tc>
          <w:tcPr>
            <w:tcW w:w="1193" w:type="dxa"/>
            <w:tcBorders>
              <w:left w:val="nil"/>
              <w:bottom w:val="nil"/>
              <w:right w:val="threeDEmboss" w:sz="6" w:space="0" w:color="auto"/>
            </w:tcBorders>
            <w:shd w:val="clear" w:color="auto" w:fill="auto"/>
            <w:tcMar>
              <w:left w:w="0" w:type="dxa"/>
              <w:right w:w="0" w:type="dxa"/>
            </w:tcMar>
          </w:tcPr>
          <w:p w14:paraId="4E1206FB" w14:textId="77777777" w:rsidR="008B3EFC" w:rsidRPr="008C2F99" w:rsidRDefault="008B3EFC" w:rsidP="004C60ED">
            <w:pPr>
              <w:pStyle w:val="Caption"/>
              <w:spacing w:before="0" w:after="0"/>
              <w:jc w:val="left"/>
              <w:rPr>
                <w:b w:val="0"/>
                <w:bCs/>
                <w:sz w:val="18"/>
                <w:szCs w:val="18"/>
              </w:rPr>
            </w:pPr>
            <w:r w:rsidRPr="008C2F99">
              <w:rPr>
                <w:b w:val="0"/>
                <w:bCs/>
                <w:sz w:val="18"/>
                <w:szCs w:val="18"/>
              </w:rPr>
              <w:t>Class A</w:t>
            </w:r>
          </w:p>
        </w:tc>
      </w:tr>
      <w:tr w:rsidR="008B3EFC" w:rsidRPr="008C2F99" w14:paraId="2CF59C37" w14:textId="77777777" w:rsidTr="004C60ED">
        <w:trPr>
          <w:cantSplit/>
          <w:jc w:val="center"/>
        </w:trPr>
        <w:tc>
          <w:tcPr>
            <w:tcW w:w="4752" w:type="dxa"/>
            <w:vMerge/>
            <w:tcBorders>
              <w:top w:val="threeDEmboss" w:sz="6" w:space="0" w:color="auto"/>
              <w:left w:val="threeDEmboss" w:sz="6" w:space="0" w:color="auto"/>
              <w:bottom w:val="threeDEmboss" w:sz="6" w:space="0" w:color="auto"/>
            </w:tcBorders>
            <w:shd w:val="clear" w:color="auto" w:fill="auto"/>
            <w:vAlign w:val="center"/>
          </w:tcPr>
          <w:p w14:paraId="11732865" w14:textId="77777777" w:rsidR="008B3EFC" w:rsidRPr="008C2F99" w:rsidRDefault="008B3EFC" w:rsidP="004C60ED">
            <w:pPr>
              <w:pStyle w:val="Caption"/>
              <w:spacing w:before="0" w:after="0"/>
              <w:rPr>
                <w:b w:val="0"/>
                <w:bCs/>
                <w:sz w:val="18"/>
                <w:szCs w:val="18"/>
              </w:rPr>
            </w:pPr>
          </w:p>
        </w:tc>
        <w:tc>
          <w:tcPr>
            <w:tcW w:w="3415" w:type="dxa"/>
            <w:tcBorders>
              <w:top w:val="nil"/>
              <w:bottom w:val="nil"/>
              <w:right w:val="nil"/>
            </w:tcBorders>
            <w:shd w:val="clear" w:color="auto" w:fill="auto"/>
          </w:tcPr>
          <w:p w14:paraId="09E15F25" w14:textId="04C9D4A7" w:rsidR="008B3EFC" w:rsidRPr="008C2F99" w:rsidRDefault="008B3EFC" w:rsidP="004C60ED">
            <w:pPr>
              <w:pStyle w:val="Caption"/>
              <w:spacing w:before="0" w:after="0"/>
              <w:jc w:val="left"/>
              <w:rPr>
                <w:b w:val="0"/>
                <w:bCs/>
                <w:sz w:val="18"/>
                <w:szCs w:val="18"/>
              </w:rPr>
            </w:pPr>
            <w:r w:rsidRPr="008C2F99">
              <w:rPr>
                <w:b w:val="0"/>
                <w:bCs/>
                <w:sz w:val="18"/>
                <w:szCs w:val="18"/>
              </w:rPr>
              <w:t>High</w:t>
            </w:r>
          </w:p>
        </w:tc>
        <w:tc>
          <w:tcPr>
            <w:tcW w:w="1193" w:type="dxa"/>
            <w:tcBorders>
              <w:top w:val="nil"/>
              <w:left w:val="nil"/>
              <w:bottom w:val="nil"/>
              <w:right w:val="threeDEmboss" w:sz="6" w:space="0" w:color="auto"/>
            </w:tcBorders>
            <w:shd w:val="clear" w:color="auto" w:fill="auto"/>
            <w:tcMar>
              <w:left w:w="0" w:type="dxa"/>
              <w:right w:w="0" w:type="dxa"/>
            </w:tcMar>
          </w:tcPr>
          <w:p w14:paraId="260BC79D" w14:textId="77777777" w:rsidR="008B3EFC" w:rsidRPr="008C2F99" w:rsidRDefault="008B3EFC" w:rsidP="004C60ED">
            <w:pPr>
              <w:pStyle w:val="Caption"/>
              <w:spacing w:before="0" w:after="0"/>
              <w:jc w:val="left"/>
              <w:rPr>
                <w:b w:val="0"/>
                <w:bCs/>
                <w:sz w:val="18"/>
                <w:szCs w:val="18"/>
              </w:rPr>
            </w:pPr>
            <w:r w:rsidRPr="008C2F99">
              <w:rPr>
                <w:b w:val="0"/>
                <w:bCs/>
                <w:sz w:val="18"/>
                <w:szCs w:val="18"/>
              </w:rPr>
              <w:t>Class B</w:t>
            </w:r>
          </w:p>
        </w:tc>
      </w:tr>
      <w:tr w:rsidR="008B3EFC" w:rsidRPr="008C2F99" w14:paraId="2FBCEC74" w14:textId="77777777" w:rsidTr="004C60ED">
        <w:trPr>
          <w:cantSplit/>
          <w:jc w:val="center"/>
        </w:trPr>
        <w:tc>
          <w:tcPr>
            <w:tcW w:w="4752" w:type="dxa"/>
            <w:vMerge/>
            <w:tcBorders>
              <w:top w:val="threeDEmboss" w:sz="6" w:space="0" w:color="auto"/>
              <w:left w:val="threeDEmboss" w:sz="6" w:space="0" w:color="auto"/>
              <w:bottom w:val="threeDEmboss" w:sz="6" w:space="0" w:color="auto"/>
            </w:tcBorders>
            <w:shd w:val="clear" w:color="auto" w:fill="auto"/>
            <w:vAlign w:val="center"/>
          </w:tcPr>
          <w:p w14:paraId="6576BD13" w14:textId="77777777" w:rsidR="008B3EFC" w:rsidRPr="008C2F99" w:rsidRDefault="008B3EFC" w:rsidP="004C60ED">
            <w:pPr>
              <w:pStyle w:val="Caption"/>
              <w:spacing w:before="0" w:after="0"/>
              <w:rPr>
                <w:b w:val="0"/>
                <w:bCs/>
                <w:sz w:val="18"/>
                <w:szCs w:val="18"/>
              </w:rPr>
            </w:pPr>
          </w:p>
        </w:tc>
        <w:tc>
          <w:tcPr>
            <w:tcW w:w="3415" w:type="dxa"/>
            <w:tcBorders>
              <w:top w:val="nil"/>
              <w:bottom w:val="nil"/>
              <w:right w:val="nil"/>
            </w:tcBorders>
            <w:shd w:val="clear" w:color="auto" w:fill="auto"/>
          </w:tcPr>
          <w:p w14:paraId="17406C9A" w14:textId="3E997114" w:rsidR="008B3EFC" w:rsidRPr="008C2F99" w:rsidRDefault="008B3EFC" w:rsidP="004C60ED">
            <w:pPr>
              <w:pStyle w:val="Caption"/>
              <w:spacing w:before="0" w:after="0"/>
              <w:jc w:val="left"/>
              <w:rPr>
                <w:b w:val="0"/>
                <w:bCs/>
                <w:sz w:val="18"/>
                <w:szCs w:val="18"/>
              </w:rPr>
            </w:pPr>
            <w:r w:rsidRPr="008C2F99">
              <w:rPr>
                <w:b w:val="0"/>
                <w:bCs/>
                <w:sz w:val="18"/>
                <w:szCs w:val="18"/>
              </w:rPr>
              <w:t>Medium</w:t>
            </w:r>
          </w:p>
        </w:tc>
        <w:tc>
          <w:tcPr>
            <w:tcW w:w="1193" w:type="dxa"/>
            <w:tcBorders>
              <w:top w:val="nil"/>
              <w:left w:val="nil"/>
              <w:bottom w:val="nil"/>
              <w:right w:val="threeDEmboss" w:sz="6" w:space="0" w:color="auto"/>
            </w:tcBorders>
            <w:shd w:val="clear" w:color="auto" w:fill="auto"/>
            <w:tcMar>
              <w:left w:w="0" w:type="dxa"/>
              <w:right w:w="0" w:type="dxa"/>
            </w:tcMar>
          </w:tcPr>
          <w:p w14:paraId="1D931C99" w14:textId="77777777" w:rsidR="008B3EFC" w:rsidRPr="008C2F99" w:rsidRDefault="008B3EFC" w:rsidP="004C60ED">
            <w:pPr>
              <w:pStyle w:val="Caption"/>
              <w:spacing w:before="0" w:after="0"/>
              <w:jc w:val="left"/>
              <w:rPr>
                <w:b w:val="0"/>
                <w:bCs/>
                <w:sz w:val="18"/>
                <w:szCs w:val="18"/>
              </w:rPr>
            </w:pPr>
            <w:r w:rsidRPr="008C2F99">
              <w:rPr>
                <w:b w:val="0"/>
                <w:bCs/>
                <w:sz w:val="18"/>
                <w:szCs w:val="18"/>
              </w:rPr>
              <w:t>Class C</w:t>
            </w:r>
          </w:p>
        </w:tc>
      </w:tr>
      <w:tr w:rsidR="008B3EFC" w:rsidRPr="008C2F99" w14:paraId="7A9940A0" w14:textId="77777777" w:rsidTr="004C60ED">
        <w:trPr>
          <w:cantSplit/>
          <w:jc w:val="center"/>
        </w:trPr>
        <w:tc>
          <w:tcPr>
            <w:tcW w:w="4752" w:type="dxa"/>
            <w:vMerge/>
            <w:tcBorders>
              <w:top w:val="threeDEmboss" w:sz="6" w:space="0" w:color="auto"/>
              <w:left w:val="threeDEmboss" w:sz="6" w:space="0" w:color="auto"/>
            </w:tcBorders>
            <w:shd w:val="clear" w:color="auto" w:fill="auto"/>
            <w:vAlign w:val="center"/>
          </w:tcPr>
          <w:p w14:paraId="7DC7F3EE" w14:textId="77777777" w:rsidR="008B3EFC" w:rsidRPr="008C2F99" w:rsidRDefault="008B3EFC" w:rsidP="004C60ED">
            <w:pPr>
              <w:pStyle w:val="Caption"/>
              <w:spacing w:before="0" w:after="0"/>
              <w:rPr>
                <w:b w:val="0"/>
                <w:bCs/>
                <w:sz w:val="18"/>
                <w:szCs w:val="18"/>
              </w:rPr>
            </w:pPr>
          </w:p>
        </w:tc>
        <w:tc>
          <w:tcPr>
            <w:tcW w:w="3415" w:type="dxa"/>
            <w:tcBorders>
              <w:top w:val="nil"/>
              <w:bottom w:val="threeDEmboss" w:sz="6" w:space="0" w:color="auto"/>
              <w:right w:val="nil"/>
            </w:tcBorders>
            <w:shd w:val="clear" w:color="auto" w:fill="auto"/>
          </w:tcPr>
          <w:p w14:paraId="7AE5F0D6" w14:textId="78A20706" w:rsidR="008B3EFC" w:rsidRPr="008C2F99" w:rsidRDefault="008B3EFC" w:rsidP="004C60ED">
            <w:pPr>
              <w:pStyle w:val="Caption"/>
              <w:spacing w:before="0" w:after="0"/>
              <w:jc w:val="left"/>
              <w:rPr>
                <w:b w:val="0"/>
                <w:bCs/>
                <w:sz w:val="18"/>
                <w:szCs w:val="18"/>
              </w:rPr>
            </w:pPr>
            <w:r w:rsidRPr="008C2F99">
              <w:rPr>
                <w:b w:val="0"/>
                <w:bCs/>
                <w:sz w:val="18"/>
                <w:szCs w:val="18"/>
              </w:rPr>
              <w:t>Medium to Low</w:t>
            </w:r>
          </w:p>
        </w:tc>
        <w:tc>
          <w:tcPr>
            <w:tcW w:w="1193" w:type="dxa"/>
            <w:tcBorders>
              <w:top w:val="nil"/>
              <w:left w:val="nil"/>
              <w:bottom w:val="threeDEmboss" w:sz="6" w:space="0" w:color="auto"/>
              <w:right w:val="threeDEmboss" w:sz="6" w:space="0" w:color="auto"/>
            </w:tcBorders>
            <w:shd w:val="clear" w:color="auto" w:fill="auto"/>
            <w:tcMar>
              <w:left w:w="0" w:type="dxa"/>
              <w:right w:w="0" w:type="dxa"/>
            </w:tcMar>
          </w:tcPr>
          <w:p w14:paraId="625539DA" w14:textId="77777777" w:rsidR="008B3EFC" w:rsidRPr="008C2F99" w:rsidRDefault="008B3EFC" w:rsidP="004C60ED">
            <w:pPr>
              <w:pStyle w:val="Caption"/>
              <w:spacing w:before="0" w:after="0"/>
              <w:jc w:val="left"/>
              <w:rPr>
                <w:b w:val="0"/>
                <w:bCs/>
                <w:sz w:val="18"/>
                <w:szCs w:val="18"/>
              </w:rPr>
            </w:pPr>
            <w:r w:rsidRPr="008C2F99">
              <w:rPr>
                <w:b w:val="0"/>
                <w:bCs/>
                <w:sz w:val="18"/>
                <w:szCs w:val="18"/>
              </w:rPr>
              <w:t>Class D</w:t>
            </w:r>
          </w:p>
        </w:tc>
      </w:tr>
      <w:tr w:rsidR="008B3EFC" w:rsidRPr="008C2F99" w14:paraId="42B05784" w14:textId="77777777" w:rsidTr="004C60ED">
        <w:trPr>
          <w:cantSplit/>
          <w:jc w:val="center"/>
        </w:trPr>
        <w:tc>
          <w:tcPr>
            <w:tcW w:w="4752" w:type="dxa"/>
            <w:vMerge w:val="restart"/>
            <w:tcBorders>
              <w:left w:val="threeDEmboss" w:sz="6" w:space="0" w:color="auto"/>
              <w:bottom w:val="threeDEmboss" w:sz="6" w:space="0" w:color="auto"/>
            </w:tcBorders>
            <w:shd w:val="clear" w:color="auto" w:fill="auto"/>
            <w:vAlign w:val="center"/>
          </w:tcPr>
          <w:p w14:paraId="6451318F" w14:textId="77777777" w:rsidR="008B3EFC" w:rsidRPr="008C2F99" w:rsidRDefault="008B3EFC" w:rsidP="004C60ED">
            <w:pPr>
              <w:pStyle w:val="Caption"/>
              <w:spacing w:before="0" w:after="0"/>
              <w:rPr>
                <w:b w:val="0"/>
                <w:bCs/>
                <w:sz w:val="18"/>
                <w:szCs w:val="18"/>
              </w:rPr>
            </w:pPr>
            <w:r w:rsidRPr="008C2F99">
              <w:rPr>
                <w:b w:val="0"/>
                <w:bCs/>
                <w:sz w:val="18"/>
                <w:szCs w:val="18"/>
              </w:rPr>
              <w:t>Life-Cycle Cost</w:t>
            </w:r>
          </w:p>
        </w:tc>
        <w:tc>
          <w:tcPr>
            <w:tcW w:w="3415" w:type="dxa"/>
            <w:tcBorders>
              <w:bottom w:val="nil"/>
              <w:right w:val="nil"/>
            </w:tcBorders>
            <w:shd w:val="clear" w:color="auto" w:fill="auto"/>
          </w:tcPr>
          <w:p w14:paraId="19E72952" w14:textId="0BEBA73C" w:rsidR="008B3EFC" w:rsidRPr="008C2F99" w:rsidRDefault="008B3EFC" w:rsidP="004C60ED">
            <w:pPr>
              <w:pStyle w:val="Caption"/>
              <w:spacing w:before="0" w:after="0"/>
              <w:jc w:val="left"/>
              <w:rPr>
                <w:b w:val="0"/>
                <w:bCs/>
                <w:sz w:val="18"/>
                <w:szCs w:val="18"/>
              </w:rPr>
            </w:pPr>
            <w:r w:rsidRPr="008C2F99">
              <w:rPr>
                <w:b w:val="0"/>
                <w:bCs/>
                <w:sz w:val="18"/>
                <w:szCs w:val="18"/>
              </w:rPr>
              <w:t>High</w:t>
            </w:r>
          </w:p>
        </w:tc>
        <w:tc>
          <w:tcPr>
            <w:tcW w:w="1193" w:type="dxa"/>
            <w:tcBorders>
              <w:left w:val="nil"/>
              <w:bottom w:val="nil"/>
              <w:right w:val="threeDEmboss" w:sz="6" w:space="0" w:color="auto"/>
            </w:tcBorders>
            <w:shd w:val="clear" w:color="auto" w:fill="auto"/>
            <w:tcMar>
              <w:left w:w="0" w:type="dxa"/>
              <w:right w:w="0" w:type="dxa"/>
            </w:tcMar>
          </w:tcPr>
          <w:p w14:paraId="5428F79E" w14:textId="77777777" w:rsidR="008B3EFC" w:rsidRPr="008C2F99" w:rsidRDefault="008B3EFC" w:rsidP="004C60ED">
            <w:pPr>
              <w:pStyle w:val="Caption"/>
              <w:spacing w:before="0" w:after="0"/>
              <w:jc w:val="left"/>
              <w:rPr>
                <w:b w:val="0"/>
                <w:bCs/>
                <w:sz w:val="18"/>
                <w:szCs w:val="18"/>
              </w:rPr>
            </w:pPr>
            <w:r w:rsidRPr="008C2F99">
              <w:rPr>
                <w:b w:val="0"/>
                <w:bCs/>
                <w:sz w:val="18"/>
                <w:szCs w:val="18"/>
              </w:rPr>
              <w:t>Class A</w:t>
            </w:r>
          </w:p>
        </w:tc>
      </w:tr>
      <w:tr w:rsidR="008B3EFC" w:rsidRPr="008C2F99" w14:paraId="756FF14B" w14:textId="77777777" w:rsidTr="004C60ED">
        <w:trPr>
          <w:cantSplit/>
          <w:jc w:val="center"/>
        </w:trPr>
        <w:tc>
          <w:tcPr>
            <w:tcW w:w="4752" w:type="dxa"/>
            <w:vMerge/>
            <w:tcBorders>
              <w:top w:val="threeDEmboss" w:sz="6" w:space="0" w:color="auto"/>
              <w:left w:val="threeDEmboss" w:sz="6" w:space="0" w:color="auto"/>
              <w:bottom w:val="threeDEmboss" w:sz="6" w:space="0" w:color="auto"/>
            </w:tcBorders>
            <w:shd w:val="clear" w:color="auto" w:fill="auto"/>
            <w:vAlign w:val="center"/>
          </w:tcPr>
          <w:p w14:paraId="021A4B1C" w14:textId="77777777" w:rsidR="008B3EFC" w:rsidRPr="008C2F99" w:rsidRDefault="008B3EFC" w:rsidP="004C60ED">
            <w:pPr>
              <w:pStyle w:val="Caption"/>
              <w:spacing w:before="0" w:after="0"/>
              <w:rPr>
                <w:b w:val="0"/>
                <w:bCs/>
                <w:sz w:val="18"/>
                <w:szCs w:val="18"/>
              </w:rPr>
            </w:pPr>
          </w:p>
        </w:tc>
        <w:tc>
          <w:tcPr>
            <w:tcW w:w="3415" w:type="dxa"/>
            <w:tcBorders>
              <w:top w:val="nil"/>
              <w:bottom w:val="nil"/>
              <w:right w:val="nil"/>
            </w:tcBorders>
            <w:shd w:val="clear" w:color="auto" w:fill="auto"/>
          </w:tcPr>
          <w:p w14:paraId="45C010B7" w14:textId="1A8956EE" w:rsidR="008B3EFC" w:rsidRPr="008C2F99" w:rsidRDefault="008B3EFC" w:rsidP="004C60ED">
            <w:pPr>
              <w:pStyle w:val="Caption"/>
              <w:spacing w:before="0" w:after="0"/>
              <w:jc w:val="left"/>
              <w:rPr>
                <w:b w:val="0"/>
                <w:bCs/>
                <w:sz w:val="18"/>
                <w:szCs w:val="18"/>
              </w:rPr>
            </w:pPr>
            <w:r w:rsidRPr="008C2F99">
              <w:rPr>
                <w:b w:val="0"/>
                <w:bCs/>
                <w:sz w:val="18"/>
                <w:szCs w:val="18"/>
              </w:rPr>
              <w:t>Medium to High</w:t>
            </w:r>
          </w:p>
        </w:tc>
        <w:tc>
          <w:tcPr>
            <w:tcW w:w="1193" w:type="dxa"/>
            <w:tcBorders>
              <w:top w:val="nil"/>
              <w:left w:val="nil"/>
              <w:bottom w:val="nil"/>
              <w:right w:val="threeDEmboss" w:sz="6" w:space="0" w:color="auto"/>
            </w:tcBorders>
            <w:shd w:val="clear" w:color="auto" w:fill="auto"/>
            <w:tcMar>
              <w:left w:w="0" w:type="dxa"/>
              <w:right w:w="0" w:type="dxa"/>
            </w:tcMar>
          </w:tcPr>
          <w:p w14:paraId="744E2860" w14:textId="77777777" w:rsidR="008B3EFC" w:rsidRPr="008C2F99" w:rsidRDefault="008B3EFC" w:rsidP="004C60ED">
            <w:pPr>
              <w:pStyle w:val="Caption"/>
              <w:spacing w:before="0" w:after="0"/>
              <w:jc w:val="left"/>
              <w:rPr>
                <w:b w:val="0"/>
                <w:bCs/>
                <w:sz w:val="18"/>
                <w:szCs w:val="18"/>
              </w:rPr>
            </w:pPr>
            <w:r w:rsidRPr="008C2F99">
              <w:rPr>
                <w:b w:val="0"/>
                <w:bCs/>
                <w:sz w:val="18"/>
                <w:szCs w:val="18"/>
              </w:rPr>
              <w:t>Class B</w:t>
            </w:r>
          </w:p>
        </w:tc>
      </w:tr>
      <w:tr w:rsidR="008B3EFC" w:rsidRPr="008C2F99" w14:paraId="6934838B" w14:textId="77777777" w:rsidTr="004C60ED">
        <w:trPr>
          <w:cantSplit/>
          <w:jc w:val="center"/>
        </w:trPr>
        <w:tc>
          <w:tcPr>
            <w:tcW w:w="4752" w:type="dxa"/>
            <w:vMerge/>
            <w:tcBorders>
              <w:top w:val="threeDEmboss" w:sz="6" w:space="0" w:color="auto"/>
              <w:left w:val="threeDEmboss" w:sz="6" w:space="0" w:color="auto"/>
              <w:bottom w:val="threeDEmboss" w:sz="6" w:space="0" w:color="auto"/>
            </w:tcBorders>
            <w:shd w:val="clear" w:color="auto" w:fill="auto"/>
            <w:vAlign w:val="center"/>
          </w:tcPr>
          <w:p w14:paraId="6288C534" w14:textId="77777777" w:rsidR="008B3EFC" w:rsidRPr="008C2F99" w:rsidRDefault="008B3EFC" w:rsidP="004C60ED">
            <w:pPr>
              <w:pStyle w:val="Caption"/>
              <w:spacing w:before="0" w:after="0"/>
              <w:rPr>
                <w:b w:val="0"/>
                <w:bCs/>
                <w:sz w:val="18"/>
                <w:szCs w:val="18"/>
              </w:rPr>
            </w:pPr>
          </w:p>
        </w:tc>
        <w:tc>
          <w:tcPr>
            <w:tcW w:w="3415" w:type="dxa"/>
            <w:tcBorders>
              <w:top w:val="nil"/>
              <w:bottom w:val="nil"/>
              <w:right w:val="nil"/>
            </w:tcBorders>
            <w:shd w:val="clear" w:color="auto" w:fill="auto"/>
          </w:tcPr>
          <w:p w14:paraId="34023894" w14:textId="5EE749B0" w:rsidR="008B3EFC" w:rsidRPr="008C2F99" w:rsidRDefault="008B3EFC" w:rsidP="004C60ED">
            <w:pPr>
              <w:pStyle w:val="Caption"/>
              <w:spacing w:before="0" w:after="0"/>
              <w:jc w:val="left"/>
              <w:rPr>
                <w:b w:val="0"/>
                <w:bCs/>
                <w:sz w:val="18"/>
                <w:szCs w:val="18"/>
              </w:rPr>
            </w:pPr>
            <w:r w:rsidRPr="008C2F99">
              <w:rPr>
                <w:b w:val="0"/>
                <w:bCs/>
                <w:sz w:val="18"/>
                <w:szCs w:val="18"/>
              </w:rPr>
              <w:t>Medium</w:t>
            </w:r>
          </w:p>
        </w:tc>
        <w:tc>
          <w:tcPr>
            <w:tcW w:w="1193" w:type="dxa"/>
            <w:tcBorders>
              <w:top w:val="nil"/>
              <w:left w:val="nil"/>
              <w:bottom w:val="nil"/>
              <w:right w:val="threeDEmboss" w:sz="6" w:space="0" w:color="auto"/>
            </w:tcBorders>
            <w:shd w:val="clear" w:color="auto" w:fill="auto"/>
            <w:tcMar>
              <w:left w:w="0" w:type="dxa"/>
              <w:right w:w="0" w:type="dxa"/>
            </w:tcMar>
          </w:tcPr>
          <w:p w14:paraId="544153B1" w14:textId="77777777" w:rsidR="008B3EFC" w:rsidRPr="008C2F99" w:rsidRDefault="008B3EFC" w:rsidP="004C60ED">
            <w:pPr>
              <w:pStyle w:val="Caption"/>
              <w:spacing w:before="0" w:after="0"/>
              <w:jc w:val="left"/>
              <w:rPr>
                <w:b w:val="0"/>
                <w:bCs/>
                <w:sz w:val="18"/>
                <w:szCs w:val="18"/>
              </w:rPr>
            </w:pPr>
            <w:r w:rsidRPr="008C2F99">
              <w:rPr>
                <w:b w:val="0"/>
                <w:bCs/>
                <w:sz w:val="18"/>
                <w:szCs w:val="18"/>
              </w:rPr>
              <w:t>Class C</w:t>
            </w:r>
          </w:p>
        </w:tc>
      </w:tr>
      <w:tr w:rsidR="008B3EFC" w:rsidRPr="008C2F99" w14:paraId="3EEDBD61" w14:textId="77777777" w:rsidTr="004C60ED">
        <w:trPr>
          <w:cantSplit/>
          <w:jc w:val="center"/>
        </w:trPr>
        <w:tc>
          <w:tcPr>
            <w:tcW w:w="4752" w:type="dxa"/>
            <w:vMerge/>
            <w:tcBorders>
              <w:top w:val="threeDEmboss" w:sz="6" w:space="0" w:color="auto"/>
              <w:left w:val="threeDEmboss" w:sz="6" w:space="0" w:color="auto"/>
            </w:tcBorders>
            <w:shd w:val="clear" w:color="auto" w:fill="auto"/>
            <w:vAlign w:val="center"/>
          </w:tcPr>
          <w:p w14:paraId="1EA747F6" w14:textId="77777777" w:rsidR="008B3EFC" w:rsidRPr="008C2F99" w:rsidRDefault="008B3EFC" w:rsidP="004C60ED">
            <w:pPr>
              <w:pStyle w:val="Caption"/>
              <w:spacing w:before="0" w:after="0"/>
              <w:rPr>
                <w:b w:val="0"/>
                <w:bCs/>
                <w:sz w:val="18"/>
                <w:szCs w:val="18"/>
              </w:rPr>
            </w:pPr>
          </w:p>
        </w:tc>
        <w:tc>
          <w:tcPr>
            <w:tcW w:w="3415" w:type="dxa"/>
            <w:tcBorders>
              <w:top w:val="nil"/>
              <w:bottom w:val="threeDEmboss" w:sz="6" w:space="0" w:color="auto"/>
              <w:right w:val="nil"/>
            </w:tcBorders>
            <w:shd w:val="clear" w:color="auto" w:fill="auto"/>
          </w:tcPr>
          <w:p w14:paraId="12806164" w14:textId="77777777" w:rsidR="008B3EFC" w:rsidRPr="008C2F99" w:rsidRDefault="008B3EFC" w:rsidP="004C60ED">
            <w:pPr>
              <w:pStyle w:val="Caption"/>
              <w:spacing w:before="0" w:after="0"/>
              <w:jc w:val="left"/>
              <w:rPr>
                <w:b w:val="0"/>
                <w:bCs/>
                <w:sz w:val="18"/>
                <w:szCs w:val="18"/>
              </w:rPr>
            </w:pPr>
            <w:r w:rsidRPr="008C2F99">
              <w:rPr>
                <w:b w:val="0"/>
                <w:bCs/>
                <w:sz w:val="18"/>
                <w:szCs w:val="18"/>
              </w:rPr>
              <w:t xml:space="preserve">Medium to Low </w:t>
            </w:r>
          </w:p>
        </w:tc>
        <w:tc>
          <w:tcPr>
            <w:tcW w:w="1193" w:type="dxa"/>
            <w:tcBorders>
              <w:top w:val="nil"/>
              <w:left w:val="nil"/>
              <w:bottom w:val="threeDEmboss" w:sz="6" w:space="0" w:color="auto"/>
              <w:right w:val="threeDEmboss" w:sz="6" w:space="0" w:color="auto"/>
            </w:tcBorders>
            <w:shd w:val="clear" w:color="auto" w:fill="auto"/>
            <w:tcMar>
              <w:left w:w="0" w:type="dxa"/>
              <w:right w:w="0" w:type="dxa"/>
            </w:tcMar>
          </w:tcPr>
          <w:p w14:paraId="6224F592" w14:textId="77777777" w:rsidR="008B3EFC" w:rsidRPr="008C2F99" w:rsidRDefault="008B3EFC" w:rsidP="004C60ED">
            <w:pPr>
              <w:pStyle w:val="Caption"/>
              <w:spacing w:before="0" w:after="0"/>
              <w:jc w:val="left"/>
              <w:rPr>
                <w:b w:val="0"/>
                <w:bCs/>
                <w:sz w:val="18"/>
                <w:szCs w:val="18"/>
              </w:rPr>
            </w:pPr>
            <w:r w:rsidRPr="008C2F99">
              <w:rPr>
                <w:b w:val="0"/>
                <w:bCs/>
                <w:sz w:val="18"/>
                <w:szCs w:val="18"/>
              </w:rPr>
              <w:t>Class D</w:t>
            </w:r>
          </w:p>
        </w:tc>
      </w:tr>
    </w:tbl>
    <w:p w14:paraId="3E62706C" w14:textId="77777777" w:rsidR="00F324C4" w:rsidRDefault="00F324C4" w:rsidP="008679FB">
      <w:pPr>
        <w:pStyle w:val="Text"/>
      </w:pPr>
    </w:p>
    <w:p w14:paraId="7F9442AA" w14:textId="31A5BD78" w:rsidR="00CF0F99" w:rsidRDefault="00854889" w:rsidP="008679FB">
      <w:pPr>
        <w:pStyle w:val="Text"/>
      </w:pPr>
      <w:r>
        <w:t xml:space="preserve">CADRe documents cost data </w:t>
      </w:r>
      <w:r w:rsidR="00DD1DB5">
        <w:t>at both the overall project</w:t>
      </w:r>
      <w:r w:rsidR="00396C6B">
        <w:t xml:space="preserve"> </w:t>
      </w:r>
      <w:r w:rsidR="00DD1DB5">
        <w:t xml:space="preserve">level and at each </w:t>
      </w:r>
      <w:r w:rsidR="002812CB">
        <w:t>Work Breakdown Structure (WBS)</w:t>
      </w:r>
      <w:r w:rsidR="00396C6B">
        <w:t xml:space="preserve"> level</w:t>
      </w:r>
      <w:r w:rsidR="00CA34C2">
        <w:t xml:space="preserve">, which is a hierarchical </w:t>
      </w:r>
      <w:r w:rsidR="008C3067">
        <w:t xml:space="preserve">organization of a project’s </w:t>
      </w:r>
      <w:r w:rsidR="0001206B">
        <w:t xml:space="preserve">components. WBS </w:t>
      </w:r>
      <w:r w:rsidR="00456E13">
        <w:t xml:space="preserve">Element </w:t>
      </w:r>
      <w:r w:rsidR="0001206B">
        <w:t>06 is Spacecrafts</w:t>
      </w:r>
      <w:r w:rsidR="00714840">
        <w:t>, defined as “the platform for carrying payload(s), instrument(s), humans, and other mission-oriented equipment in space to the mission destination(s) to achieve the mission objectives</w:t>
      </w:r>
      <w:r w:rsidR="00456E13">
        <w:t>…</w:t>
      </w:r>
      <w:r w:rsidR="00714840">
        <w:t xml:space="preserve">This element also includes all design, development, production, assembly, test efforts, and associated </w:t>
      </w:r>
      <w:r w:rsidR="00BF0D5D">
        <w:t>ground supper equipment</w:t>
      </w:r>
      <w:r w:rsidR="00714840">
        <w:t xml:space="preserve"> to deliver the completed system for integration with the launch vehicle and payload</w:t>
      </w:r>
      <w:r w:rsidR="00BF0D5D">
        <w:t xml:space="preserve"> </w:t>
      </w:r>
      <w:r w:rsidR="00BF0D5D">
        <w:fldChar w:fldCharType="begin"/>
      </w:r>
      <w:r w:rsidR="001A1199">
        <w:instrText xml:space="preserve"> ADDIN ZOTERO_ITEM CSL_CITATION {"citationID":"nmmgVVxP","properties":{"formattedCitation":"[23]","plainCitation":"[23]","noteIndex":0},"citationItems":[{"id":537,"uris":["http://zotero.org/users/5839368/items/LQ9XKD79"],"itemData":{"id":537,"type":"document","call-number":"NASA/SP-20210023927","publisher":"National Aeronautics and Space Administration","title":"NASA Work Breakdown Structure Handbook","URL":"https://soma.larc.nasa.gov/stp/dynamic/pdf_files/NASA%20SP%2020210023927%20WBS_Handbook.pdf","author":[{"family":"NASA","given":""}],"issued":{"date-parts":[["2021",11]]}}}],"schema":"https://github.com/citation-style-language/schema/raw/master/csl-citation.json"} </w:instrText>
      </w:r>
      <w:r w:rsidR="00BF0D5D">
        <w:fldChar w:fldCharType="separate"/>
      </w:r>
      <w:r w:rsidR="001A1199" w:rsidRPr="001A1199">
        <w:t>[23]</w:t>
      </w:r>
      <w:r w:rsidR="00BF0D5D">
        <w:fldChar w:fldCharType="end"/>
      </w:r>
      <w:r w:rsidR="00E563E9">
        <w:t>.”</w:t>
      </w:r>
      <w:r w:rsidR="0063056A">
        <w:t xml:space="preserve"> </w:t>
      </w:r>
      <w:r w:rsidR="00D45F78">
        <w:t xml:space="preserve">WBS Element 10 is Systems Integration and Testing, defined as </w:t>
      </w:r>
      <w:r w:rsidR="000E0D9E">
        <w:t xml:space="preserve">“the hardware, software, procedures, and project-owned facilities required to perform the integration and testing of the project's systems, payloads, spacecraft, launch vehicle/services, and mission operations </w:t>
      </w:r>
      <w:r w:rsidR="000E0D9E">
        <w:fldChar w:fldCharType="begin"/>
      </w:r>
      <w:r w:rsidR="001A1199">
        <w:instrText xml:space="preserve"> ADDIN ZOTERO_ITEM CSL_CITATION {"citationID":"PokzImKL","properties":{"formattedCitation":"[23]","plainCitation":"[23]","noteIndex":0},"citationItems":[{"id":537,"uris":["http://zotero.org/users/5839368/items/LQ9XKD79"],"itemData":{"id":537,"type":"document","call-number":"NASA/SP-20210023927","publisher":"National Aeronautics and Space Administration","title":"NASA Work Breakdown Structure Handbook","URL":"https://soma.larc.nasa.gov/stp/dynamic/pdf_files/NASA%20SP%2020210023927%20WBS_Handbook.pdf","author":[{"family":"NASA","given":""}],"issued":{"date-parts":[["2021",11]]}}}],"schema":"https://github.com/citation-style-language/schema/raw/master/csl-citation.json"} </w:instrText>
      </w:r>
      <w:r w:rsidR="000E0D9E">
        <w:fldChar w:fldCharType="separate"/>
      </w:r>
      <w:r w:rsidR="001A1199" w:rsidRPr="001A1199">
        <w:t>[23]</w:t>
      </w:r>
      <w:r w:rsidR="000E0D9E">
        <w:fldChar w:fldCharType="end"/>
      </w:r>
      <w:r w:rsidR="000E0D9E">
        <w:t xml:space="preserve">.” </w:t>
      </w:r>
    </w:p>
    <w:p w14:paraId="62DF612E" w14:textId="42728DDC" w:rsidR="008679FB" w:rsidRDefault="006574EA" w:rsidP="008679FB">
      <w:pPr>
        <w:pStyle w:val="Text"/>
      </w:pPr>
      <w:r>
        <w:t>While reviewing data, the study found evidence that integration and testing</w:t>
      </w:r>
      <w:r w:rsidR="00A569AF">
        <w:t xml:space="preserve"> costs</w:t>
      </w:r>
      <w:r w:rsidR="00846860">
        <w:t xml:space="preserve"> </w:t>
      </w:r>
      <w:r w:rsidR="00A569AF">
        <w:t>specifically</w:t>
      </w:r>
      <w:r>
        <w:t xml:space="preserve"> related to spacecraft</w:t>
      </w:r>
      <w:r w:rsidR="00846860">
        <w:t xml:space="preserve"> </w:t>
      </w:r>
      <w:r w:rsidR="00515C41">
        <w:t>are</w:t>
      </w:r>
      <w:r w:rsidR="00967807">
        <w:t xml:space="preserve"> </w:t>
      </w:r>
      <w:r w:rsidR="00515C41">
        <w:t>recorded</w:t>
      </w:r>
      <w:r w:rsidR="00967807">
        <w:t xml:space="preserve"> in either WBS 06 or WBS 10 depending on the program management</w:t>
      </w:r>
      <w:r w:rsidR="00515C41">
        <w:t xml:space="preserve"> practice</w:t>
      </w:r>
      <w:r w:rsidR="00967807">
        <w:t xml:space="preserve">. To account for </w:t>
      </w:r>
      <w:r w:rsidR="00846860">
        <w:t>this inconsistency, and to account for the holistic cost of spacecraft development, t</w:t>
      </w:r>
      <w:r w:rsidR="000E0D9E">
        <w:t xml:space="preserve">he study </w:t>
      </w:r>
      <w:r w:rsidR="008F6D68">
        <w:t xml:space="preserve">combined the costs from these two WBS elements </w:t>
      </w:r>
      <w:r w:rsidR="005714FF">
        <w:t xml:space="preserve">to </w:t>
      </w:r>
      <w:r w:rsidR="00994291">
        <w:t>determine</w:t>
      </w:r>
      <w:r w:rsidR="008F6D68">
        <w:t xml:space="preserve"> the total spacecraft </w:t>
      </w:r>
      <w:r w:rsidR="001D3FB0">
        <w:t>cost</w:t>
      </w:r>
      <w:r w:rsidR="005714FF">
        <w:t xml:space="preserve">. </w:t>
      </w:r>
      <w:r w:rsidR="001C3222">
        <w:t xml:space="preserve">Figure </w:t>
      </w:r>
      <w:r w:rsidR="00BF79D1">
        <w:t xml:space="preserve">1 </w:t>
      </w:r>
      <w:r w:rsidR="001C3222">
        <w:t xml:space="preserve">below </w:t>
      </w:r>
      <w:r w:rsidR="00555000">
        <w:t>shows a graph of the sample</w:t>
      </w:r>
      <w:r w:rsidR="00444A2F">
        <w:t xml:space="preserve"> plotted by launch year and total spacecraft cost</w:t>
      </w:r>
      <w:r w:rsidR="003E4F6B">
        <w:t xml:space="preserve"> inflation-adjusted to Fiscal Year 2024 </w:t>
      </w:r>
      <w:r w:rsidR="00E31AFE">
        <w:t xml:space="preserve">(FY24) </w:t>
      </w:r>
      <w:r w:rsidR="003E4F6B">
        <w:t>dollars using the NASA New Start Inflation Index</w:t>
      </w:r>
      <w:r w:rsidR="00CA6E9F">
        <w:t>.</w:t>
      </w:r>
      <w:r w:rsidR="008679FB">
        <w:t xml:space="preserve"> </w:t>
      </w:r>
      <w:r w:rsidR="008679FB" w:rsidRPr="00D321F0">
        <w:t>The sample mean spacecraft cost is $</w:t>
      </w:r>
      <w:r w:rsidR="008E3A1A" w:rsidRPr="00D321F0">
        <w:t xml:space="preserve">329 </w:t>
      </w:r>
      <w:r w:rsidR="008679FB" w:rsidRPr="00D321F0">
        <w:t>million in FY24 dollars, with a median of $</w:t>
      </w:r>
      <w:r w:rsidR="008E3A1A" w:rsidRPr="00D321F0">
        <w:t xml:space="preserve">231 </w:t>
      </w:r>
      <w:r w:rsidR="008679FB" w:rsidRPr="00D321F0">
        <w:t>million. The sample mean cost for NASA-built projects is $</w:t>
      </w:r>
      <w:r w:rsidR="008E3A1A" w:rsidRPr="00D321F0">
        <w:t xml:space="preserve">457 </w:t>
      </w:r>
      <w:r w:rsidR="008679FB" w:rsidRPr="00D321F0">
        <w:t>million, with a median of $267 million. On the other hand, the sample mean cost for industry-built projects is $</w:t>
      </w:r>
      <w:r w:rsidR="008E3A1A" w:rsidRPr="00D321F0">
        <w:t xml:space="preserve">269 </w:t>
      </w:r>
      <w:r w:rsidR="008679FB" w:rsidRPr="00D321F0">
        <w:t>million, with a median of $229 million.</w:t>
      </w:r>
    </w:p>
    <w:p w14:paraId="3ABBB8B8" w14:textId="170C48E0" w:rsidR="004E15B0" w:rsidRDefault="00592807" w:rsidP="00A0607B">
      <w:pPr>
        <w:pStyle w:val="Text"/>
        <w:jc w:val="center"/>
        <w:rPr>
          <w:noProof/>
        </w:rPr>
      </w:pPr>
      <w:r>
        <w:rPr>
          <w:noProof/>
        </w:rPr>
        <w:lastRenderedPageBreak/>
        <w:drawing>
          <wp:inline distT="0" distB="0" distL="0" distR="0" wp14:anchorId="4D5484AE" wp14:editId="1CEBD57E">
            <wp:extent cx="3062417" cy="2592911"/>
            <wp:effectExtent l="0" t="0" r="5080" b="0"/>
            <wp:docPr id="10867520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752064" name=""/>
                    <pic:cNvPicPr/>
                  </pic:nvPicPr>
                  <pic:blipFill>
                    <a:blip r:embed="rId11"/>
                    <a:stretch>
                      <a:fillRect/>
                    </a:stretch>
                  </pic:blipFill>
                  <pic:spPr>
                    <a:xfrm>
                      <a:off x="0" y="0"/>
                      <a:ext cx="3077846" cy="2605975"/>
                    </a:xfrm>
                    <a:prstGeom prst="rect">
                      <a:avLst/>
                    </a:prstGeom>
                  </pic:spPr>
                </pic:pic>
              </a:graphicData>
            </a:graphic>
          </wp:inline>
        </w:drawing>
      </w:r>
    </w:p>
    <w:p w14:paraId="5CD35350" w14:textId="02D772DF" w:rsidR="00C54729" w:rsidRDefault="00C54729" w:rsidP="0080010E">
      <w:pPr>
        <w:pStyle w:val="Caption"/>
        <w:spacing w:before="0"/>
        <w:jc w:val="center"/>
      </w:pPr>
      <w:r w:rsidRPr="00E31146">
        <w:t xml:space="preserve">Fig. </w:t>
      </w:r>
      <w:r>
        <w:rPr>
          <w:noProof/>
        </w:rPr>
        <w:fldChar w:fldCharType="begin"/>
      </w:r>
      <w:r>
        <w:rPr>
          <w:noProof/>
        </w:rPr>
        <w:instrText xml:space="preserve"> SEQ Fig. \* ARABIC </w:instrText>
      </w:r>
      <w:r>
        <w:rPr>
          <w:noProof/>
        </w:rPr>
        <w:fldChar w:fldCharType="separate"/>
      </w:r>
      <w:r>
        <w:rPr>
          <w:noProof/>
        </w:rPr>
        <w:t>1</w:t>
      </w:r>
      <w:r>
        <w:rPr>
          <w:noProof/>
        </w:rPr>
        <w:fldChar w:fldCharType="end"/>
      </w:r>
      <w:r w:rsidR="00CA6E9F">
        <w:rPr>
          <w:noProof/>
        </w:rPr>
        <w:t xml:space="preserve"> Total </w:t>
      </w:r>
      <w:r w:rsidR="00CA6E9F">
        <w:t>Spacecraft Cost by Launch Year</w:t>
      </w:r>
      <w:r w:rsidR="008E3A1A">
        <w:t xml:space="preserve"> (n = 69)</w:t>
      </w:r>
      <w:r w:rsidR="00D321F0">
        <w:t xml:space="preserve"> – y-axis is masked due to protect proprietary data</w:t>
      </w:r>
    </w:p>
    <w:p w14:paraId="02D48946" w14:textId="4205EDF6" w:rsidR="00342642" w:rsidRDefault="00342642" w:rsidP="0093613E">
      <w:pPr>
        <w:pStyle w:val="Heading2"/>
        <w:spacing w:line="480" w:lineRule="auto"/>
      </w:pPr>
      <w:r>
        <w:t>Model</w:t>
      </w:r>
    </w:p>
    <w:p w14:paraId="30381223" w14:textId="3631BFA7" w:rsidR="00F2260E" w:rsidRDefault="00F8616A" w:rsidP="00F2260E">
      <w:pPr>
        <w:pStyle w:val="Text"/>
      </w:pPr>
      <w:r>
        <w:t>Simply relying on t</w:t>
      </w:r>
      <w:r w:rsidR="00F2260E">
        <w:t xml:space="preserve">he </w:t>
      </w:r>
      <w:r>
        <w:t xml:space="preserve">descriptive statistics could result in the conclusion that NASA-built spacecraft is more expensive than industry-built </w:t>
      </w:r>
      <w:r w:rsidR="009F0604">
        <w:t xml:space="preserve">spacecraft. </w:t>
      </w:r>
      <w:r w:rsidR="0093613E">
        <w:t xml:space="preserve">However, </w:t>
      </w:r>
      <w:r w:rsidR="00CE3E82">
        <w:t xml:space="preserve">a </w:t>
      </w:r>
      <w:r w:rsidR="004329CD">
        <w:t>Welch two</w:t>
      </w:r>
      <w:r w:rsidR="00D17353">
        <w:t>-</w:t>
      </w:r>
      <w:r w:rsidR="004329CD">
        <w:t xml:space="preserve">sample t-test </w:t>
      </w:r>
      <w:r w:rsidR="00413C89">
        <w:t>to compare the means of the two groups indicated no statistically significant differenc</w:t>
      </w:r>
      <w:r w:rsidR="00A23AC6">
        <w:t>e with p-value of 0.</w:t>
      </w:r>
      <w:r w:rsidR="008E3A1A">
        <w:t>1</w:t>
      </w:r>
      <w:r w:rsidR="009C3CE1">
        <w:t>77</w:t>
      </w:r>
      <w:r w:rsidR="008E3A1A">
        <w:t>8</w:t>
      </w:r>
      <w:r w:rsidR="00A23AC6">
        <w:t>. This result suggest</w:t>
      </w:r>
      <w:r w:rsidR="00D17353">
        <w:t>ed</w:t>
      </w:r>
      <w:r w:rsidR="00A23AC6">
        <w:t xml:space="preserve"> the need for a more robust multi-variable regression as </w:t>
      </w:r>
      <w:r w:rsidR="00A40C6A">
        <w:t>various factors exist that influence spacecraft costs.</w:t>
      </w:r>
      <w:r w:rsidR="00A23AC6">
        <w:t xml:space="preserve"> </w:t>
      </w:r>
      <w:r w:rsidR="0019419E">
        <w:t>The study</w:t>
      </w:r>
      <w:r w:rsidR="00881069">
        <w:t xml:space="preserve"> team</w:t>
      </w:r>
      <w:r w:rsidR="0019419E">
        <w:t xml:space="preserve"> explored various combinations of explanatory variables</w:t>
      </w:r>
      <w:r w:rsidR="009B3C29">
        <w:t xml:space="preserve"> and identified a model that proved to be the most appropriate based on goodness-of-fit</w:t>
      </w:r>
      <w:r w:rsidR="00227FB2">
        <w:t xml:space="preserve"> and the standard regression diagnostics. </w:t>
      </w:r>
      <w:r w:rsidR="00137979">
        <w:t>The resulting multi-variable regression model is shown below</w:t>
      </w:r>
      <w:r w:rsidR="001F0EFA">
        <w:t>:</w:t>
      </w:r>
    </w:p>
    <w:p w14:paraId="3A73C4E8" w14:textId="77777777" w:rsidR="008C2F99" w:rsidRDefault="008C2F99" w:rsidP="00F2260E">
      <w:pPr>
        <w:pStyle w:val="Text"/>
      </w:pPr>
    </w:p>
    <w:p w14:paraId="09707302" w14:textId="74551D19" w:rsidR="00604420" w:rsidRDefault="00F33861" w:rsidP="00F2260E">
      <w:pPr>
        <w:pStyle w:val="Text"/>
      </w:pPr>
      <w:r>
        <w:tab/>
      </w:r>
      <w:r>
        <w:tab/>
      </w:r>
      <w:r>
        <w:tab/>
      </w:r>
      <w:r>
        <w:tab/>
      </w:r>
      <w:r>
        <w:tab/>
      </w:r>
      <w:r>
        <w:tab/>
      </w:r>
      <w:r>
        <w:tab/>
      </w:r>
      <m:oMath>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r>
          <w:rPr>
            <w:rFonts w:ascii="Cambria Math" w:hAnsi="Cambria Math"/>
          </w:rPr>
          <m:t xml:space="preserve">= </m:t>
        </m:r>
        <m:sSub>
          <m:sSubPr>
            <m:ctrlPr>
              <w:rPr>
                <w:rFonts w:ascii="Cambria Math" w:hAnsi="Cambria Math"/>
                <w:i/>
              </w:rPr>
            </m:ctrlPr>
          </m:sSubPr>
          <m:e>
            <m:r>
              <w:rPr>
                <w:rFonts w:ascii="Cambria Math" w:hAnsi="Cambria Math"/>
              </w:rPr>
              <m:t>β</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m:t>
            </m:r>
          </m:sub>
        </m:sSub>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2</m:t>
            </m:r>
          </m:sub>
        </m:sSub>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3</m:t>
            </m:r>
          </m:sub>
        </m:sSub>
        <m:sSub>
          <m:sSubPr>
            <m:ctrlPr>
              <w:rPr>
                <w:rFonts w:ascii="Cambria Math" w:hAnsi="Cambria Math"/>
                <w:i/>
              </w:rPr>
            </m:ctrlPr>
          </m:sSubPr>
          <m:e>
            <m:r>
              <w:rPr>
                <w:rFonts w:ascii="Cambria Math" w:hAnsi="Cambria Math"/>
              </w:rPr>
              <m:t>x</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4</m:t>
            </m:r>
          </m:sub>
        </m:sSub>
        <m:sSub>
          <m:sSubPr>
            <m:ctrlPr>
              <w:rPr>
                <w:rFonts w:ascii="Cambria Math" w:hAnsi="Cambria Math"/>
                <w:i/>
              </w:rPr>
            </m:ctrlPr>
          </m:sSubPr>
          <m:e>
            <m:r>
              <w:rPr>
                <w:rFonts w:ascii="Cambria Math" w:hAnsi="Cambria Math"/>
              </w:rPr>
              <m:t>x</m:t>
            </m:r>
          </m:e>
          <m:sub>
            <m:r>
              <w:rPr>
                <w:rFonts w:ascii="Cambria Math" w:hAnsi="Cambria Math"/>
              </w:rPr>
              <m:t>4</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5</m:t>
            </m:r>
          </m:sub>
        </m:sSub>
        <m:sSub>
          <m:sSubPr>
            <m:ctrlPr>
              <w:rPr>
                <w:rFonts w:ascii="Cambria Math" w:hAnsi="Cambria Math"/>
                <w:i/>
              </w:rPr>
            </m:ctrlPr>
          </m:sSubPr>
          <m:e>
            <m:r>
              <w:rPr>
                <w:rFonts w:ascii="Cambria Math" w:hAnsi="Cambria Math"/>
              </w:rPr>
              <m:t>x</m:t>
            </m:r>
          </m:e>
          <m:sub>
            <m:r>
              <w:rPr>
                <w:rFonts w:ascii="Cambria Math" w:hAnsi="Cambria Math"/>
              </w:rPr>
              <m:t>5</m:t>
            </m:r>
          </m:sub>
        </m:sSub>
        <m:r>
          <w:rPr>
            <w:rFonts w:ascii="Cambria Math" w:hAnsi="Cambria Math"/>
          </w:rPr>
          <m:t>+ ε</m:t>
        </m:r>
      </m:oMath>
      <w:r>
        <w:tab/>
      </w:r>
      <w:r>
        <w:tab/>
      </w:r>
      <w:r>
        <w:tab/>
      </w:r>
      <w:r>
        <w:tab/>
      </w:r>
      <w:r>
        <w:tab/>
      </w:r>
      <w:r>
        <w:tab/>
      </w:r>
      <w:r w:rsidR="008C2F99">
        <w:t xml:space="preserve">Eq. </w:t>
      </w:r>
      <w:r w:rsidRPr="00C81FB6">
        <w:rPr>
          <w:rFonts w:hint="eastAsia"/>
        </w:rPr>
        <w:t>(</w:t>
      </w:r>
      <w:r>
        <w:rPr>
          <w:rFonts w:hint="eastAsia"/>
          <w:lang w:eastAsia="zh-TW"/>
        </w:rPr>
        <w:t>1</w:t>
      </w:r>
      <w:r w:rsidRPr="00C81FB6">
        <w:rPr>
          <w:rFonts w:hint="eastAsia"/>
        </w:rPr>
        <w:t>)</w:t>
      </w:r>
    </w:p>
    <w:p w14:paraId="27229B89" w14:textId="77777777" w:rsidR="008C2F99" w:rsidRDefault="008C2F99" w:rsidP="00F2260E">
      <w:pPr>
        <w:pStyle w:val="Text"/>
      </w:pPr>
    </w:p>
    <w:p w14:paraId="4AD75921" w14:textId="36685E5B" w:rsidR="007A63FE" w:rsidRPr="00F2260E" w:rsidRDefault="00B450EB" w:rsidP="00F2260E">
      <w:pPr>
        <w:pStyle w:val="Text"/>
      </w:pPr>
      <w:r>
        <w:t xml:space="preserve">The outcome variable, </w:t>
      </w:r>
      <m:oMath>
        <m:r>
          <w:rPr>
            <w:rFonts w:ascii="Cambria Math" w:hAnsi="Cambria Math"/>
          </w:rPr>
          <m:t>y</m:t>
        </m:r>
      </m:oMath>
      <w:r>
        <w:t xml:space="preserve">, represents </w:t>
      </w:r>
      <w:r w:rsidR="00052590">
        <w:t>spacecraft cost</w:t>
      </w:r>
      <w:r w:rsidR="00911E3B">
        <w:t xml:space="preserve"> in dollars</w:t>
      </w:r>
      <w:r w:rsidR="00052590">
        <w:t xml:space="preserve">. </w:t>
      </w:r>
      <w:r w:rsidR="00AE1585">
        <w:t xml:space="preserve">The first independent variable, </w:t>
      </w:r>
      <m:oMath>
        <m:sSub>
          <m:sSubPr>
            <m:ctrlPr>
              <w:rPr>
                <w:rFonts w:ascii="Cambria Math" w:hAnsi="Cambria Math"/>
                <w:i/>
              </w:rPr>
            </m:ctrlPr>
          </m:sSubPr>
          <m:e>
            <m:r>
              <w:rPr>
                <w:rFonts w:ascii="Cambria Math" w:hAnsi="Cambria Math"/>
              </w:rPr>
              <m:t>x</m:t>
            </m:r>
          </m:e>
          <m:sub>
            <m:r>
              <w:rPr>
                <w:rFonts w:ascii="Cambria Math" w:hAnsi="Cambria Math"/>
              </w:rPr>
              <m:t>1</m:t>
            </m:r>
          </m:sub>
        </m:sSub>
      </m:oMath>
      <w:r w:rsidR="00AE1585">
        <w:t xml:space="preserve">, </w:t>
      </w:r>
      <w:r w:rsidR="00314A96">
        <w:t xml:space="preserve">is </w:t>
      </w:r>
      <w:r w:rsidR="009B777C">
        <w:t>a</w:t>
      </w:r>
      <w:r w:rsidR="00314A96">
        <w:t xml:space="preserve"> factor variable that identifies whether the spacecraft developer is NASA or industry. </w:t>
      </w:r>
      <w:r w:rsidR="009B777C">
        <w:t>The value of the variable is 0 if the spac</w:t>
      </w:r>
      <w:r w:rsidR="009008EA">
        <w:t>ecraft is NASA-built, or 1 if industry-built.</w:t>
      </w:r>
      <w:r w:rsidR="0004553E">
        <w:t xml:space="preserve"> </w:t>
      </w:r>
      <w:r w:rsidR="000A2C54">
        <w:t xml:space="preserve">The </w:t>
      </w:r>
      <m:oMath>
        <m:sSub>
          <m:sSubPr>
            <m:ctrlPr>
              <w:rPr>
                <w:rFonts w:ascii="Cambria Math" w:hAnsi="Cambria Math"/>
                <w:i/>
              </w:rPr>
            </m:ctrlPr>
          </m:sSubPr>
          <m:e>
            <m:r>
              <w:rPr>
                <w:rFonts w:ascii="Cambria Math" w:hAnsi="Cambria Math"/>
              </w:rPr>
              <m:t>x</m:t>
            </m:r>
          </m:e>
          <m:sub>
            <m:r>
              <w:rPr>
                <w:rFonts w:ascii="Cambria Math" w:hAnsi="Cambria Math"/>
              </w:rPr>
              <m:t>2</m:t>
            </m:r>
          </m:sub>
        </m:sSub>
      </m:oMath>
      <w:r w:rsidR="000A2C54">
        <w:t xml:space="preserve"> variable is a continuous numerical variable representing log of spacecraft’s dry mass in kilograms. </w:t>
      </w:r>
      <w:r w:rsidR="00672D28">
        <w:t xml:space="preserve">The </w:t>
      </w:r>
      <m:oMath>
        <m:sSub>
          <m:sSubPr>
            <m:ctrlPr>
              <w:rPr>
                <w:rFonts w:ascii="Cambria Math" w:hAnsi="Cambria Math"/>
                <w:i/>
              </w:rPr>
            </m:ctrlPr>
          </m:sSubPr>
          <m:e>
            <m:r>
              <w:rPr>
                <w:rFonts w:ascii="Cambria Math" w:hAnsi="Cambria Math"/>
              </w:rPr>
              <m:t>x</m:t>
            </m:r>
          </m:e>
          <m:sub>
            <m:r>
              <w:rPr>
                <w:rFonts w:ascii="Cambria Math" w:hAnsi="Cambria Math"/>
              </w:rPr>
              <m:t>3</m:t>
            </m:r>
          </m:sub>
        </m:sSub>
      </m:oMath>
      <w:r w:rsidR="00672D28">
        <w:t xml:space="preserve"> variable </w:t>
      </w:r>
      <w:r w:rsidR="00273317">
        <w:t>is for</w:t>
      </w:r>
      <w:r w:rsidR="00903E44">
        <w:t xml:space="preserve"> </w:t>
      </w:r>
      <w:r w:rsidR="00273317">
        <w:t>m</w:t>
      </w:r>
      <w:r w:rsidR="00AF5607">
        <w:t xml:space="preserve">ission </w:t>
      </w:r>
      <w:r w:rsidR="00273317">
        <w:t>r</w:t>
      </w:r>
      <w:r w:rsidR="00AF5607">
        <w:t xml:space="preserve">isk </w:t>
      </w:r>
      <w:r w:rsidR="00273317">
        <w:t>cl</w:t>
      </w:r>
      <w:r w:rsidR="00AF5607">
        <w:t xml:space="preserve">assification, with a value of 1 for </w:t>
      </w:r>
      <w:r w:rsidR="0029397A">
        <w:t>Class</w:t>
      </w:r>
      <w:r w:rsidR="00273317">
        <w:t xml:space="preserve"> </w:t>
      </w:r>
      <w:r w:rsidR="00B05574">
        <w:t>C/D</w:t>
      </w:r>
      <w:r w:rsidR="00273317">
        <w:t xml:space="preserve"> missions and 0 for </w:t>
      </w:r>
      <w:r w:rsidR="0029397A">
        <w:t>Class</w:t>
      </w:r>
      <w:r w:rsidR="00273317">
        <w:t xml:space="preserve"> </w:t>
      </w:r>
      <w:r w:rsidR="00B05574">
        <w:t>A/B</w:t>
      </w:r>
      <w:r w:rsidR="00273317">
        <w:t xml:space="preserve"> missions. </w:t>
      </w:r>
      <w:r w:rsidR="00273317" w:rsidRPr="00D321F0">
        <w:t xml:space="preserve">The </w:t>
      </w:r>
      <m:oMath>
        <m:sSub>
          <m:sSubPr>
            <m:ctrlPr>
              <w:rPr>
                <w:rFonts w:ascii="Cambria Math" w:hAnsi="Cambria Math"/>
                <w:i/>
              </w:rPr>
            </m:ctrlPr>
          </m:sSubPr>
          <m:e>
            <m:r>
              <w:rPr>
                <w:rFonts w:ascii="Cambria Math" w:hAnsi="Cambria Math"/>
              </w:rPr>
              <m:t>x</m:t>
            </m:r>
          </m:e>
          <m:sub>
            <m:r>
              <w:rPr>
                <w:rFonts w:ascii="Cambria Math" w:hAnsi="Cambria Math"/>
              </w:rPr>
              <m:t>4</m:t>
            </m:r>
          </m:sub>
        </m:sSub>
      </m:oMath>
      <w:r w:rsidR="00273317" w:rsidRPr="00D321F0">
        <w:t xml:space="preserve"> variable identifies </w:t>
      </w:r>
      <w:r w:rsidR="008E3A1A" w:rsidRPr="00D321F0">
        <w:t>near</w:t>
      </w:r>
      <w:r w:rsidR="00204DF2" w:rsidRPr="00D321F0">
        <w:t>-E</w:t>
      </w:r>
      <w:r w:rsidR="008E3A1A" w:rsidRPr="00D321F0">
        <w:t>arth operations</w:t>
      </w:r>
      <w:r w:rsidR="00273317" w:rsidRPr="00D321F0">
        <w:t xml:space="preserve">, with a value of 1 for </w:t>
      </w:r>
      <w:r w:rsidR="006C74B0" w:rsidRPr="00D321F0">
        <w:t>near</w:t>
      </w:r>
      <w:r w:rsidR="00204DF2" w:rsidRPr="00D321F0">
        <w:t>-E</w:t>
      </w:r>
      <w:r w:rsidR="006C74B0" w:rsidRPr="00D321F0">
        <w:t>arth spacecrafts</w:t>
      </w:r>
      <w:r w:rsidR="00273317" w:rsidRPr="00D321F0">
        <w:t xml:space="preserve"> and 0 </w:t>
      </w:r>
      <w:r w:rsidR="00635710" w:rsidRPr="00D321F0">
        <w:t>if otherwise</w:t>
      </w:r>
      <w:r w:rsidR="00273317" w:rsidRPr="00D321F0">
        <w:t>.</w:t>
      </w:r>
      <w:r w:rsidR="00635710" w:rsidRPr="00D321F0">
        <w:t xml:space="preserve"> </w:t>
      </w:r>
      <w:r w:rsidR="00204DF2" w:rsidRPr="00D321F0">
        <w:t>For this analysis, near-Earth operations are defined</w:t>
      </w:r>
      <w:r w:rsidR="009776C1" w:rsidRPr="00D321F0">
        <w:t xml:space="preserve"> </w:t>
      </w:r>
      <w:r w:rsidR="00204DF2" w:rsidRPr="00D321F0">
        <w:t xml:space="preserve">occurring within </w:t>
      </w:r>
      <w:r w:rsidR="009776C1" w:rsidRPr="00D321F0">
        <w:t xml:space="preserve">about </w:t>
      </w:r>
      <w:r w:rsidR="00204DF2" w:rsidRPr="00D321F0">
        <w:t>one</w:t>
      </w:r>
      <w:r w:rsidR="009776C1" w:rsidRPr="00D321F0">
        <w:t xml:space="preserve"> </w:t>
      </w:r>
      <w:r w:rsidR="00204DF2" w:rsidRPr="00D321F0">
        <w:t>astronomical unit (AU) of the Sun. This definition encompasses spacecraft operating in Earth orbit</w:t>
      </w:r>
      <w:r w:rsidR="009776C1" w:rsidRPr="00D321F0">
        <w:t xml:space="preserve">, at the </w:t>
      </w:r>
      <w:r w:rsidR="00D321F0" w:rsidRPr="00D321F0">
        <w:t>moon, and</w:t>
      </w:r>
      <w:r w:rsidR="00204DF2" w:rsidRPr="00D321F0">
        <w:t xml:space="preserve"> at </w:t>
      </w:r>
      <w:r w:rsidR="009776C1" w:rsidRPr="00D321F0">
        <w:t xml:space="preserve">Sun-Earth </w:t>
      </w:r>
      <w:r w:rsidR="00204DF2" w:rsidRPr="00D321F0">
        <w:t>Lagrange points, as the design of these spacecraft aligns with similar thermal and power environments.</w:t>
      </w:r>
      <w:r w:rsidR="00204DF2">
        <w:t xml:space="preserve"> </w:t>
      </w:r>
      <w:r w:rsidR="000A2C54">
        <w:lastRenderedPageBreak/>
        <w:t xml:space="preserve">The </w:t>
      </w:r>
      <m:oMath>
        <m:sSub>
          <m:sSubPr>
            <m:ctrlPr>
              <w:rPr>
                <w:rFonts w:ascii="Cambria Math" w:hAnsi="Cambria Math"/>
                <w:i/>
              </w:rPr>
            </m:ctrlPr>
          </m:sSubPr>
          <m:e>
            <m:r>
              <w:rPr>
                <w:rFonts w:ascii="Cambria Math" w:hAnsi="Cambria Math"/>
              </w:rPr>
              <m:t>x</m:t>
            </m:r>
          </m:e>
          <m:sub>
            <m:r>
              <w:rPr>
                <w:rFonts w:ascii="Cambria Math" w:hAnsi="Cambria Math"/>
              </w:rPr>
              <m:t>5</m:t>
            </m:r>
          </m:sub>
        </m:sSub>
      </m:oMath>
      <w:r w:rsidR="000A2C54">
        <w:t xml:space="preserve"> variable is a factor variable used to identify whether a spacecraft is a lander, with a value of 1 indicating a lander and 0 indicating otherwise.</w:t>
      </w:r>
    </w:p>
    <w:p w14:paraId="7B99DA9C" w14:textId="625DE822" w:rsidR="00A51D76" w:rsidRDefault="00907F1C" w:rsidP="008C2F99">
      <w:pPr>
        <w:pStyle w:val="Heading1"/>
        <w:numPr>
          <w:ilvl w:val="0"/>
          <w:numId w:val="38"/>
        </w:numPr>
        <w:ind w:left="360"/>
      </w:pPr>
      <w:r>
        <w:t xml:space="preserve"> </w:t>
      </w:r>
      <w:r w:rsidR="00A51D76">
        <w:t>Results</w:t>
      </w:r>
    </w:p>
    <w:p w14:paraId="7C375E21" w14:textId="6AF747BD" w:rsidR="00353C7B" w:rsidRDefault="00EF5EAA" w:rsidP="008E58D9">
      <w:pPr>
        <w:pStyle w:val="Text"/>
      </w:pPr>
      <w:r>
        <w:t xml:space="preserve">Table </w:t>
      </w:r>
      <w:r w:rsidR="00BF79D1">
        <w:t>3</w:t>
      </w:r>
      <w:r>
        <w:t xml:space="preserve"> presents the </w:t>
      </w:r>
      <w:r w:rsidR="008E58D9" w:rsidRPr="00DB6869">
        <w:t xml:space="preserve">regression results. </w:t>
      </w:r>
      <w:r w:rsidR="00353C7B">
        <w:t>When observing all missions</w:t>
      </w:r>
      <w:r w:rsidR="00E77DB9">
        <w:t xml:space="preserve"> (Estimate 1)</w:t>
      </w:r>
      <w:r w:rsidR="00353C7B">
        <w:t>, t</w:t>
      </w:r>
      <w:r w:rsidR="008E58D9" w:rsidRPr="00DB6869">
        <w:t xml:space="preserve">he coefficient for the spacecraft </w:t>
      </w:r>
      <w:r w:rsidR="008E58D9" w:rsidRPr="00D321F0">
        <w:t>developer variable is -0.</w:t>
      </w:r>
      <w:r w:rsidR="004942F9" w:rsidRPr="00D321F0">
        <w:t>2</w:t>
      </w:r>
      <w:r w:rsidR="003A6865" w:rsidRPr="00D321F0">
        <w:t>91</w:t>
      </w:r>
      <w:r w:rsidR="00E77DB9" w:rsidRPr="00D321F0">
        <w:t xml:space="preserve">, </w:t>
      </w:r>
      <w:r w:rsidR="004942F9" w:rsidRPr="00D321F0">
        <w:t>indicating a 2</w:t>
      </w:r>
      <w:r w:rsidR="003A6865" w:rsidRPr="00D321F0">
        <w:t>5</w:t>
      </w:r>
      <w:r w:rsidR="00671556" w:rsidRPr="00D321F0">
        <w:t xml:space="preserve"> percent</w:t>
      </w:r>
      <w:r w:rsidR="004942F9" w:rsidRPr="00D321F0">
        <w:t xml:space="preserve"> lower cost for</w:t>
      </w:r>
      <w:r w:rsidR="004942F9">
        <w:t xml:space="preserve"> industry-built</w:t>
      </w:r>
      <w:r w:rsidR="008E58D9" w:rsidRPr="00DB6869">
        <w:t xml:space="preserve">, </w:t>
      </w:r>
      <w:r w:rsidR="003A6865">
        <w:t xml:space="preserve">statistically significant </w:t>
      </w:r>
      <w:r w:rsidR="00353C7B">
        <w:t xml:space="preserve">with </w:t>
      </w:r>
      <w:r w:rsidR="003A6865">
        <w:t>p-value of 0.018.</w:t>
      </w:r>
      <w:r w:rsidR="008E58D9">
        <w:t xml:space="preserve"> </w:t>
      </w:r>
      <w:r w:rsidR="00D574F1">
        <w:t xml:space="preserve">When observing </w:t>
      </w:r>
      <w:r w:rsidR="0029397A">
        <w:t>Class</w:t>
      </w:r>
      <w:r w:rsidR="00D574F1">
        <w:t xml:space="preserve"> </w:t>
      </w:r>
      <w:r w:rsidR="00B05574">
        <w:t>A/B</w:t>
      </w:r>
      <w:r w:rsidR="00D574F1">
        <w:t xml:space="preserve"> </w:t>
      </w:r>
      <w:r w:rsidR="008A79CE">
        <w:t>projects</w:t>
      </w:r>
      <w:r w:rsidR="00D574F1">
        <w:t xml:space="preserve"> only</w:t>
      </w:r>
      <w:r w:rsidR="00E77DB9">
        <w:t xml:space="preserve"> (Estimate 2)</w:t>
      </w:r>
      <w:r w:rsidR="00D574F1">
        <w:t xml:space="preserve">, the coefficient for the spacecraft developer variable is not </w:t>
      </w:r>
      <w:r w:rsidR="00D574F1" w:rsidRPr="00D321F0">
        <w:t>statistically significant</w:t>
      </w:r>
      <w:r w:rsidR="008A79CE" w:rsidRPr="00D321F0">
        <w:t>, with p-value of 0.</w:t>
      </w:r>
      <w:r w:rsidR="009C3CE1" w:rsidRPr="00D321F0">
        <w:t>124</w:t>
      </w:r>
      <w:r w:rsidR="008A79CE" w:rsidRPr="00D321F0">
        <w:t xml:space="preserve">. However, when observing </w:t>
      </w:r>
      <w:r w:rsidR="00B05574">
        <w:t>Class</w:t>
      </w:r>
      <w:r w:rsidR="008A79CE" w:rsidRPr="00D321F0">
        <w:t xml:space="preserve"> C</w:t>
      </w:r>
      <w:r w:rsidR="00B05574">
        <w:t>/</w:t>
      </w:r>
      <w:r w:rsidR="008A79CE" w:rsidRPr="00D321F0">
        <w:t>D projects only</w:t>
      </w:r>
      <w:r w:rsidR="00E77DB9" w:rsidRPr="00D321F0">
        <w:t xml:space="preserve"> (Estimate 3)</w:t>
      </w:r>
      <w:r w:rsidR="007D6D4C" w:rsidRPr="00D321F0">
        <w:t xml:space="preserve"> the coefficient is </w:t>
      </w:r>
      <w:r w:rsidR="00A2598B" w:rsidRPr="00D321F0">
        <w:t>-0.3</w:t>
      </w:r>
      <w:r w:rsidR="009C3CE1" w:rsidRPr="00D321F0">
        <w:t>50</w:t>
      </w:r>
      <w:r w:rsidR="00E77DB9" w:rsidRPr="00D321F0">
        <w:t xml:space="preserve">, </w:t>
      </w:r>
      <w:r w:rsidR="004942F9" w:rsidRPr="00D321F0">
        <w:t xml:space="preserve">indicating a </w:t>
      </w:r>
      <w:r w:rsidR="009C3CE1" w:rsidRPr="00D321F0">
        <w:t>30</w:t>
      </w:r>
      <w:r w:rsidR="00671556" w:rsidRPr="00D321F0">
        <w:t xml:space="preserve"> percent</w:t>
      </w:r>
      <w:r w:rsidR="004942F9" w:rsidRPr="00D321F0">
        <w:t xml:space="preserve"> lower cost for industry-built</w:t>
      </w:r>
      <w:r w:rsidR="00A2598B" w:rsidRPr="00D321F0">
        <w:t xml:space="preserve">, and </w:t>
      </w:r>
      <w:r w:rsidR="007D6D4C" w:rsidRPr="00D321F0">
        <w:t xml:space="preserve">statistically significant </w:t>
      </w:r>
      <w:r w:rsidR="00A2598B" w:rsidRPr="00D321F0">
        <w:t xml:space="preserve">with p-value of </w:t>
      </w:r>
      <w:r w:rsidR="00382D12" w:rsidRPr="00D321F0">
        <w:t>0.</w:t>
      </w:r>
      <w:r w:rsidR="009C3CE1" w:rsidRPr="00D321F0">
        <w:t>039</w:t>
      </w:r>
      <w:r w:rsidR="00382D12" w:rsidRPr="00D321F0">
        <w:t>.</w:t>
      </w:r>
      <w:r w:rsidR="00382D12">
        <w:t xml:space="preserve"> </w:t>
      </w:r>
    </w:p>
    <w:p w14:paraId="30009606" w14:textId="14A087A7" w:rsidR="004A7591" w:rsidRDefault="004A7591" w:rsidP="004A7591">
      <w:pPr>
        <w:pStyle w:val="Heading4"/>
      </w:pPr>
      <w:r w:rsidRPr="00E31146">
        <w:t xml:space="preserve">Table </w:t>
      </w:r>
      <w:r w:rsidR="00BF79D1">
        <w:t>3</w:t>
      </w:r>
      <w:r w:rsidRPr="00E31146">
        <w:t xml:space="preserve"> </w:t>
      </w:r>
      <w:r>
        <w:t>Regression Result</w:t>
      </w:r>
      <w:r w:rsidR="00BF79D1">
        <w:t>s</w:t>
      </w:r>
    </w:p>
    <w:p w14:paraId="48F540CF" w14:textId="77777777" w:rsidR="008C2F99" w:rsidRPr="008C2F99" w:rsidRDefault="008C2F99" w:rsidP="008C2F99"/>
    <w:tbl>
      <w:tblPr>
        <w:tblW w:w="8756" w:type="dxa"/>
        <w:jc w:val="center"/>
        <w:tblBorders>
          <w:top w:val="single" w:sz="4" w:space="0" w:color="7F7F7F"/>
          <w:bottom w:val="single" w:sz="4" w:space="0" w:color="7F7F7F"/>
        </w:tblBorders>
        <w:tblLook w:val="0680" w:firstRow="0" w:lastRow="0" w:firstColumn="1" w:lastColumn="0" w:noHBand="1" w:noVBand="1"/>
      </w:tblPr>
      <w:tblGrid>
        <w:gridCol w:w="2262"/>
        <w:gridCol w:w="2164"/>
        <w:gridCol w:w="2165"/>
        <w:gridCol w:w="2165"/>
      </w:tblGrid>
      <w:tr w:rsidR="00A74A21" w:rsidRPr="000F0B3A" w14:paraId="4A06EE39" w14:textId="6DA6FD5E" w:rsidTr="00927E97">
        <w:trPr>
          <w:trHeight w:val="416"/>
          <w:jc w:val="center"/>
        </w:trPr>
        <w:tc>
          <w:tcPr>
            <w:tcW w:w="2262" w:type="dxa"/>
            <w:tcBorders>
              <w:top w:val="single" w:sz="4" w:space="0" w:color="7F7F7F"/>
              <w:bottom w:val="single" w:sz="4" w:space="0" w:color="auto"/>
            </w:tcBorders>
            <w:shd w:val="clear" w:color="auto" w:fill="auto"/>
            <w:vAlign w:val="center"/>
          </w:tcPr>
          <w:p w14:paraId="3AC1F7D7" w14:textId="3CF5B296" w:rsidR="00A74A21" w:rsidRPr="000F0B3A" w:rsidRDefault="00A74A21" w:rsidP="00A74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sz w:val="18"/>
                <w:szCs w:val="18"/>
              </w:rPr>
            </w:pPr>
            <w:r>
              <w:rPr>
                <w:b/>
                <w:bCs/>
                <w:color w:val="000000"/>
                <w:sz w:val="18"/>
                <w:szCs w:val="18"/>
              </w:rPr>
              <w:t>Variable</w:t>
            </w:r>
          </w:p>
        </w:tc>
        <w:tc>
          <w:tcPr>
            <w:tcW w:w="2164" w:type="dxa"/>
            <w:tcBorders>
              <w:bottom w:val="single" w:sz="4" w:space="0" w:color="7F7F7F"/>
            </w:tcBorders>
            <w:shd w:val="clear" w:color="auto" w:fill="auto"/>
            <w:vAlign w:val="center"/>
          </w:tcPr>
          <w:p w14:paraId="0F9E4DDA" w14:textId="77777777" w:rsidR="00A74A21" w:rsidRDefault="00A74A21" w:rsidP="00A74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sz w:val="18"/>
                <w:szCs w:val="18"/>
              </w:rPr>
            </w:pPr>
            <w:r>
              <w:rPr>
                <w:b/>
                <w:bCs/>
                <w:color w:val="000000"/>
                <w:sz w:val="18"/>
                <w:szCs w:val="18"/>
              </w:rPr>
              <w:t xml:space="preserve">Estimate </w:t>
            </w:r>
            <w:r w:rsidR="00E70127">
              <w:rPr>
                <w:b/>
                <w:bCs/>
                <w:color w:val="000000"/>
                <w:sz w:val="18"/>
                <w:szCs w:val="18"/>
              </w:rPr>
              <w:t>1</w:t>
            </w:r>
          </w:p>
          <w:p w14:paraId="3E4DCEE5" w14:textId="0BE911CA" w:rsidR="00E70127" w:rsidRPr="000D78D3" w:rsidRDefault="00E70127" w:rsidP="00A74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sz w:val="18"/>
                <w:szCs w:val="18"/>
              </w:rPr>
            </w:pPr>
            <w:r>
              <w:rPr>
                <w:b/>
                <w:bCs/>
                <w:color w:val="000000"/>
                <w:sz w:val="18"/>
                <w:szCs w:val="18"/>
              </w:rPr>
              <w:t xml:space="preserve">All </w:t>
            </w:r>
            <w:r w:rsidR="008A79CE">
              <w:rPr>
                <w:b/>
                <w:bCs/>
                <w:color w:val="000000"/>
                <w:sz w:val="18"/>
                <w:szCs w:val="18"/>
              </w:rPr>
              <w:t>Projects</w:t>
            </w:r>
          </w:p>
        </w:tc>
        <w:tc>
          <w:tcPr>
            <w:tcW w:w="2165" w:type="dxa"/>
            <w:tcBorders>
              <w:bottom w:val="single" w:sz="4" w:space="0" w:color="7F7F7F"/>
            </w:tcBorders>
            <w:vAlign w:val="center"/>
          </w:tcPr>
          <w:p w14:paraId="3C050FC2" w14:textId="77777777" w:rsidR="00A74A21" w:rsidRDefault="00A74A21" w:rsidP="00A74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sz w:val="18"/>
                <w:szCs w:val="18"/>
              </w:rPr>
            </w:pPr>
            <w:r>
              <w:rPr>
                <w:b/>
                <w:bCs/>
                <w:color w:val="000000"/>
                <w:sz w:val="18"/>
                <w:szCs w:val="18"/>
              </w:rPr>
              <w:t xml:space="preserve">Estimate </w:t>
            </w:r>
            <w:r w:rsidR="00E70127">
              <w:rPr>
                <w:b/>
                <w:bCs/>
                <w:color w:val="000000"/>
                <w:sz w:val="18"/>
                <w:szCs w:val="18"/>
              </w:rPr>
              <w:t>2</w:t>
            </w:r>
          </w:p>
          <w:p w14:paraId="0DB991B6" w14:textId="58362408" w:rsidR="00E70127" w:rsidRPr="000D78D3" w:rsidRDefault="00E70127" w:rsidP="00A74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sz w:val="18"/>
                <w:szCs w:val="18"/>
              </w:rPr>
            </w:pPr>
            <w:r>
              <w:rPr>
                <w:b/>
                <w:bCs/>
                <w:color w:val="000000"/>
                <w:sz w:val="18"/>
                <w:szCs w:val="18"/>
              </w:rPr>
              <w:t xml:space="preserve">Class A &amp; B </w:t>
            </w:r>
            <w:r w:rsidR="008A79CE">
              <w:rPr>
                <w:b/>
                <w:bCs/>
                <w:color w:val="000000"/>
                <w:sz w:val="18"/>
                <w:szCs w:val="18"/>
              </w:rPr>
              <w:t>Projects</w:t>
            </w:r>
          </w:p>
        </w:tc>
        <w:tc>
          <w:tcPr>
            <w:tcW w:w="2165" w:type="dxa"/>
            <w:tcBorders>
              <w:bottom w:val="single" w:sz="4" w:space="0" w:color="7F7F7F"/>
            </w:tcBorders>
            <w:vAlign w:val="center"/>
          </w:tcPr>
          <w:p w14:paraId="3B544207" w14:textId="77777777" w:rsidR="00A74A21" w:rsidRDefault="00A74A21" w:rsidP="00A74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sz w:val="18"/>
                <w:szCs w:val="18"/>
              </w:rPr>
            </w:pPr>
            <w:r>
              <w:rPr>
                <w:b/>
                <w:bCs/>
                <w:color w:val="000000"/>
                <w:sz w:val="18"/>
                <w:szCs w:val="18"/>
              </w:rPr>
              <w:t xml:space="preserve">Estimate </w:t>
            </w:r>
            <w:r w:rsidR="00E70127">
              <w:rPr>
                <w:b/>
                <w:bCs/>
                <w:color w:val="000000"/>
                <w:sz w:val="18"/>
                <w:szCs w:val="18"/>
              </w:rPr>
              <w:t>3</w:t>
            </w:r>
          </w:p>
          <w:p w14:paraId="3A530293" w14:textId="4B2185CB" w:rsidR="00E70127" w:rsidRDefault="00E70127" w:rsidP="00A74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sz w:val="18"/>
                <w:szCs w:val="18"/>
              </w:rPr>
            </w:pPr>
            <w:r>
              <w:rPr>
                <w:b/>
                <w:bCs/>
                <w:color w:val="000000"/>
                <w:sz w:val="18"/>
                <w:szCs w:val="18"/>
              </w:rPr>
              <w:t xml:space="preserve">Class C &amp; </w:t>
            </w:r>
            <w:r w:rsidR="008A79CE">
              <w:rPr>
                <w:b/>
                <w:bCs/>
                <w:color w:val="000000"/>
                <w:sz w:val="18"/>
                <w:szCs w:val="18"/>
              </w:rPr>
              <w:t>D Projects</w:t>
            </w:r>
          </w:p>
        </w:tc>
      </w:tr>
      <w:tr w:rsidR="00A74A21" w:rsidRPr="000F0B3A" w14:paraId="477A91D2" w14:textId="6AD6D4DB" w:rsidTr="008876A8">
        <w:trPr>
          <w:trHeight w:val="416"/>
          <w:jc w:val="center"/>
        </w:trPr>
        <w:tc>
          <w:tcPr>
            <w:tcW w:w="2262" w:type="dxa"/>
            <w:tcBorders>
              <w:top w:val="single" w:sz="4" w:space="0" w:color="auto"/>
            </w:tcBorders>
            <w:shd w:val="clear" w:color="auto" w:fill="auto"/>
            <w:vAlign w:val="center"/>
          </w:tcPr>
          <w:p w14:paraId="3402CAC1" w14:textId="77777777" w:rsidR="00A74A21" w:rsidRPr="000F0B3A" w:rsidRDefault="00A74A21" w:rsidP="00A74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sz w:val="18"/>
                <w:szCs w:val="18"/>
              </w:rPr>
            </w:pPr>
            <w:r w:rsidRPr="000F0B3A">
              <w:rPr>
                <w:b/>
                <w:bCs/>
                <w:color w:val="000000"/>
                <w:sz w:val="18"/>
                <w:szCs w:val="18"/>
              </w:rPr>
              <w:t>Constant</w:t>
            </w:r>
          </w:p>
        </w:tc>
        <w:tc>
          <w:tcPr>
            <w:tcW w:w="2164" w:type="dxa"/>
            <w:tcBorders>
              <w:top w:val="single" w:sz="4" w:space="0" w:color="7F7F7F"/>
            </w:tcBorders>
            <w:shd w:val="clear" w:color="auto" w:fill="auto"/>
            <w:vAlign w:val="center"/>
          </w:tcPr>
          <w:p w14:paraId="46AFE1D5" w14:textId="7887EF43" w:rsidR="00A74A21" w:rsidRDefault="00A74A21" w:rsidP="00A74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rPr>
            </w:pPr>
            <w:r w:rsidRPr="00786A1D">
              <w:rPr>
                <w:b/>
                <w:bCs/>
                <w:color w:val="000000"/>
                <w:sz w:val="18"/>
                <w:szCs w:val="18"/>
              </w:rPr>
              <w:t>2.</w:t>
            </w:r>
            <w:r w:rsidR="003A6865">
              <w:rPr>
                <w:b/>
                <w:bCs/>
                <w:color w:val="000000"/>
                <w:sz w:val="18"/>
                <w:szCs w:val="18"/>
              </w:rPr>
              <w:t>346</w:t>
            </w:r>
            <w:r w:rsidRPr="000F0B3A">
              <w:rPr>
                <w:color w:val="000000"/>
                <w:sz w:val="18"/>
                <w:szCs w:val="18"/>
              </w:rPr>
              <w:t>***</w:t>
            </w:r>
            <w:r>
              <w:rPr>
                <w:color w:val="000000"/>
                <w:sz w:val="18"/>
                <w:szCs w:val="18"/>
              </w:rPr>
              <w:t xml:space="preserve"> </w:t>
            </w:r>
          </w:p>
          <w:p w14:paraId="460BA30A" w14:textId="11F2CAAA" w:rsidR="00A74A21" w:rsidRPr="008876A8" w:rsidRDefault="00A74A21" w:rsidP="00A74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color w:val="000000"/>
                <w:sz w:val="18"/>
                <w:szCs w:val="18"/>
              </w:rPr>
            </w:pPr>
            <w:r w:rsidRPr="00DF70D9">
              <w:rPr>
                <w:i/>
                <w:iCs/>
                <w:color w:val="000000"/>
                <w:sz w:val="16"/>
                <w:szCs w:val="16"/>
              </w:rPr>
              <w:t>(0.</w:t>
            </w:r>
            <w:r w:rsidR="003A6865">
              <w:rPr>
                <w:i/>
                <w:iCs/>
                <w:color w:val="000000"/>
                <w:sz w:val="16"/>
                <w:szCs w:val="16"/>
              </w:rPr>
              <w:t>587</w:t>
            </w:r>
            <w:r w:rsidRPr="00DF70D9">
              <w:rPr>
                <w:i/>
                <w:iCs/>
                <w:color w:val="000000"/>
                <w:sz w:val="16"/>
                <w:szCs w:val="16"/>
              </w:rPr>
              <w:t>)</w:t>
            </w:r>
          </w:p>
        </w:tc>
        <w:tc>
          <w:tcPr>
            <w:tcW w:w="2165" w:type="dxa"/>
            <w:tcBorders>
              <w:top w:val="single" w:sz="4" w:space="0" w:color="7F7F7F"/>
            </w:tcBorders>
            <w:vAlign w:val="center"/>
          </w:tcPr>
          <w:p w14:paraId="39A8EF39" w14:textId="332A3263" w:rsidR="00A74A21" w:rsidRDefault="00F62ACC" w:rsidP="00A74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rPr>
            </w:pPr>
            <w:r w:rsidRPr="00786A1D">
              <w:rPr>
                <w:b/>
                <w:bCs/>
                <w:color w:val="000000"/>
                <w:sz w:val="18"/>
                <w:szCs w:val="18"/>
              </w:rPr>
              <w:t>2.</w:t>
            </w:r>
            <w:r w:rsidR="009C3CE1">
              <w:rPr>
                <w:b/>
                <w:bCs/>
                <w:color w:val="000000"/>
                <w:sz w:val="18"/>
                <w:szCs w:val="18"/>
              </w:rPr>
              <w:t>417</w:t>
            </w:r>
            <w:r>
              <w:rPr>
                <w:color w:val="000000"/>
                <w:sz w:val="18"/>
                <w:szCs w:val="18"/>
              </w:rPr>
              <w:t>*</w:t>
            </w:r>
            <w:r w:rsidR="009C3CE1">
              <w:rPr>
                <w:color w:val="000000"/>
                <w:sz w:val="18"/>
                <w:szCs w:val="18"/>
              </w:rPr>
              <w:t>*</w:t>
            </w:r>
          </w:p>
          <w:p w14:paraId="7D58B487" w14:textId="0850D0F0" w:rsidR="00F62ACC" w:rsidRDefault="00F62ACC" w:rsidP="00A74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rPr>
            </w:pPr>
            <w:r w:rsidRPr="00DF70D9">
              <w:rPr>
                <w:i/>
                <w:iCs/>
                <w:color w:val="000000"/>
                <w:sz w:val="16"/>
                <w:szCs w:val="16"/>
              </w:rPr>
              <w:t>(</w:t>
            </w:r>
            <w:r w:rsidR="009C3CE1">
              <w:rPr>
                <w:i/>
                <w:iCs/>
                <w:color w:val="000000"/>
                <w:sz w:val="16"/>
                <w:szCs w:val="16"/>
              </w:rPr>
              <w:t>0.975</w:t>
            </w:r>
            <w:r w:rsidRPr="00DF70D9">
              <w:rPr>
                <w:i/>
                <w:iCs/>
                <w:color w:val="000000"/>
                <w:sz w:val="16"/>
                <w:szCs w:val="16"/>
              </w:rPr>
              <w:t>)</w:t>
            </w:r>
          </w:p>
        </w:tc>
        <w:tc>
          <w:tcPr>
            <w:tcW w:w="2165" w:type="dxa"/>
            <w:tcBorders>
              <w:top w:val="single" w:sz="4" w:space="0" w:color="7F7F7F"/>
            </w:tcBorders>
            <w:vAlign w:val="center"/>
          </w:tcPr>
          <w:p w14:paraId="52364C51" w14:textId="0C491F74" w:rsidR="00A74A21" w:rsidRDefault="009C3CE1" w:rsidP="008876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rPr>
            </w:pPr>
            <w:r>
              <w:rPr>
                <w:b/>
                <w:bCs/>
                <w:color w:val="000000"/>
                <w:sz w:val="18"/>
                <w:szCs w:val="18"/>
              </w:rPr>
              <w:t>1.320</w:t>
            </w:r>
            <w:r w:rsidR="00592996">
              <w:rPr>
                <w:color w:val="000000"/>
                <w:sz w:val="18"/>
                <w:szCs w:val="18"/>
              </w:rPr>
              <w:t>*</w:t>
            </w:r>
          </w:p>
          <w:p w14:paraId="4EB0CA72" w14:textId="6C48559E" w:rsidR="00592996" w:rsidRDefault="00592996" w:rsidP="008876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rPr>
            </w:pPr>
            <w:r w:rsidRPr="00DF70D9">
              <w:rPr>
                <w:i/>
                <w:iCs/>
                <w:color w:val="000000"/>
                <w:sz w:val="16"/>
                <w:szCs w:val="16"/>
              </w:rPr>
              <w:t>(0.</w:t>
            </w:r>
            <w:r w:rsidR="009C3CE1">
              <w:rPr>
                <w:i/>
                <w:iCs/>
                <w:color w:val="000000"/>
                <w:sz w:val="16"/>
                <w:szCs w:val="16"/>
              </w:rPr>
              <w:t>658</w:t>
            </w:r>
            <w:r w:rsidRPr="00DF70D9">
              <w:rPr>
                <w:i/>
                <w:iCs/>
                <w:color w:val="000000"/>
                <w:sz w:val="16"/>
                <w:szCs w:val="16"/>
              </w:rPr>
              <w:t>)</w:t>
            </w:r>
          </w:p>
        </w:tc>
      </w:tr>
      <w:tr w:rsidR="00A74A21" w:rsidRPr="000F0B3A" w14:paraId="6674151F" w14:textId="685771F0" w:rsidTr="008876A8">
        <w:trPr>
          <w:trHeight w:val="416"/>
          <w:jc w:val="center"/>
        </w:trPr>
        <w:tc>
          <w:tcPr>
            <w:tcW w:w="2262" w:type="dxa"/>
            <w:shd w:val="clear" w:color="auto" w:fill="auto"/>
            <w:vAlign w:val="center"/>
          </w:tcPr>
          <w:p w14:paraId="4439014D" w14:textId="112B5A85" w:rsidR="00A74A21" w:rsidRPr="000F0B3A" w:rsidRDefault="00A74A21" w:rsidP="00A74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sz w:val="18"/>
                <w:szCs w:val="18"/>
              </w:rPr>
            </w:pPr>
            <w:r>
              <w:rPr>
                <w:b/>
                <w:bCs/>
                <w:color w:val="000000"/>
                <w:sz w:val="18"/>
                <w:szCs w:val="18"/>
              </w:rPr>
              <w:t>Spacecraft Developer</w:t>
            </w:r>
          </w:p>
        </w:tc>
        <w:tc>
          <w:tcPr>
            <w:tcW w:w="2164" w:type="dxa"/>
            <w:shd w:val="clear" w:color="auto" w:fill="auto"/>
            <w:vAlign w:val="center"/>
          </w:tcPr>
          <w:p w14:paraId="4B5B111F" w14:textId="6563A649" w:rsidR="00A74A21" w:rsidRDefault="00A74A21" w:rsidP="00A74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rPr>
            </w:pPr>
            <w:r w:rsidRPr="00786A1D">
              <w:rPr>
                <w:b/>
                <w:bCs/>
                <w:color w:val="000000"/>
                <w:sz w:val="18"/>
                <w:szCs w:val="18"/>
              </w:rPr>
              <w:t>-0.</w:t>
            </w:r>
            <w:r w:rsidR="003A6865">
              <w:rPr>
                <w:b/>
                <w:bCs/>
                <w:color w:val="000000"/>
                <w:sz w:val="18"/>
                <w:szCs w:val="18"/>
              </w:rPr>
              <w:t>291</w:t>
            </w:r>
            <w:r>
              <w:rPr>
                <w:color w:val="000000"/>
                <w:sz w:val="18"/>
                <w:szCs w:val="18"/>
              </w:rPr>
              <w:t>*</w:t>
            </w:r>
            <w:r w:rsidR="003A6865">
              <w:rPr>
                <w:color w:val="000000"/>
                <w:sz w:val="18"/>
                <w:szCs w:val="18"/>
              </w:rPr>
              <w:t>*</w:t>
            </w:r>
          </w:p>
          <w:p w14:paraId="7789399C" w14:textId="4F257A84" w:rsidR="00A74A21" w:rsidRPr="000F0B3A" w:rsidRDefault="00A74A21" w:rsidP="00A74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rPr>
            </w:pPr>
            <w:r w:rsidRPr="00DF70D9">
              <w:rPr>
                <w:i/>
                <w:iCs/>
                <w:color w:val="000000"/>
                <w:sz w:val="16"/>
                <w:szCs w:val="16"/>
              </w:rPr>
              <w:t>(0.</w:t>
            </w:r>
            <w:r w:rsidR="003A6865">
              <w:rPr>
                <w:i/>
                <w:iCs/>
                <w:color w:val="000000"/>
                <w:sz w:val="16"/>
                <w:szCs w:val="16"/>
              </w:rPr>
              <w:t>119</w:t>
            </w:r>
            <w:r w:rsidRPr="00DF70D9">
              <w:rPr>
                <w:i/>
                <w:iCs/>
                <w:color w:val="000000"/>
                <w:sz w:val="16"/>
                <w:szCs w:val="16"/>
              </w:rPr>
              <w:t>)</w:t>
            </w:r>
          </w:p>
        </w:tc>
        <w:tc>
          <w:tcPr>
            <w:tcW w:w="2165" w:type="dxa"/>
            <w:vAlign w:val="center"/>
          </w:tcPr>
          <w:p w14:paraId="63635605" w14:textId="0291B542" w:rsidR="00A74A21" w:rsidRPr="00E77DB9" w:rsidRDefault="00F62ACC" w:rsidP="00A74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sz w:val="18"/>
                <w:szCs w:val="18"/>
              </w:rPr>
            </w:pPr>
            <w:r w:rsidRPr="00E77DB9">
              <w:rPr>
                <w:b/>
                <w:bCs/>
                <w:color w:val="000000"/>
                <w:sz w:val="18"/>
                <w:szCs w:val="18"/>
              </w:rPr>
              <w:t>-0.</w:t>
            </w:r>
            <w:r w:rsidR="009C3CE1" w:rsidRPr="00E77DB9">
              <w:rPr>
                <w:b/>
                <w:bCs/>
                <w:color w:val="000000"/>
                <w:sz w:val="18"/>
                <w:szCs w:val="18"/>
              </w:rPr>
              <w:t>305</w:t>
            </w:r>
          </w:p>
          <w:p w14:paraId="5CD24BB4" w14:textId="68A972C5" w:rsidR="00F62ACC" w:rsidRDefault="00F62ACC" w:rsidP="00A74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rPr>
            </w:pPr>
            <w:r w:rsidRPr="00DF70D9">
              <w:rPr>
                <w:i/>
                <w:iCs/>
                <w:color w:val="000000"/>
                <w:sz w:val="16"/>
                <w:szCs w:val="16"/>
              </w:rPr>
              <w:t>(0.</w:t>
            </w:r>
            <w:r w:rsidR="009C3CE1">
              <w:rPr>
                <w:i/>
                <w:iCs/>
                <w:color w:val="000000"/>
                <w:sz w:val="16"/>
                <w:szCs w:val="16"/>
              </w:rPr>
              <w:t>193</w:t>
            </w:r>
            <w:r w:rsidRPr="00DF70D9">
              <w:rPr>
                <w:i/>
                <w:iCs/>
                <w:color w:val="000000"/>
                <w:sz w:val="16"/>
                <w:szCs w:val="16"/>
              </w:rPr>
              <w:t>)</w:t>
            </w:r>
          </w:p>
        </w:tc>
        <w:tc>
          <w:tcPr>
            <w:tcW w:w="2165" w:type="dxa"/>
            <w:vAlign w:val="center"/>
          </w:tcPr>
          <w:p w14:paraId="60F90779" w14:textId="4AF08B2A" w:rsidR="00A74A21" w:rsidRDefault="00DF70D9" w:rsidP="008876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rPr>
            </w:pPr>
            <w:r w:rsidRPr="00786A1D">
              <w:rPr>
                <w:b/>
                <w:bCs/>
                <w:color w:val="000000"/>
                <w:sz w:val="18"/>
                <w:szCs w:val="18"/>
              </w:rPr>
              <w:t>-</w:t>
            </w:r>
            <w:r w:rsidR="00592996" w:rsidRPr="00786A1D">
              <w:rPr>
                <w:b/>
                <w:bCs/>
                <w:color w:val="000000"/>
                <w:sz w:val="18"/>
                <w:szCs w:val="18"/>
              </w:rPr>
              <w:t>0.</w:t>
            </w:r>
            <w:r w:rsidR="009C3CE1">
              <w:rPr>
                <w:b/>
                <w:bCs/>
                <w:color w:val="000000"/>
                <w:sz w:val="18"/>
                <w:szCs w:val="18"/>
              </w:rPr>
              <w:t>350</w:t>
            </w:r>
            <w:r w:rsidR="00592996">
              <w:rPr>
                <w:color w:val="000000"/>
                <w:sz w:val="18"/>
                <w:szCs w:val="18"/>
              </w:rPr>
              <w:t>**</w:t>
            </w:r>
          </w:p>
          <w:p w14:paraId="7DBAFEFE" w14:textId="4E15F86F" w:rsidR="001769BC" w:rsidRDefault="001769BC" w:rsidP="008876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rPr>
            </w:pPr>
            <w:r w:rsidRPr="00DF70D9">
              <w:rPr>
                <w:i/>
                <w:iCs/>
                <w:color w:val="000000"/>
                <w:sz w:val="16"/>
                <w:szCs w:val="16"/>
              </w:rPr>
              <w:t>(0.</w:t>
            </w:r>
            <w:r w:rsidR="009C3CE1">
              <w:rPr>
                <w:i/>
                <w:iCs/>
                <w:color w:val="000000"/>
                <w:sz w:val="16"/>
                <w:szCs w:val="16"/>
              </w:rPr>
              <w:t>162</w:t>
            </w:r>
            <w:r w:rsidRPr="00DF70D9">
              <w:rPr>
                <w:i/>
                <w:iCs/>
                <w:color w:val="000000"/>
                <w:sz w:val="16"/>
                <w:szCs w:val="16"/>
              </w:rPr>
              <w:t>)</w:t>
            </w:r>
          </w:p>
        </w:tc>
      </w:tr>
      <w:tr w:rsidR="004B09AB" w:rsidRPr="000F0B3A" w14:paraId="2BD3C062" w14:textId="77777777" w:rsidTr="008876A8">
        <w:trPr>
          <w:trHeight w:val="416"/>
          <w:jc w:val="center"/>
        </w:trPr>
        <w:tc>
          <w:tcPr>
            <w:tcW w:w="2262" w:type="dxa"/>
            <w:shd w:val="clear" w:color="auto" w:fill="auto"/>
            <w:vAlign w:val="center"/>
          </w:tcPr>
          <w:p w14:paraId="488B6B57" w14:textId="54E49549" w:rsidR="004B09AB" w:rsidRDefault="004B09AB" w:rsidP="004B0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sz w:val="18"/>
                <w:szCs w:val="18"/>
              </w:rPr>
            </w:pPr>
            <w:r>
              <w:rPr>
                <w:b/>
                <w:bCs/>
                <w:color w:val="000000"/>
                <w:sz w:val="18"/>
                <w:szCs w:val="18"/>
              </w:rPr>
              <w:t>Ln Dry Mass</w:t>
            </w:r>
          </w:p>
        </w:tc>
        <w:tc>
          <w:tcPr>
            <w:tcW w:w="2164" w:type="dxa"/>
            <w:shd w:val="clear" w:color="auto" w:fill="auto"/>
            <w:vAlign w:val="center"/>
          </w:tcPr>
          <w:p w14:paraId="603FF626" w14:textId="77777777" w:rsidR="004B09AB" w:rsidRDefault="004B09AB" w:rsidP="004B0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rPr>
            </w:pPr>
            <w:r w:rsidRPr="00786A1D">
              <w:rPr>
                <w:b/>
                <w:bCs/>
                <w:color w:val="000000"/>
                <w:sz w:val="18"/>
                <w:szCs w:val="18"/>
              </w:rPr>
              <w:t>0.</w:t>
            </w:r>
            <w:r>
              <w:rPr>
                <w:b/>
                <w:bCs/>
                <w:color w:val="000000"/>
                <w:sz w:val="18"/>
                <w:szCs w:val="18"/>
              </w:rPr>
              <w:t>555</w:t>
            </w:r>
            <w:r>
              <w:rPr>
                <w:color w:val="000000"/>
                <w:sz w:val="18"/>
                <w:szCs w:val="18"/>
              </w:rPr>
              <w:t>***</w:t>
            </w:r>
          </w:p>
          <w:p w14:paraId="27A1D16F" w14:textId="10D2E779" w:rsidR="004B09AB" w:rsidRPr="00786A1D" w:rsidRDefault="004B09AB" w:rsidP="004B0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sz w:val="18"/>
                <w:szCs w:val="18"/>
              </w:rPr>
            </w:pPr>
            <w:r w:rsidRPr="00DF70D9">
              <w:rPr>
                <w:i/>
                <w:iCs/>
                <w:color w:val="000000"/>
                <w:sz w:val="16"/>
                <w:szCs w:val="16"/>
              </w:rPr>
              <w:t>(0.</w:t>
            </w:r>
            <w:r>
              <w:rPr>
                <w:i/>
                <w:iCs/>
                <w:color w:val="000000"/>
                <w:sz w:val="16"/>
                <w:szCs w:val="16"/>
              </w:rPr>
              <w:t>082</w:t>
            </w:r>
            <w:r w:rsidRPr="00DF70D9">
              <w:rPr>
                <w:i/>
                <w:iCs/>
                <w:color w:val="000000"/>
                <w:sz w:val="16"/>
                <w:szCs w:val="16"/>
              </w:rPr>
              <w:t>)</w:t>
            </w:r>
          </w:p>
        </w:tc>
        <w:tc>
          <w:tcPr>
            <w:tcW w:w="2165" w:type="dxa"/>
            <w:vAlign w:val="center"/>
          </w:tcPr>
          <w:p w14:paraId="0606D45E" w14:textId="77777777" w:rsidR="004B09AB" w:rsidRDefault="004B09AB" w:rsidP="004B0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rPr>
            </w:pPr>
            <w:r w:rsidRPr="00786A1D">
              <w:rPr>
                <w:b/>
                <w:bCs/>
                <w:color w:val="000000"/>
                <w:sz w:val="18"/>
                <w:szCs w:val="18"/>
              </w:rPr>
              <w:t>0.</w:t>
            </w:r>
            <w:r>
              <w:rPr>
                <w:b/>
                <w:bCs/>
                <w:color w:val="000000"/>
                <w:sz w:val="18"/>
                <w:szCs w:val="18"/>
              </w:rPr>
              <w:t>551</w:t>
            </w:r>
            <w:r>
              <w:rPr>
                <w:color w:val="000000"/>
                <w:sz w:val="18"/>
                <w:szCs w:val="18"/>
              </w:rPr>
              <w:t>***</w:t>
            </w:r>
          </w:p>
          <w:p w14:paraId="05EC4739" w14:textId="4F0DD198" w:rsidR="004B09AB" w:rsidRPr="00E77DB9" w:rsidRDefault="004B09AB" w:rsidP="004B0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sz w:val="18"/>
                <w:szCs w:val="18"/>
              </w:rPr>
            </w:pPr>
            <w:r w:rsidRPr="00DF70D9">
              <w:rPr>
                <w:i/>
                <w:iCs/>
                <w:color w:val="000000"/>
                <w:sz w:val="16"/>
                <w:szCs w:val="16"/>
              </w:rPr>
              <w:t>(0.</w:t>
            </w:r>
            <w:r>
              <w:rPr>
                <w:i/>
                <w:iCs/>
                <w:color w:val="000000"/>
                <w:sz w:val="16"/>
                <w:szCs w:val="16"/>
              </w:rPr>
              <w:t>139</w:t>
            </w:r>
            <w:r w:rsidRPr="00DF70D9">
              <w:rPr>
                <w:i/>
                <w:iCs/>
                <w:color w:val="000000"/>
                <w:sz w:val="16"/>
                <w:szCs w:val="16"/>
              </w:rPr>
              <w:t>)</w:t>
            </w:r>
          </w:p>
        </w:tc>
        <w:tc>
          <w:tcPr>
            <w:tcW w:w="2165" w:type="dxa"/>
            <w:vAlign w:val="center"/>
          </w:tcPr>
          <w:p w14:paraId="602E9DF1" w14:textId="77777777" w:rsidR="004B09AB" w:rsidRDefault="004B09AB" w:rsidP="004B0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rPr>
            </w:pPr>
            <w:r w:rsidRPr="00786A1D">
              <w:rPr>
                <w:b/>
                <w:bCs/>
                <w:color w:val="000000"/>
                <w:sz w:val="18"/>
                <w:szCs w:val="18"/>
              </w:rPr>
              <w:t>0.</w:t>
            </w:r>
            <w:r>
              <w:rPr>
                <w:b/>
                <w:bCs/>
                <w:color w:val="000000"/>
                <w:sz w:val="18"/>
                <w:szCs w:val="18"/>
              </w:rPr>
              <w:t>599</w:t>
            </w:r>
            <w:r>
              <w:rPr>
                <w:color w:val="000000"/>
                <w:sz w:val="18"/>
                <w:szCs w:val="18"/>
              </w:rPr>
              <w:t>***</w:t>
            </w:r>
          </w:p>
          <w:p w14:paraId="54751C83" w14:textId="776E0BB3" w:rsidR="004B09AB" w:rsidRPr="00786A1D" w:rsidRDefault="004B09AB" w:rsidP="004B0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sz w:val="18"/>
                <w:szCs w:val="18"/>
              </w:rPr>
            </w:pPr>
            <w:r w:rsidRPr="00DF70D9">
              <w:rPr>
                <w:i/>
                <w:iCs/>
                <w:color w:val="000000"/>
                <w:sz w:val="16"/>
                <w:szCs w:val="16"/>
              </w:rPr>
              <w:t>(0.</w:t>
            </w:r>
            <w:r>
              <w:rPr>
                <w:i/>
                <w:iCs/>
                <w:color w:val="000000"/>
                <w:sz w:val="16"/>
                <w:szCs w:val="16"/>
              </w:rPr>
              <w:t>103</w:t>
            </w:r>
            <w:r w:rsidRPr="00DF70D9">
              <w:rPr>
                <w:i/>
                <w:iCs/>
                <w:color w:val="000000"/>
                <w:sz w:val="16"/>
                <w:szCs w:val="16"/>
              </w:rPr>
              <w:t>)</w:t>
            </w:r>
          </w:p>
        </w:tc>
      </w:tr>
      <w:tr w:rsidR="004B09AB" w:rsidRPr="000F0B3A" w14:paraId="6A50DF13" w14:textId="77777777" w:rsidTr="008876A8">
        <w:trPr>
          <w:trHeight w:val="416"/>
          <w:jc w:val="center"/>
        </w:trPr>
        <w:tc>
          <w:tcPr>
            <w:tcW w:w="2262" w:type="dxa"/>
            <w:shd w:val="clear" w:color="auto" w:fill="auto"/>
            <w:vAlign w:val="center"/>
          </w:tcPr>
          <w:p w14:paraId="0C69248D" w14:textId="49B40DF0" w:rsidR="004B09AB" w:rsidRDefault="004B09AB" w:rsidP="004B0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sz w:val="18"/>
                <w:szCs w:val="18"/>
              </w:rPr>
            </w:pPr>
            <w:r>
              <w:rPr>
                <w:b/>
                <w:bCs/>
                <w:color w:val="000000"/>
                <w:sz w:val="18"/>
                <w:szCs w:val="18"/>
              </w:rPr>
              <w:t>Mission Risk Class</w:t>
            </w:r>
          </w:p>
        </w:tc>
        <w:tc>
          <w:tcPr>
            <w:tcW w:w="2164" w:type="dxa"/>
            <w:shd w:val="clear" w:color="auto" w:fill="auto"/>
            <w:vAlign w:val="center"/>
          </w:tcPr>
          <w:p w14:paraId="67E34BB3" w14:textId="77777777" w:rsidR="004B09AB" w:rsidRDefault="004B09AB" w:rsidP="004B0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rPr>
            </w:pPr>
            <w:r>
              <w:rPr>
                <w:color w:val="000000"/>
                <w:sz w:val="18"/>
                <w:szCs w:val="18"/>
              </w:rPr>
              <w:t>-</w:t>
            </w:r>
            <w:r w:rsidRPr="00786A1D">
              <w:rPr>
                <w:b/>
                <w:bCs/>
                <w:color w:val="000000"/>
                <w:sz w:val="18"/>
                <w:szCs w:val="18"/>
              </w:rPr>
              <w:t>0.</w:t>
            </w:r>
            <w:r>
              <w:rPr>
                <w:b/>
                <w:bCs/>
                <w:color w:val="000000"/>
                <w:sz w:val="18"/>
                <w:szCs w:val="18"/>
              </w:rPr>
              <w:t>645</w:t>
            </w:r>
            <w:r>
              <w:rPr>
                <w:color w:val="000000"/>
                <w:sz w:val="18"/>
                <w:szCs w:val="18"/>
              </w:rPr>
              <w:t>***</w:t>
            </w:r>
          </w:p>
          <w:p w14:paraId="38ABE2C8" w14:textId="6D397528" w:rsidR="004B09AB" w:rsidRPr="00786A1D" w:rsidRDefault="004B09AB" w:rsidP="004B0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sz w:val="18"/>
                <w:szCs w:val="18"/>
              </w:rPr>
            </w:pPr>
            <w:r w:rsidRPr="00DF70D9">
              <w:rPr>
                <w:i/>
                <w:iCs/>
                <w:color w:val="000000"/>
                <w:sz w:val="16"/>
                <w:szCs w:val="16"/>
              </w:rPr>
              <w:t>(0.</w:t>
            </w:r>
            <w:r>
              <w:rPr>
                <w:i/>
                <w:iCs/>
                <w:color w:val="000000"/>
                <w:sz w:val="16"/>
                <w:szCs w:val="16"/>
              </w:rPr>
              <w:t>152</w:t>
            </w:r>
            <w:r w:rsidRPr="00DF70D9">
              <w:rPr>
                <w:i/>
                <w:iCs/>
                <w:color w:val="000000"/>
                <w:sz w:val="16"/>
                <w:szCs w:val="16"/>
              </w:rPr>
              <w:t>)</w:t>
            </w:r>
            <w:r>
              <w:rPr>
                <w:color w:val="000000"/>
                <w:sz w:val="18"/>
                <w:szCs w:val="18"/>
              </w:rPr>
              <w:t xml:space="preserve"> </w:t>
            </w:r>
          </w:p>
        </w:tc>
        <w:tc>
          <w:tcPr>
            <w:tcW w:w="2165" w:type="dxa"/>
            <w:vAlign w:val="center"/>
          </w:tcPr>
          <w:p w14:paraId="3527D6EB" w14:textId="58272188" w:rsidR="004B09AB" w:rsidRPr="00786A1D" w:rsidRDefault="004B09AB" w:rsidP="004B0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sz w:val="18"/>
                <w:szCs w:val="18"/>
              </w:rPr>
            </w:pPr>
            <w:r>
              <w:rPr>
                <w:color w:val="000000"/>
                <w:sz w:val="18"/>
                <w:szCs w:val="18"/>
              </w:rPr>
              <w:t>-</w:t>
            </w:r>
          </w:p>
        </w:tc>
        <w:tc>
          <w:tcPr>
            <w:tcW w:w="2165" w:type="dxa"/>
            <w:vAlign w:val="center"/>
          </w:tcPr>
          <w:p w14:paraId="546CBB0E" w14:textId="228BDF9E" w:rsidR="004B09AB" w:rsidRPr="00786A1D" w:rsidRDefault="004B09AB" w:rsidP="004B0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sz w:val="18"/>
                <w:szCs w:val="18"/>
              </w:rPr>
            </w:pPr>
            <w:r>
              <w:rPr>
                <w:color w:val="000000"/>
                <w:sz w:val="18"/>
                <w:szCs w:val="18"/>
              </w:rPr>
              <w:t>-</w:t>
            </w:r>
          </w:p>
        </w:tc>
      </w:tr>
      <w:tr w:rsidR="004B09AB" w:rsidRPr="000F0B3A" w14:paraId="6E7FD400" w14:textId="6B7E5BE9" w:rsidTr="008876A8">
        <w:trPr>
          <w:trHeight w:val="416"/>
          <w:jc w:val="center"/>
        </w:trPr>
        <w:tc>
          <w:tcPr>
            <w:tcW w:w="2262" w:type="dxa"/>
            <w:shd w:val="clear" w:color="auto" w:fill="auto"/>
            <w:vAlign w:val="center"/>
          </w:tcPr>
          <w:p w14:paraId="720BC632" w14:textId="5D4A41F2" w:rsidR="004B09AB" w:rsidRPr="000F0B3A" w:rsidRDefault="004B09AB" w:rsidP="004B0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sz w:val="18"/>
                <w:szCs w:val="18"/>
              </w:rPr>
            </w:pPr>
            <w:r>
              <w:rPr>
                <w:b/>
                <w:bCs/>
                <w:color w:val="000000"/>
                <w:sz w:val="18"/>
                <w:szCs w:val="18"/>
              </w:rPr>
              <w:t>Near-Earth</w:t>
            </w:r>
          </w:p>
        </w:tc>
        <w:tc>
          <w:tcPr>
            <w:tcW w:w="2164" w:type="dxa"/>
            <w:shd w:val="clear" w:color="auto" w:fill="auto"/>
            <w:vAlign w:val="center"/>
          </w:tcPr>
          <w:p w14:paraId="04D0C6F8" w14:textId="77777777" w:rsidR="004B09AB" w:rsidRDefault="004B09AB" w:rsidP="004B0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rPr>
            </w:pPr>
            <w:r w:rsidRPr="00786A1D">
              <w:rPr>
                <w:b/>
                <w:bCs/>
                <w:color w:val="000000"/>
                <w:sz w:val="18"/>
                <w:szCs w:val="18"/>
              </w:rPr>
              <w:t>-0.</w:t>
            </w:r>
            <w:r>
              <w:rPr>
                <w:b/>
                <w:bCs/>
                <w:color w:val="000000"/>
                <w:sz w:val="18"/>
                <w:szCs w:val="18"/>
              </w:rPr>
              <w:t>316</w:t>
            </w:r>
            <w:r>
              <w:rPr>
                <w:color w:val="000000"/>
                <w:sz w:val="18"/>
                <w:szCs w:val="18"/>
              </w:rPr>
              <w:t>**</w:t>
            </w:r>
          </w:p>
          <w:p w14:paraId="48BF507E" w14:textId="586DDAB4" w:rsidR="004B09AB" w:rsidRPr="000F0B3A" w:rsidRDefault="004B09AB" w:rsidP="004B0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rPr>
            </w:pPr>
            <w:r w:rsidRPr="00DF70D9">
              <w:rPr>
                <w:i/>
                <w:iCs/>
                <w:color w:val="000000"/>
                <w:sz w:val="16"/>
                <w:szCs w:val="16"/>
              </w:rPr>
              <w:t>(0.</w:t>
            </w:r>
            <w:r>
              <w:rPr>
                <w:i/>
                <w:iCs/>
                <w:color w:val="000000"/>
                <w:sz w:val="16"/>
                <w:szCs w:val="16"/>
              </w:rPr>
              <w:t>140</w:t>
            </w:r>
            <w:r w:rsidRPr="00DF70D9">
              <w:rPr>
                <w:i/>
                <w:iCs/>
                <w:color w:val="000000"/>
                <w:sz w:val="16"/>
                <w:szCs w:val="16"/>
              </w:rPr>
              <w:t>)</w:t>
            </w:r>
          </w:p>
        </w:tc>
        <w:tc>
          <w:tcPr>
            <w:tcW w:w="2165" w:type="dxa"/>
            <w:vAlign w:val="center"/>
          </w:tcPr>
          <w:p w14:paraId="096C1797" w14:textId="77777777" w:rsidR="004B09AB" w:rsidRDefault="004B09AB" w:rsidP="004B0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rPr>
            </w:pPr>
            <w:r w:rsidRPr="00786A1D">
              <w:rPr>
                <w:b/>
                <w:bCs/>
                <w:color w:val="000000"/>
                <w:sz w:val="18"/>
                <w:szCs w:val="18"/>
              </w:rPr>
              <w:t>-0.</w:t>
            </w:r>
            <w:r>
              <w:rPr>
                <w:b/>
                <w:bCs/>
                <w:color w:val="000000"/>
                <w:sz w:val="18"/>
                <w:szCs w:val="18"/>
              </w:rPr>
              <w:t>391*</w:t>
            </w:r>
          </w:p>
          <w:p w14:paraId="568EE997" w14:textId="12D1BA6C" w:rsidR="004B09AB" w:rsidRDefault="004B09AB" w:rsidP="004B0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rPr>
            </w:pPr>
            <w:r w:rsidRPr="00DF70D9">
              <w:rPr>
                <w:i/>
                <w:iCs/>
                <w:color w:val="000000"/>
                <w:sz w:val="16"/>
                <w:szCs w:val="16"/>
              </w:rPr>
              <w:t>(0.</w:t>
            </w:r>
            <w:r>
              <w:rPr>
                <w:i/>
                <w:iCs/>
                <w:color w:val="000000"/>
                <w:sz w:val="16"/>
                <w:szCs w:val="16"/>
              </w:rPr>
              <w:t>223</w:t>
            </w:r>
            <w:r w:rsidRPr="00DF70D9">
              <w:rPr>
                <w:i/>
                <w:iCs/>
                <w:color w:val="000000"/>
                <w:sz w:val="16"/>
                <w:szCs w:val="16"/>
              </w:rPr>
              <w:t>)</w:t>
            </w:r>
          </w:p>
        </w:tc>
        <w:tc>
          <w:tcPr>
            <w:tcW w:w="2165" w:type="dxa"/>
            <w:vAlign w:val="center"/>
          </w:tcPr>
          <w:p w14:paraId="12E98E6A" w14:textId="77777777" w:rsidR="004B09AB" w:rsidRPr="00786A1D" w:rsidRDefault="004B09AB" w:rsidP="004B0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sz w:val="18"/>
                <w:szCs w:val="18"/>
              </w:rPr>
            </w:pPr>
            <w:r w:rsidRPr="00786A1D">
              <w:rPr>
                <w:b/>
                <w:bCs/>
                <w:color w:val="000000"/>
                <w:sz w:val="18"/>
                <w:szCs w:val="18"/>
              </w:rPr>
              <w:t>-0.</w:t>
            </w:r>
            <w:r>
              <w:rPr>
                <w:b/>
                <w:bCs/>
                <w:color w:val="000000"/>
                <w:sz w:val="18"/>
                <w:szCs w:val="18"/>
              </w:rPr>
              <w:t>141</w:t>
            </w:r>
          </w:p>
          <w:p w14:paraId="6998DEB8" w14:textId="25092F6F" w:rsidR="004B09AB" w:rsidRDefault="004B09AB" w:rsidP="004B0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rPr>
            </w:pPr>
            <w:r w:rsidRPr="00DF70D9">
              <w:rPr>
                <w:i/>
                <w:iCs/>
                <w:color w:val="000000"/>
                <w:sz w:val="16"/>
                <w:szCs w:val="16"/>
              </w:rPr>
              <w:t>(0.</w:t>
            </w:r>
            <w:r>
              <w:rPr>
                <w:i/>
                <w:iCs/>
                <w:color w:val="000000"/>
                <w:sz w:val="16"/>
                <w:szCs w:val="16"/>
              </w:rPr>
              <w:t>217</w:t>
            </w:r>
            <w:r w:rsidRPr="00DF70D9">
              <w:rPr>
                <w:i/>
                <w:iCs/>
                <w:color w:val="000000"/>
                <w:sz w:val="16"/>
                <w:szCs w:val="16"/>
              </w:rPr>
              <w:t>)</w:t>
            </w:r>
          </w:p>
        </w:tc>
      </w:tr>
      <w:tr w:rsidR="004B09AB" w:rsidRPr="000F0B3A" w14:paraId="783EA75A" w14:textId="4793A554" w:rsidTr="008876A8">
        <w:trPr>
          <w:trHeight w:val="416"/>
          <w:jc w:val="center"/>
        </w:trPr>
        <w:tc>
          <w:tcPr>
            <w:tcW w:w="2262" w:type="dxa"/>
            <w:shd w:val="clear" w:color="auto" w:fill="auto"/>
            <w:vAlign w:val="center"/>
          </w:tcPr>
          <w:p w14:paraId="758EB41D" w14:textId="6C6D6E44" w:rsidR="004B09AB" w:rsidRPr="000F0B3A" w:rsidRDefault="004B09AB" w:rsidP="004B0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sz w:val="18"/>
                <w:szCs w:val="18"/>
              </w:rPr>
            </w:pPr>
            <w:r>
              <w:rPr>
                <w:b/>
                <w:bCs/>
                <w:color w:val="000000"/>
                <w:sz w:val="18"/>
                <w:szCs w:val="18"/>
              </w:rPr>
              <w:t>Lander</w:t>
            </w:r>
          </w:p>
        </w:tc>
        <w:tc>
          <w:tcPr>
            <w:tcW w:w="2164" w:type="dxa"/>
            <w:shd w:val="clear" w:color="auto" w:fill="auto"/>
            <w:vAlign w:val="center"/>
          </w:tcPr>
          <w:p w14:paraId="3D2C28B4" w14:textId="77777777" w:rsidR="004B09AB" w:rsidRPr="00786A1D" w:rsidRDefault="004B09AB" w:rsidP="004B0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sz w:val="18"/>
                <w:szCs w:val="18"/>
              </w:rPr>
            </w:pPr>
            <w:r w:rsidRPr="00786A1D">
              <w:rPr>
                <w:b/>
                <w:bCs/>
                <w:color w:val="000000"/>
                <w:sz w:val="18"/>
                <w:szCs w:val="18"/>
              </w:rPr>
              <w:t>0.</w:t>
            </w:r>
            <w:r>
              <w:rPr>
                <w:b/>
                <w:bCs/>
                <w:color w:val="000000"/>
                <w:sz w:val="18"/>
                <w:szCs w:val="18"/>
              </w:rPr>
              <w:t>394*</w:t>
            </w:r>
          </w:p>
          <w:p w14:paraId="7EA0C1FB" w14:textId="622260EC" w:rsidR="004B09AB" w:rsidRPr="000F0B3A" w:rsidRDefault="004B09AB" w:rsidP="004B0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rPr>
            </w:pPr>
            <w:r w:rsidRPr="00DF70D9">
              <w:rPr>
                <w:i/>
                <w:iCs/>
                <w:color w:val="000000"/>
                <w:sz w:val="16"/>
                <w:szCs w:val="16"/>
              </w:rPr>
              <w:t>(0.</w:t>
            </w:r>
            <w:r>
              <w:rPr>
                <w:i/>
                <w:iCs/>
                <w:color w:val="000000"/>
                <w:sz w:val="16"/>
                <w:szCs w:val="16"/>
              </w:rPr>
              <w:t>199</w:t>
            </w:r>
            <w:r w:rsidRPr="00DF70D9">
              <w:rPr>
                <w:i/>
                <w:iCs/>
                <w:color w:val="000000"/>
                <w:sz w:val="16"/>
                <w:szCs w:val="16"/>
              </w:rPr>
              <w:t>)</w:t>
            </w:r>
          </w:p>
        </w:tc>
        <w:tc>
          <w:tcPr>
            <w:tcW w:w="2165" w:type="dxa"/>
            <w:vAlign w:val="center"/>
          </w:tcPr>
          <w:p w14:paraId="5BED2E46" w14:textId="77777777" w:rsidR="004B09AB" w:rsidRPr="00786A1D" w:rsidRDefault="004B09AB" w:rsidP="004B0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sz w:val="18"/>
                <w:szCs w:val="18"/>
              </w:rPr>
            </w:pPr>
            <w:r w:rsidRPr="00786A1D">
              <w:rPr>
                <w:b/>
                <w:bCs/>
                <w:color w:val="000000"/>
                <w:sz w:val="18"/>
                <w:szCs w:val="18"/>
              </w:rPr>
              <w:t>0.</w:t>
            </w:r>
            <w:r>
              <w:rPr>
                <w:b/>
                <w:bCs/>
                <w:color w:val="000000"/>
                <w:sz w:val="18"/>
                <w:szCs w:val="18"/>
              </w:rPr>
              <w:t>378</w:t>
            </w:r>
          </w:p>
          <w:p w14:paraId="783F2AF5" w14:textId="35152CE4" w:rsidR="004B09AB" w:rsidRDefault="004B09AB" w:rsidP="004B0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rPr>
            </w:pPr>
            <w:r w:rsidRPr="00DF70D9">
              <w:rPr>
                <w:i/>
                <w:iCs/>
                <w:color w:val="000000"/>
                <w:sz w:val="16"/>
                <w:szCs w:val="16"/>
              </w:rPr>
              <w:t>(0.</w:t>
            </w:r>
            <w:r>
              <w:rPr>
                <w:i/>
                <w:iCs/>
                <w:color w:val="000000"/>
                <w:sz w:val="16"/>
                <w:szCs w:val="16"/>
              </w:rPr>
              <w:t>258</w:t>
            </w:r>
            <w:r w:rsidRPr="00DF70D9">
              <w:rPr>
                <w:i/>
                <w:iCs/>
                <w:color w:val="000000"/>
                <w:sz w:val="16"/>
                <w:szCs w:val="16"/>
              </w:rPr>
              <w:t>)</w:t>
            </w:r>
          </w:p>
        </w:tc>
        <w:tc>
          <w:tcPr>
            <w:tcW w:w="2165" w:type="dxa"/>
            <w:vAlign w:val="center"/>
          </w:tcPr>
          <w:p w14:paraId="0867EB2B" w14:textId="77777777" w:rsidR="004B09AB" w:rsidRPr="00786A1D" w:rsidRDefault="004B09AB" w:rsidP="004B0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sz w:val="18"/>
                <w:szCs w:val="18"/>
              </w:rPr>
            </w:pPr>
            <w:r w:rsidRPr="00786A1D">
              <w:rPr>
                <w:b/>
                <w:bCs/>
                <w:color w:val="000000"/>
                <w:sz w:val="18"/>
                <w:szCs w:val="18"/>
              </w:rPr>
              <w:t>0.</w:t>
            </w:r>
            <w:r>
              <w:rPr>
                <w:b/>
                <w:bCs/>
                <w:color w:val="000000"/>
                <w:sz w:val="18"/>
                <w:szCs w:val="18"/>
              </w:rPr>
              <w:t>375</w:t>
            </w:r>
          </w:p>
          <w:p w14:paraId="063A5C7D" w14:textId="15B576EA" w:rsidR="004B09AB" w:rsidRDefault="004B09AB" w:rsidP="004B0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rPr>
            </w:pPr>
            <w:r w:rsidRPr="00DF70D9">
              <w:rPr>
                <w:i/>
                <w:iCs/>
                <w:color w:val="000000"/>
                <w:sz w:val="16"/>
                <w:szCs w:val="16"/>
              </w:rPr>
              <w:t>(0.</w:t>
            </w:r>
            <w:r>
              <w:rPr>
                <w:i/>
                <w:iCs/>
                <w:color w:val="000000"/>
                <w:sz w:val="16"/>
                <w:szCs w:val="16"/>
              </w:rPr>
              <w:t>408</w:t>
            </w:r>
            <w:r w:rsidRPr="00DF70D9">
              <w:rPr>
                <w:i/>
                <w:iCs/>
                <w:color w:val="000000"/>
                <w:sz w:val="16"/>
                <w:szCs w:val="16"/>
              </w:rPr>
              <w:t>)</w:t>
            </w:r>
          </w:p>
        </w:tc>
      </w:tr>
      <w:tr w:rsidR="004B09AB" w:rsidRPr="000F0B3A" w14:paraId="541E2F9C" w14:textId="3D00DD33" w:rsidTr="005055F0">
        <w:trPr>
          <w:trHeight w:val="255"/>
          <w:jc w:val="center"/>
        </w:trPr>
        <w:tc>
          <w:tcPr>
            <w:tcW w:w="2262" w:type="dxa"/>
            <w:tcBorders>
              <w:top w:val="single" w:sz="4" w:space="0" w:color="auto"/>
            </w:tcBorders>
            <w:shd w:val="clear" w:color="auto" w:fill="auto"/>
            <w:vAlign w:val="center"/>
          </w:tcPr>
          <w:p w14:paraId="035C1C58" w14:textId="77777777" w:rsidR="004B09AB" w:rsidRPr="000F0B3A" w:rsidRDefault="004B09AB" w:rsidP="004B0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
              <w:jc w:val="center"/>
              <w:rPr>
                <w:b/>
                <w:bCs/>
                <w:color w:val="000000"/>
                <w:sz w:val="18"/>
                <w:szCs w:val="18"/>
              </w:rPr>
            </w:pPr>
            <w:r w:rsidRPr="000F0B3A">
              <w:rPr>
                <w:b/>
                <w:bCs/>
                <w:color w:val="000000"/>
                <w:sz w:val="18"/>
                <w:szCs w:val="18"/>
              </w:rPr>
              <w:t>R-Squared</w:t>
            </w:r>
          </w:p>
        </w:tc>
        <w:tc>
          <w:tcPr>
            <w:tcW w:w="2164" w:type="dxa"/>
            <w:tcBorders>
              <w:top w:val="single" w:sz="4" w:space="0" w:color="auto"/>
            </w:tcBorders>
            <w:shd w:val="clear" w:color="auto" w:fill="auto"/>
            <w:vAlign w:val="center"/>
          </w:tcPr>
          <w:p w14:paraId="431CCDE7" w14:textId="55AC3E06" w:rsidR="004B09AB" w:rsidRPr="000F0B3A" w:rsidRDefault="004B09AB" w:rsidP="004B0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rPr>
            </w:pPr>
            <w:r w:rsidRPr="000F0B3A">
              <w:rPr>
                <w:color w:val="000000"/>
                <w:sz w:val="18"/>
                <w:szCs w:val="18"/>
              </w:rPr>
              <w:t>0.</w:t>
            </w:r>
            <w:r>
              <w:rPr>
                <w:color w:val="000000"/>
                <w:sz w:val="18"/>
                <w:szCs w:val="18"/>
              </w:rPr>
              <w:t>797</w:t>
            </w:r>
          </w:p>
        </w:tc>
        <w:tc>
          <w:tcPr>
            <w:tcW w:w="2165" w:type="dxa"/>
            <w:tcBorders>
              <w:top w:val="single" w:sz="4" w:space="0" w:color="auto"/>
            </w:tcBorders>
            <w:shd w:val="clear" w:color="auto" w:fill="auto"/>
            <w:vAlign w:val="center"/>
          </w:tcPr>
          <w:p w14:paraId="3863C3A1" w14:textId="1690A97A" w:rsidR="004B09AB" w:rsidRPr="000F0B3A" w:rsidRDefault="004B09AB" w:rsidP="004B0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rPr>
            </w:pPr>
            <w:r>
              <w:rPr>
                <w:color w:val="000000"/>
                <w:sz w:val="18"/>
                <w:szCs w:val="18"/>
              </w:rPr>
              <w:t>0.508</w:t>
            </w:r>
          </w:p>
        </w:tc>
        <w:tc>
          <w:tcPr>
            <w:tcW w:w="2165" w:type="dxa"/>
            <w:tcBorders>
              <w:top w:val="single" w:sz="4" w:space="0" w:color="auto"/>
            </w:tcBorders>
          </w:tcPr>
          <w:p w14:paraId="6532B801" w14:textId="364D4570" w:rsidR="004B09AB" w:rsidRPr="000F0B3A" w:rsidRDefault="004B09AB" w:rsidP="004B0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rPr>
            </w:pPr>
            <w:r>
              <w:rPr>
                <w:color w:val="000000"/>
                <w:sz w:val="18"/>
                <w:szCs w:val="18"/>
              </w:rPr>
              <w:t>0.649</w:t>
            </w:r>
          </w:p>
        </w:tc>
      </w:tr>
      <w:tr w:rsidR="004B09AB" w:rsidRPr="000F0B3A" w14:paraId="523A578C" w14:textId="124A56DF" w:rsidTr="005055F0">
        <w:trPr>
          <w:trHeight w:val="255"/>
          <w:jc w:val="center"/>
        </w:trPr>
        <w:tc>
          <w:tcPr>
            <w:tcW w:w="2262" w:type="dxa"/>
            <w:shd w:val="clear" w:color="auto" w:fill="auto"/>
            <w:vAlign w:val="center"/>
          </w:tcPr>
          <w:p w14:paraId="2515589A" w14:textId="77777777" w:rsidR="004B09AB" w:rsidRPr="000F0B3A" w:rsidRDefault="004B09AB" w:rsidP="004B0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
              <w:jc w:val="center"/>
              <w:rPr>
                <w:b/>
                <w:bCs/>
                <w:color w:val="000000"/>
                <w:sz w:val="18"/>
                <w:szCs w:val="18"/>
              </w:rPr>
            </w:pPr>
            <w:r w:rsidRPr="000F0B3A">
              <w:rPr>
                <w:b/>
                <w:bCs/>
                <w:color w:val="000000"/>
                <w:sz w:val="18"/>
                <w:szCs w:val="18"/>
              </w:rPr>
              <w:t>Adjusted R</w:t>
            </w:r>
          </w:p>
        </w:tc>
        <w:tc>
          <w:tcPr>
            <w:tcW w:w="2164" w:type="dxa"/>
            <w:shd w:val="clear" w:color="auto" w:fill="auto"/>
            <w:vAlign w:val="center"/>
          </w:tcPr>
          <w:p w14:paraId="1BA49CB8" w14:textId="51A90999" w:rsidR="004B09AB" w:rsidRPr="000F0B3A" w:rsidRDefault="004B09AB" w:rsidP="004B0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rPr>
            </w:pPr>
            <w:r w:rsidRPr="000F0B3A">
              <w:rPr>
                <w:color w:val="000000"/>
                <w:sz w:val="18"/>
                <w:szCs w:val="18"/>
              </w:rPr>
              <w:t>0.</w:t>
            </w:r>
            <w:r>
              <w:rPr>
                <w:color w:val="000000"/>
                <w:sz w:val="18"/>
                <w:szCs w:val="18"/>
              </w:rPr>
              <w:t>781</w:t>
            </w:r>
          </w:p>
        </w:tc>
        <w:tc>
          <w:tcPr>
            <w:tcW w:w="2165" w:type="dxa"/>
            <w:shd w:val="clear" w:color="auto" w:fill="auto"/>
            <w:vAlign w:val="center"/>
          </w:tcPr>
          <w:p w14:paraId="75F800CD" w14:textId="497F141B" w:rsidR="004B09AB" w:rsidRPr="000F0B3A" w:rsidRDefault="004B09AB" w:rsidP="004B0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rPr>
            </w:pPr>
            <w:r>
              <w:rPr>
                <w:color w:val="000000"/>
                <w:sz w:val="18"/>
                <w:szCs w:val="18"/>
              </w:rPr>
              <w:t>0.443</w:t>
            </w:r>
          </w:p>
        </w:tc>
        <w:tc>
          <w:tcPr>
            <w:tcW w:w="2165" w:type="dxa"/>
          </w:tcPr>
          <w:p w14:paraId="48F36DCC" w14:textId="16421BA6" w:rsidR="004B09AB" w:rsidRPr="000F0B3A" w:rsidRDefault="004B09AB" w:rsidP="004B0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rPr>
            </w:pPr>
            <w:r>
              <w:rPr>
                <w:color w:val="000000"/>
                <w:sz w:val="18"/>
                <w:szCs w:val="18"/>
              </w:rPr>
              <w:t>0.601</w:t>
            </w:r>
          </w:p>
        </w:tc>
      </w:tr>
      <w:tr w:rsidR="004B09AB" w:rsidRPr="000F0B3A" w14:paraId="24299970" w14:textId="741310E1" w:rsidTr="005055F0">
        <w:trPr>
          <w:trHeight w:val="255"/>
          <w:jc w:val="center"/>
        </w:trPr>
        <w:tc>
          <w:tcPr>
            <w:tcW w:w="2262" w:type="dxa"/>
            <w:shd w:val="clear" w:color="auto" w:fill="auto"/>
            <w:vAlign w:val="center"/>
          </w:tcPr>
          <w:p w14:paraId="233D752C" w14:textId="77777777" w:rsidR="004B09AB" w:rsidRPr="000F0B3A" w:rsidRDefault="004B09AB" w:rsidP="004B0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
              <w:jc w:val="center"/>
              <w:rPr>
                <w:b/>
                <w:bCs/>
                <w:color w:val="000000"/>
                <w:sz w:val="18"/>
                <w:szCs w:val="18"/>
              </w:rPr>
            </w:pPr>
            <w:r w:rsidRPr="000F0B3A">
              <w:rPr>
                <w:b/>
                <w:bCs/>
                <w:color w:val="000000"/>
                <w:sz w:val="18"/>
                <w:szCs w:val="18"/>
              </w:rPr>
              <w:t>No. Observations</w:t>
            </w:r>
          </w:p>
        </w:tc>
        <w:tc>
          <w:tcPr>
            <w:tcW w:w="2164" w:type="dxa"/>
            <w:shd w:val="clear" w:color="auto" w:fill="auto"/>
            <w:vAlign w:val="center"/>
          </w:tcPr>
          <w:p w14:paraId="0510F027" w14:textId="173B8F1A" w:rsidR="004B09AB" w:rsidRDefault="004B09AB" w:rsidP="004B0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rPr>
            </w:pPr>
            <w:r>
              <w:rPr>
                <w:color w:val="000000"/>
                <w:sz w:val="18"/>
                <w:szCs w:val="18"/>
              </w:rPr>
              <w:t>69</w:t>
            </w:r>
          </w:p>
        </w:tc>
        <w:tc>
          <w:tcPr>
            <w:tcW w:w="2165" w:type="dxa"/>
            <w:shd w:val="clear" w:color="auto" w:fill="auto"/>
            <w:vAlign w:val="center"/>
          </w:tcPr>
          <w:p w14:paraId="408097CD" w14:textId="58EFA03D" w:rsidR="004B09AB" w:rsidRDefault="004B09AB" w:rsidP="004B0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rPr>
            </w:pPr>
            <w:r>
              <w:rPr>
                <w:color w:val="000000"/>
                <w:sz w:val="18"/>
                <w:szCs w:val="18"/>
              </w:rPr>
              <w:t>35</w:t>
            </w:r>
          </w:p>
        </w:tc>
        <w:tc>
          <w:tcPr>
            <w:tcW w:w="2165" w:type="dxa"/>
          </w:tcPr>
          <w:p w14:paraId="1A7B71FD" w14:textId="66B0A146" w:rsidR="004B09AB" w:rsidRDefault="004B09AB" w:rsidP="004B0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rPr>
            </w:pPr>
            <w:r>
              <w:rPr>
                <w:color w:val="000000"/>
                <w:sz w:val="18"/>
                <w:szCs w:val="18"/>
              </w:rPr>
              <w:t>34</w:t>
            </w:r>
          </w:p>
        </w:tc>
      </w:tr>
    </w:tbl>
    <w:p w14:paraId="526C5563" w14:textId="458C1725" w:rsidR="004A7591" w:rsidRPr="007F327E" w:rsidRDefault="004A7591" w:rsidP="004A7591">
      <w:pPr>
        <w:ind w:left="90"/>
        <w:jc w:val="center"/>
        <w:rPr>
          <w:iCs/>
          <w:sz w:val="18"/>
          <w:szCs w:val="18"/>
        </w:rPr>
      </w:pPr>
      <w:r w:rsidRPr="007F327E">
        <w:rPr>
          <w:iCs/>
          <w:sz w:val="18"/>
          <w:szCs w:val="18"/>
        </w:rPr>
        <w:t>Standard errors are reported in parentheses.</w:t>
      </w:r>
    </w:p>
    <w:p w14:paraId="211487AA" w14:textId="77777777" w:rsidR="004A7591" w:rsidRDefault="004A7591" w:rsidP="004A7591">
      <w:pPr>
        <w:ind w:left="90"/>
        <w:jc w:val="center"/>
        <w:rPr>
          <w:iCs/>
          <w:sz w:val="18"/>
          <w:szCs w:val="18"/>
        </w:rPr>
      </w:pPr>
      <w:r w:rsidRPr="007F327E">
        <w:rPr>
          <w:iCs/>
          <w:sz w:val="18"/>
          <w:szCs w:val="18"/>
        </w:rPr>
        <w:t>*, **, *** indicates significance at the 90%, 95%, and 99% level, respectively.</w:t>
      </w:r>
    </w:p>
    <w:p w14:paraId="42F9BA18" w14:textId="77777777" w:rsidR="00DF70D9" w:rsidRDefault="00DF70D9" w:rsidP="00DF70D9">
      <w:pPr>
        <w:ind w:left="90"/>
        <w:rPr>
          <w:iCs/>
          <w:sz w:val="18"/>
          <w:szCs w:val="18"/>
        </w:rPr>
      </w:pPr>
    </w:p>
    <w:p w14:paraId="64DFE717" w14:textId="692F7D76" w:rsidR="00353C7B" w:rsidRDefault="00950141" w:rsidP="00353C7B">
      <w:pPr>
        <w:pStyle w:val="Text"/>
      </w:pPr>
      <w:r>
        <w:t>T</w:t>
      </w:r>
      <w:r w:rsidR="00353C7B" w:rsidRPr="00DB6869">
        <w:t xml:space="preserve">he coefficient for the dry mass </w:t>
      </w:r>
      <w:r w:rsidR="00353C7B" w:rsidRPr="00D321F0">
        <w:t>variable is 0.</w:t>
      </w:r>
      <w:r w:rsidR="00E77DB9" w:rsidRPr="00D321F0">
        <w:t>555</w:t>
      </w:r>
      <w:r w:rsidR="00353C7B" w:rsidRPr="00D321F0">
        <w:t xml:space="preserve">, </w:t>
      </w:r>
      <w:r w:rsidRPr="00D321F0">
        <w:t>0.</w:t>
      </w:r>
      <w:r w:rsidR="00E77DB9" w:rsidRPr="00D321F0">
        <w:t>551</w:t>
      </w:r>
      <w:r w:rsidRPr="00D321F0">
        <w:t xml:space="preserve">, and </w:t>
      </w:r>
      <w:r w:rsidR="00413274" w:rsidRPr="00D321F0">
        <w:t>0.</w:t>
      </w:r>
      <w:r w:rsidR="00E77DB9" w:rsidRPr="00D321F0">
        <w:t>599</w:t>
      </w:r>
      <w:r w:rsidR="00413274" w:rsidRPr="00D321F0">
        <w:t xml:space="preserve">, for </w:t>
      </w:r>
      <w:r w:rsidR="003241F8" w:rsidRPr="00D321F0">
        <w:t>E</w:t>
      </w:r>
      <w:r w:rsidR="00413274" w:rsidRPr="00D321F0">
        <w:t xml:space="preserve">stimates 1, 2, and 3, respectively, </w:t>
      </w:r>
      <w:r w:rsidR="00353C7B" w:rsidRPr="00D321F0">
        <w:t>with a p-value</w:t>
      </w:r>
      <w:r w:rsidR="00413274" w:rsidRPr="00D321F0">
        <w:t>s</w:t>
      </w:r>
      <w:r w:rsidR="00353C7B" w:rsidRPr="00D321F0">
        <w:t xml:space="preserve"> of 0.0</w:t>
      </w:r>
      <w:r w:rsidR="00E77DB9" w:rsidRPr="00D321F0">
        <w:t>00</w:t>
      </w:r>
      <w:r w:rsidR="00353C7B" w:rsidRPr="00D321F0">
        <w:t xml:space="preserve">. As both cost and dry mass are log-transformed, </w:t>
      </w:r>
      <w:r w:rsidR="00A103B8">
        <w:t>these</w:t>
      </w:r>
      <w:r w:rsidR="00353C7B" w:rsidRPr="00D321F0">
        <w:t xml:space="preserve"> coefficient</w:t>
      </w:r>
      <w:r w:rsidR="00A103B8">
        <w:t>s</w:t>
      </w:r>
      <w:r w:rsidR="00353C7B" w:rsidRPr="00D321F0">
        <w:t xml:space="preserve"> indicate that a 1 percent increase in dry mass results in an average </w:t>
      </w:r>
      <w:r w:rsidR="00792B0B" w:rsidRPr="00D321F0">
        <w:t xml:space="preserve">of about </w:t>
      </w:r>
      <w:r w:rsidR="00353C7B" w:rsidRPr="00D321F0">
        <w:t>0.</w:t>
      </w:r>
      <w:r w:rsidR="00E77DB9" w:rsidRPr="00D321F0">
        <w:t>5</w:t>
      </w:r>
      <w:r w:rsidR="00353C7B" w:rsidRPr="00D321F0">
        <w:t xml:space="preserve"> percent increase in cost.</w:t>
      </w:r>
      <w:r w:rsidRPr="00D321F0">
        <w:t xml:space="preserve"> </w:t>
      </w:r>
      <w:r w:rsidR="00A103B8">
        <w:t xml:space="preserve">In other words, spacecraft cost scales approximately with the square root of dry mass, when all else is equal.  </w:t>
      </w:r>
      <w:r w:rsidR="004B09AB" w:rsidRPr="00D321F0">
        <w:t xml:space="preserve">For the mission risk classification variable, the coefficient is -0.645, with a p-value of 0.000. This indicates that the cost of spacecraft for </w:t>
      </w:r>
      <w:r w:rsidR="00B05574">
        <w:t>C</w:t>
      </w:r>
      <w:r w:rsidR="004B09AB" w:rsidRPr="00D321F0">
        <w:t xml:space="preserve">lass </w:t>
      </w:r>
      <w:r w:rsidR="00B05574">
        <w:t>C/D projects</w:t>
      </w:r>
      <w:r w:rsidR="004B09AB" w:rsidRPr="00D321F0">
        <w:t xml:space="preserve"> is, on average, 48 percent lower than for </w:t>
      </w:r>
      <w:r w:rsidR="00B05574">
        <w:t>C</w:t>
      </w:r>
      <w:r w:rsidR="004B09AB" w:rsidRPr="00D321F0">
        <w:t xml:space="preserve">lass </w:t>
      </w:r>
      <w:r w:rsidR="00B05574">
        <w:t>A/B</w:t>
      </w:r>
      <w:r w:rsidR="004B09AB" w:rsidRPr="00D321F0">
        <w:t xml:space="preserve"> missions. </w:t>
      </w:r>
      <w:r w:rsidR="00B6470B" w:rsidRPr="00D321F0">
        <w:t xml:space="preserve">The </w:t>
      </w:r>
      <w:r w:rsidR="00E77DB9" w:rsidRPr="00D321F0">
        <w:t>near-Earth</w:t>
      </w:r>
      <w:r w:rsidR="00B6470B" w:rsidRPr="00D321F0">
        <w:t xml:space="preserve"> variable has a coefficient of -0.</w:t>
      </w:r>
      <w:r w:rsidR="00E77DB9" w:rsidRPr="00D321F0">
        <w:t>316</w:t>
      </w:r>
      <w:r w:rsidR="00B6470B" w:rsidRPr="00D321F0">
        <w:t>, with a p-value of 0.0</w:t>
      </w:r>
      <w:r w:rsidR="00E77DB9" w:rsidRPr="00D321F0">
        <w:t>28</w:t>
      </w:r>
      <w:r w:rsidR="00B6470B" w:rsidRPr="00D321F0">
        <w:t xml:space="preserve">, when all </w:t>
      </w:r>
      <w:r w:rsidR="006267D7" w:rsidRPr="00D321F0">
        <w:t xml:space="preserve">projects are observed. This shows that spacecraft intended for </w:t>
      </w:r>
      <w:r w:rsidR="00E77DB9" w:rsidRPr="00D321F0">
        <w:t>near-Earth operations</w:t>
      </w:r>
      <w:r w:rsidR="006267D7" w:rsidRPr="00D321F0">
        <w:t xml:space="preserve"> costs, on average, </w:t>
      </w:r>
      <w:r w:rsidR="00E77DB9" w:rsidRPr="00D321F0">
        <w:t xml:space="preserve">27 </w:t>
      </w:r>
      <w:r w:rsidR="006267D7" w:rsidRPr="00D321F0">
        <w:t xml:space="preserve">percent less than those destined for </w:t>
      </w:r>
      <w:r w:rsidR="00E77DB9" w:rsidRPr="00D321F0">
        <w:t>deep space</w:t>
      </w:r>
      <w:r w:rsidR="006267D7" w:rsidRPr="00D321F0">
        <w:t>.</w:t>
      </w:r>
      <w:r w:rsidR="00B6470B" w:rsidRPr="00D321F0">
        <w:t xml:space="preserve"> </w:t>
      </w:r>
      <w:r w:rsidR="004B09AB" w:rsidRPr="00D321F0">
        <w:t>Lastly, t</w:t>
      </w:r>
      <w:r w:rsidRPr="00D321F0">
        <w:t>he coefficient for the lander variable</w:t>
      </w:r>
      <w:r w:rsidR="004B09AB" w:rsidRPr="00D321F0">
        <w:t xml:space="preserve"> is 0.394 </w:t>
      </w:r>
      <w:r w:rsidR="004B09AB" w:rsidRPr="00D321F0">
        <w:lastRenderedPageBreak/>
        <w:t xml:space="preserve">when all </w:t>
      </w:r>
      <w:r w:rsidR="000A2C54" w:rsidRPr="00D321F0">
        <w:t>projects are observed, with p-value of 0.052, indicating an average of 48 percent increase in cost for landers compared to non-landers.</w:t>
      </w:r>
      <w:r w:rsidR="00E64656" w:rsidRPr="00D321F0">
        <w:t xml:space="preserve"> </w:t>
      </w:r>
      <w:r w:rsidR="000A2C54" w:rsidRPr="00D321F0">
        <w:t>The resulting regression equation from Estimate 1 is as follows:</w:t>
      </w:r>
    </w:p>
    <w:p w14:paraId="10E4ED7B" w14:textId="77777777" w:rsidR="008C2F99" w:rsidRPr="00D321F0" w:rsidRDefault="008C2F99" w:rsidP="00353C7B">
      <w:pPr>
        <w:pStyle w:val="Text"/>
      </w:pPr>
    </w:p>
    <w:p w14:paraId="2E3BF211" w14:textId="3CCD26A4" w:rsidR="000A2C54" w:rsidRDefault="00F85CE2" w:rsidP="007F5012">
      <w:pPr>
        <w:pStyle w:val="Text"/>
        <w:ind w:left="3060" w:hanging="2790"/>
        <w:jc w:val="left"/>
        <w:rPr>
          <w:iCs/>
        </w:rPr>
      </w:pPr>
      <m:oMath>
        <m:r>
          <w:rPr>
            <w:rFonts w:ascii="Cambria Math" w:hAnsi="Cambria Math"/>
          </w:rPr>
          <m:t>LnSpacecraftCost</m:t>
        </m:r>
        <m:r>
          <m:rPr>
            <m:sty m:val="p"/>
          </m:rPr>
          <w:rPr>
            <w:rFonts w:ascii="Cambria Math" w:hAnsi="Cambria Math"/>
          </w:rPr>
          <m:t xml:space="preserve"> </m:t>
        </m:r>
        <m:d>
          <m:dPr>
            <m:ctrlPr>
              <w:rPr>
                <w:rFonts w:ascii="Cambria Math" w:hAnsi="Cambria Math"/>
                <w:i/>
                <w:iCs/>
              </w:rPr>
            </m:ctrlPr>
          </m:dPr>
          <m:e>
            <m:r>
              <w:rPr>
                <w:rFonts w:ascii="Cambria Math" w:hAnsi="Cambria Math"/>
              </w:rPr>
              <m:t>in FY24 $M</m:t>
            </m:r>
          </m:e>
        </m:d>
        <m:r>
          <m:rPr>
            <m:sty m:val="p"/>
          </m:rPr>
          <w:rPr>
            <w:rFonts w:ascii="Cambria Math" w:hAnsi="Cambria Math"/>
          </w:rPr>
          <m:t>= 2.346-0.</m:t>
        </m:r>
        <m:r>
          <w:rPr>
            <w:rFonts w:ascii="Cambria Math" w:hAnsi="Cambria Math"/>
          </w:rPr>
          <m:t>291SpacecraftDeveloper</m:t>
        </m:r>
        <m:r>
          <m:rPr>
            <m:sty m:val="p"/>
          </m:rPr>
          <w:rPr>
            <w:rFonts w:ascii="Cambria Math" w:hAnsi="Cambria Math"/>
          </w:rPr>
          <m:t>+0.555</m:t>
        </m:r>
        <m:r>
          <w:rPr>
            <w:rFonts w:ascii="Cambria Math" w:hAnsi="Cambria Math"/>
          </w:rPr>
          <m:t>LnDryMass</m:t>
        </m:r>
        <m:r>
          <m:rPr>
            <m:sty m:val="p"/>
          </m:rPr>
          <w:rPr>
            <w:rFonts w:ascii="Cambria Math" w:hAnsi="Cambria Math"/>
          </w:rPr>
          <m:t>-0.645</m:t>
        </m:r>
        <m:r>
          <w:rPr>
            <w:rFonts w:ascii="Cambria Math" w:hAnsi="Cambria Math"/>
          </w:rPr>
          <m:t>MissionRiskClass</m:t>
        </m:r>
        <m:r>
          <m:rPr>
            <m:sty m:val="p"/>
          </m:rPr>
          <w:rPr>
            <w:rFonts w:ascii="Cambria Math" w:hAnsi="Cambria Math"/>
          </w:rPr>
          <m:t>-0.316</m:t>
        </m:r>
        <m:r>
          <w:rPr>
            <w:rFonts w:ascii="Cambria Math" w:hAnsi="Cambria Math"/>
          </w:rPr>
          <m:t>NearEarth</m:t>
        </m:r>
        <m:r>
          <m:rPr>
            <m:sty m:val="p"/>
          </m:rPr>
          <w:rPr>
            <w:rFonts w:ascii="Cambria Math" w:hAnsi="Cambria Math"/>
          </w:rPr>
          <m:t>+0.394</m:t>
        </m:r>
        <m:r>
          <w:rPr>
            <w:rFonts w:ascii="Cambria Math" w:hAnsi="Cambria Math"/>
          </w:rPr>
          <m:t>Lander</m:t>
        </m:r>
      </m:oMath>
      <w:r w:rsidR="000A2C54" w:rsidRPr="00D321F0">
        <w:rPr>
          <w:iCs/>
        </w:rPr>
        <w:tab/>
      </w:r>
      <w:r w:rsidR="000A2C54" w:rsidRPr="00D321F0">
        <w:rPr>
          <w:iCs/>
        </w:rPr>
        <w:tab/>
      </w:r>
      <w:r w:rsidR="008C2F99">
        <w:rPr>
          <w:iCs/>
        </w:rPr>
        <w:t xml:space="preserve">Eq. </w:t>
      </w:r>
      <w:r w:rsidR="000A2C54" w:rsidRPr="00D321F0">
        <w:rPr>
          <w:rFonts w:hint="eastAsia"/>
          <w:iCs/>
        </w:rPr>
        <w:t>(</w:t>
      </w:r>
      <w:r w:rsidR="00077663" w:rsidRPr="00D321F0">
        <w:rPr>
          <w:iCs/>
          <w:lang w:eastAsia="zh-TW"/>
        </w:rPr>
        <w:t>2</w:t>
      </w:r>
      <w:r w:rsidR="000A2C54" w:rsidRPr="00D321F0">
        <w:rPr>
          <w:rFonts w:hint="eastAsia"/>
          <w:iCs/>
        </w:rPr>
        <w:t>)</w:t>
      </w:r>
    </w:p>
    <w:p w14:paraId="30FCA4D9" w14:textId="77777777" w:rsidR="008C2F99" w:rsidRPr="00F85CE2" w:rsidRDefault="008C2F99" w:rsidP="007F5012">
      <w:pPr>
        <w:pStyle w:val="Text"/>
        <w:ind w:left="3060" w:hanging="2790"/>
        <w:jc w:val="left"/>
      </w:pPr>
    </w:p>
    <w:p w14:paraId="7140566C" w14:textId="0945AC34" w:rsidR="007F5012" w:rsidRDefault="00F85CE2" w:rsidP="007F5012">
      <w:pPr>
        <w:pStyle w:val="Text"/>
        <w:tabs>
          <w:tab w:val="clear" w:pos="288"/>
        </w:tabs>
        <w:ind w:left="1260" w:hanging="1260"/>
        <w:rPr>
          <w:iCs/>
        </w:rPr>
      </w:pPr>
      <w:r>
        <w:rPr>
          <w:iCs/>
        </w:rPr>
        <w:t>Converting</w:t>
      </w:r>
      <w:r w:rsidR="00077663" w:rsidRPr="00D321F0">
        <w:rPr>
          <w:iCs/>
        </w:rPr>
        <w:t xml:space="preserve"> Equation 2 to adjust for log-transformation, the resulting </w:t>
      </w:r>
      <w:r w:rsidR="007F5012">
        <w:rPr>
          <w:iCs/>
        </w:rPr>
        <w:t xml:space="preserve">equation </w:t>
      </w:r>
      <w:r w:rsidR="00077663" w:rsidRPr="00D321F0">
        <w:rPr>
          <w:iCs/>
        </w:rPr>
        <w:t>is as follows:</w:t>
      </w:r>
      <w:r w:rsidR="00671556" w:rsidRPr="00D321F0">
        <w:rPr>
          <w:iCs/>
        </w:rPr>
        <w:tab/>
      </w:r>
    </w:p>
    <w:p w14:paraId="0CEFAEB4" w14:textId="77777777" w:rsidR="008C2F99" w:rsidRDefault="008C2F99" w:rsidP="007F5012">
      <w:pPr>
        <w:pStyle w:val="Text"/>
        <w:tabs>
          <w:tab w:val="clear" w:pos="288"/>
        </w:tabs>
        <w:ind w:left="1260" w:hanging="1260"/>
        <w:rPr>
          <w:iCs/>
        </w:rPr>
      </w:pPr>
    </w:p>
    <w:p w14:paraId="007ED38F" w14:textId="4801AC0F" w:rsidR="00F85CE2" w:rsidRPr="00F85CE2" w:rsidRDefault="00F85CE2" w:rsidP="007F5012">
      <w:pPr>
        <w:pStyle w:val="Text"/>
        <w:tabs>
          <w:tab w:val="clear" w:pos="288"/>
        </w:tabs>
        <w:ind w:left="2970" w:hanging="2682"/>
        <w:rPr>
          <w:iCs/>
        </w:rPr>
      </w:pPr>
      <m:oMath>
        <m:r>
          <w:rPr>
            <w:rFonts w:ascii="Cambria Math" w:hAnsi="Cambria Math"/>
          </w:rPr>
          <m:t xml:space="preserve">SpacecraftCost(in FY24 $M)= 10.444 × </m:t>
        </m:r>
        <m:sSup>
          <m:sSupPr>
            <m:ctrlPr>
              <w:rPr>
                <w:rFonts w:ascii="Cambria Math" w:hAnsi="Cambria Math"/>
                <w:i/>
              </w:rPr>
            </m:ctrlPr>
          </m:sSupPr>
          <m:e>
            <m:r>
              <w:rPr>
                <w:rFonts w:ascii="Cambria Math" w:hAnsi="Cambria Math"/>
              </w:rPr>
              <m:t>SpacecraftDeveloper</m:t>
            </m:r>
          </m:e>
          <m:sup>
            <m:r>
              <w:rPr>
                <w:rFonts w:ascii="Cambria Math" w:hAnsi="Cambria Math"/>
              </w:rPr>
              <m:t>-0.291</m:t>
            </m:r>
          </m:sup>
        </m:sSup>
        <m:r>
          <w:rPr>
            <w:rFonts w:ascii="Cambria Math" w:hAnsi="Cambria Math"/>
          </w:rPr>
          <m:t xml:space="preserve">× </m:t>
        </m:r>
        <m:sSup>
          <m:sSupPr>
            <m:ctrlPr>
              <w:rPr>
                <w:rFonts w:ascii="Cambria Math" w:hAnsi="Cambria Math"/>
                <w:i/>
              </w:rPr>
            </m:ctrlPr>
          </m:sSupPr>
          <m:e>
            <m:r>
              <w:rPr>
                <w:rFonts w:ascii="Cambria Math" w:hAnsi="Cambria Math"/>
              </w:rPr>
              <m:t>DryMass</m:t>
            </m:r>
          </m:e>
          <m:sup>
            <m:r>
              <w:rPr>
                <w:rFonts w:ascii="Cambria Math" w:hAnsi="Cambria Math"/>
              </w:rPr>
              <m:t>0.555</m:t>
            </m:r>
          </m:sup>
        </m:sSup>
        <m:r>
          <w:rPr>
            <w:rFonts w:ascii="Cambria Math" w:hAnsi="Cambria Math"/>
          </w:rPr>
          <m:t xml:space="preserve">× </m:t>
        </m:r>
        <m:sSup>
          <m:sSupPr>
            <m:ctrlPr>
              <w:rPr>
                <w:rFonts w:ascii="Cambria Math" w:hAnsi="Cambria Math"/>
                <w:i/>
              </w:rPr>
            </m:ctrlPr>
          </m:sSupPr>
          <m:e>
            <m:r>
              <w:rPr>
                <w:rFonts w:ascii="Cambria Math" w:hAnsi="Cambria Math"/>
              </w:rPr>
              <m:t>MissionRiskClass</m:t>
            </m:r>
          </m:e>
          <m:sup>
            <m:r>
              <w:rPr>
                <w:rFonts w:ascii="Cambria Math" w:hAnsi="Cambria Math"/>
              </w:rPr>
              <m:t>-0.645</m:t>
            </m:r>
          </m:sup>
        </m:sSup>
        <m:r>
          <w:rPr>
            <w:rFonts w:ascii="Cambria Math" w:hAnsi="Cambria Math"/>
          </w:rPr>
          <m:t xml:space="preserve">× </m:t>
        </m:r>
        <m:sSup>
          <m:sSupPr>
            <m:ctrlPr>
              <w:rPr>
                <w:rFonts w:ascii="Cambria Math" w:hAnsi="Cambria Math"/>
                <w:i/>
              </w:rPr>
            </m:ctrlPr>
          </m:sSupPr>
          <m:e>
            <m:r>
              <w:rPr>
                <w:rFonts w:ascii="Cambria Math" w:hAnsi="Cambria Math"/>
              </w:rPr>
              <m:t>NearEarth</m:t>
            </m:r>
          </m:e>
          <m:sup>
            <m:r>
              <w:rPr>
                <w:rFonts w:ascii="Cambria Math" w:hAnsi="Cambria Math"/>
              </w:rPr>
              <m:t>-0.316</m:t>
            </m:r>
          </m:sup>
        </m:sSup>
        <m:r>
          <w:rPr>
            <w:rFonts w:ascii="Cambria Math" w:hAnsi="Cambria Math"/>
          </w:rPr>
          <m:t xml:space="preserve">× </m:t>
        </m:r>
        <m:sSup>
          <m:sSupPr>
            <m:ctrlPr>
              <w:rPr>
                <w:rFonts w:ascii="Cambria Math" w:hAnsi="Cambria Math"/>
                <w:i/>
              </w:rPr>
            </m:ctrlPr>
          </m:sSupPr>
          <m:e>
            <m:r>
              <w:rPr>
                <w:rFonts w:ascii="Cambria Math" w:hAnsi="Cambria Math"/>
              </w:rPr>
              <m:t>Lander</m:t>
            </m:r>
          </m:e>
          <m:sup>
            <m:r>
              <w:rPr>
                <w:rFonts w:ascii="Cambria Math" w:hAnsi="Cambria Math"/>
              </w:rPr>
              <m:t>0.394</m:t>
            </m:r>
          </m:sup>
        </m:sSup>
      </m:oMath>
      <w:r>
        <w:tab/>
      </w:r>
      <w:r w:rsidRPr="00D321F0">
        <w:rPr>
          <w:iCs/>
        </w:rPr>
        <w:tab/>
      </w:r>
      <w:r>
        <w:rPr>
          <w:iCs/>
        </w:rPr>
        <w:tab/>
      </w:r>
      <w:r w:rsidR="008C2F99">
        <w:rPr>
          <w:iCs/>
        </w:rPr>
        <w:t xml:space="preserve">Eq. </w:t>
      </w:r>
      <w:r w:rsidRPr="00D321F0">
        <w:rPr>
          <w:iCs/>
        </w:rPr>
        <w:t>(3)</w:t>
      </w:r>
    </w:p>
    <w:p w14:paraId="752172B2" w14:textId="6CA60173" w:rsidR="000D217E" w:rsidRDefault="000D217E" w:rsidP="008C2F99">
      <w:pPr>
        <w:pStyle w:val="Heading1"/>
        <w:numPr>
          <w:ilvl w:val="0"/>
          <w:numId w:val="38"/>
        </w:numPr>
        <w:ind w:left="360"/>
      </w:pPr>
      <w:r>
        <w:t>Discussion</w:t>
      </w:r>
    </w:p>
    <w:p w14:paraId="33DE8222" w14:textId="5FB2D109" w:rsidR="00850B23" w:rsidRDefault="003363AA" w:rsidP="007144AB">
      <w:pPr>
        <w:pStyle w:val="Text"/>
      </w:pPr>
      <w:r w:rsidRPr="003363AA">
        <w:t xml:space="preserve">The regression results reveal statistically significant cost savings for industry-built spacecraft compared to those developed by NASA. When converting the coefficient from the log-transformed dependent variable, the analysis indicates an average cost </w:t>
      </w:r>
      <w:r w:rsidRPr="00D321F0">
        <w:t>decrease of </w:t>
      </w:r>
      <w:r w:rsidR="00671556" w:rsidRPr="00D321F0">
        <w:t xml:space="preserve">25 </w:t>
      </w:r>
      <w:r w:rsidRPr="00D321F0">
        <w:t>percent for industry-built</w:t>
      </w:r>
      <w:r w:rsidRPr="003363AA">
        <w:t xml:space="preserve"> spacecraft, holding all other </w:t>
      </w:r>
      <w:r w:rsidR="008D7CA5">
        <w:t>independent variables</w:t>
      </w:r>
      <w:r w:rsidRPr="003363AA">
        <w:t xml:space="preserve"> constant. </w:t>
      </w:r>
      <w:r w:rsidR="00CF62F6">
        <w:t xml:space="preserve">In other words, </w:t>
      </w:r>
      <w:r w:rsidR="00694767">
        <w:t>for the same spacecraft design and specifications, the industry can build it at a lower cost than NASA.</w:t>
      </w:r>
      <w:r w:rsidR="002F4CCD">
        <w:t xml:space="preserve"> However, </w:t>
      </w:r>
      <w:r w:rsidR="00361361">
        <w:t xml:space="preserve">when the sample is separated into </w:t>
      </w:r>
      <w:r w:rsidR="00366E85">
        <w:t xml:space="preserve">Class </w:t>
      </w:r>
      <w:r w:rsidR="00361361">
        <w:t>A</w:t>
      </w:r>
      <w:r w:rsidR="009776C1">
        <w:t>/</w:t>
      </w:r>
      <w:r w:rsidR="00361361">
        <w:t>B projects and C</w:t>
      </w:r>
      <w:r w:rsidR="009776C1">
        <w:t xml:space="preserve">/D </w:t>
      </w:r>
      <w:r w:rsidR="00361361">
        <w:t>projects</w:t>
      </w:r>
      <w:r w:rsidR="00732AF1">
        <w:t>, the coefficient is statistically significant for the latter group only.</w:t>
      </w:r>
      <w:r w:rsidR="006B7175">
        <w:t xml:space="preserve"> The results suggest </w:t>
      </w:r>
      <w:r w:rsidR="0052310D">
        <w:t xml:space="preserve">that the cost of </w:t>
      </w:r>
      <w:r w:rsidR="00A63B5F">
        <w:t xml:space="preserve">spacecraft does not depend on the </w:t>
      </w:r>
      <w:r w:rsidR="00366E85">
        <w:t>developer type</w:t>
      </w:r>
      <w:r w:rsidR="001A1199">
        <w:t xml:space="preserve"> </w:t>
      </w:r>
      <w:r w:rsidR="00A63B5F">
        <w:t xml:space="preserve">for </w:t>
      </w:r>
      <w:r w:rsidR="00B05574">
        <w:t>C</w:t>
      </w:r>
      <w:r w:rsidR="00A63B5F">
        <w:t xml:space="preserve">lass </w:t>
      </w:r>
      <w:r w:rsidR="00B05574">
        <w:t>A/B</w:t>
      </w:r>
      <w:r w:rsidR="00A63B5F">
        <w:t xml:space="preserve"> projects</w:t>
      </w:r>
      <w:r w:rsidR="005B4003">
        <w:t xml:space="preserve">. </w:t>
      </w:r>
      <w:r w:rsidR="00C60078">
        <w:t>On the other hand</w:t>
      </w:r>
      <w:r w:rsidR="005B4003">
        <w:t xml:space="preserve">, for </w:t>
      </w:r>
      <w:r w:rsidR="00B05574">
        <w:t>Class</w:t>
      </w:r>
      <w:r w:rsidR="005B4003">
        <w:t xml:space="preserve"> C</w:t>
      </w:r>
      <w:r w:rsidR="00B05574">
        <w:t>/</w:t>
      </w:r>
      <w:r w:rsidR="005B4003">
        <w:t>D projects,</w:t>
      </w:r>
      <w:r w:rsidR="00A63B5F">
        <w:t xml:space="preserve"> </w:t>
      </w:r>
      <w:r w:rsidR="00113D78">
        <w:t xml:space="preserve">industry-built spacecraft are associated with an average cost reduction of </w:t>
      </w:r>
      <w:r w:rsidR="00671556" w:rsidRPr="000A0367">
        <w:t>30</w:t>
      </w:r>
      <w:r w:rsidR="00366E85" w:rsidRPr="000A0367">
        <w:t xml:space="preserve"> </w:t>
      </w:r>
      <w:r w:rsidR="00113D78" w:rsidRPr="000A0367">
        <w:t>percent</w:t>
      </w:r>
      <w:r w:rsidR="00113D78">
        <w:t xml:space="preserve"> compared to NASA-built spacecraft</w:t>
      </w:r>
      <w:r w:rsidR="005B4003">
        <w:t>.</w:t>
      </w:r>
    </w:p>
    <w:p w14:paraId="3AE0DEFF" w14:textId="4896C6B6" w:rsidR="00B251AD" w:rsidRDefault="009E0FA8" w:rsidP="00B251AD">
      <w:pPr>
        <w:pStyle w:val="Text"/>
      </w:pPr>
      <w:r>
        <w:t>A</w:t>
      </w:r>
      <w:r w:rsidR="00B251AD">
        <w:t xml:space="preserve">nalyzing the results of all three estimates provides valuable insights. Class </w:t>
      </w:r>
      <w:r w:rsidR="00B05574">
        <w:t>C/D</w:t>
      </w:r>
      <w:r w:rsidR="00B251AD">
        <w:t xml:space="preserve"> projects are </w:t>
      </w:r>
      <w:r w:rsidR="00366E85">
        <w:t xml:space="preserve">generally </w:t>
      </w:r>
      <w:r w:rsidR="00B251AD">
        <w:t xml:space="preserve">less complex than Class </w:t>
      </w:r>
      <w:r w:rsidR="00B05574">
        <w:t>A/B</w:t>
      </w:r>
      <w:r w:rsidR="00B251AD">
        <w:t xml:space="preserve"> projects. </w:t>
      </w:r>
      <w:r w:rsidR="00C819D0">
        <w:t>In addition</w:t>
      </w:r>
      <w:r w:rsidR="00B251AD">
        <w:t xml:space="preserve">, Class </w:t>
      </w:r>
      <w:r w:rsidR="00B05574">
        <w:t>C/D</w:t>
      </w:r>
      <w:r w:rsidR="00B251AD">
        <w:t xml:space="preserve"> projects generally involve </w:t>
      </w:r>
      <w:r w:rsidR="00366E85">
        <w:t xml:space="preserve">components </w:t>
      </w:r>
      <w:r w:rsidR="00B251AD">
        <w:t xml:space="preserve">with higher technology readiness levels (TRLs), </w:t>
      </w:r>
      <w:r w:rsidR="00366E85">
        <w:t xml:space="preserve">and </w:t>
      </w:r>
      <w:r w:rsidR="00B251AD">
        <w:t>allow for greater acceptance of industry practices</w:t>
      </w:r>
      <w:r w:rsidR="00366E85">
        <w:t>, less intrusive oversight,</w:t>
      </w:r>
      <w:r w:rsidR="00B251AD">
        <w:t xml:space="preserve"> and lower </w:t>
      </w:r>
      <w:r w:rsidR="00602FB0">
        <w:t xml:space="preserve">electrical, electronic, and electromechanical </w:t>
      </w:r>
      <w:r w:rsidR="00366E85">
        <w:t>part</w:t>
      </w:r>
      <w:r w:rsidR="00602FB0">
        <w:t>s</w:t>
      </w:r>
      <w:r w:rsidR="00366E85">
        <w:t xml:space="preserve"> reliability </w:t>
      </w:r>
      <w:r w:rsidR="00B251AD">
        <w:t xml:space="preserve">levels. </w:t>
      </w:r>
      <w:r w:rsidR="00366E85">
        <w:t>These factors result in cheaper components, less development of new components and software,</w:t>
      </w:r>
      <w:r w:rsidR="00B251AD">
        <w:t xml:space="preserve"> </w:t>
      </w:r>
      <w:r w:rsidR="00366E85">
        <w:t>and</w:t>
      </w:r>
      <w:r w:rsidR="00B251AD">
        <w:t xml:space="preserve"> fewer labor hours, resulting in lower costs, as reflected in the coefficient of the mission classification variable in Estimate 1.</w:t>
      </w:r>
      <w:r w:rsidR="009776C1">
        <w:t xml:space="preserve"> It is noted that several of the </w:t>
      </w:r>
      <w:r w:rsidR="00582B9E">
        <w:t xml:space="preserve">most expensive </w:t>
      </w:r>
      <w:r w:rsidR="009776C1">
        <w:t xml:space="preserve">missions of the </w:t>
      </w:r>
      <w:r w:rsidR="00582B9E">
        <w:t xml:space="preserve">sample </w:t>
      </w:r>
      <w:r w:rsidR="009776C1">
        <w:t>set include nuclear power (the Mars Rovers and New Horizons</w:t>
      </w:r>
      <w:r w:rsidR="00582B9E">
        <w:t xml:space="preserve"> have radioisotope </w:t>
      </w:r>
      <w:r w:rsidR="00582B9E">
        <w:lastRenderedPageBreak/>
        <w:t>thermal generators</w:t>
      </w:r>
      <w:r w:rsidR="009776C1">
        <w:t xml:space="preserve">) </w:t>
      </w:r>
      <w:r w:rsidR="00582B9E">
        <w:t>and these</w:t>
      </w:r>
      <w:r w:rsidR="009776C1">
        <w:t xml:space="preserve"> have only been built in-house at JPL and APL</w:t>
      </w:r>
      <w:r w:rsidR="000A0367">
        <w:t>. This factor</w:t>
      </w:r>
      <w:r w:rsidR="009776C1">
        <w:t xml:space="preserve"> </w:t>
      </w:r>
      <w:r w:rsidR="000A0367">
        <w:t>contributes to higher</w:t>
      </w:r>
      <w:r w:rsidR="009776C1">
        <w:t xml:space="preserve"> cost</w:t>
      </w:r>
      <w:r w:rsidR="000A0367">
        <w:t>,</w:t>
      </w:r>
      <w:r w:rsidR="009776C1">
        <w:t xml:space="preserve"> </w:t>
      </w:r>
      <w:r w:rsidR="00582B9E">
        <w:t>even when all else is equal.</w:t>
      </w:r>
    </w:p>
    <w:p w14:paraId="55177878" w14:textId="470DDA0A" w:rsidR="0061058E" w:rsidRDefault="00B251AD" w:rsidP="00602FB0">
      <w:pPr>
        <w:pStyle w:val="Text"/>
      </w:pPr>
      <w:r>
        <w:t xml:space="preserve">These factors also enable industry developers to leverage standard spacecraft buses, such as Northrop Grumman’s </w:t>
      </w:r>
      <w:proofErr w:type="spellStart"/>
      <w:r>
        <w:t>LeoStar</w:t>
      </w:r>
      <w:proofErr w:type="spellEnd"/>
      <w:r>
        <w:t xml:space="preserve">, Ball Aerospace’s </w:t>
      </w:r>
      <w:r w:rsidR="00366E85">
        <w:t xml:space="preserve">(now BAE Systems) </w:t>
      </w:r>
      <w:r>
        <w:t>Common Platform</w:t>
      </w:r>
      <w:r w:rsidR="00366E85">
        <w:t xml:space="preserve"> (BCP)</w:t>
      </w:r>
      <w:r>
        <w:t>, and Lockheed Martin’s</w:t>
      </w:r>
      <w:r w:rsidR="007062A3">
        <w:t xml:space="preserve"> </w:t>
      </w:r>
      <w:r w:rsidR="00366E85">
        <w:t>LM900</w:t>
      </w:r>
      <w:r>
        <w:t>, which are also used for the companies’ commercial satellites</w:t>
      </w:r>
      <w:r w:rsidR="007062A3">
        <w:t xml:space="preserve"> with multiple build per year</w:t>
      </w:r>
      <w:r>
        <w:t>. A review of the sample projects’ key design review documents revealed that almost all industry-built Class C</w:t>
      </w:r>
      <w:r w:rsidR="00B05574">
        <w:t>/</w:t>
      </w:r>
      <w:r>
        <w:t>D spacecraft utilized these buses</w:t>
      </w:r>
      <w:r w:rsidR="0061058E">
        <w:t xml:space="preserve">, </w:t>
      </w:r>
      <w:r w:rsidR="00671556">
        <w:t>and mostly</w:t>
      </w:r>
      <w:r w:rsidR="0061058E">
        <w:t xml:space="preserve"> on fixed price contracts</w:t>
      </w:r>
      <w:r>
        <w:t>. In contrast, NASA does not have a standard spacecraft bus that it can repeatedly utilize</w:t>
      </w:r>
      <w:r w:rsidR="00602FB0">
        <w:t xml:space="preserve"> </w:t>
      </w:r>
      <w:r w:rsidR="007062A3">
        <w:t>as the time between in-house spacecraft builds means obsolescence drives new design</w:t>
      </w:r>
      <w:r>
        <w:t>, limiting the agency's ability to achieve comparable cost efficiency gains.</w:t>
      </w:r>
      <w:r w:rsidR="007062A3" w:rsidDel="007062A3">
        <w:t xml:space="preserve"> </w:t>
      </w:r>
      <w:r w:rsidR="001C175F">
        <w:t xml:space="preserve">Nonetheless, the result of Estimate 2 provides evidence that the industry advantage diminishes for Class </w:t>
      </w:r>
      <w:r w:rsidR="00B05574">
        <w:t>A/B</w:t>
      </w:r>
      <w:r w:rsidR="001C175F">
        <w:t xml:space="preserve"> projects. These projects are often flagship missions requiring the development of new technologies through significant scientific and engineering efforts. They also involve unique, one-of-a-kind </w:t>
      </w:r>
      <w:r w:rsidR="00C0676C">
        <w:t xml:space="preserve">elements </w:t>
      </w:r>
      <w:r w:rsidR="001C175F">
        <w:t xml:space="preserve">that limit the developer’s ability to rely on standard spacecraft buses and necessitate the creation of custom-built </w:t>
      </w:r>
      <w:r w:rsidR="00C0676C">
        <w:t>elements</w:t>
      </w:r>
      <w:r w:rsidR="0061058E">
        <w:t xml:space="preserve"> under strict government oversight, usually on cost plus contracts</w:t>
      </w:r>
      <w:r w:rsidR="00602FB0">
        <w:t xml:space="preserve"> </w:t>
      </w:r>
      <w:r w:rsidR="00602FB0">
        <w:fldChar w:fldCharType="begin"/>
      </w:r>
      <w:r w:rsidR="00602FB0">
        <w:instrText xml:space="preserve"> ADDIN ZOTERO_ITEM CSL_CITATION {"citationID":"Bg68ICna","properties":{"formattedCitation":"[22]","plainCitation":"[22]","noteIndex":0},"citationItems":[{"id":578,"uris":["http://zotero.org/users/5839368/items/6I8Y5X3Q"],"itemData":{"id":578,"type":"article-journal","container-title":"Acta Astronautica","DOI":"https://doi.org/10.1016/j.actaastro.2022.10.043","page":"333-340","title":"Modernizing NASA's Risk Classification System","volume":"202","author":[{"family":"Leitner","given":"Jesse"},{"family":"Hyde","given":"Tupper"}],"issued":{"date-parts":[["2023",1]]}}}],"schema":"https://github.com/citation-style-language/schema/raw/master/csl-citation.json"} </w:instrText>
      </w:r>
      <w:r w:rsidR="00602FB0">
        <w:fldChar w:fldCharType="separate"/>
      </w:r>
      <w:r w:rsidR="00602FB0" w:rsidRPr="00602FB0">
        <w:t>[22]</w:t>
      </w:r>
      <w:r w:rsidR="00602FB0">
        <w:fldChar w:fldCharType="end"/>
      </w:r>
      <w:r w:rsidR="00602FB0">
        <w:t>.</w:t>
      </w:r>
      <w:r w:rsidR="007062A3" w:rsidDel="007062A3">
        <w:t xml:space="preserve"> </w:t>
      </w:r>
      <w:r w:rsidR="00C0676C">
        <w:t>Other forms of complexity in Class A</w:t>
      </w:r>
      <w:r w:rsidR="00B05574">
        <w:t>/</w:t>
      </w:r>
      <w:r w:rsidR="00C0676C">
        <w:t>B missions are programmatic involv</w:t>
      </w:r>
      <w:r w:rsidR="0013678B">
        <w:t>ing</w:t>
      </w:r>
      <w:r w:rsidR="00C0676C">
        <w:t xml:space="preserve"> international partnerships, </w:t>
      </w:r>
      <w:r w:rsidR="0061058E">
        <w:t xml:space="preserve">new technologies, </w:t>
      </w:r>
      <w:r w:rsidR="00C0676C">
        <w:t>changing project scope, and underfunding (i.e.</w:t>
      </w:r>
      <w:r w:rsidR="0013678B">
        <w:t>,</w:t>
      </w:r>
      <w:r w:rsidR="00C0676C">
        <w:t xml:space="preserve"> stretched out funding</w:t>
      </w:r>
      <w:r w:rsidR="0061058E">
        <w:t>) all of which</w:t>
      </w:r>
      <w:r w:rsidR="00C0676C">
        <w:t xml:space="preserve"> driv</w:t>
      </w:r>
      <w:r w:rsidR="0061058E">
        <w:t>e</w:t>
      </w:r>
      <w:r w:rsidR="00C0676C">
        <w:t xml:space="preserve"> schedule delays</w:t>
      </w:r>
      <w:r w:rsidR="0061058E">
        <w:t xml:space="preserve"> and increased cost</w:t>
      </w:r>
      <w:r w:rsidR="00C0676C">
        <w:t>.</w:t>
      </w:r>
      <w:r w:rsidR="0061058E">
        <w:t xml:space="preserve"> An in-house spacecraft may be able to accommodate these programmatic complexities easier than driving these changes through the contract for an industry-built spacecraft.</w:t>
      </w:r>
    </w:p>
    <w:p w14:paraId="0AF5EA8F" w14:textId="0C7DDACE" w:rsidR="001C3E42" w:rsidRDefault="0061058E" w:rsidP="0061058E">
      <w:pPr>
        <w:pStyle w:val="Text"/>
      </w:pPr>
      <w:r>
        <w:t xml:space="preserve">Analysis of the multi-variable regression was furthered to check on the contributions of each variable. </w:t>
      </w:r>
      <w:r w:rsidR="001C3E42">
        <w:t xml:space="preserve">Table </w:t>
      </w:r>
      <w:r w:rsidR="00BF79D1">
        <w:t>4</w:t>
      </w:r>
      <w:r w:rsidR="001C3E42">
        <w:t xml:space="preserve"> below presents the results of the Analysis of Covariance</w:t>
      </w:r>
      <w:r w:rsidR="00530E3B">
        <w:t xml:space="preserve"> (ANCOVA)</w:t>
      </w:r>
      <w:r w:rsidR="001C3E42">
        <w:t xml:space="preserve"> Type II test, which evaluates the explanatory value of each independent variable while accounting for the influence of the other variables, </w:t>
      </w:r>
      <w:r w:rsidR="009D514E">
        <w:t xml:space="preserve">for </w:t>
      </w:r>
      <w:r w:rsidR="001C3E42">
        <w:t xml:space="preserve">Estimate 1. The </w:t>
      </w:r>
      <w:r w:rsidR="00557D3B">
        <w:t>test results</w:t>
      </w:r>
      <w:r w:rsidR="001C3E42">
        <w:t xml:space="preserve"> show that the spacecraft developer variable, although statistically significant, has relatively low explanatory power in accounting for variation in spacecraft cost. In contrast, the mission risk classification variable demonstrates greater explanatory value, overshadowing the effect of the spacecraft developer variable. Therefore, for more technologically complex projects, whether the spacecraft is NASA-built or industry-built appears to have minimal impact on cost.</w:t>
      </w:r>
    </w:p>
    <w:p w14:paraId="7F4FBF05" w14:textId="3B3252D5" w:rsidR="00DE1594" w:rsidRDefault="00DE1594" w:rsidP="00DE1594">
      <w:pPr>
        <w:pStyle w:val="Heading4"/>
      </w:pPr>
      <w:r w:rsidRPr="00E31146">
        <w:t xml:space="preserve">Table </w:t>
      </w:r>
      <w:r w:rsidR="00BF79D1">
        <w:t>4</w:t>
      </w:r>
      <w:r w:rsidRPr="00E31146">
        <w:t xml:space="preserve"> </w:t>
      </w:r>
      <w:r>
        <w:t xml:space="preserve">Analysis of Covariance Type II Test Result </w:t>
      </w:r>
    </w:p>
    <w:p w14:paraId="12E8E54B" w14:textId="77777777" w:rsidR="008C2F99" w:rsidRPr="008C2F99" w:rsidRDefault="008C2F99" w:rsidP="008C2F99"/>
    <w:tbl>
      <w:tblPr>
        <w:tblW w:w="4426" w:type="dxa"/>
        <w:jc w:val="center"/>
        <w:tblBorders>
          <w:top w:val="single" w:sz="4" w:space="0" w:color="7F7F7F"/>
          <w:bottom w:val="single" w:sz="4" w:space="0" w:color="7F7F7F"/>
        </w:tblBorders>
        <w:tblLook w:val="0680" w:firstRow="0" w:lastRow="0" w:firstColumn="1" w:lastColumn="0" w:noHBand="1" w:noVBand="1"/>
      </w:tblPr>
      <w:tblGrid>
        <w:gridCol w:w="2262"/>
        <w:gridCol w:w="2164"/>
      </w:tblGrid>
      <w:tr w:rsidR="00DE1594" w:rsidRPr="000F0B3A" w14:paraId="3B262CE3" w14:textId="77777777" w:rsidTr="00DE1594">
        <w:trPr>
          <w:trHeight w:val="416"/>
          <w:jc w:val="center"/>
        </w:trPr>
        <w:tc>
          <w:tcPr>
            <w:tcW w:w="2262" w:type="dxa"/>
            <w:tcBorders>
              <w:top w:val="single" w:sz="4" w:space="0" w:color="7F7F7F"/>
              <w:bottom w:val="single" w:sz="4" w:space="0" w:color="auto"/>
            </w:tcBorders>
            <w:shd w:val="clear" w:color="auto" w:fill="auto"/>
            <w:vAlign w:val="center"/>
          </w:tcPr>
          <w:p w14:paraId="31601096" w14:textId="77777777" w:rsidR="00DE1594" w:rsidRPr="000F0B3A" w:rsidRDefault="00DE1594" w:rsidP="00D74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sz w:val="18"/>
                <w:szCs w:val="18"/>
              </w:rPr>
            </w:pPr>
            <w:r>
              <w:rPr>
                <w:b/>
                <w:bCs/>
                <w:color w:val="000000"/>
                <w:sz w:val="18"/>
                <w:szCs w:val="18"/>
              </w:rPr>
              <w:t>Variable</w:t>
            </w:r>
          </w:p>
        </w:tc>
        <w:tc>
          <w:tcPr>
            <w:tcW w:w="2164" w:type="dxa"/>
            <w:tcBorders>
              <w:bottom w:val="single" w:sz="4" w:space="0" w:color="7F7F7F"/>
            </w:tcBorders>
            <w:shd w:val="clear" w:color="auto" w:fill="auto"/>
            <w:vAlign w:val="center"/>
          </w:tcPr>
          <w:p w14:paraId="4D692860" w14:textId="0C0F8583" w:rsidR="00DE1594" w:rsidRDefault="00340EC2" w:rsidP="00D74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sz w:val="18"/>
                <w:szCs w:val="18"/>
              </w:rPr>
            </w:pPr>
            <w:r>
              <w:rPr>
                <w:b/>
                <w:bCs/>
                <w:color w:val="000000"/>
                <w:sz w:val="18"/>
                <w:szCs w:val="18"/>
              </w:rPr>
              <w:t>Sum of Squares</w:t>
            </w:r>
          </w:p>
          <w:p w14:paraId="563EDB91" w14:textId="77777777" w:rsidR="00DE1594" w:rsidRPr="000D78D3" w:rsidRDefault="00DE1594" w:rsidP="00D74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sz w:val="18"/>
                <w:szCs w:val="18"/>
              </w:rPr>
            </w:pPr>
            <w:r>
              <w:rPr>
                <w:b/>
                <w:bCs/>
                <w:color w:val="000000"/>
                <w:sz w:val="18"/>
                <w:szCs w:val="18"/>
              </w:rPr>
              <w:t>All Projects</w:t>
            </w:r>
          </w:p>
        </w:tc>
      </w:tr>
      <w:tr w:rsidR="0013678B" w:rsidRPr="000F0B3A" w14:paraId="6A86A6FA" w14:textId="77777777" w:rsidTr="00DD668F">
        <w:trPr>
          <w:trHeight w:val="416"/>
          <w:jc w:val="center"/>
        </w:trPr>
        <w:tc>
          <w:tcPr>
            <w:tcW w:w="2262" w:type="dxa"/>
            <w:shd w:val="clear" w:color="auto" w:fill="auto"/>
            <w:vAlign w:val="center"/>
          </w:tcPr>
          <w:p w14:paraId="463648E6" w14:textId="2AE4D610" w:rsidR="0013678B" w:rsidRDefault="0013678B" w:rsidP="001367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sz w:val="18"/>
                <w:szCs w:val="18"/>
              </w:rPr>
            </w:pPr>
            <w:r>
              <w:rPr>
                <w:b/>
                <w:bCs/>
                <w:color w:val="000000"/>
                <w:sz w:val="18"/>
                <w:szCs w:val="18"/>
              </w:rPr>
              <w:t>Ln Dry Mass</w:t>
            </w:r>
          </w:p>
        </w:tc>
        <w:tc>
          <w:tcPr>
            <w:tcW w:w="2164" w:type="dxa"/>
            <w:shd w:val="clear" w:color="auto" w:fill="auto"/>
            <w:vAlign w:val="center"/>
          </w:tcPr>
          <w:p w14:paraId="2B97683D" w14:textId="3A7C45BF" w:rsidR="0013678B" w:rsidRDefault="0013678B" w:rsidP="001367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sz w:val="18"/>
                <w:szCs w:val="18"/>
              </w:rPr>
            </w:pPr>
            <w:r>
              <w:rPr>
                <w:b/>
                <w:bCs/>
                <w:color w:val="000000"/>
                <w:sz w:val="18"/>
                <w:szCs w:val="18"/>
              </w:rPr>
              <w:t>8.</w:t>
            </w:r>
            <w:r w:rsidR="003A6865">
              <w:rPr>
                <w:b/>
                <w:bCs/>
                <w:color w:val="000000"/>
                <w:sz w:val="18"/>
                <w:szCs w:val="18"/>
              </w:rPr>
              <w:t>092</w:t>
            </w:r>
            <w:r>
              <w:rPr>
                <w:b/>
                <w:bCs/>
                <w:color w:val="000000"/>
                <w:sz w:val="18"/>
                <w:szCs w:val="18"/>
              </w:rPr>
              <w:t>***</w:t>
            </w:r>
          </w:p>
        </w:tc>
      </w:tr>
      <w:tr w:rsidR="0013678B" w:rsidRPr="000F0B3A" w14:paraId="2F99DC2F" w14:textId="77777777" w:rsidTr="00DD668F">
        <w:trPr>
          <w:trHeight w:val="416"/>
          <w:jc w:val="center"/>
        </w:trPr>
        <w:tc>
          <w:tcPr>
            <w:tcW w:w="2262" w:type="dxa"/>
            <w:shd w:val="clear" w:color="auto" w:fill="auto"/>
            <w:vAlign w:val="center"/>
          </w:tcPr>
          <w:p w14:paraId="2A1EE080" w14:textId="46C03E5C" w:rsidR="0013678B" w:rsidRDefault="0013678B" w:rsidP="001367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sz w:val="18"/>
                <w:szCs w:val="18"/>
              </w:rPr>
            </w:pPr>
            <w:r>
              <w:rPr>
                <w:b/>
                <w:bCs/>
                <w:color w:val="000000"/>
                <w:sz w:val="18"/>
                <w:szCs w:val="18"/>
              </w:rPr>
              <w:lastRenderedPageBreak/>
              <w:t>Mission Risk Class</w:t>
            </w:r>
          </w:p>
        </w:tc>
        <w:tc>
          <w:tcPr>
            <w:tcW w:w="2164" w:type="dxa"/>
            <w:shd w:val="clear" w:color="auto" w:fill="auto"/>
            <w:vAlign w:val="center"/>
          </w:tcPr>
          <w:p w14:paraId="7D97475E" w14:textId="5B310262" w:rsidR="0013678B" w:rsidRDefault="003A6865" w:rsidP="001367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sz w:val="18"/>
                <w:szCs w:val="18"/>
              </w:rPr>
            </w:pPr>
            <w:r>
              <w:rPr>
                <w:b/>
                <w:bCs/>
                <w:color w:val="000000"/>
                <w:sz w:val="18"/>
                <w:szCs w:val="18"/>
              </w:rPr>
              <w:t>3.167</w:t>
            </w:r>
            <w:r w:rsidR="0013678B">
              <w:rPr>
                <w:color w:val="000000"/>
                <w:sz w:val="18"/>
                <w:szCs w:val="18"/>
              </w:rPr>
              <w:t xml:space="preserve"> ***</w:t>
            </w:r>
          </w:p>
        </w:tc>
      </w:tr>
      <w:tr w:rsidR="0013678B" w:rsidRPr="000F0B3A" w14:paraId="2AF549D5" w14:textId="77777777" w:rsidTr="00DD668F">
        <w:trPr>
          <w:trHeight w:val="416"/>
          <w:jc w:val="center"/>
        </w:trPr>
        <w:tc>
          <w:tcPr>
            <w:tcW w:w="2262" w:type="dxa"/>
            <w:shd w:val="clear" w:color="auto" w:fill="auto"/>
            <w:vAlign w:val="center"/>
          </w:tcPr>
          <w:p w14:paraId="30B8BCDC" w14:textId="02354D2F" w:rsidR="0013678B" w:rsidRDefault="009C3CE1" w:rsidP="001367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sz w:val="18"/>
                <w:szCs w:val="18"/>
              </w:rPr>
            </w:pPr>
            <w:r>
              <w:rPr>
                <w:b/>
                <w:bCs/>
                <w:color w:val="000000"/>
                <w:sz w:val="18"/>
                <w:szCs w:val="18"/>
              </w:rPr>
              <w:t>Spacecraft Developer</w:t>
            </w:r>
          </w:p>
        </w:tc>
        <w:tc>
          <w:tcPr>
            <w:tcW w:w="2164" w:type="dxa"/>
            <w:shd w:val="clear" w:color="auto" w:fill="auto"/>
            <w:vAlign w:val="center"/>
          </w:tcPr>
          <w:p w14:paraId="3A31FE4B" w14:textId="5A798AD4" w:rsidR="0013678B" w:rsidRDefault="009C3CE1" w:rsidP="001367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sz w:val="18"/>
                <w:szCs w:val="18"/>
              </w:rPr>
            </w:pPr>
            <w:r>
              <w:rPr>
                <w:b/>
                <w:bCs/>
                <w:color w:val="000000"/>
                <w:sz w:val="18"/>
                <w:szCs w:val="18"/>
              </w:rPr>
              <w:t>1.041</w:t>
            </w:r>
            <w:r w:rsidR="0013678B">
              <w:rPr>
                <w:b/>
                <w:bCs/>
                <w:color w:val="000000"/>
                <w:sz w:val="18"/>
                <w:szCs w:val="18"/>
              </w:rPr>
              <w:t>**</w:t>
            </w:r>
          </w:p>
        </w:tc>
      </w:tr>
      <w:tr w:rsidR="0013678B" w:rsidRPr="000F0B3A" w14:paraId="318D4EAA" w14:textId="77777777" w:rsidTr="00DD668F">
        <w:trPr>
          <w:trHeight w:val="416"/>
          <w:jc w:val="center"/>
        </w:trPr>
        <w:tc>
          <w:tcPr>
            <w:tcW w:w="2262" w:type="dxa"/>
            <w:shd w:val="clear" w:color="auto" w:fill="auto"/>
            <w:vAlign w:val="center"/>
          </w:tcPr>
          <w:p w14:paraId="6E708FAB" w14:textId="7B858A7C" w:rsidR="0013678B" w:rsidRDefault="009C3CE1" w:rsidP="001367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sz w:val="18"/>
                <w:szCs w:val="18"/>
              </w:rPr>
            </w:pPr>
            <w:r>
              <w:rPr>
                <w:b/>
                <w:bCs/>
                <w:color w:val="000000"/>
                <w:sz w:val="18"/>
                <w:szCs w:val="18"/>
              </w:rPr>
              <w:t>Near-Earth</w:t>
            </w:r>
          </w:p>
        </w:tc>
        <w:tc>
          <w:tcPr>
            <w:tcW w:w="2164" w:type="dxa"/>
            <w:shd w:val="clear" w:color="auto" w:fill="auto"/>
            <w:vAlign w:val="center"/>
          </w:tcPr>
          <w:p w14:paraId="6F447D71" w14:textId="37A7B502" w:rsidR="0013678B" w:rsidRDefault="0013678B" w:rsidP="001367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sz w:val="18"/>
                <w:szCs w:val="18"/>
              </w:rPr>
            </w:pPr>
            <w:r>
              <w:rPr>
                <w:b/>
                <w:bCs/>
                <w:color w:val="000000"/>
                <w:sz w:val="18"/>
                <w:szCs w:val="18"/>
              </w:rPr>
              <w:t>0.</w:t>
            </w:r>
            <w:r w:rsidR="009C3CE1">
              <w:rPr>
                <w:b/>
                <w:bCs/>
                <w:color w:val="000000"/>
                <w:sz w:val="18"/>
                <w:szCs w:val="18"/>
              </w:rPr>
              <w:t>886</w:t>
            </w:r>
            <w:r>
              <w:rPr>
                <w:b/>
                <w:bCs/>
                <w:color w:val="000000"/>
                <w:sz w:val="18"/>
                <w:szCs w:val="18"/>
              </w:rPr>
              <w:t>*</w:t>
            </w:r>
            <w:r w:rsidR="009C3CE1">
              <w:rPr>
                <w:b/>
                <w:bCs/>
                <w:color w:val="000000"/>
                <w:sz w:val="18"/>
                <w:szCs w:val="18"/>
              </w:rPr>
              <w:t>*</w:t>
            </w:r>
          </w:p>
        </w:tc>
      </w:tr>
      <w:tr w:rsidR="0013678B" w:rsidRPr="000F0B3A" w14:paraId="56FC3361" w14:textId="77777777" w:rsidTr="00DE1594">
        <w:trPr>
          <w:trHeight w:val="416"/>
          <w:jc w:val="center"/>
        </w:trPr>
        <w:tc>
          <w:tcPr>
            <w:tcW w:w="2262" w:type="dxa"/>
            <w:shd w:val="clear" w:color="auto" w:fill="auto"/>
            <w:vAlign w:val="center"/>
          </w:tcPr>
          <w:p w14:paraId="731EE1AB" w14:textId="01FE3C19" w:rsidR="0013678B" w:rsidRPr="000F0B3A" w:rsidRDefault="0013678B" w:rsidP="001367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sz w:val="18"/>
                <w:szCs w:val="18"/>
              </w:rPr>
            </w:pPr>
            <w:r>
              <w:rPr>
                <w:b/>
                <w:bCs/>
                <w:color w:val="000000"/>
                <w:sz w:val="18"/>
                <w:szCs w:val="18"/>
              </w:rPr>
              <w:t>Lander</w:t>
            </w:r>
          </w:p>
        </w:tc>
        <w:tc>
          <w:tcPr>
            <w:tcW w:w="2164" w:type="dxa"/>
            <w:shd w:val="clear" w:color="auto" w:fill="auto"/>
            <w:vAlign w:val="center"/>
          </w:tcPr>
          <w:p w14:paraId="3E51D81C" w14:textId="4BF53E81" w:rsidR="0013678B" w:rsidRPr="000F0B3A" w:rsidRDefault="0013678B" w:rsidP="001367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rPr>
            </w:pPr>
            <w:r>
              <w:rPr>
                <w:b/>
                <w:bCs/>
                <w:color w:val="000000"/>
                <w:sz w:val="18"/>
                <w:szCs w:val="18"/>
              </w:rPr>
              <w:t>0.</w:t>
            </w:r>
            <w:r w:rsidR="009C3CE1">
              <w:rPr>
                <w:b/>
                <w:bCs/>
                <w:color w:val="000000"/>
                <w:sz w:val="18"/>
                <w:szCs w:val="18"/>
              </w:rPr>
              <w:t>687*</w:t>
            </w:r>
          </w:p>
        </w:tc>
      </w:tr>
    </w:tbl>
    <w:p w14:paraId="08A5CD05" w14:textId="77777777" w:rsidR="00DE1594" w:rsidRDefault="00DE1594" w:rsidP="00233705">
      <w:pPr>
        <w:spacing w:after="120"/>
        <w:ind w:left="86"/>
        <w:jc w:val="center"/>
        <w:rPr>
          <w:iCs/>
          <w:sz w:val="18"/>
          <w:szCs w:val="18"/>
        </w:rPr>
      </w:pPr>
      <w:r w:rsidRPr="007F327E">
        <w:rPr>
          <w:iCs/>
          <w:sz w:val="18"/>
          <w:szCs w:val="18"/>
        </w:rPr>
        <w:t>*, **, *** indicates significance at the 90%, 95%, and 99% level, respectively.</w:t>
      </w:r>
    </w:p>
    <w:p w14:paraId="298D6D45" w14:textId="77777777" w:rsidR="00F324C4" w:rsidRDefault="00F324C4" w:rsidP="00233705">
      <w:pPr>
        <w:spacing w:after="120"/>
        <w:ind w:left="86"/>
        <w:jc w:val="center"/>
        <w:rPr>
          <w:iCs/>
          <w:sz w:val="18"/>
          <w:szCs w:val="18"/>
        </w:rPr>
      </w:pPr>
    </w:p>
    <w:p w14:paraId="6FC5DB76" w14:textId="7D246853" w:rsidR="00A43657" w:rsidRDefault="00054773" w:rsidP="00530E3B">
      <w:pPr>
        <w:pStyle w:val="Text"/>
      </w:pPr>
      <w:r>
        <w:t>T</w:t>
      </w:r>
      <w:r w:rsidR="004E00B4">
        <w:t xml:space="preserve">he study </w:t>
      </w:r>
      <w:r>
        <w:t xml:space="preserve">conducted an additional analysis and </w:t>
      </w:r>
      <w:r w:rsidR="004E00B4">
        <w:t>modified the dependent variable to the log of total project cost</w:t>
      </w:r>
      <w:r w:rsidR="00A013E8">
        <w:t xml:space="preserve">, </w:t>
      </w:r>
      <w:r w:rsidR="004E00B4">
        <w:t>excluding launch vehicle cost</w:t>
      </w:r>
      <w:r w:rsidR="00A013E8">
        <w:t>s</w:t>
      </w:r>
      <w:r w:rsidR="00987A24">
        <w:t xml:space="preserve">, with results shown in Table </w:t>
      </w:r>
      <w:r w:rsidR="00BF79D1">
        <w:t>5</w:t>
      </w:r>
      <w:r w:rsidR="004E00B4">
        <w:t xml:space="preserve">. </w:t>
      </w:r>
      <w:r w:rsidR="00084388">
        <w:t xml:space="preserve">At the total project cost level, the </w:t>
      </w:r>
      <w:r w:rsidR="001E6BB6">
        <w:t xml:space="preserve">only statistically significant variables are mission risk class and dry mass. In other words, </w:t>
      </w:r>
      <w:r w:rsidR="00C176C3">
        <w:t xml:space="preserve">who develops the spacecraft does not </w:t>
      </w:r>
      <w:r w:rsidR="00CD3835">
        <w:t xml:space="preserve">have significant influence on the total project cost. </w:t>
      </w:r>
      <w:r w:rsidR="004E00B4">
        <w:t>Additionally, the study conducted Welch’s Two-Sample t-tests to examine potential differences in the mean cost growth from Preliminary Design Review to LRR for both total spacecraft cost and total project cost between NASA-built and industry-built spacecraft missions. The tests failed to reject the null hypothesis that the group mean differences are zero.</w:t>
      </w:r>
      <w:r w:rsidR="00E25C91">
        <w:t xml:space="preserve"> In other words, cost growth </w:t>
      </w:r>
      <w:r w:rsidR="003B2DEB">
        <w:t xml:space="preserve">of a project </w:t>
      </w:r>
      <w:r w:rsidR="00E25C91">
        <w:t xml:space="preserve">does not depend on </w:t>
      </w:r>
      <w:r w:rsidR="003B2DEB">
        <w:t>whether the spacecraft is NASA-built or industry-built</w:t>
      </w:r>
      <w:r w:rsidR="00E25C91">
        <w:t>.</w:t>
      </w:r>
    </w:p>
    <w:p w14:paraId="5A871140" w14:textId="67DD988D" w:rsidR="003952D7" w:rsidRDefault="003952D7" w:rsidP="003952D7">
      <w:pPr>
        <w:pStyle w:val="Heading4"/>
      </w:pPr>
      <w:r w:rsidRPr="00E31146">
        <w:t xml:space="preserve">Table </w:t>
      </w:r>
      <w:r w:rsidR="00BF79D1">
        <w:t>5</w:t>
      </w:r>
      <w:r w:rsidRPr="00E31146">
        <w:t xml:space="preserve"> </w:t>
      </w:r>
      <w:r>
        <w:t>Regression Result</w:t>
      </w:r>
      <w:r w:rsidR="00BF79D1">
        <w:t>s</w:t>
      </w:r>
      <w:r>
        <w:t xml:space="preserve"> </w:t>
      </w:r>
      <w:r w:rsidR="00EB44CF">
        <w:t xml:space="preserve">for </w:t>
      </w:r>
      <w:r>
        <w:t>Total Project Cost</w:t>
      </w:r>
    </w:p>
    <w:p w14:paraId="0ED4A12D" w14:textId="77777777" w:rsidR="008C2F99" w:rsidRPr="008C2F99" w:rsidRDefault="008C2F99" w:rsidP="008C2F99"/>
    <w:tbl>
      <w:tblPr>
        <w:tblW w:w="8756" w:type="dxa"/>
        <w:jc w:val="center"/>
        <w:tblBorders>
          <w:top w:val="single" w:sz="4" w:space="0" w:color="7F7F7F"/>
          <w:bottom w:val="single" w:sz="4" w:space="0" w:color="7F7F7F"/>
        </w:tblBorders>
        <w:tblLook w:val="0680" w:firstRow="0" w:lastRow="0" w:firstColumn="1" w:lastColumn="0" w:noHBand="1" w:noVBand="1"/>
      </w:tblPr>
      <w:tblGrid>
        <w:gridCol w:w="2262"/>
        <w:gridCol w:w="2164"/>
        <w:gridCol w:w="2165"/>
        <w:gridCol w:w="2165"/>
      </w:tblGrid>
      <w:tr w:rsidR="003952D7" w:rsidRPr="000F0B3A" w14:paraId="559BCA83" w14:textId="77777777" w:rsidTr="00D74294">
        <w:trPr>
          <w:trHeight w:val="416"/>
          <w:jc w:val="center"/>
        </w:trPr>
        <w:tc>
          <w:tcPr>
            <w:tcW w:w="2262" w:type="dxa"/>
            <w:tcBorders>
              <w:top w:val="single" w:sz="4" w:space="0" w:color="7F7F7F"/>
              <w:bottom w:val="single" w:sz="4" w:space="0" w:color="auto"/>
            </w:tcBorders>
            <w:shd w:val="clear" w:color="auto" w:fill="auto"/>
            <w:vAlign w:val="center"/>
          </w:tcPr>
          <w:p w14:paraId="0AAD97CC" w14:textId="77777777" w:rsidR="003952D7" w:rsidRPr="000F0B3A" w:rsidRDefault="003952D7" w:rsidP="00D74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sz w:val="18"/>
                <w:szCs w:val="18"/>
              </w:rPr>
            </w:pPr>
            <w:r>
              <w:rPr>
                <w:b/>
                <w:bCs/>
                <w:color w:val="000000"/>
                <w:sz w:val="18"/>
                <w:szCs w:val="18"/>
              </w:rPr>
              <w:t>Variable</w:t>
            </w:r>
          </w:p>
        </w:tc>
        <w:tc>
          <w:tcPr>
            <w:tcW w:w="2164" w:type="dxa"/>
            <w:tcBorders>
              <w:bottom w:val="single" w:sz="4" w:space="0" w:color="7F7F7F"/>
            </w:tcBorders>
            <w:shd w:val="clear" w:color="auto" w:fill="auto"/>
            <w:vAlign w:val="center"/>
          </w:tcPr>
          <w:p w14:paraId="40A534E4" w14:textId="486CCD53" w:rsidR="003952D7" w:rsidRDefault="003952D7" w:rsidP="00D74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sz w:val="18"/>
                <w:szCs w:val="18"/>
              </w:rPr>
            </w:pPr>
            <w:r>
              <w:rPr>
                <w:b/>
                <w:bCs/>
                <w:color w:val="000000"/>
                <w:sz w:val="18"/>
                <w:szCs w:val="18"/>
              </w:rPr>
              <w:t xml:space="preserve">Estimate </w:t>
            </w:r>
            <w:r w:rsidR="004C03DA">
              <w:rPr>
                <w:b/>
                <w:bCs/>
                <w:color w:val="000000"/>
                <w:sz w:val="18"/>
                <w:szCs w:val="18"/>
              </w:rPr>
              <w:t>4</w:t>
            </w:r>
          </w:p>
          <w:p w14:paraId="1CEAE91F" w14:textId="77777777" w:rsidR="003952D7" w:rsidRPr="000D78D3" w:rsidRDefault="003952D7" w:rsidP="00D74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sz w:val="18"/>
                <w:szCs w:val="18"/>
              </w:rPr>
            </w:pPr>
            <w:r>
              <w:rPr>
                <w:b/>
                <w:bCs/>
                <w:color w:val="000000"/>
                <w:sz w:val="18"/>
                <w:szCs w:val="18"/>
              </w:rPr>
              <w:t>All Projects</w:t>
            </w:r>
          </w:p>
        </w:tc>
        <w:tc>
          <w:tcPr>
            <w:tcW w:w="2165" w:type="dxa"/>
            <w:tcBorders>
              <w:bottom w:val="single" w:sz="4" w:space="0" w:color="7F7F7F"/>
            </w:tcBorders>
            <w:vAlign w:val="center"/>
          </w:tcPr>
          <w:p w14:paraId="7AFDF904" w14:textId="5A0EE823" w:rsidR="003952D7" w:rsidRDefault="003952D7" w:rsidP="00D74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sz w:val="18"/>
                <w:szCs w:val="18"/>
              </w:rPr>
            </w:pPr>
            <w:r>
              <w:rPr>
                <w:b/>
                <w:bCs/>
                <w:color w:val="000000"/>
                <w:sz w:val="18"/>
                <w:szCs w:val="18"/>
              </w:rPr>
              <w:t xml:space="preserve">Estimate </w:t>
            </w:r>
            <w:r w:rsidR="004C03DA">
              <w:rPr>
                <w:b/>
                <w:bCs/>
                <w:color w:val="000000"/>
                <w:sz w:val="18"/>
                <w:szCs w:val="18"/>
              </w:rPr>
              <w:t>5</w:t>
            </w:r>
          </w:p>
          <w:p w14:paraId="7C46F57A" w14:textId="77777777" w:rsidR="003952D7" w:rsidRPr="000D78D3" w:rsidRDefault="003952D7" w:rsidP="00D74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sz w:val="18"/>
                <w:szCs w:val="18"/>
              </w:rPr>
            </w:pPr>
            <w:r>
              <w:rPr>
                <w:b/>
                <w:bCs/>
                <w:color w:val="000000"/>
                <w:sz w:val="18"/>
                <w:szCs w:val="18"/>
              </w:rPr>
              <w:t>Class A &amp; B Projects</w:t>
            </w:r>
          </w:p>
        </w:tc>
        <w:tc>
          <w:tcPr>
            <w:tcW w:w="2165" w:type="dxa"/>
            <w:tcBorders>
              <w:bottom w:val="single" w:sz="4" w:space="0" w:color="7F7F7F"/>
            </w:tcBorders>
            <w:vAlign w:val="center"/>
          </w:tcPr>
          <w:p w14:paraId="4944403B" w14:textId="70382E22" w:rsidR="003952D7" w:rsidRDefault="003952D7" w:rsidP="00D74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sz w:val="18"/>
                <w:szCs w:val="18"/>
              </w:rPr>
            </w:pPr>
            <w:r>
              <w:rPr>
                <w:b/>
                <w:bCs/>
                <w:color w:val="000000"/>
                <w:sz w:val="18"/>
                <w:szCs w:val="18"/>
              </w:rPr>
              <w:t xml:space="preserve">Estimate </w:t>
            </w:r>
            <w:r w:rsidR="004C03DA">
              <w:rPr>
                <w:b/>
                <w:bCs/>
                <w:color w:val="000000"/>
                <w:sz w:val="18"/>
                <w:szCs w:val="18"/>
              </w:rPr>
              <w:t>6</w:t>
            </w:r>
          </w:p>
          <w:p w14:paraId="5A60FB76" w14:textId="77777777" w:rsidR="003952D7" w:rsidRDefault="003952D7" w:rsidP="00D74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sz w:val="18"/>
                <w:szCs w:val="18"/>
              </w:rPr>
            </w:pPr>
            <w:r>
              <w:rPr>
                <w:b/>
                <w:bCs/>
                <w:color w:val="000000"/>
                <w:sz w:val="18"/>
                <w:szCs w:val="18"/>
              </w:rPr>
              <w:t>Class C &amp; D Projects</w:t>
            </w:r>
          </w:p>
        </w:tc>
      </w:tr>
      <w:tr w:rsidR="00671556" w:rsidRPr="000F0B3A" w14:paraId="4242BE67" w14:textId="77777777" w:rsidTr="00D74294">
        <w:trPr>
          <w:trHeight w:val="416"/>
          <w:jc w:val="center"/>
        </w:trPr>
        <w:tc>
          <w:tcPr>
            <w:tcW w:w="2262" w:type="dxa"/>
            <w:tcBorders>
              <w:top w:val="single" w:sz="4" w:space="0" w:color="auto"/>
            </w:tcBorders>
            <w:shd w:val="clear" w:color="auto" w:fill="auto"/>
            <w:vAlign w:val="center"/>
          </w:tcPr>
          <w:p w14:paraId="54B4EBF7" w14:textId="6A698550" w:rsidR="00671556" w:rsidRPr="000F0B3A" w:rsidRDefault="00671556" w:rsidP="00671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sz w:val="18"/>
                <w:szCs w:val="18"/>
              </w:rPr>
            </w:pPr>
            <w:r w:rsidRPr="000F0B3A">
              <w:rPr>
                <w:b/>
                <w:bCs/>
                <w:color w:val="000000"/>
                <w:sz w:val="18"/>
                <w:szCs w:val="18"/>
              </w:rPr>
              <w:t>Constant</w:t>
            </w:r>
          </w:p>
        </w:tc>
        <w:tc>
          <w:tcPr>
            <w:tcW w:w="2164" w:type="dxa"/>
            <w:tcBorders>
              <w:top w:val="single" w:sz="4" w:space="0" w:color="7F7F7F"/>
            </w:tcBorders>
            <w:shd w:val="clear" w:color="auto" w:fill="auto"/>
            <w:vAlign w:val="center"/>
          </w:tcPr>
          <w:p w14:paraId="3BCD3D8B" w14:textId="7F66F340" w:rsidR="00671556" w:rsidRPr="00786A1D" w:rsidRDefault="00671556" w:rsidP="00671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sz w:val="18"/>
                <w:szCs w:val="18"/>
              </w:rPr>
            </w:pPr>
            <w:r w:rsidRPr="00786A1D">
              <w:rPr>
                <w:b/>
                <w:bCs/>
                <w:color w:val="000000"/>
                <w:sz w:val="18"/>
                <w:szCs w:val="18"/>
              </w:rPr>
              <w:t>2.8</w:t>
            </w:r>
            <w:r w:rsidR="00570AC6">
              <w:rPr>
                <w:b/>
                <w:bCs/>
                <w:color w:val="000000"/>
                <w:sz w:val="18"/>
                <w:szCs w:val="18"/>
              </w:rPr>
              <w:t>44</w:t>
            </w:r>
            <w:r w:rsidRPr="00786A1D">
              <w:rPr>
                <w:color w:val="000000"/>
                <w:sz w:val="18"/>
                <w:szCs w:val="18"/>
              </w:rPr>
              <w:t>***</w:t>
            </w:r>
            <w:r w:rsidRPr="00786A1D">
              <w:rPr>
                <w:b/>
                <w:bCs/>
                <w:color w:val="000000"/>
                <w:sz w:val="18"/>
                <w:szCs w:val="18"/>
              </w:rPr>
              <w:t xml:space="preserve"> </w:t>
            </w:r>
          </w:p>
          <w:p w14:paraId="4BBEDD07" w14:textId="4B252A55" w:rsidR="00671556" w:rsidRPr="008876A8" w:rsidRDefault="00671556" w:rsidP="00671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color w:val="000000"/>
                <w:sz w:val="18"/>
                <w:szCs w:val="18"/>
              </w:rPr>
            </w:pPr>
            <w:r w:rsidRPr="00DF70D9">
              <w:rPr>
                <w:i/>
                <w:iCs/>
                <w:color w:val="000000"/>
                <w:sz w:val="16"/>
                <w:szCs w:val="16"/>
              </w:rPr>
              <w:t>(0.</w:t>
            </w:r>
            <w:r w:rsidR="00570AC6">
              <w:rPr>
                <w:i/>
                <w:iCs/>
                <w:color w:val="000000"/>
                <w:sz w:val="16"/>
                <w:szCs w:val="16"/>
              </w:rPr>
              <w:t>628</w:t>
            </w:r>
            <w:r w:rsidRPr="00DF70D9">
              <w:rPr>
                <w:i/>
                <w:iCs/>
                <w:color w:val="000000"/>
                <w:sz w:val="16"/>
                <w:szCs w:val="16"/>
              </w:rPr>
              <w:t>)</w:t>
            </w:r>
          </w:p>
        </w:tc>
        <w:tc>
          <w:tcPr>
            <w:tcW w:w="2165" w:type="dxa"/>
            <w:tcBorders>
              <w:top w:val="single" w:sz="4" w:space="0" w:color="7F7F7F"/>
            </w:tcBorders>
            <w:vAlign w:val="center"/>
          </w:tcPr>
          <w:p w14:paraId="74324615" w14:textId="509D8A11" w:rsidR="00671556" w:rsidRPr="00786A1D" w:rsidRDefault="00671556" w:rsidP="00671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sz w:val="18"/>
                <w:szCs w:val="18"/>
              </w:rPr>
            </w:pPr>
            <w:r w:rsidRPr="00786A1D">
              <w:rPr>
                <w:b/>
                <w:bCs/>
                <w:color w:val="000000"/>
                <w:sz w:val="18"/>
                <w:szCs w:val="18"/>
              </w:rPr>
              <w:t>2.</w:t>
            </w:r>
            <w:r w:rsidR="00636E66">
              <w:rPr>
                <w:b/>
                <w:bCs/>
                <w:color w:val="000000"/>
                <w:sz w:val="18"/>
                <w:szCs w:val="18"/>
              </w:rPr>
              <w:t>903</w:t>
            </w:r>
            <w:r w:rsidRPr="00786A1D">
              <w:rPr>
                <w:color w:val="000000"/>
                <w:sz w:val="18"/>
                <w:szCs w:val="18"/>
              </w:rPr>
              <w:t>**</w:t>
            </w:r>
          </w:p>
          <w:p w14:paraId="47B78D16" w14:textId="08018FF4" w:rsidR="00671556" w:rsidRDefault="00671556" w:rsidP="00671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rPr>
            </w:pPr>
            <w:r w:rsidRPr="00DF70D9">
              <w:rPr>
                <w:i/>
                <w:iCs/>
                <w:color w:val="000000"/>
                <w:sz w:val="16"/>
                <w:szCs w:val="16"/>
              </w:rPr>
              <w:t>(</w:t>
            </w:r>
            <w:r w:rsidR="00636E66">
              <w:rPr>
                <w:i/>
                <w:iCs/>
                <w:color w:val="000000"/>
                <w:sz w:val="16"/>
                <w:szCs w:val="16"/>
              </w:rPr>
              <w:t>0.996</w:t>
            </w:r>
            <w:r w:rsidRPr="00DF70D9">
              <w:rPr>
                <w:i/>
                <w:iCs/>
                <w:color w:val="000000"/>
                <w:sz w:val="16"/>
                <w:szCs w:val="16"/>
              </w:rPr>
              <w:t>)</w:t>
            </w:r>
          </w:p>
        </w:tc>
        <w:tc>
          <w:tcPr>
            <w:tcW w:w="2165" w:type="dxa"/>
            <w:tcBorders>
              <w:top w:val="single" w:sz="4" w:space="0" w:color="7F7F7F"/>
            </w:tcBorders>
            <w:vAlign w:val="center"/>
          </w:tcPr>
          <w:p w14:paraId="67AC6FC3" w14:textId="1ABD3B94" w:rsidR="00671556" w:rsidRPr="00786A1D" w:rsidRDefault="00671556" w:rsidP="00671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sz w:val="18"/>
                <w:szCs w:val="18"/>
              </w:rPr>
            </w:pPr>
            <w:r w:rsidRPr="00786A1D">
              <w:rPr>
                <w:b/>
                <w:bCs/>
                <w:color w:val="000000"/>
                <w:sz w:val="18"/>
                <w:szCs w:val="18"/>
              </w:rPr>
              <w:t>2.</w:t>
            </w:r>
            <w:r w:rsidR="00636E66">
              <w:rPr>
                <w:b/>
                <w:bCs/>
                <w:color w:val="000000"/>
                <w:sz w:val="18"/>
                <w:szCs w:val="18"/>
              </w:rPr>
              <w:t>061</w:t>
            </w:r>
            <w:r w:rsidRPr="00786A1D">
              <w:rPr>
                <w:color w:val="000000"/>
                <w:sz w:val="18"/>
                <w:szCs w:val="18"/>
              </w:rPr>
              <w:t>**</w:t>
            </w:r>
          </w:p>
          <w:p w14:paraId="5D4885D2" w14:textId="69707516" w:rsidR="00671556" w:rsidRDefault="00671556" w:rsidP="00671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rPr>
            </w:pPr>
            <w:r w:rsidRPr="00DF70D9">
              <w:rPr>
                <w:i/>
                <w:iCs/>
                <w:color w:val="000000"/>
                <w:sz w:val="16"/>
                <w:szCs w:val="16"/>
              </w:rPr>
              <w:t>(0.</w:t>
            </w:r>
            <w:r>
              <w:rPr>
                <w:i/>
                <w:iCs/>
                <w:color w:val="000000"/>
                <w:sz w:val="16"/>
                <w:szCs w:val="16"/>
              </w:rPr>
              <w:t>757</w:t>
            </w:r>
            <w:r w:rsidRPr="00DF70D9">
              <w:rPr>
                <w:i/>
                <w:iCs/>
                <w:color w:val="000000"/>
                <w:sz w:val="16"/>
                <w:szCs w:val="16"/>
              </w:rPr>
              <w:t>)</w:t>
            </w:r>
          </w:p>
        </w:tc>
      </w:tr>
      <w:tr w:rsidR="00671556" w:rsidRPr="000F0B3A" w14:paraId="30996AE3" w14:textId="77777777" w:rsidTr="00D74294">
        <w:trPr>
          <w:trHeight w:val="416"/>
          <w:jc w:val="center"/>
        </w:trPr>
        <w:tc>
          <w:tcPr>
            <w:tcW w:w="2262" w:type="dxa"/>
            <w:shd w:val="clear" w:color="auto" w:fill="auto"/>
            <w:vAlign w:val="center"/>
          </w:tcPr>
          <w:p w14:paraId="158F4B97" w14:textId="6F73487B" w:rsidR="00671556" w:rsidRPr="000F0B3A" w:rsidRDefault="00671556" w:rsidP="00671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sz w:val="18"/>
                <w:szCs w:val="18"/>
              </w:rPr>
            </w:pPr>
            <w:r>
              <w:rPr>
                <w:b/>
                <w:bCs/>
                <w:color w:val="000000"/>
                <w:sz w:val="18"/>
                <w:szCs w:val="18"/>
              </w:rPr>
              <w:t>Spacecraft Developer</w:t>
            </w:r>
          </w:p>
        </w:tc>
        <w:tc>
          <w:tcPr>
            <w:tcW w:w="2164" w:type="dxa"/>
            <w:shd w:val="clear" w:color="auto" w:fill="auto"/>
            <w:vAlign w:val="center"/>
          </w:tcPr>
          <w:p w14:paraId="35538EFD" w14:textId="0E304BBB" w:rsidR="00671556" w:rsidRPr="00786A1D" w:rsidRDefault="00671556" w:rsidP="00671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sz w:val="18"/>
                <w:szCs w:val="18"/>
              </w:rPr>
            </w:pPr>
            <w:r w:rsidRPr="00786A1D">
              <w:rPr>
                <w:b/>
                <w:bCs/>
                <w:color w:val="000000"/>
                <w:sz w:val="18"/>
                <w:szCs w:val="18"/>
              </w:rPr>
              <w:t>-0.</w:t>
            </w:r>
            <w:r w:rsidR="00570AC6">
              <w:rPr>
                <w:b/>
                <w:bCs/>
                <w:color w:val="000000"/>
                <w:sz w:val="18"/>
                <w:szCs w:val="18"/>
              </w:rPr>
              <w:t>117</w:t>
            </w:r>
          </w:p>
          <w:p w14:paraId="61A13D0D" w14:textId="0B304862" w:rsidR="00671556" w:rsidRPr="000F0B3A" w:rsidRDefault="00671556" w:rsidP="00671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rPr>
            </w:pPr>
            <w:r w:rsidRPr="00DF70D9">
              <w:rPr>
                <w:i/>
                <w:iCs/>
                <w:color w:val="000000"/>
                <w:sz w:val="16"/>
                <w:szCs w:val="16"/>
              </w:rPr>
              <w:t>(0.</w:t>
            </w:r>
            <w:r w:rsidR="00570AC6">
              <w:rPr>
                <w:i/>
                <w:iCs/>
                <w:color w:val="000000"/>
                <w:sz w:val="16"/>
                <w:szCs w:val="16"/>
              </w:rPr>
              <w:t>128</w:t>
            </w:r>
            <w:r w:rsidRPr="00DF70D9">
              <w:rPr>
                <w:i/>
                <w:iCs/>
                <w:color w:val="000000"/>
                <w:sz w:val="16"/>
                <w:szCs w:val="16"/>
              </w:rPr>
              <w:t>)</w:t>
            </w:r>
          </w:p>
        </w:tc>
        <w:tc>
          <w:tcPr>
            <w:tcW w:w="2165" w:type="dxa"/>
            <w:vAlign w:val="center"/>
          </w:tcPr>
          <w:p w14:paraId="01AFFDF5" w14:textId="6C8B8EAB" w:rsidR="00671556" w:rsidRPr="00786A1D" w:rsidRDefault="00671556" w:rsidP="00671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sz w:val="18"/>
                <w:szCs w:val="18"/>
              </w:rPr>
            </w:pPr>
            <w:r w:rsidRPr="00786A1D">
              <w:rPr>
                <w:b/>
                <w:bCs/>
                <w:color w:val="000000"/>
                <w:sz w:val="18"/>
                <w:szCs w:val="18"/>
              </w:rPr>
              <w:t>-0.</w:t>
            </w:r>
            <w:r w:rsidR="00636E66">
              <w:rPr>
                <w:b/>
                <w:bCs/>
                <w:color w:val="000000"/>
                <w:sz w:val="18"/>
                <w:szCs w:val="18"/>
              </w:rPr>
              <w:t>168</w:t>
            </w:r>
          </w:p>
          <w:p w14:paraId="57AE5880" w14:textId="777DDC7B" w:rsidR="00671556" w:rsidRDefault="00671556" w:rsidP="00671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rPr>
            </w:pPr>
            <w:r w:rsidRPr="00DF70D9">
              <w:rPr>
                <w:i/>
                <w:iCs/>
                <w:color w:val="000000"/>
                <w:sz w:val="16"/>
                <w:szCs w:val="16"/>
              </w:rPr>
              <w:t>(0.</w:t>
            </w:r>
            <w:r w:rsidR="00636E66">
              <w:rPr>
                <w:i/>
                <w:iCs/>
                <w:color w:val="000000"/>
                <w:sz w:val="16"/>
                <w:szCs w:val="16"/>
              </w:rPr>
              <w:t>197</w:t>
            </w:r>
            <w:r w:rsidRPr="00DF70D9">
              <w:rPr>
                <w:i/>
                <w:iCs/>
                <w:color w:val="000000"/>
                <w:sz w:val="16"/>
                <w:szCs w:val="16"/>
              </w:rPr>
              <w:t>)</w:t>
            </w:r>
          </w:p>
        </w:tc>
        <w:tc>
          <w:tcPr>
            <w:tcW w:w="2165" w:type="dxa"/>
            <w:vAlign w:val="center"/>
          </w:tcPr>
          <w:p w14:paraId="5685FEB1" w14:textId="0995A48F" w:rsidR="00671556" w:rsidRPr="00786A1D" w:rsidRDefault="00671556" w:rsidP="00671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sz w:val="18"/>
                <w:szCs w:val="18"/>
              </w:rPr>
            </w:pPr>
            <w:r w:rsidRPr="00786A1D">
              <w:rPr>
                <w:b/>
                <w:bCs/>
                <w:color w:val="000000"/>
                <w:sz w:val="18"/>
                <w:szCs w:val="18"/>
              </w:rPr>
              <w:t>-0.</w:t>
            </w:r>
            <w:r w:rsidR="00636E66">
              <w:rPr>
                <w:b/>
                <w:bCs/>
                <w:color w:val="000000"/>
                <w:sz w:val="18"/>
                <w:szCs w:val="18"/>
              </w:rPr>
              <w:t>076</w:t>
            </w:r>
          </w:p>
          <w:p w14:paraId="6D88B51F" w14:textId="5A19496B" w:rsidR="00671556" w:rsidRDefault="00671556" w:rsidP="00671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rPr>
            </w:pPr>
            <w:r w:rsidRPr="00DF70D9">
              <w:rPr>
                <w:i/>
                <w:iCs/>
                <w:color w:val="000000"/>
                <w:sz w:val="16"/>
                <w:szCs w:val="16"/>
              </w:rPr>
              <w:t>(0.</w:t>
            </w:r>
            <w:r w:rsidR="00636E66">
              <w:rPr>
                <w:i/>
                <w:iCs/>
                <w:color w:val="000000"/>
                <w:sz w:val="16"/>
                <w:szCs w:val="16"/>
              </w:rPr>
              <w:t>189</w:t>
            </w:r>
            <w:r w:rsidRPr="00DF70D9">
              <w:rPr>
                <w:i/>
                <w:iCs/>
                <w:color w:val="000000"/>
                <w:sz w:val="16"/>
                <w:szCs w:val="16"/>
              </w:rPr>
              <w:t>)</w:t>
            </w:r>
          </w:p>
        </w:tc>
      </w:tr>
      <w:tr w:rsidR="00671556" w:rsidRPr="000F0B3A" w14:paraId="2F80C4B4" w14:textId="77777777" w:rsidTr="00D74294">
        <w:trPr>
          <w:trHeight w:val="416"/>
          <w:jc w:val="center"/>
        </w:trPr>
        <w:tc>
          <w:tcPr>
            <w:tcW w:w="2262" w:type="dxa"/>
            <w:shd w:val="clear" w:color="auto" w:fill="auto"/>
            <w:vAlign w:val="center"/>
          </w:tcPr>
          <w:p w14:paraId="08A64D6D" w14:textId="4F3A6AF6" w:rsidR="00671556" w:rsidRPr="000F0B3A" w:rsidRDefault="00671556" w:rsidP="00671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sz w:val="18"/>
                <w:szCs w:val="18"/>
              </w:rPr>
            </w:pPr>
            <w:r>
              <w:rPr>
                <w:b/>
                <w:bCs/>
                <w:color w:val="000000"/>
                <w:sz w:val="18"/>
                <w:szCs w:val="18"/>
              </w:rPr>
              <w:t>Ln Dry Mass</w:t>
            </w:r>
          </w:p>
        </w:tc>
        <w:tc>
          <w:tcPr>
            <w:tcW w:w="2164" w:type="dxa"/>
            <w:shd w:val="clear" w:color="auto" w:fill="auto"/>
            <w:vAlign w:val="center"/>
          </w:tcPr>
          <w:p w14:paraId="6EF50298" w14:textId="68D67068" w:rsidR="00671556" w:rsidRPr="00786A1D" w:rsidRDefault="00671556" w:rsidP="00671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sz w:val="18"/>
                <w:szCs w:val="18"/>
              </w:rPr>
            </w:pPr>
            <w:r w:rsidRPr="00786A1D">
              <w:rPr>
                <w:b/>
                <w:bCs/>
                <w:color w:val="000000"/>
                <w:sz w:val="18"/>
                <w:szCs w:val="18"/>
              </w:rPr>
              <w:t>0.</w:t>
            </w:r>
            <w:r w:rsidR="00570AC6">
              <w:rPr>
                <w:b/>
                <w:bCs/>
                <w:color w:val="000000"/>
                <w:sz w:val="18"/>
                <w:szCs w:val="18"/>
              </w:rPr>
              <w:t>586***</w:t>
            </w:r>
          </w:p>
          <w:p w14:paraId="487183AB" w14:textId="261F8638" w:rsidR="00671556" w:rsidRPr="000F0B3A" w:rsidRDefault="00671556" w:rsidP="00671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rPr>
            </w:pPr>
            <w:r w:rsidRPr="00DF70D9">
              <w:rPr>
                <w:i/>
                <w:iCs/>
                <w:color w:val="000000"/>
                <w:sz w:val="16"/>
                <w:szCs w:val="16"/>
              </w:rPr>
              <w:t>(0.</w:t>
            </w:r>
            <w:r w:rsidR="00570AC6">
              <w:rPr>
                <w:i/>
                <w:iCs/>
                <w:color w:val="000000"/>
                <w:sz w:val="16"/>
                <w:szCs w:val="16"/>
              </w:rPr>
              <w:t>087</w:t>
            </w:r>
            <w:r w:rsidRPr="00DF70D9">
              <w:rPr>
                <w:i/>
                <w:iCs/>
                <w:color w:val="000000"/>
                <w:sz w:val="16"/>
                <w:szCs w:val="16"/>
              </w:rPr>
              <w:t>)</w:t>
            </w:r>
          </w:p>
        </w:tc>
        <w:tc>
          <w:tcPr>
            <w:tcW w:w="2165" w:type="dxa"/>
            <w:vAlign w:val="center"/>
          </w:tcPr>
          <w:p w14:paraId="45D51A1A" w14:textId="000095E1" w:rsidR="00671556" w:rsidRPr="00786A1D" w:rsidRDefault="00671556" w:rsidP="00671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sz w:val="18"/>
                <w:szCs w:val="18"/>
              </w:rPr>
            </w:pPr>
            <w:r w:rsidRPr="00786A1D">
              <w:rPr>
                <w:b/>
                <w:bCs/>
                <w:color w:val="000000"/>
                <w:sz w:val="18"/>
                <w:szCs w:val="18"/>
              </w:rPr>
              <w:t>0.</w:t>
            </w:r>
            <w:r w:rsidR="00636E66">
              <w:rPr>
                <w:b/>
                <w:bCs/>
                <w:color w:val="000000"/>
                <w:sz w:val="18"/>
                <w:szCs w:val="18"/>
              </w:rPr>
              <w:t>584***</w:t>
            </w:r>
          </w:p>
          <w:p w14:paraId="1B572F44" w14:textId="66BA07F5" w:rsidR="00671556" w:rsidRPr="000F0B3A" w:rsidRDefault="00671556" w:rsidP="00671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rPr>
            </w:pPr>
            <w:r w:rsidRPr="00DF70D9">
              <w:rPr>
                <w:i/>
                <w:iCs/>
                <w:color w:val="000000"/>
                <w:sz w:val="16"/>
                <w:szCs w:val="16"/>
              </w:rPr>
              <w:t>(0.</w:t>
            </w:r>
            <w:r w:rsidR="00636E66">
              <w:rPr>
                <w:i/>
                <w:iCs/>
                <w:color w:val="000000"/>
                <w:sz w:val="16"/>
                <w:szCs w:val="16"/>
              </w:rPr>
              <w:t>142</w:t>
            </w:r>
            <w:r w:rsidRPr="00DF70D9">
              <w:rPr>
                <w:i/>
                <w:iCs/>
                <w:color w:val="000000"/>
                <w:sz w:val="16"/>
                <w:szCs w:val="16"/>
              </w:rPr>
              <w:t>)</w:t>
            </w:r>
          </w:p>
        </w:tc>
        <w:tc>
          <w:tcPr>
            <w:tcW w:w="2165" w:type="dxa"/>
            <w:vAlign w:val="center"/>
          </w:tcPr>
          <w:p w14:paraId="7ABCF2AE" w14:textId="1202E35E" w:rsidR="00671556" w:rsidRPr="00786A1D" w:rsidRDefault="00636E66" w:rsidP="00671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sz w:val="18"/>
                <w:szCs w:val="18"/>
              </w:rPr>
            </w:pPr>
            <w:r>
              <w:rPr>
                <w:b/>
                <w:bCs/>
                <w:color w:val="000000"/>
                <w:sz w:val="18"/>
                <w:szCs w:val="18"/>
              </w:rPr>
              <w:t>0.599***</w:t>
            </w:r>
          </w:p>
          <w:p w14:paraId="3DB6F925" w14:textId="2A70CCEC" w:rsidR="00671556" w:rsidRPr="00D13EB3" w:rsidRDefault="00671556" w:rsidP="00671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color w:val="000000"/>
                <w:sz w:val="18"/>
                <w:szCs w:val="18"/>
              </w:rPr>
            </w:pPr>
            <w:r w:rsidRPr="00DF70D9">
              <w:rPr>
                <w:i/>
                <w:iCs/>
                <w:color w:val="000000"/>
                <w:sz w:val="16"/>
                <w:szCs w:val="16"/>
              </w:rPr>
              <w:t>(0.</w:t>
            </w:r>
            <w:r w:rsidR="00636E66">
              <w:rPr>
                <w:i/>
                <w:iCs/>
                <w:color w:val="000000"/>
                <w:sz w:val="16"/>
                <w:szCs w:val="16"/>
              </w:rPr>
              <w:t>120</w:t>
            </w:r>
            <w:r w:rsidRPr="00DF70D9">
              <w:rPr>
                <w:i/>
                <w:iCs/>
                <w:color w:val="000000"/>
                <w:sz w:val="16"/>
                <w:szCs w:val="16"/>
              </w:rPr>
              <w:t>)</w:t>
            </w:r>
          </w:p>
        </w:tc>
      </w:tr>
      <w:tr w:rsidR="00671556" w:rsidRPr="000F0B3A" w14:paraId="42657DF7" w14:textId="77777777" w:rsidTr="00D74294">
        <w:trPr>
          <w:trHeight w:val="416"/>
          <w:jc w:val="center"/>
        </w:trPr>
        <w:tc>
          <w:tcPr>
            <w:tcW w:w="2262" w:type="dxa"/>
            <w:shd w:val="clear" w:color="auto" w:fill="auto"/>
            <w:vAlign w:val="center"/>
          </w:tcPr>
          <w:p w14:paraId="7A06F312" w14:textId="0C2AB384" w:rsidR="00671556" w:rsidRPr="000F0B3A" w:rsidRDefault="00671556" w:rsidP="00671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sz w:val="18"/>
                <w:szCs w:val="18"/>
              </w:rPr>
            </w:pPr>
            <w:r>
              <w:rPr>
                <w:b/>
                <w:bCs/>
                <w:color w:val="000000"/>
                <w:sz w:val="18"/>
                <w:szCs w:val="18"/>
              </w:rPr>
              <w:t>Mission Risk Class</w:t>
            </w:r>
          </w:p>
        </w:tc>
        <w:tc>
          <w:tcPr>
            <w:tcW w:w="2164" w:type="dxa"/>
            <w:shd w:val="clear" w:color="auto" w:fill="auto"/>
            <w:vAlign w:val="center"/>
          </w:tcPr>
          <w:p w14:paraId="77A7F6E4" w14:textId="4816DD7A" w:rsidR="00671556" w:rsidRPr="00786A1D" w:rsidRDefault="00671556" w:rsidP="00671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sz w:val="18"/>
                <w:szCs w:val="18"/>
              </w:rPr>
            </w:pPr>
            <w:r w:rsidRPr="00786A1D">
              <w:rPr>
                <w:b/>
                <w:bCs/>
                <w:color w:val="000000"/>
                <w:sz w:val="18"/>
                <w:szCs w:val="18"/>
              </w:rPr>
              <w:t>-0.</w:t>
            </w:r>
            <w:r w:rsidR="00570AC6">
              <w:rPr>
                <w:b/>
                <w:bCs/>
                <w:color w:val="000000"/>
                <w:sz w:val="18"/>
                <w:szCs w:val="18"/>
              </w:rPr>
              <w:t>693</w:t>
            </w:r>
            <w:r w:rsidRPr="00786A1D">
              <w:rPr>
                <w:color w:val="000000"/>
                <w:sz w:val="18"/>
                <w:szCs w:val="18"/>
              </w:rPr>
              <w:t>***</w:t>
            </w:r>
          </w:p>
          <w:p w14:paraId="01B784B0" w14:textId="4E5CD087" w:rsidR="00671556" w:rsidRPr="000F0B3A" w:rsidRDefault="00671556" w:rsidP="00671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rPr>
            </w:pPr>
            <w:r w:rsidRPr="00DF70D9">
              <w:rPr>
                <w:i/>
                <w:iCs/>
                <w:color w:val="000000"/>
                <w:sz w:val="16"/>
                <w:szCs w:val="16"/>
              </w:rPr>
              <w:t>(0.</w:t>
            </w:r>
            <w:r w:rsidR="00570AC6">
              <w:rPr>
                <w:i/>
                <w:iCs/>
                <w:color w:val="000000"/>
                <w:sz w:val="16"/>
                <w:szCs w:val="16"/>
              </w:rPr>
              <w:t>162</w:t>
            </w:r>
            <w:r w:rsidRPr="00DF70D9">
              <w:rPr>
                <w:i/>
                <w:iCs/>
                <w:color w:val="000000"/>
                <w:sz w:val="16"/>
                <w:szCs w:val="16"/>
              </w:rPr>
              <w:t>)</w:t>
            </w:r>
            <w:r>
              <w:rPr>
                <w:color w:val="000000"/>
                <w:sz w:val="18"/>
                <w:szCs w:val="18"/>
              </w:rPr>
              <w:t xml:space="preserve"> </w:t>
            </w:r>
          </w:p>
        </w:tc>
        <w:tc>
          <w:tcPr>
            <w:tcW w:w="2165" w:type="dxa"/>
            <w:vAlign w:val="center"/>
          </w:tcPr>
          <w:p w14:paraId="786A1127" w14:textId="77777777" w:rsidR="00671556" w:rsidRPr="006F6594" w:rsidRDefault="00671556" w:rsidP="00671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sz w:val="18"/>
                <w:szCs w:val="18"/>
              </w:rPr>
            </w:pPr>
            <w:r w:rsidRPr="006F6594">
              <w:rPr>
                <w:b/>
                <w:bCs/>
                <w:color w:val="000000"/>
                <w:sz w:val="18"/>
                <w:szCs w:val="18"/>
              </w:rPr>
              <w:t>-</w:t>
            </w:r>
          </w:p>
        </w:tc>
        <w:tc>
          <w:tcPr>
            <w:tcW w:w="2165" w:type="dxa"/>
            <w:vAlign w:val="center"/>
          </w:tcPr>
          <w:p w14:paraId="1820EE5F" w14:textId="77777777" w:rsidR="00671556" w:rsidRPr="006F6594" w:rsidRDefault="00671556" w:rsidP="00671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sz w:val="18"/>
                <w:szCs w:val="18"/>
              </w:rPr>
            </w:pPr>
            <w:r w:rsidRPr="006F6594">
              <w:rPr>
                <w:b/>
                <w:bCs/>
                <w:color w:val="000000"/>
                <w:sz w:val="18"/>
                <w:szCs w:val="18"/>
              </w:rPr>
              <w:t>-</w:t>
            </w:r>
          </w:p>
        </w:tc>
      </w:tr>
      <w:tr w:rsidR="00671556" w:rsidRPr="000F0B3A" w14:paraId="49F19FD8" w14:textId="77777777" w:rsidTr="00D74294">
        <w:trPr>
          <w:trHeight w:val="416"/>
          <w:jc w:val="center"/>
        </w:trPr>
        <w:tc>
          <w:tcPr>
            <w:tcW w:w="2262" w:type="dxa"/>
            <w:shd w:val="clear" w:color="auto" w:fill="auto"/>
            <w:vAlign w:val="center"/>
          </w:tcPr>
          <w:p w14:paraId="4A9E4333" w14:textId="50BCF95A" w:rsidR="00671556" w:rsidRPr="000F0B3A" w:rsidRDefault="00671556" w:rsidP="00671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sz w:val="18"/>
                <w:szCs w:val="18"/>
              </w:rPr>
            </w:pPr>
            <w:r>
              <w:rPr>
                <w:b/>
                <w:bCs/>
                <w:color w:val="000000"/>
                <w:sz w:val="18"/>
                <w:szCs w:val="18"/>
              </w:rPr>
              <w:t>Near-Earth</w:t>
            </w:r>
          </w:p>
        </w:tc>
        <w:tc>
          <w:tcPr>
            <w:tcW w:w="2164" w:type="dxa"/>
            <w:shd w:val="clear" w:color="auto" w:fill="auto"/>
            <w:vAlign w:val="center"/>
          </w:tcPr>
          <w:p w14:paraId="3484C688" w14:textId="0B443F2B" w:rsidR="00671556" w:rsidRPr="00786A1D" w:rsidRDefault="00671556" w:rsidP="00671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sz w:val="18"/>
                <w:szCs w:val="18"/>
              </w:rPr>
            </w:pPr>
            <w:r w:rsidRPr="00786A1D">
              <w:rPr>
                <w:b/>
                <w:bCs/>
                <w:color w:val="000000"/>
                <w:sz w:val="18"/>
                <w:szCs w:val="18"/>
              </w:rPr>
              <w:t>-0.</w:t>
            </w:r>
            <w:r w:rsidR="00570AC6">
              <w:rPr>
                <w:b/>
                <w:bCs/>
                <w:color w:val="000000"/>
                <w:sz w:val="18"/>
                <w:szCs w:val="18"/>
              </w:rPr>
              <w:t>016</w:t>
            </w:r>
          </w:p>
          <w:p w14:paraId="64C1226D" w14:textId="745598B6" w:rsidR="00671556" w:rsidRPr="000F0B3A" w:rsidRDefault="00671556" w:rsidP="00671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rPr>
            </w:pPr>
            <w:r w:rsidRPr="00DF70D9">
              <w:rPr>
                <w:i/>
                <w:iCs/>
                <w:color w:val="000000"/>
                <w:sz w:val="16"/>
                <w:szCs w:val="16"/>
              </w:rPr>
              <w:t>(0.</w:t>
            </w:r>
            <w:r w:rsidR="00570AC6">
              <w:rPr>
                <w:i/>
                <w:iCs/>
                <w:color w:val="000000"/>
                <w:sz w:val="16"/>
                <w:szCs w:val="16"/>
              </w:rPr>
              <w:t>150</w:t>
            </w:r>
            <w:r w:rsidRPr="00DF70D9">
              <w:rPr>
                <w:i/>
                <w:iCs/>
                <w:color w:val="000000"/>
                <w:sz w:val="16"/>
                <w:szCs w:val="16"/>
              </w:rPr>
              <w:t>)</w:t>
            </w:r>
          </w:p>
        </w:tc>
        <w:tc>
          <w:tcPr>
            <w:tcW w:w="2165" w:type="dxa"/>
            <w:vAlign w:val="center"/>
          </w:tcPr>
          <w:p w14:paraId="60529353" w14:textId="0F05CF6D" w:rsidR="00671556" w:rsidRPr="00786A1D" w:rsidRDefault="00671556" w:rsidP="00671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sz w:val="18"/>
                <w:szCs w:val="18"/>
              </w:rPr>
            </w:pPr>
            <w:r w:rsidRPr="00786A1D">
              <w:rPr>
                <w:b/>
                <w:bCs/>
                <w:color w:val="000000"/>
                <w:sz w:val="18"/>
                <w:szCs w:val="18"/>
              </w:rPr>
              <w:t>0.</w:t>
            </w:r>
            <w:r w:rsidR="00636E66">
              <w:rPr>
                <w:b/>
                <w:bCs/>
                <w:color w:val="000000"/>
                <w:sz w:val="18"/>
                <w:szCs w:val="18"/>
              </w:rPr>
              <w:t>003</w:t>
            </w:r>
          </w:p>
          <w:p w14:paraId="5AEACE49" w14:textId="5828C67F" w:rsidR="00671556" w:rsidRDefault="00671556" w:rsidP="00671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rPr>
            </w:pPr>
            <w:r w:rsidRPr="00DF70D9">
              <w:rPr>
                <w:i/>
                <w:iCs/>
                <w:color w:val="000000"/>
                <w:sz w:val="16"/>
                <w:szCs w:val="16"/>
              </w:rPr>
              <w:t>(0.</w:t>
            </w:r>
            <w:r w:rsidR="00636E66">
              <w:rPr>
                <w:i/>
                <w:iCs/>
                <w:color w:val="000000"/>
                <w:sz w:val="16"/>
                <w:szCs w:val="16"/>
              </w:rPr>
              <w:t>227</w:t>
            </w:r>
            <w:r w:rsidRPr="00DF70D9">
              <w:rPr>
                <w:i/>
                <w:iCs/>
                <w:color w:val="000000"/>
                <w:sz w:val="16"/>
                <w:szCs w:val="16"/>
              </w:rPr>
              <w:t>)</w:t>
            </w:r>
          </w:p>
        </w:tc>
        <w:tc>
          <w:tcPr>
            <w:tcW w:w="2165" w:type="dxa"/>
            <w:vAlign w:val="center"/>
          </w:tcPr>
          <w:p w14:paraId="7CF8BF60" w14:textId="778E9CC9" w:rsidR="00671556" w:rsidRPr="00786A1D" w:rsidRDefault="00636E66" w:rsidP="00671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sz w:val="18"/>
                <w:szCs w:val="18"/>
              </w:rPr>
            </w:pPr>
            <w:r>
              <w:rPr>
                <w:b/>
                <w:bCs/>
                <w:color w:val="000000"/>
                <w:sz w:val="18"/>
                <w:szCs w:val="18"/>
              </w:rPr>
              <w:t>0.003</w:t>
            </w:r>
          </w:p>
          <w:p w14:paraId="6DD2C58D" w14:textId="79CE942C" w:rsidR="00671556" w:rsidRDefault="00671556" w:rsidP="00671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rPr>
            </w:pPr>
            <w:r w:rsidRPr="00DF70D9">
              <w:rPr>
                <w:i/>
                <w:iCs/>
                <w:color w:val="000000"/>
                <w:sz w:val="16"/>
                <w:szCs w:val="16"/>
              </w:rPr>
              <w:t>(0.</w:t>
            </w:r>
            <w:r w:rsidR="00636E66">
              <w:rPr>
                <w:i/>
                <w:iCs/>
                <w:color w:val="000000"/>
                <w:sz w:val="16"/>
                <w:szCs w:val="16"/>
              </w:rPr>
              <w:t>253</w:t>
            </w:r>
            <w:r w:rsidRPr="00DF70D9">
              <w:rPr>
                <w:i/>
                <w:iCs/>
                <w:color w:val="000000"/>
                <w:sz w:val="16"/>
                <w:szCs w:val="16"/>
              </w:rPr>
              <w:t>)</w:t>
            </w:r>
          </w:p>
        </w:tc>
      </w:tr>
      <w:tr w:rsidR="00671556" w:rsidRPr="000F0B3A" w14:paraId="498E0209" w14:textId="77777777" w:rsidTr="00D74294">
        <w:trPr>
          <w:trHeight w:val="416"/>
          <w:jc w:val="center"/>
        </w:trPr>
        <w:tc>
          <w:tcPr>
            <w:tcW w:w="2262" w:type="dxa"/>
            <w:shd w:val="clear" w:color="auto" w:fill="auto"/>
            <w:vAlign w:val="center"/>
          </w:tcPr>
          <w:p w14:paraId="558DF16B" w14:textId="69D8036D" w:rsidR="00671556" w:rsidRPr="000F0B3A" w:rsidRDefault="00671556" w:rsidP="00671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sz w:val="18"/>
                <w:szCs w:val="18"/>
              </w:rPr>
            </w:pPr>
            <w:r>
              <w:rPr>
                <w:b/>
                <w:bCs/>
                <w:color w:val="000000"/>
                <w:sz w:val="18"/>
                <w:szCs w:val="18"/>
              </w:rPr>
              <w:t>Lander</w:t>
            </w:r>
          </w:p>
        </w:tc>
        <w:tc>
          <w:tcPr>
            <w:tcW w:w="2164" w:type="dxa"/>
            <w:shd w:val="clear" w:color="auto" w:fill="auto"/>
            <w:vAlign w:val="center"/>
          </w:tcPr>
          <w:p w14:paraId="41736871" w14:textId="22645A3F" w:rsidR="00671556" w:rsidRPr="00786A1D" w:rsidRDefault="00671556" w:rsidP="00671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sz w:val="18"/>
                <w:szCs w:val="18"/>
              </w:rPr>
            </w:pPr>
            <w:r w:rsidRPr="00786A1D">
              <w:rPr>
                <w:b/>
                <w:bCs/>
                <w:color w:val="000000"/>
                <w:sz w:val="18"/>
                <w:szCs w:val="18"/>
              </w:rPr>
              <w:t>0.</w:t>
            </w:r>
            <w:r w:rsidR="00570AC6">
              <w:rPr>
                <w:b/>
                <w:bCs/>
                <w:color w:val="000000"/>
                <w:sz w:val="18"/>
                <w:szCs w:val="18"/>
              </w:rPr>
              <w:t>233</w:t>
            </w:r>
          </w:p>
          <w:p w14:paraId="037A9756" w14:textId="58036415" w:rsidR="00671556" w:rsidRPr="000F0B3A" w:rsidRDefault="00671556" w:rsidP="00671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rPr>
            </w:pPr>
            <w:r w:rsidRPr="00DF70D9">
              <w:rPr>
                <w:i/>
                <w:iCs/>
                <w:color w:val="000000"/>
                <w:sz w:val="16"/>
                <w:szCs w:val="16"/>
              </w:rPr>
              <w:t>(0.</w:t>
            </w:r>
            <w:r w:rsidR="00570AC6">
              <w:rPr>
                <w:i/>
                <w:iCs/>
                <w:color w:val="000000"/>
                <w:sz w:val="16"/>
                <w:szCs w:val="16"/>
              </w:rPr>
              <w:t>213</w:t>
            </w:r>
            <w:r w:rsidRPr="00DF70D9">
              <w:rPr>
                <w:i/>
                <w:iCs/>
                <w:color w:val="000000"/>
                <w:sz w:val="16"/>
                <w:szCs w:val="16"/>
              </w:rPr>
              <w:t>)</w:t>
            </w:r>
          </w:p>
        </w:tc>
        <w:tc>
          <w:tcPr>
            <w:tcW w:w="2165" w:type="dxa"/>
            <w:vAlign w:val="center"/>
          </w:tcPr>
          <w:p w14:paraId="110C8162" w14:textId="588D487B" w:rsidR="00671556" w:rsidRPr="00786A1D" w:rsidRDefault="00671556" w:rsidP="00671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sz w:val="18"/>
                <w:szCs w:val="18"/>
              </w:rPr>
            </w:pPr>
            <w:r w:rsidRPr="00786A1D">
              <w:rPr>
                <w:b/>
                <w:bCs/>
                <w:color w:val="000000"/>
                <w:sz w:val="18"/>
                <w:szCs w:val="18"/>
              </w:rPr>
              <w:t>0.</w:t>
            </w:r>
            <w:r w:rsidR="00636E66">
              <w:rPr>
                <w:b/>
                <w:bCs/>
                <w:color w:val="000000"/>
                <w:sz w:val="18"/>
                <w:szCs w:val="18"/>
              </w:rPr>
              <w:t>260</w:t>
            </w:r>
          </w:p>
          <w:p w14:paraId="27CC367D" w14:textId="23DB588B" w:rsidR="00671556" w:rsidRDefault="00671556" w:rsidP="00671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rPr>
            </w:pPr>
            <w:r w:rsidRPr="00DF70D9">
              <w:rPr>
                <w:i/>
                <w:iCs/>
                <w:color w:val="000000"/>
                <w:sz w:val="16"/>
                <w:szCs w:val="16"/>
              </w:rPr>
              <w:t>(0.</w:t>
            </w:r>
            <w:r w:rsidR="00636E66">
              <w:rPr>
                <w:i/>
                <w:iCs/>
                <w:color w:val="000000"/>
                <w:sz w:val="16"/>
                <w:szCs w:val="16"/>
              </w:rPr>
              <w:t>264</w:t>
            </w:r>
            <w:r w:rsidRPr="00DF70D9">
              <w:rPr>
                <w:i/>
                <w:iCs/>
                <w:color w:val="000000"/>
                <w:sz w:val="16"/>
                <w:szCs w:val="16"/>
              </w:rPr>
              <w:t>)</w:t>
            </w:r>
          </w:p>
        </w:tc>
        <w:tc>
          <w:tcPr>
            <w:tcW w:w="2165" w:type="dxa"/>
            <w:vAlign w:val="center"/>
          </w:tcPr>
          <w:p w14:paraId="6053217D" w14:textId="25A729D4" w:rsidR="00671556" w:rsidRPr="00786A1D" w:rsidRDefault="00636E66" w:rsidP="00671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sz w:val="18"/>
                <w:szCs w:val="18"/>
              </w:rPr>
            </w:pPr>
            <w:r>
              <w:rPr>
                <w:b/>
                <w:bCs/>
                <w:color w:val="000000"/>
                <w:sz w:val="18"/>
                <w:szCs w:val="18"/>
              </w:rPr>
              <w:t>0.059</w:t>
            </w:r>
          </w:p>
          <w:p w14:paraId="7038AE92" w14:textId="25623098" w:rsidR="00671556" w:rsidRDefault="00671556" w:rsidP="00671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rPr>
            </w:pPr>
            <w:r w:rsidRPr="00DF70D9">
              <w:rPr>
                <w:i/>
                <w:iCs/>
                <w:color w:val="000000"/>
                <w:sz w:val="16"/>
                <w:szCs w:val="16"/>
              </w:rPr>
              <w:t>(0.</w:t>
            </w:r>
            <w:r w:rsidR="00636E66">
              <w:rPr>
                <w:i/>
                <w:iCs/>
                <w:color w:val="000000"/>
                <w:sz w:val="16"/>
                <w:szCs w:val="16"/>
              </w:rPr>
              <w:t>475</w:t>
            </w:r>
            <w:r w:rsidRPr="00DF70D9">
              <w:rPr>
                <w:i/>
                <w:iCs/>
                <w:color w:val="000000"/>
                <w:sz w:val="16"/>
                <w:szCs w:val="16"/>
              </w:rPr>
              <w:t>)</w:t>
            </w:r>
          </w:p>
        </w:tc>
      </w:tr>
      <w:tr w:rsidR="003952D7" w:rsidRPr="000F0B3A" w14:paraId="50110AE1" w14:textId="77777777" w:rsidTr="00D74294">
        <w:trPr>
          <w:trHeight w:val="255"/>
          <w:jc w:val="center"/>
        </w:trPr>
        <w:tc>
          <w:tcPr>
            <w:tcW w:w="2262" w:type="dxa"/>
            <w:tcBorders>
              <w:top w:val="single" w:sz="4" w:space="0" w:color="auto"/>
            </w:tcBorders>
            <w:shd w:val="clear" w:color="auto" w:fill="auto"/>
            <w:vAlign w:val="center"/>
          </w:tcPr>
          <w:p w14:paraId="67F0FBCB" w14:textId="77777777" w:rsidR="003952D7" w:rsidRPr="000F0B3A" w:rsidRDefault="003952D7" w:rsidP="00D74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
              <w:jc w:val="center"/>
              <w:rPr>
                <w:b/>
                <w:bCs/>
                <w:color w:val="000000"/>
                <w:sz w:val="18"/>
                <w:szCs w:val="18"/>
              </w:rPr>
            </w:pPr>
            <w:r w:rsidRPr="000F0B3A">
              <w:rPr>
                <w:b/>
                <w:bCs/>
                <w:color w:val="000000"/>
                <w:sz w:val="18"/>
                <w:szCs w:val="18"/>
              </w:rPr>
              <w:t>R-Squared</w:t>
            </w:r>
          </w:p>
        </w:tc>
        <w:tc>
          <w:tcPr>
            <w:tcW w:w="2164" w:type="dxa"/>
            <w:tcBorders>
              <w:top w:val="single" w:sz="4" w:space="0" w:color="auto"/>
            </w:tcBorders>
            <w:shd w:val="clear" w:color="auto" w:fill="auto"/>
            <w:vAlign w:val="center"/>
          </w:tcPr>
          <w:p w14:paraId="22F8837F" w14:textId="308DE393" w:rsidR="003952D7" w:rsidRPr="000F0B3A" w:rsidRDefault="003952D7" w:rsidP="00D74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rPr>
            </w:pPr>
            <w:r w:rsidRPr="000F0B3A">
              <w:rPr>
                <w:color w:val="000000"/>
                <w:sz w:val="18"/>
                <w:szCs w:val="18"/>
              </w:rPr>
              <w:t>0.</w:t>
            </w:r>
            <w:r w:rsidR="00636E66">
              <w:rPr>
                <w:color w:val="000000"/>
                <w:sz w:val="18"/>
                <w:szCs w:val="18"/>
              </w:rPr>
              <w:t>757</w:t>
            </w:r>
          </w:p>
        </w:tc>
        <w:tc>
          <w:tcPr>
            <w:tcW w:w="2165" w:type="dxa"/>
            <w:tcBorders>
              <w:top w:val="single" w:sz="4" w:space="0" w:color="auto"/>
            </w:tcBorders>
            <w:shd w:val="clear" w:color="auto" w:fill="auto"/>
            <w:vAlign w:val="center"/>
          </w:tcPr>
          <w:p w14:paraId="32D9766E" w14:textId="2BC5D88D" w:rsidR="003952D7" w:rsidRPr="000F0B3A" w:rsidRDefault="003952D7" w:rsidP="00D74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rPr>
            </w:pPr>
            <w:r>
              <w:rPr>
                <w:color w:val="000000"/>
                <w:sz w:val="18"/>
                <w:szCs w:val="18"/>
              </w:rPr>
              <w:t>0.</w:t>
            </w:r>
            <w:r w:rsidR="00636E66">
              <w:rPr>
                <w:color w:val="000000"/>
                <w:sz w:val="18"/>
                <w:szCs w:val="18"/>
              </w:rPr>
              <w:t>489</w:t>
            </w:r>
          </w:p>
        </w:tc>
        <w:tc>
          <w:tcPr>
            <w:tcW w:w="2165" w:type="dxa"/>
            <w:tcBorders>
              <w:top w:val="single" w:sz="4" w:space="0" w:color="auto"/>
            </w:tcBorders>
          </w:tcPr>
          <w:p w14:paraId="5BA124E3" w14:textId="49BFFBDF" w:rsidR="003952D7" w:rsidRPr="000F0B3A" w:rsidRDefault="003952D7" w:rsidP="00D74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rPr>
            </w:pPr>
            <w:r>
              <w:rPr>
                <w:color w:val="000000"/>
                <w:sz w:val="18"/>
                <w:szCs w:val="18"/>
              </w:rPr>
              <w:t>0.</w:t>
            </w:r>
            <w:r w:rsidR="00636E66">
              <w:rPr>
                <w:color w:val="000000"/>
                <w:sz w:val="18"/>
                <w:szCs w:val="18"/>
              </w:rPr>
              <w:t>478</w:t>
            </w:r>
          </w:p>
        </w:tc>
      </w:tr>
      <w:tr w:rsidR="003952D7" w:rsidRPr="000F0B3A" w14:paraId="31074888" w14:textId="77777777" w:rsidTr="00D74294">
        <w:trPr>
          <w:trHeight w:val="255"/>
          <w:jc w:val="center"/>
        </w:trPr>
        <w:tc>
          <w:tcPr>
            <w:tcW w:w="2262" w:type="dxa"/>
            <w:shd w:val="clear" w:color="auto" w:fill="auto"/>
            <w:vAlign w:val="center"/>
          </w:tcPr>
          <w:p w14:paraId="38DB4197" w14:textId="77777777" w:rsidR="003952D7" w:rsidRPr="000F0B3A" w:rsidRDefault="003952D7" w:rsidP="00D74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
              <w:jc w:val="center"/>
              <w:rPr>
                <w:b/>
                <w:bCs/>
                <w:color w:val="000000"/>
                <w:sz w:val="18"/>
                <w:szCs w:val="18"/>
              </w:rPr>
            </w:pPr>
            <w:r w:rsidRPr="000F0B3A">
              <w:rPr>
                <w:b/>
                <w:bCs/>
                <w:color w:val="000000"/>
                <w:sz w:val="18"/>
                <w:szCs w:val="18"/>
              </w:rPr>
              <w:t>Adjusted R</w:t>
            </w:r>
          </w:p>
        </w:tc>
        <w:tc>
          <w:tcPr>
            <w:tcW w:w="2164" w:type="dxa"/>
            <w:shd w:val="clear" w:color="auto" w:fill="auto"/>
            <w:vAlign w:val="center"/>
          </w:tcPr>
          <w:p w14:paraId="4E700E41" w14:textId="42F84D46" w:rsidR="003952D7" w:rsidRPr="000F0B3A" w:rsidRDefault="003952D7" w:rsidP="00D74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rPr>
            </w:pPr>
            <w:r w:rsidRPr="000F0B3A">
              <w:rPr>
                <w:color w:val="000000"/>
                <w:sz w:val="18"/>
                <w:szCs w:val="18"/>
              </w:rPr>
              <w:t>0.</w:t>
            </w:r>
            <w:r w:rsidR="00636E66">
              <w:rPr>
                <w:color w:val="000000"/>
                <w:sz w:val="18"/>
                <w:szCs w:val="18"/>
              </w:rPr>
              <w:t>738</w:t>
            </w:r>
          </w:p>
        </w:tc>
        <w:tc>
          <w:tcPr>
            <w:tcW w:w="2165" w:type="dxa"/>
            <w:shd w:val="clear" w:color="auto" w:fill="auto"/>
            <w:vAlign w:val="center"/>
          </w:tcPr>
          <w:p w14:paraId="3BDFA9A2" w14:textId="7FB6C3D5" w:rsidR="003952D7" w:rsidRPr="000F0B3A" w:rsidRDefault="003952D7" w:rsidP="00D74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rPr>
            </w:pPr>
            <w:r>
              <w:rPr>
                <w:color w:val="000000"/>
                <w:sz w:val="18"/>
                <w:szCs w:val="18"/>
              </w:rPr>
              <w:t>0.</w:t>
            </w:r>
            <w:r w:rsidR="00636E66">
              <w:rPr>
                <w:color w:val="000000"/>
                <w:sz w:val="18"/>
                <w:szCs w:val="18"/>
              </w:rPr>
              <w:t>516</w:t>
            </w:r>
          </w:p>
        </w:tc>
        <w:tc>
          <w:tcPr>
            <w:tcW w:w="2165" w:type="dxa"/>
          </w:tcPr>
          <w:p w14:paraId="0E7B7369" w14:textId="46A14E11" w:rsidR="003952D7" w:rsidRPr="000F0B3A" w:rsidRDefault="003952D7" w:rsidP="00D74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rPr>
            </w:pPr>
            <w:r>
              <w:rPr>
                <w:color w:val="000000"/>
                <w:sz w:val="18"/>
                <w:szCs w:val="18"/>
              </w:rPr>
              <w:t>0.</w:t>
            </w:r>
            <w:r w:rsidR="00636E66">
              <w:rPr>
                <w:color w:val="000000"/>
                <w:sz w:val="18"/>
                <w:szCs w:val="18"/>
              </w:rPr>
              <w:t>406</w:t>
            </w:r>
          </w:p>
        </w:tc>
      </w:tr>
      <w:tr w:rsidR="003952D7" w:rsidRPr="000F0B3A" w14:paraId="23B3A0CA" w14:textId="77777777" w:rsidTr="00D74294">
        <w:trPr>
          <w:trHeight w:val="255"/>
          <w:jc w:val="center"/>
        </w:trPr>
        <w:tc>
          <w:tcPr>
            <w:tcW w:w="2262" w:type="dxa"/>
            <w:shd w:val="clear" w:color="auto" w:fill="auto"/>
            <w:vAlign w:val="center"/>
          </w:tcPr>
          <w:p w14:paraId="7F764485" w14:textId="77777777" w:rsidR="003952D7" w:rsidRPr="000F0B3A" w:rsidRDefault="003952D7" w:rsidP="00D74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
              <w:jc w:val="center"/>
              <w:rPr>
                <w:b/>
                <w:bCs/>
                <w:color w:val="000000"/>
                <w:sz w:val="18"/>
                <w:szCs w:val="18"/>
              </w:rPr>
            </w:pPr>
            <w:r w:rsidRPr="000F0B3A">
              <w:rPr>
                <w:b/>
                <w:bCs/>
                <w:color w:val="000000"/>
                <w:sz w:val="18"/>
                <w:szCs w:val="18"/>
              </w:rPr>
              <w:t>No. Observations</w:t>
            </w:r>
          </w:p>
        </w:tc>
        <w:tc>
          <w:tcPr>
            <w:tcW w:w="2164" w:type="dxa"/>
            <w:shd w:val="clear" w:color="auto" w:fill="auto"/>
            <w:vAlign w:val="center"/>
          </w:tcPr>
          <w:p w14:paraId="772FAE94" w14:textId="1A55A82F" w:rsidR="003952D7" w:rsidRDefault="00636E66" w:rsidP="00D74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rPr>
            </w:pPr>
            <w:r>
              <w:rPr>
                <w:color w:val="000000"/>
                <w:sz w:val="18"/>
                <w:szCs w:val="18"/>
              </w:rPr>
              <w:t>69</w:t>
            </w:r>
          </w:p>
        </w:tc>
        <w:tc>
          <w:tcPr>
            <w:tcW w:w="2165" w:type="dxa"/>
            <w:shd w:val="clear" w:color="auto" w:fill="auto"/>
            <w:vAlign w:val="center"/>
          </w:tcPr>
          <w:p w14:paraId="7B49652A" w14:textId="69E82B79" w:rsidR="003952D7" w:rsidRDefault="00636E66" w:rsidP="00D74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rPr>
            </w:pPr>
            <w:r>
              <w:rPr>
                <w:color w:val="000000"/>
                <w:sz w:val="18"/>
                <w:szCs w:val="18"/>
              </w:rPr>
              <w:t>35</w:t>
            </w:r>
          </w:p>
        </w:tc>
        <w:tc>
          <w:tcPr>
            <w:tcW w:w="2165" w:type="dxa"/>
          </w:tcPr>
          <w:p w14:paraId="49BAF0C5" w14:textId="7492E7CE" w:rsidR="003952D7" w:rsidRDefault="003952D7" w:rsidP="00D74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rPr>
            </w:pPr>
            <w:r>
              <w:rPr>
                <w:color w:val="000000"/>
                <w:sz w:val="18"/>
                <w:szCs w:val="18"/>
              </w:rPr>
              <w:t>3</w:t>
            </w:r>
            <w:r w:rsidR="00636E66">
              <w:rPr>
                <w:color w:val="000000"/>
                <w:sz w:val="18"/>
                <w:szCs w:val="18"/>
              </w:rPr>
              <w:t>4</w:t>
            </w:r>
          </w:p>
        </w:tc>
      </w:tr>
    </w:tbl>
    <w:p w14:paraId="3D2C3C73" w14:textId="77777777" w:rsidR="003952D7" w:rsidRPr="007F327E" w:rsidRDefault="003952D7" w:rsidP="003952D7">
      <w:pPr>
        <w:ind w:left="90"/>
        <w:jc w:val="center"/>
        <w:rPr>
          <w:iCs/>
          <w:sz w:val="18"/>
          <w:szCs w:val="18"/>
        </w:rPr>
      </w:pPr>
      <w:r w:rsidRPr="007F327E">
        <w:rPr>
          <w:iCs/>
          <w:sz w:val="18"/>
          <w:szCs w:val="18"/>
        </w:rPr>
        <w:t>Standard errors are reported in parentheses.</w:t>
      </w:r>
    </w:p>
    <w:p w14:paraId="6517E429" w14:textId="77777777" w:rsidR="003952D7" w:rsidRDefault="003952D7" w:rsidP="003952D7">
      <w:pPr>
        <w:ind w:left="90"/>
        <w:jc w:val="center"/>
        <w:rPr>
          <w:iCs/>
          <w:sz w:val="18"/>
          <w:szCs w:val="18"/>
        </w:rPr>
      </w:pPr>
      <w:r w:rsidRPr="007F327E">
        <w:rPr>
          <w:iCs/>
          <w:sz w:val="18"/>
          <w:szCs w:val="18"/>
        </w:rPr>
        <w:t>*, **, *** indicates significance at the 90%, 95%, and 99% level, respectively.</w:t>
      </w:r>
    </w:p>
    <w:p w14:paraId="4B6E100A" w14:textId="77777777" w:rsidR="00A43657" w:rsidRDefault="00A43657" w:rsidP="00A43657">
      <w:pPr>
        <w:pStyle w:val="Heading4"/>
      </w:pPr>
    </w:p>
    <w:p w14:paraId="739DD4D1" w14:textId="77777777" w:rsidR="00CF24EE" w:rsidRDefault="008674AB" w:rsidP="00CF24EE">
      <w:pPr>
        <w:pStyle w:val="Text"/>
      </w:pPr>
      <w:r>
        <w:t>Several factors may explain the lack of a measurable effect of the spacecraft developer on total project cost. First, NASA may incur a “double overhead” when contracting out spacecraft development. This arises because contractual work necessitates additional project and contract management to verify the contractor’s progress and deliverables. Similarly, when the payload and spacecraft are developed under separate management, the project often requires extra integration and testing efforts.</w:t>
      </w:r>
      <w:r w:rsidR="001F4A88">
        <w:t xml:space="preserve"> </w:t>
      </w:r>
    </w:p>
    <w:p w14:paraId="0E8A494A" w14:textId="022B1A6A" w:rsidR="00CF24EE" w:rsidRDefault="008674AB" w:rsidP="00CF24EE">
      <w:pPr>
        <w:pStyle w:val="Text"/>
      </w:pPr>
      <w:r>
        <w:lastRenderedPageBreak/>
        <w:t xml:space="preserve">Second, variations in WBS cost accounting practices may obscure differences in cost allocation. For NASA spacecraft projects, interface challenges are typically resolved by charging the associated costs to the spacecraft WBS. </w:t>
      </w:r>
      <w:r w:rsidR="00500D61">
        <w:t xml:space="preserve">Conversely, in projects with industry-built spacecraft, such costs are usually allocated to the payload WBS. </w:t>
      </w:r>
      <w:r>
        <w:t xml:space="preserve">For example, during the Lunar Reconnaissance Orbiter </w:t>
      </w:r>
      <w:r w:rsidR="00E10AC3">
        <w:t xml:space="preserve">(LRO) </w:t>
      </w:r>
      <w:r>
        <w:t xml:space="preserve">project, the spacecraft absorbed the cost of </w:t>
      </w:r>
      <w:r w:rsidR="00E10AC3">
        <w:t xml:space="preserve">accommodating a loads issue with one of the major instruments </w:t>
      </w:r>
      <w:r w:rsidR="00500D61">
        <w:t xml:space="preserve">which would have been </w:t>
      </w:r>
      <w:r w:rsidR="00E10AC3">
        <w:t xml:space="preserve">pushed onto the instrument (and </w:t>
      </w:r>
      <w:r w:rsidR="00500D61">
        <w:t>accounted in the payload WBS</w:t>
      </w:r>
      <w:r w:rsidR="00E10AC3">
        <w:t>)</w:t>
      </w:r>
      <w:r w:rsidR="00500D61">
        <w:t xml:space="preserve"> if </w:t>
      </w:r>
      <w:r w:rsidR="008917FC">
        <w:t xml:space="preserve">the project </w:t>
      </w:r>
      <w:r w:rsidR="00E10AC3">
        <w:t xml:space="preserve">had </w:t>
      </w:r>
      <w:r w:rsidR="008917FC">
        <w:t>a</w:t>
      </w:r>
      <w:r w:rsidR="00476EF8">
        <w:t>n</w:t>
      </w:r>
      <w:r w:rsidR="008917FC">
        <w:t xml:space="preserve"> industry-built spacecraft</w:t>
      </w:r>
      <w:r>
        <w:t xml:space="preserve">. </w:t>
      </w:r>
    </w:p>
    <w:p w14:paraId="4F2D1CC2" w14:textId="6DE6A31E" w:rsidR="00A43657" w:rsidRDefault="008674AB" w:rsidP="00CF24EE">
      <w:pPr>
        <w:pStyle w:val="Text"/>
      </w:pPr>
      <w:r>
        <w:t>These factors result in additional costs being recorded in other WBS elements for industry spacecraft projects and increased costs within the spacecraft WBS for NASA projects, potentially masking differences in total project costs.</w:t>
      </w:r>
      <w:r w:rsidR="00275B06">
        <w:t xml:space="preserve"> </w:t>
      </w:r>
      <w:r w:rsidR="00C0321A">
        <w:t>It may also be the case that the mission is fitting within a “cost cap</w:t>
      </w:r>
      <w:r w:rsidR="000A0367">
        <w:t xml:space="preserve">,” </w:t>
      </w:r>
      <w:r w:rsidR="00C0321A">
        <w:t>often the case with competitively selected missions</w:t>
      </w:r>
      <w:r w:rsidR="000A0367">
        <w:t>,</w:t>
      </w:r>
      <w:r w:rsidR="00C0321A">
        <w:t xml:space="preserve"> and the savings of an industry-built spacecraft bus are just “spent” </w:t>
      </w:r>
      <w:r w:rsidR="007C007F">
        <w:t xml:space="preserve">on more expensive science instruments, operations, and team. </w:t>
      </w:r>
      <w:r w:rsidR="00C8260E">
        <w:t xml:space="preserve">The same factors could explain the lack of statistical evidence for </w:t>
      </w:r>
      <w:r w:rsidR="00AB4756">
        <w:t>the</w:t>
      </w:r>
      <w:r w:rsidR="00CF24EE">
        <w:t xml:space="preserve"> differences in the</w:t>
      </w:r>
      <w:r w:rsidR="00AB4756">
        <w:t xml:space="preserve"> means of </w:t>
      </w:r>
      <w:r w:rsidR="00E40FC3">
        <w:t xml:space="preserve">cost </w:t>
      </w:r>
      <w:r w:rsidR="00A43657" w:rsidRPr="00A43657">
        <w:t>growth</w:t>
      </w:r>
      <w:r w:rsidR="00CF24EE">
        <w:t xml:space="preserve">. </w:t>
      </w:r>
      <w:r w:rsidR="00967C89">
        <w:t>In addition,</w:t>
      </w:r>
      <w:r w:rsidR="00E04DB0">
        <w:t xml:space="preserve"> </w:t>
      </w:r>
      <w:r w:rsidR="00967C89">
        <w:t>cost growth</w:t>
      </w:r>
      <w:r w:rsidR="00A43657" w:rsidRPr="00A43657">
        <w:t xml:space="preserve"> often occurs due to reasons beyond who builds spacecraft</w:t>
      </w:r>
      <w:r w:rsidR="00967C89">
        <w:t>, such as</w:t>
      </w:r>
      <w:r w:rsidR="00A43657" w:rsidRPr="00A43657">
        <w:t xml:space="preserve"> scope change</w:t>
      </w:r>
      <w:r w:rsidR="00967C89">
        <w:t>s</w:t>
      </w:r>
      <w:r w:rsidR="00A43657" w:rsidRPr="00A43657">
        <w:t xml:space="preserve">, funding delays, </w:t>
      </w:r>
      <w:r w:rsidR="00967C89">
        <w:t xml:space="preserve">and </w:t>
      </w:r>
      <w:r w:rsidR="00A43657" w:rsidRPr="00A43657">
        <w:t>inflation. These are factors that affect both NASA and industry</w:t>
      </w:r>
      <w:r w:rsidR="00620E09">
        <w:t xml:space="preserve">, hence the lack of </w:t>
      </w:r>
      <w:r w:rsidR="00952385">
        <w:t xml:space="preserve">statistical evidence. </w:t>
      </w:r>
    </w:p>
    <w:p w14:paraId="501009BE" w14:textId="5404BF0A" w:rsidR="006B6605" w:rsidRPr="00A43657" w:rsidRDefault="00B05574" w:rsidP="00A40DF2">
      <w:pPr>
        <w:pStyle w:val="Text"/>
      </w:pPr>
      <w:r>
        <w:t xml:space="preserve">In addition to the above, the analyses yielded </w:t>
      </w:r>
      <w:r w:rsidR="00A103B8">
        <w:t>insightful estimates of subsystem costs as a proportion of total project cost. On average, spacecraft cost</w:t>
      </w:r>
      <w:r w:rsidR="00A40DF2">
        <w:t xml:space="preserve"> (WBS 06 and WBS 10)</w:t>
      </w:r>
      <w:r w:rsidR="00A103B8">
        <w:t xml:space="preserve"> is about </w:t>
      </w:r>
      <w:r w:rsidR="00A40DF2">
        <w:t>40</w:t>
      </w:r>
      <w:r w:rsidR="00A103B8">
        <w:t xml:space="preserve"> percent of </w:t>
      </w:r>
      <w:r w:rsidR="00A40DF2">
        <w:t>total</w:t>
      </w:r>
      <w:r w:rsidR="00A103B8">
        <w:t xml:space="preserve"> project cost. Payload cost</w:t>
      </w:r>
      <w:r w:rsidR="00A40DF2">
        <w:t xml:space="preserve"> (WBS 05) accounts for 27 percent on average. Project Management (WBS 01), Systems Engineering (WBS 02) and Safety and Mission Assurance (WBS 03) account for 5 percent, 4 percent, and 2 percent, respectively, on average.</w:t>
      </w:r>
    </w:p>
    <w:p w14:paraId="1F3A154C" w14:textId="4553FB45" w:rsidR="000D217E" w:rsidRDefault="00907F1C" w:rsidP="008C2F99">
      <w:pPr>
        <w:pStyle w:val="Heading1"/>
        <w:numPr>
          <w:ilvl w:val="0"/>
          <w:numId w:val="38"/>
        </w:numPr>
        <w:ind w:left="360"/>
      </w:pPr>
      <w:r>
        <w:t xml:space="preserve"> </w:t>
      </w:r>
      <w:r w:rsidR="000D217E">
        <w:t>Limitations</w:t>
      </w:r>
    </w:p>
    <w:p w14:paraId="76FBC3C8" w14:textId="11BBA13A" w:rsidR="0057042E" w:rsidRDefault="00DE25E5" w:rsidP="00393476">
      <w:pPr>
        <w:pStyle w:val="Text"/>
      </w:pPr>
      <w:r>
        <w:t xml:space="preserve">Despite the robust methodology and detailed analysis, this study has three major limitations. The first limitation is the imbalance in sample size. As shown in Table </w:t>
      </w:r>
      <w:r w:rsidR="00BF79D1">
        <w:t>1</w:t>
      </w:r>
      <w:r>
        <w:t xml:space="preserve">, the sample size of NASA-built spacecraft projects is significantly smaller than that of industry-built projects, which can introduce bias into the estimates. To address this issue, the study used two mitigation methods: weighted regression, which applies weights based on the inverse proportions of each group, and stratified sampling, which randomly selects an equal number of observations from the larger group to match the smaller group. Both approaches yielded results consistent with the main findings in Table </w:t>
      </w:r>
      <w:r w:rsidR="00BF79D1">
        <w:t>3</w:t>
      </w:r>
      <w:r>
        <w:t>, suggesting that the impact of sample size imbalance on the conclusions is minimal.</w:t>
      </w:r>
    </w:p>
    <w:p w14:paraId="349F5C82" w14:textId="3AEDE402" w:rsidR="00D241AB" w:rsidRDefault="003D5E47" w:rsidP="00393476">
      <w:pPr>
        <w:pStyle w:val="Text"/>
      </w:pPr>
      <w:r>
        <w:t xml:space="preserve">The </w:t>
      </w:r>
      <w:r w:rsidR="00D241AB">
        <w:t xml:space="preserve">second limitation is the relatively low R-squared values in the sub-sample models. </w:t>
      </w:r>
      <w:r w:rsidR="00D241AB" w:rsidRPr="000A0367">
        <w:t xml:space="preserve">When the sample of </w:t>
      </w:r>
      <w:r w:rsidR="00600F45" w:rsidRPr="000A0367">
        <w:t xml:space="preserve">69 </w:t>
      </w:r>
      <w:r w:rsidR="00D241AB" w:rsidRPr="000A0367">
        <w:t>projects was divided into Class A</w:t>
      </w:r>
      <w:r w:rsidR="000A0367">
        <w:t>/</w:t>
      </w:r>
      <w:r w:rsidR="00D241AB" w:rsidRPr="000A0367">
        <w:t>B projects (</w:t>
      </w:r>
      <w:r w:rsidR="00223DE6" w:rsidRPr="000A0367">
        <w:t>n=</w:t>
      </w:r>
      <w:r w:rsidR="00600F45" w:rsidRPr="000A0367">
        <w:t>35</w:t>
      </w:r>
      <w:r w:rsidR="00D241AB" w:rsidRPr="000A0367">
        <w:t>) and Class C</w:t>
      </w:r>
      <w:r w:rsidR="000A0367">
        <w:t>/</w:t>
      </w:r>
      <w:r w:rsidR="00D241AB" w:rsidRPr="000A0367">
        <w:t>D projects (</w:t>
      </w:r>
      <w:r w:rsidR="00223DE6" w:rsidRPr="000A0367">
        <w:t>n=</w:t>
      </w:r>
      <w:r w:rsidR="00D241AB" w:rsidRPr="000A0367">
        <w:t>3</w:t>
      </w:r>
      <w:r w:rsidR="00600F45" w:rsidRPr="000A0367">
        <w:t>4</w:t>
      </w:r>
      <w:r w:rsidR="00D241AB" w:rsidRPr="000A0367">
        <w:t xml:space="preserve">), the resulting estimates produced </w:t>
      </w:r>
      <w:r w:rsidR="00D241AB" w:rsidRPr="000A0367">
        <w:lastRenderedPageBreak/>
        <w:t>R-squared values ranging from 0.</w:t>
      </w:r>
      <w:r w:rsidR="00223DE6" w:rsidRPr="000A0367">
        <w:t xml:space="preserve">478 </w:t>
      </w:r>
      <w:r w:rsidR="00D241AB" w:rsidRPr="000A0367">
        <w:t>to 0.</w:t>
      </w:r>
      <w:r w:rsidR="00223DE6" w:rsidRPr="000A0367">
        <w:t>649</w:t>
      </w:r>
      <w:r w:rsidR="00D241AB" w:rsidRPr="000A0367">
        <w:t>. While these R-squared values might be</w:t>
      </w:r>
      <w:r w:rsidR="00D241AB">
        <w:t xml:space="preserve"> considered modest in isolation, the sub-sample estimates complement the larger group estimates, which have more robust R-squared values. In this context, the study believes that the insights provided by the sub-sample analyses outweigh the concern of lower explanatory power in the sub-samples.</w:t>
      </w:r>
    </w:p>
    <w:p w14:paraId="5D53C56A" w14:textId="44F17A2E" w:rsidR="00DE25E5" w:rsidRDefault="00440904" w:rsidP="00393476">
      <w:pPr>
        <w:pStyle w:val="Text"/>
      </w:pPr>
      <w:r>
        <w:t>The final limitation is the inconsistency in WBS accounting practices. Two key issues related to WBS have been identified in this study. First, there is inconsistency in how costs related to spacecraft integration and testing are recorded, which the study mitigates by combining WBS 06 and WBS 10 costs to estimate total spacecraft development cost. The second issue is the variation in how interface challenges are accounted for in the WBS, depending on the spacecraft developer. Other potential WBS accounting issues may exist, but the study did not address them due to limited awareness. These unaddressed issues are likely to be driven by random variations in accounting practices, influenced by project management preferences, rather than a generalized pattern</w:t>
      </w:r>
      <w:r w:rsidR="00FC28C1">
        <w:t xml:space="preserve"> that can result in systematic bias</w:t>
      </w:r>
      <w:r>
        <w:t>. Future research on NASA’s cost practices could uncover these issues and improve the accuracy of the model. Nevertheless, the study team believes that the magnitude of the coefficients analyzed is sufficiently large, and that minor WBS accounting issues are unlikely to significantly affect the general findings.</w:t>
      </w:r>
    </w:p>
    <w:p w14:paraId="124FB730" w14:textId="41DB691F" w:rsidR="000D217E" w:rsidRPr="00C639C8" w:rsidRDefault="00907F1C" w:rsidP="008C2F99">
      <w:pPr>
        <w:pStyle w:val="Heading1"/>
        <w:numPr>
          <w:ilvl w:val="0"/>
          <w:numId w:val="38"/>
        </w:numPr>
        <w:ind w:left="360"/>
      </w:pPr>
      <w:r>
        <w:t xml:space="preserve"> </w:t>
      </w:r>
      <w:r w:rsidR="000D217E">
        <w:t>Conclusion</w:t>
      </w:r>
    </w:p>
    <w:p w14:paraId="417308B2" w14:textId="73AC8A0E" w:rsidR="000D217E" w:rsidRDefault="00A94909" w:rsidP="00F44D69">
      <w:pPr>
        <w:pStyle w:val="Text"/>
      </w:pPr>
      <w:r>
        <w:t xml:space="preserve">This study examined </w:t>
      </w:r>
      <w:r w:rsidR="0040649A">
        <w:t>the cost dynamics in NASA-managed programs with the focus on the role of spacecraft developer</w:t>
      </w:r>
      <w:r w:rsidR="006E38A7">
        <w:t>, whether built in-house at NASA</w:t>
      </w:r>
      <w:r w:rsidR="005374C9">
        <w:t xml:space="preserve"> (including JPL and APL) or out-o</w:t>
      </w:r>
      <w:r w:rsidR="00E10AC3">
        <w:t>f</w:t>
      </w:r>
      <w:r w:rsidR="005374C9">
        <w:t>-house in industry</w:t>
      </w:r>
      <w:r w:rsidR="0040649A">
        <w:t xml:space="preserve">. </w:t>
      </w:r>
      <w:r w:rsidR="005374C9">
        <w:t xml:space="preserve">The </w:t>
      </w:r>
      <w:r w:rsidR="00645034">
        <w:t xml:space="preserve">multi-variable parametric model reveals </w:t>
      </w:r>
      <w:r w:rsidR="00CC6E56">
        <w:t xml:space="preserve">that, while industry-built spacecraft generally cost less than </w:t>
      </w:r>
      <w:r w:rsidR="0037742B">
        <w:t xml:space="preserve">NASA-built ones, the effect is </w:t>
      </w:r>
      <w:r w:rsidR="00726BD8">
        <w:t xml:space="preserve">not significant for </w:t>
      </w:r>
      <w:r w:rsidR="00E10AC3">
        <w:t xml:space="preserve">unique, </w:t>
      </w:r>
      <w:r w:rsidR="000A0367">
        <w:t>complex,</w:t>
      </w:r>
      <w:r w:rsidR="00E10AC3">
        <w:t xml:space="preserve"> and expensive </w:t>
      </w:r>
      <w:r w:rsidR="00726BD8">
        <w:t xml:space="preserve">Class </w:t>
      </w:r>
      <w:r w:rsidR="00B05574">
        <w:t>A/B</w:t>
      </w:r>
      <w:r w:rsidR="00726BD8">
        <w:t xml:space="preserve"> projects</w:t>
      </w:r>
      <w:r w:rsidR="000A0367">
        <w:t>,</w:t>
      </w:r>
      <w:r w:rsidR="00726BD8">
        <w:t xml:space="preserve"> but </w:t>
      </w:r>
      <w:r w:rsidR="00E10AC3">
        <w:t xml:space="preserve">is </w:t>
      </w:r>
      <w:r w:rsidR="0037742B">
        <w:t>significant for less complex</w:t>
      </w:r>
      <w:r w:rsidR="00E10AC3">
        <w:t xml:space="preserve"> and less expensive</w:t>
      </w:r>
      <w:r w:rsidR="0037742B">
        <w:t xml:space="preserve"> Class </w:t>
      </w:r>
      <w:r w:rsidR="00B05574">
        <w:t>C/D</w:t>
      </w:r>
      <w:r w:rsidR="0037742B">
        <w:t xml:space="preserve"> </w:t>
      </w:r>
      <w:r w:rsidR="00726BD8">
        <w:t>projects</w:t>
      </w:r>
      <w:r w:rsidR="00F44D69">
        <w:t xml:space="preserve">. Furthermore, who builds the spacecraft </w:t>
      </w:r>
      <w:r w:rsidR="00F530C6">
        <w:t>does not significantly influence the overall project cost</w:t>
      </w:r>
      <w:r w:rsidR="00582B9E">
        <w:t xml:space="preserve"> or the growth of project cost</w:t>
      </w:r>
      <w:r w:rsidR="00F530C6">
        <w:t>, regardless of mission risk classification.</w:t>
      </w:r>
      <w:r w:rsidR="00B14CC9">
        <w:t xml:space="preserve"> </w:t>
      </w:r>
      <w:r w:rsidR="002400B1">
        <w:t>Instead</w:t>
      </w:r>
      <w:r w:rsidR="00B14CC9">
        <w:t xml:space="preserve">, </w:t>
      </w:r>
      <w:r w:rsidR="00CA32D9">
        <w:t>factors such as the mass of the spacecraft and the mission risk classification</w:t>
      </w:r>
      <w:r w:rsidR="005043EB">
        <w:t xml:space="preserve"> have greater effects on cost than spacecraft developer.</w:t>
      </w:r>
    </w:p>
    <w:p w14:paraId="057F1091" w14:textId="3E72374B" w:rsidR="004751F6" w:rsidRPr="00907F1C" w:rsidRDefault="004751F6" w:rsidP="00F44D69">
      <w:pPr>
        <w:pStyle w:val="Text"/>
      </w:pPr>
      <w:r>
        <w:t xml:space="preserve">Previous cost estimation models </w:t>
      </w:r>
      <w:r w:rsidR="005D5A0F">
        <w:t xml:space="preserve">primarily </w:t>
      </w:r>
      <w:r w:rsidR="002400B1">
        <w:t>emphasi</w:t>
      </w:r>
      <w:r w:rsidR="002335C7">
        <w:t>ze</w:t>
      </w:r>
      <w:r w:rsidR="002400B1">
        <w:t xml:space="preserve"> the </w:t>
      </w:r>
      <w:r w:rsidR="002335C7">
        <w:t>overall program management organization</w:t>
      </w:r>
      <w:r w:rsidR="00412F3A">
        <w:t xml:space="preserve"> and </w:t>
      </w:r>
      <w:r w:rsidR="005D5A0F">
        <w:t xml:space="preserve">overlook the nuanced distinction of who develops the spacecraft bus. </w:t>
      </w:r>
      <w:r w:rsidR="00412F3A">
        <w:t>While such models are useful for public space agencies in deciding between the traditional procurement approach and commercial development, they are less suited for addressing cost implications within the traditional procurement framework.</w:t>
      </w:r>
      <w:r w:rsidR="005D6D7D">
        <w:t xml:space="preserve"> </w:t>
      </w:r>
      <w:r w:rsidR="009069E0">
        <w:t>Scientific projects lacking commercial value are</w:t>
      </w:r>
      <w:r w:rsidR="00E10AC3">
        <w:t xml:space="preserve"> currently</w:t>
      </w:r>
      <w:r w:rsidR="009069E0">
        <w:t xml:space="preserve"> typically confined to the traditional procurement approach, and </w:t>
      </w:r>
      <w:r w:rsidR="007F4E89">
        <w:t>a</w:t>
      </w:r>
      <w:r w:rsidR="009069E0">
        <w:t xml:space="preserve"> decision</w:t>
      </w:r>
      <w:r w:rsidR="007F4E89">
        <w:t xml:space="preserve"> space evolves within the spacecraft bus development rather than the overall project management</w:t>
      </w:r>
      <w:r w:rsidR="009069E0">
        <w:t xml:space="preserve">. This study contributes to filling that gap </w:t>
      </w:r>
      <w:r w:rsidR="009069E0">
        <w:lastRenderedPageBreak/>
        <w:t>by providing public agencies with insights to better inform their decision-making process on whether to develop spacecraft in-house at NASA or outsource the development to industry partners.</w:t>
      </w:r>
    </w:p>
    <w:p w14:paraId="24F07E79" w14:textId="77777777" w:rsidR="005B5BE2" w:rsidRDefault="005B5BE2" w:rsidP="005B5BE2">
      <w:pPr>
        <w:pStyle w:val="Heading1"/>
        <w:spacing w:line="480" w:lineRule="auto"/>
      </w:pPr>
      <w:r w:rsidRPr="00E31146">
        <w:t>References</w:t>
      </w:r>
    </w:p>
    <w:p w14:paraId="4DCBE133" w14:textId="77777777" w:rsidR="008C2F99" w:rsidRPr="008C2F99" w:rsidRDefault="00C2104D" w:rsidP="008C2F99">
      <w:pPr>
        <w:pStyle w:val="Bibliography"/>
        <w:spacing w:line="480" w:lineRule="auto"/>
        <w:rPr>
          <w:sz w:val="18"/>
          <w:szCs w:val="18"/>
        </w:rPr>
      </w:pPr>
      <w:r w:rsidRPr="008C2F99">
        <w:rPr>
          <w:sz w:val="18"/>
          <w:szCs w:val="18"/>
        </w:rPr>
        <w:fldChar w:fldCharType="begin"/>
      </w:r>
      <w:r w:rsidR="008C2F99" w:rsidRPr="008C2F99">
        <w:rPr>
          <w:sz w:val="18"/>
          <w:szCs w:val="18"/>
        </w:rPr>
        <w:instrText xml:space="preserve"> ADDIN ZOTERO_BIBL {"uncited":[],"omitted":[],"custom":[]} CSL_BIBLIOGRAPHY </w:instrText>
      </w:r>
      <w:r w:rsidRPr="008C2F99">
        <w:rPr>
          <w:sz w:val="18"/>
          <w:szCs w:val="18"/>
        </w:rPr>
        <w:fldChar w:fldCharType="separate"/>
      </w:r>
      <w:r w:rsidR="008C2F99" w:rsidRPr="008C2F99">
        <w:rPr>
          <w:sz w:val="18"/>
          <w:szCs w:val="18"/>
        </w:rPr>
        <w:t xml:space="preserve">[1] </w:t>
      </w:r>
      <w:r w:rsidR="008C2F99" w:rsidRPr="008C2F99">
        <w:rPr>
          <w:sz w:val="18"/>
          <w:szCs w:val="18"/>
        </w:rPr>
        <w:tab/>
        <w:t>Foreman, V., Le Moigne, J., and de Weck, O., “A Survey of Cost Estimating Methodologies for Distrubted Spacecraft Missions,” presented at the AIAA Space 2016, Long Beach, CA, 2016. https://doi.org/10.2514/6.2016-5245</w:t>
      </w:r>
    </w:p>
    <w:p w14:paraId="218B2D6F" w14:textId="77777777" w:rsidR="008C2F99" w:rsidRPr="008C2F99" w:rsidRDefault="008C2F99" w:rsidP="008C2F99">
      <w:pPr>
        <w:pStyle w:val="Bibliography"/>
        <w:spacing w:line="480" w:lineRule="auto"/>
        <w:rPr>
          <w:sz w:val="18"/>
          <w:szCs w:val="18"/>
        </w:rPr>
      </w:pPr>
      <w:r w:rsidRPr="008C2F99">
        <w:rPr>
          <w:sz w:val="18"/>
          <w:szCs w:val="18"/>
        </w:rPr>
        <w:t xml:space="preserve">[2] </w:t>
      </w:r>
      <w:r w:rsidRPr="008C2F99">
        <w:rPr>
          <w:sz w:val="18"/>
          <w:szCs w:val="18"/>
        </w:rPr>
        <w:tab/>
        <w:t>Greason, J., and Bennett, J. C., “The Economics of Space: An Industry Ready to Launch,” Reason Foundation, Los Angeles, California, June 2019.</w:t>
      </w:r>
    </w:p>
    <w:p w14:paraId="735AAEDF" w14:textId="77777777" w:rsidR="008C2F99" w:rsidRPr="008C2F99" w:rsidRDefault="008C2F99" w:rsidP="008C2F99">
      <w:pPr>
        <w:pStyle w:val="Bibliography"/>
        <w:spacing w:line="480" w:lineRule="auto"/>
        <w:rPr>
          <w:sz w:val="18"/>
          <w:szCs w:val="18"/>
        </w:rPr>
      </w:pPr>
      <w:r w:rsidRPr="008C2F99">
        <w:rPr>
          <w:sz w:val="18"/>
          <w:szCs w:val="18"/>
        </w:rPr>
        <w:t xml:space="preserve">[3] </w:t>
      </w:r>
      <w:r w:rsidRPr="008C2F99">
        <w:rPr>
          <w:sz w:val="18"/>
          <w:szCs w:val="18"/>
        </w:rPr>
        <w:tab/>
        <w:t>Weinzierl, M. C., Lucas, K., and Sarang, M., “SpaceX, Economies of Scale, and a Revolution in Space Access - HBS Case Collection,” Harvard Business School, Oct2021.</w:t>
      </w:r>
    </w:p>
    <w:p w14:paraId="78F3A003" w14:textId="77777777" w:rsidR="008C2F99" w:rsidRPr="008C2F99" w:rsidRDefault="008C2F99" w:rsidP="008C2F99">
      <w:pPr>
        <w:pStyle w:val="Bibliography"/>
        <w:spacing w:line="480" w:lineRule="auto"/>
        <w:rPr>
          <w:sz w:val="18"/>
          <w:szCs w:val="18"/>
        </w:rPr>
      </w:pPr>
      <w:r w:rsidRPr="008C2F99">
        <w:rPr>
          <w:sz w:val="18"/>
          <w:szCs w:val="18"/>
        </w:rPr>
        <w:t xml:space="preserve">[4] </w:t>
      </w:r>
      <w:r w:rsidRPr="008C2F99">
        <w:rPr>
          <w:sz w:val="18"/>
          <w:szCs w:val="18"/>
        </w:rPr>
        <w:tab/>
        <w:t>NASA, “Commercial Market Assessment for Crew and Cargo Systems Pursuant to Section 403 of the NASA Authorization Act of 2010 (P.L. 111-267),” National Aeronautics and Space Administration, Apr 27 2011.</w:t>
      </w:r>
    </w:p>
    <w:p w14:paraId="354E8ECC" w14:textId="77777777" w:rsidR="008C2F99" w:rsidRPr="008C2F99" w:rsidRDefault="008C2F99" w:rsidP="008C2F99">
      <w:pPr>
        <w:pStyle w:val="Bibliography"/>
        <w:spacing w:line="480" w:lineRule="auto"/>
        <w:rPr>
          <w:sz w:val="18"/>
          <w:szCs w:val="18"/>
        </w:rPr>
      </w:pPr>
      <w:r w:rsidRPr="008C2F99">
        <w:rPr>
          <w:sz w:val="18"/>
          <w:szCs w:val="18"/>
        </w:rPr>
        <w:t xml:space="preserve">[5] </w:t>
      </w:r>
      <w:r w:rsidRPr="008C2F99">
        <w:rPr>
          <w:sz w:val="18"/>
          <w:szCs w:val="18"/>
        </w:rPr>
        <w:tab/>
        <w:t xml:space="preserve">Kim, M. J., “Toward Coherence: A Space Sector Public-Private Partnership Typology,” </w:t>
      </w:r>
      <w:r w:rsidRPr="008C2F99">
        <w:rPr>
          <w:i/>
          <w:iCs/>
          <w:sz w:val="18"/>
          <w:szCs w:val="18"/>
        </w:rPr>
        <w:t>Space Policy</w:t>
      </w:r>
      <w:r w:rsidRPr="008C2F99">
        <w:rPr>
          <w:sz w:val="18"/>
          <w:szCs w:val="18"/>
        </w:rPr>
        <w:t>, Vol. 64, 2023, p. 101549. https://doi.org/10.1016/j.spacepol.2023.101549</w:t>
      </w:r>
    </w:p>
    <w:p w14:paraId="21C8FDC1" w14:textId="77777777" w:rsidR="008C2F99" w:rsidRPr="008C2F99" w:rsidRDefault="008C2F99" w:rsidP="008C2F99">
      <w:pPr>
        <w:pStyle w:val="Bibliography"/>
        <w:spacing w:line="480" w:lineRule="auto"/>
        <w:rPr>
          <w:sz w:val="18"/>
          <w:szCs w:val="18"/>
        </w:rPr>
      </w:pPr>
      <w:r w:rsidRPr="008C2F99">
        <w:rPr>
          <w:sz w:val="18"/>
          <w:szCs w:val="18"/>
        </w:rPr>
        <w:t xml:space="preserve">[6] </w:t>
      </w:r>
      <w:r w:rsidRPr="008C2F99">
        <w:rPr>
          <w:sz w:val="18"/>
          <w:szCs w:val="18"/>
        </w:rPr>
        <w:tab/>
        <w:t>Kim, M. J., “Coherence to Choices: Informing Decisions on Public-Private Partnerships in the Space Sector,” RAND Corporation, May 03 2023.</w:t>
      </w:r>
    </w:p>
    <w:p w14:paraId="36BBA031" w14:textId="77777777" w:rsidR="008C2F99" w:rsidRPr="008C2F99" w:rsidRDefault="008C2F99" w:rsidP="008C2F99">
      <w:pPr>
        <w:pStyle w:val="Bibliography"/>
        <w:spacing w:line="480" w:lineRule="auto"/>
        <w:rPr>
          <w:sz w:val="18"/>
          <w:szCs w:val="18"/>
        </w:rPr>
      </w:pPr>
      <w:r w:rsidRPr="008C2F99">
        <w:rPr>
          <w:sz w:val="18"/>
          <w:szCs w:val="18"/>
        </w:rPr>
        <w:t xml:space="preserve">[7] </w:t>
      </w:r>
      <w:r w:rsidRPr="008C2F99">
        <w:rPr>
          <w:sz w:val="18"/>
          <w:szCs w:val="18"/>
        </w:rPr>
        <w:tab/>
        <w:t>Zapata, E., “An Assessment of Cost Improvements in the NASA COTS/CRS Program and Implications for Future NASA Missions,” National Aeronautics and Space Administration, 2017.</w:t>
      </w:r>
    </w:p>
    <w:p w14:paraId="56FD51CA" w14:textId="77777777" w:rsidR="008C2F99" w:rsidRPr="008C2F99" w:rsidRDefault="008C2F99" w:rsidP="008C2F99">
      <w:pPr>
        <w:pStyle w:val="Bibliography"/>
        <w:spacing w:line="480" w:lineRule="auto"/>
        <w:rPr>
          <w:sz w:val="18"/>
          <w:szCs w:val="18"/>
        </w:rPr>
      </w:pPr>
      <w:r w:rsidRPr="008C2F99">
        <w:rPr>
          <w:sz w:val="18"/>
          <w:szCs w:val="18"/>
        </w:rPr>
        <w:t xml:space="preserve">[8] </w:t>
      </w:r>
      <w:r w:rsidRPr="008C2F99">
        <w:rPr>
          <w:sz w:val="18"/>
          <w:szCs w:val="18"/>
        </w:rPr>
        <w:tab/>
        <w:t>NASA, “NASA Cost Estimating Handbook (CEH),” NASA OCFO. Retrieved 20 December 2024. https://www.nasa.gov/ocfo/ppc-corner/nasa-cost-estimating-handbook-ceh/</w:t>
      </w:r>
    </w:p>
    <w:p w14:paraId="4F3791FE" w14:textId="77777777" w:rsidR="008C2F99" w:rsidRPr="008C2F99" w:rsidRDefault="008C2F99" w:rsidP="008C2F99">
      <w:pPr>
        <w:pStyle w:val="Bibliography"/>
        <w:spacing w:line="480" w:lineRule="auto"/>
        <w:rPr>
          <w:sz w:val="18"/>
          <w:szCs w:val="18"/>
        </w:rPr>
      </w:pPr>
      <w:r w:rsidRPr="008C2F99">
        <w:rPr>
          <w:sz w:val="18"/>
          <w:szCs w:val="18"/>
        </w:rPr>
        <w:t xml:space="preserve">[9] </w:t>
      </w:r>
      <w:r w:rsidRPr="008C2F99">
        <w:rPr>
          <w:sz w:val="18"/>
          <w:szCs w:val="18"/>
        </w:rPr>
        <w:tab/>
        <w:t xml:space="preserve">Stahl, P. H., “Survey of Cost Models for Space Telescopes,” </w:t>
      </w:r>
      <w:r w:rsidRPr="008C2F99">
        <w:rPr>
          <w:i/>
          <w:iCs/>
          <w:sz w:val="18"/>
          <w:szCs w:val="18"/>
        </w:rPr>
        <w:t>Optical Engineering</w:t>
      </w:r>
      <w:r w:rsidRPr="008C2F99">
        <w:rPr>
          <w:sz w:val="18"/>
          <w:szCs w:val="18"/>
        </w:rPr>
        <w:t>, Vol. 49, No. 5, 2010, p. 053005. https://doi.org/10.1117/1.3430603</w:t>
      </w:r>
    </w:p>
    <w:p w14:paraId="21E88E6C" w14:textId="77777777" w:rsidR="008C2F99" w:rsidRPr="008C2F99" w:rsidRDefault="008C2F99" w:rsidP="008C2F99">
      <w:pPr>
        <w:pStyle w:val="Bibliography"/>
        <w:spacing w:line="480" w:lineRule="auto"/>
        <w:rPr>
          <w:sz w:val="18"/>
          <w:szCs w:val="18"/>
        </w:rPr>
      </w:pPr>
      <w:r w:rsidRPr="008C2F99">
        <w:rPr>
          <w:sz w:val="18"/>
          <w:szCs w:val="18"/>
        </w:rPr>
        <w:t xml:space="preserve">[10] </w:t>
      </w:r>
      <w:r w:rsidRPr="008C2F99">
        <w:rPr>
          <w:sz w:val="18"/>
          <w:szCs w:val="18"/>
        </w:rPr>
        <w:tab/>
        <w:t xml:space="preserve">Coonce, T., Bitten, R., Hamaker, J., and Hertzfeld, H., “NASA Productivity,” </w:t>
      </w:r>
      <w:r w:rsidRPr="008C2F99">
        <w:rPr>
          <w:i/>
          <w:iCs/>
          <w:sz w:val="18"/>
          <w:szCs w:val="18"/>
        </w:rPr>
        <w:t>Journal of Cost Analysis and Parametrics</w:t>
      </w:r>
      <w:r w:rsidRPr="008C2F99">
        <w:rPr>
          <w:sz w:val="18"/>
          <w:szCs w:val="18"/>
        </w:rPr>
        <w:t>, Vol. 3, No. 1, 2010, pp. 59–78. https://doi.org/10.1080/1941658X.2010.10462228</w:t>
      </w:r>
    </w:p>
    <w:p w14:paraId="71AC9435" w14:textId="77777777" w:rsidR="008C2F99" w:rsidRPr="008C2F99" w:rsidRDefault="008C2F99" w:rsidP="008C2F99">
      <w:pPr>
        <w:pStyle w:val="Bibliography"/>
        <w:spacing w:line="480" w:lineRule="auto"/>
        <w:rPr>
          <w:sz w:val="18"/>
          <w:szCs w:val="18"/>
        </w:rPr>
      </w:pPr>
      <w:r w:rsidRPr="008C2F99">
        <w:rPr>
          <w:sz w:val="18"/>
          <w:szCs w:val="18"/>
        </w:rPr>
        <w:t xml:space="preserve">[11] </w:t>
      </w:r>
      <w:r w:rsidRPr="008C2F99">
        <w:rPr>
          <w:sz w:val="18"/>
          <w:szCs w:val="18"/>
        </w:rPr>
        <w:tab/>
        <w:t>Tecolote, “Unmanned Space Vehicle Cost Model (USCM) 11,” Jun2021.</w:t>
      </w:r>
    </w:p>
    <w:p w14:paraId="04BEA055" w14:textId="77777777" w:rsidR="008C2F99" w:rsidRPr="008C2F99" w:rsidRDefault="008C2F99" w:rsidP="008C2F99">
      <w:pPr>
        <w:pStyle w:val="Bibliography"/>
        <w:spacing w:line="480" w:lineRule="auto"/>
        <w:rPr>
          <w:sz w:val="18"/>
          <w:szCs w:val="18"/>
        </w:rPr>
      </w:pPr>
      <w:r w:rsidRPr="008C2F99">
        <w:rPr>
          <w:sz w:val="18"/>
          <w:szCs w:val="18"/>
        </w:rPr>
        <w:t xml:space="preserve">[12] </w:t>
      </w:r>
      <w:r w:rsidRPr="008C2F99">
        <w:rPr>
          <w:sz w:val="18"/>
          <w:szCs w:val="18"/>
        </w:rPr>
        <w:tab/>
        <w:t>Jones, H. W., “Estimating the Life Cycle Cost of Space Systems,” presented at the 45th International Conference on Environmental Systems, Bellevue, WA, 2015.</w:t>
      </w:r>
    </w:p>
    <w:p w14:paraId="20197FB9" w14:textId="77777777" w:rsidR="008C2F99" w:rsidRPr="008C2F99" w:rsidRDefault="008C2F99" w:rsidP="008C2F99">
      <w:pPr>
        <w:pStyle w:val="Bibliography"/>
        <w:spacing w:line="480" w:lineRule="auto"/>
        <w:rPr>
          <w:sz w:val="18"/>
          <w:szCs w:val="18"/>
        </w:rPr>
      </w:pPr>
      <w:r w:rsidRPr="008C2F99">
        <w:rPr>
          <w:sz w:val="18"/>
          <w:szCs w:val="18"/>
        </w:rPr>
        <w:t xml:space="preserve">[13] </w:t>
      </w:r>
      <w:r w:rsidRPr="008C2F99">
        <w:rPr>
          <w:sz w:val="18"/>
          <w:szCs w:val="18"/>
        </w:rPr>
        <w:tab/>
        <w:t>McAfee, J., Culver, G., and Naderi, M., “NASA Air Force Cost Model (NAFCOM): Capabilities and Results,” Huntsville, AL, Dec 05 2011.</w:t>
      </w:r>
    </w:p>
    <w:p w14:paraId="0D45A172" w14:textId="77777777" w:rsidR="008C2F99" w:rsidRPr="008C2F99" w:rsidRDefault="008C2F99" w:rsidP="008C2F99">
      <w:pPr>
        <w:pStyle w:val="Bibliography"/>
        <w:spacing w:line="480" w:lineRule="auto"/>
        <w:rPr>
          <w:sz w:val="18"/>
          <w:szCs w:val="18"/>
        </w:rPr>
      </w:pPr>
      <w:r w:rsidRPr="008C2F99">
        <w:rPr>
          <w:sz w:val="18"/>
          <w:szCs w:val="18"/>
        </w:rPr>
        <w:t xml:space="preserve">[14] </w:t>
      </w:r>
      <w:r w:rsidRPr="008C2F99">
        <w:rPr>
          <w:sz w:val="18"/>
          <w:szCs w:val="18"/>
        </w:rPr>
        <w:tab/>
        <w:t>NASA, “PCEC – Project Cost Estimating Capability.” Retrieved 20 December 2024. https://www.nasa.gov/ocfo/ppc-corner/pcec-project-cost-estimating-capability/</w:t>
      </w:r>
    </w:p>
    <w:p w14:paraId="434F3F99" w14:textId="77777777" w:rsidR="008C2F99" w:rsidRPr="008C2F99" w:rsidRDefault="008C2F99" w:rsidP="008C2F99">
      <w:pPr>
        <w:pStyle w:val="Bibliography"/>
        <w:spacing w:line="480" w:lineRule="auto"/>
        <w:rPr>
          <w:sz w:val="18"/>
          <w:szCs w:val="18"/>
        </w:rPr>
      </w:pPr>
      <w:r w:rsidRPr="008C2F99">
        <w:rPr>
          <w:sz w:val="18"/>
          <w:szCs w:val="18"/>
        </w:rPr>
        <w:lastRenderedPageBreak/>
        <w:t xml:space="preserve">[15] </w:t>
      </w:r>
      <w:r w:rsidRPr="008C2F99">
        <w:rPr>
          <w:sz w:val="18"/>
          <w:szCs w:val="18"/>
        </w:rPr>
        <w:tab/>
        <w:t>Minkiewics, A., “Space Missions Cost Estimation in TruePlanning,” Price Systems, LLC, Sep 17 2014.</w:t>
      </w:r>
    </w:p>
    <w:p w14:paraId="5247985D" w14:textId="77777777" w:rsidR="008C2F99" w:rsidRPr="008C2F99" w:rsidRDefault="008C2F99" w:rsidP="008C2F99">
      <w:pPr>
        <w:pStyle w:val="Bibliography"/>
        <w:spacing w:line="480" w:lineRule="auto"/>
        <w:rPr>
          <w:sz w:val="18"/>
          <w:szCs w:val="18"/>
        </w:rPr>
      </w:pPr>
      <w:r w:rsidRPr="008C2F99">
        <w:rPr>
          <w:sz w:val="18"/>
          <w:szCs w:val="18"/>
        </w:rPr>
        <w:t xml:space="preserve">[16] </w:t>
      </w:r>
      <w:r w:rsidRPr="008C2F99">
        <w:rPr>
          <w:sz w:val="18"/>
          <w:szCs w:val="18"/>
        </w:rPr>
        <w:tab/>
        <w:t>Price, C., Hayes, S., and Jacobs, M., “Model-Based Cost Engineering Space Missions Estimating,” Unison Software, Apr 28 2022.</w:t>
      </w:r>
    </w:p>
    <w:p w14:paraId="1FAD0213" w14:textId="77777777" w:rsidR="008C2F99" w:rsidRPr="008C2F99" w:rsidRDefault="008C2F99" w:rsidP="008C2F99">
      <w:pPr>
        <w:pStyle w:val="Bibliography"/>
        <w:spacing w:line="480" w:lineRule="auto"/>
        <w:rPr>
          <w:sz w:val="18"/>
          <w:szCs w:val="18"/>
        </w:rPr>
      </w:pPr>
      <w:r w:rsidRPr="008C2F99">
        <w:rPr>
          <w:sz w:val="18"/>
          <w:szCs w:val="18"/>
        </w:rPr>
        <w:t xml:space="preserve">[17] </w:t>
      </w:r>
      <w:r w:rsidRPr="008C2F99">
        <w:rPr>
          <w:sz w:val="18"/>
          <w:szCs w:val="18"/>
        </w:rPr>
        <w:tab/>
        <w:t>Galorath, “Modeling Cost Improvement with SEER-H,” Galorath Inc., Feb2024.</w:t>
      </w:r>
    </w:p>
    <w:p w14:paraId="4B356805" w14:textId="77777777" w:rsidR="008C2F99" w:rsidRPr="008C2F99" w:rsidRDefault="008C2F99" w:rsidP="008C2F99">
      <w:pPr>
        <w:pStyle w:val="Bibliography"/>
        <w:spacing w:line="480" w:lineRule="auto"/>
        <w:rPr>
          <w:sz w:val="18"/>
          <w:szCs w:val="18"/>
        </w:rPr>
      </w:pPr>
      <w:r w:rsidRPr="008C2F99">
        <w:rPr>
          <w:sz w:val="18"/>
          <w:szCs w:val="18"/>
        </w:rPr>
        <w:t xml:space="preserve">[18] </w:t>
      </w:r>
      <w:r w:rsidRPr="008C2F99">
        <w:rPr>
          <w:sz w:val="18"/>
          <w:szCs w:val="18"/>
        </w:rPr>
        <w:tab/>
        <w:t>Mahr, E., Tu, A., and Gupta, A., “Development of the Small Satellite Cost Model 2019 (SSCM19),” presented at the 2020 IEEE Aerospace Conference, Big Sky, MT, 2020. https://doi.org/10.1109/AERO47225.2020.9172374</w:t>
      </w:r>
    </w:p>
    <w:p w14:paraId="5AE46ED7" w14:textId="77777777" w:rsidR="008C2F99" w:rsidRPr="008C2F99" w:rsidRDefault="008C2F99" w:rsidP="008C2F99">
      <w:pPr>
        <w:pStyle w:val="Bibliography"/>
        <w:spacing w:line="480" w:lineRule="auto"/>
        <w:rPr>
          <w:sz w:val="18"/>
          <w:szCs w:val="18"/>
        </w:rPr>
      </w:pPr>
      <w:r w:rsidRPr="008C2F99">
        <w:rPr>
          <w:sz w:val="18"/>
          <w:szCs w:val="18"/>
        </w:rPr>
        <w:t xml:space="preserve">[19] </w:t>
      </w:r>
      <w:r w:rsidRPr="008C2F99">
        <w:rPr>
          <w:sz w:val="18"/>
          <w:szCs w:val="18"/>
        </w:rPr>
        <w:tab/>
        <w:t>NASA, “NASA Procedural Requirements 7120.5F,” National Aeronautics and Space Administration, Aug 03 2021.</w:t>
      </w:r>
    </w:p>
    <w:p w14:paraId="087D24F2" w14:textId="77777777" w:rsidR="008C2F99" w:rsidRPr="008C2F99" w:rsidRDefault="008C2F99" w:rsidP="008C2F99">
      <w:pPr>
        <w:pStyle w:val="Bibliography"/>
        <w:spacing w:line="480" w:lineRule="auto"/>
        <w:rPr>
          <w:sz w:val="18"/>
          <w:szCs w:val="18"/>
        </w:rPr>
      </w:pPr>
      <w:r w:rsidRPr="008C2F99">
        <w:rPr>
          <w:sz w:val="18"/>
          <w:szCs w:val="18"/>
        </w:rPr>
        <w:t xml:space="preserve">[20] </w:t>
      </w:r>
      <w:r w:rsidRPr="008C2F99">
        <w:rPr>
          <w:sz w:val="18"/>
          <w:szCs w:val="18"/>
        </w:rPr>
        <w:tab/>
        <w:t>NASA, “CADRe/ONCE – Data Collection and Database,” NASA OCFO. Retrieved 13 October 2023. https://www.nasa.gov/ocfo/cadre-once-data-collection-and-database/</w:t>
      </w:r>
    </w:p>
    <w:p w14:paraId="43FF0E89" w14:textId="77777777" w:rsidR="008C2F99" w:rsidRPr="008C2F99" w:rsidRDefault="008C2F99" w:rsidP="008C2F99">
      <w:pPr>
        <w:pStyle w:val="Bibliography"/>
        <w:spacing w:line="480" w:lineRule="auto"/>
        <w:rPr>
          <w:sz w:val="18"/>
          <w:szCs w:val="18"/>
        </w:rPr>
      </w:pPr>
      <w:r w:rsidRPr="008C2F99">
        <w:rPr>
          <w:sz w:val="18"/>
          <w:szCs w:val="18"/>
        </w:rPr>
        <w:t xml:space="preserve">[21] </w:t>
      </w:r>
      <w:r w:rsidRPr="008C2F99">
        <w:rPr>
          <w:sz w:val="18"/>
          <w:szCs w:val="18"/>
        </w:rPr>
        <w:tab/>
        <w:t>NASA, “NASA Procedural Requirements 8705.4A,” National Aeronautics and Space Administration, Apr 29 2021.</w:t>
      </w:r>
    </w:p>
    <w:p w14:paraId="2ADD8792" w14:textId="77777777" w:rsidR="008C2F99" w:rsidRPr="008C2F99" w:rsidRDefault="008C2F99" w:rsidP="008C2F99">
      <w:pPr>
        <w:pStyle w:val="Bibliography"/>
        <w:spacing w:line="480" w:lineRule="auto"/>
        <w:rPr>
          <w:sz w:val="18"/>
          <w:szCs w:val="18"/>
        </w:rPr>
      </w:pPr>
      <w:r w:rsidRPr="008C2F99">
        <w:rPr>
          <w:sz w:val="18"/>
          <w:szCs w:val="18"/>
        </w:rPr>
        <w:t xml:space="preserve">[22] </w:t>
      </w:r>
      <w:r w:rsidRPr="008C2F99">
        <w:rPr>
          <w:sz w:val="18"/>
          <w:szCs w:val="18"/>
        </w:rPr>
        <w:tab/>
        <w:t xml:space="preserve">Leitner, J., and Hyde, T., “Modernizing NASA’s Risk Classification System,” </w:t>
      </w:r>
      <w:r w:rsidRPr="008C2F99">
        <w:rPr>
          <w:i/>
          <w:iCs/>
          <w:sz w:val="18"/>
          <w:szCs w:val="18"/>
        </w:rPr>
        <w:t>Acta Astronautica</w:t>
      </w:r>
      <w:r w:rsidRPr="008C2F99">
        <w:rPr>
          <w:sz w:val="18"/>
          <w:szCs w:val="18"/>
        </w:rPr>
        <w:t>, Vol. 202, 2023, pp. 333–340. https://doi.org/10.1016/j.actaastro.2022.10.043</w:t>
      </w:r>
    </w:p>
    <w:p w14:paraId="0FA6B1CD" w14:textId="77777777" w:rsidR="008C2F99" w:rsidRPr="008C2F99" w:rsidRDefault="008C2F99" w:rsidP="008C2F99">
      <w:pPr>
        <w:pStyle w:val="Bibliography"/>
        <w:spacing w:line="480" w:lineRule="auto"/>
        <w:rPr>
          <w:sz w:val="18"/>
          <w:szCs w:val="18"/>
        </w:rPr>
      </w:pPr>
      <w:r w:rsidRPr="008C2F99">
        <w:rPr>
          <w:sz w:val="18"/>
          <w:szCs w:val="18"/>
        </w:rPr>
        <w:t xml:space="preserve">[23] </w:t>
      </w:r>
      <w:r w:rsidRPr="008C2F99">
        <w:rPr>
          <w:sz w:val="18"/>
          <w:szCs w:val="18"/>
        </w:rPr>
        <w:tab/>
        <w:t>NASA, “NASA Work Breakdown Structure Handbook,” National Aeronautics and Space Administration, Nov2021.</w:t>
      </w:r>
    </w:p>
    <w:p w14:paraId="67E0E7D1" w14:textId="56052CD6" w:rsidR="00C2104D" w:rsidRPr="008C2F99" w:rsidRDefault="00C2104D" w:rsidP="008C2F99">
      <w:pPr>
        <w:pStyle w:val="Text"/>
        <w:rPr>
          <w:sz w:val="18"/>
          <w:szCs w:val="18"/>
        </w:rPr>
      </w:pPr>
      <w:r w:rsidRPr="008C2F99">
        <w:rPr>
          <w:sz w:val="18"/>
          <w:szCs w:val="18"/>
        </w:rPr>
        <w:fldChar w:fldCharType="end"/>
      </w:r>
    </w:p>
    <w:sectPr w:rsidR="00C2104D" w:rsidRPr="008C2F99" w:rsidSect="00594FA6">
      <w:footerReference w:type="even" r:id="rId12"/>
      <w:footnotePr>
        <w:numFmt w:val="chicago"/>
      </w:footnotePr>
      <w:type w:val="continuous"/>
      <w:pgSz w:w="12240" w:h="15840"/>
      <w:pgMar w:top="1440" w:right="1440" w:bottom="1440" w:left="1440" w:header="720"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059E1" w14:textId="77777777" w:rsidR="00C52628" w:rsidRDefault="00C52628">
      <w:r>
        <w:separator/>
      </w:r>
    </w:p>
  </w:endnote>
  <w:endnote w:type="continuationSeparator" w:id="0">
    <w:p w14:paraId="082497FA" w14:textId="77777777" w:rsidR="00C52628" w:rsidRDefault="00C52628">
      <w:r>
        <w:continuationSeparator/>
      </w:r>
    </w:p>
  </w:endnote>
  <w:endnote w:type="continuationNotice" w:id="1">
    <w:p w14:paraId="7E057A53" w14:textId="77777777" w:rsidR="00C52628" w:rsidRDefault="00C526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C9AFD" w14:textId="77777777" w:rsidR="004E15B0" w:rsidRDefault="004E15B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E29036" w14:textId="77777777" w:rsidR="004E15B0" w:rsidRDefault="004E15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61857" w14:textId="77777777" w:rsidR="00C52628" w:rsidRDefault="00C52628">
      <w:r>
        <w:separator/>
      </w:r>
    </w:p>
  </w:footnote>
  <w:footnote w:type="continuationSeparator" w:id="0">
    <w:p w14:paraId="67D524B4" w14:textId="77777777" w:rsidR="00C52628" w:rsidRDefault="00C52628">
      <w:r>
        <w:continuationSeparator/>
      </w:r>
    </w:p>
  </w:footnote>
  <w:footnote w:type="continuationNotice" w:id="1">
    <w:p w14:paraId="21003D46" w14:textId="77777777" w:rsidR="00C52628" w:rsidRDefault="00C52628"/>
  </w:footnote>
  <w:footnote w:id="2">
    <w:p w14:paraId="5FF24B0F" w14:textId="55B9F5B9" w:rsidR="004E15B0" w:rsidRDefault="004E15B0">
      <w:r w:rsidRPr="00592807">
        <w:rPr>
          <w:rStyle w:val="FootnoteReference"/>
        </w:rPr>
        <w:footnoteRef/>
      </w:r>
      <w:r>
        <w:t xml:space="preserve"> </w:t>
      </w:r>
      <w:r w:rsidR="00BA7A58">
        <w:t>Operations Research Analyst</w:t>
      </w:r>
      <w:r>
        <w:t xml:space="preserve">, </w:t>
      </w:r>
      <w:r w:rsidR="00BA7A58">
        <w:t>NASA Headquarters, Office of the Chief Financial Officer</w:t>
      </w:r>
      <w:r>
        <w:t>.</w:t>
      </w:r>
    </w:p>
  </w:footnote>
  <w:footnote w:id="3">
    <w:p w14:paraId="01803768" w14:textId="77777777" w:rsidR="00BA7A58" w:rsidRDefault="00BA7A58" w:rsidP="00BA7A58">
      <w:r w:rsidRPr="00592807">
        <w:rPr>
          <w:rStyle w:val="FootnoteReference"/>
        </w:rPr>
        <w:footnoteRef/>
      </w:r>
      <w:r>
        <w:t xml:space="preserve"> Chief Engineer, NASA Goddard Space Flight Center.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55CC"/>
    <w:multiLevelType w:val="hybridMultilevel"/>
    <w:tmpl w:val="7A98B294"/>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6ED5375"/>
    <w:multiLevelType w:val="hybridMultilevel"/>
    <w:tmpl w:val="F05ED87E"/>
    <w:lvl w:ilvl="0" w:tplc="FE128954">
      <w:start w:val="1"/>
      <w:numFmt w:val="bullet"/>
      <w:lvlText w:val="•"/>
      <w:lvlJc w:val="left"/>
      <w:pPr>
        <w:tabs>
          <w:tab w:val="num" w:pos="360"/>
        </w:tabs>
        <w:ind w:left="360" w:hanging="360"/>
      </w:pPr>
      <w:rPr>
        <w:rFonts w:ascii="Arial" w:hAnsi="Arial" w:hint="default"/>
      </w:rPr>
    </w:lvl>
    <w:lvl w:ilvl="1" w:tplc="FDB6CB14">
      <w:numFmt w:val="bullet"/>
      <w:lvlText w:val="•"/>
      <w:lvlJc w:val="left"/>
      <w:pPr>
        <w:tabs>
          <w:tab w:val="num" w:pos="1080"/>
        </w:tabs>
        <w:ind w:left="1080" w:hanging="360"/>
      </w:pPr>
      <w:rPr>
        <w:rFonts w:ascii="Arial" w:hAnsi="Arial" w:hint="default"/>
      </w:rPr>
    </w:lvl>
    <w:lvl w:ilvl="2" w:tplc="639E373C" w:tentative="1">
      <w:start w:val="1"/>
      <w:numFmt w:val="bullet"/>
      <w:lvlText w:val="•"/>
      <w:lvlJc w:val="left"/>
      <w:pPr>
        <w:tabs>
          <w:tab w:val="num" w:pos="1800"/>
        </w:tabs>
        <w:ind w:left="1800" w:hanging="360"/>
      </w:pPr>
      <w:rPr>
        <w:rFonts w:ascii="Arial" w:hAnsi="Arial" w:hint="default"/>
      </w:rPr>
    </w:lvl>
    <w:lvl w:ilvl="3" w:tplc="705E3200" w:tentative="1">
      <w:start w:val="1"/>
      <w:numFmt w:val="bullet"/>
      <w:lvlText w:val="•"/>
      <w:lvlJc w:val="left"/>
      <w:pPr>
        <w:tabs>
          <w:tab w:val="num" w:pos="2520"/>
        </w:tabs>
        <w:ind w:left="2520" w:hanging="360"/>
      </w:pPr>
      <w:rPr>
        <w:rFonts w:ascii="Arial" w:hAnsi="Arial" w:hint="default"/>
      </w:rPr>
    </w:lvl>
    <w:lvl w:ilvl="4" w:tplc="9E76A9E0" w:tentative="1">
      <w:start w:val="1"/>
      <w:numFmt w:val="bullet"/>
      <w:lvlText w:val="•"/>
      <w:lvlJc w:val="left"/>
      <w:pPr>
        <w:tabs>
          <w:tab w:val="num" w:pos="3240"/>
        </w:tabs>
        <w:ind w:left="3240" w:hanging="360"/>
      </w:pPr>
      <w:rPr>
        <w:rFonts w:ascii="Arial" w:hAnsi="Arial" w:hint="default"/>
      </w:rPr>
    </w:lvl>
    <w:lvl w:ilvl="5" w:tplc="A5EE2710" w:tentative="1">
      <w:start w:val="1"/>
      <w:numFmt w:val="bullet"/>
      <w:lvlText w:val="•"/>
      <w:lvlJc w:val="left"/>
      <w:pPr>
        <w:tabs>
          <w:tab w:val="num" w:pos="3960"/>
        </w:tabs>
        <w:ind w:left="3960" w:hanging="360"/>
      </w:pPr>
      <w:rPr>
        <w:rFonts w:ascii="Arial" w:hAnsi="Arial" w:hint="default"/>
      </w:rPr>
    </w:lvl>
    <w:lvl w:ilvl="6" w:tplc="1C8C97EE" w:tentative="1">
      <w:start w:val="1"/>
      <w:numFmt w:val="bullet"/>
      <w:lvlText w:val="•"/>
      <w:lvlJc w:val="left"/>
      <w:pPr>
        <w:tabs>
          <w:tab w:val="num" w:pos="4680"/>
        </w:tabs>
        <w:ind w:left="4680" w:hanging="360"/>
      </w:pPr>
      <w:rPr>
        <w:rFonts w:ascii="Arial" w:hAnsi="Arial" w:hint="default"/>
      </w:rPr>
    </w:lvl>
    <w:lvl w:ilvl="7" w:tplc="13E82954" w:tentative="1">
      <w:start w:val="1"/>
      <w:numFmt w:val="bullet"/>
      <w:lvlText w:val="•"/>
      <w:lvlJc w:val="left"/>
      <w:pPr>
        <w:tabs>
          <w:tab w:val="num" w:pos="5400"/>
        </w:tabs>
        <w:ind w:left="5400" w:hanging="360"/>
      </w:pPr>
      <w:rPr>
        <w:rFonts w:ascii="Arial" w:hAnsi="Arial" w:hint="default"/>
      </w:rPr>
    </w:lvl>
    <w:lvl w:ilvl="8" w:tplc="E67E2132" w:tentative="1">
      <w:start w:val="1"/>
      <w:numFmt w:val="bullet"/>
      <w:lvlText w:val="•"/>
      <w:lvlJc w:val="left"/>
      <w:pPr>
        <w:tabs>
          <w:tab w:val="num" w:pos="6120"/>
        </w:tabs>
        <w:ind w:left="6120" w:hanging="360"/>
      </w:pPr>
      <w:rPr>
        <w:rFonts w:ascii="Arial" w:hAnsi="Arial" w:hint="default"/>
      </w:rPr>
    </w:lvl>
  </w:abstractNum>
  <w:abstractNum w:abstractNumId="2" w15:restartNumberingAfterBreak="0">
    <w:nsid w:val="09A54227"/>
    <w:multiLevelType w:val="hybridMultilevel"/>
    <w:tmpl w:val="4E9C4646"/>
    <w:lvl w:ilvl="0" w:tplc="C35C325E">
      <w:start w:val="1"/>
      <w:numFmt w:val="decimal"/>
      <w:pStyle w:val="Heading3"/>
      <w:lvlText w:val="%1."/>
      <w:lvlJc w:val="left"/>
      <w:pPr>
        <w:tabs>
          <w:tab w:val="num" w:pos="648"/>
        </w:tabs>
        <w:ind w:left="576"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263C75"/>
    <w:multiLevelType w:val="hybridMultilevel"/>
    <w:tmpl w:val="4A842EDA"/>
    <w:lvl w:ilvl="0" w:tplc="43E22C5C">
      <w:start w:val="1"/>
      <w:numFmt w:val="bullet"/>
      <w:lvlText w:val=""/>
      <w:lvlJc w:val="left"/>
      <w:pPr>
        <w:tabs>
          <w:tab w:val="num" w:pos="360"/>
        </w:tabs>
        <w:ind w:left="0" w:firstLine="0"/>
      </w:pPr>
      <w:rPr>
        <w:rFonts w:ascii="Symbol" w:hAnsi="Symbol" w:hint="default"/>
      </w:rPr>
    </w:lvl>
    <w:lvl w:ilvl="1" w:tplc="04090003" w:tentative="1">
      <w:start w:val="1"/>
      <w:numFmt w:val="bullet"/>
      <w:lvlText w:val="o"/>
      <w:lvlJc w:val="left"/>
      <w:pPr>
        <w:tabs>
          <w:tab w:val="num" w:pos="1152"/>
        </w:tabs>
        <w:ind w:left="1152" w:hanging="360"/>
      </w:pPr>
      <w:rPr>
        <w:rFonts w:ascii="Courier New" w:hAnsi="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4" w15:restartNumberingAfterBreak="0">
    <w:nsid w:val="0E725C0F"/>
    <w:multiLevelType w:val="hybridMultilevel"/>
    <w:tmpl w:val="E2F44A64"/>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 w15:restartNumberingAfterBreak="0">
    <w:nsid w:val="13CD4ACF"/>
    <w:multiLevelType w:val="hybridMultilevel"/>
    <w:tmpl w:val="C76AA214"/>
    <w:lvl w:ilvl="0" w:tplc="606803D6">
      <w:start w:val="1"/>
      <w:numFmt w:val="upperLetter"/>
      <w:pStyle w:val="Heading2"/>
      <w:lvlText w:val="%1."/>
      <w:lvlJc w:val="left"/>
      <w:pPr>
        <w:tabs>
          <w:tab w:val="num" w:pos="360"/>
        </w:tabs>
        <w:ind w:left="0" w:firstLine="0"/>
      </w:pPr>
      <w:rPr>
        <w:rFonts w:ascii="Times New Roman" w:hAnsi="Times New Roman" w:hint="default"/>
      </w:rPr>
    </w:lvl>
    <w:lvl w:ilvl="1" w:tplc="04090001">
      <w:start w:val="1"/>
      <w:numFmt w:val="bullet"/>
      <w:lvlText w:val=""/>
      <w:lvlJc w:val="left"/>
      <w:pPr>
        <w:tabs>
          <w:tab w:val="num" w:pos="1440"/>
        </w:tabs>
        <w:ind w:left="1440" w:hanging="360"/>
      </w:pPr>
      <w:rPr>
        <w:rFonts w:ascii="Symbol" w:hAnsi="Symbol" w:hint="default"/>
      </w:rPr>
    </w:lvl>
    <w:lvl w:ilvl="2" w:tplc="BF78B448">
      <w:start w:val="1"/>
      <w:numFmt w:val="decimal"/>
      <w:lvlText w:val="%3."/>
      <w:lvlJc w:val="left"/>
      <w:pPr>
        <w:tabs>
          <w:tab w:val="num" w:pos="648"/>
        </w:tabs>
        <w:ind w:left="288" w:firstLine="0"/>
      </w:pPr>
      <w:rPr>
        <w:rFonts w:hint="default"/>
      </w:rPr>
    </w:lvl>
    <w:lvl w:ilvl="3" w:tplc="F750E7B0">
      <w:start w:val="1"/>
      <w:numFmt w:val="lowerLetter"/>
      <w:lvlText w:val="%4)"/>
      <w:lvlJc w:val="left"/>
      <w:pPr>
        <w:tabs>
          <w:tab w:val="num" w:pos="648"/>
        </w:tabs>
        <w:ind w:left="288" w:firstLine="0"/>
      </w:pPr>
      <w:rPr>
        <w:rFonts w:hint="default"/>
      </w:rPr>
    </w:lvl>
    <w:lvl w:ilvl="4" w:tplc="2EB26C74">
      <w:start w:val="1"/>
      <w:numFmt w:val="lowerLetter"/>
      <w:lvlText w:val="%5."/>
      <w:lvlJc w:val="left"/>
      <w:pPr>
        <w:tabs>
          <w:tab w:val="num" w:pos="648"/>
        </w:tabs>
        <w:ind w:left="288" w:firstLine="0"/>
      </w:pPr>
      <w:rPr>
        <w:rFonts w:hint="default"/>
      </w:rPr>
    </w:lvl>
    <w:lvl w:ilvl="5" w:tplc="79E24208">
      <w:start w:val="1"/>
      <w:numFmt w:val="decimal"/>
      <w:lvlText w:val="%6)"/>
      <w:lvlJc w:val="left"/>
      <w:pPr>
        <w:tabs>
          <w:tab w:val="num" w:pos="720"/>
        </w:tabs>
        <w:ind w:left="720" w:hanging="432"/>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4F54E7"/>
    <w:multiLevelType w:val="hybridMultilevel"/>
    <w:tmpl w:val="C3E487AA"/>
    <w:lvl w:ilvl="0" w:tplc="3C78074C">
      <w:start w:val="1"/>
      <w:numFmt w:val="decimal"/>
      <w:lvlText w:val="%1)"/>
      <w:lvlJc w:val="left"/>
      <w:pPr>
        <w:tabs>
          <w:tab w:val="num" w:pos="720"/>
        </w:tabs>
        <w:ind w:left="720" w:hanging="432"/>
      </w:pPr>
      <w:rPr>
        <w:rFonts w:hint="default"/>
      </w:rPr>
    </w:lvl>
    <w:lvl w:ilvl="1" w:tplc="04090019" w:tentative="1">
      <w:start w:val="1"/>
      <w:numFmt w:val="lowerLetter"/>
      <w:lvlText w:val="%2."/>
      <w:lvlJc w:val="left"/>
      <w:pPr>
        <w:tabs>
          <w:tab w:val="num" w:pos="5580"/>
        </w:tabs>
        <w:ind w:left="5580" w:hanging="360"/>
      </w:pPr>
    </w:lvl>
    <w:lvl w:ilvl="2" w:tplc="0409001B" w:tentative="1">
      <w:start w:val="1"/>
      <w:numFmt w:val="lowerRoman"/>
      <w:lvlText w:val="%3."/>
      <w:lvlJc w:val="right"/>
      <w:pPr>
        <w:tabs>
          <w:tab w:val="num" w:pos="6300"/>
        </w:tabs>
        <w:ind w:left="6300" w:hanging="180"/>
      </w:pPr>
    </w:lvl>
    <w:lvl w:ilvl="3" w:tplc="0409000F" w:tentative="1">
      <w:start w:val="1"/>
      <w:numFmt w:val="decimal"/>
      <w:lvlText w:val="%4."/>
      <w:lvlJc w:val="left"/>
      <w:pPr>
        <w:tabs>
          <w:tab w:val="num" w:pos="7020"/>
        </w:tabs>
        <w:ind w:left="7020" w:hanging="360"/>
      </w:pPr>
    </w:lvl>
    <w:lvl w:ilvl="4" w:tplc="04090019" w:tentative="1">
      <w:start w:val="1"/>
      <w:numFmt w:val="lowerLetter"/>
      <w:lvlText w:val="%5."/>
      <w:lvlJc w:val="left"/>
      <w:pPr>
        <w:tabs>
          <w:tab w:val="num" w:pos="7740"/>
        </w:tabs>
        <w:ind w:left="7740" w:hanging="360"/>
      </w:pPr>
    </w:lvl>
    <w:lvl w:ilvl="5" w:tplc="0409001B" w:tentative="1">
      <w:start w:val="1"/>
      <w:numFmt w:val="lowerRoman"/>
      <w:lvlText w:val="%6."/>
      <w:lvlJc w:val="right"/>
      <w:pPr>
        <w:tabs>
          <w:tab w:val="num" w:pos="8460"/>
        </w:tabs>
        <w:ind w:left="8460" w:hanging="180"/>
      </w:pPr>
    </w:lvl>
    <w:lvl w:ilvl="6" w:tplc="0409000F" w:tentative="1">
      <w:start w:val="1"/>
      <w:numFmt w:val="decimal"/>
      <w:lvlText w:val="%7."/>
      <w:lvlJc w:val="left"/>
      <w:pPr>
        <w:tabs>
          <w:tab w:val="num" w:pos="9180"/>
        </w:tabs>
        <w:ind w:left="9180" w:hanging="360"/>
      </w:pPr>
    </w:lvl>
    <w:lvl w:ilvl="7" w:tplc="04090019" w:tentative="1">
      <w:start w:val="1"/>
      <w:numFmt w:val="lowerLetter"/>
      <w:lvlText w:val="%8."/>
      <w:lvlJc w:val="left"/>
      <w:pPr>
        <w:tabs>
          <w:tab w:val="num" w:pos="9900"/>
        </w:tabs>
        <w:ind w:left="9900" w:hanging="360"/>
      </w:pPr>
    </w:lvl>
    <w:lvl w:ilvl="8" w:tplc="0409001B" w:tentative="1">
      <w:start w:val="1"/>
      <w:numFmt w:val="lowerRoman"/>
      <w:lvlText w:val="%9."/>
      <w:lvlJc w:val="right"/>
      <w:pPr>
        <w:tabs>
          <w:tab w:val="num" w:pos="10620"/>
        </w:tabs>
        <w:ind w:left="10620" w:hanging="180"/>
      </w:pPr>
    </w:lvl>
  </w:abstractNum>
  <w:abstractNum w:abstractNumId="7" w15:restartNumberingAfterBreak="0">
    <w:nsid w:val="1C24356B"/>
    <w:multiLevelType w:val="hybridMultilevel"/>
    <w:tmpl w:val="5762A6B6"/>
    <w:lvl w:ilvl="0" w:tplc="C0FCD902">
      <w:start w:val="1"/>
      <w:numFmt w:val="bullet"/>
      <w:lvlText w:val=""/>
      <w:lvlJc w:val="left"/>
      <w:pPr>
        <w:tabs>
          <w:tab w:val="num" w:pos="648"/>
        </w:tabs>
        <w:ind w:left="576" w:hanging="288"/>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8" w15:restartNumberingAfterBreak="0">
    <w:nsid w:val="1CF05DF9"/>
    <w:multiLevelType w:val="hybridMultilevel"/>
    <w:tmpl w:val="5762A6B6"/>
    <w:lvl w:ilvl="0" w:tplc="88A8CE80">
      <w:start w:val="1"/>
      <w:numFmt w:val="bullet"/>
      <w:lvlText w:val=""/>
      <w:lvlJc w:val="left"/>
      <w:pPr>
        <w:tabs>
          <w:tab w:val="num" w:pos="648"/>
        </w:tabs>
        <w:ind w:left="288" w:firstLine="0"/>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9" w15:restartNumberingAfterBreak="0">
    <w:nsid w:val="287C4A17"/>
    <w:multiLevelType w:val="hybridMultilevel"/>
    <w:tmpl w:val="37809404"/>
    <w:lvl w:ilvl="0" w:tplc="0768AAFC">
      <w:start w:val="1"/>
      <w:numFmt w:val="upperRoman"/>
      <w:lvlText w:val="%1."/>
      <w:lvlJc w:val="righ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631C8B"/>
    <w:multiLevelType w:val="hybridMultilevel"/>
    <w:tmpl w:val="CFE66962"/>
    <w:lvl w:ilvl="0" w:tplc="AD4C076A">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FD704F2"/>
    <w:multiLevelType w:val="hybridMultilevel"/>
    <w:tmpl w:val="15BE78DC"/>
    <w:lvl w:ilvl="0" w:tplc="0768AAFC">
      <w:start w:val="1"/>
      <w:numFmt w:val="upperRoman"/>
      <w:lvlText w:val="%1."/>
      <w:lvlJc w:val="right"/>
      <w:pPr>
        <w:tabs>
          <w:tab w:val="num" w:pos="360"/>
        </w:tabs>
        <w:ind w:left="0" w:firstLine="0"/>
      </w:pPr>
      <w:rPr>
        <w:rFonts w:ascii="Times New Roman" w:hAnsi="Times New Roman" w:hint="default"/>
      </w:rPr>
    </w:lvl>
    <w:lvl w:ilvl="1" w:tplc="4976073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23A16A1"/>
    <w:multiLevelType w:val="hybridMultilevel"/>
    <w:tmpl w:val="858821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A07FDA"/>
    <w:multiLevelType w:val="hybridMultilevel"/>
    <w:tmpl w:val="674AF362"/>
    <w:lvl w:ilvl="0" w:tplc="93DE3246">
      <w:start w:val="1"/>
      <w:numFmt w:val="bullet"/>
      <w:lvlText w:val="•"/>
      <w:lvlJc w:val="left"/>
      <w:pPr>
        <w:tabs>
          <w:tab w:val="num" w:pos="720"/>
        </w:tabs>
        <w:ind w:left="720" w:hanging="360"/>
      </w:pPr>
      <w:rPr>
        <w:rFonts w:ascii="Arial" w:hAnsi="Arial" w:hint="default"/>
      </w:rPr>
    </w:lvl>
    <w:lvl w:ilvl="1" w:tplc="3662D2BE">
      <w:numFmt w:val="bullet"/>
      <w:lvlText w:val="•"/>
      <w:lvlJc w:val="left"/>
      <w:pPr>
        <w:tabs>
          <w:tab w:val="num" w:pos="1440"/>
        </w:tabs>
        <w:ind w:left="1440" w:hanging="360"/>
      </w:pPr>
      <w:rPr>
        <w:rFonts w:ascii="Arial" w:hAnsi="Arial" w:hint="default"/>
      </w:rPr>
    </w:lvl>
    <w:lvl w:ilvl="2" w:tplc="4328DC66" w:tentative="1">
      <w:start w:val="1"/>
      <w:numFmt w:val="bullet"/>
      <w:lvlText w:val="•"/>
      <w:lvlJc w:val="left"/>
      <w:pPr>
        <w:tabs>
          <w:tab w:val="num" w:pos="2160"/>
        </w:tabs>
        <w:ind w:left="2160" w:hanging="360"/>
      </w:pPr>
      <w:rPr>
        <w:rFonts w:ascii="Arial" w:hAnsi="Arial" w:hint="default"/>
      </w:rPr>
    </w:lvl>
    <w:lvl w:ilvl="3" w:tplc="AF609E2C" w:tentative="1">
      <w:start w:val="1"/>
      <w:numFmt w:val="bullet"/>
      <w:lvlText w:val="•"/>
      <w:lvlJc w:val="left"/>
      <w:pPr>
        <w:tabs>
          <w:tab w:val="num" w:pos="2880"/>
        </w:tabs>
        <w:ind w:left="2880" w:hanging="360"/>
      </w:pPr>
      <w:rPr>
        <w:rFonts w:ascii="Arial" w:hAnsi="Arial" w:hint="default"/>
      </w:rPr>
    </w:lvl>
    <w:lvl w:ilvl="4" w:tplc="82EE8AFE" w:tentative="1">
      <w:start w:val="1"/>
      <w:numFmt w:val="bullet"/>
      <w:lvlText w:val="•"/>
      <w:lvlJc w:val="left"/>
      <w:pPr>
        <w:tabs>
          <w:tab w:val="num" w:pos="3600"/>
        </w:tabs>
        <w:ind w:left="3600" w:hanging="360"/>
      </w:pPr>
      <w:rPr>
        <w:rFonts w:ascii="Arial" w:hAnsi="Arial" w:hint="default"/>
      </w:rPr>
    </w:lvl>
    <w:lvl w:ilvl="5" w:tplc="D8ACEA92" w:tentative="1">
      <w:start w:val="1"/>
      <w:numFmt w:val="bullet"/>
      <w:lvlText w:val="•"/>
      <w:lvlJc w:val="left"/>
      <w:pPr>
        <w:tabs>
          <w:tab w:val="num" w:pos="4320"/>
        </w:tabs>
        <w:ind w:left="4320" w:hanging="360"/>
      </w:pPr>
      <w:rPr>
        <w:rFonts w:ascii="Arial" w:hAnsi="Arial" w:hint="default"/>
      </w:rPr>
    </w:lvl>
    <w:lvl w:ilvl="6" w:tplc="82C67C5A" w:tentative="1">
      <w:start w:val="1"/>
      <w:numFmt w:val="bullet"/>
      <w:lvlText w:val="•"/>
      <w:lvlJc w:val="left"/>
      <w:pPr>
        <w:tabs>
          <w:tab w:val="num" w:pos="5040"/>
        </w:tabs>
        <w:ind w:left="5040" w:hanging="360"/>
      </w:pPr>
      <w:rPr>
        <w:rFonts w:ascii="Arial" w:hAnsi="Arial" w:hint="default"/>
      </w:rPr>
    </w:lvl>
    <w:lvl w:ilvl="7" w:tplc="F96080F4" w:tentative="1">
      <w:start w:val="1"/>
      <w:numFmt w:val="bullet"/>
      <w:lvlText w:val="•"/>
      <w:lvlJc w:val="left"/>
      <w:pPr>
        <w:tabs>
          <w:tab w:val="num" w:pos="5760"/>
        </w:tabs>
        <w:ind w:left="5760" w:hanging="360"/>
      </w:pPr>
      <w:rPr>
        <w:rFonts w:ascii="Arial" w:hAnsi="Arial" w:hint="default"/>
      </w:rPr>
    </w:lvl>
    <w:lvl w:ilvl="8" w:tplc="9E14E25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2865185"/>
    <w:multiLevelType w:val="hybridMultilevel"/>
    <w:tmpl w:val="66F893C2"/>
    <w:lvl w:ilvl="0" w:tplc="AB140114">
      <w:start w:val="1"/>
      <w:numFmt w:val="upperLetter"/>
      <w:lvlText w:val="%1."/>
      <w:lvlJc w:val="left"/>
      <w:pPr>
        <w:tabs>
          <w:tab w:val="num" w:pos="360"/>
        </w:tabs>
        <w:ind w:left="0" w:firstLine="0"/>
      </w:pPr>
      <w:rPr>
        <w:rFonts w:ascii="Times New Roman" w:hAnsi="Times New Roman" w:hint="default"/>
      </w:rPr>
    </w:lvl>
    <w:lvl w:ilvl="1" w:tplc="4EB2A9DE">
      <w:start w:val="1"/>
      <w:numFmt w:val="bullet"/>
      <w:lvlText w:val=""/>
      <w:lvlJc w:val="left"/>
      <w:pPr>
        <w:tabs>
          <w:tab w:val="num" w:pos="648"/>
        </w:tabs>
        <w:ind w:left="360" w:hanging="72"/>
      </w:pPr>
      <w:rPr>
        <w:rFonts w:ascii="Symbol" w:hAnsi="Symbol" w:hint="default"/>
      </w:rPr>
    </w:lvl>
    <w:lvl w:ilvl="2" w:tplc="7F1A24CE">
      <w:start w:val="1"/>
      <w:numFmt w:val="decimal"/>
      <w:lvlText w:val="%3."/>
      <w:lvlJc w:val="left"/>
      <w:pPr>
        <w:tabs>
          <w:tab w:val="num" w:pos="648"/>
        </w:tabs>
        <w:ind w:left="360" w:hanging="72"/>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8AC3CC6"/>
    <w:multiLevelType w:val="hybridMultilevel"/>
    <w:tmpl w:val="5762A6B6"/>
    <w:lvl w:ilvl="0" w:tplc="43E22C5C">
      <w:start w:val="1"/>
      <w:numFmt w:val="bullet"/>
      <w:lvlText w:val=""/>
      <w:lvlJc w:val="left"/>
      <w:pPr>
        <w:tabs>
          <w:tab w:val="num" w:pos="936"/>
        </w:tabs>
        <w:ind w:left="576" w:firstLine="0"/>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6" w15:restartNumberingAfterBreak="0">
    <w:nsid w:val="4CF93B86"/>
    <w:multiLevelType w:val="hybridMultilevel"/>
    <w:tmpl w:val="225225C2"/>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7" w15:restartNumberingAfterBreak="0">
    <w:nsid w:val="4EC653DE"/>
    <w:multiLevelType w:val="hybridMultilevel"/>
    <w:tmpl w:val="1918F2C8"/>
    <w:lvl w:ilvl="0" w:tplc="04090001">
      <w:start w:val="1"/>
      <w:numFmt w:val="bullet"/>
      <w:lvlText w:val=""/>
      <w:lvlJc w:val="left"/>
      <w:pPr>
        <w:ind w:left="1300" w:hanging="360"/>
      </w:pPr>
      <w:rPr>
        <w:rFonts w:ascii="Symbol" w:hAnsi="Symbol" w:hint="default"/>
      </w:rPr>
    </w:lvl>
    <w:lvl w:ilvl="1" w:tplc="04090003" w:tentative="1">
      <w:start w:val="1"/>
      <w:numFmt w:val="bullet"/>
      <w:lvlText w:val="o"/>
      <w:lvlJc w:val="left"/>
      <w:pPr>
        <w:ind w:left="2020" w:hanging="360"/>
      </w:pPr>
      <w:rPr>
        <w:rFonts w:ascii="Courier New" w:hAnsi="Courier New" w:cs="Courier New" w:hint="default"/>
      </w:rPr>
    </w:lvl>
    <w:lvl w:ilvl="2" w:tplc="04090005" w:tentative="1">
      <w:start w:val="1"/>
      <w:numFmt w:val="bullet"/>
      <w:lvlText w:val=""/>
      <w:lvlJc w:val="left"/>
      <w:pPr>
        <w:ind w:left="2740" w:hanging="360"/>
      </w:pPr>
      <w:rPr>
        <w:rFonts w:ascii="Wingdings" w:hAnsi="Wingdings" w:hint="default"/>
      </w:rPr>
    </w:lvl>
    <w:lvl w:ilvl="3" w:tplc="04090001" w:tentative="1">
      <w:start w:val="1"/>
      <w:numFmt w:val="bullet"/>
      <w:lvlText w:val=""/>
      <w:lvlJc w:val="left"/>
      <w:pPr>
        <w:ind w:left="3460" w:hanging="360"/>
      </w:pPr>
      <w:rPr>
        <w:rFonts w:ascii="Symbol" w:hAnsi="Symbol" w:hint="default"/>
      </w:rPr>
    </w:lvl>
    <w:lvl w:ilvl="4" w:tplc="04090003" w:tentative="1">
      <w:start w:val="1"/>
      <w:numFmt w:val="bullet"/>
      <w:lvlText w:val="o"/>
      <w:lvlJc w:val="left"/>
      <w:pPr>
        <w:ind w:left="4180" w:hanging="360"/>
      </w:pPr>
      <w:rPr>
        <w:rFonts w:ascii="Courier New" w:hAnsi="Courier New" w:cs="Courier New" w:hint="default"/>
      </w:rPr>
    </w:lvl>
    <w:lvl w:ilvl="5" w:tplc="04090005" w:tentative="1">
      <w:start w:val="1"/>
      <w:numFmt w:val="bullet"/>
      <w:lvlText w:val=""/>
      <w:lvlJc w:val="left"/>
      <w:pPr>
        <w:ind w:left="4900" w:hanging="360"/>
      </w:pPr>
      <w:rPr>
        <w:rFonts w:ascii="Wingdings" w:hAnsi="Wingdings" w:hint="default"/>
      </w:rPr>
    </w:lvl>
    <w:lvl w:ilvl="6" w:tplc="04090001" w:tentative="1">
      <w:start w:val="1"/>
      <w:numFmt w:val="bullet"/>
      <w:lvlText w:val=""/>
      <w:lvlJc w:val="left"/>
      <w:pPr>
        <w:ind w:left="5620" w:hanging="360"/>
      </w:pPr>
      <w:rPr>
        <w:rFonts w:ascii="Symbol" w:hAnsi="Symbol" w:hint="default"/>
      </w:rPr>
    </w:lvl>
    <w:lvl w:ilvl="7" w:tplc="04090003" w:tentative="1">
      <w:start w:val="1"/>
      <w:numFmt w:val="bullet"/>
      <w:lvlText w:val="o"/>
      <w:lvlJc w:val="left"/>
      <w:pPr>
        <w:ind w:left="6340" w:hanging="360"/>
      </w:pPr>
      <w:rPr>
        <w:rFonts w:ascii="Courier New" w:hAnsi="Courier New" w:cs="Courier New" w:hint="default"/>
      </w:rPr>
    </w:lvl>
    <w:lvl w:ilvl="8" w:tplc="04090005" w:tentative="1">
      <w:start w:val="1"/>
      <w:numFmt w:val="bullet"/>
      <w:lvlText w:val=""/>
      <w:lvlJc w:val="left"/>
      <w:pPr>
        <w:ind w:left="7060" w:hanging="360"/>
      </w:pPr>
      <w:rPr>
        <w:rFonts w:ascii="Wingdings" w:hAnsi="Wingdings" w:hint="default"/>
      </w:rPr>
    </w:lvl>
  </w:abstractNum>
  <w:abstractNum w:abstractNumId="18" w15:restartNumberingAfterBreak="0">
    <w:nsid w:val="51160551"/>
    <w:multiLevelType w:val="hybridMultilevel"/>
    <w:tmpl w:val="3EF81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25484B"/>
    <w:multiLevelType w:val="hybridMultilevel"/>
    <w:tmpl w:val="F448FC44"/>
    <w:lvl w:ilvl="0" w:tplc="19D0AE98">
      <w:start w:val="1"/>
      <w:numFmt w:val="bullet"/>
      <w:lvlText w:val="•"/>
      <w:lvlJc w:val="left"/>
      <w:pPr>
        <w:tabs>
          <w:tab w:val="num" w:pos="720"/>
        </w:tabs>
        <w:ind w:left="720" w:hanging="360"/>
      </w:pPr>
      <w:rPr>
        <w:rFonts w:ascii="Arial" w:hAnsi="Arial" w:hint="default"/>
      </w:rPr>
    </w:lvl>
    <w:lvl w:ilvl="1" w:tplc="AC1AF712">
      <w:start w:val="1"/>
      <w:numFmt w:val="bullet"/>
      <w:lvlText w:val="•"/>
      <w:lvlJc w:val="left"/>
      <w:pPr>
        <w:tabs>
          <w:tab w:val="num" w:pos="1440"/>
        </w:tabs>
        <w:ind w:left="1440" w:hanging="360"/>
      </w:pPr>
      <w:rPr>
        <w:rFonts w:ascii="Arial" w:hAnsi="Arial" w:hint="default"/>
      </w:rPr>
    </w:lvl>
    <w:lvl w:ilvl="2" w:tplc="39561B1C">
      <w:numFmt w:val="bullet"/>
      <w:lvlText w:val="•"/>
      <w:lvlJc w:val="left"/>
      <w:pPr>
        <w:tabs>
          <w:tab w:val="num" w:pos="2160"/>
        </w:tabs>
        <w:ind w:left="2160" w:hanging="360"/>
      </w:pPr>
      <w:rPr>
        <w:rFonts w:ascii="Arial" w:hAnsi="Arial" w:hint="default"/>
      </w:rPr>
    </w:lvl>
    <w:lvl w:ilvl="3" w:tplc="47CA7560" w:tentative="1">
      <w:start w:val="1"/>
      <w:numFmt w:val="bullet"/>
      <w:lvlText w:val="•"/>
      <w:lvlJc w:val="left"/>
      <w:pPr>
        <w:tabs>
          <w:tab w:val="num" w:pos="2880"/>
        </w:tabs>
        <w:ind w:left="2880" w:hanging="360"/>
      </w:pPr>
      <w:rPr>
        <w:rFonts w:ascii="Arial" w:hAnsi="Arial" w:hint="default"/>
      </w:rPr>
    </w:lvl>
    <w:lvl w:ilvl="4" w:tplc="87962C9C" w:tentative="1">
      <w:start w:val="1"/>
      <w:numFmt w:val="bullet"/>
      <w:lvlText w:val="•"/>
      <w:lvlJc w:val="left"/>
      <w:pPr>
        <w:tabs>
          <w:tab w:val="num" w:pos="3600"/>
        </w:tabs>
        <w:ind w:left="3600" w:hanging="360"/>
      </w:pPr>
      <w:rPr>
        <w:rFonts w:ascii="Arial" w:hAnsi="Arial" w:hint="default"/>
      </w:rPr>
    </w:lvl>
    <w:lvl w:ilvl="5" w:tplc="CADC0AFE" w:tentative="1">
      <w:start w:val="1"/>
      <w:numFmt w:val="bullet"/>
      <w:lvlText w:val="•"/>
      <w:lvlJc w:val="left"/>
      <w:pPr>
        <w:tabs>
          <w:tab w:val="num" w:pos="4320"/>
        </w:tabs>
        <w:ind w:left="4320" w:hanging="360"/>
      </w:pPr>
      <w:rPr>
        <w:rFonts w:ascii="Arial" w:hAnsi="Arial" w:hint="default"/>
      </w:rPr>
    </w:lvl>
    <w:lvl w:ilvl="6" w:tplc="EC4CD116" w:tentative="1">
      <w:start w:val="1"/>
      <w:numFmt w:val="bullet"/>
      <w:lvlText w:val="•"/>
      <w:lvlJc w:val="left"/>
      <w:pPr>
        <w:tabs>
          <w:tab w:val="num" w:pos="5040"/>
        </w:tabs>
        <w:ind w:left="5040" w:hanging="360"/>
      </w:pPr>
      <w:rPr>
        <w:rFonts w:ascii="Arial" w:hAnsi="Arial" w:hint="default"/>
      </w:rPr>
    </w:lvl>
    <w:lvl w:ilvl="7" w:tplc="CFF6BAC4" w:tentative="1">
      <w:start w:val="1"/>
      <w:numFmt w:val="bullet"/>
      <w:lvlText w:val="•"/>
      <w:lvlJc w:val="left"/>
      <w:pPr>
        <w:tabs>
          <w:tab w:val="num" w:pos="5760"/>
        </w:tabs>
        <w:ind w:left="5760" w:hanging="360"/>
      </w:pPr>
      <w:rPr>
        <w:rFonts w:ascii="Arial" w:hAnsi="Arial" w:hint="default"/>
      </w:rPr>
    </w:lvl>
    <w:lvl w:ilvl="8" w:tplc="6ADE4D6E"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65D013B"/>
    <w:multiLevelType w:val="hybridMultilevel"/>
    <w:tmpl w:val="66F893C2"/>
    <w:lvl w:ilvl="0" w:tplc="AB140114">
      <w:start w:val="1"/>
      <w:numFmt w:val="upperLetter"/>
      <w:lvlText w:val="%1."/>
      <w:lvlJc w:val="left"/>
      <w:pPr>
        <w:tabs>
          <w:tab w:val="num" w:pos="360"/>
        </w:tabs>
        <w:ind w:left="0" w:firstLine="0"/>
      </w:pPr>
      <w:rPr>
        <w:rFonts w:ascii="Times New Roman" w:hAnsi="Times New Roman" w:hint="default"/>
      </w:rPr>
    </w:lvl>
    <w:lvl w:ilvl="1" w:tplc="43E22C5C">
      <w:start w:val="1"/>
      <w:numFmt w:val="bullet"/>
      <w:lvlText w:val=""/>
      <w:lvlJc w:val="left"/>
      <w:pPr>
        <w:tabs>
          <w:tab w:val="num" w:pos="648"/>
        </w:tabs>
        <w:ind w:left="288" w:firstLine="0"/>
      </w:pPr>
      <w:rPr>
        <w:rFonts w:ascii="Symbol" w:hAnsi="Symbol" w:hint="default"/>
      </w:rPr>
    </w:lvl>
    <w:lvl w:ilvl="2" w:tplc="7F1A24CE">
      <w:start w:val="1"/>
      <w:numFmt w:val="decimal"/>
      <w:lvlText w:val="%3."/>
      <w:lvlJc w:val="left"/>
      <w:pPr>
        <w:tabs>
          <w:tab w:val="num" w:pos="648"/>
        </w:tabs>
        <w:ind w:left="360" w:hanging="72"/>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160677B"/>
    <w:multiLevelType w:val="hybridMultilevel"/>
    <w:tmpl w:val="E9227B7C"/>
    <w:lvl w:ilvl="0" w:tplc="25221698">
      <w:start w:val="1"/>
      <w:numFmt w:val="decimal"/>
      <w:lvlText w:val="%1)"/>
      <w:lvlJc w:val="left"/>
      <w:pPr>
        <w:tabs>
          <w:tab w:val="num" w:pos="648"/>
        </w:tabs>
        <w:ind w:left="648" w:hanging="360"/>
      </w:pPr>
      <w:rPr>
        <w:rFonts w:hint="default"/>
      </w:r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22" w15:restartNumberingAfterBreak="0">
    <w:nsid w:val="6201068F"/>
    <w:multiLevelType w:val="hybridMultilevel"/>
    <w:tmpl w:val="AB183A2A"/>
    <w:lvl w:ilvl="0" w:tplc="1E9C550C">
      <w:start w:val="1"/>
      <w:numFmt w:val="decimal"/>
      <w:lvlText w:val="%1)"/>
      <w:lvlJc w:val="left"/>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3EF1209"/>
    <w:multiLevelType w:val="multilevel"/>
    <w:tmpl w:val="00290409"/>
    <w:lvl w:ilvl="0">
      <w:start w:val="1"/>
      <w:numFmt w:val="decimal"/>
      <w:suff w:val="space"/>
      <w:lvlText w:val="Chapter %1"/>
      <w:lvlJc w:val="left"/>
      <w:pPr>
        <w:ind w:left="0" w:firstLine="0"/>
      </w:pPr>
    </w:lvl>
    <w:lvl w:ilvl="1">
      <w:start w:val="1"/>
      <w:numFmt w:val="decimal"/>
      <w:lvlText w:val="%2)"/>
      <w:lvlJc w:val="left"/>
      <w:pPr>
        <w:tabs>
          <w:tab w:val="num" w:pos="648"/>
        </w:tabs>
        <w:ind w:left="576" w:hanging="288"/>
      </w:pPr>
      <w:rPr>
        <w:rFonts w:hint="default"/>
      </w:rPr>
    </w:lvl>
    <w:lvl w:ilvl="2">
      <w:start w:val="1"/>
      <w:numFmt w:val="none"/>
      <w:suff w:val="nothing"/>
      <w:lvlText w:val="%3."/>
      <w:lvlJc w:val="left"/>
      <w:pPr>
        <w:ind w:left="0" w:firstLine="0"/>
      </w:pPr>
    </w:lvl>
    <w:lvl w:ilvl="3">
      <w:start w:val="1"/>
      <w:numFmt w:val="none"/>
      <w:suff w:val="nothing"/>
      <w:lvlText w:val="%4)"/>
      <w:lvlJc w:val="left"/>
      <w:pPr>
        <w:ind w:left="0" w:firstLine="0"/>
      </w:pPr>
    </w:lvl>
    <w:lvl w:ilvl="4">
      <w:start w:val="1"/>
      <w:numFmt w:val="none"/>
      <w:suff w:val="nothing"/>
      <w:lvlText w:val="(%5)"/>
      <w:lvlJc w:val="left"/>
      <w:pPr>
        <w:ind w:left="0" w:firstLine="0"/>
      </w:pPr>
    </w:lvl>
    <w:lvl w:ilvl="5">
      <w:start w:val="1"/>
      <w:numFmt w:val="none"/>
      <w:suff w:val="nothing"/>
      <w:lvlText w:val="(%6)"/>
      <w:lvlJc w:val="left"/>
      <w:pPr>
        <w:ind w:left="0" w:firstLine="0"/>
      </w:pPr>
    </w:lvl>
    <w:lvl w:ilvl="6">
      <w:start w:val="1"/>
      <w:numFmt w:val="none"/>
      <w:suff w:val="nothing"/>
      <w:lvlText w:val="(%7)"/>
      <w:lvlJc w:val="left"/>
      <w:pPr>
        <w:ind w:left="0" w:firstLine="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24" w15:restartNumberingAfterBreak="0">
    <w:nsid w:val="689B562C"/>
    <w:multiLevelType w:val="hybridMultilevel"/>
    <w:tmpl w:val="47D086BC"/>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DC3293B"/>
    <w:multiLevelType w:val="singleLevel"/>
    <w:tmpl w:val="3A8EC28E"/>
    <w:lvl w:ilvl="0">
      <w:start w:val="1"/>
      <w:numFmt w:val="decimal"/>
      <w:lvlText w:val="[%1]"/>
      <w:lvlJc w:val="left"/>
      <w:pPr>
        <w:tabs>
          <w:tab w:val="num" w:pos="360"/>
        </w:tabs>
        <w:ind w:left="360" w:hanging="360"/>
      </w:pPr>
    </w:lvl>
  </w:abstractNum>
  <w:abstractNum w:abstractNumId="26" w15:restartNumberingAfterBreak="0">
    <w:nsid w:val="740F41AC"/>
    <w:multiLevelType w:val="hybridMultilevel"/>
    <w:tmpl w:val="2B54A3C0"/>
    <w:lvl w:ilvl="0" w:tplc="43E22C5C">
      <w:start w:val="1"/>
      <w:numFmt w:val="bullet"/>
      <w:lvlText w:val=""/>
      <w:lvlJc w:val="left"/>
      <w:pPr>
        <w:tabs>
          <w:tab w:val="num" w:pos="936"/>
        </w:tabs>
        <w:ind w:left="576" w:firstLine="0"/>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27" w15:restartNumberingAfterBreak="0">
    <w:nsid w:val="79F46323"/>
    <w:multiLevelType w:val="multilevel"/>
    <w:tmpl w:val="ABCAF4A4"/>
    <w:lvl w:ilvl="0">
      <w:start w:val="1"/>
      <w:numFmt w:val="decimal"/>
      <w:lvlText w:val="%1)"/>
      <w:lvlJc w:val="left"/>
      <w:pPr>
        <w:tabs>
          <w:tab w:val="num" w:pos="720"/>
        </w:tabs>
        <w:ind w:left="720" w:hanging="432"/>
      </w:pPr>
      <w:rPr>
        <w:rFonts w:hint="default"/>
      </w:rPr>
    </w:lvl>
    <w:lvl w:ilvl="1">
      <w:start w:val="1"/>
      <w:numFmt w:val="lowerLetter"/>
      <w:lvlText w:val="%2)"/>
      <w:lvlJc w:val="left"/>
      <w:pPr>
        <w:tabs>
          <w:tab w:val="num" w:pos="1296"/>
        </w:tabs>
        <w:ind w:left="1296" w:hanging="360"/>
      </w:pPr>
      <w:rPr>
        <w:rFonts w:hint="default"/>
      </w:rPr>
    </w:lvl>
    <w:lvl w:ilvl="2">
      <w:start w:val="1"/>
      <w:numFmt w:val="lowerRoman"/>
      <w:lvlText w:val="%3)"/>
      <w:lvlJc w:val="left"/>
      <w:pPr>
        <w:tabs>
          <w:tab w:val="num" w:pos="2016"/>
        </w:tabs>
        <w:ind w:left="1656" w:hanging="360"/>
      </w:pPr>
      <w:rPr>
        <w:rFonts w:hint="default"/>
      </w:rPr>
    </w:lvl>
    <w:lvl w:ilvl="3">
      <w:start w:val="1"/>
      <w:numFmt w:val="decimal"/>
      <w:lvlText w:val="(%4)"/>
      <w:lvlJc w:val="left"/>
      <w:pPr>
        <w:tabs>
          <w:tab w:val="num" w:pos="2016"/>
        </w:tabs>
        <w:ind w:left="2016" w:hanging="360"/>
      </w:pPr>
      <w:rPr>
        <w:rFonts w:hint="default"/>
      </w:rPr>
    </w:lvl>
    <w:lvl w:ilvl="4">
      <w:start w:val="1"/>
      <w:numFmt w:val="lowerLetter"/>
      <w:lvlText w:val="(%5)"/>
      <w:lvlJc w:val="left"/>
      <w:pPr>
        <w:tabs>
          <w:tab w:val="num" w:pos="2376"/>
        </w:tabs>
        <w:ind w:left="2376" w:hanging="360"/>
      </w:pPr>
      <w:rPr>
        <w:rFonts w:hint="default"/>
      </w:rPr>
    </w:lvl>
    <w:lvl w:ilvl="5">
      <w:start w:val="1"/>
      <w:numFmt w:val="lowerRoman"/>
      <w:lvlText w:val="(%6)"/>
      <w:lvlJc w:val="left"/>
      <w:pPr>
        <w:tabs>
          <w:tab w:val="num" w:pos="2736"/>
        </w:tabs>
        <w:ind w:left="2736" w:hanging="360"/>
      </w:pPr>
      <w:rPr>
        <w:rFonts w:hint="default"/>
      </w:rPr>
    </w:lvl>
    <w:lvl w:ilvl="6">
      <w:start w:val="1"/>
      <w:numFmt w:val="decimal"/>
      <w:lvlText w:val="%7."/>
      <w:lvlJc w:val="left"/>
      <w:pPr>
        <w:tabs>
          <w:tab w:val="num" w:pos="3096"/>
        </w:tabs>
        <w:ind w:left="3096" w:hanging="360"/>
      </w:pPr>
      <w:rPr>
        <w:rFonts w:hint="default"/>
      </w:rPr>
    </w:lvl>
    <w:lvl w:ilvl="7">
      <w:start w:val="1"/>
      <w:numFmt w:val="lowerLetter"/>
      <w:lvlText w:val="%8."/>
      <w:lvlJc w:val="left"/>
      <w:pPr>
        <w:tabs>
          <w:tab w:val="num" w:pos="3456"/>
        </w:tabs>
        <w:ind w:left="3456" w:hanging="360"/>
      </w:pPr>
      <w:rPr>
        <w:rFonts w:hint="default"/>
      </w:rPr>
    </w:lvl>
    <w:lvl w:ilvl="8">
      <w:start w:val="1"/>
      <w:numFmt w:val="lowerRoman"/>
      <w:lvlText w:val="%9."/>
      <w:lvlJc w:val="left"/>
      <w:pPr>
        <w:tabs>
          <w:tab w:val="num" w:pos="3816"/>
        </w:tabs>
        <w:ind w:left="3816" w:hanging="360"/>
      </w:pPr>
      <w:rPr>
        <w:rFonts w:hint="default"/>
      </w:rPr>
    </w:lvl>
  </w:abstractNum>
  <w:abstractNum w:abstractNumId="28" w15:restartNumberingAfterBreak="0">
    <w:nsid w:val="7DF316BC"/>
    <w:multiLevelType w:val="hybridMultilevel"/>
    <w:tmpl w:val="5762A6B6"/>
    <w:lvl w:ilvl="0" w:tplc="237E1962">
      <w:start w:val="1"/>
      <w:numFmt w:val="bullet"/>
      <w:lvlText w:val=""/>
      <w:lvlJc w:val="left"/>
      <w:pPr>
        <w:tabs>
          <w:tab w:val="num" w:pos="720"/>
        </w:tabs>
        <w:ind w:left="720" w:hanging="432"/>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29" w15:restartNumberingAfterBreak="0">
    <w:nsid w:val="7F6646F6"/>
    <w:multiLevelType w:val="hybridMultilevel"/>
    <w:tmpl w:val="5762A6B6"/>
    <w:lvl w:ilvl="0" w:tplc="EDBC50CA">
      <w:start w:val="1"/>
      <w:numFmt w:val="bullet"/>
      <w:lvlText w:val=""/>
      <w:lvlJc w:val="left"/>
      <w:pPr>
        <w:tabs>
          <w:tab w:val="num" w:pos="648"/>
        </w:tabs>
        <w:ind w:left="576" w:hanging="288"/>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num w:numId="1" w16cid:durableId="1087190360">
    <w:abstractNumId w:val="10"/>
  </w:num>
  <w:num w:numId="2" w16cid:durableId="1025400626">
    <w:abstractNumId w:val="11"/>
  </w:num>
  <w:num w:numId="3" w16cid:durableId="1073045140">
    <w:abstractNumId w:val="5"/>
  </w:num>
  <w:num w:numId="4" w16cid:durableId="524173245">
    <w:abstractNumId w:val="24"/>
  </w:num>
  <w:num w:numId="5" w16cid:durableId="1696298566">
    <w:abstractNumId w:val="5"/>
    <w:lvlOverride w:ilvl="0">
      <w:startOverride w:val="1"/>
    </w:lvlOverride>
  </w:num>
  <w:num w:numId="6" w16cid:durableId="932936168">
    <w:abstractNumId w:val="14"/>
  </w:num>
  <w:num w:numId="7" w16cid:durableId="281113171">
    <w:abstractNumId w:val="20"/>
  </w:num>
  <w:num w:numId="8" w16cid:durableId="990670434">
    <w:abstractNumId w:val="23"/>
  </w:num>
  <w:num w:numId="9" w16cid:durableId="1962148499">
    <w:abstractNumId w:val="26"/>
  </w:num>
  <w:num w:numId="10" w16cid:durableId="1614021745">
    <w:abstractNumId w:val="15"/>
  </w:num>
  <w:num w:numId="11" w16cid:durableId="190456449">
    <w:abstractNumId w:val="27"/>
  </w:num>
  <w:num w:numId="12" w16cid:durableId="1486386525">
    <w:abstractNumId w:val="3"/>
  </w:num>
  <w:num w:numId="13" w16cid:durableId="1310862086">
    <w:abstractNumId w:val="7"/>
  </w:num>
  <w:num w:numId="14" w16cid:durableId="1108739431">
    <w:abstractNumId w:val="28"/>
  </w:num>
  <w:num w:numId="15" w16cid:durableId="2114089136">
    <w:abstractNumId w:val="8"/>
  </w:num>
  <w:num w:numId="16" w16cid:durableId="1510751431">
    <w:abstractNumId w:val="29"/>
  </w:num>
  <w:num w:numId="17" w16cid:durableId="1899239148">
    <w:abstractNumId w:val="2"/>
  </w:num>
  <w:num w:numId="18" w16cid:durableId="415593249">
    <w:abstractNumId w:val="5"/>
    <w:lvlOverride w:ilvl="0">
      <w:startOverride w:val="1"/>
    </w:lvlOverride>
  </w:num>
  <w:num w:numId="19" w16cid:durableId="234705682">
    <w:abstractNumId w:val="5"/>
    <w:lvlOverride w:ilvl="0">
      <w:startOverride w:val="1"/>
    </w:lvlOverride>
  </w:num>
  <w:num w:numId="20" w16cid:durableId="788552785">
    <w:abstractNumId w:val="5"/>
  </w:num>
  <w:num w:numId="21" w16cid:durableId="1258557120">
    <w:abstractNumId w:val="5"/>
    <w:lvlOverride w:ilvl="0">
      <w:startOverride w:val="1"/>
    </w:lvlOverride>
  </w:num>
  <w:num w:numId="22" w16cid:durableId="309674674">
    <w:abstractNumId w:val="25"/>
  </w:num>
  <w:num w:numId="23" w16cid:durableId="1900358327">
    <w:abstractNumId w:val="6"/>
  </w:num>
  <w:num w:numId="24" w16cid:durableId="1722317631">
    <w:abstractNumId w:val="22"/>
  </w:num>
  <w:num w:numId="25" w16cid:durableId="76680957">
    <w:abstractNumId w:val="21"/>
  </w:num>
  <w:num w:numId="26" w16cid:durableId="1070956470">
    <w:abstractNumId w:val="12"/>
  </w:num>
  <w:num w:numId="27" w16cid:durableId="279921636">
    <w:abstractNumId w:val="11"/>
  </w:num>
  <w:num w:numId="28" w16cid:durableId="1804039170">
    <w:abstractNumId w:val="5"/>
  </w:num>
  <w:num w:numId="29" w16cid:durableId="52973646">
    <w:abstractNumId w:val="5"/>
  </w:num>
  <w:num w:numId="30" w16cid:durableId="1752703658">
    <w:abstractNumId w:val="0"/>
  </w:num>
  <w:num w:numId="31" w16cid:durableId="1010062318">
    <w:abstractNumId w:val="1"/>
  </w:num>
  <w:num w:numId="32" w16cid:durableId="948272848">
    <w:abstractNumId w:val="19"/>
  </w:num>
  <w:num w:numId="33" w16cid:durableId="1236009621">
    <w:abstractNumId w:val="16"/>
  </w:num>
  <w:num w:numId="34" w16cid:durableId="1562209063">
    <w:abstractNumId w:val="4"/>
  </w:num>
  <w:num w:numId="35" w16cid:durableId="955217322">
    <w:abstractNumId w:val="18"/>
  </w:num>
  <w:num w:numId="36" w16cid:durableId="137454723">
    <w:abstractNumId w:val="17"/>
  </w:num>
  <w:num w:numId="37" w16cid:durableId="448474973">
    <w:abstractNumId w:val="13"/>
  </w:num>
  <w:num w:numId="38" w16cid:durableId="17215126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288"/>
  <w:displayHorizontalDrawingGridEvery w:val="0"/>
  <w:displayVerticalDrawingGridEvery w:val="0"/>
  <w:doNotUseMarginsForDrawingGridOrigin/>
  <w:noPunctuationKerning/>
  <w:characterSpacingControl w:val="doNotCompres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145"/>
    <w:rsid w:val="0000543E"/>
    <w:rsid w:val="00007726"/>
    <w:rsid w:val="00010270"/>
    <w:rsid w:val="0001206B"/>
    <w:rsid w:val="00014F4A"/>
    <w:rsid w:val="0001574A"/>
    <w:rsid w:val="00023250"/>
    <w:rsid w:val="00026B8C"/>
    <w:rsid w:val="0003016C"/>
    <w:rsid w:val="00031A26"/>
    <w:rsid w:val="00032976"/>
    <w:rsid w:val="00033E97"/>
    <w:rsid w:val="0003428F"/>
    <w:rsid w:val="000360D3"/>
    <w:rsid w:val="00037E18"/>
    <w:rsid w:val="00043CD7"/>
    <w:rsid w:val="00043D42"/>
    <w:rsid w:val="0004470E"/>
    <w:rsid w:val="0004553E"/>
    <w:rsid w:val="00046FF2"/>
    <w:rsid w:val="00051D8C"/>
    <w:rsid w:val="00052590"/>
    <w:rsid w:val="00054773"/>
    <w:rsid w:val="00054BE3"/>
    <w:rsid w:val="00060913"/>
    <w:rsid w:val="00060E5A"/>
    <w:rsid w:val="000616E1"/>
    <w:rsid w:val="000621D9"/>
    <w:rsid w:val="00063A0F"/>
    <w:rsid w:val="0006427F"/>
    <w:rsid w:val="00072F91"/>
    <w:rsid w:val="0007442E"/>
    <w:rsid w:val="00075862"/>
    <w:rsid w:val="00077663"/>
    <w:rsid w:val="00080EF7"/>
    <w:rsid w:val="00082135"/>
    <w:rsid w:val="00082DC5"/>
    <w:rsid w:val="00084388"/>
    <w:rsid w:val="00087BE9"/>
    <w:rsid w:val="0009042E"/>
    <w:rsid w:val="000948B7"/>
    <w:rsid w:val="00097EF0"/>
    <w:rsid w:val="000A0367"/>
    <w:rsid w:val="000A2936"/>
    <w:rsid w:val="000A29BD"/>
    <w:rsid w:val="000A2C54"/>
    <w:rsid w:val="000A3C14"/>
    <w:rsid w:val="000B01A9"/>
    <w:rsid w:val="000B0289"/>
    <w:rsid w:val="000B4353"/>
    <w:rsid w:val="000B77C1"/>
    <w:rsid w:val="000B7DA3"/>
    <w:rsid w:val="000C2A13"/>
    <w:rsid w:val="000C4593"/>
    <w:rsid w:val="000C4BF0"/>
    <w:rsid w:val="000C52A1"/>
    <w:rsid w:val="000D1508"/>
    <w:rsid w:val="000D1A0D"/>
    <w:rsid w:val="000D217E"/>
    <w:rsid w:val="000D2374"/>
    <w:rsid w:val="000D560A"/>
    <w:rsid w:val="000D616F"/>
    <w:rsid w:val="000D6282"/>
    <w:rsid w:val="000D6C62"/>
    <w:rsid w:val="000D78D3"/>
    <w:rsid w:val="000E0A9F"/>
    <w:rsid w:val="000E0D9E"/>
    <w:rsid w:val="000E23EE"/>
    <w:rsid w:val="000E542B"/>
    <w:rsid w:val="000E7548"/>
    <w:rsid w:val="000E7610"/>
    <w:rsid w:val="000E7B82"/>
    <w:rsid w:val="000F464F"/>
    <w:rsid w:val="000F506C"/>
    <w:rsid w:val="000F7261"/>
    <w:rsid w:val="001011D6"/>
    <w:rsid w:val="00102F93"/>
    <w:rsid w:val="00104005"/>
    <w:rsid w:val="001056B8"/>
    <w:rsid w:val="001064EF"/>
    <w:rsid w:val="00106630"/>
    <w:rsid w:val="001067EB"/>
    <w:rsid w:val="00110C3E"/>
    <w:rsid w:val="00111118"/>
    <w:rsid w:val="00113D78"/>
    <w:rsid w:val="001167CD"/>
    <w:rsid w:val="00120511"/>
    <w:rsid w:val="00122DB1"/>
    <w:rsid w:val="00123CA3"/>
    <w:rsid w:val="00126678"/>
    <w:rsid w:val="00126AD3"/>
    <w:rsid w:val="00127E1B"/>
    <w:rsid w:val="00130040"/>
    <w:rsid w:val="00130E4E"/>
    <w:rsid w:val="00134131"/>
    <w:rsid w:val="001344DD"/>
    <w:rsid w:val="00134C81"/>
    <w:rsid w:val="001351CD"/>
    <w:rsid w:val="0013678B"/>
    <w:rsid w:val="00137979"/>
    <w:rsid w:val="001401DA"/>
    <w:rsid w:val="00140EA8"/>
    <w:rsid w:val="00141B0B"/>
    <w:rsid w:val="001442A3"/>
    <w:rsid w:val="00144690"/>
    <w:rsid w:val="00144DAA"/>
    <w:rsid w:val="00147687"/>
    <w:rsid w:val="00152CBF"/>
    <w:rsid w:val="00154CB8"/>
    <w:rsid w:val="00155501"/>
    <w:rsid w:val="00156648"/>
    <w:rsid w:val="00162591"/>
    <w:rsid w:val="00170D88"/>
    <w:rsid w:val="00174094"/>
    <w:rsid w:val="00174E03"/>
    <w:rsid w:val="001754BD"/>
    <w:rsid w:val="001769BC"/>
    <w:rsid w:val="00176D32"/>
    <w:rsid w:val="001804F3"/>
    <w:rsid w:val="0018178F"/>
    <w:rsid w:val="00181ADA"/>
    <w:rsid w:val="00183F76"/>
    <w:rsid w:val="001847E3"/>
    <w:rsid w:val="00187951"/>
    <w:rsid w:val="0019006D"/>
    <w:rsid w:val="00191036"/>
    <w:rsid w:val="0019419E"/>
    <w:rsid w:val="00195792"/>
    <w:rsid w:val="0019581B"/>
    <w:rsid w:val="001A1199"/>
    <w:rsid w:val="001A4404"/>
    <w:rsid w:val="001A71FA"/>
    <w:rsid w:val="001B0350"/>
    <w:rsid w:val="001B0E07"/>
    <w:rsid w:val="001B1EAC"/>
    <w:rsid w:val="001B1FE0"/>
    <w:rsid w:val="001B41F0"/>
    <w:rsid w:val="001B646F"/>
    <w:rsid w:val="001C0EAE"/>
    <w:rsid w:val="001C175F"/>
    <w:rsid w:val="001C1FC5"/>
    <w:rsid w:val="001C3222"/>
    <w:rsid w:val="001C369C"/>
    <w:rsid w:val="001C3E42"/>
    <w:rsid w:val="001D1A99"/>
    <w:rsid w:val="001D35A0"/>
    <w:rsid w:val="001D364F"/>
    <w:rsid w:val="001D3FB0"/>
    <w:rsid w:val="001D6DFF"/>
    <w:rsid w:val="001D758F"/>
    <w:rsid w:val="001E6BB6"/>
    <w:rsid w:val="001F0EFA"/>
    <w:rsid w:val="001F3323"/>
    <w:rsid w:val="001F4A88"/>
    <w:rsid w:val="001F629B"/>
    <w:rsid w:val="001F73CC"/>
    <w:rsid w:val="002012D2"/>
    <w:rsid w:val="00203577"/>
    <w:rsid w:val="002039B4"/>
    <w:rsid w:val="00204DF2"/>
    <w:rsid w:val="00206CE5"/>
    <w:rsid w:val="00211159"/>
    <w:rsid w:val="002121BB"/>
    <w:rsid w:val="002121E3"/>
    <w:rsid w:val="002126F4"/>
    <w:rsid w:val="00213330"/>
    <w:rsid w:val="00223D1F"/>
    <w:rsid w:val="00223DE6"/>
    <w:rsid w:val="00224C00"/>
    <w:rsid w:val="00227FB2"/>
    <w:rsid w:val="002330D8"/>
    <w:rsid w:val="00233338"/>
    <w:rsid w:val="002335C7"/>
    <w:rsid w:val="00233705"/>
    <w:rsid w:val="00236C05"/>
    <w:rsid w:val="00237807"/>
    <w:rsid w:val="002400B1"/>
    <w:rsid w:val="00240B25"/>
    <w:rsid w:val="00241145"/>
    <w:rsid w:val="00243902"/>
    <w:rsid w:val="00254B0D"/>
    <w:rsid w:val="00261EC1"/>
    <w:rsid w:val="00263CE2"/>
    <w:rsid w:val="00263F6C"/>
    <w:rsid w:val="0026655A"/>
    <w:rsid w:val="00273317"/>
    <w:rsid w:val="00275902"/>
    <w:rsid w:val="00275B06"/>
    <w:rsid w:val="002812CB"/>
    <w:rsid w:val="00283486"/>
    <w:rsid w:val="002846BD"/>
    <w:rsid w:val="00284DB5"/>
    <w:rsid w:val="0028574F"/>
    <w:rsid w:val="00287550"/>
    <w:rsid w:val="00290C9D"/>
    <w:rsid w:val="0029228A"/>
    <w:rsid w:val="002933B4"/>
    <w:rsid w:val="0029397A"/>
    <w:rsid w:val="0029417C"/>
    <w:rsid w:val="00295884"/>
    <w:rsid w:val="002A1557"/>
    <w:rsid w:val="002A1652"/>
    <w:rsid w:val="002A4BDA"/>
    <w:rsid w:val="002A4C9E"/>
    <w:rsid w:val="002A6914"/>
    <w:rsid w:val="002A71B2"/>
    <w:rsid w:val="002A7817"/>
    <w:rsid w:val="002B210D"/>
    <w:rsid w:val="002C3C2A"/>
    <w:rsid w:val="002C47C9"/>
    <w:rsid w:val="002C4E50"/>
    <w:rsid w:val="002C5247"/>
    <w:rsid w:val="002C6C33"/>
    <w:rsid w:val="002D08C3"/>
    <w:rsid w:val="002D2A09"/>
    <w:rsid w:val="002D33BB"/>
    <w:rsid w:val="002D3768"/>
    <w:rsid w:val="002D5E19"/>
    <w:rsid w:val="002E0F5F"/>
    <w:rsid w:val="002E35C4"/>
    <w:rsid w:val="002E55F4"/>
    <w:rsid w:val="002F0281"/>
    <w:rsid w:val="002F05B7"/>
    <w:rsid w:val="002F4CCD"/>
    <w:rsid w:val="002F4FB1"/>
    <w:rsid w:val="002F7F87"/>
    <w:rsid w:val="003007EA"/>
    <w:rsid w:val="003061C0"/>
    <w:rsid w:val="0030654F"/>
    <w:rsid w:val="003077A2"/>
    <w:rsid w:val="0031354C"/>
    <w:rsid w:val="0031468C"/>
    <w:rsid w:val="00314A96"/>
    <w:rsid w:val="00314C44"/>
    <w:rsid w:val="0031635E"/>
    <w:rsid w:val="0031721B"/>
    <w:rsid w:val="003204C9"/>
    <w:rsid w:val="0032262F"/>
    <w:rsid w:val="003241F8"/>
    <w:rsid w:val="00324EEB"/>
    <w:rsid w:val="00324FB1"/>
    <w:rsid w:val="00325F1C"/>
    <w:rsid w:val="0032632A"/>
    <w:rsid w:val="00326A2E"/>
    <w:rsid w:val="00326DD6"/>
    <w:rsid w:val="00330CC0"/>
    <w:rsid w:val="00331D38"/>
    <w:rsid w:val="00333AA9"/>
    <w:rsid w:val="00333ED6"/>
    <w:rsid w:val="003363AA"/>
    <w:rsid w:val="00336CD7"/>
    <w:rsid w:val="00336EA3"/>
    <w:rsid w:val="00337B29"/>
    <w:rsid w:val="00340EC2"/>
    <w:rsid w:val="00341A86"/>
    <w:rsid w:val="003421DB"/>
    <w:rsid w:val="00342642"/>
    <w:rsid w:val="00343E05"/>
    <w:rsid w:val="00346675"/>
    <w:rsid w:val="00346681"/>
    <w:rsid w:val="00347B91"/>
    <w:rsid w:val="003511F9"/>
    <w:rsid w:val="00353C7B"/>
    <w:rsid w:val="00354DDF"/>
    <w:rsid w:val="0035668F"/>
    <w:rsid w:val="00361361"/>
    <w:rsid w:val="003627B6"/>
    <w:rsid w:val="003649C5"/>
    <w:rsid w:val="003651F5"/>
    <w:rsid w:val="00365A96"/>
    <w:rsid w:val="00366E85"/>
    <w:rsid w:val="00367031"/>
    <w:rsid w:val="003709EB"/>
    <w:rsid w:val="00370CC4"/>
    <w:rsid w:val="00371A0E"/>
    <w:rsid w:val="00371D61"/>
    <w:rsid w:val="0037214A"/>
    <w:rsid w:val="00376FCF"/>
    <w:rsid w:val="0037742B"/>
    <w:rsid w:val="003779A1"/>
    <w:rsid w:val="003801A2"/>
    <w:rsid w:val="00382BC0"/>
    <w:rsid w:val="00382D12"/>
    <w:rsid w:val="0038626F"/>
    <w:rsid w:val="00390F5E"/>
    <w:rsid w:val="00393476"/>
    <w:rsid w:val="003946F7"/>
    <w:rsid w:val="003952D7"/>
    <w:rsid w:val="00396C6B"/>
    <w:rsid w:val="003A005D"/>
    <w:rsid w:val="003A3AAD"/>
    <w:rsid w:val="003A6865"/>
    <w:rsid w:val="003B0035"/>
    <w:rsid w:val="003B0D3B"/>
    <w:rsid w:val="003B2DEB"/>
    <w:rsid w:val="003B3DBF"/>
    <w:rsid w:val="003C01D6"/>
    <w:rsid w:val="003C4FD5"/>
    <w:rsid w:val="003C69B7"/>
    <w:rsid w:val="003D0780"/>
    <w:rsid w:val="003D4450"/>
    <w:rsid w:val="003D587D"/>
    <w:rsid w:val="003D5E47"/>
    <w:rsid w:val="003D7076"/>
    <w:rsid w:val="003E0DC8"/>
    <w:rsid w:val="003E4F6B"/>
    <w:rsid w:val="003F0D29"/>
    <w:rsid w:val="003F182E"/>
    <w:rsid w:val="003F6E2E"/>
    <w:rsid w:val="003F7DBD"/>
    <w:rsid w:val="004005EC"/>
    <w:rsid w:val="00402DAD"/>
    <w:rsid w:val="00403A5D"/>
    <w:rsid w:val="00404466"/>
    <w:rsid w:val="00405400"/>
    <w:rsid w:val="00405711"/>
    <w:rsid w:val="00405B92"/>
    <w:rsid w:val="0040649A"/>
    <w:rsid w:val="00411A38"/>
    <w:rsid w:val="00411E4C"/>
    <w:rsid w:val="004123B0"/>
    <w:rsid w:val="00412F3A"/>
    <w:rsid w:val="00413274"/>
    <w:rsid w:val="00413C89"/>
    <w:rsid w:val="00414D25"/>
    <w:rsid w:val="00417D4D"/>
    <w:rsid w:val="0042013F"/>
    <w:rsid w:val="004220CC"/>
    <w:rsid w:val="004238BC"/>
    <w:rsid w:val="004260E2"/>
    <w:rsid w:val="00426227"/>
    <w:rsid w:val="00426C26"/>
    <w:rsid w:val="00427816"/>
    <w:rsid w:val="00432193"/>
    <w:rsid w:val="004329CD"/>
    <w:rsid w:val="00435241"/>
    <w:rsid w:val="00436EA7"/>
    <w:rsid w:val="00440904"/>
    <w:rsid w:val="00444A2F"/>
    <w:rsid w:val="00445019"/>
    <w:rsid w:val="0045208C"/>
    <w:rsid w:val="004523D2"/>
    <w:rsid w:val="004530A1"/>
    <w:rsid w:val="004545C4"/>
    <w:rsid w:val="0045491C"/>
    <w:rsid w:val="00456E13"/>
    <w:rsid w:val="0045734F"/>
    <w:rsid w:val="0045752A"/>
    <w:rsid w:val="004623A6"/>
    <w:rsid w:val="004632DE"/>
    <w:rsid w:val="00463862"/>
    <w:rsid w:val="00464223"/>
    <w:rsid w:val="0046509B"/>
    <w:rsid w:val="00471B05"/>
    <w:rsid w:val="00474779"/>
    <w:rsid w:val="004751F6"/>
    <w:rsid w:val="00475ED5"/>
    <w:rsid w:val="00476EF8"/>
    <w:rsid w:val="004808B0"/>
    <w:rsid w:val="00480A80"/>
    <w:rsid w:val="0048405E"/>
    <w:rsid w:val="0048661A"/>
    <w:rsid w:val="0048707B"/>
    <w:rsid w:val="00487415"/>
    <w:rsid w:val="00490BF1"/>
    <w:rsid w:val="00493A6F"/>
    <w:rsid w:val="004942F9"/>
    <w:rsid w:val="00494D8D"/>
    <w:rsid w:val="004964D0"/>
    <w:rsid w:val="004A1A4A"/>
    <w:rsid w:val="004A2CC9"/>
    <w:rsid w:val="004A2D8B"/>
    <w:rsid w:val="004A4FC5"/>
    <w:rsid w:val="004A6047"/>
    <w:rsid w:val="004A7591"/>
    <w:rsid w:val="004B09AB"/>
    <w:rsid w:val="004B3432"/>
    <w:rsid w:val="004B5215"/>
    <w:rsid w:val="004C03DA"/>
    <w:rsid w:val="004C1C92"/>
    <w:rsid w:val="004D231C"/>
    <w:rsid w:val="004D25CC"/>
    <w:rsid w:val="004D2CAD"/>
    <w:rsid w:val="004E00B4"/>
    <w:rsid w:val="004E06E9"/>
    <w:rsid w:val="004E15B0"/>
    <w:rsid w:val="004F045F"/>
    <w:rsid w:val="004F265A"/>
    <w:rsid w:val="004F3589"/>
    <w:rsid w:val="00500D61"/>
    <w:rsid w:val="00504068"/>
    <w:rsid w:val="005043EB"/>
    <w:rsid w:val="0050676B"/>
    <w:rsid w:val="00507F5A"/>
    <w:rsid w:val="005110C2"/>
    <w:rsid w:val="00511274"/>
    <w:rsid w:val="005119F8"/>
    <w:rsid w:val="00511DC5"/>
    <w:rsid w:val="005126AE"/>
    <w:rsid w:val="00513B81"/>
    <w:rsid w:val="00515C41"/>
    <w:rsid w:val="00516A64"/>
    <w:rsid w:val="00516FDA"/>
    <w:rsid w:val="0052034E"/>
    <w:rsid w:val="005210F1"/>
    <w:rsid w:val="005222B2"/>
    <w:rsid w:val="00522318"/>
    <w:rsid w:val="0052310D"/>
    <w:rsid w:val="00525B1F"/>
    <w:rsid w:val="00525C30"/>
    <w:rsid w:val="00530972"/>
    <w:rsid w:val="00530E3B"/>
    <w:rsid w:val="00535292"/>
    <w:rsid w:val="005353AE"/>
    <w:rsid w:val="0053565A"/>
    <w:rsid w:val="00536D9C"/>
    <w:rsid w:val="005374C9"/>
    <w:rsid w:val="005374F3"/>
    <w:rsid w:val="005437AE"/>
    <w:rsid w:val="005448BB"/>
    <w:rsid w:val="00545163"/>
    <w:rsid w:val="00547840"/>
    <w:rsid w:val="00547D0A"/>
    <w:rsid w:val="00547E72"/>
    <w:rsid w:val="005502E3"/>
    <w:rsid w:val="00550698"/>
    <w:rsid w:val="00552D1A"/>
    <w:rsid w:val="00555000"/>
    <w:rsid w:val="0055513D"/>
    <w:rsid w:val="00557D3B"/>
    <w:rsid w:val="00560D5B"/>
    <w:rsid w:val="0056188E"/>
    <w:rsid w:val="0056295E"/>
    <w:rsid w:val="0056352D"/>
    <w:rsid w:val="005645D0"/>
    <w:rsid w:val="00565FF5"/>
    <w:rsid w:val="0057042E"/>
    <w:rsid w:val="005708A4"/>
    <w:rsid w:val="00570AC6"/>
    <w:rsid w:val="00571020"/>
    <w:rsid w:val="005714FF"/>
    <w:rsid w:val="0057185E"/>
    <w:rsid w:val="00572AD2"/>
    <w:rsid w:val="00574917"/>
    <w:rsid w:val="005805DE"/>
    <w:rsid w:val="00582B9E"/>
    <w:rsid w:val="00584286"/>
    <w:rsid w:val="0058581C"/>
    <w:rsid w:val="00591014"/>
    <w:rsid w:val="0059259A"/>
    <w:rsid w:val="00592807"/>
    <w:rsid w:val="00592996"/>
    <w:rsid w:val="00592C6D"/>
    <w:rsid w:val="00594FA6"/>
    <w:rsid w:val="00595F0E"/>
    <w:rsid w:val="005963C2"/>
    <w:rsid w:val="005A10DF"/>
    <w:rsid w:val="005A1388"/>
    <w:rsid w:val="005A59A0"/>
    <w:rsid w:val="005A77A2"/>
    <w:rsid w:val="005B2906"/>
    <w:rsid w:val="005B3253"/>
    <w:rsid w:val="005B4003"/>
    <w:rsid w:val="005B55C6"/>
    <w:rsid w:val="005B5BE2"/>
    <w:rsid w:val="005B6B6D"/>
    <w:rsid w:val="005B7D81"/>
    <w:rsid w:val="005C34B2"/>
    <w:rsid w:val="005C4D5B"/>
    <w:rsid w:val="005C5EDE"/>
    <w:rsid w:val="005D1116"/>
    <w:rsid w:val="005D1CBE"/>
    <w:rsid w:val="005D5A0F"/>
    <w:rsid w:val="005D6D7D"/>
    <w:rsid w:val="005D71A4"/>
    <w:rsid w:val="005D74D2"/>
    <w:rsid w:val="005E0EB6"/>
    <w:rsid w:val="005E16AC"/>
    <w:rsid w:val="005E64BE"/>
    <w:rsid w:val="005F0270"/>
    <w:rsid w:val="005F2FE8"/>
    <w:rsid w:val="005F7A23"/>
    <w:rsid w:val="00600F45"/>
    <w:rsid w:val="006014F4"/>
    <w:rsid w:val="00602FB0"/>
    <w:rsid w:val="0060392D"/>
    <w:rsid w:val="00604420"/>
    <w:rsid w:val="00604AFD"/>
    <w:rsid w:val="006064EA"/>
    <w:rsid w:val="0061058E"/>
    <w:rsid w:val="00610C32"/>
    <w:rsid w:val="00612B01"/>
    <w:rsid w:val="0061333A"/>
    <w:rsid w:val="006140CE"/>
    <w:rsid w:val="0061580F"/>
    <w:rsid w:val="00620E09"/>
    <w:rsid w:val="00620E8B"/>
    <w:rsid w:val="006235F2"/>
    <w:rsid w:val="006265B4"/>
    <w:rsid w:val="006267D7"/>
    <w:rsid w:val="00627509"/>
    <w:rsid w:val="006303E4"/>
    <w:rsid w:val="0063056A"/>
    <w:rsid w:val="00635710"/>
    <w:rsid w:val="00636B59"/>
    <w:rsid w:val="00636E66"/>
    <w:rsid w:val="00641C2F"/>
    <w:rsid w:val="00642899"/>
    <w:rsid w:val="00642E8F"/>
    <w:rsid w:val="00643F9E"/>
    <w:rsid w:val="00645034"/>
    <w:rsid w:val="006450C2"/>
    <w:rsid w:val="00645BE1"/>
    <w:rsid w:val="00646CCC"/>
    <w:rsid w:val="00647357"/>
    <w:rsid w:val="00647EAE"/>
    <w:rsid w:val="006569D6"/>
    <w:rsid w:val="006574EA"/>
    <w:rsid w:val="0065789F"/>
    <w:rsid w:val="00662298"/>
    <w:rsid w:val="00663D22"/>
    <w:rsid w:val="00666831"/>
    <w:rsid w:val="00671556"/>
    <w:rsid w:val="006717A0"/>
    <w:rsid w:val="006728D9"/>
    <w:rsid w:val="00672D28"/>
    <w:rsid w:val="0067718D"/>
    <w:rsid w:val="0068401E"/>
    <w:rsid w:val="00690333"/>
    <w:rsid w:val="00693A5D"/>
    <w:rsid w:val="00694767"/>
    <w:rsid w:val="00694865"/>
    <w:rsid w:val="00695618"/>
    <w:rsid w:val="00695C90"/>
    <w:rsid w:val="00696E7E"/>
    <w:rsid w:val="00697185"/>
    <w:rsid w:val="006A5691"/>
    <w:rsid w:val="006A7813"/>
    <w:rsid w:val="006A7854"/>
    <w:rsid w:val="006B6605"/>
    <w:rsid w:val="006B7175"/>
    <w:rsid w:val="006C013B"/>
    <w:rsid w:val="006C158B"/>
    <w:rsid w:val="006C1EE9"/>
    <w:rsid w:val="006C4932"/>
    <w:rsid w:val="006C501F"/>
    <w:rsid w:val="006C6E86"/>
    <w:rsid w:val="006C74B0"/>
    <w:rsid w:val="006D71FF"/>
    <w:rsid w:val="006E003A"/>
    <w:rsid w:val="006E1D2F"/>
    <w:rsid w:val="006E38A7"/>
    <w:rsid w:val="006E45D6"/>
    <w:rsid w:val="006E47D9"/>
    <w:rsid w:val="006E51A8"/>
    <w:rsid w:val="006E7528"/>
    <w:rsid w:val="006F0421"/>
    <w:rsid w:val="006F60D9"/>
    <w:rsid w:val="006F6594"/>
    <w:rsid w:val="006F68ED"/>
    <w:rsid w:val="006F71E0"/>
    <w:rsid w:val="00702671"/>
    <w:rsid w:val="00702BAE"/>
    <w:rsid w:val="0070377A"/>
    <w:rsid w:val="00705CEE"/>
    <w:rsid w:val="007062A3"/>
    <w:rsid w:val="00707283"/>
    <w:rsid w:val="00707523"/>
    <w:rsid w:val="00712CB5"/>
    <w:rsid w:val="007132A5"/>
    <w:rsid w:val="007144AB"/>
    <w:rsid w:val="00714840"/>
    <w:rsid w:val="007148C2"/>
    <w:rsid w:val="00717462"/>
    <w:rsid w:val="00717625"/>
    <w:rsid w:val="00722FD3"/>
    <w:rsid w:val="00726BD8"/>
    <w:rsid w:val="00727F41"/>
    <w:rsid w:val="007304CB"/>
    <w:rsid w:val="00732AF1"/>
    <w:rsid w:val="007353DD"/>
    <w:rsid w:val="00736B03"/>
    <w:rsid w:val="007378C6"/>
    <w:rsid w:val="007402C3"/>
    <w:rsid w:val="0074266E"/>
    <w:rsid w:val="00743898"/>
    <w:rsid w:val="00743D48"/>
    <w:rsid w:val="007460CC"/>
    <w:rsid w:val="00746CD0"/>
    <w:rsid w:val="00750ED5"/>
    <w:rsid w:val="00753859"/>
    <w:rsid w:val="00756C1C"/>
    <w:rsid w:val="00757486"/>
    <w:rsid w:val="0076327A"/>
    <w:rsid w:val="007632AE"/>
    <w:rsid w:val="00765DF6"/>
    <w:rsid w:val="007660F8"/>
    <w:rsid w:val="00767EE1"/>
    <w:rsid w:val="007713AB"/>
    <w:rsid w:val="007713B5"/>
    <w:rsid w:val="00772382"/>
    <w:rsid w:val="00773E72"/>
    <w:rsid w:val="007748F7"/>
    <w:rsid w:val="00780BC0"/>
    <w:rsid w:val="00781378"/>
    <w:rsid w:val="00781C89"/>
    <w:rsid w:val="00783F23"/>
    <w:rsid w:val="00785C49"/>
    <w:rsid w:val="00786A1D"/>
    <w:rsid w:val="00792A8D"/>
    <w:rsid w:val="00792B0B"/>
    <w:rsid w:val="00793509"/>
    <w:rsid w:val="00794C0D"/>
    <w:rsid w:val="007952BE"/>
    <w:rsid w:val="00795526"/>
    <w:rsid w:val="00795FE9"/>
    <w:rsid w:val="0079613C"/>
    <w:rsid w:val="0079695B"/>
    <w:rsid w:val="007A10E7"/>
    <w:rsid w:val="007A209B"/>
    <w:rsid w:val="007A6136"/>
    <w:rsid w:val="007A63FE"/>
    <w:rsid w:val="007A6E0F"/>
    <w:rsid w:val="007A7FC5"/>
    <w:rsid w:val="007B09C4"/>
    <w:rsid w:val="007B6661"/>
    <w:rsid w:val="007C007F"/>
    <w:rsid w:val="007C11CA"/>
    <w:rsid w:val="007C5B35"/>
    <w:rsid w:val="007C76E5"/>
    <w:rsid w:val="007C7837"/>
    <w:rsid w:val="007D1B11"/>
    <w:rsid w:val="007D2FC2"/>
    <w:rsid w:val="007D347D"/>
    <w:rsid w:val="007D6D4C"/>
    <w:rsid w:val="007E2E37"/>
    <w:rsid w:val="007E4CE8"/>
    <w:rsid w:val="007E7122"/>
    <w:rsid w:val="007F24BD"/>
    <w:rsid w:val="007F3593"/>
    <w:rsid w:val="007F4E89"/>
    <w:rsid w:val="007F5012"/>
    <w:rsid w:val="007F5A31"/>
    <w:rsid w:val="007F64FF"/>
    <w:rsid w:val="007F7477"/>
    <w:rsid w:val="0080010E"/>
    <w:rsid w:val="0080096E"/>
    <w:rsid w:val="008041F6"/>
    <w:rsid w:val="0081647B"/>
    <w:rsid w:val="00817957"/>
    <w:rsid w:val="008231FD"/>
    <w:rsid w:val="00826986"/>
    <w:rsid w:val="00832807"/>
    <w:rsid w:val="00835AF5"/>
    <w:rsid w:val="008375CE"/>
    <w:rsid w:val="00841110"/>
    <w:rsid w:val="00843102"/>
    <w:rsid w:val="00846860"/>
    <w:rsid w:val="00846E6D"/>
    <w:rsid w:val="00850B23"/>
    <w:rsid w:val="0085209E"/>
    <w:rsid w:val="00853157"/>
    <w:rsid w:val="00854889"/>
    <w:rsid w:val="00854DF7"/>
    <w:rsid w:val="008560BD"/>
    <w:rsid w:val="008575B7"/>
    <w:rsid w:val="008630AD"/>
    <w:rsid w:val="00863D65"/>
    <w:rsid w:val="00866A3B"/>
    <w:rsid w:val="008674AB"/>
    <w:rsid w:val="00867529"/>
    <w:rsid w:val="008679FB"/>
    <w:rsid w:val="00874F53"/>
    <w:rsid w:val="0087659B"/>
    <w:rsid w:val="00876E32"/>
    <w:rsid w:val="00881069"/>
    <w:rsid w:val="0088356A"/>
    <w:rsid w:val="00884CFB"/>
    <w:rsid w:val="008876A8"/>
    <w:rsid w:val="008917FC"/>
    <w:rsid w:val="00892614"/>
    <w:rsid w:val="0089426D"/>
    <w:rsid w:val="00897173"/>
    <w:rsid w:val="00897769"/>
    <w:rsid w:val="008A54B8"/>
    <w:rsid w:val="008A586E"/>
    <w:rsid w:val="008A5BD0"/>
    <w:rsid w:val="008A7746"/>
    <w:rsid w:val="008A79CE"/>
    <w:rsid w:val="008B0083"/>
    <w:rsid w:val="008B00DA"/>
    <w:rsid w:val="008B366F"/>
    <w:rsid w:val="008B3EFC"/>
    <w:rsid w:val="008B6F21"/>
    <w:rsid w:val="008B737D"/>
    <w:rsid w:val="008C1D25"/>
    <w:rsid w:val="008C274E"/>
    <w:rsid w:val="008C28EA"/>
    <w:rsid w:val="008C2F99"/>
    <w:rsid w:val="008C3067"/>
    <w:rsid w:val="008C359A"/>
    <w:rsid w:val="008C43FF"/>
    <w:rsid w:val="008C5B8F"/>
    <w:rsid w:val="008C655F"/>
    <w:rsid w:val="008C708E"/>
    <w:rsid w:val="008C72EC"/>
    <w:rsid w:val="008C7D7F"/>
    <w:rsid w:val="008D0941"/>
    <w:rsid w:val="008D45B7"/>
    <w:rsid w:val="008D509B"/>
    <w:rsid w:val="008D5B59"/>
    <w:rsid w:val="008D7CA5"/>
    <w:rsid w:val="008E0214"/>
    <w:rsid w:val="008E3A1A"/>
    <w:rsid w:val="008E58D9"/>
    <w:rsid w:val="008E6D93"/>
    <w:rsid w:val="008F0FB2"/>
    <w:rsid w:val="008F381E"/>
    <w:rsid w:val="008F3DD2"/>
    <w:rsid w:val="008F4B72"/>
    <w:rsid w:val="008F5291"/>
    <w:rsid w:val="008F6712"/>
    <w:rsid w:val="008F6CC3"/>
    <w:rsid w:val="008F6D68"/>
    <w:rsid w:val="009008EA"/>
    <w:rsid w:val="00902340"/>
    <w:rsid w:val="00903847"/>
    <w:rsid w:val="00903E44"/>
    <w:rsid w:val="0090456E"/>
    <w:rsid w:val="0090651A"/>
    <w:rsid w:val="0090689A"/>
    <w:rsid w:val="009069E0"/>
    <w:rsid w:val="00907F1C"/>
    <w:rsid w:val="009116C4"/>
    <w:rsid w:val="00911E3B"/>
    <w:rsid w:val="009133CC"/>
    <w:rsid w:val="009178E4"/>
    <w:rsid w:val="00920395"/>
    <w:rsid w:val="009217C1"/>
    <w:rsid w:val="009221B8"/>
    <w:rsid w:val="0092327C"/>
    <w:rsid w:val="0092358A"/>
    <w:rsid w:val="00923B09"/>
    <w:rsid w:val="009240FF"/>
    <w:rsid w:val="00924A26"/>
    <w:rsid w:val="00926940"/>
    <w:rsid w:val="00931F23"/>
    <w:rsid w:val="0093613E"/>
    <w:rsid w:val="009361FF"/>
    <w:rsid w:val="009407AE"/>
    <w:rsid w:val="009427AE"/>
    <w:rsid w:val="00945EF4"/>
    <w:rsid w:val="00947150"/>
    <w:rsid w:val="00950141"/>
    <w:rsid w:val="0095036E"/>
    <w:rsid w:val="00952385"/>
    <w:rsid w:val="0095311F"/>
    <w:rsid w:val="00955FE0"/>
    <w:rsid w:val="009600E1"/>
    <w:rsid w:val="00960D8E"/>
    <w:rsid w:val="00961F84"/>
    <w:rsid w:val="0096400B"/>
    <w:rsid w:val="00966CBA"/>
    <w:rsid w:val="00966F73"/>
    <w:rsid w:val="00967807"/>
    <w:rsid w:val="00967C89"/>
    <w:rsid w:val="0097349B"/>
    <w:rsid w:val="0097694E"/>
    <w:rsid w:val="0097722B"/>
    <w:rsid w:val="009776C1"/>
    <w:rsid w:val="00977A2D"/>
    <w:rsid w:val="009846DB"/>
    <w:rsid w:val="009849A1"/>
    <w:rsid w:val="00987A24"/>
    <w:rsid w:val="00987BE1"/>
    <w:rsid w:val="00994291"/>
    <w:rsid w:val="00996D38"/>
    <w:rsid w:val="00996E36"/>
    <w:rsid w:val="009A0069"/>
    <w:rsid w:val="009A45EC"/>
    <w:rsid w:val="009A4C97"/>
    <w:rsid w:val="009B0EAD"/>
    <w:rsid w:val="009B3C29"/>
    <w:rsid w:val="009B6E85"/>
    <w:rsid w:val="009B777C"/>
    <w:rsid w:val="009C0072"/>
    <w:rsid w:val="009C3CE1"/>
    <w:rsid w:val="009C4F03"/>
    <w:rsid w:val="009C7354"/>
    <w:rsid w:val="009D21B8"/>
    <w:rsid w:val="009D2843"/>
    <w:rsid w:val="009D32AB"/>
    <w:rsid w:val="009D514E"/>
    <w:rsid w:val="009D7B49"/>
    <w:rsid w:val="009E0D9B"/>
    <w:rsid w:val="009E0FA8"/>
    <w:rsid w:val="009E62AF"/>
    <w:rsid w:val="009F0604"/>
    <w:rsid w:val="009F0860"/>
    <w:rsid w:val="009F4D1C"/>
    <w:rsid w:val="009F5BEF"/>
    <w:rsid w:val="00A013E8"/>
    <w:rsid w:val="00A01B58"/>
    <w:rsid w:val="00A042A2"/>
    <w:rsid w:val="00A05D5F"/>
    <w:rsid w:val="00A0607B"/>
    <w:rsid w:val="00A0751E"/>
    <w:rsid w:val="00A103B8"/>
    <w:rsid w:val="00A109EA"/>
    <w:rsid w:val="00A13D80"/>
    <w:rsid w:val="00A1490D"/>
    <w:rsid w:val="00A14BC2"/>
    <w:rsid w:val="00A1552D"/>
    <w:rsid w:val="00A21100"/>
    <w:rsid w:val="00A22A03"/>
    <w:rsid w:val="00A235BA"/>
    <w:rsid w:val="00A23631"/>
    <w:rsid w:val="00A23AC6"/>
    <w:rsid w:val="00A24A2A"/>
    <w:rsid w:val="00A2544A"/>
    <w:rsid w:val="00A2598B"/>
    <w:rsid w:val="00A36159"/>
    <w:rsid w:val="00A36527"/>
    <w:rsid w:val="00A370B9"/>
    <w:rsid w:val="00A40047"/>
    <w:rsid w:val="00A40A89"/>
    <w:rsid w:val="00A40C6A"/>
    <w:rsid w:val="00A40DF2"/>
    <w:rsid w:val="00A41B04"/>
    <w:rsid w:val="00A41DC2"/>
    <w:rsid w:val="00A4209C"/>
    <w:rsid w:val="00A42CB6"/>
    <w:rsid w:val="00A43657"/>
    <w:rsid w:val="00A448DF"/>
    <w:rsid w:val="00A44C29"/>
    <w:rsid w:val="00A458CC"/>
    <w:rsid w:val="00A473A8"/>
    <w:rsid w:val="00A51D76"/>
    <w:rsid w:val="00A51EC5"/>
    <w:rsid w:val="00A5488D"/>
    <w:rsid w:val="00A569AF"/>
    <w:rsid w:val="00A61143"/>
    <w:rsid w:val="00A61C93"/>
    <w:rsid w:val="00A62574"/>
    <w:rsid w:val="00A63B5F"/>
    <w:rsid w:val="00A646FA"/>
    <w:rsid w:val="00A64CE1"/>
    <w:rsid w:val="00A65F6E"/>
    <w:rsid w:val="00A67F93"/>
    <w:rsid w:val="00A71665"/>
    <w:rsid w:val="00A74A21"/>
    <w:rsid w:val="00A74E98"/>
    <w:rsid w:val="00A7724B"/>
    <w:rsid w:val="00A77F8A"/>
    <w:rsid w:val="00A80FDE"/>
    <w:rsid w:val="00A81CC0"/>
    <w:rsid w:val="00A83968"/>
    <w:rsid w:val="00A85A5B"/>
    <w:rsid w:val="00A90F04"/>
    <w:rsid w:val="00A91635"/>
    <w:rsid w:val="00A91A9A"/>
    <w:rsid w:val="00A92011"/>
    <w:rsid w:val="00A94909"/>
    <w:rsid w:val="00A966AD"/>
    <w:rsid w:val="00A97366"/>
    <w:rsid w:val="00A979F5"/>
    <w:rsid w:val="00AA094A"/>
    <w:rsid w:val="00AA0A0F"/>
    <w:rsid w:val="00AA164E"/>
    <w:rsid w:val="00AA1C43"/>
    <w:rsid w:val="00AA2C27"/>
    <w:rsid w:val="00AA578A"/>
    <w:rsid w:val="00AA779B"/>
    <w:rsid w:val="00AA77E8"/>
    <w:rsid w:val="00AB0FA7"/>
    <w:rsid w:val="00AB4756"/>
    <w:rsid w:val="00AB6453"/>
    <w:rsid w:val="00AC0785"/>
    <w:rsid w:val="00AC0DCF"/>
    <w:rsid w:val="00AC1052"/>
    <w:rsid w:val="00AC4405"/>
    <w:rsid w:val="00AC5AE6"/>
    <w:rsid w:val="00AC6195"/>
    <w:rsid w:val="00AC6883"/>
    <w:rsid w:val="00AD2214"/>
    <w:rsid w:val="00AD2E03"/>
    <w:rsid w:val="00AD4913"/>
    <w:rsid w:val="00AD570C"/>
    <w:rsid w:val="00AD589A"/>
    <w:rsid w:val="00AE0274"/>
    <w:rsid w:val="00AE1536"/>
    <w:rsid w:val="00AE1585"/>
    <w:rsid w:val="00AE2F35"/>
    <w:rsid w:val="00AE5241"/>
    <w:rsid w:val="00AE6E5D"/>
    <w:rsid w:val="00AF1B6C"/>
    <w:rsid w:val="00AF378F"/>
    <w:rsid w:val="00AF4849"/>
    <w:rsid w:val="00AF5607"/>
    <w:rsid w:val="00AF65A7"/>
    <w:rsid w:val="00B0101F"/>
    <w:rsid w:val="00B020A6"/>
    <w:rsid w:val="00B03BDF"/>
    <w:rsid w:val="00B04B26"/>
    <w:rsid w:val="00B05574"/>
    <w:rsid w:val="00B05ADF"/>
    <w:rsid w:val="00B11C49"/>
    <w:rsid w:val="00B14CC9"/>
    <w:rsid w:val="00B15ED5"/>
    <w:rsid w:val="00B1734F"/>
    <w:rsid w:val="00B200A6"/>
    <w:rsid w:val="00B21FB2"/>
    <w:rsid w:val="00B2341B"/>
    <w:rsid w:val="00B24DD5"/>
    <w:rsid w:val="00B251AD"/>
    <w:rsid w:val="00B30DF8"/>
    <w:rsid w:val="00B34C8B"/>
    <w:rsid w:val="00B3617F"/>
    <w:rsid w:val="00B36F0F"/>
    <w:rsid w:val="00B43AFC"/>
    <w:rsid w:val="00B450EB"/>
    <w:rsid w:val="00B538B7"/>
    <w:rsid w:val="00B5579D"/>
    <w:rsid w:val="00B6056F"/>
    <w:rsid w:val="00B607A7"/>
    <w:rsid w:val="00B61D54"/>
    <w:rsid w:val="00B61DAE"/>
    <w:rsid w:val="00B63661"/>
    <w:rsid w:val="00B63A87"/>
    <w:rsid w:val="00B6470B"/>
    <w:rsid w:val="00B664A8"/>
    <w:rsid w:val="00B6786E"/>
    <w:rsid w:val="00B70F11"/>
    <w:rsid w:val="00B713BB"/>
    <w:rsid w:val="00B72674"/>
    <w:rsid w:val="00B74CC6"/>
    <w:rsid w:val="00B7508F"/>
    <w:rsid w:val="00B80CE7"/>
    <w:rsid w:val="00B83875"/>
    <w:rsid w:val="00B86E0C"/>
    <w:rsid w:val="00B906D9"/>
    <w:rsid w:val="00B9103B"/>
    <w:rsid w:val="00B91B7F"/>
    <w:rsid w:val="00B92360"/>
    <w:rsid w:val="00B93B0C"/>
    <w:rsid w:val="00B93B7F"/>
    <w:rsid w:val="00B9620B"/>
    <w:rsid w:val="00B97F97"/>
    <w:rsid w:val="00BA022F"/>
    <w:rsid w:val="00BA28F2"/>
    <w:rsid w:val="00BA536E"/>
    <w:rsid w:val="00BA605E"/>
    <w:rsid w:val="00BA6517"/>
    <w:rsid w:val="00BA7A58"/>
    <w:rsid w:val="00BB12DD"/>
    <w:rsid w:val="00BB33C9"/>
    <w:rsid w:val="00BB36F2"/>
    <w:rsid w:val="00BC36BA"/>
    <w:rsid w:val="00BC52A2"/>
    <w:rsid w:val="00BC79E5"/>
    <w:rsid w:val="00BD14A6"/>
    <w:rsid w:val="00BD6A5D"/>
    <w:rsid w:val="00BD6F56"/>
    <w:rsid w:val="00BE39C2"/>
    <w:rsid w:val="00BE5167"/>
    <w:rsid w:val="00BE5938"/>
    <w:rsid w:val="00BF02E0"/>
    <w:rsid w:val="00BF0D5D"/>
    <w:rsid w:val="00BF1AA4"/>
    <w:rsid w:val="00BF25DE"/>
    <w:rsid w:val="00BF5942"/>
    <w:rsid w:val="00BF7719"/>
    <w:rsid w:val="00BF79D1"/>
    <w:rsid w:val="00C01988"/>
    <w:rsid w:val="00C0321A"/>
    <w:rsid w:val="00C05933"/>
    <w:rsid w:val="00C05AE7"/>
    <w:rsid w:val="00C0676C"/>
    <w:rsid w:val="00C07405"/>
    <w:rsid w:val="00C10587"/>
    <w:rsid w:val="00C1135F"/>
    <w:rsid w:val="00C12F5C"/>
    <w:rsid w:val="00C13364"/>
    <w:rsid w:val="00C14920"/>
    <w:rsid w:val="00C176C3"/>
    <w:rsid w:val="00C2104D"/>
    <w:rsid w:val="00C22A74"/>
    <w:rsid w:val="00C22E5D"/>
    <w:rsid w:val="00C23793"/>
    <w:rsid w:val="00C23A03"/>
    <w:rsid w:val="00C249E0"/>
    <w:rsid w:val="00C26E14"/>
    <w:rsid w:val="00C275D2"/>
    <w:rsid w:val="00C276A7"/>
    <w:rsid w:val="00C277CB"/>
    <w:rsid w:val="00C27D1F"/>
    <w:rsid w:val="00C330D6"/>
    <w:rsid w:val="00C33AD2"/>
    <w:rsid w:val="00C34BD8"/>
    <w:rsid w:val="00C34E52"/>
    <w:rsid w:val="00C364DD"/>
    <w:rsid w:val="00C37985"/>
    <w:rsid w:val="00C40B30"/>
    <w:rsid w:val="00C42827"/>
    <w:rsid w:val="00C42D68"/>
    <w:rsid w:val="00C439D2"/>
    <w:rsid w:val="00C52628"/>
    <w:rsid w:val="00C5316B"/>
    <w:rsid w:val="00C54729"/>
    <w:rsid w:val="00C54F9B"/>
    <w:rsid w:val="00C552B7"/>
    <w:rsid w:val="00C55DD9"/>
    <w:rsid w:val="00C560E6"/>
    <w:rsid w:val="00C60078"/>
    <w:rsid w:val="00C6342F"/>
    <w:rsid w:val="00C639C8"/>
    <w:rsid w:val="00C63A08"/>
    <w:rsid w:val="00C63E2C"/>
    <w:rsid w:val="00C643D6"/>
    <w:rsid w:val="00C6744A"/>
    <w:rsid w:val="00C72263"/>
    <w:rsid w:val="00C723B9"/>
    <w:rsid w:val="00C73C86"/>
    <w:rsid w:val="00C74FD8"/>
    <w:rsid w:val="00C811AE"/>
    <w:rsid w:val="00C819D0"/>
    <w:rsid w:val="00C82366"/>
    <w:rsid w:val="00C82429"/>
    <w:rsid w:val="00C8260E"/>
    <w:rsid w:val="00C83776"/>
    <w:rsid w:val="00C8380E"/>
    <w:rsid w:val="00C8562D"/>
    <w:rsid w:val="00C902DE"/>
    <w:rsid w:val="00C90649"/>
    <w:rsid w:val="00C93351"/>
    <w:rsid w:val="00C960AA"/>
    <w:rsid w:val="00CA0A7F"/>
    <w:rsid w:val="00CA32D9"/>
    <w:rsid w:val="00CA34C2"/>
    <w:rsid w:val="00CA6162"/>
    <w:rsid w:val="00CA6B17"/>
    <w:rsid w:val="00CA6E9F"/>
    <w:rsid w:val="00CA78DA"/>
    <w:rsid w:val="00CB008B"/>
    <w:rsid w:val="00CB0E16"/>
    <w:rsid w:val="00CB3BFD"/>
    <w:rsid w:val="00CB42A6"/>
    <w:rsid w:val="00CB55CA"/>
    <w:rsid w:val="00CB592A"/>
    <w:rsid w:val="00CC18D1"/>
    <w:rsid w:val="00CC6640"/>
    <w:rsid w:val="00CC6882"/>
    <w:rsid w:val="00CC6E56"/>
    <w:rsid w:val="00CD0C9D"/>
    <w:rsid w:val="00CD19DD"/>
    <w:rsid w:val="00CD21AB"/>
    <w:rsid w:val="00CD2420"/>
    <w:rsid w:val="00CD3835"/>
    <w:rsid w:val="00CD3CE8"/>
    <w:rsid w:val="00CD49A6"/>
    <w:rsid w:val="00CD5F7B"/>
    <w:rsid w:val="00CD6E54"/>
    <w:rsid w:val="00CE3E82"/>
    <w:rsid w:val="00CE605C"/>
    <w:rsid w:val="00CF088E"/>
    <w:rsid w:val="00CF0F99"/>
    <w:rsid w:val="00CF159A"/>
    <w:rsid w:val="00CF2230"/>
    <w:rsid w:val="00CF24EE"/>
    <w:rsid w:val="00CF6296"/>
    <w:rsid w:val="00CF62F6"/>
    <w:rsid w:val="00D00219"/>
    <w:rsid w:val="00D05B60"/>
    <w:rsid w:val="00D07929"/>
    <w:rsid w:val="00D111C9"/>
    <w:rsid w:val="00D129ED"/>
    <w:rsid w:val="00D12EF4"/>
    <w:rsid w:val="00D13EB3"/>
    <w:rsid w:val="00D141E2"/>
    <w:rsid w:val="00D16AC7"/>
    <w:rsid w:val="00D17353"/>
    <w:rsid w:val="00D17B6C"/>
    <w:rsid w:val="00D241AB"/>
    <w:rsid w:val="00D30AB5"/>
    <w:rsid w:val="00D31BA9"/>
    <w:rsid w:val="00D321F0"/>
    <w:rsid w:val="00D35113"/>
    <w:rsid w:val="00D35EFB"/>
    <w:rsid w:val="00D422C8"/>
    <w:rsid w:val="00D42EE9"/>
    <w:rsid w:val="00D43164"/>
    <w:rsid w:val="00D45632"/>
    <w:rsid w:val="00D45D6A"/>
    <w:rsid w:val="00D45F78"/>
    <w:rsid w:val="00D466D1"/>
    <w:rsid w:val="00D52C8E"/>
    <w:rsid w:val="00D54967"/>
    <w:rsid w:val="00D5747A"/>
    <w:rsid w:val="00D574F1"/>
    <w:rsid w:val="00D6663D"/>
    <w:rsid w:val="00D67AEA"/>
    <w:rsid w:val="00D70867"/>
    <w:rsid w:val="00D7656A"/>
    <w:rsid w:val="00D77547"/>
    <w:rsid w:val="00D81B5C"/>
    <w:rsid w:val="00D83E15"/>
    <w:rsid w:val="00D8407D"/>
    <w:rsid w:val="00D85BD3"/>
    <w:rsid w:val="00D90422"/>
    <w:rsid w:val="00D91F03"/>
    <w:rsid w:val="00D96D28"/>
    <w:rsid w:val="00DA0AEA"/>
    <w:rsid w:val="00DA0D2B"/>
    <w:rsid w:val="00DA3455"/>
    <w:rsid w:val="00DA4A3C"/>
    <w:rsid w:val="00DB0D14"/>
    <w:rsid w:val="00DB3C78"/>
    <w:rsid w:val="00DB449B"/>
    <w:rsid w:val="00DB471B"/>
    <w:rsid w:val="00DB547F"/>
    <w:rsid w:val="00DB78E5"/>
    <w:rsid w:val="00DB7A37"/>
    <w:rsid w:val="00DC26AE"/>
    <w:rsid w:val="00DC29CA"/>
    <w:rsid w:val="00DC2F7A"/>
    <w:rsid w:val="00DC507D"/>
    <w:rsid w:val="00DC5B64"/>
    <w:rsid w:val="00DD0500"/>
    <w:rsid w:val="00DD0B90"/>
    <w:rsid w:val="00DD1567"/>
    <w:rsid w:val="00DD1DB5"/>
    <w:rsid w:val="00DD29B5"/>
    <w:rsid w:val="00DD3E00"/>
    <w:rsid w:val="00DD6D2A"/>
    <w:rsid w:val="00DE11A4"/>
    <w:rsid w:val="00DE1594"/>
    <w:rsid w:val="00DE25E5"/>
    <w:rsid w:val="00DE5F08"/>
    <w:rsid w:val="00DE66AC"/>
    <w:rsid w:val="00DE6959"/>
    <w:rsid w:val="00DF0444"/>
    <w:rsid w:val="00DF082E"/>
    <w:rsid w:val="00DF4AAC"/>
    <w:rsid w:val="00DF649E"/>
    <w:rsid w:val="00DF70D9"/>
    <w:rsid w:val="00E01F3D"/>
    <w:rsid w:val="00E04DB0"/>
    <w:rsid w:val="00E10AC3"/>
    <w:rsid w:val="00E1199C"/>
    <w:rsid w:val="00E25266"/>
    <w:rsid w:val="00E25C91"/>
    <w:rsid w:val="00E308AE"/>
    <w:rsid w:val="00E31146"/>
    <w:rsid w:val="00E31AFE"/>
    <w:rsid w:val="00E34EB2"/>
    <w:rsid w:val="00E40D8D"/>
    <w:rsid w:val="00E40FC3"/>
    <w:rsid w:val="00E45D81"/>
    <w:rsid w:val="00E46387"/>
    <w:rsid w:val="00E50050"/>
    <w:rsid w:val="00E51300"/>
    <w:rsid w:val="00E5189E"/>
    <w:rsid w:val="00E545C8"/>
    <w:rsid w:val="00E557BB"/>
    <w:rsid w:val="00E563E9"/>
    <w:rsid w:val="00E60677"/>
    <w:rsid w:val="00E6133D"/>
    <w:rsid w:val="00E615BA"/>
    <w:rsid w:val="00E61CBC"/>
    <w:rsid w:val="00E61FB9"/>
    <w:rsid w:val="00E6232B"/>
    <w:rsid w:val="00E62CF2"/>
    <w:rsid w:val="00E64656"/>
    <w:rsid w:val="00E657FF"/>
    <w:rsid w:val="00E660B8"/>
    <w:rsid w:val="00E70127"/>
    <w:rsid w:val="00E703D5"/>
    <w:rsid w:val="00E7202E"/>
    <w:rsid w:val="00E75CAF"/>
    <w:rsid w:val="00E7608F"/>
    <w:rsid w:val="00E77DB9"/>
    <w:rsid w:val="00E83B5E"/>
    <w:rsid w:val="00E840DA"/>
    <w:rsid w:val="00E8412C"/>
    <w:rsid w:val="00E8676D"/>
    <w:rsid w:val="00E86D78"/>
    <w:rsid w:val="00E93831"/>
    <w:rsid w:val="00E9747E"/>
    <w:rsid w:val="00EA2BD9"/>
    <w:rsid w:val="00EA3F6E"/>
    <w:rsid w:val="00EA4B51"/>
    <w:rsid w:val="00EB0DBC"/>
    <w:rsid w:val="00EB44CF"/>
    <w:rsid w:val="00EB7456"/>
    <w:rsid w:val="00EC08B0"/>
    <w:rsid w:val="00EC242B"/>
    <w:rsid w:val="00EC2BDC"/>
    <w:rsid w:val="00EC3A3A"/>
    <w:rsid w:val="00EC547E"/>
    <w:rsid w:val="00EC5B24"/>
    <w:rsid w:val="00EC693E"/>
    <w:rsid w:val="00EC7110"/>
    <w:rsid w:val="00ED0AAE"/>
    <w:rsid w:val="00ED0E7D"/>
    <w:rsid w:val="00ED6150"/>
    <w:rsid w:val="00ED7631"/>
    <w:rsid w:val="00EE3C9C"/>
    <w:rsid w:val="00EE68A6"/>
    <w:rsid w:val="00EF5604"/>
    <w:rsid w:val="00EF5EAA"/>
    <w:rsid w:val="00EF6C7A"/>
    <w:rsid w:val="00F009A0"/>
    <w:rsid w:val="00F01915"/>
    <w:rsid w:val="00F026DD"/>
    <w:rsid w:val="00F02E4F"/>
    <w:rsid w:val="00F03E0B"/>
    <w:rsid w:val="00F12266"/>
    <w:rsid w:val="00F125AD"/>
    <w:rsid w:val="00F16C05"/>
    <w:rsid w:val="00F1701C"/>
    <w:rsid w:val="00F17101"/>
    <w:rsid w:val="00F20F56"/>
    <w:rsid w:val="00F2260E"/>
    <w:rsid w:val="00F23613"/>
    <w:rsid w:val="00F23CEC"/>
    <w:rsid w:val="00F2637D"/>
    <w:rsid w:val="00F308DC"/>
    <w:rsid w:val="00F324C4"/>
    <w:rsid w:val="00F33861"/>
    <w:rsid w:val="00F347F2"/>
    <w:rsid w:val="00F35776"/>
    <w:rsid w:val="00F35B89"/>
    <w:rsid w:val="00F36476"/>
    <w:rsid w:val="00F37694"/>
    <w:rsid w:val="00F403F9"/>
    <w:rsid w:val="00F41109"/>
    <w:rsid w:val="00F43103"/>
    <w:rsid w:val="00F43E9D"/>
    <w:rsid w:val="00F44D69"/>
    <w:rsid w:val="00F46A7A"/>
    <w:rsid w:val="00F4757A"/>
    <w:rsid w:val="00F52CE6"/>
    <w:rsid w:val="00F530C6"/>
    <w:rsid w:val="00F532BC"/>
    <w:rsid w:val="00F55BA0"/>
    <w:rsid w:val="00F603EF"/>
    <w:rsid w:val="00F60F03"/>
    <w:rsid w:val="00F61145"/>
    <w:rsid w:val="00F62ACC"/>
    <w:rsid w:val="00F62ED7"/>
    <w:rsid w:val="00F63D07"/>
    <w:rsid w:val="00F7088D"/>
    <w:rsid w:val="00F73910"/>
    <w:rsid w:val="00F80094"/>
    <w:rsid w:val="00F8035A"/>
    <w:rsid w:val="00F808AB"/>
    <w:rsid w:val="00F81EBB"/>
    <w:rsid w:val="00F842D2"/>
    <w:rsid w:val="00F8461D"/>
    <w:rsid w:val="00F85CE2"/>
    <w:rsid w:val="00F8616A"/>
    <w:rsid w:val="00F86BD3"/>
    <w:rsid w:val="00F933BF"/>
    <w:rsid w:val="00F965AA"/>
    <w:rsid w:val="00F97029"/>
    <w:rsid w:val="00FA0086"/>
    <w:rsid w:val="00FA31D2"/>
    <w:rsid w:val="00FA3860"/>
    <w:rsid w:val="00FA590B"/>
    <w:rsid w:val="00FA5A61"/>
    <w:rsid w:val="00FA5AAB"/>
    <w:rsid w:val="00FA5FF4"/>
    <w:rsid w:val="00FB023D"/>
    <w:rsid w:val="00FB186B"/>
    <w:rsid w:val="00FB1F2F"/>
    <w:rsid w:val="00FB34D5"/>
    <w:rsid w:val="00FB47AB"/>
    <w:rsid w:val="00FB5725"/>
    <w:rsid w:val="00FB68EE"/>
    <w:rsid w:val="00FB69E1"/>
    <w:rsid w:val="00FC1227"/>
    <w:rsid w:val="00FC28C1"/>
    <w:rsid w:val="00FC3F93"/>
    <w:rsid w:val="00FC4A37"/>
    <w:rsid w:val="00FC54F1"/>
    <w:rsid w:val="00FC6662"/>
    <w:rsid w:val="00FC77B7"/>
    <w:rsid w:val="00FD3DC7"/>
    <w:rsid w:val="00FD4BF8"/>
    <w:rsid w:val="00FD6B12"/>
    <w:rsid w:val="00FD6EE2"/>
    <w:rsid w:val="00FD7DF0"/>
    <w:rsid w:val="00FE1518"/>
    <w:rsid w:val="00FE2463"/>
    <w:rsid w:val="00FE453F"/>
    <w:rsid w:val="00FE5A42"/>
    <w:rsid w:val="00FE797D"/>
    <w:rsid w:val="00FE7D8A"/>
    <w:rsid w:val="00FF0466"/>
    <w:rsid w:val="00FF0944"/>
    <w:rsid w:val="00FF31C0"/>
    <w:rsid w:val="00FF4EB1"/>
    <w:rsid w:val="00FF560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stroke="f">
      <v:fill color="white" on="f"/>
      <v:stroke on="f"/>
    </o:shapedefaults>
    <o:shapelayout v:ext="edit">
      <o:idmap v:ext="edit" data="1"/>
    </o:shapelayout>
  </w:shapeDefaults>
  <w:doNotEmbedSmartTags/>
  <w:decimalSymbol w:val="."/>
  <w:listSeparator w:val=","/>
  <w14:docId w14:val="19056EEF"/>
  <w15:chartTrackingRefBased/>
  <w15:docId w15:val="{6DE46D0F-DA0A-4230-ABF5-07D46ED95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style>
  <w:style w:type="paragraph" w:styleId="Heading1">
    <w:name w:val="heading 1"/>
    <w:basedOn w:val="Normal"/>
    <w:next w:val="Text"/>
    <w:qFormat/>
    <w:rsid w:val="00AE1536"/>
    <w:pPr>
      <w:keepNext/>
      <w:spacing w:before="240" w:after="240"/>
      <w:jc w:val="center"/>
      <w:outlineLvl w:val="0"/>
    </w:pPr>
    <w:rPr>
      <w:b/>
      <w:kern w:val="32"/>
      <w:sz w:val="22"/>
    </w:rPr>
  </w:style>
  <w:style w:type="paragraph" w:styleId="Heading2">
    <w:name w:val="heading 2"/>
    <w:basedOn w:val="Normal"/>
    <w:next w:val="Text"/>
    <w:qFormat/>
    <w:pPr>
      <w:numPr>
        <w:numId w:val="20"/>
      </w:numPr>
      <w:tabs>
        <w:tab w:val="left" w:pos="288"/>
      </w:tabs>
      <w:spacing w:before="240"/>
      <w:outlineLvl w:val="1"/>
    </w:pPr>
    <w:rPr>
      <w:b/>
    </w:rPr>
  </w:style>
  <w:style w:type="paragraph" w:styleId="Heading3">
    <w:name w:val="heading 3"/>
    <w:basedOn w:val="Normal"/>
    <w:next w:val="Text"/>
    <w:qFormat/>
    <w:pPr>
      <w:keepNext/>
      <w:numPr>
        <w:numId w:val="17"/>
      </w:numPr>
      <w:tabs>
        <w:tab w:val="clear" w:pos="648"/>
        <w:tab w:val="left" w:pos="288"/>
      </w:tabs>
      <w:ind w:left="0" w:firstLine="0"/>
      <w:outlineLvl w:val="2"/>
    </w:pPr>
    <w:rPr>
      <w:i/>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autoSpaceDE w:val="0"/>
      <w:autoSpaceDN w:val="0"/>
    </w:pPr>
  </w:style>
  <w:style w:type="paragraph" w:styleId="Title">
    <w:name w:val="Title"/>
    <w:basedOn w:val="Normal"/>
    <w:next w:val="AuthorNames"/>
    <w:qFormat/>
    <w:pPr>
      <w:spacing w:after="480"/>
      <w:jc w:val="center"/>
      <w:outlineLvl w:val="0"/>
    </w:pPr>
    <w:rPr>
      <w:b/>
      <w:kern w:val="28"/>
      <w:sz w:val="36"/>
    </w:rPr>
  </w:style>
  <w:style w:type="paragraph" w:customStyle="1" w:styleId="AuthorNames">
    <w:name w:val="Author Names"/>
    <w:basedOn w:val="Normal"/>
    <w:next w:val="AuthorAffiliations"/>
    <w:pPr>
      <w:jc w:val="center"/>
    </w:pPr>
  </w:style>
  <w:style w:type="paragraph" w:customStyle="1" w:styleId="Abstract">
    <w:name w:val="Abstract"/>
    <w:basedOn w:val="Normal"/>
    <w:next w:val="Heading1"/>
    <w:pPr>
      <w:spacing w:before="480" w:after="480"/>
      <w:ind w:left="720" w:right="720" w:firstLine="288"/>
    </w:pPr>
    <w:rPr>
      <w:b/>
    </w:rPr>
  </w:style>
  <w:style w:type="character" w:styleId="FootnoteReference">
    <w:name w:val="footnote reference"/>
    <w:rPr>
      <w:sz w:val="20"/>
      <w:vertAlign w:val="superscript"/>
    </w:rPr>
  </w:style>
  <w:style w:type="paragraph" w:customStyle="1" w:styleId="Nomenclature">
    <w:name w:val="Nomenclature"/>
    <w:basedOn w:val="Normal"/>
    <w:pPr>
      <w:widowControl w:val="0"/>
      <w:tabs>
        <w:tab w:val="left" w:pos="864"/>
        <w:tab w:val="left" w:pos="1152"/>
      </w:tabs>
    </w:pPr>
  </w:style>
  <w:style w:type="paragraph" w:customStyle="1" w:styleId="AuthorAffiliations">
    <w:name w:val="Author Affiliations"/>
    <w:basedOn w:val="Normal"/>
    <w:next w:val="AuthorNames"/>
    <w:pPr>
      <w:spacing w:after="240"/>
      <w:jc w:val="center"/>
    </w:pPr>
    <w:rPr>
      <w:i/>
    </w:rPr>
  </w:style>
  <w:style w:type="character" w:styleId="Hyperlink">
    <w:name w:val="Hyperlink"/>
    <w:rPr>
      <w:rFonts w:ascii="Times New Roman" w:hAnsi="Times New Roman"/>
      <w:color w:val="auto"/>
      <w:sz w:val="20"/>
      <w:u w:val="single"/>
    </w:rPr>
  </w:style>
  <w:style w:type="paragraph" w:customStyle="1" w:styleId="Text">
    <w:name w:val="Text"/>
    <w:basedOn w:val="Normal"/>
    <w:rsid w:val="0067476A"/>
    <w:pPr>
      <w:tabs>
        <w:tab w:val="left" w:pos="288"/>
      </w:tabs>
      <w:spacing w:line="480" w:lineRule="auto"/>
      <w:ind w:firstLine="288"/>
    </w:pPr>
  </w:style>
  <w:style w:type="paragraph" w:customStyle="1" w:styleId="Equation">
    <w:name w:val="Equation"/>
    <w:basedOn w:val="Normal"/>
    <w:next w:val="Text"/>
    <w:autoRedefine/>
    <w:pPr>
      <w:tabs>
        <w:tab w:val="center" w:pos="4680"/>
        <w:tab w:val="right" w:pos="9360"/>
      </w:tabs>
      <w:spacing w:before="240" w:after="240"/>
    </w:pPr>
  </w:style>
  <w:style w:type="paragraph" w:customStyle="1" w:styleId="BibliographicalReferenceNumbers">
    <w:name w:val="Bibliographical Reference Numbers"/>
    <w:basedOn w:val="Normal"/>
    <w:next w:val="Text"/>
    <w:rPr>
      <w:vertAlign w:val="superscript"/>
    </w:rPr>
  </w:style>
  <w:style w:type="paragraph" w:customStyle="1" w:styleId="Figure">
    <w:name w:val="Figure"/>
    <w:basedOn w:val="Normal"/>
    <w:next w:val="Text"/>
    <w:pPr>
      <w:framePr w:hSpace="187" w:vSpace="187" w:wrap="around" w:vAnchor="text" w:hAnchor="text" w:y="1"/>
      <w:jc w:val="center"/>
    </w:pPr>
    <w:rPr>
      <w:b/>
    </w:rPr>
  </w:style>
  <w:style w:type="paragraph" w:customStyle="1" w:styleId="References">
    <w:name w:val="References"/>
    <w:basedOn w:val="Normal"/>
    <w:pPr>
      <w:ind w:firstLine="288"/>
    </w:pPr>
    <w:rPr>
      <w:sz w:val="18"/>
    </w:rPr>
  </w:style>
  <w:style w:type="paragraph" w:styleId="FootnoteText">
    <w:name w:val="footnote text"/>
    <w:basedOn w:val="Normal"/>
  </w:style>
  <w:style w:type="paragraph" w:customStyle="1" w:styleId="Footnote">
    <w:name w:val="Footnote"/>
    <w:basedOn w:val="Normal"/>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FollowedHyperlink">
    <w:name w:val="FollowedHyperlink"/>
    <w:rPr>
      <w:color w:val="800080"/>
      <w:u w:val="single"/>
    </w:rPr>
  </w:style>
  <w:style w:type="paragraph" w:styleId="Caption">
    <w:name w:val="caption"/>
    <w:basedOn w:val="Normal"/>
    <w:next w:val="Normal"/>
    <w:uiPriority w:val="30"/>
    <w:qFormat/>
    <w:pPr>
      <w:spacing w:before="120" w:after="120"/>
    </w:pPr>
    <w:rPr>
      <w:b/>
    </w:rPr>
  </w:style>
  <w:style w:type="paragraph" w:customStyle="1" w:styleId="StyleAbstractLinespacingDouble">
    <w:name w:val="Style Abstract + Line spacing:  Double"/>
    <w:basedOn w:val="Abstract"/>
    <w:rsid w:val="00224C00"/>
    <w:pPr>
      <w:spacing w:before="240" w:after="240" w:line="480" w:lineRule="auto"/>
    </w:pPr>
    <w:rPr>
      <w:bCs/>
    </w:rPr>
  </w:style>
  <w:style w:type="paragraph" w:customStyle="1" w:styleId="StyleAbstractLinespacingDouble1">
    <w:name w:val="Style Abstract + Line spacing:  Double1"/>
    <w:basedOn w:val="Abstract"/>
    <w:rsid w:val="00224C00"/>
    <w:pPr>
      <w:spacing w:line="480" w:lineRule="auto"/>
    </w:pPr>
    <w:rPr>
      <w:bCs/>
    </w:rPr>
  </w:style>
  <w:style w:type="paragraph" w:styleId="BalloonText">
    <w:name w:val="Balloon Text"/>
    <w:basedOn w:val="Normal"/>
    <w:link w:val="BalloonTextChar"/>
    <w:uiPriority w:val="99"/>
    <w:semiHidden/>
    <w:unhideWhenUsed/>
    <w:rsid w:val="002121E3"/>
    <w:rPr>
      <w:rFonts w:ascii="Segoe UI" w:hAnsi="Segoe UI" w:cs="Segoe UI"/>
      <w:sz w:val="18"/>
      <w:szCs w:val="18"/>
    </w:rPr>
  </w:style>
  <w:style w:type="character" w:customStyle="1" w:styleId="BalloonTextChar">
    <w:name w:val="Balloon Text Char"/>
    <w:link w:val="BalloonText"/>
    <w:uiPriority w:val="99"/>
    <w:semiHidden/>
    <w:rsid w:val="002121E3"/>
    <w:rPr>
      <w:rFonts w:ascii="Segoe UI" w:hAnsi="Segoe UI" w:cs="Segoe UI"/>
      <w:sz w:val="18"/>
      <w:szCs w:val="18"/>
    </w:rPr>
  </w:style>
  <w:style w:type="character" w:styleId="CommentReference">
    <w:name w:val="annotation reference"/>
    <w:uiPriority w:val="99"/>
    <w:semiHidden/>
    <w:unhideWhenUsed/>
    <w:rsid w:val="00AF1B6C"/>
    <w:rPr>
      <w:sz w:val="16"/>
      <w:szCs w:val="16"/>
    </w:rPr>
  </w:style>
  <w:style w:type="paragraph" w:styleId="CommentText">
    <w:name w:val="annotation text"/>
    <w:basedOn w:val="Normal"/>
    <w:link w:val="CommentTextChar"/>
    <w:uiPriority w:val="99"/>
    <w:unhideWhenUsed/>
    <w:rsid w:val="00AF1B6C"/>
  </w:style>
  <w:style w:type="character" w:customStyle="1" w:styleId="CommentTextChar">
    <w:name w:val="Comment Text Char"/>
    <w:basedOn w:val="DefaultParagraphFont"/>
    <w:link w:val="CommentText"/>
    <w:uiPriority w:val="99"/>
    <w:rsid w:val="00AF1B6C"/>
  </w:style>
  <w:style w:type="paragraph" w:styleId="CommentSubject">
    <w:name w:val="annotation subject"/>
    <w:basedOn w:val="CommentText"/>
    <w:next w:val="CommentText"/>
    <w:link w:val="CommentSubjectChar"/>
    <w:uiPriority w:val="99"/>
    <w:semiHidden/>
    <w:unhideWhenUsed/>
    <w:rsid w:val="00AF1B6C"/>
    <w:rPr>
      <w:b/>
      <w:bCs/>
    </w:rPr>
  </w:style>
  <w:style w:type="character" w:customStyle="1" w:styleId="CommentSubjectChar">
    <w:name w:val="Comment Subject Char"/>
    <w:link w:val="CommentSubject"/>
    <w:uiPriority w:val="99"/>
    <w:semiHidden/>
    <w:rsid w:val="00AF1B6C"/>
    <w:rPr>
      <w:b/>
      <w:bCs/>
    </w:rPr>
  </w:style>
  <w:style w:type="character" w:styleId="UnresolvedMention">
    <w:name w:val="Unresolved Mention"/>
    <w:uiPriority w:val="99"/>
    <w:semiHidden/>
    <w:unhideWhenUsed/>
    <w:rsid w:val="009A0069"/>
    <w:rPr>
      <w:color w:val="605E5C"/>
      <w:shd w:val="clear" w:color="auto" w:fill="E1DFDD"/>
    </w:rPr>
  </w:style>
  <w:style w:type="character" w:styleId="Strong">
    <w:name w:val="Strong"/>
    <w:uiPriority w:val="22"/>
    <w:qFormat/>
    <w:rsid w:val="00BA7A58"/>
    <w:rPr>
      <w:b/>
      <w:bCs/>
    </w:rPr>
  </w:style>
  <w:style w:type="table" w:styleId="TableGrid">
    <w:name w:val="Table Grid"/>
    <w:basedOn w:val="TableNormal"/>
    <w:uiPriority w:val="39"/>
    <w:rsid w:val="008C7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04420"/>
    <w:rPr>
      <w:color w:val="808080"/>
    </w:rPr>
  </w:style>
  <w:style w:type="paragraph" w:styleId="Bibliography">
    <w:name w:val="Bibliography"/>
    <w:basedOn w:val="Normal"/>
    <w:next w:val="Normal"/>
    <w:uiPriority w:val="37"/>
    <w:unhideWhenUsed/>
    <w:rsid w:val="00C2104D"/>
    <w:pPr>
      <w:tabs>
        <w:tab w:val="left" w:pos="504"/>
      </w:tabs>
      <w:ind w:left="504" w:hanging="504"/>
    </w:pPr>
  </w:style>
  <w:style w:type="paragraph" w:styleId="NormalWeb">
    <w:name w:val="Normal (Web)"/>
    <w:basedOn w:val="Normal"/>
    <w:uiPriority w:val="99"/>
    <w:unhideWhenUsed/>
    <w:rsid w:val="00F43E9D"/>
    <w:pPr>
      <w:spacing w:before="100" w:beforeAutospacing="1" w:after="100" w:afterAutospacing="1"/>
      <w:jc w:val="left"/>
    </w:pPr>
    <w:rPr>
      <w:sz w:val="24"/>
      <w:szCs w:val="24"/>
      <w:lang w:eastAsia="ko-KR"/>
    </w:rPr>
  </w:style>
  <w:style w:type="paragraph" w:styleId="ListParagraph">
    <w:name w:val="List Paragraph"/>
    <w:basedOn w:val="Normal"/>
    <w:uiPriority w:val="34"/>
    <w:qFormat/>
    <w:rsid w:val="00E61FB9"/>
    <w:pPr>
      <w:ind w:left="720"/>
      <w:contextualSpacing/>
    </w:pPr>
  </w:style>
  <w:style w:type="character" w:styleId="Emphasis">
    <w:name w:val="Emphasis"/>
    <w:basedOn w:val="DefaultParagraphFont"/>
    <w:uiPriority w:val="20"/>
    <w:qFormat/>
    <w:rsid w:val="003B0D3B"/>
    <w:rPr>
      <w:i/>
      <w:iCs/>
    </w:rPr>
  </w:style>
  <w:style w:type="paragraph" w:styleId="Revision">
    <w:name w:val="Revision"/>
    <w:hidden/>
    <w:uiPriority w:val="99"/>
    <w:semiHidden/>
    <w:rsid w:val="005D74D2"/>
  </w:style>
  <w:style w:type="character" w:styleId="EndnoteReference">
    <w:name w:val="endnote reference"/>
    <w:basedOn w:val="DefaultParagraphFont"/>
    <w:uiPriority w:val="99"/>
    <w:semiHidden/>
    <w:unhideWhenUsed/>
    <w:rsid w:val="00FE5A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773567">
      <w:bodyDiv w:val="1"/>
      <w:marLeft w:val="0"/>
      <w:marRight w:val="0"/>
      <w:marTop w:val="0"/>
      <w:marBottom w:val="0"/>
      <w:divBdr>
        <w:top w:val="none" w:sz="0" w:space="0" w:color="auto"/>
        <w:left w:val="none" w:sz="0" w:space="0" w:color="auto"/>
        <w:bottom w:val="none" w:sz="0" w:space="0" w:color="auto"/>
        <w:right w:val="none" w:sz="0" w:space="0" w:color="auto"/>
      </w:divBdr>
    </w:div>
    <w:div w:id="562058582">
      <w:bodyDiv w:val="1"/>
      <w:marLeft w:val="0"/>
      <w:marRight w:val="0"/>
      <w:marTop w:val="0"/>
      <w:marBottom w:val="0"/>
      <w:divBdr>
        <w:top w:val="none" w:sz="0" w:space="0" w:color="auto"/>
        <w:left w:val="none" w:sz="0" w:space="0" w:color="auto"/>
        <w:bottom w:val="none" w:sz="0" w:space="0" w:color="auto"/>
        <w:right w:val="none" w:sz="0" w:space="0" w:color="auto"/>
      </w:divBdr>
    </w:div>
    <w:div w:id="646670538">
      <w:bodyDiv w:val="1"/>
      <w:marLeft w:val="0"/>
      <w:marRight w:val="0"/>
      <w:marTop w:val="0"/>
      <w:marBottom w:val="0"/>
      <w:divBdr>
        <w:top w:val="none" w:sz="0" w:space="0" w:color="auto"/>
        <w:left w:val="none" w:sz="0" w:space="0" w:color="auto"/>
        <w:bottom w:val="none" w:sz="0" w:space="0" w:color="auto"/>
        <w:right w:val="none" w:sz="0" w:space="0" w:color="auto"/>
      </w:divBdr>
    </w:div>
    <w:div w:id="655501203">
      <w:bodyDiv w:val="1"/>
      <w:marLeft w:val="0"/>
      <w:marRight w:val="0"/>
      <w:marTop w:val="0"/>
      <w:marBottom w:val="0"/>
      <w:divBdr>
        <w:top w:val="none" w:sz="0" w:space="0" w:color="auto"/>
        <w:left w:val="none" w:sz="0" w:space="0" w:color="auto"/>
        <w:bottom w:val="none" w:sz="0" w:space="0" w:color="auto"/>
        <w:right w:val="none" w:sz="0" w:space="0" w:color="auto"/>
      </w:divBdr>
    </w:div>
    <w:div w:id="680857140">
      <w:bodyDiv w:val="1"/>
      <w:marLeft w:val="0"/>
      <w:marRight w:val="0"/>
      <w:marTop w:val="0"/>
      <w:marBottom w:val="0"/>
      <w:divBdr>
        <w:top w:val="none" w:sz="0" w:space="0" w:color="auto"/>
        <w:left w:val="none" w:sz="0" w:space="0" w:color="auto"/>
        <w:bottom w:val="none" w:sz="0" w:space="0" w:color="auto"/>
        <w:right w:val="none" w:sz="0" w:space="0" w:color="auto"/>
      </w:divBdr>
    </w:div>
    <w:div w:id="1019772885">
      <w:bodyDiv w:val="1"/>
      <w:marLeft w:val="0"/>
      <w:marRight w:val="0"/>
      <w:marTop w:val="0"/>
      <w:marBottom w:val="0"/>
      <w:divBdr>
        <w:top w:val="none" w:sz="0" w:space="0" w:color="auto"/>
        <w:left w:val="none" w:sz="0" w:space="0" w:color="auto"/>
        <w:bottom w:val="none" w:sz="0" w:space="0" w:color="auto"/>
        <w:right w:val="none" w:sz="0" w:space="0" w:color="auto"/>
      </w:divBdr>
    </w:div>
    <w:div w:id="1028026191">
      <w:bodyDiv w:val="1"/>
      <w:marLeft w:val="0"/>
      <w:marRight w:val="0"/>
      <w:marTop w:val="0"/>
      <w:marBottom w:val="0"/>
      <w:divBdr>
        <w:top w:val="none" w:sz="0" w:space="0" w:color="auto"/>
        <w:left w:val="none" w:sz="0" w:space="0" w:color="auto"/>
        <w:bottom w:val="none" w:sz="0" w:space="0" w:color="auto"/>
        <w:right w:val="none" w:sz="0" w:space="0" w:color="auto"/>
      </w:divBdr>
    </w:div>
    <w:div w:id="1048066260">
      <w:bodyDiv w:val="1"/>
      <w:marLeft w:val="0"/>
      <w:marRight w:val="0"/>
      <w:marTop w:val="0"/>
      <w:marBottom w:val="0"/>
      <w:divBdr>
        <w:top w:val="none" w:sz="0" w:space="0" w:color="auto"/>
        <w:left w:val="none" w:sz="0" w:space="0" w:color="auto"/>
        <w:bottom w:val="none" w:sz="0" w:space="0" w:color="auto"/>
        <w:right w:val="none" w:sz="0" w:space="0" w:color="auto"/>
      </w:divBdr>
    </w:div>
    <w:div w:id="1232348366">
      <w:bodyDiv w:val="1"/>
      <w:marLeft w:val="0"/>
      <w:marRight w:val="0"/>
      <w:marTop w:val="0"/>
      <w:marBottom w:val="0"/>
      <w:divBdr>
        <w:top w:val="none" w:sz="0" w:space="0" w:color="auto"/>
        <w:left w:val="none" w:sz="0" w:space="0" w:color="auto"/>
        <w:bottom w:val="none" w:sz="0" w:space="0" w:color="auto"/>
        <w:right w:val="none" w:sz="0" w:space="0" w:color="auto"/>
      </w:divBdr>
      <w:divsChild>
        <w:div w:id="731583382">
          <w:marLeft w:val="1166"/>
          <w:marRight w:val="0"/>
          <w:marTop w:val="0"/>
          <w:marBottom w:val="120"/>
          <w:divBdr>
            <w:top w:val="none" w:sz="0" w:space="0" w:color="auto"/>
            <w:left w:val="none" w:sz="0" w:space="0" w:color="auto"/>
            <w:bottom w:val="none" w:sz="0" w:space="0" w:color="auto"/>
            <w:right w:val="none" w:sz="0" w:space="0" w:color="auto"/>
          </w:divBdr>
        </w:div>
        <w:div w:id="2046326847">
          <w:marLeft w:val="1166"/>
          <w:marRight w:val="0"/>
          <w:marTop w:val="0"/>
          <w:marBottom w:val="120"/>
          <w:divBdr>
            <w:top w:val="none" w:sz="0" w:space="0" w:color="auto"/>
            <w:left w:val="none" w:sz="0" w:space="0" w:color="auto"/>
            <w:bottom w:val="none" w:sz="0" w:space="0" w:color="auto"/>
            <w:right w:val="none" w:sz="0" w:space="0" w:color="auto"/>
          </w:divBdr>
        </w:div>
        <w:div w:id="865869377">
          <w:marLeft w:val="1613"/>
          <w:marRight w:val="0"/>
          <w:marTop w:val="0"/>
          <w:marBottom w:val="120"/>
          <w:divBdr>
            <w:top w:val="none" w:sz="0" w:space="0" w:color="auto"/>
            <w:left w:val="none" w:sz="0" w:space="0" w:color="auto"/>
            <w:bottom w:val="none" w:sz="0" w:space="0" w:color="auto"/>
            <w:right w:val="none" w:sz="0" w:space="0" w:color="auto"/>
          </w:divBdr>
        </w:div>
        <w:div w:id="1841700682">
          <w:marLeft w:val="1613"/>
          <w:marRight w:val="0"/>
          <w:marTop w:val="0"/>
          <w:marBottom w:val="120"/>
          <w:divBdr>
            <w:top w:val="none" w:sz="0" w:space="0" w:color="auto"/>
            <w:left w:val="none" w:sz="0" w:space="0" w:color="auto"/>
            <w:bottom w:val="none" w:sz="0" w:space="0" w:color="auto"/>
            <w:right w:val="none" w:sz="0" w:space="0" w:color="auto"/>
          </w:divBdr>
        </w:div>
        <w:div w:id="1796750585">
          <w:marLeft w:val="1166"/>
          <w:marRight w:val="0"/>
          <w:marTop w:val="0"/>
          <w:marBottom w:val="120"/>
          <w:divBdr>
            <w:top w:val="none" w:sz="0" w:space="0" w:color="auto"/>
            <w:left w:val="none" w:sz="0" w:space="0" w:color="auto"/>
            <w:bottom w:val="none" w:sz="0" w:space="0" w:color="auto"/>
            <w:right w:val="none" w:sz="0" w:space="0" w:color="auto"/>
          </w:divBdr>
        </w:div>
      </w:divsChild>
    </w:div>
    <w:div w:id="1318998473">
      <w:bodyDiv w:val="1"/>
      <w:marLeft w:val="0"/>
      <w:marRight w:val="0"/>
      <w:marTop w:val="0"/>
      <w:marBottom w:val="0"/>
      <w:divBdr>
        <w:top w:val="none" w:sz="0" w:space="0" w:color="auto"/>
        <w:left w:val="none" w:sz="0" w:space="0" w:color="auto"/>
        <w:bottom w:val="none" w:sz="0" w:space="0" w:color="auto"/>
        <w:right w:val="none" w:sz="0" w:space="0" w:color="auto"/>
      </w:divBdr>
    </w:div>
    <w:div w:id="1451365320">
      <w:bodyDiv w:val="1"/>
      <w:marLeft w:val="0"/>
      <w:marRight w:val="0"/>
      <w:marTop w:val="0"/>
      <w:marBottom w:val="0"/>
      <w:divBdr>
        <w:top w:val="none" w:sz="0" w:space="0" w:color="auto"/>
        <w:left w:val="none" w:sz="0" w:space="0" w:color="auto"/>
        <w:bottom w:val="none" w:sz="0" w:space="0" w:color="auto"/>
        <w:right w:val="none" w:sz="0" w:space="0" w:color="auto"/>
      </w:divBdr>
    </w:div>
    <w:div w:id="1555854196">
      <w:bodyDiv w:val="1"/>
      <w:marLeft w:val="0"/>
      <w:marRight w:val="0"/>
      <w:marTop w:val="0"/>
      <w:marBottom w:val="0"/>
      <w:divBdr>
        <w:top w:val="none" w:sz="0" w:space="0" w:color="auto"/>
        <w:left w:val="none" w:sz="0" w:space="0" w:color="auto"/>
        <w:bottom w:val="none" w:sz="0" w:space="0" w:color="auto"/>
        <w:right w:val="none" w:sz="0" w:space="0" w:color="auto"/>
      </w:divBdr>
      <w:divsChild>
        <w:div w:id="674189286">
          <w:marLeft w:val="446"/>
          <w:marRight w:val="0"/>
          <w:marTop w:val="0"/>
          <w:marBottom w:val="0"/>
          <w:divBdr>
            <w:top w:val="none" w:sz="0" w:space="0" w:color="auto"/>
            <w:left w:val="none" w:sz="0" w:space="0" w:color="auto"/>
            <w:bottom w:val="none" w:sz="0" w:space="0" w:color="auto"/>
            <w:right w:val="none" w:sz="0" w:space="0" w:color="auto"/>
          </w:divBdr>
        </w:div>
        <w:div w:id="2081098248">
          <w:marLeft w:val="1166"/>
          <w:marRight w:val="0"/>
          <w:marTop w:val="100"/>
          <w:marBottom w:val="0"/>
          <w:divBdr>
            <w:top w:val="none" w:sz="0" w:space="0" w:color="auto"/>
            <w:left w:val="none" w:sz="0" w:space="0" w:color="auto"/>
            <w:bottom w:val="none" w:sz="0" w:space="0" w:color="auto"/>
            <w:right w:val="none" w:sz="0" w:space="0" w:color="auto"/>
          </w:divBdr>
        </w:div>
        <w:div w:id="389575400">
          <w:marLeft w:val="1166"/>
          <w:marRight w:val="0"/>
          <w:marTop w:val="100"/>
          <w:marBottom w:val="0"/>
          <w:divBdr>
            <w:top w:val="none" w:sz="0" w:space="0" w:color="auto"/>
            <w:left w:val="none" w:sz="0" w:space="0" w:color="auto"/>
            <w:bottom w:val="none" w:sz="0" w:space="0" w:color="auto"/>
            <w:right w:val="none" w:sz="0" w:space="0" w:color="auto"/>
          </w:divBdr>
        </w:div>
        <w:div w:id="1023046266">
          <w:marLeft w:val="1166"/>
          <w:marRight w:val="0"/>
          <w:marTop w:val="100"/>
          <w:marBottom w:val="0"/>
          <w:divBdr>
            <w:top w:val="none" w:sz="0" w:space="0" w:color="auto"/>
            <w:left w:val="none" w:sz="0" w:space="0" w:color="auto"/>
            <w:bottom w:val="none" w:sz="0" w:space="0" w:color="auto"/>
            <w:right w:val="none" w:sz="0" w:space="0" w:color="auto"/>
          </w:divBdr>
        </w:div>
      </w:divsChild>
    </w:div>
    <w:div w:id="1736317503">
      <w:bodyDiv w:val="1"/>
      <w:marLeft w:val="0"/>
      <w:marRight w:val="0"/>
      <w:marTop w:val="0"/>
      <w:marBottom w:val="0"/>
      <w:divBdr>
        <w:top w:val="none" w:sz="0" w:space="0" w:color="auto"/>
        <w:left w:val="none" w:sz="0" w:space="0" w:color="auto"/>
        <w:bottom w:val="none" w:sz="0" w:space="0" w:color="auto"/>
        <w:right w:val="none" w:sz="0" w:space="0" w:color="auto"/>
      </w:divBdr>
      <w:divsChild>
        <w:div w:id="2061398270">
          <w:marLeft w:val="446"/>
          <w:marRight w:val="0"/>
          <w:marTop w:val="120"/>
          <w:marBottom w:val="120"/>
          <w:divBdr>
            <w:top w:val="none" w:sz="0" w:space="0" w:color="auto"/>
            <w:left w:val="none" w:sz="0" w:space="0" w:color="auto"/>
            <w:bottom w:val="none" w:sz="0" w:space="0" w:color="auto"/>
            <w:right w:val="none" w:sz="0" w:space="0" w:color="auto"/>
          </w:divBdr>
        </w:div>
        <w:div w:id="33580975">
          <w:marLeft w:val="1080"/>
          <w:marRight w:val="0"/>
          <w:marTop w:val="120"/>
          <w:marBottom w:val="120"/>
          <w:divBdr>
            <w:top w:val="none" w:sz="0" w:space="0" w:color="auto"/>
            <w:left w:val="none" w:sz="0" w:space="0" w:color="auto"/>
            <w:bottom w:val="none" w:sz="0" w:space="0" w:color="auto"/>
            <w:right w:val="none" w:sz="0" w:space="0" w:color="auto"/>
          </w:divBdr>
        </w:div>
        <w:div w:id="1556038377">
          <w:marLeft w:val="1080"/>
          <w:marRight w:val="0"/>
          <w:marTop w:val="120"/>
          <w:marBottom w:val="120"/>
          <w:divBdr>
            <w:top w:val="none" w:sz="0" w:space="0" w:color="auto"/>
            <w:left w:val="none" w:sz="0" w:space="0" w:color="auto"/>
            <w:bottom w:val="none" w:sz="0" w:space="0" w:color="auto"/>
            <w:right w:val="none" w:sz="0" w:space="0" w:color="auto"/>
          </w:divBdr>
        </w:div>
        <w:div w:id="1281569831">
          <w:marLeft w:val="1080"/>
          <w:marRight w:val="0"/>
          <w:marTop w:val="120"/>
          <w:marBottom w:val="120"/>
          <w:divBdr>
            <w:top w:val="none" w:sz="0" w:space="0" w:color="auto"/>
            <w:left w:val="none" w:sz="0" w:space="0" w:color="auto"/>
            <w:bottom w:val="none" w:sz="0" w:space="0" w:color="auto"/>
            <w:right w:val="none" w:sz="0" w:space="0" w:color="auto"/>
          </w:divBdr>
        </w:div>
        <w:div w:id="1954633044">
          <w:marLeft w:val="1080"/>
          <w:marRight w:val="0"/>
          <w:marTop w:val="120"/>
          <w:marBottom w:val="120"/>
          <w:divBdr>
            <w:top w:val="none" w:sz="0" w:space="0" w:color="auto"/>
            <w:left w:val="none" w:sz="0" w:space="0" w:color="auto"/>
            <w:bottom w:val="none" w:sz="0" w:space="0" w:color="auto"/>
            <w:right w:val="none" w:sz="0" w:space="0" w:color="auto"/>
          </w:divBdr>
        </w:div>
        <w:div w:id="1389762554">
          <w:marLeft w:val="1080"/>
          <w:marRight w:val="0"/>
          <w:marTop w:val="120"/>
          <w:marBottom w:val="120"/>
          <w:divBdr>
            <w:top w:val="none" w:sz="0" w:space="0" w:color="auto"/>
            <w:left w:val="none" w:sz="0" w:space="0" w:color="auto"/>
            <w:bottom w:val="none" w:sz="0" w:space="0" w:color="auto"/>
            <w:right w:val="none" w:sz="0" w:space="0" w:color="auto"/>
          </w:divBdr>
        </w:div>
        <w:div w:id="449397430">
          <w:marLeft w:val="1080"/>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el%20M\Downloads\preparation-of-papers-for-aiaa-journals_2-13-20%20(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fb2ea2a5-e482-4f2f-802c-d6deffeab543" xsi:nil="true"/>
    <lcf76f155ced4ddcb4097134ff3c332f xmlns="74186904-2a99-4a50-ac90-b689cc0c944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1F41764E954EB4E9BEB7FAAF406579B" ma:contentTypeVersion="13" ma:contentTypeDescription="Create a new document." ma:contentTypeScope="" ma:versionID="ac71e45a51949870fc9e9a5905cf71c8">
  <xsd:schema xmlns:xsd="http://www.w3.org/2001/XMLSchema" xmlns:xs="http://www.w3.org/2001/XMLSchema" xmlns:p="http://schemas.microsoft.com/office/2006/metadata/properties" xmlns:ns2="74186904-2a99-4a50-ac90-b689cc0c9440" xmlns:ns3="fb2ea2a5-e482-4f2f-802c-d6deffeab543" targetNamespace="http://schemas.microsoft.com/office/2006/metadata/properties" ma:root="true" ma:fieldsID="40ea074c7c1340325accc0ad58017ca9" ns2:_="" ns3:_="">
    <xsd:import namespace="74186904-2a99-4a50-ac90-b689cc0c9440"/>
    <xsd:import namespace="fb2ea2a5-e482-4f2f-802c-d6deffeab54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86904-2a99-4a50-ac90-b689cc0c94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2ea2a5-e482-4f2f-802c-d6deffeab54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4f536d6-9537-4120-aaf4-0969b81368f5}" ma:internalName="TaxCatchAll" ma:showField="CatchAllData" ma:web="fb2ea2a5-e482-4f2f-802c-d6deffeab5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A28E77-EA2B-D542-914B-E4815A2D3133}">
  <ds:schemaRefs>
    <ds:schemaRef ds:uri="http://schemas.openxmlformats.org/officeDocument/2006/bibliography"/>
  </ds:schemaRefs>
</ds:datastoreItem>
</file>

<file path=customXml/itemProps2.xml><?xml version="1.0" encoding="utf-8"?>
<ds:datastoreItem xmlns:ds="http://schemas.openxmlformats.org/officeDocument/2006/customXml" ds:itemID="{A36309D3-4F23-47A4-BEC7-6A3F74EAE5CB}">
  <ds:schemaRefs>
    <ds:schemaRef ds:uri="http://schemas.microsoft.com/office/2006/metadata/properties"/>
    <ds:schemaRef ds:uri="http://schemas.microsoft.com/office/infopath/2007/PartnerControls"/>
    <ds:schemaRef ds:uri="fb2ea2a5-e482-4f2f-802c-d6deffeab543"/>
    <ds:schemaRef ds:uri="74186904-2a99-4a50-ac90-b689cc0c9440"/>
  </ds:schemaRefs>
</ds:datastoreItem>
</file>

<file path=customXml/itemProps3.xml><?xml version="1.0" encoding="utf-8"?>
<ds:datastoreItem xmlns:ds="http://schemas.openxmlformats.org/officeDocument/2006/customXml" ds:itemID="{567D19F0-2B93-4DE3-ADEE-1EC15CE4E5A5}">
  <ds:schemaRefs>
    <ds:schemaRef ds:uri="http://schemas.microsoft.com/sharepoint/v3/contenttype/forms"/>
  </ds:schemaRefs>
</ds:datastoreItem>
</file>

<file path=customXml/itemProps4.xml><?xml version="1.0" encoding="utf-8"?>
<ds:datastoreItem xmlns:ds="http://schemas.openxmlformats.org/officeDocument/2006/customXml" ds:itemID="{92831AFB-8D10-4346-B3B7-A55586DD68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186904-2a99-4a50-ac90-b689cc0c9440"/>
    <ds:schemaRef ds:uri="fb2ea2a5-e482-4f2f-802c-d6deffeab5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005d458-45be-48ae-8140-d43da96dd17b}" enabled="0" method="" siteId="{7005d458-45be-48ae-8140-d43da96dd17b}" removed="1"/>
</clbl:labelList>
</file>

<file path=docProps/app.xml><?xml version="1.0" encoding="utf-8"?>
<Properties xmlns="http://schemas.openxmlformats.org/officeDocument/2006/extended-properties" xmlns:vt="http://schemas.openxmlformats.org/officeDocument/2006/docPropsVTypes">
  <Template>preparation-of-papers-for-aiaa-journals_2-13-20 (4)</Template>
  <TotalTime>255</TotalTime>
  <Pages>16</Pages>
  <Words>8534</Words>
  <Characters>48644</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Preparation of Papers for AIAA Journals</vt:lpstr>
    </vt:vector>
  </TitlesOfParts>
  <Manager/>
  <Company>AIAA</Company>
  <LinksUpToDate>false</LinksUpToDate>
  <CharactersWithSpaces>57064</CharactersWithSpaces>
  <SharedDoc>false</SharedDoc>
  <HyperlinkBase/>
  <HLinks>
    <vt:vector size="48" baseType="variant">
      <vt:variant>
        <vt:i4>4718671</vt:i4>
      </vt:variant>
      <vt:variant>
        <vt:i4>27</vt:i4>
      </vt:variant>
      <vt:variant>
        <vt:i4>0</vt:i4>
      </vt:variant>
      <vt:variant>
        <vt:i4>5</vt:i4>
      </vt:variant>
      <vt:variant>
        <vt:lpwstr>http://www.geog.le.ac.uk/bgrg/lab.htm</vt:lpwstr>
      </vt:variant>
      <vt:variant>
        <vt:lpwstr/>
      </vt:variant>
      <vt:variant>
        <vt:i4>393284</vt:i4>
      </vt:variant>
      <vt:variant>
        <vt:i4>24</vt:i4>
      </vt:variant>
      <vt:variant>
        <vt:i4>0</vt:i4>
      </vt:variant>
      <vt:variant>
        <vt:i4>5</vt:i4>
      </vt:variant>
      <vt:variant>
        <vt:lpwstr>http://www.cp/umist.ac.uk/JCSE/vol1/vol1.html</vt:lpwstr>
      </vt:variant>
      <vt:variant>
        <vt:lpwstr/>
      </vt:variant>
      <vt:variant>
        <vt:i4>4325453</vt:i4>
      </vt:variant>
      <vt:variant>
        <vt:i4>21</vt:i4>
      </vt:variant>
      <vt:variant>
        <vt:i4>0</vt:i4>
      </vt:variant>
      <vt:variant>
        <vt:i4>5</vt:i4>
      </vt:variant>
      <vt:variant>
        <vt:lpwstr>http://www.crossref.org/</vt:lpwstr>
      </vt:variant>
      <vt:variant>
        <vt:lpwstr/>
      </vt:variant>
      <vt:variant>
        <vt:i4>3014755</vt:i4>
      </vt:variant>
      <vt:variant>
        <vt:i4>18</vt:i4>
      </vt:variant>
      <vt:variant>
        <vt:i4>0</vt:i4>
      </vt:variant>
      <vt:variant>
        <vt:i4>5</vt:i4>
      </vt:variant>
      <vt:variant>
        <vt:lpwstr>http://www.doi.org/</vt:lpwstr>
      </vt:variant>
      <vt:variant>
        <vt:lpwstr/>
      </vt:variant>
      <vt:variant>
        <vt:i4>5767243</vt:i4>
      </vt:variant>
      <vt:variant>
        <vt:i4>12</vt:i4>
      </vt:variant>
      <vt:variant>
        <vt:i4>0</vt:i4>
      </vt:variant>
      <vt:variant>
        <vt:i4>5</vt:i4>
      </vt:variant>
      <vt:variant>
        <vt:lpwstr>http://www.mathtype.com/</vt:lpwstr>
      </vt:variant>
      <vt:variant>
        <vt:lpwstr/>
      </vt:variant>
      <vt:variant>
        <vt:i4>5111819</vt:i4>
      </vt:variant>
      <vt:variant>
        <vt:i4>6</vt:i4>
      </vt:variant>
      <vt:variant>
        <vt:i4>0</vt:i4>
      </vt:variant>
      <vt:variant>
        <vt:i4>5</vt:i4>
      </vt:variant>
      <vt:variant>
        <vt:lpwstr>https://mchelp.manuscriptcentral.com/gethelpnow/</vt:lpwstr>
      </vt:variant>
      <vt:variant>
        <vt:lpwstr/>
      </vt:variant>
      <vt:variant>
        <vt:i4>589896</vt:i4>
      </vt:variant>
      <vt:variant>
        <vt:i4>3</vt:i4>
      </vt:variant>
      <vt:variant>
        <vt:i4>0</vt:i4>
      </vt:variant>
      <vt:variant>
        <vt:i4>5</vt:i4>
      </vt:variant>
      <vt:variant>
        <vt:lpwstr>mailto:ScholarOne</vt:lpwstr>
      </vt:variant>
      <vt:variant>
        <vt:lpwstr/>
      </vt:variant>
      <vt:variant>
        <vt:i4>2424882</vt:i4>
      </vt:variant>
      <vt:variant>
        <vt:i4>0</vt:i4>
      </vt:variant>
      <vt:variant>
        <vt:i4>0</vt:i4>
      </vt:variant>
      <vt:variant>
        <vt:i4>5</vt:i4>
      </vt:variant>
      <vt:variant>
        <vt:lpwstr>http://www.writetrack.net/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Preparation of Papers for AIAA Journals</dc:title>
  <dc:subject/>
  <dc:creator>Laurel M</dc:creator>
  <cp:keywords>Journal template 2008</cp:keywords>
  <dc:description/>
  <cp:lastModifiedBy>Kim, Moon J. (HQ-IN004)</cp:lastModifiedBy>
  <cp:revision>10</cp:revision>
  <cp:lastPrinted>2016-06-27T18:55:00Z</cp:lastPrinted>
  <dcterms:created xsi:type="dcterms:W3CDTF">2025-02-21T16:36:00Z</dcterms:created>
  <dcterms:modified xsi:type="dcterms:W3CDTF">2025-02-24T14:17:00Z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id="kQ8MY7V3"/&gt;&lt;style id="http://www.zotero.org/styles/american-institute-of-aeronautics-and-astronautics" hasBibliography="1" bibliographyStyleHasBeenSet="1"/&gt;&lt;prefs&gt;&lt;pref name="fieldType" value="Fi</vt:lpwstr>
  </property>
  <property fmtid="{D5CDD505-2E9C-101B-9397-08002B2CF9AE}" pid="3" name="ZOTERO_PREF_2">
    <vt:lpwstr>eld"/&gt;&lt;/prefs&gt;&lt;/data&gt;</vt:lpwstr>
  </property>
  <property fmtid="{D5CDD505-2E9C-101B-9397-08002B2CF9AE}" pid="4" name="ContentTypeId">
    <vt:lpwstr>0x01010001F41764E954EB4E9BEB7FAAF406579B</vt:lpwstr>
  </property>
  <property fmtid="{D5CDD505-2E9C-101B-9397-08002B2CF9AE}" pid="5" name="MediaServiceImageTags">
    <vt:lpwstr/>
  </property>
</Properties>
</file>