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4174B" w14:textId="77777777" w:rsidR="00BF0126" w:rsidRDefault="00BF0126" w:rsidP="00BF0126">
      <w:pPr>
        <w:pStyle w:val="gmail-msolistparagraph"/>
        <w:spacing w:before="0" w:beforeAutospacing="0" w:after="0" w:afterAutospacing="0"/>
        <w:jc w:val="center"/>
        <w:rPr>
          <w:b/>
          <w:bCs/>
          <w:color w:val="000000"/>
          <w:sz w:val="28"/>
          <w:szCs w:val="28"/>
        </w:rPr>
      </w:pPr>
      <w:r w:rsidRPr="00AF234A">
        <w:rPr>
          <w:b/>
          <w:bCs/>
          <w:color w:val="000000"/>
          <w:sz w:val="28"/>
          <w:szCs w:val="28"/>
        </w:rPr>
        <w:t>Satellite-based Analysis of CO</w:t>
      </w:r>
      <w:r w:rsidRPr="00AF234A">
        <w:rPr>
          <w:b/>
          <w:bCs/>
          <w:color w:val="000000"/>
          <w:sz w:val="28"/>
          <w:szCs w:val="28"/>
          <w:vertAlign w:val="subscript"/>
        </w:rPr>
        <w:t>2</w:t>
      </w:r>
      <w:r w:rsidRPr="00AF234A">
        <w:rPr>
          <w:b/>
          <w:bCs/>
          <w:color w:val="000000"/>
          <w:sz w:val="28"/>
          <w:szCs w:val="28"/>
        </w:rPr>
        <w:t xml:space="preserve"> Emissions in Global Cities: </w:t>
      </w:r>
    </w:p>
    <w:p w14:paraId="2B8E8DCF" w14:textId="77777777" w:rsidR="00BF0126" w:rsidRPr="00AF234A" w:rsidRDefault="00BF0126" w:rsidP="00BF0126">
      <w:pPr>
        <w:pStyle w:val="gmail-msolistparagraph"/>
        <w:spacing w:before="0" w:beforeAutospacing="0" w:after="0" w:afterAutospacing="0"/>
        <w:jc w:val="center"/>
        <w:rPr>
          <w:b/>
          <w:bCs/>
          <w:color w:val="000000"/>
          <w:sz w:val="28"/>
          <w:szCs w:val="28"/>
        </w:rPr>
      </w:pPr>
      <w:r w:rsidRPr="00AF234A">
        <w:rPr>
          <w:b/>
          <w:bCs/>
          <w:color w:val="000000"/>
          <w:sz w:val="28"/>
          <w:szCs w:val="28"/>
        </w:rPr>
        <w:t>Regional, Economic, and Demographic Attributes</w:t>
      </w:r>
    </w:p>
    <w:p w14:paraId="16E317D1" w14:textId="77777777" w:rsidR="00BF0126" w:rsidRPr="00F40308" w:rsidRDefault="00BF0126" w:rsidP="00BF0126">
      <w:pPr>
        <w:pStyle w:val="Authors"/>
      </w:pPr>
      <w:r w:rsidRPr="00F40308">
        <w:t>Doyeon Ahn</w:t>
      </w:r>
      <w:r w:rsidRPr="00F40308">
        <w:rPr>
          <w:vertAlign w:val="superscript"/>
        </w:rPr>
        <w:t>1,2,3*</w:t>
      </w:r>
      <w:r w:rsidRPr="00F40308">
        <w:t xml:space="preserve">, Daniel </w:t>
      </w:r>
      <w:r>
        <w:t xml:space="preserve">L. </w:t>
      </w:r>
      <w:r w:rsidRPr="00F40308">
        <w:t>Goldberg</w:t>
      </w:r>
      <w:r w:rsidRPr="00F40308">
        <w:rPr>
          <w:vertAlign w:val="superscript"/>
        </w:rPr>
        <w:t>3</w:t>
      </w:r>
      <w:r w:rsidRPr="00F40308">
        <w:t>, Fei Liu</w:t>
      </w:r>
      <w:r w:rsidRPr="00F40308">
        <w:rPr>
          <w:vertAlign w:val="superscript"/>
        </w:rPr>
        <w:t>1,2</w:t>
      </w:r>
      <w:r w:rsidRPr="00F40308">
        <w:t xml:space="preserve">, Daniel </w:t>
      </w:r>
      <w:r>
        <w:t xml:space="preserve">C. </w:t>
      </w:r>
      <w:r w:rsidRPr="00F40308">
        <w:t>Anderson</w:t>
      </w:r>
      <w:r w:rsidRPr="00F40308">
        <w:rPr>
          <w:vertAlign w:val="superscript"/>
        </w:rPr>
        <w:t>2,4</w:t>
      </w:r>
      <w:r w:rsidRPr="00F40308">
        <w:t>, Toby Coombes</w:t>
      </w:r>
      <w:r w:rsidRPr="00F40308">
        <w:rPr>
          <w:vertAlign w:val="superscript"/>
        </w:rPr>
        <w:t>5</w:t>
      </w:r>
      <w:r w:rsidRPr="00F40308">
        <w:t xml:space="preserve">, Chris </w:t>
      </w:r>
      <w:r>
        <w:t xml:space="preserve">P. </w:t>
      </w:r>
      <w:r w:rsidRPr="00F40308">
        <w:t>Loughner</w:t>
      </w:r>
      <w:r w:rsidRPr="00F40308">
        <w:rPr>
          <w:vertAlign w:val="superscript"/>
        </w:rPr>
        <w:t>6</w:t>
      </w:r>
      <w:r w:rsidRPr="00F40308">
        <w:t xml:space="preserve">, </w:t>
      </w:r>
      <w:r w:rsidRPr="00F40308">
        <w:rPr>
          <w:color w:val="000000"/>
        </w:rPr>
        <w:t>Matthaeus</w:t>
      </w:r>
      <w:r w:rsidRPr="00F40308">
        <w:t xml:space="preserve"> Kiel</w:t>
      </w:r>
      <w:r w:rsidRPr="00F40308">
        <w:rPr>
          <w:vertAlign w:val="superscript"/>
        </w:rPr>
        <w:t>7</w:t>
      </w:r>
      <w:r w:rsidRPr="00F40308">
        <w:t>, Abhishek Chatterjee</w:t>
      </w:r>
      <w:r w:rsidRPr="00F40308">
        <w:rPr>
          <w:vertAlign w:val="superscript"/>
        </w:rPr>
        <w:t>7</w:t>
      </w:r>
    </w:p>
    <w:p w14:paraId="211569B2" w14:textId="77777777" w:rsidR="00BF0126" w:rsidRDefault="00BF0126" w:rsidP="00BF0126">
      <w:pPr>
        <w:pStyle w:val="Affiliation"/>
      </w:pPr>
      <w:r w:rsidRPr="00C77F11">
        <w:rPr>
          <w:vertAlign w:val="superscript"/>
        </w:rPr>
        <w:t>1</w:t>
      </w:r>
      <w:r w:rsidRPr="00C77F11">
        <w:t>Goddard Earth Sciences Technology and Research (GESTAR) II, Morgan State University; Baltimore, MD, USA</w:t>
      </w:r>
      <w:r>
        <w:t>.</w:t>
      </w:r>
    </w:p>
    <w:p w14:paraId="4D84910E" w14:textId="77777777" w:rsidR="00BF0126" w:rsidRDefault="00BF0126" w:rsidP="00BF0126">
      <w:pPr>
        <w:pStyle w:val="Affiliation"/>
      </w:pPr>
      <w:r w:rsidRPr="00C77F11">
        <w:rPr>
          <w:vertAlign w:val="superscript"/>
        </w:rPr>
        <w:t>2</w:t>
      </w:r>
      <w:r w:rsidRPr="00C77F11">
        <w:t>Atmospheric Chemistry and Dynamics Laboratory, NASA Goddard Space Flight Center; Greenbelt, MD, US</w:t>
      </w:r>
      <w:r>
        <w:t>.</w:t>
      </w:r>
    </w:p>
    <w:p w14:paraId="71BD932F" w14:textId="77777777" w:rsidR="00BF0126" w:rsidRDefault="00BF0126" w:rsidP="00BF0126">
      <w:pPr>
        <w:pStyle w:val="Affiliation"/>
      </w:pPr>
      <w:r w:rsidRPr="00C77F11">
        <w:rPr>
          <w:vertAlign w:val="superscript"/>
        </w:rPr>
        <w:t>3</w:t>
      </w:r>
      <w:r w:rsidRPr="00C77F11">
        <w:t>Milken School of Public Health, George Washington University; Washington DC, USA</w:t>
      </w:r>
      <w:r>
        <w:t>.</w:t>
      </w:r>
    </w:p>
    <w:p w14:paraId="10C46EC2" w14:textId="77777777" w:rsidR="00BF0126" w:rsidRDefault="00BF0126" w:rsidP="00BF0126">
      <w:pPr>
        <w:pStyle w:val="Affiliation"/>
      </w:pPr>
      <w:r w:rsidRPr="00C77F11">
        <w:rPr>
          <w:vertAlign w:val="superscript"/>
        </w:rPr>
        <w:t>4</w:t>
      </w:r>
      <w:r w:rsidRPr="00C77F11">
        <w:t>Goddard Earth Sciences Technology and Research (GESTAR) II, University of Maryland Baltimore County; Baltimore, MD, USA</w:t>
      </w:r>
      <w:r>
        <w:t>.</w:t>
      </w:r>
    </w:p>
    <w:p w14:paraId="5AD9C58B" w14:textId="77777777" w:rsidR="00BF0126" w:rsidRDefault="00BF0126" w:rsidP="00BF0126">
      <w:pPr>
        <w:pStyle w:val="Affiliation"/>
      </w:pPr>
      <w:r w:rsidRPr="00C77F11">
        <w:rPr>
          <w:vertAlign w:val="superscript"/>
        </w:rPr>
        <w:t>5</w:t>
      </w:r>
      <w:r w:rsidRPr="00C77F11">
        <w:t>C40 Cities Climate Leadership Group Inc.; New York, NY, USA</w:t>
      </w:r>
      <w:r>
        <w:t>.</w:t>
      </w:r>
    </w:p>
    <w:p w14:paraId="6F7C40C2" w14:textId="77777777" w:rsidR="00BF0126" w:rsidRDefault="00BF0126" w:rsidP="00BF0126">
      <w:pPr>
        <w:pStyle w:val="Affiliation"/>
      </w:pPr>
      <w:r w:rsidRPr="00C77F11">
        <w:rPr>
          <w:vertAlign w:val="superscript"/>
        </w:rPr>
        <w:t>6</w:t>
      </w:r>
      <w:r w:rsidRPr="00C77F11">
        <w:t>Air Resources Laboratory, National Oceanic and Atmospheric Administration; College Park, MD, USA</w:t>
      </w:r>
      <w:r>
        <w:t>.</w:t>
      </w:r>
    </w:p>
    <w:p w14:paraId="0CCD3576" w14:textId="77777777" w:rsidR="00BF0126" w:rsidRPr="00C77F11" w:rsidRDefault="00BF0126" w:rsidP="00BF0126">
      <w:pPr>
        <w:pStyle w:val="Affiliation"/>
      </w:pPr>
      <w:r w:rsidRPr="00C77F11">
        <w:rPr>
          <w:vertAlign w:val="superscript"/>
        </w:rPr>
        <w:t>7</w:t>
      </w:r>
      <w:r w:rsidRPr="00C77F11">
        <w:t>Jet Propulsion Laboratory, California Institute of Technology; Pasadena, CA, USA.</w:t>
      </w:r>
    </w:p>
    <w:p w14:paraId="3788A165" w14:textId="77777777" w:rsidR="00BF0126" w:rsidRPr="00C77F11" w:rsidRDefault="00BF0126" w:rsidP="00BF0126">
      <w:pPr>
        <w:pStyle w:val="Affiliation"/>
      </w:pPr>
      <w:r w:rsidRPr="00C77F11">
        <w:t>Corresponding author: Doyeon Ahn (</w:t>
      </w:r>
      <w:hyperlink r:id="rId7" w:history="1">
        <w:r w:rsidRPr="00C77F11">
          <w:rPr>
            <w:rStyle w:val="Hyperlink"/>
            <w:rFonts w:eastAsiaTheme="majorEastAsia"/>
          </w:rPr>
          <w:t>doyeon.ahn@nasa.gov</w:t>
        </w:r>
      </w:hyperlink>
      <w:r w:rsidRPr="00C77F11">
        <w:t>)</w:t>
      </w:r>
    </w:p>
    <w:p w14:paraId="0FA47C02" w14:textId="77777777" w:rsidR="00BF0126" w:rsidRPr="00C77F11" w:rsidRDefault="00BF0126" w:rsidP="00BF0126">
      <w:pPr>
        <w:pStyle w:val="Heading-Main"/>
      </w:pPr>
      <w:r w:rsidRPr="00C77F11">
        <w:t>Key Points:</w:t>
      </w:r>
    </w:p>
    <w:p w14:paraId="343603D0" w14:textId="77777777" w:rsidR="00BF0126" w:rsidRPr="00C77F11" w:rsidRDefault="00BF0126" w:rsidP="00BF0126">
      <w:pPr>
        <w:pStyle w:val="KeyPoints"/>
        <w:numPr>
          <w:ilvl w:val="0"/>
          <w:numId w:val="9"/>
        </w:numPr>
      </w:pPr>
      <w:r w:rsidRPr="00C77F11">
        <w:t xml:space="preserve">We use spaceborne observations of </w:t>
      </w:r>
      <w:r>
        <w:t>C</w:t>
      </w:r>
      <w:r w:rsidRPr="00C77F11">
        <w:t>O</w:t>
      </w:r>
      <w:r w:rsidRPr="00C77F11">
        <w:rPr>
          <w:vertAlign w:val="subscript"/>
        </w:rPr>
        <w:t>2</w:t>
      </w:r>
      <w:r w:rsidRPr="00C77F11">
        <w:t xml:space="preserve"> and </w:t>
      </w:r>
      <w:r>
        <w:t>N</w:t>
      </w:r>
      <w:r w:rsidRPr="00C77F11">
        <w:t>O</w:t>
      </w:r>
      <w:r w:rsidRPr="00C77F11">
        <w:rPr>
          <w:vertAlign w:val="subscript"/>
        </w:rPr>
        <w:t>2</w:t>
      </w:r>
      <w:r w:rsidRPr="00C77F11">
        <w:t xml:space="preserve"> to estimate CO</w:t>
      </w:r>
      <w:r w:rsidRPr="00C77F11">
        <w:rPr>
          <w:vertAlign w:val="subscript"/>
        </w:rPr>
        <w:t>2</w:t>
      </w:r>
      <w:r w:rsidRPr="00C77F11">
        <w:t xml:space="preserve"> emissions for 54 global cities</w:t>
      </w:r>
    </w:p>
    <w:p w14:paraId="173D070D" w14:textId="77777777" w:rsidR="00BF0126" w:rsidRDefault="00BF0126" w:rsidP="00BF0126">
      <w:pPr>
        <w:pStyle w:val="KeyPoints"/>
        <w:numPr>
          <w:ilvl w:val="0"/>
          <w:numId w:val="9"/>
        </w:numPr>
      </w:pPr>
      <w:r>
        <w:t>Satellite-based estimates show regional discrepancies to two bottom-up datasets, even though they agree within 7% at the global scale.</w:t>
      </w:r>
    </w:p>
    <w:p w14:paraId="1B4431F3" w14:textId="77777777" w:rsidR="00BF0126" w:rsidRDefault="00BF0126" w:rsidP="00BF0126">
      <w:pPr>
        <w:pStyle w:val="KeyPoints"/>
        <w:numPr>
          <w:ilvl w:val="0"/>
          <w:numId w:val="9"/>
        </w:numPr>
      </w:pPr>
      <w:r w:rsidRPr="00C77F11">
        <w:t>Satellite</w:t>
      </w:r>
      <w:r>
        <w:t xml:space="preserve"> dataset</w:t>
      </w:r>
      <w:r w:rsidRPr="00C77F11">
        <w:t xml:space="preserve"> reveal </w:t>
      </w:r>
      <w:r>
        <w:t>wealthier cities emit less CO</w:t>
      </w:r>
      <w:r w:rsidRPr="009138B3">
        <w:rPr>
          <w:vertAlign w:val="subscript"/>
        </w:rPr>
        <w:t>2</w:t>
      </w:r>
      <w:r>
        <w:t xml:space="preserve"> per dollar economic activity, and residents in larger cities tend to emit less CO</w:t>
      </w:r>
      <w:r w:rsidRPr="00CA26CF">
        <w:rPr>
          <w:vertAlign w:val="subscript"/>
        </w:rPr>
        <w:t>2</w:t>
      </w:r>
      <w:r>
        <w:t>.</w:t>
      </w:r>
    </w:p>
    <w:p w14:paraId="223D01E8" w14:textId="77777777" w:rsidR="00BF0126" w:rsidRPr="00C77F11" w:rsidRDefault="00BF0126" w:rsidP="00BF0126">
      <w:pPr>
        <w:pStyle w:val="Heading-Main"/>
      </w:pPr>
      <w:r w:rsidRPr="00C77F11">
        <w:t>Abstract</w:t>
      </w:r>
    </w:p>
    <w:p w14:paraId="197EF7D3" w14:textId="77777777" w:rsidR="00BF0126" w:rsidRPr="005C3B51" w:rsidRDefault="00BF0126" w:rsidP="00BF0126">
      <w:pPr>
        <w:pStyle w:val="Body"/>
        <w:spacing w:before="120"/>
        <w:jc w:val="both"/>
        <w:rPr>
          <w:rFonts w:ascii="Times New Roman" w:hAnsi="Times New Roman" w:cs="Times New Roman"/>
          <w:color w:val="000000" w:themeColor="text1"/>
        </w:rPr>
      </w:pPr>
      <w:r w:rsidRPr="005C3B51">
        <w:rPr>
          <w:rFonts w:ascii="Times New Roman" w:hAnsi="Times New Roman" w:cs="Times New Roman"/>
          <w:color w:val="000000" w:themeColor="text1"/>
        </w:rPr>
        <w:t xml:space="preserve">Cities play a crucial role in reducing global greenhouse gas emissions. </w:t>
      </w:r>
      <w:r>
        <w:rPr>
          <w:rFonts w:ascii="Times New Roman" w:hAnsi="Times New Roman" w:cs="Times New Roman"/>
          <w:color w:val="000000" w:themeColor="text1"/>
        </w:rPr>
        <w:t>While</w:t>
      </w:r>
      <w:r w:rsidRPr="005C3B51">
        <w:rPr>
          <w:rFonts w:ascii="Times New Roman" w:hAnsi="Times New Roman" w:cs="Times New Roman"/>
          <w:color w:val="000000" w:themeColor="text1"/>
        </w:rPr>
        <w:t xml:space="preserve"> activity-based (“bottom up”) emission </w:t>
      </w:r>
      <w:r>
        <w:rPr>
          <w:rFonts w:ascii="Times New Roman" w:hAnsi="Times New Roman" w:cs="Times New Roman"/>
          <w:color w:val="000000" w:themeColor="text1"/>
        </w:rPr>
        <w:t>estimates</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are</w:t>
      </w:r>
      <w:r w:rsidRPr="005C3B51">
        <w:rPr>
          <w:rFonts w:ascii="Times New Roman" w:hAnsi="Times New Roman" w:cs="Times New Roman"/>
          <w:color w:val="000000" w:themeColor="text1"/>
        </w:rPr>
        <w:t xml:space="preserve"> widely </w:t>
      </w:r>
      <w:r>
        <w:rPr>
          <w:rFonts w:ascii="Times New Roman" w:hAnsi="Times New Roman" w:cs="Times New Roman"/>
          <w:color w:val="000000" w:themeColor="text1"/>
        </w:rPr>
        <w:t>used</w:t>
      </w:r>
      <w:r w:rsidRPr="005C3B51">
        <w:rPr>
          <w:rFonts w:ascii="Times New Roman" w:hAnsi="Times New Roman" w:cs="Times New Roman"/>
          <w:color w:val="000000" w:themeColor="text1"/>
        </w:rPr>
        <w:t xml:space="preserve"> for global cities</w:t>
      </w:r>
      <w:r>
        <w:rPr>
          <w:rFonts w:ascii="Times New Roman" w:hAnsi="Times New Roman" w:cs="Times New Roman"/>
          <w:color w:val="000000" w:themeColor="text1"/>
        </w:rPr>
        <w:t>,</w:t>
      </w:r>
      <w:r w:rsidRPr="005C3B51">
        <w:rPr>
          <w:rFonts w:ascii="Times New Roman" w:hAnsi="Times New Roman" w:cs="Times New Roman"/>
          <w:color w:val="000000" w:themeColor="text1"/>
        </w:rPr>
        <w:t xml:space="preserve"> they </w:t>
      </w:r>
      <w:r>
        <w:rPr>
          <w:rFonts w:ascii="Times New Roman" w:hAnsi="Times New Roman" w:cs="Times New Roman"/>
          <w:color w:val="000000" w:themeColor="text1"/>
        </w:rPr>
        <w:t xml:space="preserve">often lack </w:t>
      </w:r>
      <w:r w:rsidRPr="005C3B51">
        <w:rPr>
          <w:rFonts w:ascii="Times New Roman" w:hAnsi="Times New Roman" w:cs="Times New Roman"/>
          <w:color w:val="000000" w:themeColor="text1"/>
        </w:rPr>
        <w:t xml:space="preserve">independent verification. </w:t>
      </w:r>
      <w:r>
        <w:rPr>
          <w:rFonts w:ascii="Times New Roman" w:hAnsi="Times New Roman" w:cs="Times New Roman"/>
          <w:color w:val="000000" w:themeColor="text1"/>
        </w:rPr>
        <w:t>In this study, w</w:t>
      </w:r>
      <w:r w:rsidRPr="005C3B51">
        <w:rPr>
          <w:rFonts w:ascii="Times New Roman" w:hAnsi="Times New Roman" w:cs="Times New Roman"/>
          <w:color w:val="000000" w:themeColor="text1"/>
        </w:rPr>
        <w:t xml:space="preserve">e use </w:t>
      </w:r>
      <w:r>
        <w:rPr>
          <w:rFonts w:ascii="Times New Roman" w:hAnsi="Times New Roman" w:cs="Times New Roman"/>
          <w:color w:val="000000" w:themeColor="text1"/>
        </w:rPr>
        <w:t>remotely-sensed</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CO</w:t>
      </w:r>
      <w:r w:rsidRPr="00574DFA">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5C3B51">
        <w:rPr>
          <w:rFonts w:ascii="Times New Roman" w:hAnsi="Times New Roman" w:cs="Times New Roman"/>
          <w:color w:val="000000" w:themeColor="text1"/>
        </w:rPr>
        <w:t xml:space="preserve">observations from </w:t>
      </w:r>
      <w:r>
        <w:rPr>
          <w:rFonts w:ascii="Times New Roman" w:hAnsi="Times New Roman" w:cs="Times New Roman"/>
          <w:color w:val="000000" w:themeColor="text1"/>
        </w:rPr>
        <w:t xml:space="preserve">the </w:t>
      </w:r>
      <w:r w:rsidRPr="005C3B51">
        <w:rPr>
          <w:rFonts w:ascii="Times New Roman" w:hAnsi="Times New Roman" w:cs="Times New Roman"/>
          <w:color w:val="000000" w:themeColor="text1"/>
        </w:rPr>
        <w:t>Orbiting Carbon Observatory-3 (OCO-3) to “top-down” estimate CO</w:t>
      </w:r>
      <w:r w:rsidRPr="005C3B51">
        <w:rPr>
          <w:rFonts w:ascii="Times New Roman" w:hAnsi="Times New Roman" w:cs="Times New Roman"/>
          <w:color w:val="000000" w:themeColor="text1"/>
        </w:rPr>
        <w:softHyphen/>
      </w:r>
      <w:r w:rsidRPr="005C3B51">
        <w:rPr>
          <w:rFonts w:ascii="Times New Roman" w:hAnsi="Times New Roman" w:cs="Times New Roman"/>
          <w:color w:val="000000" w:themeColor="text1"/>
          <w:vertAlign w:val="subscript"/>
        </w:rPr>
        <w:t>2</w:t>
      </w:r>
      <w:r w:rsidRPr="005C3B51">
        <w:rPr>
          <w:rFonts w:ascii="Times New Roman" w:hAnsi="Times New Roman" w:cs="Times New Roman"/>
          <w:color w:val="000000" w:themeColor="text1"/>
        </w:rPr>
        <w:t xml:space="preserve"> emission</w:t>
      </w:r>
      <w:r>
        <w:rPr>
          <w:rFonts w:ascii="Times New Roman" w:hAnsi="Times New Roman" w:cs="Times New Roman"/>
          <w:color w:val="000000" w:themeColor="text1"/>
        </w:rPr>
        <w:t>s</w:t>
      </w:r>
      <w:r w:rsidRPr="005C3B51">
        <w:rPr>
          <w:rFonts w:ascii="Times New Roman" w:hAnsi="Times New Roman" w:cs="Times New Roman"/>
          <w:color w:val="000000" w:themeColor="text1"/>
        </w:rPr>
        <w:t xml:space="preserve"> for 54 global cities. This</w:t>
      </w:r>
      <w:r>
        <w:rPr>
          <w:rFonts w:ascii="Times New Roman" w:hAnsi="Times New Roman" w:cs="Times New Roman"/>
          <w:color w:val="000000" w:themeColor="text1"/>
        </w:rPr>
        <w:t xml:space="preserve"> </w:t>
      </w:r>
      <w:r w:rsidRPr="005C3B51">
        <w:rPr>
          <w:rFonts w:ascii="Times New Roman" w:hAnsi="Times New Roman" w:cs="Times New Roman"/>
          <w:color w:val="000000" w:themeColor="text1"/>
        </w:rPr>
        <w:t>global</w:t>
      </w:r>
      <w:r>
        <w:rPr>
          <w:rFonts w:ascii="Times New Roman" w:hAnsi="Times New Roman" w:cs="Times New Roman"/>
          <w:color w:val="000000" w:themeColor="text1"/>
        </w:rPr>
        <w:t>-</w:t>
      </w:r>
      <w:r w:rsidRPr="005C3B51">
        <w:rPr>
          <w:rFonts w:ascii="Times New Roman" w:hAnsi="Times New Roman" w:cs="Times New Roman"/>
          <w:color w:val="000000" w:themeColor="text1"/>
        </w:rPr>
        <w:t>scale</w:t>
      </w:r>
      <w:r>
        <w:rPr>
          <w:rFonts w:ascii="Times New Roman" w:hAnsi="Times New Roman" w:cs="Times New Roman"/>
          <w:color w:val="000000" w:themeColor="text1"/>
        </w:rPr>
        <w:t xml:space="preserve"> analysis is enabled</w:t>
      </w:r>
      <w:r w:rsidRPr="005C3B51">
        <w:rPr>
          <w:rFonts w:ascii="Times New Roman" w:hAnsi="Times New Roman" w:cs="Times New Roman"/>
          <w:color w:val="000000" w:themeColor="text1"/>
        </w:rPr>
        <w:t xml:space="preserve"> by a computationally efficient</w:t>
      </w:r>
      <w:r>
        <w:rPr>
          <w:rFonts w:ascii="Times New Roman" w:hAnsi="Times New Roman" w:cs="Times New Roman"/>
          <w:color w:val="000000" w:themeColor="text1"/>
        </w:rPr>
        <w:t>, low latency</w:t>
      </w:r>
      <w:r w:rsidRPr="005C3B51">
        <w:rPr>
          <w:rFonts w:ascii="Times New Roman" w:hAnsi="Times New Roman" w:cs="Times New Roman"/>
          <w:color w:val="000000" w:themeColor="text1"/>
        </w:rPr>
        <w:t xml:space="preserve"> Cross-Sectional Flux (CSF) approach</w:t>
      </w:r>
      <w:r>
        <w:rPr>
          <w:rFonts w:ascii="Times New Roman" w:hAnsi="Times New Roman" w:cs="Times New Roman"/>
          <w:color w:val="000000" w:themeColor="text1"/>
        </w:rPr>
        <w:t>,</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which</w:t>
      </w:r>
      <w:r w:rsidRPr="005C3B51">
        <w:rPr>
          <w:rFonts w:ascii="Times New Roman" w:hAnsi="Times New Roman" w:cs="Times New Roman"/>
          <w:color w:val="000000" w:themeColor="text1"/>
        </w:rPr>
        <w:t xml:space="preserve"> constrains </w:t>
      </w:r>
      <w:r>
        <w:rPr>
          <w:rFonts w:ascii="Times New Roman" w:hAnsi="Times New Roman" w:cs="Times New Roman"/>
          <w:color w:val="000000" w:themeColor="text1"/>
        </w:rPr>
        <w:t xml:space="preserve">urban plume </w:t>
      </w:r>
      <w:r w:rsidRPr="005C3B51">
        <w:rPr>
          <w:rFonts w:ascii="Times New Roman" w:hAnsi="Times New Roman" w:cs="Times New Roman"/>
          <w:color w:val="000000" w:themeColor="text1"/>
        </w:rPr>
        <w:t>shape using NO</w:t>
      </w:r>
      <w:r w:rsidRPr="005C3B51">
        <w:rPr>
          <w:rFonts w:ascii="Times New Roman" w:hAnsi="Times New Roman" w:cs="Times New Roman"/>
          <w:color w:val="000000" w:themeColor="text1"/>
          <w:vertAlign w:val="subscript"/>
        </w:rPr>
        <w:t>2</w:t>
      </w:r>
      <w:r w:rsidRPr="005C3B51">
        <w:rPr>
          <w:rFonts w:ascii="Times New Roman" w:hAnsi="Times New Roman" w:cs="Times New Roman"/>
          <w:color w:val="000000" w:themeColor="text1"/>
        </w:rPr>
        <w:t xml:space="preserve"> observations from </w:t>
      </w:r>
      <w:r>
        <w:rPr>
          <w:rFonts w:ascii="Times New Roman" w:hAnsi="Times New Roman" w:cs="Times New Roman"/>
          <w:color w:val="000000" w:themeColor="text1"/>
        </w:rPr>
        <w:t xml:space="preserve">TROPOMI and trajectory simulations from </w:t>
      </w:r>
      <w:r>
        <w:rPr>
          <w:rFonts w:ascii="Times New Roman" w:hAnsi="Times New Roman" w:cs="Times New Roman"/>
        </w:rPr>
        <w:t>HYSPLIT</w:t>
      </w:r>
      <w:r w:rsidRPr="005C3B51">
        <w:rPr>
          <w:rFonts w:ascii="Times New Roman" w:hAnsi="Times New Roman" w:cs="Times New Roman"/>
          <w:color w:val="000000" w:themeColor="text1"/>
        </w:rPr>
        <w:t>.</w:t>
      </w:r>
      <w:r>
        <w:rPr>
          <w:rFonts w:ascii="Times New Roman" w:hAnsi="Times New Roman" w:cs="Times New Roman"/>
          <w:color w:val="000000" w:themeColor="text1"/>
        </w:rPr>
        <w:t xml:space="preserve"> O</w:t>
      </w:r>
      <w:r w:rsidRPr="005C3B51">
        <w:rPr>
          <w:rFonts w:ascii="Times New Roman" w:hAnsi="Times New Roman" w:cs="Times New Roman"/>
          <w:color w:val="000000" w:themeColor="text1"/>
        </w:rPr>
        <w:t xml:space="preserve">ur satellite-based emission estimates </w:t>
      </w:r>
      <w:r>
        <w:rPr>
          <w:rFonts w:ascii="Times New Roman" w:hAnsi="Times New Roman" w:cs="Times New Roman"/>
          <w:color w:val="000000" w:themeColor="text1"/>
        </w:rPr>
        <w:t>for 54 global cities agrees within 7% to</w:t>
      </w:r>
      <w:r w:rsidRPr="005C3B51">
        <w:rPr>
          <w:rFonts w:ascii="Times New Roman" w:hAnsi="Times New Roman" w:cs="Times New Roman"/>
          <w:color w:val="000000" w:themeColor="text1"/>
        </w:rPr>
        <w:t xml:space="preserve"> two </w:t>
      </w:r>
      <w:r>
        <w:rPr>
          <w:rFonts w:ascii="Times New Roman" w:hAnsi="Times New Roman" w:cs="Times New Roman"/>
          <w:color w:val="000000" w:themeColor="text1"/>
        </w:rPr>
        <w:t xml:space="preserve">widely used </w:t>
      </w:r>
      <w:r w:rsidRPr="005C3B51">
        <w:rPr>
          <w:rFonts w:ascii="Times New Roman" w:hAnsi="Times New Roman" w:cs="Times New Roman"/>
          <w:color w:val="000000" w:themeColor="text1"/>
        </w:rPr>
        <w:t>bottom-up datasets</w:t>
      </w:r>
      <w:r>
        <w:rPr>
          <w:rFonts w:ascii="Times New Roman" w:hAnsi="Times New Roman" w:cs="Times New Roman"/>
          <w:color w:val="000000" w:themeColor="text1"/>
        </w:rPr>
        <w:t xml:space="preserve"> but reveal regional discrepancies. B</w:t>
      </w:r>
      <w:r w:rsidRPr="005C3B51">
        <w:rPr>
          <w:rFonts w:ascii="Times New Roman" w:hAnsi="Times New Roman" w:cs="Times New Roman"/>
          <w:color w:val="000000" w:themeColor="text1"/>
        </w:rPr>
        <w:t xml:space="preserve">ottom-up </w:t>
      </w:r>
      <w:r>
        <w:rPr>
          <w:rFonts w:ascii="Times New Roman" w:hAnsi="Times New Roman" w:cs="Times New Roman"/>
          <w:color w:val="000000" w:themeColor="text1"/>
        </w:rPr>
        <w:t>estimates</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tend to </w:t>
      </w:r>
      <w:r w:rsidRPr="005C3B51">
        <w:rPr>
          <w:rFonts w:ascii="Times New Roman" w:hAnsi="Times New Roman" w:cs="Times New Roman"/>
          <w:color w:val="000000" w:themeColor="text1"/>
        </w:rPr>
        <w:t xml:space="preserve">overestimate emissions </w:t>
      </w:r>
      <w:r>
        <w:rPr>
          <w:rFonts w:ascii="Times New Roman" w:hAnsi="Times New Roman" w:cs="Times New Roman"/>
          <w:color w:val="000000" w:themeColor="text1"/>
        </w:rPr>
        <w:t>for</w:t>
      </w:r>
      <w:r w:rsidRPr="005C3B51">
        <w:rPr>
          <w:rFonts w:ascii="Times New Roman" w:hAnsi="Times New Roman" w:cs="Times New Roman"/>
          <w:color w:val="000000" w:themeColor="text1"/>
        </w:rPr>
        <w:t xml:space="preserve"> cities in Central East Asia and South and West Asia</w:t>
      </w:r>
      <w:r>
        <w:rPr>
          <w:rFonts w:ascii="Times New Roman" w:hAnsi="Times New Roman" w:cs="Times New Roman"/>
          <w:color w:val="000000" w:themeColor="text1"/>
        </w:rPr>
        <w:t>,</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while </w:t>
      </w:r>
      <w:r w:rsidRPr="005C3B51">
        <w:rPr>
          <w:rFonts w:ascii="Times New Roman" w:hAnsi="Times New Roman" w:cs="Times New Roman"/>
          <w:color w:val="000000" w:themeColor="text1"/>
        </w:rPr>
        <w:t>underestimat</w:t>
      </w:r>
      <w:r>
        <w:rPr>
          <w:rFonts w:ascii="Times New Roman" w:hAnsi="Times New Roman" w:cs="Times New Roman"/>
          <w:color w:val="000000" w:themeColor="text1"/>
        </w:rPr>
        <w:t>ing</w:t>
      </w:r>
      <w:r w:rsidRPr="005C3B51">
        <w:rPr>
          <w:rFonts w:ascii="Times New Roman" w:hAnsi="Times New Roman" w:cs="Times New Roman"/>
          <w:color w:val="000000" w:themeColor="text1"/>
        </w:rPr>
        <w:t xml:space="preserve"> emissions in Africa, East and Southeast Asia &amp; Oceania, Europe, and North America. </w:t>
      </w:r>
      <w:r>
        <w:rPr>
          <w:rFonts w:ascii="Times New Roman" w:hAnsi="Times New Roman" w:cs="Times New Roman"/>
          <w:color w:val="000000" w:themeColor="text1"/>
        </w:rPr>
        <w:t xml:space="preserve">  Additionally</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our </w:t>
      </w:r>
      <w:r w:rsidRPr="005C3B51">
        <w:rPr>
          <w:rFonts w:ascii="Times New Roman" w:hAnsi="Times New Roman" w:cs="Times New Roman"/>
          <w:color w:val="000000" w:themeColor="text1"/>
        </w:rPr>
        <w:t xml:space="preserve">satellite-based socioeconomic analysis </w:t>
      </w:r>
      <w:r>
        <w:rPr>
          <w:rFonts w:ascii="Times New Roman" w:hAnsi="Times New Roman" w:cs="Times New Roman"/>
          <w:color w:val="000000" w:themeColor="text1"/>
        </w:rPr>
        <w:t>shows</w:t>
      </w:r>
      <w:r w:rsidRPr="005C3B51">
        <w:rPr>
          <w:rFonts w:ascii="Times New Roman" w:hAnsi="Times New Roman" w:cs="Times New Roman"/>
          <w:color w:val="000000" w:themeColor="text1"/>
        </w:rPr>
        <w:t xml:space="preserve"> that 1) high-income cit</w:t>
      </w:r>
      <w:r>
        <w:rPr>
          <w:rFonts w:ascii="Times New Roman" w:hAnsi="Times New Roman" w:cs="Times New Roman"/>
          <w:color w:val="000000" w:themeColor="text1"/>
        </w:rPr>
        <w:t>ies</w:t>
      </w:r>
      <w:r w:rsidRPr="005C3B51">
        <w:rPr>
          <w:rFonts w:ascii="Times New Roman" w:hAnsi="Times New Roman" w:cs="Times New Roman"/>
          <w:color w:val="000000" w:themeColor="text1"/>
        </w:rPr>
        <w:t xml:space="preserve"> tend to </w:t>
      </w:r>
      <w:r>
        <w:rPr>
          <w:rFonts w:ascii="Times New Roman" w:hAnsi="Times New Roman" w:cs="Times New Roman"/>
          <w:color w:val="000000" w:themeColor="text1"/>
        </w:rPr>
        <w:t>have less</w:t>
      </w:r>
      <w:r w:rsidRPr="005C3B51">
        <w:rPr>
          <w:rFonts w:ascii="Times New Roman" w:hAnsi="Times New Roman" w:cs="Times New Roman"/>
          <w:color w:val="000000" w:themeColor="text1"/>
        </w:rPr>
        <w:t xml:space="preserve"> carbon-intensive econom</w:t>
      </w:r>
      <w:r>
        <w:rPr>
          <w:rFonts w:ascii="Times New Roman" w:hAnsi="Times New Roman" w:cs="Times New Roman"/>
          <w:color w:val="000000" w:themeColor="text1"/>
        </w:rPr>
        <w:t xml:space="preserve">ies: </w:t>
      </w:r>
      <w:r w:rsidRPr="005C3B51">
        <w:rPr>
          <w:rFonts w:ascii="Times New Roman" w:hAnsi="Times New Roman" w:cs="Times New Roman"/>
          <w:color w:val="000000" w:themeColor="text1"/>
        </w:rPr>
        <w:t>North America</w:t>
      </w:r>
      <w:r>
        <w:rPr>
          <w:rFonts w:ascii="Times New Roman" w:hAnsi="Times New Roman" w:cs="Times New Roman"/>
          <w:color w:val="000000" w:themeColor="text1"/>
        </w:rPr>
        <w:t>n cities</w:t>
      </w:r>
      <w:r w:rsidRPr="005C3B51">
        <w:rPr>
          <w:rFonts w:ascii="Times New Roman" w:hAnsi="Times New Roman" w:cs="Times New Roman"/>
          <w:color w:val="000000" w:themeColor="text1"/>
        </w:rPr>
        <w:t xml:space="preserve"> emit 0.1 kg CO</w:t>
      </w:r>
      <w:r w:rsidRPr="005C3B51">
        <w:rPr>
          <w:rFonts w:ascii="Times New Roman" w:hAnsi="Times New Roman" w:cs="Times New Roman"/>
          <w:color w:val="000000" w:themeColor="text1"/>
          <w:vertAlign w:val="subscript"/>
        </w:rPr>
        <w:t>2</w:t>
      </w:r>
      <w:r w:rsidRPr="005C3B51">
        <w:rPr>
          <w:rFonts w:ascii="Times New Roman" w:hAnsi="Times New Roman" w:cs="Times New Roman"/>
          <w:color w:val="000000" w:themeColor="text1"/>
        </w:rPr>
        <w:t xml:space="preserve"> per USD of economic output, </w:t>
      </w:r>
      <w:r>
        <w:rPr>
          <w:rFonts w:ascii="Times New Roman" w:hAnsi="Times New Roman" w:cs="Times New Roman"/>
          <w:color w:val="000000" w:themeColor="text1"/>
        </w:rPr>
        <w:t>while</w:t>
      </w:r>
      <w:r w:rsidRPr="005C3B51">
        <w:rPr>
          <w:rFonts w:ascii="Times New Roman" w:hAnsi="Times New Roman" w:cs="Times New Roman"/>
          <w:color w:val="000000" w:themeColor="text1"/>
        </w:rPr>
        <w:t xml:space="preserve"> Africa</w:t>
      </w:r>
      <w:r>
        <w:rPr>
          <w:rFonts w:ascii="Times New Roman" w:hAnsi="Times New Roman" w:cs="Times New Roman"/>
          <w:color w:val="000000" w:themeColor="text1"/>
        </w:rPr>
        <w:t>n cities</w:t>
      </w:r>
      <w:r w:rsidRPr="005C3B51">
        <w:rPr>
          <w:rFonts w:ascii="Times New Roman" w:hAnsi="Times New Roman" w:cs="Times New Roman"/>
          <w:color w:val="000000" w:themeColor="text1"/>
        </w:rPr>
        <w:t xml:space="preserve"> emit 0.5 kg CO</w:t>
      </w:r>
      <w:r w:rsidRPr="005C3B51">
        <w:rPr>
          <w:rFonts w:ascii="Times New Roman" w:hAnsi="Times New Roman" w:cs="Times New Roman"/>
          <w:color w:val="000000" w:themeColor="text1"/>
          <w:vertAlign w:val="subscript"/>
        </w:rPr>
        <w:t>2</w:t>
      </w:r>
      <w:r w:rsidRPr="005C3B51">
        <w:rPr>
          <w:rFonts w:ascii="Times New Roman" w:hAnsi="Times New Roman" w:cs="Times New Roman"/>
          <w:color w:val="000000" w:themeColor="text1"/>
        </w:rPr>
        <w:t xml:space="preserve"> per USD,  and 2) </w:t>
      </w:r>
      <w:r>
        <w:rPr>
          <w:rFonts w:ascii="Times New Roman" w:hAnsi="Times New Roman" w:cs="Times New Roman"/>
          <w:color w:val="000000" w:themeColor="text1"/>
        </w:rPr>
        <w:t>p</w:t>
      </w:r>
      <w:r w:rsidRPr="005C3B51">
        <w:rPr>
          <w:rFonts w:ascii="Times New Roman" w:hAnsi="Times New Roman" w:cs="Times New Roman"/>
          <w:color w:val="000000" w:themeColor="text1"/>
        </w:rPr>
        <w:t xml:space="preserve">er capita emissions decrease </w:t>
      </w:r>
      <w:r>
        <w:rPr>
          <w:rFonts w:ascii="Times New Roman" w:hAnsi="Times New Roman" w:cs="Times New Roman"/>
          <w:color w:val="000000" w:themeColor="text1"/>
        </w:rPr>
        <w:t xml:space="preserve">with increasing population size, </w:t>
      </w:r>
      <w:r w:rsidRPr="005C3B51">
        <w:rPr>
          <w:rFonts w:ascii="Times New Roman" w:hAnsi="Times New Roman" w:cs="Times New Roman"/>
          <w:color w:val="000000" w:themeColor="text1"/>
        </w:rPr>
        <w:t>from 7.7 tCO</w:t>
      </w:r>
      <w:r w:rsidRPr="005C3B51">
        <w:rPr>
          <w:rFonts w:ascii="Times New Roman" w:hAnsi="Times New Roman" w:cs="Times New Roman"/>
          <w:color w:val="000000" w:themeColor="text1"/>
          <w:vertAlign w:val="subscript"/>
        </w:rPr>
        <w:t>2</w:t>
      </w:r>
      <w:r>
        <w:rPr>
          <w:rFonts w:ascii="Times New Roman" w:hAnsi="Times New Roman" w:cs="Times New Roman"/>
          <w:color w:val="000000" w:themeColor="text1"/>
        </w:rPr>
        <w:t>/person</w:t>
      </w:r>
      <w:r w:rsidRPr="005C3B51">
        <w:rPr>
          <w:rFonts w:ascii="Times New Roman" w:hAnsi="Times New Roman" w:cs="Times New Roman"/>
          <w:color w:val="000000" w:themeColor="text1"/>
        </w:rPr>
        <w:t xml:space="preserve"> for cities </w:t>
      </w:r>
      <w:r>
        <w:rPr>
          <w:rFonts w:ascii="Times New Roman" w:hAnsi="Times New Roman" w:cs="Times New Roman"/>
          <w:color w:val="000000" w:themeColor="text1"/>
        </w:rPr>
        <w:lastRenderedPageBreak/>
        <w:t xml:space="preserve">under </w:t>
      </w:r>
      <w:r w:rsidRPr="005C3B51">
        <w:rPr>
          <w:rFonts w:ascii="Times New Roman" w:hAnsi="Times New Roman" w:cs="Times New Roman"/>
          <w:color w:val="000000" w:themeColor="text1"/>
        </w:rPr>
        <w:t>5 million</w:t>
      </w:r>
      <w:r>
        <w:rPr>
          <w:rFonts w:ascii="Times New Roman" w:hAnsi="Times New Roman" w:cs="Times New Roman"/>
          <w:color w:val="000000" w:themeColor="text1"/>
        </w:rPr>
        <w:t xml:space="preserve"> residents</w:t>
      </w:r>
      <w:r w:rsidRPr="005C3B51">
        <w:rPr>
          <w:rFonts w:ascii="Times New Roman" w:hAnsi="Times New Roman" w:cs="Times New Roman"/>
          <w:color w:val="000000" w:themeColor="text1"/>
        </w:rPr>
        <w:t xml:space="preserve"> to 1.8 tCO</w:t>
      </w:r>
      <w:r w:rsidRPr="005C3B51">
        <w:rPr>
          <w:rFonts w:ascii="Times New Roman" w:hAnsi="Times New Roman" w:cs="Times New Roman"/>
          <w:color w:val="000000" w:themeColor="text1"/>
          <w:vertAlign w:val="subscript"/>
        </w:rPr>
        <w:t>2</w:t>
      </w:r>
      <w:r>
        <w:rPr>
          <w:rFonts w:ascii="Times New Roman" w:hAnsi="Times New Roman" w:cs="Times New Roman"/>
          <w:color w:val="000000" w:themeColor="text1"/>
        </w:rPr>
        <w:t>/person</w:t>
      </w:r>
      <w:r w:rsidRPr="005C3B51">
        <w:rPr>
          <w:rFonts w:ascii="Times New Roman" w:hAnsi="Times New Roman" w:cs="Times New Roman"/>
          <w:color w:val="000000" w:themeColor="text1"/>
        </w:rPr>
        <w:t xml:space="preserve"> for cities </w:t>
      </w:r>
      <w:r>
        <w:rPr>
          <w:rFonts w:ascii="Times New Roman" w:hAnsi="Times New Roman" w:cs="Times New Roman"/>
          <w:color w:val="000000" w:themeColor="text1"/>
        </w:rPr>
        <w:t>over</w:t>
      </w:r>
      <w:r w:rsidRPr="005C3B51">
        <w:rPr>
          <w:rFonts w:ascii="Times New Roman" w:hAnsi="Times New Roman" w:cs="Times New Roman"/>
          <w:color w:val="000000" w:themeColor="text1"/>
        </w:rPr>
        <w:t xml:space="preserve"> 20 million</w:t>
      </w:r>
      <w:r>
        <w:rPr>
          <w:rFonts w:ascii="Times New Roman" w:hAnsi="Times New Roman" w:cs="Times New Roman"/>
          <w:color w:val="000000" w:themeColor="text1"/>
        </w:rPr>
        <w:t xml:space="preserve"> residents</w:t>
      </w:r>
      <w:r w:rsidRPr="005C3B51">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5C3B51">
        <w:rPr>
          <w:rFonts w:ascii="Times New Roman" w:hAnsi="Times New Roman" w:cs="Times New Roman"/>
          <w:color w:val="000000" w:themeColor="text1"/>
        </w:rPr>
        <w:t xml:space="preserve">This study highlights the potential of satellite </w:t>
      </w:r>
      <w:r>
        <w:rPr>
          <w:rFonts w:ascii="Times New Roman" w:hAnsi="Times New Roman" w:cs="Times New Roman"/>
          <w:color w:val="000000" w:themeColor="text1"/>
        </w:rPr>
        <w:t>data</w:t>
      </w:r>
      <w:r w:rsidRPr="005C3B5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to bridge gaps between </w:t>
      </w:r>
      <w:r w:rsidRPr="005C3B51">
        <w:rPr>
          <w:rFonts w:ascii="Times New Roman" w:hAnsi="Times New Roman" w:cs="Times New Roman"/>
          <w:color w:val="000000" w:themeColor="text1"/>
        </w:rPr>
        <w:t>top-down and bottom-up emission estimates</w:t>
      </w:r>
      <w:r>
        <w:rPr>
          <w:rFonts w:ascii="Times New Roman" w:hAnsi="Times New Roman" w:cs="Times New Roman"/>
          <w:color w:val="000000" w:themeColor="text1"/>
        </w:rPr>
        <w:t xml:space="preserve">, enhancing the </w:t>
      </w:r>
      <w:r w:rsidRPr="005C3B51">
        <w:rPr>
          <w:rFonts w:ascii="Times New Roman" w:hAnsi="Times New Roman" w:cs="Times New Roman"/>
          <w:color w:val="000000" w:themeColor="text1"/>
        </w:rPr>
        <w:t>robust</w:t>
      </w:r>
      <w:r>
        <w:rPr>
          <w:rFonts w:ascii="Times New Roman" w:hAnsi="Times New Roman" w:cs="Times New Roman"/>
          <w:color w:val="000000" w:themeColor="text1"/>
        </w:rPr>
        <w:t>ness</w:t>
      </w:r>
      <w:r w:rsidRPr="005C3B51">
        <w:rPr>
          <w:rFonts w:ascii="Times New Roman" w:hAnsi="Times New Roman" w:cs="Times New Roman"/>
          <w:color w:val="000000" w:themeColor="text1"/>
        </w:rPr>
        <w:t xml:space="preserve"> and transparen</w:t>
      </w:r>
      <w:r>
        <w:rPr>
          <w:rFonts w:ascii="Times New Roman" w:hAnsi="Times New Roman" w:cs="Times New Roman"/>
          <w:color w:val="000000" w:themeColor="text1"/>
        </w:rPr>
        <w:t>cy of</w:t>
      </w:r>
      <w:r w:rsidRPr="005C3B51">
        <w:rPr>
          <w:rFonts w:ascii="Times New Roman" w:hAnsi="Times New Roman" w:cs="Times New Roman"/>
          <w:color w:val="000000" w:themeColor="text1"/>
        </w:rPr>
        <w:t xml:space="preserve"> emissions monitoring. Our findings </w:t>
      </w:r>
      <w:r>
        <w:rPr>
          <w:rFonts w:ascii="Times New Roman" w:hAnsi="Times New Roman" w:cs="Times New Roman"/>
          <w:color w:val="000000" w:themeColor="text1"/>
        </w:rPr>
        <w:t>emphasize</w:t>
      </w:r>
      <w:r w:rsidRPr="005C3B51">
        <w:rPr>
          <w:rFonts w:ascii="Times New Roman" w:hAnsi="Times New Roman" w:cs="Times New Roman"/>
          <w:color w:val="000000" w:themeColor="text1"/>
        </w:rPr>
        <w:t xml:space="preserve"> the growing role of satellite </w:t>
      </w:r>
      <w:r>
        <w:rPr>
          <w:rFonts w:ascii="Times New Roman" w:hAnsi="Times New Roman" w:cs="Times New Roman"/>
          <w:color w:val="000000" w:themeColor="text1"/>
        </w:rPr>
        <w:t>data</w:t>
      </w:r>
      <w:r w:rsidRPr="005C3B51">
        <w:rPr>
          <w:rFonts w:ascii="Times New Roman" w:hAnsi="Times New Roman" w:cs="Times New Roman"/>
          <w:color w:val="000000" w:themeColor="text1"/>
        </w:rPr>
        <w:t xml:space="preserve"> in verifying urban CO</w:t>
      </w:r>
      <w:r w:rsidRPr="005C3B51">
        <w:rPr>
          <w:rFonts w:ascii="Times New Roman" w:hAnsi="Times New Roman" w:cs="Times New Roman"/>
          <w:color w:val="000000" w:themeColor="text1"/>
          <w:vertAlign w:val="subscript"/>
        </w:rPr>
        <w:t>2</w:t>
      </w:r>
      <w:r w:rsidRPr="005C3B51">
        <w:rPr>
          <w:rFonts w:ascii="Times New Roman" w:hAnsi="Times New Roman" w:cs="Times New Roman"/>
          <w:color w:val="000000" w:themeColor="text1"/>
        </w:rPr>
        <w:t xml:space="preserve"> emissions and supporting efforts to mitigate emissions</w:t>
      </w:r>
      <w:r>
        <w:rPr>
          <w:rFonts w:ascii="Times New Roman" w:hAnsi="Times New Roman" w:cs="Times New Roman"/>
          <w:color w:val="000000" w:themeColor="text1"/>
        </w:rPr>
        <w:t xml:space="preserve"> for global cities</w:t>
      </w:r>
      <w:r w:rsidRPr="005C3B51">
        <w:rPr>
          <w:rFonts w:ascii="Times New Roman" w:hAnsi="Times New Roman" w:cs="Times New Roman"/>
          <w:color w:val="000000" w:themeColor="text1"/>
        </w:rPr>
        <w:t xml:space="preserve">. </w:t>
      </w:r>
    </w:p>
    <w:p w14:paraId="36F62BA0" w14:textId="77777777" w:rsidR="00BF0126" w:rsidRPr="000C13A3" w:rsidRDefault="00BF0126" w:rsidP="00BF0126">
      <w:pPr>
        <w:pStyle w:val="Abstract"/>
        <w:rPr>
          <w:b/>
        </w:rPr>
      </w:pPr>
      <w:r w:rsidRPr="000C13A3">
        <w:rPr>
          <w:b/>
        </w:rPr>
        <w:t>Plain Language Summary</w:t>
      </w:r>
    </w:p>
    <w:p w14:paraId="1CF46807" w14:textId="77777777" w:rsidR="00BF0126" w:rsidRPr="000C13A3" w:rsidRDefault="00BF0126" w:rsidP="00BF0126">
      <w:pPr>
        <w:pStyle w:val="Abstract"/>
        <w:jc w:val="both"/>
      </w:pPr>
      <w:r>
        <w:t>Cities can play a key role in reducing greenhouse gas emissions, but current estimates of their CO</w:t>
      </w:r>
      <w:r w:rsidRPr="00342B33">
        <w:rPr>
          <w:vertAlign w:val="subscript"/>
        </w:rPr>
        <w:t>2</w:t>
      </w:r>
      <w:r>
        <w:t xml:space="preserve"> emissions often rely on tracking fuel sales and making assumptions on where those fuels are burned. In this study, we use satellite observations from NASA’s OCO-3 instrument to directly estimate CO</w:t>
      </w:r>
      <w:r w:rsidRPr="00E24354">
        <w:rPr>
          <w:vertAlign w:val="subscript"/>
        </w:rPr>
        <w:t>2</w:t>
      </w:r>
      <w:r>
        <w:t xml:space="preserve"> emissions for 54 global cities. Our satellite-based estimates match fuel-usage-based datasets within 7% globally, but we find regional differences in cities in North America, Europe, Asia, and Africa. We also explore the link between emissions, economies, and populations. Our findings show that wealthier cities tend to have cleaner economies—North American cities emit 0.1 kg of CO</w:t>
      </w:r>
      <w:r w:rsidRPr="00246F06">
        <w:rPr>
          <w:vertAlign w:val="subscript"/>
        </w:rPr>
        <w:t>2</w:t>
      </w:r>
      <w:r>
        <w:t xml:space="preserve"> per dollar of economic output, while African cities emit 0.5 kg of CO</w:t>
      </w:r>
      <w:r w:rsidRPr="00BD5973">
        <w:rPr>
          <w:vertAlign w:val="subscript"/>
        </w:rPr>
        <w:t>2</w:t>
      </w:r>
      <w:r>
        <w:t xml:space="preserve"> per dollar. Additionally, we found that larger cities produce less CO</w:t>
      </w:r>
      <w:r w:rsidRPr="00246F06">
        <w:rPr>
          <w:vertAlign w:val="subscript"/>
        </w:rPr>
        <w:t>2</w:t>
      </w:r>
      <w:r>
        <w:t xml:space="preserve"> per person—cities under 5 million people emit 7.7 tons per person, whereas cities over 20 million emit just 1.8 tons per person.  Our study shows how satellite data can help improve emission tracking, making global monitoring more accurate and transparent. These insights can help cities better track and eventually reduce their CO</w:t>
      </w:r>
      <w:r w:rsidRPr="00246F06">
        <w:rPr>
          <w:vertAlign w:val="subscript"/>
        </w:rPr>
        <w:t>2</w:t>
      </w:r>
      <w:r>
        <w:t xml:space="preserve"> emissions.</w:t>
      </w:r>
    </w:p>
    <w:p w14:paraId="67479248" w14:textId="77777777" w:rsidR="00BF0126" w:rsidRPr="000C13A3" w:rsidRDefault="00BF0126" w:rsidP="00BF0126">
      <w:pPr>
        <w:pStyle w:val="Heading-Main"/>
      </w:pPr>
      <w:r w:rsidRPr="000C13A3">
        <w:t>1 Introduction</w:t>
      </w:r>
    </w:p>
    <w:p w14:paraId="3FC3C7C5" w14:textId="77777777" w:rsidR="00BF0126" w:rsidRDefault="00BF0126" w:rsidP="00BF0126">
      <w:pPr>
        <w:pStyle w:val="AbstractSummary"/>
        <w:jc w:val="both"/>
      </w:pPr>
      <w:r w:rsidRPr="00472ADD">
        <w:t xml:space="preserve">Cities </w:t>
      </w:r>
      <w:r>
        <w:t>contribute</w:t>
      </w:r>
      <w:r w:rsidRPr="00472ADD">
        <w:t xml:space="preserve"> about 75% of global CO</w:t>
      </w:r>
      <w:r w:rsidRPr="00472ADD">
        <w:rPr>
          <w:vertAlign w:val="subscript"/>
        </w:rPr>
        <w:t>2</w:t>
      </w:r>
      <w:r w:rsidRPr="00472ADD">
        <w:t xml:space="preserve"> emissions </w:t>
      </w:r>
      <w:r w:rsidRPr="00472ADD">
        <w:fldChar w:fldCharType="begin"/>
      </w:r>
      <w:r w:rsidRPr="00472ADD">
        <w:instrText xml:space="preserve"> ADDIN ZOTERO_ITEM CSL_CITATION {"citationID":"nxRtelpK","properties":{"formattedCitation":"(Lwasa et al., 2022)","plainCitation":"(Lwasa et al., 2022)","noteIndex":0},"citationItems":[{"id":2282,"uris":["http://zotero.org/users/12959951/items/EF998HKN"],"itemData":{"id":2282,"type":"article-journal","container-title":"Cambridge University Press, Cambridge, UK and New York, NY, USA","DOI":"10.1017/9781009157926.010","journalAbbreviation":"Climate Change","page":"861-952","title":"Urban systems and other settlements. In IPCC, 2022: Climate Change 2022: Mitigation of Climate Change. Contribution of Working Group III to the Sixth Assessment Report of the Intergovernmental Panel on Climate Change[P.R. Shukla, J. Skea, R. Slade, A. Al Khourdajie, R. van Diemen, D. McCollum, M. Pathak, S. Some, P. Vyas, R. Fradera, M. Belkacemi, A. Hasija, G. Lisboa, S. Luz, J. Malley, (eds.)]","author":[{"family":"Lwasa","given":"S"},{"family":"Seto","given":"KC"},{"family":"Bai","given":"X"},{"family":"Blanco","given":"H"},{"family":"Gurney","given":"KR"},{"family":"Kılkış","given":"Ş"},{"family":"Lucon","given":"O"},{"family":"Murakami","given":"J"},{"family":"Pan","given":"J"},{"family":"Sharifi","given":"A"},{"family":"Yamagata","given":"Y"}],"issued":{"date-parts":[["2022"]]}}}],"schema":"https://github.com/citation-style-language/schema/raw/master/csl-citation.json"} </w:instrText>
      </w:r>
      <w:r w:rsidRPr="00472ADD">
        <w:fldChar w:fldCharType="separate"/>
      </w:r>
      <w:r w:rsidRPr="00472ADD">
        <w:t>(Lwasa et al., 2022)</w:t>
      </w:r>
      <w:r w:rsidRPr="00472ADD">
        <w:fldChar w:fldCharType="end"/>
      </w:r>
      <w:r w:rsidRPr="00472ADD">
        <w:t xml:space="preserve">. </w:t>
      </w:r>
      <w:r>
        <w:t xml:space="preserve">With the global urban population </w:t>
      </w:r>
      <w:r w:rsidRPr="00472ADD">
        <w:t xml:space="preserve">projected to </w:t>
      </w:r>
      <w:r>
        <w:t>grow</w:t>
      </w:r>
      <w:r w:rsidRPr="00472ADD">
        <w:t xml:space="preserve"> from 55% in 2018 to 70% in 2050, cities play a crucial role in reducing global</w:t>
      </w:r>
      <w:r>
        <w:t xml:space="preserve"> Greenhouse Gas</w:t>
      </w:r>
      <w:r w:rsidRPr="00472ADD">
        <w:t xml:space="preserve"> </w:t>
      </w:r>
      <w:r>
        <w:t>(</w:t>
      </w:r>
      <w:r w:rsidRPr="00472ADD">
        <w:t>GHG</w:t>
      </w:r>
      <w:r>
        <w:t>)</w:t>
      </w:r>
      <w:r w:rsidRPr="00472ADD">
        <w:t xml:space="preserve"> emissions </w:t>
      </w:r>
      <w:r w:rsidRPr="00472ADD">
        <w:fldChar w:fldCharType="begin"/>
      </w:r>
      <w:r w:rsidRPr="00472ADD">
        <w:instrText xml:space="preserve"> ADDIN ZOTERO_ITEM CSL_CITATION {"citationID":"vjxYi1A2","properties":{"formattedCitation":"(Roberts &amp; Mukim, 2023)","plainCitation":"(Roberts &amp; Mukim, 2023)","noteIndex":0},"citationItems":[{"id":1289,"uris":["http://zotero.org/users/12959951/items/BPSNAJJL"],"itemData":{"id":1289,"type":"book","ISBN":"1-4648-1936-X","publisher":"World Bank Publications","title":"Thriving: Making Cities Green, Resilient, and Inclusive in a Changing Climate","author":[{"family":"Roberts","given":"Mark"},{"family":"Mukim","given":"Megha"}],"issued":{"date-parts":[["2023"]]}},"label":"page"}],"schema":"https://github.com/citation-style-language/schema/raw/master/csl-citation.json"} </w:instrText>
      </w:r>
      <w:r w:rsidRPr="00472ADD">
        <w:fldChar w:fldCharType="separate"/>
      </w:r>
      <w:r w:rsidRPr="00472ADD">
        <w:t>(Roberts &amp; Mukim, 2023)</w:t>
      </w:r>
      <w:r w:rsidRPr="00472ADD">
        <w:fldChar w:fldCharType="end"/>
      </w:r>
      <w:r w:rsidRPr="00472ADD">
        <w:t>. More than 1,100 cities have signed the</w:t>
      </w:r>
      <w:r>
        <w:t xml:space="preserve"> United Nations’</w:t>
      </w:r>
      <w:r w:rsidRPr="00472ADD">
        <w:t xml:space="preserve"> Race to Zero campaign, which aims to halve GHG emissions by 2030 and reach net zero by 2050 </w:t>
      </w:r>
      <w:r w:rsidRPr="00472ADD">
        <w:fldChar w:fldCharType="begin"/>
      </w:r>
      <w:r w:rsidRPr="00472ADD">
        <w:instrText xml:space="preserve"> ADDIN ZOTERO_ITEM CSL_CITATION {"citationID":"gyyRnws1","properties":{"formattedCitation":"(UNFCCC, 2023)","plainCitation":"(UNFCCC, 2023)","noteIndex":0},"citationItems":[{"id":1288,"uris":["http://zotero.org/users/12959951/items/MKN2496X"],"itemData":{"id":1288,"type":"article-journal","title":"Race to Zero 2023 Progress Report","URL":"https://racetozero.unfccc.int/system/race-to-zero/","author":[{"family":"UNFCCC","given":""}],"accessed":{"date-parts":[["2024",4,1]]},"issued":{"date-parts":[["2023"]]}}}],"schema":"https://github.com/citation-style-language/schema/raw/master/csl-citation.json"} </w:instrText>
      </w:r>
      <w:r w:rsidRPr="00472ADD">
        <w:fldChar w:fldCharType="separate"/>
      </w:r>
      <w:r w:rsidRPr="00472ADD">
        <w:t>(UNFCCC, 2023)</w:t>
      </w:r>
      <w:r w:rsidRPr="00472ADD">
        <w:fldChar w:fldCharType="end"/>
      </w:r>
      <w:r w:rsidRPr="00472ADD">
        <w:t xml:space="preserve">. </w:t>
      </w:r>
      <w:r>
        <w:t xml:space="preserve">As cities increasingly commit to </w:t>
      </w:r>
      <w:r w:rsidRPr="00472ADD">
        <w:t>reduc</w:t>
      </w:r>
      <w:r>
        <w:t>e</w:t>
      </w:r>
      <w:r w:rsidRPr="00472ADD">
        <w:t xml:space="preserve"> emissions, robust and transparent </w:t>
      </w:r>
      <w:r>
        <w:t>monitoring</w:t>
      </w:r>
      <w:r w:rsidRPr="00472ADD">
        <w:t xml:space="preserve"> of urban emissions ha</w:t>
      </w:r>
      <w:r>
        <w:t>ve</w:t>
      </w:r>
      <w:r w:rsidRPr="00472ADD">
        <w:t xml:space="preserve"> become critical</w:t>
      </w:r>
      <w:r>
        <w:t>.</w:t>
      </w:r>
      <w:r w:rsidRPr="00472ADD">
        <w:t xml:space="preserve"> </w:t>
      </w:r>
      <w:r>
        <w:t>At</w:t>
      </w:r>
      <w:r w:rsidRPr="00472ADD">
        <w:t xml:space="preserve"> the 202</w:t>
      </w:r>
      <w:r>
        <w:t>4</w:t>
      </w:r>
      <w:r w:rsidRPr="00472ADD">
        <w:t xml:space="preserve"> United Nations Climate Change Conference (COP2</w:t>
      </w:r>
      <w:r>
        <w:t>9</w:t>
      </w:r>
      <w:r w:rsidRPr="00472ADD">
        <w:t>), delegates of state and governments emphasized the pivotal role of satellite-based Earth observations on cross-verifying GHG emission inventories</w:t>
      </w:r>
      <w:r>
        <w:t xml:space="preserve"> </w:t>
      </w:r>
      <w:r>
        <w:fldChar w:fldCharType="begin"/>
      </w:r>
      <w:r>
        <w:instrText xml:space="preserve"> ADDIN ZOTERO_ITEM CSL_CITATION {"citationID":"6DGgFbwI","properties":{"formattedCitation":"(Climate TRACE, 2024; Friedlingstein et al., 2024)","plainCitation":"(Climate TRACE, 2024; Friedlingstein et al., 2024)","noteIndex":0},"citationItems":[{"id":3748,"uris":["http://zotero.org/users/12959951/items/YELRMX93"],"itemData":{"id":3748,"type":"report","title":"Climate TRACE data reveal high-impact opportunities for cutting greenhouse gas emissions","URL":"https://climatetrace.org/news/climate-trace-data-reveal-high-impact-opportunities-for","author":[{"family":"Climate TRACE","given":""}],"accessed":{"date-parts":[["2025",3,5]]},"issued":{"date-parts":[["2024",11,14]]}}},{"id":3747,"uris":["http://zotero.org/users/12959951/items/LEIIFEI3"],"itemData":{"id":3747,"type":"article-journal","container-title":"Earth System Science Data Discussions","DOI":"10.5194/essd-2024-519","page":"1–133","title":"Global Carbon Budget 2024","volume":"2024","author":[{"family":"Friedlingstein","given":"P."},{"family":"O'Sullivan","given":"M."},{"family":"Jones","given":"M. W."},{"family":"Andrew","given":"R. M."},{"family":"Hauck","given":"J."},{"family":"Landschützer","given":"P."},{"family":"Le Quéré","given":"C."},{"family":"Li","given":"H."},{"family":"Luijkx","given":"I. T."},{"family":"Olsen","given":"A."},{"family":"Peters","given":"G. P."},{"family":"Peters","given":"W."},{"family":"Pongratz","given":"J."},{"family":"Schwingshackl","given":"C."},{"family":"Sitch","given":"S."},{"family":"Canadell","given":"J. G."},{"family":"Ciais","given":"P."},{"family":"Jackson","given":"R. B."},{"family":"Alin","given":"S. R."},{"family":"Arneth","given":"A."},{"family":"Arora","given":"V."},{"family":"Bates","given":"N. R."},{"family":"Becker","given":"M."},{"family":"Bellouin","given":"N."},{"family":"Berghoff","given":"C. F."},{"family":"Bittig","given":"H. C."},{"family":"Bopp","given":"L."},{"family":"Cadule","given":"P."},{"family":"Campbell","given":"K."},{"family":"Chamberlain","given":"M. A."},{"family":"Chandra","given":"N."},{"family":"Chevallier","given":"F."},{"family":"Chini","given":"L. P."},{"family":"Colligan","given":"T."},{"family":"Decayeux","given":"J."},{"family":"Djeutchouang","given":"L."},{"family":"Dou","given":"X."},{"family":"Duran Rojas","given":"C."},{"family":"Enyo","given":"K."},{"family":"Evans","given":"W."},{"family":"Fay","given":"A."},{"family":"Feely","given":"R. A."},{"family":"Ford","given":"D. J."},{"family":"Foster","given":"A."},{"family":"Gasser","given":"T."},{"family":"Gehlen","given":"M."},{"family":"Gkritzalis","given":"T."},{"family":"Grassi","given":"G."},{"family":"Gregor","given":"L."},{"family":"Gruber","given":"N."},{"family":"Gürses","given":"Ö."},{"family":"Harris","given":"I."},{"family":"Hefner","given":"M."},{"family":"Heinke","given":"J."},{"family":"Hurtt","given":"G. C."},{"family":"Iida","given":"Y."},{"family":"Ilyina","given":"T."},{"family":"Jacobson","given":"A. R."},{"family":"Jain","given":"A."},{"family":"Jarníková","given":"T."},{"family":"Jersild","given":"A."},{"family":"Jiang","given":"F."},{"family":"Jin","given":"Z."},{"family":"Kato","given":"E."},{"family":"Keeling","given":"R. F."},{"family":"Klein Goldewijk","given":"K."},{"family":"Knauer","given":"J."},{"family":"Korsbakken","given":"J. I."},{"family":"Lauvset","given":"S. K."},{"family":"Lefèvre","given":"N."},{"family":"Liu","given":"Z."},{"family":"Liu","given":"J."},{"family":"Ma","given":"L."},{"family":"Maksyutov","given":"S."},{"family":"Marland","given":"G."},{"family":"Mayot","given":"N."},{"family":"McGuire","given":"P."},{"family":"Metzl","given":"N."},{"family":"Monacci","given":"N. M."},{"family":"Morgan","given":"E. J."},{"family":"Nakaoka","given":"S.-I."},{"family":"Neill","given":"C."},{"family":"Niwa","given":"Y."},{"family":"Nützel","given":"T."},{"family":"Olivier","given":"L."},{"family":"Ono","given":"T."},{"family":"Palmer","given":"P. I."},{"family":"Pierrot","given":"D."},{"family":"Qin","given":"Z."},{"family":"Resplandy","given":"L."},{"family":"Roobaert","given":"A."},{"family":"Rosan","given":"T. M."},{"family":"Rödenbeck","given":"C."},{"family":"Schwinger","given":"J."},{"family":"Smallman","given":"T. L."},{"family":"Smith","given":"S."},{"family":"Sospedra-Alfonso","given":"R."},{"family":"Steinhoff","given":"T."},{"family":"Sun","given":"Q."},{"family":"Sutton","given":"A. J."},{"family":"Séférian","given":"R."},{"family":"Takao","given":"S."},{"family":"Tatebe","given":"H."},{"family":"Tian","given":"H."},{"family":"Tilbrook","given":"B."},{"family":"Torres","given":"O."},{"family":"Tourigny","given":"E."},{"family":"Tsujino","given":"H."},{"family":"Tubiello","given":"F."},{"family":"Werf","given":"G.","non-dropping-particle":"van der"},{"family":"Wanninkhof","given":"R."},{"family":"Wang","given":"X."},{"family":"Yang","given":"D."},{"family":"Yang","given":"X."},{"family":"Yu","given":"Z."},{"family":"Yuan","given":"W."},{"family":"Yue","given":"X."},{"family":"Zaehle","given":"S."},{"family":"Zeng","given":"N."},{"family":"Zeng","given":"J."}],"issued":{"date-parts":[["2024"]]}}}],"schema":"https://github.com/citation-style-language/schema/raw/master/csl-citation.json"} </w:instrText>
      </w:r>
      <w:r>
        <w:fldChar w:fldCharType="separate"/>
      </w:r>
      <w:r>
        <w:rPr>
          <w:noProof/>
        </w:rPr>
        <w:t>(Climate TRACE, 2024; Friedlingstein et al., 2024)</w:t>
      </w:r>
      <w:r>
        <w:fldChar w:fldCharType="end"/>
      </w:r>
      <w:r w:rsidRPr="00472ADD">
        <w:t>.</w:t>
      </w:r>
    </w:p>
    <w:p w14:paraId="54D3B4D2" w14:textId="77777777" w:rsidR="00BF0126" w:rsidRPr="00472ADD" w:rsidRDefault="00BF0126" w:rsidP="00BF0126">
      <w:pPr>
        <w:pStyle w:val="AbstractSummary"/>
        <w:jc w:val="both"/>
      </w:pPr>
      <w:r>
        <w:t xml:space="preserve">The </w:t>
      </w:r>
      <w:r w:rsidRPr="00472ADD">
        <w:t>C40 Cities Climate Leadership Group (C40 Cities</w:t>
      </w:r>
      <w:r>
        <w:t>)</w:t>
      </w:r>
      <w:r w:rsidRPr="00472ADD">
        <w:t xml:space="preserve"> is a network of 97 cities</w:t>
      </w:r>
      <w:r>
        <w:t xml:space="preserve"> representing</w:t>
      </w:r>
      <w:r w:rsidRPr="00472ADD">
        <w:t xml:space="preserve"> 20% of global Gross Domestic Product (GDP)</w:t>
      </w:r>
      <w:r>
        <w:t xml:space="preserve"> and</w:t>
      </w:r>
      <w:r w:rsidRPr="00472ADD">
        <w:t xml:space="preserve"> </w:t>
      </w:r>
      <w:r>
        <w:t xml:space="preserve">working </w:t>
      </w:r>
      <w:r w:rsidRPr="00472ADD">
        <w:t>collaborati</w:t>
      </w:r>
      <w:r>
        <w:t>vely</w:t>
      </w:r>
      <w:r w:rsidRPr="00472ADD">
        <w:t xml:space="preserve"> to influence global climate policy and reduce urban GHG emissions </w:t>
      </w:r>
      <w:r w:rsidRPr="00472ADD">
        <w:fldChar w:fldCharType="begin"/>
      </w:r>
      <w:r>
        <w:instrText xml:space="preserve"> ADDIN ZOTERO_ITEM CSL_CITATION {"citationID":"rjW5umgn","properties":{"formattedCitation":"(C40, 2023)","plainCitation":"(C40, 2023)","noteIndex":0},"citationItems":[{"id":536,"uris":["http://zotero.org/users/12959951/items/I7GQ3HWI"],"itemData":{"id":536,"type":"report","publisher":"C40","title":"C40 Annual Report 2022","URL":"https://www.c40.org/wp-content/uploads/2023/03/C40-Cities-Annual-Report-2022_Published-Online-31-Mar-2023.pdf","author":[{"family":"C40","given":""}],"issued":{"date-parts":[["2023"]]}}}],"schema":"https://github.com/citation-style-language/schema/raw/master/csl-citation.json"} </w:instrText>
      </w:r>
      <w:r w:rsidRPr="00472ADD">
        <w:fldChar w:fldCharType="separate"/>
      </w:r>
      <w:r>
        <w:t>(C40, 2023)</w:t>
      </w:r>
      <w:r w:rsidRPr="00472ADD">
        <w:fldChar w:fldCharType="end"/>
      </w:r>
      <w:r w:rsidRPr="00472ADD">
        <w:t xml:space="preserve">. Most C40 cities have pledged to reach net zero emissions by 2050 </w:t>
      </w:r>
      <w:r w:rsidRPr="00472ADD">
        <w:fldChar w:fldCharType="begin"/>
      </w:r>
      <w:r>
        <w:instrText xml:space="preserve"> ADDIN ZOTERO_ITEM CSL_CITATION {"citationID":"ToHfpk3m","properties":{"formattedCitation":"(UNFCCC, 2023)","plainCitation":"(UNFCCC, 2023)","noteIndex":0},"citationItems":[{"id":1288,"uris":["http://zotero.org/users/12959951/items/MKN2496X"],"itemData":{"id":1288,"type":"article-journal","title":"Race to Zero 2023 Progress Report","URL":"https://racetozero.unfccc.int/system/race-to-zero/","author":[{"family":"UNFCCC","given":""}],"accessed":{"date-parts":[["2024",4,1]]},"issued":{"date-parts":[["2023"]]}}}],"schema":"https://github.com/citation-style-language/schema/raw/master/csl-citation.json"} </w:instrText>
      </w:r>
      <w:r w:rsidRPr="00472ADD">
        <w:fldChar w:fldCharType="separate"/>
      </w:r>
      <w:r>
        <w:t>(UNFCCC, 2023)</w:t>
      </w:r>
      <w:r w:rsidRPr="00472ADD">
        <w:fldChar w:fldCharType="end"/>
      </w:r>
      <w:r w:rsidRPr="00472ADD">
        <w:t>. To track their progress</w:t>
      </w:r>
      <w:r>
        <w:t>, cities compile</w:t>
      </w:r>
      <w:r w:rsidRPr="00472ADD">
        <w:t xml:space="preserve"> emissions</w:t>
      </w:r>
      <w:r>
        <w:t xml:space="preserve"> inventories</w:t>
      </w:r>
      <w:r w:rsidRPr="00472ADD">
        <w:t xml:space="preserve"> by collecting activity data (e.g., gasoline sales) and corresponding emission factors. This bottom-up dataset is called the Global Protocol for Community-Scale Greenhouse Gas Emission Inventories (GPC) </w:t>
      </w:r>
      <w:r w:rsidRPr="00472ADD">
        <w:fldChar w:fldCharType="begin"/>
      </w:r>
      <w:r>
        <w:instrText xml:space="preserve"> ADDIN ZOTERO_ITEM CSL_CITATION {"citationID":"bNqKDY8k","properties":{"formattedCitation":"(WRI et al., 2014)","plainCitation":"(WRI et al., 2014)","noteIndex":0},"citationItems":[{"id":699,"uris":["http://zotero.org/users/12959951/items/97G9ZC66"],"itemData":{"id":699,"type":"article-journal","title":"Global protocol for community-scale greenhouse gas emission inventories: an accounting and reporting standard for cities","URL":"www. ghgprotocol.org/sites/default/files/ghgp/standards/GHGP_ GPC_0.pdf","author":[{"family":"WRI","given":""},{"family":"C40 Cities","given":""},{"family":"ICLEI","given":""}],"issued":{"date-parts":[["2014"]]}},"label":"page"}],"schema":"https://github.com/citation-style-language/schema/raw/master/csl-citation.json"} </w:instrText>
      </w:r>
      <w:r w:rsidRPr="00472ADD">
        <w:fldChar w:fldCharType="separate"/>
      </w:r>
      <w:r>
        <w:t>(WRI et al., 2014)</w:t>
      </w:r>
      <w:r w:rsidRPr="00472ADD">
        <w:fldChar w:fldCharType="end"/>
      </w:r>
      <w:r w:rsidRPr="00472ADD">
        <w:t xml:space="preserve">. </w:t>
      </w:r>
      <w:r>
        <w:t>Additionally</w:t>
      </w:r>
      <w:r w:rsidRPr="00472ADD">
        <w:t>, there are two well-established bottom-up emission datasets―the Emission Database for Global Atmospheric Research (EDGAR) and the Open-Source Data Inventory for Anthropogenic CO</w:t>
      </w:r>
      <w:r w:rsidRPr="00472ADD">
        <w:rPr>
          <w:vertAlign w:val="subscript"/>
        </w:rPr>
        <w:t>2</w:t>
      </w:r>
      <w:r w:rsidRPr="00472ADD">
        <w:t xml:space="preserve"> (ODIAC). These bottom-up datasets provide up-to-date CO</w:t>
      </w:r>
      <w:r w:rsidRPr="00472ADD">
        <w:rPr>
          <w:vertAlign w:val="subscript"/>
        </w:rPr>
        <w:t>2</w:t>
      </w:r>
      <w:r w:rsidRPr="00472ADD">
        <w:t xml:space="preserve"> emissions over global latitudinal/longitudinal grid cells, offering another opportunity for tracking cities’ emission </w:t>
      </w:r>
      <w:r w:rsidRPr="00472ADD">
        <w:fldChar w:fldCharType="begin"/>
      </w:r>
      <w:r>
        <w:instrText xml:space="preserve"> ADDIN ZOTERO_ITEM CSL_CITATION {"citationID":"3CfKq9Yb","properties":{"formattedCitation":"(Crippa et al., 2021; Oda et al., 2018)","plainCitation":"(Crippa et al., 2021; Oda et al., 2018)","noteIndex":0},"citationItems":[{"id":686,"uris":["http://zotero.org/users/12959951/items/R8LDJTRJ"],"itemData":{"id":686,"type":"article-journal","abstract":"Between 1970 and 2015 urban population almost doubled worldwide with the fastest growth taking place in developing regions. To aid the understanding of how urbanisation has influenced anthropogenic CO2 and air pollutant emissions across all world regions, we make use of the latest developments of the Emissions Database for Global Atmospheric Research. In this study, we systematically analyse over 5 decades of emissions from different types of human settlements (from urban centres to rural areas) for different sectors in all countries. Our analysis shows that by 2015, urban centres were the source of a third of global anthropogenic greenhouse gases and most of the air pollutant emissions. The high levels of both population and emissions in urban centres therefore call for focused urban mitigation efforts. Moreover, despite the overall increase in urban emissions, megacities with more than 10 million inhabitants in high-income countries have been reducing their emissions, while emissions in developing regions are still growing. We further discuss per capita emissions to compare different types of urban centres at the global level.","container-title":"Environmental Research Letters","DOI":"10.1088/1748-9326/ac00e2","issue":"7","note":"publisher: IOP Publishing","page":"074033","title":"Global anthropogenic emissions in urban areas: patterns, trends, and challenges","volume":"16","author":[{"family":"Crippa","given":"Monica"},{"family":"Guizzardi","given":"Diego"},{"family":"Pisoni","given":"Enrico"},{"family":"Solazzo","given":"Efisio"},{"family":"Guion","given":"Antoine"},{"family":"Muntean","given":"Marilena"},{"family":"Florczyk","given":"Aneta"},{"family":"Schiavina","given":"Marcello"},{"family":"Melchiorri","given":"Michele"},{"family":"Hutfilter","given":"Andres Fuentes"}],"issued":{"date-parts":[["2021",7]]}}},{"id":706,"uris":["http://zotero.org/users/12959951/items/REBPYBR2"],"itemData":{"id":706,"type":"article-journal","container-title":"Earth System Science Data","DOI":"10.5194/essd-10-87-2018","issue":"1","page":"87–107","title":"The Open-source Data Inventory for Anthropogenic CO₂, version 2016 (ODIAC2016): a global monthly fossil fuel CO₂ gridded emissions data product for tracer transport simulations and surface flux inversions","volume":"10","author":[{"family":"Oda","given":"T."},{"family":"Maksyutov","given":"S."},{"family":"Andres","given":"R. J."}],"issued":{"date-parts":[["2018"]]}},"label":"page","suppress-author":true,"prefix":"Oda et al., "}],"schema":"https://github.com/citation-style-language/schema/raw/master/csl-citation.json"} </w:instrText>
      </w:r>
      <w:r w:rsidRPr="00472ADD">
        <w:fldChar w:fldCharType="separate"/>
      </w:r>
      <w:r>
        <w:t>(Crippa et al., 2021; Oda et al., 2018)</w:t>
      </w:r>
      <w:r w:rsidRPr="00472ADD">
        <w:fldChar w:fldCharType="end"/>
      </w:r>
      <w:r w:rsidRPr="00472ADD">
        <w:t>.</w:t>
      </w:r>
    </w:p>
    <w:p w14:paraId="58CCB77A"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However,</w:t>
      </w:r>
      <w:r w:rsidRPr="00472ADD">
        <w:rPr>
          <w:rFonts w:ascii="Times New Roman" w:hAnsi="Times New Roman" w:cs="Times New Roman"/>
        </w:rPr>
        <w:t xml:space="preserve"> studies </w:t>
      </w:r>
      <w:r>
        <w:rPr>
          <w:rFonts w:ascii="Times New Roman" w:hAnsi="Times New Roman" w:cs="Times New Roman"/>
        </w:rPr>
        <w:t>have identified</w:t>
      </w:r>
      <w:r w:rsidRPr="00472ADD">
        <w:rPr>
          <w:rFonts w:ascii="Times New Roman" w:hAnsi="Times New Roman" w:cs="Times New Roman"/>
        </w:rPr>
        <w:t xml:space="preserve"> inconsistencies between GPC and the two bottom-up gridded emission datasets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{"citationID":"TLeZtzgi","properties":{"formattedCitation":"(Ahn et al., 2023; Gurney et al., 2021; Seto et al., 2014)","plainCitation":"(Ahn et al., 2023; Gurney et al., 2021; Seto et al., 2014)","noteIndex":0},"citationItems":[{"id":21,"uris":["http://zotero.org/users/12959951/items/LYA34N4M"],"itemData":{"id":21,"type":"article-journal","abstract":"Under the leadership of the C40 Cities Climate Leadership Group (C40), approximately 1100 global cities have signed to reach net-zero emissions by 2050. Accurate greenhouse gas emission calculations at the city-scale have become critical. This study forms a bridge between the two emission calculation methods: (a) the city-scale accounting used by C40 cities—the Global Protocol</w:instrText>
      </w:r>
      <w:r>
        <w:rPr>
          <w:rFonts w:ascii="Times New Roman" w:hAnsi="Times New Roman" w:cs="Times New Roman" w:hint="eastAsia"/>
        </w:rPr>
        <w:instrText xml:space="preserve"> for Community-Scale Greenhouse Gas Emission Inventories (GPC) and (b) the global-scale gridded datasets used by the research community</w:instrText>
      </w:r>
      <w:r>
        <w:rPr>
          <w:rFonts w:ascii="Times New Roman" w:hAnsi="Times New Roman" w:cs="Times New Roman" w:hint="eastAsia"/>
        </w:rPr>
        <w:instrText>—</w:instrText>
      </w:r>
      <w:r>
        <w:rPr>
          <w:rFonts w:ascii="Times New Roman" w:hAnsi="Times New Roman" w:cs="Times New Roman" w:hint="eastAsia"/>
        </w:rPr>
        <w:instrText>the Emission Database for Global Atmospheric Research (EDGAR) and Open</w:instrText>
      </w:r>
      <w:r>
        <w:rPr>
          <w:rFonts w:ascii="Times New Roman" w:hAnsi="Times New Roman" w:cs="Times New Roman" w:hint="eastAsia"/>
        </w:rPr>
        <w:instrText>‐</w:instrText>
      </w:r>
      <w:r>
        <w:rPr>
          <w:rFonts w:ascii="Times New Roman" w:hAnsi="Times New Roman" w:cs="Times New Roman" w:hint="eastAsia"/>
        </w:rPr>
        <w:instrText>Source Data Inventory for Anthropogenic CO2 (ODI</w:instrText>
      </w:r>
      <w:r>
        <w:rPr>
          <w:rFonts w:ascii="Times New Roman" w:hAnsi="Times New Roman" w:cs="Times New Roman"/>
        </w:rPr>
        <w:instrText xml:space="preserve">AC). For the emission magnitudes of 78 C40 cities, we find good correlations between the GPC and EDGAR (R 2 = 0.80) and the GPC and ODIAC (R 2 = 0.72). Regionally, African cities show the largest variability in the three emission estimates. For the emission trends, the standard deviation of the differences is ±4.7% yr−1 for EDGAR vs. GPC and is ±3.9% yr−1 for ODIAC vs. GPC: a factor of </w:instrText>
      </w:r>
      <w:r>
        <w:rPr>
          <w:rFonts w:ascii="Times New Roman" w:hAnsi="Times New Roman" w:cs="Times New Roman" w:hint="eastAsia"/>
        </w:rPr>
        <w:instrText>∼</w:instrText>
      </w:r>
      <w:r>
        <w:rPr>
          <w:rFonts w:ascii="Times New Roman" w:hAnsi="Times New Roman" w:cs="Times New Roman"/>
        </w:rPr>
        <w:instrText xml:space="preserve">2 larger than the trends that many C40 cities pledged (net-zero by 2050 from 2010, or −2.5% yr−1). To examine the source of discrepancies in the emission datasets, we assess the impact of spatial resolutions of EDGAR (0.1°) and ODIAC (1 km) on estimating varying-sized cities’ emissions. Our analysis shows that the coarser resolution of EDGAR can artificially decrease emissions by 13% for cities smaller than 1000 km2. We find that data quality of emission factors (EFs) used in GPC inventories vary regionally: the highest quality for European and North American and the lowest for African and Latin American cities. Our study indicates that the following items should be prioritized to reduce the discrepancies between the two emission calculation methods: (a) implementing local-specific/up-to-date EFs in GPC inventories, (b) keeping the global power plant database current, and (c) incorporating satellite-derived CO2 datasets (i.e. NASA OCO-3).","container-title":"Environmental Research Letters","DOI":"10.1088/1748-9326/acbb91","ISSN":"1748-9326","issue":"3","license":"All rights reserved","note":"publisher: IOP Publishing","page":"034032","title":"CO2 emissions from C40 cities: citywide emission inventories and comparisons with global gridded emission datasets","volume":"18","author":[{"family":"Ahn","given":"D Y"},{"family":"Goldberg","given":"D L"},{"family":"Coombes","given":"Toby"},{"family":"Kleiman","given":"Gary"},{"family":"Anenberg","given":"S C"}],"issued":{"date-parts":[["2023",2,28]]}}},{"id":1293,"uris":["http://zotero.org/users/12959951/items/86ERIYZC"],"itemData":{"id":1293,"type":"article-journal","abstract":"Cities dominate greenhouse gas emissions. Many have generated self-reported emission inventories, but their value to emissions mitigation depends on their accuracy, which remains untested. Here, we compare self-reported inventories from 48 US cities to independent estimates from the Vulcan carbon dioxide emissions data product, which is consistent with atmospheric measurements. We found that cities under-report their own greenhouse gas emissions, on average, by 18.3% (range: −145.5% to +63.5%) – a difference which if extrapolated to all U.S. cities, exceeds California’s total emissions by 23.5%. Differences arise because city inventories omit particular fuels and source types and estimate transportation emissions differently. These results raise concerns about self-reported inventories in planning or assessing emissions, and warrant consideration of the new urban greenhouse gas information system recently developed by the scientific community.","container-title":"Nature Communications","DOI":"10.1038/s41467-020-20871-0","ISSN":"2041-1723","issue":"1","journalAbbreviation":"Nature Communications","page":"553","title":"Under-reporting of greenhouse gas emissions in U.S. cities","volume":"12","author":[{"family":"Gurney","given":"Kevin Robert"},{"family":"Liang","given":"Jianming"},{"family":"Roest","given":"Geoffrey"},{"family":"Song","given":"Yang"},{"family":"Mueller","given":"Kimberly"},{"family":"Lauvaux","given":"Thomas"}],"issued":{"date-parts":[["2021",2,2]]}}},{"id":1264,"uris":["http://zotero.org/users/12959951/items/6BUZW8L3"],"itemData":{"id":1264,"type":"book","ISBN":"1-107-65481-5","title":"Human settlements, infrastructure, and spatial planning","author":[{"family":"Seto","given":"Karen C"},{"family":"Dhakal","given":"Shobhakar"},{"family":"Bigio","given":"Anthony"},{"family":"Blanco","given":"Hilda"},{"family":"Carlo Delgado","given":"Gian"},{"family":"Dewar","given":"David"},{"family":"Huang","given":"Luxin"},{"family":"Inaba","given":"Atsushi"},{"family":"Kansal","given":"Arun"},{"family":"Lwasa","given":"Shuaib"}],"issued":{"date-parts":[["2014"]]}}}],"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(Ahn et al., 2023; Gurney et al., 2021; Seto et al., 2014)</w:t>
      </w:r>
      <w:r w:rsidRPr="00472ADD">
        <w:rPr>
          <w:rFonts w:ascii="Times New Roman" w:hAnsi="Times New Roman" w:cs="Times New Roman"/>
        </w:rPr>
        <w:fldChar w:fldCharType="end"/>
      </w:r>
      <w:r w:rsidRPr="00472ADD">
        <w:rPr>
          <w:rFonts w:ascii="Times New Roman" w:hAnsi="Times New Roman" w:cs="Times New Roman"/>
        </w:rPr>
        <w:t>. These studies found regional variations in the differences between these datasets</w:t>
      </w:r>
      <w:r>
        <w:rPr>
          <w:rFonts w:ascii="Times New Roman" w:hAnsi="Times New Roman" w:cs="Times New Roman"/>
        </w:rPr>
        <w:t>.</w:t>
      </w:r>
      <w:r w:rsidRPr="00472ADD">
        <w:rPr>
          <w:rFonts w:ascii="Times New Roman" w:hAnsi="Times New Roman" w:cs="Times New Roman"/>
        </w:rPr>
        <w:t xml:space="preserve"> </w:t>
      </w:r>
      <w:r>
        <w:rPr>
          <w:rFonts w:ascii="Times New Roman" w:hAnsi="Times New Roman" w:cs="Times New Roman"/>
        </w:rPr>
        <w:t>F</w:t>
      </w:r>
      <w:r w:rsidRPr="00472ADD">
        <w:rPr>
          <w:rFonts w:ascii="Times New Roman" w:hAnsi="Times New Roman" w:cs="Times New Roman"/>
        </w:rPr>
        <w:t xml:space="preserve">or example, African, Latin </w:t>
      </w:r>
      <w:r w:rsidRPr="00472ADD">
        <w:rPr>
          <w:rFonts w:ascii="Times New Roman" w:hAnsi="Times New Roman" w:cs="Times New Roman"/>
        </w:rPr>
        <w:lastRenderedPageBreak/>
        <w:t xml:space="preserve">American, and South &amp; West Asian cities tend to show larger variability in emission estimates than other regions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{"citationID":"rNCKreW9","properties":{"formattedCitation":"(Ahn et al., 2023)","plainCitation":"(Ahn et al., 2023)","noteIndex":0},"citationItems":[{"id":21,"uris":["http://zotero.org/users/12959951/items/LYA34N4M"],"itemData":{"id":21,"type":"article-journal","abstract":"Under the leadership of the C40 Cities Climate Leadership Group (C40), approximately 1100 global cities have signed to reach net-zero emissions by 2050. Accurate greenhouse gas emission calculations at the city-scale have become critical. This study forms a bridge between the two emission calculation methods: (a) the city-scale accounting used by C40 cities—the Global Protocol for Community-Scale Greenhouse Gas Emission Inventories (GPC) and (b) the globa</w:instrText>
      </w:r>
      <w:r>
        <w:rPr>
          <w:rFonts w:ascii="Times New Roman" w:hAnsi="Times New Roman" w:cs="Times New Roman" w:hint="eastAsia"/>
        </w:rPr>
        <w:instrText>l-scale gridded datasets used by the research community</w:instrText>
      </w:r>
      <w:r>
        <w:rPr>
          <w:rFonts w:ascii="Times New Roman" w:hAnsi="Times New Roman" w:cs="Times New Roman" w:hint="eastAsia"/>
        </w:rPr>
        <w:instrText>—</w:instrText>
      </w:r>
      <w:r>
        <w:rPr>
          <w:rFonts w:ascii="Times New Roman" w:hAnsi="Times New Roman" w:cs="Times New Roman" w:hint="eastAsia"/>
        </w:rPr>
        <w:instrText>the Emission Database for Global Atmospheric Research (EDGAR) and Open</w:instrText>
      </w:r>
      <w:r>
        <w:rPr>
          <w:rFonts w:ascii="Times New Roman" w:hAnsi="Times New Roman" w:cs="Times New Roman" w:hint="eastAsia"/>
        </w:rPr>
        <w:instrText>‐</w:instrText>
      </w:r>
      <w:r>
        <w:rPr>
          <w:rFonts w:ascii="Times New Roman" w:hAnsi="Times New Roman" w:cs="Times New Roman" w:hint="eastAsia"/>
        </w:rPr>
        <w:instrText>Source Data Inventory for Anthropogenic CO2 (ODIAC). For the emission magnitudes of 78 C40 cities, we find good correlations bet</w:instrText>
      </w:r>
      <w:r>
        <w:rPr>
          <w:rFonts w:ascii="Times New Roman" w:hAnsi="Times New Roman" w:cs="Times New Roman"/>
        </w:rPr>
        <w:instrText xml:space="preserve">ween the GPC and EDGAR (R 2 = 0.80) and the GPC and ODIAC (R 2 = 0.72). Regionally, African cities show the largest variability in the three emission estimates. For the emission trends, the standard deviation of the differences is ±4.7% yr−1 for EDGAR vs. GPC and is ±3.9% yr−1 for ODIAC vs. GPC: a factor of </w:instrText>
      </w:r>
      <w:r>
        <w:rPr>
          <w:rFonts w:ascii="Times New Roman" w:hAnsi="Times New Roman" w:cs="Times New Roman" w:hint="eastAsia"/>
        </w:rPr>
        <w:instrText>∼</w:instrText>
      </w:r>
      <w:r>
        <w:rPr>
          <w:rFonts w:ascii="Times New Roman" w:hAnsi="Times New Roman" w:cs="Times New Roman"/>
        </w:rPr>
        <w:instrText xml:space="preserve">2 larger than the trends that many C40 cities pledged (net-zero by 2050 from 2010, or −2.5% yr−1). To examine the source of discrepancies in the emission datasets, we assess the impact of spatial resolutions of EDGAR (0.1°) and ODIAC (1 km) on estimating varying-sized cities’ emissions. Our analysis shows that the coarser resolution of EDGAR can artificially decrease emissions by 13% for cities smaller than 1000 km2. We find that data quality of emission factors (EFs) used in GPC inventories vary regionally: the highest quality for European and North American and the lowest for African and Latin American cities. Our study indicates that the following items should be prioritized to reduce the discrepancies between the two emission calculation methods: (a) implementing local-specific/up-to-date EFs in GPC inventories, (b) keeping the global power plant database current, and (c) incorporating satellite-derived CO2 datasets (i.e. NASA OCO-3).","container-title":"Environmental Research Letters","DOI":"10.1088/1748-9326/acbb91","ISSN":"1748-9326","issue":"3","license":"All rights reserved","note":"publisher: IOP Publishing","page":"034032","title":"CO2 emissions from C40 cities: citywide emission inventories and comparisons with global gridded emission datasets","volume":"18","author":[{"family":"Ahn","given":"D Y"},{"family":"Goldberg","given":"D L"},{"family":"Coombes","given":"Toby"},{"family":"Kleiman","given":"Gary"},{"family":"Anenberg","given":"S C"}],"issued":{"date-parts":[["2023",2,28]]}}}],"schema":"https://github.com/citation-style-language/schema/raw/master/csl-citation.json"}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(Ahn et al., 2023)</w:t>
      </w:r>
      <w:r w:rsidRPr="00472ADD">
        <w:rPr>
          <w:rFonts w:ascii="Times New Roman" w:hAnsi="Times New Roman" w:cs="Times New Roman"/>
        </w:rPr>
        <w:fldChar w:fldCharType="end"/>
      </w:r>
      <w:r w:rsidRPr="00472ADD">
        <w:rPr>
          <w:rFonts w:ascii="Times New Roman" w:hAnsi="Times New Roman" w:cs="Times New Roman"/>
        </w:rPr>
        <w:t xml:space="preserve">. These </w:t>
      </w:r>
      <w:r>
        <w:rPr>
          <w:rFonts w:ascii="Times New Roman" w:hAnsi="Times New Roman" w:cs="Times New Roman"/>
        </w:rPr>
        <w:t>discrepancies</w:t>
      </w:r>
      <w:r w:rsidRPr="00472ADD">
        <w:rPr>
          <w:rFonts w:ascii="Times New Roman" w:hAnsi="Times New Roman" w:cs="Times New Roman"/>
        </w:rPr>
        <w:t xml:space="preserve"> can be attributed to outdated emission factors used </w:t>
      </w:r>
      <w:r>
        <w:rPr>
          <w:rFonts w:ascii="Times New Roman" w:hAnsi="Times New Roman" w:cs="Times New Roman"/>
        </w:rPr>
        <w:t>by</w:t>
      </w:r>
      <w:r w:rsidRPr="00472ADD">
        <w:rPr>
          <w:rFonts w:ascii="Times New Roman" w:hAnsi="Times New Roman" w:cs="Times New Roman"/>
        </w:rPr>
        <w:t xml:space="preserve"> cities in non-Annex I nations (particularly Africa) and spatial disaggregation error</w:t>
      </w:r>
      <w:r>
        <w:rPr>
          <w:rFonts w:ascii="Times New Roman" w:hAnsi="Times New Roman" w:cs="Times New Roman"/>
        </w:rPr>
        <w:t>s</w:t>
      </w:r>
      <w:r w:rsidRPr="00472ADD">
        <w:rPr>
          <w:rFonts w:ascii="Times New Roman" w:hAnsi="Times New Roman" w:cs="Times New Roman"/>
        </w:rPr>
        <w:t xml:space="preserve"> in EDGAR and ODIAC</w:t>
      </w:r>
      <w:r>
        <w:rPr>
          <w:rFonts w:ascii="Times New Roman" w:hAnsi="Times New Roman" w:cs="Times New Roman"/>
        </w:rPr>
        <w:t>,</w:t>
      </w:r>
      <w:r w:rsidRPr="00472ADD">
        <w:rPr>
          <w:rFonts w:ascii="Times New Roman" w:hAnsi="Times New Roman" w:cs="Times New Roman"/>
        </w:rPr>
        <w:t xml:space="preserve"> which tend to </w:t>
      </w:r>
      <w:r>
        <w:rPr>
          <w:rFonts w:ascii="Times New Roman" w:hAnsi="Times New Roman" w:cs="Times New Roman"/>
        </w:rPr>
        <w:t>be</w:t>
      </w:r>
      <w:r w:rsidRPr="00472ADD">
        <w:rPr>
          <w:rFonts w:ascii="Times New Roman" w:hAnsi="Times New Roman" w:cs="Times New Roman"/>
        </w:rPr>
        <w:t xml:space="preserve"> larger for smaller cities. This </w:t>
      </w:r>
      <w:r>
        <w:rPr>
          <w:rFonts w:ascii="Times New Roman" w:hAnsi="Times New Roman" w:cs="Times New Roman"/>
        </w:rPr>
        <w:t>raises a critical question: C</w:t>
      </w:r>
      <w:r w:rsidRPr="00472ADD">
        <w:rPr>
          <w:rFonts w:ascii="Times New Roman" w:hAnsi="Times New Roman" w:cs="Times New Roman"/>
        </w:rPr>
        <w:t>an we use the unique vantage point of space-based atmospheric CO</w:t>
      </w:r>
      <w:r w:rsidRPr="00562040">
        <w:rPr>
          <w:rFonts w:ascii="Times New Roman" w:hAnsi="Times New Roman" w:cs="Times New Roman"/>
          <w:vertAlign w:val="subscript"/>
        </w:rPr>
        <w:t>2</w:t>
      </w:r>
      <w:r w:rsidRPr="00472ADD">
        <w:rPr>
          <w:rFonts w:ascii="Times New Roman" w:hAnsi="Times New Roman" w:cs="Times New Roman"/>
        </w:rPr>
        <w:t xml:space="preserve"> observations to provide an independent check on </w:t>
      </w:r>
      <w:r>
        <w:rPr>
          <w:rFonts w:ascii="Times New Roman" w:hAnsi="Times New Roman" w:cs="Times New Roman"/>
        </w:rPr>
        <w:t>bottom-up urban CO</w:t>
      </w:r>
      <w:r w:rsidRPr="00C70063">
        <w:rPr>
          <w:rFonts w:ascii="Times New Roman" w:hAnsi="Times New Roman" w:cs="Times New Roman"/>
          <w:vertAlign w:val="subscript"/>
        </w:rPr>
        <w:t>2</w:t>
      </w:r>
      <w:r w:rsidRPr="00472ADD">
        <w:rPr>
          <w:rFonts w:ascii="Times New Roman" w:hAnsi="Times New Roman" w:cs="Times New Roman"/>
        </w:rPr>
        <w:t xml:space="preserve"> emission </w:t>
      </w:r>
      <w:r>
        <w:rPr>
          <w:rFonts w:ascii="Times New Roman" w:hAnsi="Times New Roman" w:cs="Times New Roman"/>
        </w:rPr>
        <w:t>estimates</w:t>
      </w:r>
      <w:r w:rsidRPr="00472ADD">
        <w:rPr>
          <w:rFonts w:ascii="Times New Roman" w:hAnsi="Times New Roman" w:cs="Times New Roman"/>
        </w:rPr>
        <w:t xml:space="preserve"> </w:t>
      </w:r>
      <w:r>
        <w:rPr>
          <w:rFonts w:ascii="Times New Roman" w:hAnsi="Times New Roman" w:cs="Times New Roman"/>
        </w:rPr>
        <w:t>at a global scale</w:t>
      </w:r>
      <w:r w:rsidRPr="00472ADD">
        <w:rPr>
          <w:rFonts w:ascii="Times New Roman" w:hAnsi="Times New Roman" w:cs="Times New Roman"/>
        </w:rPr>
        <w:t>?</w:t>
      </w:r>
    </w:p>
    <w:p w14:paraId="40A79F55"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A</w:t>
      </w:r>
      <w:r w:rsidRPr="00472ADD">
        <w:rPr>
          <w:rFonts w:ascii="Times New Roman" w:hAnsi="Times New Roman" w:cs="Times New Roman"/>
        </w:rPr>
        <w:t xml:space="preserve"> major challenge </w:t>
      </w:r>
      <w:r>
        <w:rPr>
          <w:rFonts w:ascii="Times New Roman" w:hAnsi="Times New Roman" w:cs="Times New Roman"/>
        </w:rPr>
        <w:t>in</w:t>
      </w:r>
      <w:r w:rsidRPr="00472ADD">
        <w:rPr>
          <w:rFonts w:ascii="Times New Roman" w:hAnsi="Times New Roman" w:cs="Times New Roman"/>
        </w:rPr>
        <w:t xml:space="preserve"> estimating </w:t>
      </w:r>
      <w:r>
        <w:rPr>
          <w:rFonts w:ascii="Times New Roman" w:hAnsi="Times New Roman" w:cs="Times New Roman"/>
        </w:rPr>
        <w:t>urban</w:t>
      </w:r>
      <w:r w:rsidRPr="00472ADD">
        <w:rPr>
          <w:rFonts w:ascii="Times New Roman" w:hAnsi="Times New Roman" w:cs="Times New Roman"/>
        </w:rPr>
        <w:t xml:space="preserve"> CO</w:t>
      </w:r>
      <w:r w:rsidRPr="00472ADD">
        <w:rPr>
          <w:rFonts w:ascii="Times New Roman" w:hAnsi="Times New Roman" w:cs="Times New Roman"/>
          <w:vertAlign w:val="subscript"/>
        </w:rPr>
        <w:t>2</w:t>
      </w:r>
      <w:r w:rsidRPr="00472ADD">
        <w:rPr>
          <w:rFonts w:ascii="Times New Roman" w:hAnsi="Times New Roman" w:cs="Times New Roman"/>
        </w:rPr>
        <w:t xml:space="preserve"> emissions </w:t>
      </w:r>
      <w:r>
        <w:rPr>
          <w:rFonts w:ascii="Times New Roman" w:hAnsi="Times New Roman" w:cs="Times New Roman"/>
        </w:rPr>
        <w:t>using</w:t>
      </w:r>
      <w:r w:rsidRPr="00472ADD">
        <w:rPr>
          <w:rFonts w:ascii="Times New Roman" w:hAnsi="Times New Roman" w:cs="Times New Roman"/>
        </w:rPr>
        <w:t xml:space="preserve"> satellite</w:t>
      </w:r>
      <w:r>
        <w:rPr>
          <w:rFonts w:ascii="Times New Roman" w:hAnsi="Times New Roman" w:cs="Times New Roman"/>
        </w:rPr>
        <w:t xml:space="preserve"> observations</w:t>
      </w:r>
      <w:r w:rsidRPr="00472ADD">
        <w:rPr>
          <w:rFonts w:ascii="Times New Roman" w:hAnsi="Times New Roman" w:cs="Times New Roman"/>
        </w:rPr>
        <w:t xml:space="preserve"> has been the lack of high-density atmospheric CO</w:t>
      </w:r>
      <w:r w:rsidRPr="00472ADD">
        <w:rPr>
          <w:rFonts w:ascii="Times New Roman" w:hAnsi="Times New Roman" w:cs="Times New Roman"/>
          <w:vertAlign w:val="subscript"/>
        </w:rPr>
        <w:t>2</w:t>
      </w:r>
      <w:r w:rsidRPr="00472ADD">
        <w:rPr>
          <w:rFonts w:ascii="Times New Roman" w:hAnsi="Times New Roman" w:cs="Times New Roman"/>
        </w:rPr>
        <w:t xml:space="preserve"> observations</w:t>
      </w:r>
      <w:r>
        <w:rPr>
          <w:rFonts w:ascii="Times New Roman" w:hAnsi="Times New Roman" w:cs="Times New Roman"/>
        </w:rPr>
        <w:t xml:space="preserve"> capable of</w:t>
      </w:r>
      <w:r w:rsidRPr="00472ADD">
        <w:rPr>
          <w:rFonts w:ascii="Times New Roman" w:hAnsi="Times New Roman" w:cs="Times New Roman"/>
        </w:rPr>
        <w:t xml:space="preserve"> resolv</w:t>
      </w:r>
      <w:r>
        <w:rPr>
          <w:rFonts w:ascii="Times New Roman" w:hAnsi="Times New Roman" w:cs="Times New Roman"/>
        </w:rPr>
        <w:t>ing</w:t>
      </w:r>
      <w:r w:rsidRPr="00472ADD">
        <w:rPr>
          <w:rFonts w:ascii="Times New Roman" w:hAnsi="Times New Roman" w:cs="Times New Roman"/>
        </w:rPr>
        <w:t xml:space="preserve"> fine-scale CO</w:t>
      </w:r>
      <w:r w:rsidRPr="00472ADD">
        <w:rPr>
          <w:rFonts w:ascii="Times New Roman" w:hAnsi="Times New Roman" w:cs="Times New Roman"/>
          <w:vertAlign w:val="subscript"/>
        </w:rPr>
        <w:t>2</w:t>
      </w:r>
      <w:r w:rsidRPr="00472ADD">
        <w:rPr>
          <w:rFonts w:ascii="Times New Roman" w:hAnsi="Times New Roman" w:cs="Times New Roman"/>
        </w:rPr>
        <w:t xml:space="preserve"> features over </w:t>
      </w:r>
      <w:r>
        <w:rPr>
          <w:rFonts w:ascii="Times New Roman" w:hAnsi="Times New Roman" w:cs="Times New Roman"/>
        </w:rPr>
        <w:t>cities</w:t>
      </w:r>
      <w:r w:rsidRPr="00472ADD">
        <w:rPr>
          <w:rFonts w:ascii="Times New Roman" w:hAnsi="Times New Roman" w:cs="Times New Roman"/>
        </w:rPr>
        <w:t xml:space="preserve">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{"citationID":"aR1xKnpc","properties":{"formattedCitation":"(Kort et al., 2012; Wu et al., 2020; Ye et al., 2020)","plainCitation":"(Kort et al., 2012; Wu et al., 2020; Ye et al., 2020)","noteIndex":0},"citationItems":[{"id":1978,"uris":["http://zotero.org/users/12959951/items/SFYVE8J2"],"itemData":{"id":1978,"type":"article-journal","abstract":"Urban areas now house more than half the world's population, and are estimated to contribute over 70% of global energy-related CO2emissions. Many cities have emission reduction policies in place, but lack objective, observation-based methods for verifying their outcomes. Here we demonstrate the potential of satellite-borne instruments to provide accurate global monitoring of megacity CO2 emissions using GOSAT observations of column averaged CO2 dry air mole fraction (XCO2) collected over Los Angeles and Mumbai. By differencing observations over the megacity with those in nearby background, we observe robust, statistically significant XCO2 enhancements of 3.2 ± 1.5 ppm for Los Angeles and 2.4 ± 1.2 ppm for Mumbai, and find these enhancements can be exploited to track anthropogenic emission trends over time. We estimate that XCO2 changes as small as 0.7 ppm in Los Angeles, corresponding to a 22% change in emissions, could be detected with GOSAT at the 95% confidence level.","container-title":"Geophysical Research Letters","DOI":"https://doi.org/10.1029/2012GL052738","issue":"17","note":"_eprint: https://agupubs.onlinelibrary.wiley.com/doi/pdf/10.1029/2012GL052738","title":"Space-based observations of megacity carbon dioxide","URL":"https://agupubs.onlinelibrary.wiley.com/doi/abs/10.1029/2012GL052738","volume":"39","author":[{"family":"Kort","given":"Eric A."},{"family":"Frankenberg","given":"Christian"},{"family":"Miller","given":"Charles E."},{"family":"Oda","given":"Tom"}],"issued":{"date-parts":[["2012"]]}}},{"id":627,"uris":["http://zotero.org/users/12959951/items/EBXK88YI"],"itemData":{"id":627,"type":"article-journal","abstract"</w:instrText>
      </w:r>
      <w:r>
        <w:rPr>
          <w:rFonts w:ascii="Times New Roman" w:hAnsi="Times New Roman" w:cs="Times New Roman" w:hint="eastAsia"/>
        </w:rPr>
        <w:instrText xml:space="preserve">:"Urban areas are currently responsible for </w:instrText>
      </w:r>
      <w:r>
        <w:rPr>
          <w:rFonts w:ascii="Times New Roman" w:hAnsi="Times New Roman" w:cs="Times New Roman" w:hint="eastAsia"/>
        </w:rPr>
        <w:instrText>∼</w:instrText>
      </w:r>
      <w:r>
        <w:rPr>
          <w:rFonts w:ascii="Times New Roman" w:hAnsi="Times New Roman" w:cs="Times New Roman" w:hint="eastAsia"/>
        </w:rPr>
        <w:instrText>70% of the global energy-related carbon dioxide (CO2) emissions, and rapid ongoing global urbanization is increasing the number and size of cities. Thus, understanding city-scale CO2 emissions and how they vary</w:instrText>
      </w:r>
      <w:r>
        <w:rPr>
          <w:rFonts w:ascii="Times New Roman" w:hAnsi="Times New Roman" w:cs="Times New Roman"/>
        </w:rPr>
        <w:instrText xml:space="preserve"> between cities with different urban densities is a critical task. While the relationship between CO2 emissions and population density has been explored widely in prior studies, their conclusions were sensitive to inconsistent definitions of urban boundaries and the reliance upon CO2 emission inventories that implicitly assumed population relationships. Here we provide the first independent estimates of direct per capita CO2 emissions (Epc) from spaceborne atmospheric CO2 measurements from the Orbiting Carbon Observatory-2 (OCO-2) for a total 20 cities across multiple continents. The analysis accounts for the influence of meteorology on the satellite observations with an atmospheric model. The resultant upwind source region sampled by the satellite serves as an objective urban extent for aggregating emissions and population densities. Thus, we are able to detect emission ‘hotspots’ on a per capita basis from a few cities, subject to sampling restrictions from OCO-2. Our results suggest that Epc declines as population densities increase, albeit the decrease in Epc is partially limited by the positive correlation between Epc and per capita gross domestic product. As additional CO2-observing satellites are launched in the coming years, our space-based approach to understanding CO2 emissions from cities has significant potential in tracking and evaluating the future trajectory of urban growth and informing the effects of carbon reduction plans.","container-title":"Environmental Research Letters","DOI":"10.1088/1748-9326/ab68eb","issue":"3","note":"publisher: IOP Publishing","page":"035004","title":"Space-based quantification of per capita CO2 emissions from cities","volume":"15","author":[{"family":"Wu","given":"Dien"},{"family":"Lin","given":"John C."},{"family":"Oda","given":"Tomohiro"},{"family":"Kort","given":"Eric A."}],"issued":{"date-parts":[["2020",2]]}},"label":"page","suppress-author":true,"prefix":"Wu et al., "},{"id":540,"uris":["http://zotero.org/users/12959951/items/7CV3BI9Q"],"itemData":{"id":540,"type":"article-journal","abstract":"Abstract Satellite observations of the total column dry-air CO2 (XCO2) are expected to support the quantification and monitoring of fossil fuel CO2 (ffCO2) emissions from urban areas. We evaluate the utility of the Orbiting Carbon Observatory 2 (OCO-2) XCO2 retrievals to optimize whole-city emissions, using a Bayesian inversion system and high-resolution transport modeling. The uncertainties of constrained emissions related to transport model, satellite measurements, and local biospheric fluxes are quantified. For the first two uncertainty sources, we examine cities of different landscapes: “plume city” located in relatively flat terrain, represented by Riyadh and Cairo; and “basin city” located in basin terrain, represented by Los Angeles (LA). The retrieved scaling factors of emissions and their uncertainties show prominent variabilities from track to track, due to the varying meteorological conditions and relative locations of the tracks transecting plumes. To explore the performance of multiple tracks in retrieving emissions, pseudo data experiments are carried out. The estimated least numbers of tracks required to constrain the total emissions for Riyadh (&lt;10% uncertainty), Cairo (&lt;10%), and LA (&lt;5%) are 8, 5, and 7, respectively. Additionally, to evaluate the impact of biospheric fluxes on derivation of the ffXCO2 enhancements, we conduct simulations for Pearl River Delta metropolitan area. Significant fractions of local XCO2 enhancements associated with local biospheric XCO2 variations are shown, which potentially lead to biased estimates of ffCO2 emissions. We demonstrate that satellite measurements can be used to improve urban ffCO2 emissions with a sufficient amount of measurements and appropriate representations of the uncertainty components.","container-title":"Journal of Geophysical Research: Atmospheres","DOI":"https://doi.org/10.1029/2019JD030528","issue":"8","note":"_eprint: https://agupubs.onlinelibrary.wiley.com/doi/pdf/10.1029/2019JD030528","page":"e2019JD030528","title":"Constraining Fossil Fuel CO2 Emissions From Urban Area Using OCO-2 Observations of Total Column CO2","volume":"125","author":[{"family":"Ye","given":"Xinxin"},{"family":"Lauvaux","given":"Thomas"},{"family":"Kort","given":"Eric A."},{"family":"Oda","given":"Tomohiro"},{"family":"Feng","given":"Sha"},{"family":"Lin","given":"John C."},{"family":"Yang","given":"Emily G."},{"family":"Wu","given":"Dien"}],"issued":{"date-parts":[["2020"]]}}}],"schema":"https://github.com/citation-style-language/schema/raw/master/csl-citation.json"}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(Kort et al., 2012; Wu et al., 2020; Ye et al., 2020)</w:t>
      </w:r>
      <w:r w:rsidRPr="00472ADD">
        <w:rPr>
          <w:rFonts w:ascii="Times New Roman" w:hAnsi="Times New Roman" w:cs="Times New Roman"/>
        </w:rPr>
        <w:fldChar w:fldCharType="end"/>
      </w:r>
      <w:r w:rsidRPr="00472ADD">
        <w:rPr>
          <w:rFonts w:ascii="Times New Roman" w:hAnsi="Times New Roman" w:cs="Times New Roman"/>
        </w:rPr>
        <w:t xml:space="preserve">. Since 2019, NASA has been </w:t>
      </w:r>
      <w:r>
        <w:rPr>
          <w:rFonts w:ascii="Times New Roman" w:hAnsi="Times New Roman" w:cs="Times New Roman"/>
        </w:rPr>
        <w:t>operating</w:t>
      </w:r>
      <w:r w:rsidRPr="00472ADD">
        <w:rPr>
          <w:rFonts w:ascii="Times New Roman" w:hAnsi="Times New Roman" w:cs="Times New Roman"/>
        </w:rPr>
        <w:t xml:space="preserve"> the</w:t>
      </w:r>
      <w:r>
        <w:rPr>
          <w:rFonts w:ascii="Times New Roman" w:hAnsi="Times New Roman" w:cs="Times New Roman"/>
        </w:rPr>
        <w:t xml:space="preserve"> Orbiting Carbon Observatory-3</w:t>
      </w:r>
      <w:r w:rsidRPr="00472ADD">
        <w:rPr>
          <w:rFonts w:ascii="Times New Roman" w:hAnsi="Times New Roman" w:cs="Times New Roman"/>
        </w:rPr>
        <w:t xml:space="preserve"> </w:t>
      </w:r>
      <w:r>
        <w:rPr>
          <w:rFonts w:ascii="Times New Roman" w:hAnsi="Times New Roman" w:cs="Times New Roman"/>
        </w:rPr>
        <w:t>(</w:t>
      </w:r>
      <w:r w:rsidRPr="00472ADD">
        <w:rPr>
          <w:rFonts w:ascii="Times New Roman" w:hAnsi="Times New Roman" w:cs="Times New Roman"/>
        </w:rPr>
        <w:t>OCO-3</w:t>
      </w:r>
      <w:r>
        <w:rPr>
          <w:rFonts w:ascii="Times New Roman" w:hAnsi="Times New Roman" w:cs="Times New Roman"/>
        </w:rPr>
        <w:t>)</w:t>
      </w:r>
      <w:r w:rsidRPr="00472ADD">
        <w:rPr>
          <w:rFonts w:ascii="Times New Roman" w:hAnsi="Times New Roman" w:cs="Times New Roman"/>
        </w:rPr>
        <w:t xml:space="preserve"> mission </w:t>
      </w:r>
      <w:r>
        <w:rPr>
          <w:rFonts w:ascii="Times New Roman" w:hAnsi="Times New Roman" w:cs="Times New Roman"/>
        </w:rPr>
        <w:t>onboard</w:t>
      </w:r>
      <w:r w:rsidRPr="00472ADD">
        <w:rPr>
          <w:rFonts w:ascii="Times New Roman" w:hAnsi="Times New Roman" w:cs="Times New Roman"/>
        </w:rPr>
        <w:t xml:space="preserve"> the International Space Station (ISS). </w:t>
      </w:r>
      <w:r>
        <w:rPr>
          <w:rFonts w:ascii="Times New Roman" w:hAnsi="Times New Roman" w:cs="Times New Roman"/>
        </w:rPr>
        <w:t>OCO-3</w:t>
      </w:r>
      <w:r w:rsidRPr="00472ADD">
        <w:rPr>
          <w:rFonts w:ascii="Times New Roman" w:hAnsi="Times New Roman" w:cs="Times New Roman"/>
        </w:rPr>
        <w:t xml:space="preserve"> </w:t>
      </w:r>
      <w:r>
        <w:rPr>
          <w:rFonts w:ascii="Times New Roman" w:hAnsi="Times New Roman" w:cs="Times New Roman"/>
        </w:rPr>
        <w:t xml:space="preserve">features </w:t>
      </w:r>
      <w:r w:rsidRPr="00472ADD">
        <w:rPr>
          <w:rFonts w:ascii="Times New Roman" w:hAnsi="Times New Roman" w:cs="Times New Roman"/>
        </w:rPr>
        <w:t xml:space="preserve">a Pointing Mirror Assembly (PMA) that enables the instrument to “stare” at a target area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{"citationID":"zwD9LEy1","properties":{"formattedCitation":"(Eldering et al., 2019)","plainCitation":"(Eldering et al., 2019)","noteIndex":0},"citationItems":[{"id":498,"uris":["http://zotero.org/users/12959951/items/98W52G3J"],"itemData":{"id":498,"type":"article-journal","container-title":"Atmospheric Measurement Techniques","DOI":"10.5194/amt-12-2341-2019","issue":"4","page":"2341–2370","title":"The OCO-3 mission: measurement objectives and expected performance based on 1 year of simulated data","volume":"12","author":[{"family":"Eldering","given":"A."},{"family":"Taylor","given":"T. E."},{"family":"O'Dell","given":"C. W."},{"family":"Pavlick","given":"R."}],"issued":{"date-parts":[["2019"]]}}}],"schema":"https://github.com/citation-style-language/schema/raw/master/csl-citation.json"}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(Eldering et al., 2019)</w:t>
      </w:r>
      <w:r w:rsidRPr="00472ADD">
        <w:rPr>
          <w:rFonts w:ascii="Times New Roman" w:hAnsi="Times New Roman" w:cs="Times New Roman"/>
        </w:rPr>
        <w:fldChar w:fldCharType="end"/>
      </w:r>
      <w:r w:rsidRPr="00472ADD">
        <w:rPr>
          <w:rFonts w:ascii="Times New Roman" w:hAnsi="Times New Roman" w:cs="Times New Roman"/>
        </w:rPr>
        <w:t>. The “staring” capability</w:t>
      </w:r>
      <w:r>
        <w:rPr>
          <w:rFonts w:ascii="Times New Roman" w:hAnsi="Times New Roman" w:cs="Times New Roman"/>
        </w:rPr>
        <w:t xml:space="preserve">, </w:t>
      </w:r>
      <w:r w:rsidRPr="00472ADD">
        <w:rPr>
          <w:rFonts w:ascii="Times New Roman" w:hAnsi="Times New Roman" w:cs="Times New Roman"/>
        </w:rPr>
        <w:t xml:space="preserve"> referred to as Snapshot Area</w:t>
      </w:r>
      <w:r>
        <w:rPr>
          <w:rFonts w:ascii="Times New Roman" w:hAnsi="Times New Roman" w:cs="Times New Roman"/>
        </w:rPr>
        <w:t xml:space="preserve"> Mapping</w:t>
      </w:r>
      <w:r w:rsidRPr="00472ADD">
        <w:rPr>
          <w:rFonts w:ascii="Times New Roman" w:hAnsi="Times New Roman" w:cs="Times New Roman"/>
        </w:rPr>
        <w:t xml:space="preserve"> (SAM)</w:t>
      </w:r>
      <w:r>
        <w:rPr>
          <w:rFonts w:ascii="Times New Roman" w:hAnsi="Times New Roman" w:cs="Times New Roman"/>
        </w:rPr>
        <w:t xml:space="preserve"> mode, collects</w:t>
      </w:r>
      <w:r w:rsidRPr="00472ADD">
        <w:rPr>
          <w:rFonts w:ascii="Times New Roman" w:hAnsi="Times New Roman" w:cs="Times New Roman"/>
        </w:rPr>
        <w:t xml:space="preserve"> multi-swath atmospheric total column CO</w:t>
      </w:r>
      <w:r w:rsidRPr="00472ADD">
        <w:rPr>
          <w:rFonts w:ascii="Times New Roman" w:hAnsi="Times New Roman" w:cs="Times New Roman"/>
          <w:vertAlign w:val="subscript"/>
        </w:rPr>
        <w:t>2</w:t>
      </w:r>
      <w:r w:rsidRPr="00472ADD">
        <w:rPr>
          <w:rFonts w:ascii="Times New Roman" w:hAnsi="Times New Roman" w:cs="Times New Roman"/>
        </w:rPr>
        <w:t xml:space="preserve"> (XCO</w:t>
      </w:r>
      <w:r w:rsidRPr="00472ADD">
        <w:rPr>
          <w:rFonts w:ascii="Times New Roman" w:hAnsi="Times New Roman" w:cs="Times New Roman"/>
          <w:vertAlign w:val="subscript"/>
        </w:rPr>
        <w:t>2</w:t>
      </w:r>
      <w:r w:rsidRPr="00472ADD">
        <w:rPr>
          <w:rFonts w:ascii="Times New Roman" w:hAnsi="Times New Roman" w:cs="Times New Roman"/>
        </w:rPr>
        <w:t>) measurements over a</w:t>
      </w:r>
      <w:r>
        <w:rPr>
          <w:rFonts w:ascii="Times New Roman" w:hAnsi="Times New Roman" w:cs="Times New Roman"/>
        </w:rPr>
        <w:t>n</w:t>
      </w:r>
      <w:r w:rsidRPr="00472ADD">
        <w:rPr>
          <w:rFonts w:ascii="Times New Roman" w:hAnsi="Times New Roman" w:cs="Times New Roman"/>
        </w:rPr>
        <w:t xml:space="preserve"> target area with a precision of &lt; 1 ppm</w:t>
      </w:r>
      <w:r>
        <w:rPr>
          <w:rFonts w:ascii="Times New Roman" w:hAnsi="Times New Roman" w:cs="Times New Roman"/>
        </w:rPr>
        <w:t xml:space="preserve"> at ~3 km</w:t>
      </w:r>
      <w:r w:rsidRPr="00723949">
        <w:rPr>
          <w:rFonts w:ascii="Times New Roman" w:hAnsi="Times New Roman" w:cs="Times New Roman"/>
          <w:vertAlign w:val="superscript"/>
        </w:rPr>
        <w:t>2</w:t>
      </w:r>
      <w:r>
        <w:rPr>
          <w:rFonts w:ascii="Times New Roman" w:hAnsi="Times New Roman" w:cs="Times New Roman"/>
        </w:rPr>
        <w:t xml:space="preserve"> resolution</w:t>
      </w:r>
      <w:r w:rsidRPr="00472ADD">
        <w:rPr>
          <w:rFonts w:ascii="Times New Roman" w:hAnsi="Times New Roman" w:cs="Times New Roman"/>
        </w:rPr>
        <w:t xml:space="preserve">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{"citationID":"CsfFwBxP","properties":{"formattedCitation":"(Taylor et al., 2023)","plainCitation":"(Taylor et al., 2023)","noteIndex":0},"citationItems":[{"id":1312,"uris":["http://zotero.org/users/12959951/items/CD8QJLPU"</w:instrText>
      </w:r>
      <w:r>
        <w:rPr>
          <w:rFonts w:ascii="Times New Roman" w:hAnsi="Times New Roman" w:cs="Times New Roman" w:hint="eastAsia"/>
        </w:rPr>
        <w:instrText>],"itemData":{"id":1312,"type":"article-journal","container-title":"Atmospheric Measurement Techniques","DOI":"10.5194/amt-16-3173-2023","issue":"12","page":"3173</w:instrText>
      </w:r>
      <w:r>
        <w:rPr>
          <w:rFonts w:ascii="Times New Roman" w:hAnsi="Times New Roman" w:cs="Times New Roman" w:hint="eastAsia"/>
        </w:rPr>
        <w:instrText>–</w:instrText>
      </w:r>
      <w:r>
        <w:rPr>
          <w:rFonts w:ascii="Times New Roman" w:hAnsi="Times New Roman" w:cs="Times New Roman" w:hint="eastAsia"/>
        </w:rPr>
        <w:instrText>3209","title":"Evaluating the consistency between OCO-2 and OCO-3 XCO</w:instrText>
      </w:r>
      <w:r>
        <w:rPr>
          <w:rFonts w:ascii="Times New Roman" w:hAnsi="Times New Roman" w:cs="Times New Roman" w:hint="eastAsia"/>
        </w:rPr>
        <w:instrText>₂</w:instrText>
      </w:r>
      <w:r>
        <w:rPr>
          <w:rFonts w:ascii="Times New Roman" w:hAnsi="Times New Roman" w:cs="Times New Roman" w:hint="eastAsia"/>
        </w:rPr>
        <w:instrText xml:space="preserve"> estimates derived fro</w:instrText>
      </w:r>
      <w:r>
        <w:rPr>
          <w:rFonts w:ascii="Times New Roman" w:hAnsi="Times New Roman" w:cs="Times New Roman"/>
        </w:rPr>
        <w:instrText xml:space="preserve">m the NASA ACOS version 10 retrieval algorithm","volume":"16","author":[{"family":"Taylor","given":"T. E."},{"family":"O'Dell","given":"C. W."},{"family":"Baker","given":"D."},{"family":"Bruegge","given":"C."},{"family":"Chang","given":"A."},{"family":"Chapsky","given":"L."},{"family":"Chatterjee","given":"A."},{"family":"Cheng","given":"C."},{"family":"Chevallier","given":"F."},{"family":"Crisp","given":"D."},{"family":"Dang","given":"L."},{"family":"Drouin","given":"B."},{"family":"Eldering","given":"A."},{"family":"Feng","given":"L."},{"family":"Fisher","given":"B."},{"family":"Fu","given":"D."},{"family":"Gunson","given":"M."},{"family":"Haemmerle","given":"V."},{"family":"Keller","given":"G. R."},{"family":"Kiel","given":"M."},{"family":"Kuai","given":"L."},{"family":"Kurosu","given":"T."},{"family":"Lambert","given":"A."},{"family":"Laughner","given":"J."},{"family":"Lee","given":"R."},{"family":"Liu","given":"J."},{"family":"Mandrake","given":"L."},{"family":"Marchetti","given":"Y."},{"family":"McGarragh","given":"G."},{"family":"Merrelli","given":"A."},{"family":"Nelson","given":"R. R."},{"family":"Osterman","given":"G."},{"family":"Oyafuso","given":"F."},{"family":"Palmer","given":"P. I."},{"family":"Payne","given":"V. H."},{"family":"Rosenberg","given":"R."},{"family":"Somkuti","given":"P."},{"family":"Spiers","given":"G."},{"family":"To","given":"C."},{"family":"Weir","given":"B."},{"family":"Wennberg","given":"P. O."},{"family":"Yu","given":"S."},{"family":"Zong","given":"J."}],"issued":{"date-parts":[["2023"]]}}}],"schema":"https://github.com/citation-style-language/schema/raw/master/csl-citation.json"}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(Taylor et al., 2023)</w:t>
      </w:r>
      <w:r w:rsidRPr="00472ADD">
        <w:rPr>
          <w:rFonts w:ascii="Times New Roman" w:hAnsi="Times New Roman" w:cs="Times New Roman"/>
        </w:rPr>
        <w:fldChar w:fldCharType="end"/>
      </w:r>
      <w:r w:rsidRPr="00472ADD">
        <w:rPr>
          <w:rFonts w:ascii="Times New Roman" w:hAnsi="Times New Roman" w:cs="Times New Roman"/>
        </w:rPr>
        <w:t>.</w:t>
      </w:r>
      <w:r>
        <w:rPr>
          <w:rFonts w:ascii="Times New Roman" w:hAnsi="Times New Roman" w:cs="Times New Roman"/>
        </w:rPr>
        <w:t xml:space="preserve"> While its predecessor, the Orbiting-Carbon-Observatory</w:t>
      </w:r>
      <w:r w:rsidRPr="00472ADD">
        <w:rPr>
          <w:rFonts w:ascii="Times New Roman" w:hAnsi="Times New Roman" w:cs="Times New Roman"/>
        </w:rPr>
        <w:t xml:space="preserve"> </w:t>
      </w:r>
      <w:r>
        <w:rPr>
          <w:rFonts w:ascii="Times New Roman" w:hAnsi="Times New Roman" w:cs="Times New Roman"/>
        </w:rPr>
        <w:t>(</w:t>
      </w:r>
      <w:r w:rsidRPr="00472ADD">
        <w:rPr>
          <w:rFonts w:ascii="Times New Roman" w:hAnsi="Times New Roman" w:cs="Times New Roman"/>
        </w:rPr>
        <w:t>OCO-2</w:t>
      </w:r>
      <w:r>
        <w:rPr>
          <w:rFonts w:ascii="Times New Roman" w:hAnsi="Times New Roman" w:cs="Times New Roman"/>
        </w:rPr>
        <w:t>)</w:t>
      </w:r>
      <w:r w:rsidRPr="00472ADD">
        <w:rPr>
          <w:rFonts w:ascii="Times New Roman" w:hAnsi="Times New Roman" w:cs="Times New Roman"/>
        </w:rPr>
        <w:t xml:space="preserve"> mission</w:t>
      </w:r>
      <w:r>
        <w:rPr>
          <w:rFonts w:ascii="Times New Roman" w:hAnsi="Times New Roman" w:cs="Times New Roman"/>
        </w:rPr>
        <w:t>, has</w:t>
      </w:r>
      <w:r w:rsidRPr="00472ADD">
        <w:rPr>
          <w:rFonts w:ascii="Times New Roman" w:hAnsi="Times New Roman" w:cs="Times New Roman"/>
        </w:rPr>
        <w:t xml:space="preserve"> provided </w:t>
      </w:r>
      <w:r>
        <w:rPr>
          <w:rFonts w:ascii="Times New Roman" w:hAnsi="Times New Roman" w:cs="Times New Roman"/>
        </w:rPr>
        <w:t xml:space="preserve">valuable </w:t>
      </w:r>
      <w:r w:rsidRPr="00472ADD">
        <w:rPr>
          <w:rFonts w:ascii="Times New Roman" w:hAnsi="Times New Roman" w:cs="Times New Roman"/>
        </w:rPr>
        <w:t>insights into the natural carbon cycle</w:t>
      </w:r>
      <w:r>
        <w:rPr>
          <w:rFonts w:ascii="Times New Roman" w:hAnsi="Times New Roman" w:cs="Times New Roman"/>
        </w:rPr>
        <w:t xml:space="preserve"> and long-term carbon-climate interactions</w:t>
      </w:r>
      <w:r w:rsidRPr="00472ADD">
        <w:rPr>
          <w:rFonts w:ascii="Times New Roman" w:hAnsi="Times New Roman" w:cs="Times New Roman"/>
        </w:rPr>
        <w:t xml:space="preserve">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{"citationID":"rdRquDyT","properties":{"formattedCitation":"(Byrne et al., 2023; Chatterjee et al., 2017; J. Liu et al., 2017; Sun et al., 2017)","plainCitation":"(Byrne et al., 2023; Chatterjee et al., 2017; J. Liu et al., 2017; Sun et al., 2017)","noteIndex":0},"citationItems":[{"id":3772,"uris":["http://zotero.org/users/12959951/items/DXENXI72"],"itemData":{"id":3772,"type":"article-journal","container-title":"Earth System Science Data","DOI":"10.5194/essd-15-963-2023","</w:instrText>
      </w:r>
      <w:r>
        <w:rPr>
          <w:rFonts w:ascii="Times New Roman" w:hAnsi="Times New Roman" w:cs="Times New Roman" w:hint="eastAsia"/>
        </w:rPr>
        <w:instrText>issue":"2","page":"963</w:instrText>
      </w:r>
      <w:r>
        <w:rPr>
          <w:rFonts w:ascii="Times New Roman" w:hAnsi="Times New Roman" w:cs="Times New Roman" w:hint="eastAsia"/>
        </w:rPr>
        <w:instrText>–</w:instrText>
      </w:r>
      <w:r>
        <w:rPr>
          <w:rFonts w:ascii="Times New Roman" w:hAnsi="Times New Roman" w:cs="Times New Roman" w:hint="eastAsia"/>
        </w:rPr>
        <w:instrText>1004","title":"National CO</w:instrText>
      </w:r>
      <w:r>
        <w:rPr>
          <w:rFonts w:ascii="Times New Roman" w:hAnsi="Times New Roman" w:cs="Times New Roman" w:hint="eastAsia"/>
        </w:rPr>
        <w:instrText>₂</w:instrText>
      </w:r>
      <w:r>
        <w:rPr>
          <w:rFonts w:ascii="Times New Roman" w:hAnsi="Times New Roman" w:cs="Times New Roman" w:hint="eastAsia"/>
        </w:rPr>
        <w:instrText xml:space="preserve"> budgets (2015</w:instrText>
      </w:r>
      <w:r>
        <w:rPr>
          <w:rFonts w:ascii="Times New Roman" w:hAnsi="Times New Roman" w:cs="Times New Roman" w:hint="eastAsia"/>
        </w:rPr>
        <w:instrText>–</w:instrText>
      </w:r>
      <w:r>
        <w:rPr>
          <w:rFonts w:ascii="Times New Roman" w:hAnsi="Times New Roman" w:cs="Times New Roman" w:hint="eastAsia"/>
        </w:rPr>
        <w:instrText>2020) inferred from atmospheric CO</w:instrText>
      </w:r>
      <w:r>
        <w:rPr>
          <w:rFonts w:ascii="Times New Roman" w:hAnsi="Times New Roman" w:cs="Times New Roman" w:hint="eastAsia"/>
        </w:rPr>
        <w:instrText>₂</w:instrText>
      </w:r>
      <w:r>
        <w:rPr>
          <w:rFonts w:ascii="Times New Roman" w:hAnsi="Times New Roman" w:cs="Times New Roman" w:hint="eastAsia"/>
        </w:rPr>
        <w:instrText xml:space="preserve"> observations in support of the global stocktake","volume":"15","author":[{"family":"Byrne","given":"B."},{"family":"Baker","given":"D. F."},{"family":"Bas</w:instrText>
      </w:r>
      <w:r>
        <w:rPr>
          <w:rFonts w:ascii="Times New Roman" w:hAnsi="Times New Roman" w:cs="Times New Roman"/>
        </w:rPr>
        <w:instrText xml:space="preserve">u","given":"S."},{"family":"Bertolacci","given":"M."},{"family":"Bowman","given":"K. W."},{"family":"Carroll","given":"D."},{"family":"Chatterjee","given":"A."},{"family":"Chevallier","given":"F."},{"family":"Ciais","given":"P."},{"family":"Cressie","given":"N."},{"family":"Crisp","given":"D."},{"family":"Crowell","given":"S."},{"family":"Deng","given":"F."},{"family":"Deng","given":"Z."},{"family":"Deutscher","given":"N. M."},{"family":"Dubey","given":"M. K."},{"family":"Feng","given":"S."},{"family":"García","given":"O. E."},{"family":"Griffith","given":"D. W. T."},{"family":"Herkommer","given":"B."},{"family":"Hu","given":"L."},{"family":"Jacobson","given":"A. R."},{"family":"Janardanan","given":"R."},{"family":"Jeong","given":"S."},{"family":"Johnson","given":"M. S."},{"family":"Jones","given":"D. B. A."},{"family":"Kivi","given":"R."},{"family":"Liu","given":"J."},{"family":"Liu","given":"Z."},{"family":"Maksyutov","given":"S."},{"family":"Miller","given":"J. B."},{"family":"Miller","given":"S. M."},{"family":"Morino","given":"I."},{"family":"Notholt","given":"J."},{"family":"Oda","given":"T."},{"family":"O'Dell","given":"C. W."},{"family":"Oh","given":"Y.-S."},{"family":"Ohyama","given":"H."},{"family":"Patra","given":"P. K."},{"family":"Peiro","given":"H."},{"family":"Petri","given":"C."},{"family":"Philip","given":"S."},{"family":"Pollard","given":"D. F."},{"family":"Poulter","given":"B."},{"family":"Remaud","given":"M."},{"family":"Schuh","given":"A."},{"family":"Sha","given":"M. K."},{"family":"Shiomi","given":"K."},{"family":"Strong","given":"K."},{"family":"Sweeney","given":"C."},{"family":"Té","given":"Y."},{"family":"Tian","given":"H."},{"family":"Velazco","given":"V. A."},{"family":"Vrekoussis","given":"M."},{"family":"Warneke","given":"T."},{"family":"Worden","given":"J. R."},{"family":"Wunch","given":"D."},{"family":"Yao","given":"Y."},{"family":"Yun","given":"J."},{"family":"Zammit-Mangion","given":"A."},{"family":"Zeng","given":"N."}],"issued":{"date-parts":[["2023"]]}}},{"id":1963,"uris":["http://zotero.org/users/12959951/items/7NT5DNFV"],"itemData":{"id":1963,"type":"article-journal","abstract":"Spaceborne observations of carbon dioxide (CO2) from the Orbiting Carbon Observatory-2 are used to characterize the response of tropical atmospheric CO2 concentrations to the strong El Niño event of 2015–2016. Although correlations between the growth rate of atmospheric CO2 concentrations and the El Niño–Southern Oscillation are well known, the magnitude of the correlation and the timing of the responses of oceanic and terrestrial carbon cycle remain poorly constrained in space and time. We used space-based CO2 observations to confirm that the tropical Pacific Ocean does play an early and important role in modulating the changes in atmospheric CO2 concentrations during El Niño events—a phenomenon inferred but not previously observed because of insufficient high-density, broad-scale CO2 observations over the tropics.","container-title":"Science","DOI":"10.1126/science.aam5776","issue":"6360","note":"_eprint: https://www.science.org/doi/pdf/10.1126/science.aam5776","page":"eaam5776","title":"Influence of El Nino on atmospheric CO&lt;sub&gt;2&lt;/sub&gt; over the tropical Pacific Ocean: Findings from NASA's OCO-2 mission","volume":"358","author":[{"family":"Chatterjee","given":"A."},{"family":"Gierach","given":"M. M."},{"family":"Sutton","given":"A. J."},{"family":"Feely","given":"R. A."},{"family":"Crisp","given":"D."},{"family":"Eldering","given":"A."},{"family":"Gunson","given":"M. R."},{"family":"O’Dell","given":"C. W."},{"family":"Stephens","given":"B. B."},{"family":"Schimel","given":"D. S."}],"issued":{"date-parts":[["2017"]]}}},{"id":2283,"uris":["http://zotero.org/users/12959951/items/GVEJLGN8"],"itemData":{"id":2283,"type":"article-journal","abstract":"The 2015–2016 El Niño led to historically high temperatures and low precipitation over the tropics, while the growth rate of atmospheric carbon dioxide (CO2) was the largest on record. Here we quantify the response of tropical net biosphere exchange, gross primary production, biomass burning, and respiration to these climate anomalies by assimilating column CO2, solar-induced chlorophyll fluorescence, and carbon monoxide observations from multiple satellites. Relative to the 2011 La Niña, the pantropical biosphere released 2.5 ± 0.34 gigatons more carbon into the atmosphere in 2015, consisting of approximately even contributions from three tropical continents but dominated by diverse carbon exchange processes. The heterogeneity of the carbon-exchange processes indicated here challenges previous studies that suggested that a single dominant process determines carbon cycle interannual variability.","container-title":"Science","DOI":"10.1126/science.aam5690","issue":"6360","note":"_eprint: https://www.science.org/doi/pdf/10.1126/science.aam5690","page":"eaam5690","title":"Contrasting carbon cycle responses of the tropical continents to the 2015–2016 El Niño","volume":"358","author":[{"family":"Liu","given":"Junjie"},{"family":"Bowman","given":"Kevin W."},{"family":"Schimel","given":"David S."},{"family":"Parazoo","given":"Nicolas C."},{"family":"Jiang","given":"Zhe"},{"family":"Lee","given":"Meemong"},{"family":"Bloom","given":"A. Anthony"},{"family":"Wunch","given":"Debra"},{"family":"Frankenberg","given":"Christian"},{"family":"Sun","given":"Ying"},{"family":"O’Dell","given":"Christopher W."},{"family":"Gurney","given":"Kevin R."},{"family":"Menemenlis","given":"Dimitris"},{"family":"Gierach","given":"Michelle"},{"family":"Crisp","given":"David"},{"family":"Eldering","given":"Annmarie"}],"issued":{"date-parts":[["2017"]]}}},{"id":2286,"uris":["http://zotero.org/users/12959951/items/X6LU6VIY"],"itemData":{"id":2286,"type":"article-journal","abstract":"Quantifying gross primary production (GPP) remains a major challenge in global carbon cycle research. Spaceborne monitoring of solar-induced chlorophyll fluorescence (SIF), an integrative photosynthetic signal of molecular origin, can assist in terrestrial GPP monitoring. However, the extent to which SIF tracks spatiotemporal variations in GPP remains unresolved. Orbiting Carbon Observatory-2 (OCO-2)’s SIF data acquisition and fine spatial resolution permit direct validation against ground and airborne observations. Empirical orthogonal function analysis shows consistent spatiotemporal correspondence between OCO-2 SIF and GPP globally. A linear SIF-GPP relationship is also obtained at eddy-flux sites covering diverse biomes, setting the stage for future investigations of the robustness of such a relationship across more biomes. Our findings support the central importance of high-quality satellite SIF for studying terrestrial carbon cycle dynamics.","container-title":"Science","DOI":"10.1126/science.aam5747","issue":"6360","note":"_eprint: https://www.science.org/doi/pdf/10.1126/science.aam5747","page":"eaam5747","title":"OCO-2 advances photosynthesis observation from space via solar-induced chlorophyll fluorescence","volume":"358","author":[{"family":"Sun","given":"Y."},{"family":"Frankenberg","given":"C."},{"family":"Wood","given":"J. D."},{"family":"Schimel","given":"D. S."},{"family":"Jung","given":"M."},{"family":"Guanter","given":"L."},{"family":"Drewry","given":"D. T."},{"family":"Verma","given":"M."},{"family":"Porcar-Castell","given":"A."},{"family":"Griffis","given":"T. J."},{"family":"Gu","given":"L."},{"family":"Magney","given":"T. S."},{"family":"Köhler","given":"P."},{"family":"Evans","given":"B."},{"family":"Yuen","given":"K."}],"issued":{"date-parts":[["2017"]]}}}],"schema":"https://github.com/citation-style-language/schema/raw/master/csl-citation.json"}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(Byrne et al., 2023; Chatterjee et al., 2017; J. Liu et al., 2017; Sun et al., 2017)</w:t>
      </w:r>
      <w:r w:rsidRPr="00472ADD">
        <w:rPr>
          <w:rFonts w:ascii="Times New Roman" w:hAnsi="Times New Roman" w:cs="Times New Roman"/>
        </w:rPr>
        <w:fldChar w:fldCharType="end"/>
      </w:r>
      <w:r>
        <w:rPr>
          <w:rFonts w:ascii="Times New Roman" w:hAnsi="Times New Roman" w:cs="Times New Roman"/>
        </w:rPr>
        <w:t xml:space="preserve">, </w:t>
      </w:r>
      <w:r w:rsidRPr="00472ADD">
        <w:rPr>
          <w:rFonts w:ascii="Times New Roman" w:hAnsi="Times New Roman" w:cs="Times New Roman"/>
        </w:rPr>
        <w:t>OCO-3</w:t>
      </w:r>
      <w:r>
        <w:rPr>
          <w:rFonts w:ascii="Times New Roman" w:hAnsi="Times New Roman" w:cs="Times New Roman"/>
        </w:rPr>
        <w:t xml:space="preserve"> provides an unprecedented opportunity </w:t>
      </w:r>
      <w:r w:rsidRPr="00472ADD">
        <w:rPr>
          <w:rFonts w:ascii="Times New Roman" w:hAnsi="Times New Roman" w:cs="Times New Roman"/>
        </w:rPr>
        <w:t>to</w:t>
      </w:r>
      <w:r>
        <w:rPr>
          <w:rFonts w:ascii="Times New Roman" w:hAnsi="Times New Roman" w:cs="Times New Roman"/>
        </w:rPr>
        <w:t xml:space="preserve"> constrain the anthropogenic carbon cycle with its broader </w:t>
      </w:r>
      <w:r w:rsidRPr="00472ADD">
        <w:rPr>
          <w:rFonts w:ascii="Times New Roman" w:hAnsi="Times New Roman" w:cs="Times New Roman"/>
        </w:rPr>
        <w:t>spatial coverage</w:t>
      </w:r>
      <w:r>
        <w:rPr>
          <w:rFonts w:ascii="Times New Roman" w:hAnsi="Times New Roman" w:cs="Times New Roman"/>
        </w:rPr>
        <w:t>, high-density SAM mode, and</w:t>
      </w:r>
      <w:r w:rsidRPr="00472ADD">
        <w:rPr>
          <w:rFonts w:ascii="Times New Roman" w:hAnsi="Times New Roman" w:cs="Times New Roman"/>
        </w:rPr>
        <w:t xml:space="preserve"> ability to resolve fine-scale XCO</w:t>
      </w:r>
      <w:r w:rsidRPr="00472ADD">
        <w:rPr>
          <w:rFonts w:ascii="Times New Roman" w:hAnsi="Times New Roman" w:cs="Times New Roman"/>
          <w:vertAlign w:val="subscript"/>
        </w:rPr>
        <w:t>2</w:t>
      </w:r>
      <w:r w:rsidRPr="00472ADD">
        <w:rPr>
          <w:rFonts w:ascii="Times New Roman" w:hAnsi="Times New Roman" w:cs="Times New Roman"/>
        </w:rPr>
        <w:t xml:space="preserve"> features over cit</w:t>
      </w:r>
      <w:r>
        <w:rPr>
          <w:rFonts w:ascii="Times New Roman" w:hAnsi="Times New Roman" w:cs="Times New Roman"/>
        </w:rPr>
        <w:t>ies.</w:t>
      </w:r>
    </w:p>
    <w:p w14:paraId="79985BD0"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An additional challenge is that t</w:t>
      </w:r>
      <w:r w:rsidRPr="00472ADD">
        <w:rPr>
          <w:rFonts w:ascii="Times New Roman" w:hAnsi="Times New Roman" w:cs="Times New Roman"/>
        </w:rPr>
        <w:t xml:space="preserve">raditional </w:t>
      </w:r>
      <w:r>
        <w:rPr>
          <w:rFonts w:ascii="Times New Roman" w:hAnsi="Times New Roman" w:cs="Times New Roman"/>
        </w:rPr>
        <w:t>satellite-based urban CO</w:t>
      </w:r>
      <w:r>
        <w:rPr>
          <w:rFonts w:ascii="Times New Roman" w:hAnsi="Times New Roman" w:cs="Times New Roman"/>
        </w:rPr>
        <w:softHyphen/>
      </w:r>
      <w:r w:rsidRPr="000217E0">
        <w:rPr>
          <w:rFonts w:ascii="Times New Roman" w:hAnsi="Times New Roman" w:cs="Times New Roman"/>
          <w:vertAlign w:val="subscript"/>
        </w:rPr>
        <w:t>2</w:t>
      </w:r>
      <w:r>
        <w:rPr>
          <w:rFonts w:ascii="Times New Roman" w:hAnsi="Times New Roman" w:cs="Times New Roman"/>
        </w:rPr>
        <w:t xml:space="preserve"> </w:t>
      </w:r>
      <w:r w:rsidRPr="00472ADD">
        <w:rPr>
          <w:rFonts w:ascii="Times New Roman" w:hAnsi="Times New Roman" w:cs="Times New Roman"/>
        </w:rPr>
        <w:t>emission</w:t>
      </w:r>
      <w:r>
        <w:rPr>
          <w:rFonts w:ascii="Times New Roman" w:hAnsi="Times New Roman" w:cs="Times New Roman"/>
        </w:rPr>
        <w:t>s</w:t>
      </w:r>
      <w:r w:rsidRPr="00472ADD">
        <w:rPr>
          <w:rFonts w:ascii="Times New Roman" w:hAnsi="Times New Roman" w:cs="Times New Roman"/>
        </w:rPr>
        <w:t xml:space="preserve"> estimates </w:t>
      </w:r>
      <w:r>
        <w:rPr>
          <w:rFonts w:ascii="Times New Roman" w:hAnsi="Times New Roman" w:cs="Times New Roman"/>
        </w:rPr>
        <w:t>have relied on</w:t>
      </w:r>
      <w:r w:rsidRPr="00472ADD">
        <w:rPr>
          <w:rFonts w:ascii="Times New Roman" w:hAnsi="Times New Roman" w:cs="Times New Roman"/>
        </w:rPr>
        <w:t xml:space="preserve"> complex Bayesian inversion frameworks and/or high-resolution transport models</w:t>
      </w:r>
      <w:r>
        <w:rPr>
          <w:rFonts w:ascii="Times New Roman" w:hAnsi="Times New Roman" w:cs="Times New Roman"/>
        </w:rPr>
        <w:t>,</w:t>
      </w:r>
      <w:r w:rsidRPr="00472ADD">
        <w:rPr>
          <w:rFonts w:ascii="Times New Roman" w:hAnsi="Times New Roman" w:cs="Times New Roman"/>
        </w:rPr>
        <w:t xml:space="preserve"> </w:t>
      </w:r>
      <w:r>
        <w:rPr>
          <w:rFonts w:ascii="Times New Roman" w:hAnsi="Times New Roman" w:cs="Times New Roman"/>
        </w:rPr>
        <w:t>which</w:t>
      </w:r>
      <w:r w:rsidRPr="00472ADD">
        <w:rPr>
          <w:rFonts w:ascii="Times New Roman" w:hAnsi="Times New Roman" w:cs="Times New Roman"/>
        </w:rPr>
        <w:t xml:space="preserve"> optimize prior emission inventories by </w:t>
      </w:r>
      <w:r>
        <w:rPr>
          <w:rFonts w:ascii="Times New Roman" w:hAnsi="Times New Roman" w:cs="Times New Roman"/>
        </w:rPr>
        <w:t>aligning</w:t>
      </w:r>
      <w:r w:rsidRPr="00472ADD">
        <w:rPr>
          <w:rFonts w:ascii="Times New Roman" w:hAnsi="Times New Roman" w:cs="Times New Roman"/>
        </w:rPr>
        <w:t xml:space="preserve"> modeled </w:t>
      </w:r>
      <w:r>
        <w:rPr>
          <w:rFonts w:ascii="Times New Roman" w:hAnsi="Times New Roman" w:cs="Times New Roman"/>
        </w:rPr>
        <w:t>and observed CO</w:t>
      </w:r>
      <w:r w:rsidRPr="00E05FA7">
        <w:rPr>
          <w:rFonts w:ascii="Times New Roman" w:hAnsi="Times New Roman" w:cs="Times New Roman"/>
          <w:vertAlign w:val="subscript"/>
        </w:rPr>
        <w:t>2</w:t>
      </w:r>
      <w:r>
        <w:rPr>
          <w:rFonts w:ascii="Times New Roman" w:hAnsi="Times New Roman" w:cs="Times New Roman"/>
        </w:rPr>
        <w:t xml:space="preserve"> </w:t>
      </w:r>
      <w:r w:rsidRPr="00472ADD">
        <w:rPr>
          <w:rFonts w:ascii="Times New Roman" w:hAnsi="Times New Roman" w:cs="Times New Roman"/>
        </w:rPr>
        <w:t>enhancement</w:t>
      </w:r>
      <w:r>
        <w:rPr>
          <w:rFonts w:ascii="Times New Roman" w:hAnsi="Times New Roman" w:cs="Times New Roman"/>
        </w:rPr>
        <w:t>s</w:t>
      </w:r>
      <w:r w:rsidRPr="00472ADD">
        <w:rPr>
          <w:rFonts w:ascii="Times New Roman" w:hAnsi="Times New Roman" w:cs="Times New Roman"/>
        </w:rPr>
        <w:t xml:space="preserve"> downwind of cities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{"citationID":"XloCYHi4","properties":{"formattedCitation":"(Hedelius et al., 2018; Roten et al., 2023; Wu et al., 2018; Ye et al., 2020)","plainCitation":"(Hedelius et al., 2018; Roten et al., 2023; Wu et al., 2018; Ye et al., 2020)","noteIndex":0},"citationItems":[{"id":798,"uris":["http://zotero.org/users/12959951/items/HAMJ6R8G"],"itemData":{"id":798,"type":"article-journal","container-title":"Atmospheric Chemistry and Physics","DOI":"10.5194/acp-18-16271-2018","issue":"22","page":"16271–16291","title":"Southern California megacity \\chemCO_2, \\chemCH_4, and CO flux estimates using ground- and space-based remote sensing and a Lagrangian model","volume":"18","author":[{"family":"Hedelius","given":"J. K."},{"family":"Liu","given":"J."},{"family":"Oda","given":"T."},{"family":"Maksyutov","given":"S."},{"family":"Roehl","given":"C. M."},{"family":"Iraci","given":"L. T."},{"family":"Podolske","given":"J. R."},{"family":"Hillyard","given":"P. W."},{"family":"Liang","given":"J."},{"family":"Gurney","given":"K. R."},{"family":"Wunch","given":"D."},{"family":"Wennberg","given":"P. O."}],"issued":{"date-parts":[["2018"]]}}},{"id":554,"uris":["http://zotero.org/users/12959951/items/XGV5R8V3"],"itemData":{"id":554,"type":"article-journal","abstract":"Abstract The concentration of carbon dioxide (CO2) in Earth's atmosphere is increasing due to human activities and the resulting effects on the global climate system have initiated several policy-driven approaches to reduce emissions of this greenhouse gas. Quantifying the effectiveness of such policies requires both bottom-up and top-down approaches to estimate CO2 emissions. This work investigates, for the first time, the potential of using Snapshot Area Map observations from NASA's OCO-3 instrument to disaggregate sector-specific emissions from instrument observations. Optimized sector-specific timeseries were produced using Bayesian inversion techniques and compared to proxy activity data from transportation, commercial maritime, and industrial sectors in the Los Angeles Basin. Results demonstrate that dense space-based observations of atmospheric CO2 are capable of disentangling sector-specific CO2 fluxes, paving the way for accurate monitoring of the effects of carbon-reduction policies and operational carbon monitoring systems.","container-title":"Geophysical Research Letters","DOI":"https://doi.org/10.1029/2023GL104376","issue":"21","note":"_eprint: https://agupubs.onlinelibrary.wiley.com/doi/pdf/10.1029/2023GL104376","page":"e2023GL104376","title":"Constraining Sector-Specific CO2 Fluxes Using Space-Based XCO2 Observations Over the Los Angeles Basin","volume":"50","author":[{"family":"Roten","given":"Dustin"},{"family":"Lin","given":"John C."},{"family":"Das","given":"Saswati"},{"family":"Kort","given":"Eric A."}],"issued":{"date-parts":[["2023"]]}}},{"id":1981,"uris":["http://zotero.org/users/12959951/items/L2E2Y8NT"],"itemData":{"id":1981,"type":"article-journal","container-title":"Geoscientific Model Development","DOI":"10.5194/gmd-11-4843-2018","issue":"12","page":"4843–4871","title":"A Lagrangian approach towards extracting signals of urban \\chemCO_2 emissions from satellite observations of atmospheric column \\chemCO_2 (\\chemXCO_2): X-Stochastic Time-Inverted Lagrangian Transport model (“X-STILT v1”)","volume":"11","author":[{"family":"Wu","given":"D."},{"family":"Lin","given":"J. C."},{"family":"Fasoli","given":"B."},{"family":"Oda","given":"T."},{"family":"Ye","given":"X."},{"family":"Lauvaux","given":"T."},{"family":"Yang","given":"E. G."},{"family":"Kort","given":"E. A."}],"issued":{"date-parts":[["2018"]]}},"label":"page","suppress-author":true,"prefix":"Wu et al., "},{"id":540,"uris":["http://zotero.org/users/12959951/items/7CV3BI9Q"],"itemData":{"id":540,"type":"article-journal","abstract":"Abstract Satellite observations of the total column dry-air CO2 (XCO2) are expected to support the quantification and monitoring of fossil fuel CO2 (ffCO2) emissions from urban areas. We evaluate the utility of the Orbiting Carbon Observatory 2 (OCO-2) XCO2 retrievals to optimize whole-city emissions, using a Bayesian inversion system and high-resolution transport modeling. The uncertainties of constrained emissions related to transport model, satellite measurements, and local biospheric fluxes are quantified. For the first two uncertainty sources, we examine cities of different landscapes: “plume city” located in relatively flat terrain, represented by Riyadh and Cairo; and “basin city” located in basin terrain, represented by Los Angeles (LA). The retrieved scaling factors of emissions and their uncertainties show prominent variabilities from track to track, due to the varying meteorological conditions and relative locations of the tracks transecting plumes. To explore the performance of multiple tracks in retrieving emissions, pseudo data experiments are carried out. The estimated least numbers of tracks required to constrain the total emissions for Riyadh (&lt;10% uncertainty), Cairo (&lt;10%), and LA (&lt;5%) are 8, 5, and 7, respectively. Additionally, to evaluate the impact of biospheric fluxes on derivation of the ffXCO2 enhancements, we conduct simulations for Pearl River Delta metropolitan area. Significant fractions of local XCO2 enhancements associated with local biospheric XCO2 variations are shown, which potentially lead to biased estimates of ffCO2 emissions. We demonstrate that satellite measurements can be used to improve urban ffCO2 emissions with a sufficient amount of measurements and appropriate representations of the uncertainty components.","container-title":"Journal of Geophysical Research: Atmospheres","DOI":"https://doi.org/10.1029/2019JD030528","issue":"8","note":"_eprint: https://agupubs.onlinelibrary.wiley.com/doi/pdf/10.1029/2019JD030528","page":"e2019JD030528","title":"Constraining Fossil Fuel CO2 Emissions From Urban Area Using OCO-2 Observations of Total Column CO2","volume":"125","author":[{"family":"Ye","given":"Xinxin"},{"family":"Lauvaux","given":"Thomas"},{"family":"Kort","given":"Eric A."},{"family":"Oda","given":"Tomohiro"},{"family":"Feng","given":"Sha"},{"family":"Lin","given":"John C."},{"family":"Yang","given":"Emily G."},{"family":"Wu","given":"Dien"}],"issued":{"date-parts":[["2020"]]}}}],"schema":"https://github.com/citation-style-language/schema/raw/master/csl-citation.json"}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(Hedelius et al., 2018; Roten et al., 2023; Wu et al., 2018; Ye et al., 2020)</w:t>
      </w:r>
      <w:r w:rsidRPr="00472ADD">
        <w:rPr>
          <w:rFonts w:ascii="Times New Roman" w:hAnsi="Times New Roman" w:cs="Times New Roman"/>
        </w:rPr>
        <w:fldChar w:fldCharType="end"/>
      </w:r>
      <w:r w:rsidRPr="00472ADD">
        <w:rPr>
          <w:rFonts w:ascii="Times New Roman" w:hAnsi="Times New Roman" w:cs="Times New Roman"/>
        </w:rPr>
        <w:t xml:space="preserve">. However, application of this method has been limited to a small set of cities (&lt; 5) due to the need for high-resolution meteorological fields and corresponding computational </w:t>
      </w:r>
      <w:r>
        <w:rPr>
          <w:rFonts w:ascii="Times New Roman" w:hAnsi="Times New Roman" w:cs="Times New Roman"/>
        </w:rPr>
        <w:t>expense</w:t>
      </w:r>
      <w:r w:rsidRPr="00472ADD">
        <w:rPr>
          <w:rFonts w:ascii="Times New Roman" w:hAnsi="Times New Roman" w:cs="Times New Roman"/>
        </w:rPr>
        <w:t xml:space="preserve"> for</w:t>
      </w:r>
      <w:r>
        <w:rPr>
          <w:rFonts w:ascii="Times New Roman" w:hAnsi="Times New Roman" w:cs="Times New Roman"/>
        </w:rPr>
        <w:t xml:space="preserve"> running the</w:t>
      </w:r>
      <w:r w:rsidRPr="00472ADD">
        <w:rPr>
          <w:rFonts w:ascii="Times New Roman" w:hAnsi="Times New Roman" w:cs="Times New Roman"/>
        </w:rPr>
        <w:t xml:space="preserve"> model simulations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{"citationID":"kDnxEjHr","properties":{"formattedCitation":"(Hedelius et al., 2018; Lei et al., 2022; Reuter et al., 2019; Roten et al., 2023)","plainCitation":"(Hedelius et al., 2018; Lei et al., 2022; Reuter et al., 2019; Roten et al., 2023)","noteIndex":0},"citationItems":[{"id":798,"uris":["http://zotero.org/users/12959951/items/HAMJ6R8G"],"itemData":{"id":798,"type":"article-journal","container-title":"Atmospheric Chemistry and Physics","DOI":"10.5194/acp-18-16271-2018","issue":"22","page":"16271–16291","title":"Southern California megacity \\chemCO_2, \\chemCH_4, and CO flux estimates using ground- and space-based remote sensing and a Lagrangian model","volume":"18","author":[{"family":"Hedelius","given":"J. K."},{"family":"Liu","given":"J."},{"family":"Oda","given":"T."},{"family":"Maksyutov","given":"S."},{"family":"Roehl","given":"C. M."},{"family":"Iraci","given":"L. T."},{"family":"Podolske","given":"J. R."},{"family":"Hillyard","given":"P. W."},{"family":"Liang","given":"J."},{"family":"Gurney","given":"K. R."},{"family":"Wunch","given":"D."},{"family":"Wennberg","given":"P. O."}],"issued":{"date-parts":[["2018"]]}}},{"id":717,"uris":["http://zotero.org/users/12959951/items/8KTSVKIQ"],"itemData":{"id":717,"type":"article-journal","abstract":"Fossil fuel carbon dioxide (CO2ff), the main driver of global warming and climate change, is often co-emitted with nitrogen oxides (NOx) and precursors to ground-level ozone from anthropogenic sources like power plants or vehicles. In urban and suburban areas, satellite-based NO2 can be used as a proxy to track the emissions of CO2ff. Because of NO2's shorter lifetime, urban NO2 plumes are more distinguishable from backgrounds and more sensitive to variations in emissions. However, the combination of these two gases is limited by the asynchrony among NO2 and CO2 monitoring satellites. We used CO2ff simulated by the Weather Research and Forecasting model coupled with Chemistry (WRF-Chem) model to reconcile the tropospheric NO2 vertical column density (VCD) from Tropospheric Monitoring Instrument (TROPOMI) and column-averaged dry-air mole fractions of carbon dioxide enhancements (ΔXCO2) from Orbiting Carbon Observatory 3 (OCO-3) Snapshot Area Maps (SAMs) over a multicity area, Washington D.C.-Baltimore (DC-Balt), and a basin city, Mexico City. NO2/CO2ff ratios over DC-Balt are smaller than Mexico City, indicative of stricter emission restrictions, a more combustion-efficient vehicle fleet, and higher combustion efficiency due to lower altitude in DC-Balt. For single-track cases, the spatial correlations between NO2 and ΔXCO2 over Mexico City are stronger than DC-Balt because the NO2 and CO2 are mostly trapped in the valley of Mexico City, while DC-Balt is severely affected by distant sources (i.e., US East Coast cities). Using multi-track averaging, spatial correlation coefficients increase with the number of days used for averaging. The correlations reached a maximum when averaging &gt;12 continuous images for DC-Balt and &gt;10 continuous images for Mexico City. This finding indicates that multi-track averaging using modeled CO2ff as a proxy is helpful to filter the noise in single-track images, to cancel the interference from distant sources, and to magnify correlations between NO2 and CO2ff. Mexico City showed stronger spatial correlations but weaker temporal correlations than DC-Balt due to biomass burning hot spots and large transport errors caused by the trapping effects of the surrounding mountains. Tracking the 20-day moving average of CO2ff emissions using TROPOMI NO2 seems technically feasible, considering the relationship between correlation coefficients and the number of available satellite images.","container-title":"Remote Sensing of Environment","DOI":"https://doi.org/10.1016/j.rse.2022.113241","ISSN":"0034-4257","page":"113241","title":"Reconciliation of asynchronous satellite-based NO2 and XCO2 enhancements with mesoscale modeling over two urban landscapes","volume":"281","author":[{"family":"Lei","given":"Ruixue"},{"family":"Feng","given":"Sha"},{"family":"Xu","given":"Yang"},{"family":"Tran","given":"Sophie"},{"family":"Ramonet","given":"Michel"},{"family":"Grutter","given":"Michel"},{"family":"Garcia","given":"Agustin"},{"family":"Campos-Pineda","given":"Mixtli"},{"family":"Lauvaux","given":"Thomas"}],"issued":{"date-parts":[["2022"]]}}},{"id":220,"uris":["http://zotero.org/users/12959951/items/SGA9BYD6"],"itemData":{"id":220,"type":"article-journal","container-title":"Atmospheric Chemistry and Physics","DOI":"10.5194/acp-19-9371-2019","issue":"14","page":"9371–9383","title":"Towards monitoring localized CO2 emissions from space: co-located regional CO2 and NO2 enhancements observed by the OCO-2 and S5P satellites","volume":"19","author":[{"family":"Reuter","given":"M."},{"family":"Buchwitz","given":"M."},{"family":"Schneising","given":"O."},{"family":"Krautwurst","given":"S."},{"family":"O'Dell","given":"C. W."},{"family":"Richter","given":"A."},{"family":"Bovensmann","given":"H."},{"family":"Burrows","given":"J. P."}],"issued":{"date-parts":[["2019"]]}}},{"id":554,"uris":["http://zotero.org/users/12959951/items/XGV5R8V3"],"itemData":{"id":554,"type":"article-journal","abstract":"Abstract The concentration of carbon dioxide (CO2) in Earth's atmosphere is increasing due to human activities and the resulting effects on the global climate system have initiated several policy-driven approaches to reduce emissions of this greenhouse gas. Quantifying the effectiveness of such policies requires both bottom-up and top-down approaches to estimate CO2 emissions. This work investigates, for the first time, the potential of using Snapshot Area Map observations from NASA's OCO-3 instrument to disaggregate sector-specific emissions from instrument observations. Optimized sector-specific timeseries were produced using Bayesian inversion techniques and compared to proxy activity data from transportation, commercial maritime, and industrial sectors in the Los Angeles Basin. Results demonstrate that dense space-based observations of atmospheric CO2 are capable of disentangling sector-specific CO2 fluxes, paving the way for accurate monitoring of the effects of carbon-reduction policies and operational carbon monitoring systems.","container-title":"Geophysical Research Letters","DOI":"https://doi.org/10.1029/2023GL104376","issue":"21","note":"_eprint: https://agupubs.onlinelibrary.wiley.com/doi/pdf/10.1029/2023GL104376","page":"e2023GL104376","title":"Constraining Sector-Specific CO2 Fluxes Using Space-Based XCO2 Observations Over the Los Angeles Basin","volume":"50","author":[{"family":"Roten","given":"Dustin"},{"family":"Lin","given":"John C."},{"family":"Das","given":"Saswati"},{"family":"Kort","given":"Eric A."}],"issued":{"date-parts":[["2023"]]}}}],"schema":"https://github.com/citation-style-language/schema/raw/master/csl-citation.json"}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(Hedelius et al., 2018; Lei et al., 2022; Reuter et al., 2019; Roten et al., 2023)</w:t>
      </w:r>
      <w:r w:rsidRPr="00472ADD">
        <w:rPr>
          <w:rFonts w:ascii="Times New Roman" w:hAnsi="Times New Roman" w:cs="Times New Roman"/>
        </w:rPr>
        <w:fldChar w:fldCharType="end"/>
      </w:r>
      <w:r w:rsidRPr="00472ADD">
        <w:rPr>
          <w:rFonts w:ascii="Times New Roman" w:hAnsi="Times New Roman" w:cs="Times New Roman"/>
        </w:rPr>
        <w:t>.</w:t>
      </w:r>
    </w:p>
    <w:p w14:paraId="650735E4" w14:textId="77777777" w:rsidR="00BF0126" w:rsidRDefault="00BF0126" w:rsidP="00BF0126">
      <w:pPr>
        <w:pStyle w:val="Body"/>
        <w:spacing w:before="120"/>
        <w:jc w:val="both"/>
        <w:rPr>
          <w:rFonts w:ascii="Times New Roman" w:hAnsi="Times New Roman" w:cs="Times New Roman"/>
        </w:rPr>
      </w:pPr>
      <w:r w:rsidRPr="00472ADD">
        <w:rPr>
          <w:rFonts w:ascii="Times New Roman" w:hAnsi="Times New Roman" w:cs="Times New Roman"/>
        </w:rPr>
        <w:t xml:space="preserve">In this study, </w:t>
      </w:r>
      <w:r>
        <w:rPr>
          <w:rFonts w:ascii="Times New Roman" w:hAnsi="Times New Roman" w:cs="Times New Roman"/>
        </w:rPr>
        <w:t xml:space="preserve">we present a computationally efficient approach for estimating </w:t>
      </w:r>
      <w:r w:rsidRPr="00472ADD">
        <w:rPr>
          <w:rFonts w:ascii="Times New Roman" w:hAnsi="Times New Roman" w:cs="Times New Roman"/>
        </w:rPr>
        <w:t>global cities’ CO</w:t>
      </w:r>
      <w:r w:rsidRPr="00472ADD">
        <w:rPr>
          <w:rFonts w:ascii="Times New Roman" w:hAnsi="Times New Roman" w:cs="Times New Roman"/>
          <w:vertAlign w:val="subscript"/>
        </w:rPr>
        <w:t>2</w:t>
      </w:r>
      <w:r w:rsidRPr="00472ADD">
        <w:rPr>
          <w:rFonts w:ascii="Times New Roman" w:hAnsi="Times New Roman" w:cs="Times New Roman"/>
        </w:rPr>
        <w:t xml:space="preserve"> emissions using </w:t>
      </w:r>
      <w:r>
        <w:rPr>
          <w:rFonts w:ascii="Times New Roman" w:hAnsi="Times New Roman" w:cs="Times New Roman"/>
        </w:rPr>
        <w:t>OCO-3 X</w:t>
      </w:r>
      <w:r w:rsidRPr="00472ADD">
        <w:rPr>
          <w:rFonts w:ascii="Times New Roman" w:hAnsi="Times New Roman" w:cs="Times New Roman"/>
        </w:rPr>
        <w:t>CO</w:t>
      </w:r>
      <w:r w:rsidRPr="00472ADD">
        <w:rPr>
          <w:rFonts w:ascii="Times New Roman" w:hAnsi="Times New Roman" w:cs="Times New Roman"/>
          <w:vertAlign w:val="subscript"/>
        </w:rPr>
        <w:t>2</w:t>
      </w:r>
      <w:r w:rsidRPr="00472ADD">
        <w:rPr>
          <w:rFonts w:ascii="Times New Roman" w:hAnsi="Times New Roman" w:cs="Times New Roman"/>
        </w:rPr>
        <w:t xml:space="preserve"> observations</w:t>
      </w:r>
      <w:r>
        <w:rPr>
          <w:rFonts w:ascii="Times New Roman" w:hAnsi="Times New Roman" w:cs="Times New Roman"/>
        </w:rPr>
        <w:t>. Our top-down approach applies the Cross-Sectional Flux (CSF) method to OCO-3 SAM data, incorporating TROPOMI NO</w:t>
      </w:r>
      <w:r w:rsidRPr="00C20C30">
        <w:rPr>
          <w:rFonts w:ascii="Times New Roman" w:hAnsi="Times New Roman" w:cs="Times New Roman"/>
          <w:vertAlign w:val="subscript"/>
        </w:rPr>
        <w:t>2</w:t>
      </w:r>
      <w:r>
        <w:rPr>
          <w:rFonts w:ascii="Times New Roman" w:hAnsi="Times New Roman" w:cs="Times New Roman"/>
        </w:rPr>
        <w:t xml:space="preserve"> measurements and </w:t>
      </w:r>
      <w:r w:rsidRPr="00472ADD">
        <w:rPr>
          <w:rFonts w:ascii="Times New Roman" w:hAnsi="Times New Roman" w:cs="Times New Roman"/>
        </w:rPr>
        <w:t>Hybrid Singe-Particle Lagrangian Integrated Trajectory</w:t>
      </w:r>
      <w:r>
        <w:rPr>
          <w:rFonts w:ascii="Times New Roman" w:hAnsi="Times New Roman" w:cs="Times New Roman"/>
        </w:rPr>
        <w:t xml:space="preserve"> (HYSPLIT) modeling for plume identification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{"citationID":"NCU0XBYW","properties":{"formattedCitation":"(Stein et al., 2015)","plainCitation":"(Stein et al., 2015)","noteIndex":0},"citationItems":[{"id":795,"uris":["http://zotero.org/users/12959951/items/QAN3836A"],"itemData":{"id":795,"type":"article-journal","container-title":"Bulletin of the American Meteorological Society","DOI":"10.1175/BAMS-D-14-00110.1","issue":"12","note":"publisher-place: Boston MA, USA\npublisher: American Meteorological Society","page":"2059 - 2077","title":"NOAA’s HYSPLIT Atmospheric Transport and Dispersion Modeling System","volume":"96","author":[{"family":"Stein","given":"A. F."},{"family":"Draxler","given":"R. R."},{"family":"Rolph","given":"G. D."},{"family":"Stunder","given":"B. J. B."},{"family":"Cohen","given":"M. D."},{"family":"Ngan","given":"F."}],"issued":{"date-parts":[["2015"]]}}}],"schema":"https://github.com/citation-style-language/schema/raw/master/csl-citation.json"}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(Stein et al., 2015)</w:t>
      </w:r>
      <w:r w:rsidRPr="00472ADD">
        <w:rPr>
          <w:rFonts w:ascii="Times New Roman" w:hAnsi="Times New Roman" w:cs="Times New Roman"/>
        </w:rPr>
        <w:fldChar w:fldCharType="end"/>
      </w:r>
      <w:r>
        <w:rPr>
          <w:rFonts w:ascii="Times New Roman" w:hAnsi="Times New Roman" w:cs="Times New Roman"/>
        </w:rPr>
        <w:t>. The b</w:t>
      </w:r>
      <w:r w:rsidRPr="00021432">
        <w:rPr>
          <w:rFonts w:ascii="Times New Roman" w:hAnsi="Times New Roman" w:cs="Times New Roman"/>
        </w:rPr>
        <w:t xml:space="preserve">enefits of incorporating </w:t>
      </w:r>
      <w:r>
        <w:rPr>
          <w:rFonts w:ascii="Times New Roman" w:hAnsi="Times New Roman" w:cs="Times New Roman"/>
        </w:rPr>
        <w:t xml:space="preserve">satellite observations of </w:t>
      </w:r>
      <w:r w:rsidRPr="00021432">
        <w:rPr>
          <w:rFonts w:ascii="Times New Roman" w:hAnsi="Times New Roman" w:cs="Times New Roman"/>
        </w:rPr>
        <w:t>NO</w:t>
      </w:r>
      <w:r w:rsidRPr="00021432">
        <w:rPr>
          <w:rFonts w:ascii="Times New Roman" w:hAnsi="Times New Roman" w:cs="Times New Roman"/>
          <w:vertAlign w:val="subscript"/>
        </w:rPr>
        <w:t>2</w:t>
      </w:r>
      <w:r w:rsidRPr="00021432">
        <w:rPr>
          <w:rFonts w:ascii="Times New Roman" w:hAnsi="Times New Roman" w:cs="Times New Roman"/>
        </w:rPr>
        <w:t xml:space="preserve"> as a tracer for </w:t>
      </w:r>
      <w:r>
        <w:rPr>
          <w:rFonts w:ascii="Times New Roman" w:hAnsi="Times New Roman" w:cs="Times New Roman"/>
        </w:rPr>
        <w:t xml:space="preserve">anthropogenic sources of </w:t>
      </w:r>
      <w:r w:rsidRPr="00021432">
        <w:rPr>
          <w:rFonts w:ascii="Times New Roman" w:hAnsi="Times New Roman" w:cs="Times New Roman"/>
        </w:rPr>
        <w:t>atmospheric CO</w:t>
      </w:r>
      <w:r w:rsidRPr="00021432">
        <w:rPr>
          <w:rFonts w:ascii="Times New Roman" w:hAnsi="Times New Roman" w:cs="Times New Roman"/>
          <w:vertAlign w:val="subscript"/>
        </w:rPr>
        <w:t>2</w:t>
      </w:r>
      <w:r w:rsidRPr="00021432">
        <w:rPr>
          <w:rFonts w:ascii="Times New Roman" w:hAnsi="Times New Roman" w:cs="Times New Roman"/>
        </w:rPr>
        <w:t xml:space="preserve"> </w:t>
      </w:r>
      <w:r>
        <w:rPr>
          <w:rFonts w:ascii="Times New Roman" w:hAnsi="Times New Roman" w:cs="Times New Roman"/>
        </w:rPr>
        <w:t>have</w:t>
      </w:r>
      <w:r w:rsidRPr="00021432">
        <w:rPr>
          <w:rFonts w:ascii="Times New Roman" w:hAnsi="Times New Roman" w:cs="Times New Roman"/>
        </w:rPr>
        <w:t xml:space="preserve"> been </w:t>
      </w:r>
      <w:r>
        <w:rPr>
          <w:rFonts w:ascii="Times New Roman" w:hAnsi="Times New Roman" w:cs="Times New Roman"/>
        </w:rPr>
        <w:t>demonstrated</w:t>
      </w:r>
      <w:r w:rsidRPr="00021432">
        <w:rPr>
          <w:rFonts w:ascii="Times New Roman" w:hAnsi="Times New Roman" w:cs="Times New Roman"/>
        </w:rPr>
        <w:t xml:space="preserve"> in previous studies </w:t>
      </w:r>
      <w:r w:rsidRPr="00021432">
        <w:rPr>
          <w:rFonts w:ascii="Times New Roman" w:hAnsi="Times New Roman" w:cs="Times New Roman"/>
        </w:rPr>
        <w:fldChar w:fldCharType="begin"/>
      </w:r>
      <w:r>
        <w:rPr>
          <w:rFonts w:ascii="Times New Roman" w:hAnsi="Times New Roman" w:cs="Times New Roman"/>
        </w:rPr>
        <w:instrText xml:space="preserve"> ADDIN ZOTERO_ITEM CSL_CITATION {"citationID":"Ak9MQ2On","properties":{"formattedCitation":"(Fuentes Andrade et al., 2024; Goldberg et al., 2019; Kiel et al., 2021; Lei et al., 2022; F. Liu et al., 2020; Reuter et al., 2019; Yang et al., 2023, 2023)","plainCitation":"(Fuentes Andrade et al., 2024; Goldberg et al., 2019; Kiel et al., 2021; Lei et al., 2022; F. Liu et al., 2020; Reuter et al., 2019; Yang et al., 2023, 2023)","noteIndex":0},"citationItems":[{"id":960,"uris":["http://zotero.org/users/12959951</w:instrText>
      </w:r>
      <w:r>
        <w:rPr>
          <w:rFonts w:ascii="Times New Roman" w:hAnsi="Times New Roman" w:cs="Times New Roman" w:hint="eastAsia"/>
        </w:rPr>
        <w:instrText>/items/MLZE3KKF"],"itemData":{"id":960,"type":"article-journal","container-title":"Atmospheric Measurement Techniques","DOI":"10.5194/amt-17-1145-2024","issue":"3","page":"1145</w:instrText>
      </w:r>
      <w:r>
        <w:rPr>
          <w:rFonts w:ascii="Times New Roman" w:hAnsi="Times New Roman" w:cs="Times New Roman" w:hint="eastAsia"/>
        </w:rPr>
        <w:instrText>–</w:instrText>
      </w:r>
      <w:r>
        <w:rPr>
          <w:rFonts w:ascii="Times New Roman" w:hAnsi="Times New Roman" w:cs="Times New Roman" w:hint="eastAsia"/>
        </w:rPr>
        <w:instrText>1173","title":"A method for estimating localized CO</w:instrText>
      </w:r>
      <w:r>
        <w:rPr>
          <w:rFonts w:ascii="Times New Roman" w:hAnsi="Times New Roman" w:cs="Times New Roman" w:hint="eastAsia"/>
        </w:rPr>
        <w:instrText>₂</w:instrText>
      </w:r>
      <w:r>
        <w:rPr>
          <w:rFonts w:ascii="Times New Roman" w:hAnsi="Times New Roman" w:cs="Times New Roman" w:hint="eastAsia"/>
        </w:rPr>
        <w:instrText xml:space="preserve"> emissions from co-located satellite XCO</w:instrText>
      </w:r>
      <w:r>
        <w:rPr>
          <w:rFonts w:ascii="Times New Roman" w:hAnsi="Times New Roman" w:cs="Times New Roman" w:hint="eastAsia"/>
        </w:rPr>
        <w:instrText>₂</w:instrText>
      </w:r>
      <w:r>
        <w:rPr>
          <w:rFonts w:ascii="Times New Roman" w:hAnsi="Times New Roman" w:cs="Times New Roman" w:hint="eastAsia"/>
        </w:rPr>
        <w:instrText xml:space="preserve"> and NO</w:instrText>
      </w:r>
      <w:r>
        <w:rPr>
          <w:rFonts w:ascii="Times New Roman" w:hAnsi="Times New Roman" w:cs="Times New Roman" w:hint="eastAsia"/>
        </w:rPr>
        <w:instrText>₂</w:instrText>
      </w:r>
      <w:r>
        <w:rPr>
          <w:rFonts w:ascii="Times New Roman" w:hAnsi="Times New Roman" w:cs="Times New Roman" w:hint="eastAsia"/>
        </w:rPr>
        <w:instrText xml:space="preserve"> images","volume":"17","author":[{"family":"Fuentes Andrade","given":"B."},{"family":"Buchwitz","given":"M."},{"family":"Reuter","given":"M."},{"family":"Bovensmann","given":"H."},{"family":"Richter","given":"A."},{"family":"Boesch"</w:instrText>
      </w:r>
      <w:r>
        <w:rPr>
          <w:rFonts w:ascii="Times New Roman" w:hAnsi="Times New Roman" w:cs="Times New Roman"/>
        </w:rPr>
        <w:instrText xml:space="preserve">,"given":"H."},{"family":"Burrows","given":"J. P."}],"issued":{"date-parts":[["2024"]]}}},{"id":533,"uris":["http://zotero.org/users/12959951/items/YW9VY9UI"],"itemData":{"id":533,"type":"article-journal","abstract":"Fossil-fuel CO2 emissions and their trends in eight U.S. megacities during 2006–2017 are inferred by combining satellite-derived NOX emissions with bottom-up city-specific NOX-to-CO2 emission ratios. A statistical model is fit to a collection NO2 plumes observed from the Ozone Monitoring Instrument (OMI), and is used to calculate top-down NOX emissions. Decreases in OMI-derived NOX emissions are observed across the eight cities from 2006 to 2017 (−17% in Miami to −58% in Los Angeles), and are generally consistent with long-term trends of bottom-up inventories (−25% in Miami to −49% in Los Angeles), but there are some interannual discrepancies. City-specific NOX-to-CO2 emission ratios, used to calculate inferred CO2, are estimated through annual bottom-up inventories of NOX and CO2 emissions disaggregated to 1 × 1 km2 resolution. Over the study period, NOX-to-CO2 emission ratios have decreased by ~40% nationwide (−24% to −51% for our studied cities), which is attributed to a faster reduction in NOX when compared to CO2 due to policy regulations and fuel type shifts. Combining top-down NOX emissions and bottom-up NOX-to-CO2 emission ratios, annual fossil-fuel CO2 emissions are derived. Inferred OMI-based top-down CO2 emissions trends vary between +7% in Dallas to −31% in Phoenix. For 2017, we report annual fossil-fuel CO2 emissions to be: Los Angeles 113 ± 49 Tg/yr; New York City 144 ± 62 Tg/yr; and Chicago 55 ± 24 Tg/yr. A study in the Los Angeles area, using independent methods, reported a 2013–2016 average CO2 emissions rate of 104 Tg/yr and 120 Tg/yr, which suggests that the CO2 emissions from our method are in good agreement with other studies' top-down estimates. We anticipate future remote sensing instruments – with better spatial and temporal resolution – will better constrain the NOX-to-CO2 ratio and reduce the uncertainty in our method.","container-title":"Science of The Total Environment","DOI":"10.1016/j.scitotenv.2019.133805","ISSN":"0048-9697","journalAbbreviation":"Science of The Total Environment","page":"133805","title":"Exploiting OMI NO2 satellite observations to infer fossil-fuel CO2 emissions from U.S. megacities","volume":"695","author":[{"family":"Goldberg","given":"Daniel L."},{"family":"Lu","given":"Zifeng"},{"family":"Oda","given":"Tomohiro"},{"family":"Lamsal","given":"Lok N."},{"family":"Liu","given":"Fei"},{"family":"Griffin","given":"Debora"},{"family":"McLinden","given":"Chris A."},{"family":"Krotkov","given":"Nickolay A."},{"family":"Duncan","given":"Bryan N."},{"family":"Streets","given":"David G."}],"issued":{"date-parts":[["2019",12,10]]}}},{"id":495,"uris":["http://zotero.org/users/12959951/items/SIG3QGBL"],"itemData":{"id":495,"type":"article-journal","abstract":"NASA's Orbiting Carbon Observatory-3 (OCO-3) was designed to support the quantification and monitoring of anthropogenic CO2 emissions. Its Snapshot Area Map (SAM) and target mode measurements provide an innovative dataset for carbon studies on sub-city scales. Unlike any other current space-based instrument, OCO-3 has the ability to scan large contiguous areas of emission hot spots like cities, power plants, and volcanoes. These measurements result in dense, fine-scale spatial maps of column averaged dry-air mole fractions of carbon dioxide (XCO2). For the first time, we present and analyze XCO2 distributions over the Los Angeles megacity (LA) derived from OCO-3 SAM and target mode observations. Urban XCO2 enhancements range from 0 − 6 ppm (median enhancements </w:instrText>
      </w:r>
      <w:r>
        <w:rPr>
          <w:rFonts w:ascii="Cambria Math" w:hAnsi="Cambria Math" w:cs="Cambria Math"/>
        </w:rPr>
        <w:instrText>≃</w:instrText>
      </w:r>
      <w:r>
        <w:rPr>
          <w:rFonts w:ascii="Times New Roman" w:hAnsi="Times New Roman" w:cs="Times New Roman"/>
        </w:rPr>
        <w:instrText xml:space="preserve"> 2 ppm) relative to a clean background and show excellent agreement with nearby ground-based TCCON measurements of XCO2. OCO-3's dense observations reveal intra-urban variations of XCO2 over the city that have never been observed from space before. The spatial variations are mainly driven by the complex fossil fuel emission patterns and meteorological conditions in the LA Basin and are in good agreement with those from co-located TROPOMI measurements of co-emitted NO2. Differences between measured and simulated XCO2 enhancements from two models (WRF-Chem and X-STILT) are typically below 1 ppm with larger differences for some sub regions. Both models capture the observed intra-urban XCO2 gradients. Further, OCO-3's multi-swath measurements capture about three times as much of the city emissions compared to single-swath overpasses. OCO-3's frequent target and SAM mode observations will pave the way to constrain urban emissions at finer, sub-city scales.","container-title":"Remote Sensing of Environment","DOI":"10.1016/j.rse.2021.112314","ISSN":"0034-4257","journalAbbreviation":"Remote Sensing of Environment","page":"112314","title":"Urban-focused satellite CO2 observations from the Orbiting Carbon Observatory-3: A first look at the Los Angeles megacity","volume":"258","author":[{"family":"Kiel","given":"Matthäus"},{"family":"Eldering","given":"Annmarie"},{"family":"Roten","given":"Dustin D."},{"family":"Lin","given":"John C."},{"family":"Feng","given":"Sha"},{"family":"Lei","given":"Ruixue"},{"family":"Lauvaux","given":"Thomas"},{"family":"Oda","given":"Tomohiro"},{"family":"Roehl","given":"Coleen M."},{"family":"Blavier","given":"Jean-Francois"},{"family":"Iraci","given":"Laura T."}],"issued":{"date-parts":[["2021",6,1]]}}},{"id":717,"uris":["http://zotero.org/users/12959951/items/8KTSVKIQ"],"itemData":{"id":717,"type":"article-journal","abstract":"Fossil fuel carbon dioxide (CO2ff), the main driver of global warming and climate change, is often co-emitted with nitrogen oxides (NOx) and precursors to ground-level ozone from anthropogenic sources like power plants or vehicles. In urban and suburban areas, satellite-based NO2 can be used as a proxy to track the emissions of CO2ff. Because of NO2's shorter lifetime, urban NO2 plumes are more distinguishable from backgrounds and more sensitive to variations in emissions. However, the combination of these two gases is limited by the asynchrony among NO2 and CO2 monitoring satellites. We used CO2ff simulated by the Weather Research and Forecasting model coupled with Chemistry (WRF-Chem) model to reconcile the tropospheric NO2 vertical column density (VCD) from Tropospheric Monitoring Instrument (TROPOMI) and column-averaged dry-air mole fractions of carbon dioxide enhancements (ΔXCO2) from Orbiting Carbon Observatory 3 (OCO-3) Snapshot Area Maps (SAMs) over a multicity area, Washington D.C.-Baltimore (DC-Balt), and a basin city, Mexico City. NO2/CO2ff ratios over DC-Balt are smaller than Mexico City, indicative of stricter emission restrictions, a more combustion-efficient vehicle fleet, and higher combustion efficiency due to lower altitude in DC-Balt. For single-track cases, the spatial correlations between NO2 and ΔXCO2 over Mexico City are stronger than DC-Balt because the NO2 and CO2 are mostly trapped in the valley of Mexico City, while DC-Balt is severely affected by distant sources (i.e., US East Coast cities). Using multi-track averaging, spatial correlation coefficients increase with the number of days used for averaging. The correlations reached a maximum when averaging &gt;12 continuous images for DC-Balt and &gt;10 continuous images for Mexico City. This finding indicates that multi-track averaging using modeled CO2ff as a proxy is helpful to filter the noise in single-track images, to cancel the interference from distant sources, and to magnify correlations between NO2 and CO2ff. Mexico City showed stronger spatial correlations but weaker temporal correlations than DC-Balt due to biomass burning hot spots and large transport errors caused by the trapping effects of the surrounding mountains. Tracking the 20-day moving average of CO2ff emissions using TROPOMI NO2 seems technically feasible, considering the relationship between correlation coefficients and the number of available satellite images.","container-title":"Remote Sensing of Environment","DOI":"https://doi.org/10.1016/j.rse.2022.113241","ISSN":"0034-4257","page":"113241","title":"Reconciliation of asynchronous satellite-based NO2 and XCO2 enhancements with mesoscale modeling over two urban landscapes","volume":"281","author":[{"family":"Lei","given":"Ruixue"},{"family":"Feng","given":"Sha"},{"family":"Xu","given":"Yang"},{"family":"Tran","given":"Sophie"},{"family":"Ramonet","given":"Michel"},{"family":"Grutter","given":"Michel"},{"family":"Garcia","given":"Agustin"},{"family":"Campos-Pineda","given":"Mixtli"},{"family":"Lauvaux","given":"Thomas"}],"issued":{"date-parts":[["2022"]]}}},{"id":946,"uris":["http://zotero.org/users/12959951/items/BUGDW3XB"],"itemData":{"id":946,"type":"article-journal","container-title":"Atmospheric Chemistry and Physics","DOI":"10.5194/acp-20-99-2020","issue":"1","page":"99–116","title":"A methodology to constrain carbon dioxide emissions from coal-fired power plants using satellite observations of co-emitted nitrogen dioxide","volume":"20","author":[{"family":"Liu","given":"F."},{"family":"Duncan","given":"B. N."},{"family":"Krotkov","given":"N. A."},{"family":"Lamsal","given":"L. N."},{"family":"Beirle","given":"S."},{"family":"Griffin","given":"D."},{"family":"McLinden","given":"C. A."},{"family":"Goldberg","given":"D. L."},{"family":"Lu","given":"Z."}],"issued":{"date-parts":[["2020"]]}}},{"id":220,"uris":["http://zotero.org/users/12959951/items/SGA9BYD6"],"itemData":{"id":220,"type":"article-journal","container-title":"Atmospheric Chemistry and Physics","DOI":"10.5194/acp-19-9371-2019","issue":"14","page":"9371–9383","title":"Towards monitoring localized CO2 emissions from space: co-located regional CO2 and NO2 enhancements observed by the OCO-2 and S5P satellites","volume":"19","author":[{"family":"Reuter","given":"M."},{"family":"Buchwitz","given":"M."},{"family":"Schneising","given":"O."},{"family":"Krautwurst","given":"S."},{"family":"O'Dell","given":"C. W."},{"family":"Richter","given":"A."},{"family":"Bovensmann","given":"H."},{"family":"Burrows","given":"J. P."}],"issued":{"date-parts":[["2019"]]}}},{"id":641,"uris":["http://zotero.org/users/12959951/items/MUZK5RUV"],"itemData":{"id":641,"type":"article-journal","abstract":"Abstract As the majority of fossil fuel carbon dioxide (CO2) emissions originate from cities, the use of novel techniques to leverage available satellite observations of CO2 and proxy species to constrain urban CO2 is of great importance. In this study, we seek to empirically determine relationships between satellite observations of CO2 and the proxy species nitrogen dioxide (NO2), applying these relationships to NO2 fields to generate NO2-derived CO2 fields (NDCFs) from which CO2 emissions can be estimated. We first establish this method using simulations of CO2 and NO2 for the cities of Buenos Aires, Melbourne, and Mexico City, finding that the method is viable throughout the year. For the same three cities, we next calculate empirical relationships (slopes) between co-located observations of NO2 from the Tropospheric Monitoring Instrument and Snapshot Area Mode observations of CO2 from Orbiting Carbon Observatory-3. Applying varying combinations of slopes to generate NDCFs, we evaluate methodological uncertainties for each slope application method and use a simple mass balance method to estimate CO2 emissions from NDCFs</w:instrText>
      </w:r>
      <w:r>
        <w:rPr>
          <w:rFonts w:ascii="Times New Roman" w:hAnsi="Times New Roman" w:cs="Times New Roman" w:hint="eastAsia"/>
        </w:rPr>
        <w:instrText xml:space="preserve">. We demonstrate monthly urban CO2 emissions estimates that are comparable to emissions inventory estimates. We additionally prove the utility of our method by demonstrating how large uncertainties at a grid cell level (equivalent to </w:instrText>
      </w:r>
      <w:r>
        <w:rPr>
          <w:rFonts w:ascii="Times New Roman" w:hAnsi="Times New Roman" w:cs="Times New Roman" w:hint="eastAsia"/>
        </w:rPr>
        <w:instrText>∼</w:instrText>
      </w:r>
      <w:r>
        <w:rPr>
          <w:rFonts w:ascii="Times New Roman" w:hAnsi="Times New Roman" w:cs="Times New Roman" w:hint="eastAsia"/>
        </w:rPr>
        <w:instrText>1</w:instrText>
      </w:r>
      <w:r>
        <w:rPr>
          <w:rFonts w:ascii="Times New Roman" w:hAnsi="Times New Roman" w:cs="Times New Roman" w:hint="eastAsia"/>
        </w:rPr>
        <w:instrText>–</w:instrText>
      </w:r>
      <w:r>
        <w:rPr>
          <w:rFonts w:ascii="Times New Roman" w:hAnsi="Times New Roman" w:cs="Times New Roman" w:hint="eastAsia"/>
        </w:rPr>
        <w:instrText>3 ppm) can be redu</w:instrText>
      </w:r>
      <w:r>
        <w:rPr>
          <w:rFonts w:ascii="Times New Roman" w:hAnsi="Times New Roman" w:cs="Times New Roman"/>
        </w:rPr>
        <w:instrText>ced substantially when aggregating emissions estimates from NDCFs generated from all NO2 swaths (about 1%–6%). Rather than rely on prior knowledge of emission ratios, our method circumvents such assumptions and provides a valuable observational constraint on urban CO2 emissions.","container-title":"Journal of Geophysical Research: Atmospheres","DOI":"https://doi.org/10.1029/2022JD037736","issue":"6","note":"_eprint: https://agupubs.onlinelibrary.wiley.com/doi/pdf/10.1029/2022JD037736","page":"e2022JD037736","title":"Using Space-Based CO2 and NO2 Observations to Estimate Urban CO2 Emissions","volume":"128","author":[{"family":"Yang","given":"Emily G."},{"family":"Kort","given":"Eric A."},{"family":"Ott","given":"Lesley E."},{"family":"Oda","given":"Tomohiro"},{"family":"Lin","given":"John C."}],"issued":{"date-parts":[["2023"]]}}},{"id":641,"uris":["http://zotero.org/users/12959951/items/MUZK5RUV"],"itemData":{"id":641,"type":"article-journal","abstract":"Abstract As the majority of fossil fuel carbon dioxide (CO2) emissions originate from cities, the use of novel techniques to leverage available satellite observations of CO2 and proxy species to constrain urban CO2 is of great importance. In this study, we seek to empirically determine relationships between satellite observations of CO2 and the proxy species nitrogen dioxide (NO2), applying these relationships to NO2 fields to generate NO2-derived CO2 fields (NDCFs) from which CO2 emissions can be estimated. We first establish this method using simulations of CO2 and NO2 for the cities of Buenos Aires, Melbourne, and Mexico City, finding that the method is viable throughout the year. For the same three cities, we next calculate empirical relationships (slopes) between co-located observations of NO2 from the Tropospheric Monitoring Instrument and Snapshot Area Mode observations of CO2 from Orbiting Carbon Observatory-3. Applying varying combinations of slopes to generate NDCFs, we evaluate methodological uncertainties for each slope application method and use a simple mass balance method to estimate CO2 emissions from NDCFs. We demonstrate monthly urban CO2 emissions estimates that are comparable to emissions inventory estimates. We additionally prove the utility of our method by demonstrating how large un</w:instrText>
      </w:r>
      <w:r>
        <w:rPr>
          <w:rFonts w:ascii="Times New Roman" w:hAnsi="Times New Roman" w:cs="Times New Roman" w:hint="eastAsia"/>
        </w:rPr>
        <w:instrText xml:space="preserve">certainties at a grid cell level (equivalent to </w:instrText>
      </w:r>
      <w:r>
        <w:rPr>
          <w:rFonts w:ascii="Times New Roman" w:hAnsi="Times New Roman" w:cs="Times New Roman" w:hint="eastAsia"/>
        </w:rPr>
        <w:instrText>∼</w:instrText>
      </w:r>
      <w:r>
        <w:rPr>
          <w:rFonts w:ascii="Times New Roman" w:hAnsi="Times New Roman" w:cs="Times New Roman" w:hint="eastAsia"/>
        </w:rPr>
        <w:instrText>1</w:instrText>
      </w:r>
      <w:r>
        <w:rPr>
          <w:rFonts w:ascii="Times New Roman" w:hAnsi="Times New Roman" w:cs="Times New Roman" w:hint="eastAsia"/>
        </w:rPr>
        <w:instrText>–</w:instrText>
      </w:r>
      <w:r>
        <w:rPr>
          <w:rFonts w:ascii="Times New Roman" w:hAnsi="Times New Roman" w:cs="Times New Roman" w:hint="eastAsia"/>
        </w:rPr>
        <w:instrText>3 ppm) can be reduced substantially when aggregating emissions estimates from NDCFs generated from all NO2 swaths (about 1%</w:instrText>
      </w:r>
      <w:r>
        <w:rPr>
          <w:rFonts w:ascii="Times New Roman" w:hAnsi="Times New Roman" w:cs="Times New Roman" w:hint="eastAsia"/>
        </w:rPr>
        <w:instrText>–</w:instrText>
      </w:r>
      <w:r>
        <w:rPr>
          <w:rFonts w:ascii="Times New Roman" w:hAnsi="Times New Roman" w:cs="Times New Roman" w:hint="eastAsia"/>
        </w:rPr>
        <w:instrText>6%). Rather than rely on prior knowledge of emission ratios, our method circumve</w:instrText>
      </w:r>
      <w:r>
        <w:rPr>
          <w:rFonts w:ascii="Times New Roman" w:hAnsi="Times New Roman" w:cs="Times New Roman"/>
        </w:rPr>
        <w:instrText xml:space="preserve">nts such assumptions and provides a valuable observational constraint on urban CO2 emissions.","container-title":"Journal of Geophysical Research: Atmospheres","DOI":"https://doi.org/10.1029/2022JD037736","issue":"6","note":"_eprint: https://agupubs.onlinelibrary.wiley.com/doi/pdf/10.1029/2022JD037736","page":"e2022JD037736","title":"Using Space-Based CO2 and NO2 Observations to Estimate Urban CO2 Emissions","volume":"128","author":[{"family":"Yang","given":"Emily G."},{"family":"Kort","given":"Eric A."},{"family":"Ott","given":"Lesley E."},{"family":"Oda","given":"Tomohiro"},{"family":"Lin","given":"John C."}],"issued":{"date-parts":[["2023"]]}}}],"schema":"https://github.com/citation-style-language/schema/raw/master/csl-citation.json"} </w:instrText>
      </w:r>
      <w:r w:rsidRPr="00021432">
        <w:rPr>
          <w:rFonts w:ascii="Times New Roman" w:hAnsi="Times New Roman" w:cs="Times New Roman"/>
        </w:rPr>
        <w:fldChar w:fldCharType="separate"/>
      </w:r>
      <w:r>
        <w:rPr>
          <w:rFonts w:ascii="Times New Roman" w:hAnsi="Times New Roman" w:cs="Times New Roman"/>
        </w:rPr>
        <w:t>(Fuentes Andrade et al., 2024; Goldberg et al., 2019; Kiel et al., 2021; Lei et al., 2022; F. Liu et al., 2020; Reuter et al., 2019; Yang et al., 2023, 2023)</w:t>
      </w:r>
      <w:r w:rsidRPr="00021432">
        <w:rPr>
          <w:rFonts w:ascii="Times New Roman" w:hAnsi="Times New Roman" w:cs="Times New Roman"/>
        </w:rPr>
        <w:fldChar w:fldCharType="end"/>
      </w:r>
      <w:r w:rsidRPr="00021432">
        <w:rPr>
          <w:rFonts w:ascii="Times New Roman" w:hAnsi="Times New Roman" w:cs="Times New Roman"/>
        </w:rPr>
        <w:t>.</w:t>
      </w:r>
    </w:p>
    <w:p w14:paraId="60AB6B48"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Our computationally efficient CSF approach enables CO</w:t>
      </w:r>
      <w:r w:rsidRPr="00D6274C">
        <w:rPr>
          <w:rFonts w:ascii="Times New Roman" w:hAnsi="Times New Roman" w:cs="Times New Roman"/>
          <w:vertAlign w:val="subscript"/>
        </w:rPr>
        <w:t>2</w:t>
      </w:r>
      <w:r>
        <w:rPr>
          <w:rFonts w:ascii="Times New Roman" w:hAnsi="Times New Roman" w:cs="Times New Roman"/>
        </w:rPr>
        <w:t xml:space="preserve"> emission estimates for 54 global C40 cities using 4.2 years of satellite data. </w:t>
      </w:r>
      <w:r w:rsidRPr="00472ADD">
        <w:rPr>
          <w:rFonts w:ascii="Times New Roman" w:hAnsi="Times New Roman" w:cs="Times New Roman"/>
        </w:rPr>
        <w:t>Having emission estimates for</w:t>
      </w:r>
      <w:r>
        <w:rPr>
          <w:rFonts w:ascii="Times New Roman" w:hAnsi="Times New Roman" w:cs="Times New Roman"/>
        </w:rPr>
        <w:t xml:space="preserve"> multiple cities across the globe</w:t>
      </w:r>
      <w:r w:rsidRPr="00472ADD">
        <w:rPr>
          <w:rFonts w:ascii="Times New Roman" w:hAnsi="Times New Roman" w:cs="Times New Roman"/>
        </w:rPr>
        <w:t xml:space="preserve"> us to conduct two unique analyses.</w:t>
      </w:r>
      <w:r w:rsidRPr="006E566E">
        <w:rPr>
          <w:rFonts w:ascii="Times New Roman" w:hAnsi="Times New Roman" w:cs="Times New Roman"/>
        </w:rPr>
        <w:t xml:space="preserve"> </w:t>
      </w:r>
      <w:r>
        <w:rPr>
          <w:rFonts w:ascii="Times New Roman" w:hAnsi="Times New Roman" w:cs="Times New Roman"/>
        </w:rPr>
        <w:t>First</w:t>
      </w:r>
      <w:r w:rsidRPr="00472ADD">
        <w:rPr>
          <w:rFonts w:ascii="Times New Roman" w:hAnsi="Times New Roman" w:cs="Times New Roman"/>
        </w:rPr>
        <w:t>, we compare our satellite-based CO</w:t>
      </w:r>
      <w:r w:rsidRPr="00472ADD">
        <w:rPr>
          <w:rFonts w:ascii="Times New Roman" w:hAnsi="Times New Roman" w:cs="Times New Roman"/>
          <w:vertAlign w:val="subscript"/>
        </w:rPr>
        <w:t>2</w:t>
      </w:r>
      <w:r w:rsidRPr="00472ADD">
        <w:rPr>
          <w:rFonts w:ascii="Times New Roman" w:hAnsi="Times New Roman" w:cs="Times New Roman"/>
        </w:rPr>
        <w:t xml:space="preserve"> emission estimates to two bottom-up emission datasets ―EDGAR and ODIAC</w:t>
      </w:r>
      <w:r>
        <w:rPr>
          <w:rFonts w:ascii="Times New Roman" w:hAnsi="Times New Roman" w:cs="Times New Roman"/>
        </w:rPr>
        <w:t>.</w:t>
      </w:r>
      <w:r w:rsidRPr="00472ADD">
        <w:rPr>
          <w:rFonts w:ascii="Times New Roman" w:hAnsi="Times New Roman" w:cs="Times New Roman"/>
        </w:rPr>
        <w:t xml:space="preserve"> </w:t>
      </w:r>
      <w:r>
        <w:rPr>
          <w:rFonts w:ascii="Times New Roman" w:hAnsi="Times New Roman" w:cs="Times New Roman"/>
        </w:rPr>
        <w:t>T</w:t>
      </w:r>
      <w:r w:rsidRPr="00472ADD">
        <w:rPr>
          <w:rFonts w:ascii="Times New Roman" w:hAnsi="Times New Roman" w:cs="Times New Roman"/>
        </w:rPr>
        <w:t xml:space="preserve">his </w:t>
      </w:r>
      <w:r>
        <w:rPr>
          <w:rFonts w:ascii="Times New Roman" w:hAnsi="Times New Roman" w:cs="Times New Roman"/>
        </w:rPr>
        <w:t xml:space="preserve">comparison </w:t>
      </w:r>
      <w:r w:rsidRPr="00472ADD">
        <w:rPr>
          <w:rFonts w:ascii="Times New Roman" w:hAnsi="Times New Roman" w:cs="Times New Roman"/>
        </w:rPr>
        <w:t>reveals regional variations in agreements between top-down and bottom-up approaches</w:t>
      </w:r>
      <w:r>
        <w:rPr>
          <w:rFonts w:ascii="Times New Roman" w:hAnsi="Times New Roman" w:cs="Times New Roman"/>
        </w:rPr>
        <w:t xml:space="preserve"> (Section 3.1)</w:t>
      </w:r>
      <w:r w:rsidRPr="00472ADD">
        <w:rPr>
          <w:rFonts w:ascii="Times New Roman" w:hAnsi="Times New Roman" w:cs="Times New Roman"/>
        </w:rPr>
        <w:t>.</w:t>
      </w:r>
      <w:r>
        <w:rPr>
          <w:rFonts w:ascii="Times New Roman" w:hAnsi="Times New Roman" w:cs="Times New Roman"/>
        </w:rPr>
        <w:t xml:space="preserve"> Second, </w:t>
      </w:r>
      <w:r w:rsidRPr="00472ADD">
        <w:rPr>
          <w:rFonts w:ascii="Times New Roman" w:hAnsi="Times New Roman" w:cs="Times New Roman"/>
        </w:rPr>
        <w:t xml:space="preserve">we </w:t>
      </w:r>
      <w:r>
        <w:rPr>
          <w:rFonts w:ascii="Times New Roman" w:hAnsi="Times New Roman" w:cs="Times New Roman"/>
        </w:rPr>
        <w:t>assess</w:t>
      </w:r>
      <w:r w:rsidRPr="00472ADD">
        <w:rPr>
          <w:rFonts w:ascii="Times New Roman" w:hAnsi="Times New Roman" w:cs="Times New Roman"/>
        </w:rPr>
        <w:t xml:space="preserve"> CO</w:t>
      </w:r>
      <w:r w:rsidRPr="00472ADD">
        <w:rPr>
          <w:rFonts w:ascii="Times New Roman" w:hAnsi="Times New Roman" w:cs="Times New Roman"/>
          <w:vertAlign w:val="subscript"/>
        </w:rPr>
        <w:t>2</w:t>
      </w:r>
      <w:r w:rsidRPr="00472ADD">
        <w:rPr>
          <w:rFonts w:ascii="Times New Roman" w:hAnsi="Times New Roman" w:cs="Times New Roman"/>
        </w:rPr>
        <w:t xml:space="preserve"> emissions across global cities, in relation to their socioeconomic </w:t>
      </w:r>
      <w:r>
        <w:rPr>
          <w:rFonts w:ascii="Times New Roman" w:hAnsi="Times New Roman" w:cs="Times New Roman"/>
        </w:rPr>
        <w:t>factors (Section 3.2)</w:t>
      </w:r>
      <w:r w:rsidRPr="00472ADD">
        <w:rPr>
          <w:rFonts w:ascii="Times New Roman" w:hAnsi="Times New Roman" w:cs="Times New Roman"/>
        </w:rPr>
        <w:t>. This</w:t>
      </w:r>
      <w:r>
        <w:rPr>
          <w:rFonts w:ascii="Times New Roman" w:hAnsi="Times New Roman" w:cs="Times New Roman"/>
        </w:rPr>
        <w:t xml:space="preserve"> analysis</w:t>
      </w:r>
      <w:r w:rsidRPr="00472ADD">
        <w:rPr>
          <w:rFonts w:ascii="Times New Roman" w:hAnsi="Times New Roman" w:cs="Times New Roman"/>
        </w:rPr>
        <w:t xml:space="preserve"> </w:t>
      </w:r>
      <w:r>
        <w:rPr>
          <w:rFonts w:ascii="Times New Roman" w:hAnsi="Times New Roman" w:cs="Times New Roman"/>
        </w:rPr>
        <w:t>demonstrates</w:t>
      </w:r>
      <w:r w:rsidRPr="00472ADD">
        <w:rPr>
          <w:rFonts w:ascii="Times New Roman" w:hAnsi="Times New Roman" w:cs="Times New Roman"/>
        </w:rPr>
        <w:t xml:space="preserve"> the value of satellite-based observations </w:t>
      </w:r>
      <w:r>
        <w:rPr>
          <w:rFonts w:ascii="Times New Roman" w:hAnsi="Times New Roman" w:cs="Times New Roman"/>
        </w:rPr>
        <w:t>for urban climate policy assessment and planning. Finally, we discuss the limitations and potential of our satellite-based approach, and their implication for urban policy stakeholders.</w:t>
      </w:r>
    </w:p>
    <w:p w14:paraId="2B3F81DF" w14:textId="77777777" w:rsidR="00BF0126" w:rsidRPr="00180EA3" w:rsidRDefault="00BF0126" w:rsidP="00BF0126">
      <w:pPr>
        <w:pStyle w:val="Heading-Main"/>
      </w:pPr>
      <w:r w:rsidRPr="00472ADD">
        <w:lastRenderedPageBreak/>
        <w:t xml:space="preserve">2 </w:t>
      </w:r>
      <w:r>
        <w:t>Data</w:t>
      </w:r>
      <w:r w:rsidRPr="00472ADD">
        <w:t xml:space="preserve"> and Methods</w:t>
      </w:r>
    </w:p>
    <w:p w14:paraId="3E662440" w14:textId="77777777" w:rsidR="00BF0126" w:rsidRPr="00180EA3" w:rsidRDefault="00BF0126" w:rsidP="00BF0126">
      <w:pPr>
        <w:pStyle w:val="Heading-Secondary"/>
        <w:ind w:left="0"/>
        <w:rPr>
          <w:b/>
          <w:bCs w:val="0"/>
        </w:rPr>
      </w:pPr>
      <w:r w:rsidRPr="00180EA3">
        <w:rPr>
          <w:b/>
          <w:bCs w:val="0"/>
        </w:rPr>
        <w:t>2.1. OCO-3 SAMs</w:t>
      </w:r>
    </w:p>
    <w:p w14:paraId="6F8975BA"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Since September 2019, OCO-3 has been collecting SAMs over 66 of the 97 C40 cities. We downloaded L</w:t>
      </w:r>
      <w:r w:rsidRPr="00021432">
        <w:rPr>
          <w:rFonts w:ascii="Times New Roman" w:hAnsi="Times New Roman" w:cs="Times New Roman"/>
        </w:rPr>
        <w:t>2 bias</w:t>
      </w:r>
      <w:r>
        <w:rPr>
          <w:rFonts w:ascii="Times New Roman" w:hAnsi="Times New Roman" w:cs="Times New Roman"/>
        </w:rPr>
        <w:t>-</w:t>
      </w:r>
      <w:r w:rsidRPr="00021432">
        <w:rPr>
          <w:rFonts w:ascii="Times New Roman" w:hAnsi="Times New Roman" w:cs="Times New Roman"/>
        </w:rPr>
        <w:t>corrected XCO</w:t>
      </w:r>
      <w:r w:rsidRPr="00021432">
        <w:rPr>
          <w:rFonts w:ascii="Times New Roman" w:hAnsi="Times New Roman" w:cs="Times New Roman"/>
          <w:vertAlign w:val="subscript"/>
        </w:rPr>
        <w:t>2</w:t>
      </w:r>
      <w:r w:rsidRPr="00021432">
        <w:rPr>
          <w:rFonts w:ascii="Times New Roman" w:hAnsi="Times New Roman" w:cs="Times New Roman"/>
        </w:rPr>
        <w:t xml:space="preserve"> data </w:t>
      </w:r>
      <w:r>
        <w:rPr>
          <w:rFonts w:ascii="Times New Roman" w:hAnsi="Times New Roman" w:cs="Times New Roman"/>
        </w:rPr>
        <w:t xml:space="preserve">(version 11r, </w:t>
      </w:r>
      <w:r w:rsidRPr="00FB43CB">
        <w:rPr>
          <w:rFonts w:ascii="Times New Roman" w:hAnsi="Times New Roman" w:cs="Times New Roman"/>
        </w:rPr>
        <w:t>B11072Ar</w:t>
      </w:r>
      <w:r>
        <w:rPr>
          <w:rFonts w:ascii="Times New Roman" w:hAnsi="Times New Roman" w:cs="Times New Roman"/>
        </w:rPr>
        <w:t>)</w:t>
      </w:r>
      <w:r w:rsidRPr="00021432">
        <w:rPr>
          <w:rFonts w:ascii="Times New Roman" w:hAnsi="Times New Roman" w:cs="Times New Roman"/>
        </w:rPr>
        <w:t xml:space="preserve"> for the</w:t>
      </w:r>
      <w:r>
        <w:rPr>
          <w:rFonts w:ascii="Times New Roman" w:hAnsi="Times New Roman" w:cs="Times New Roman"/>
        </w:rPr>
        <w:t>se</w:t>
      </w:r>
      <w:r w:rsidRPr="00021432">
        <w:rPr>
          <w:rFonts w:ascii="Times New Roman" w:hAnsi="Times New Roman" w:cs="Times New Roman"/>
        </w:rPr>
        <w:t xml:space="preserve"> 6</w:t>
      </w:r>
      <w:r>
        <w:rPr>
          <w:rFonts w:ascii="Times New Roman" w:hAnsi="Times New Roman" w:cs="Times New Roman"/>
        </w:rPr>
        <w:t>6</w:t>
      </w:r>
      <w:r w:rsidRPr="00021432">
        <w:rPr>
          <w:rFonts w:ascii="Times New Roman" w:hAnsi="Times New Roman" w:cs="Times New Roman"/>
        </w:rPr>
        <w:t xml:space="preserve"> cities</w:t>
      </w:r>
      <w:r>
        <w:rPr>
          <w:rFonts w:ascii="Times New Roman" w:hAnsi="Times New Roman" w:cs="Times New Roman"/>
        </w:rPr>
        <w:t xml:space="preserve"> </w:t>
      </w:r>
      <w:r w:rsidRPr="00021432">
        <w:rPr>
          <w:rFonts w:ascii="Times New Roman" w:hAnsi="Times New Roman" w:cs="Times New Roman"/>
        </w:rPr>
        <w:t>from the NASA Goddard Earth Sciences Data and Information Services Center (GES DISC) website</w:t>
      </w:r>
      <w:r>
        <w:rPr>
          <w:rFonts w:ascii="Times New Roman" w:hAnsi="Times New Roman" w:cs="Times New Roman"/>
        </w:rPr>
        <w:t xml:space="preserve"> for the period between </w:t>
      </w:r>
      <w:r w:rsidRPr="00021432">
        <w:rPr>
          <w:rFonts w:ascii="Times New Roman" w:hAnsi="Times New Roman" w:cs="Times New Roman"/>
        </w:rPr>
        <w:t>September 2019</w:t>
      </w:r>
      <w:r>
        <w:rPr>
          <w:rFonts w:ascii="Times New Roman" w:hAnsi="Times New Roman" w:cs="Times New Roman"/>
        </w:rPr>
        <w:t xml:space="preserve"> and</w:t>
      </w:r>
      <w:r w:rsidRPr="00021432">
        <w:rPr>
          <w:rFonts w:ascii="Times New Roman" w:hAnsi="Times New Roman" w:cs="Times New Roman"/>
        </w:rPr>
        <w:t xml:space="preserve"> </w:t>
      </w:r>
      <w:r>
        <w:rPr>
          <w:rFonts w:ascii="Times New Roman" w:hAnsi="Times New Roman" w:cs="Times New Roman"/>
        </w:rPr>
        <w:t>November</w:t>
      </w:r>
      <w:r w:rsidRPr="00021432">
        <w:rPr>
          <w:rFonts w:ascii="Times New Roman" w:hAnsi="Times New Roman" w:cs="Times New Roman"/>
        </w:rPr>
        <w:t xml:space="preserve"> 2023</w:t>
      </w:r>
      <w:r>
        <w:rPr>
          <w:rFonts w:ascii="Times New Roman" w:hAnsi="Times New Roman" w:cs="Times New Roman"/>
        </w:rPr>
        <w:t xml:space="preserve"> (4.2 years). Note that OCO-3 was put into storage on November 2023 to allow another payload on the ISS complete its nominal mission. OCO-3 was reinstalled in July 2024 and resumed science data collection, but in this study, we limit the scope of our analysis to the first phase of OCO-3 operations, i.e., from September 2019 to November 2023. Only good quality </w:t>
      </w:r>
      <w:r w:rsidRPr="00021432">
        <w:rPr>
          <w:rFonts w:ascii="Times New Roman" w:hAnsi="Times New Roman" w:cs="Times New Roman"/>
        </w:rPr>
        <w:t>soundings</w:t>
      </w:r>
      <w:r>
        <w:rPr>
          <w:rFonts w:ascii="Times New Roman" w:hAnsi="Times New Roman" w:cs="Times New Roman"/>
        </w:rPr>
        <w:t>,</w:t>
      </w:r>
      <w:r w:rsidRPr="00021432">
        <w:rPr>
          <w:rFonts w:ascii="Times New Roman" w:hAnsi="Times New Roman" w:cs="Times New Roman"/>
        </w:rPr>
        <w:t xml:space="preserve"> as indicated by </w:t>
      </w:r>
      <w:r>
        <w:rPr>
          <w:rFonts w:ascii="Times New Roman" w:hAnsi="Times New Roman" w:cs="Times New Roman"/>
        </w:rPr>
        <w:t>the</w:t>
      </w:r>
      <w:r w:rsidRPr="00021432">
        <w:rPr>
          <w:rFonts w:ascii="Times New Roman" w:hAnsi="Times New Roman" w:cs="Times New Roman"/>
        </w:rPr>
        <w:t xml:space="preserve"> binary flag in the NetCDF file (xco2_quality_flag = 0)</w:t>
      </w:r>
      <w:r>
        <w:rPr>
          <w:rFonts w:ascii="Times New Roman" w:hAnsi="Times New Roman" w:cs="Times New Roman"/>
        </w:rPr>
        <w:t>, were used in this study</w:t>
      </w:r>
      <w:r w:rsidRPr="00021432">
        <w:rPr>
          <w:rFonts w:ascii="Times New Roman" w:hAnsi="Times New Roman" w:cs="Times New Roman"/>
        </w:rPr>
        <w:t>.</w:t>
      </w:r>
    </w:p>
    <w:p w14:paraId="07764F8B" w14:textId="77777777" w:rsidR="00BF0126" w:rsidRPr="00630674" w:rsidRDefault="00BF0126" w:rsidP="00BF0126">
      <w:pPr>
        <w:pStyle w:val="Body"/>
        <w:spacing w:before="120"/>
        <w:jc w:val="both"/>
        <w:rPr>
          <w:rFonts w:ascii="Times New Roman" w:hAnsi="Times New Roman" w:cs="Times New Roman"/>
          <w:color w:val="000000" w:themeColor="text1"/>
        </w:rPr>
      </w:pPr>
      <w:r w:rsidRPr="00021432">
        <w:rPr>
          <w:rFonts w:ascii="Times New Roman" w:hAnsi="Times New Roman" w:cs="Times New Roman"/>
        </w:rPr>
        <w:t xml:space="preserve">During the first </w:t>
      </w:r>
      <w:r>
        <w:rPr>
          <w:rFonts w:ascii="Times New Roman" w:hAnsi="Times New Roman" w:cs="Times New Roman"/>
        </w:rPr>
        <w:t>4.2</w:t>
      </w:r>
      <w:r w:rsidRPr="00021432">
        <w:rPr>
          <w:rFonts w:ascii="Times New Roman" w:hAnsi="Times New Roman" w:cs="Times New Roman"/>
        </w:rPr>
        <w:t xml:space="preserve"> years of its missio</w:t>
      </w:r>
      <w:r>
        <w:rPr>
          <w:rFonts w:ascii="Times New Roman" w:hAnsi="Times New Roman" w:cs="Times New Roman"/>
        </w:rPr>
        <w:t>n</w:t>
      </w:r>
      <w:r w:rsidRPr="00021432">
        <w:rPr>
          <w:rFonts w:ascii="Times New Roman" w:hAnsi="Times New Roman" w:cs="Times New Roman"/>
        </w:rPr>
        <w:t xml:space="preserve">, OCO-3 collected </w:t>
      </w:r>
      <w:r w:rsidRPr="00850B43">
        <w:rPr>
          <w:rFonts w:ascii="Times New Roman" w:hAnsi="Times New Roman" w:cs="Times New Roman"/>
          <w:color w:val="000000" w:themeColor="text1"/>
        </w:rPr>
        <w:t xml:space="preserve">4,050 </w:t>
      </w:r>
      <w:r w:rsidRPr="00021432">
        <w:rPr>
          <w:rFonts w:ascii="Times New Roman" w:hAnsi="Times New Roman" w:cs="Times New Roman"/>
        </w:rPr>
        <w:t xml:space="preserve">SAMs </w:t>
      </w:r>
      <w:r>
        <w:rPr>
          <w:rFonts w:ascii="Times New Roman" w:hAnsi="Times New Roman" w:cs="Times New Roman"/>
        </w:rPr>
        <w:t>(each containing at least one good XCO</w:t>
      </w:r>
      <w:r w:rsidRPr="00683691">
        <w:rPr>
          <w:rFonts w:ascii="Times New Roman" w:hAnsi="Times New Roman" w:cs="Times New Roman"/>
          <w:vertAlign w:val="subscript"/>
        </w:rPr>
        <w:t>2</w:t>
      </w:r>
      <w:r>
        <w:rPr>
          <w:rFonts w:ascii="Times New Roman" w:hAnsi="Times New Roman" w:cs="Times New Roman"/>
        </w:rPr>
        <w:t xml:space="preserve"> sounding) over</w:t>
      </w:r>
      <w:r w:rsidRPr="00021432">
        <w:rPr>
          <w:rFonts w:ascii="Times New Roman" w:hAnsi="Times New Roman" w:cs="Times New Roman"/>
        </w:rPr>
        <w:t xml:space="preserve"> </w:t>
      </w:r>
      <w:r>
        <w:rPr>
          <w:rFonts w:ascii="Times New Roman" w:hAnsi="Times New Roman" w:cs="Times New Roman"/>
        </w:rPr>
        <w:t xml:space="preserve">the </w:t>
      </w:r>
      <w:r w:rsidRPr="00021432">
        <w:rPr>
          <w:rFonts w:ascii="Times New Roman" w:hAnsi="Times New Roman" w:cs="Times New Roman"/>
        </w:rPr>
        <w:t>6</w:t>
      </w:r>
      <w:r>
        <w:rPr>
          <w:rFonts w:ascii="Times New Roman" w:hAnsi="Times New Roman" w:cs="Times New Roman"/>
        </w:rPr>
        <w:t>6</w:t>
      </w:r>
      <w:r w:rsidRPr="00021432">
        <w:rPr>
          <w:rFonts w:ascii="Times New Roman" w:hAnsi="Times New Roman" w:cs="Times New Roman"/>
        </w:rPr>
        <w:t xml:space="preserve"> C40 cities </w:t>
      </w:r>
      <w:r>
        <w:rPr>
          <w:rFonts w:ascii="Times New Roman" w:hAnsi="Times New Roman" w:cs="Times New Roman"/>
        </w:rPr>
        <w:t>spanning</w:t>
      </w:r>
      <w:r w:rsidRPr="00021432">
        <w:rPr>
          <w:rFonts w:ascii="Times New Roman" w:hAnsi="Times New Roman" w:cs="Times New Roman"/>
        </w:rPr>
        <w:t xml:space="preserve"> 3</w:t>
      </w:r>
      <w:r>
        <w:rPr>
          <w:rFonts w:ascii="Times New Roman" w:hAnsi="Times New Roman" w:cs="Times New Roman"/>
        </w:rPr>
        <w:t>2</w:t>
      </w:r>
      <w:r w:rsidRPr="00021432">
        <w:rPr>
          <w:rFonts w:ascii="Times New Roman" w:hAnsi="Times New Roman" w:cs="Times New Roman"/>
        </w:rPr>
        <w:t xml:space="preserve"> countries</w:t>
      </w:r>
      <w:r>
        <w:rPr>
          <w:rFonts w:ascii="Times New Roman" w:hAnsi="Times New Roman" w:cs="Times New Roman"/>
        </w:rPr>
        <w:t xml:space="preserve">―an average of 19 SAMs per city per year. Of these 66 cities, </w:t>
      </w:r>
      <w:r w:rsidRPr="00021432">
        <w:rPr>
          <w:rFonts w:ascii="Times New Roman" w:hAnsi="Times New Roman" w:cs="Times New Roman"/>
          <w:color w:val="000000" w:themeColor="text1"/>
        </w:rPr>
        <w:t>the following</w:t>
      </w:r>
      <w:r w:rsidRPr="00160D1C">
        <w:rPr>
          <w:rFonts w:ascii="Times New Roman" w:hAnsi="Times New Roman" w:cs="Times New Roman"/>
          <w:color w:val="000000" w:themeColor="text1"/>
        </w:rPr>
        <w:t xml:space="preserve"> 12 </w:t>
      </w:r>
      <w:r w:rsidRPr="00021432">
        <w:rPr>
          <w:rFonts w:ascii="Times New Roman" w:hAnsi="Times New Roman" w:cs="Times New Roman"/>
          <w:color w:val="000000" w:themeColor="text1"/>
        </w:rPr>
        <w:t>cities</w:t>
      </w:r>
      <w:r>
        <w:rPr>
          <w:rFonts w:ascii="Times New Roman" w:hAnsi="Times New Roman" w:cs="Times New Roman"/>
          <w:color w:val="000000" w:themeColor="text1"/>
        </w:rPr>
        <w:t>’ emissions</w:t>
      </w:r>
      <w:r w:rsidRPr="00021432">
        <w:rPr>
          <w:rFonts w:ascii="Times New Roman" w:hAnsi="Times New Roman" w:cs="Times New Roman"/>
          <w:color w:val="000000" w:themeColor="text1"/>
        </w:rPr>
        <w:t xml:space="preserve"> are not estimated due to </w:t>
      </w:r>
      <w:r>
        <w:rPr>
          <w:rFonts w:ascii="Times New Roman" w:hAnsi="Times New Roman" w:cs="Times New Roman"/>
          <w:color w:val="000000" w:themeColor="text1"/>
        </w:rPr>
        <w:t>a</w:t>
      </w:r>
      <w:r w:rsidRPr="00160D1C">
        <w:rPr>
          <w:rFonts w:ascii="Times New Roman" w:hAnsi="Times New Roman" w:cs="Times New Roman"/>
          <w:color w:val="000000" w:themeColor="text1"/>
        </w:rPr>
        <w:t xml:space="preserve"> lack of SAMs that passed the quality-filtering process </w:t>
      </w:r>
      <w:r>
        <w:rPr>
          <w:rFonts w:ascii="Times New Roman" w:hAnsi="Times New Roman" w:cs="Times New Roman"/>
          <w:color w:val="000000" w:themeColor="text1"/>
        </w:rPr>
        <w:t>required for</w:t>
      </w:r>
      <w:r w:rsidRPr="00160D1C">
        <w:rPr>
          <w:rFonts w:ascii="Times New Roman" w:hAnsi="Times New Roman" w:cs="Times New Roman"/>
          <w:color w:val="000000" w:themeColor="text1"/>
        </w:rPr>
        <w:t xml:space="preserve"> our </w:t>
      </w:r>
      <w:r>
        <w:rPr>
          <w:rFonts w:ascii="Times New Roman" w:hAnsi="Times New Roman" w:cs="Times New Roman"/>
          <w:color w:val="000000" w:themeColor="text1"/>
        </w:rPr>
        <w:t xml:space="preserve">emission estimation method (see Section 2.4. for details). These cities include </w:t>
      </w:r>
      <w:r w:rsidRPr="00160D1C">
        <w:rPr>
          <w:rFonts w:ascii="Times New Roman" w:hAnsi="Times New Roman" w:cs="Times New Roman"/>
          <w:color w:val="000000" w:themeColor="text1"/>
        </w:rPr>
        <w:t>Beijing, Bogota, Guangzhou, Ho Chi Minh City, Lagos, Nanjing, New Orleans, Singapore, Shanghai, Warsaw, Jakarta, and Hong Kong.</w:t>
      </w:r>
      <w:r>
        <w:rPr>
          <w:rFonts w:ascii="Times New Roman" w:hAnsi="Times New Roman" w:cs="Times New Roman"/>
          <w:color w:val="000000" w:themeColor="text1"/>
        </w:rPr>
        <w:t xml:space="preserve"> </w:t>
      </w:r>
      <w:r w:rsidRPr="00021432">
        <w:rPr>
          <w:rFonts w:ascii="Times New Roman" w:hAnsi="Times New Roman" w:cs="Times New Roman"/>
          <w:color w:val="000000" w:themeColor="text1"/>
        </w:rPr>
        <w:t xml:space="preserve">Two common </w:t>
      </w:r>
      <w:r>
        <w:rPr>
          <w:rFonts w:ascii="Times New Roman" w:hAnsi="Times New Roman" w:cs="Times New Roman"/>
          <w:color w:val="000000" w:themeColor="text1"/>
        </w:rPr>
        <w:t xml:space="preserve">factors causing SAM data failing </w:t>
      </w:r>
      <w:r w:rsidRPr="00021432">
        <w:rPr>
          <w:rFonts w:ascii="Times New Roman" w:hAnsi="Times New Roman" w:cs="Times New Roman"/>
          <w:color w:val="000000" w:themeColor="text1"/>
        </w:rPr>
        <w:t xml:space="preserve">the quality-filtering processes </w:t>
      </w:r>
      <w:r>
        <w:rPr>
          <w:rFonts w:ascii="Times New Roman" w:hAnsi="Times New Roman" w:cs="Times New Roman"/>
          <w:color w:val="000000" w:themeColor="text1"/>
        </w:rPr>
        <w:t xml:space="preserve">were: </w:t>
      </w:r>
      <w:r w:rsidRPr="00021432">
        <w:rPr>
          <w:rFonts w:ascii="Times New Roman" w:hAnsi="Times New Roman" w:cs="Times New Roman"/>
          <w:color w:val="000000" w:themeColor="text1"/>
        </w:rPr>
        <w:t>1) large XCO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or NO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plumes from nearby sources</w:t>
      </w:r>
      <w:r>
        <w:rPr>
          <w:rFonts w:ascii="Times New Roman" w:hAnsi="Times New Roman" w:cs="Times New Roman"/>
          <w:color w:val="000000" w:themeColor="text1"/>
        </w:rPr>
        <w:t xml:space="preserve"> that confound observations taken over the city and</w:t>
      </w:r>
      <w:r w:rsidRPr="00021432">
        <w:rPr>
          <w:rFonts w:ascii="Times New Roman" w:hAnsi="Times New Roman" w:cs="Times New Roman"/>
          <w:color w:val="000000" w:themeColor="text1"/>
        </w:rPr>
        <w:t xml:space="preserve"> 2) the city is surrounded by water bodies where XCO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retrievals become challenging or may generate estimates with large biases. </w:t>
      </w:r>
      <w:r w:rsidRPr="00021432">
        <w:rPr>
          <w:rFonts w:ascii="Times New Roman" w:hAnsi="Times New Roman" w:cs="Times New Roman"/>
          <w:color w:val="000000" w:themeColor="text1"/>
        </w:rPr>
        <w:t xml:space="preserve">Information from cities near water bodies is available only if the majority of </w:t>
      </w:r>
      <w:r>
        <w:rPr>
          <w:rFonts w:ascii="Times New Roman" w:hAnsi="Times New Roman" w:cs="Times New Roman"/>
          <w:color w:val="000000" w:themeColor="text1"/>
        </w:rPr>
        <w:t xml:space="preserve">a </w:t>
      </w:r>
      <w:r w:rsidRPr="00021432">
        <w:rPr>
          <w:rFonts w:ascii="Times New Roman" w:hAnsi="Times New Roman" w:cs="Times New Roman"/>
          <w:color w:val="000000" w:themeColor="text1"/>
        </w:rPr>
        <w:t xml:space="preserve">plume remains </w:t>
      </w:r>
      <w:r>
        <w:rPr>
          <w:rFonts w:ascii="Times New Roman" w:hAnsi="Times New Roman" w:cs="Times New Roman"/>
          <w:color w:val="000000" w:themeColor="text1"/>
        </w:rPr>
        <w:t xml:space="preserve">over </w:t>
      </w:r>
      <w:r w:rsidRPr="00021432">
        <w:rPr>
          <w:rFonts w:ascii="Times New Roman" w:hAnsi="Times New Roman" w:cs="Times New Roman"/>
          <w:color w:val="000000" w:themeColor="text1"/>
        </w:rPr>
        <w:t>land.</w:t>
      </w:r>
    </w:p>
    <w:p w14:paraId="60D63B6B" w14:textId="77777777" w:rsidR="00BF0126" w:rsidRPr="0049433B" w:rsidRDefault="00BF0126" w:rsidP="00BF0126">
      <w:pPr>
        <w:pStyle w:val="Body"/>
        <w:spacing w:before="120"/>
        <w:jc w:val="both"/>
        <w:rPr>
          <w:rFonts w:ascii="Times New Roman" w:hAnsi="Times New Roman" w:cs="Times New Roman"/>
        </w:rPr>
      </w:pPr>
      <w:r>
        <w:rPr>
          <w:rFonts w:ascii="Times New Roman" w:hAnsi="Times New Roman" w:cs="Times New Roman"/>
          <w:color w:val="000000" w:themeColor="text1"/>
        </w:rPr>
        <w:t xml:space="preserve">After applying the quality-filtering process, emissions were successfully estimated for 54 cities (out of 66 cities for which SAMs were available) across 27 countries, spanning seven global regions designated by C40 Cities: </w:t>
      </w:r>
      <w:r>
        <w:rPr>
          <w:rFonts w:ascii="Times New Roman" w:hAnsi="Times New Roman" w:cs="Times New Roman"/>
        </w:rPr>
        <w:t>4</w:t>
      </w:r>
      <w:r w:rsidRPr="00021432">
        <w:rPr>
          <w:rFonts w:ascii="Times New Roman" w:hAnsi="Times New Roman" w:cs="Times New Roman"/>
        </w:rPr>
        <w:t xml:space="preserve"> in Africa, </w:t>
      </w:r>
      <w:r>
        <w:rPr>
          <w:rFonts w:ascii="Times New Roman" w:hAnsi="Times New Roman" w:cs="Times New Roman"/>
        </w:rPr>
        <w:t>8</w:t>
      </w:r>
      <w:r w:rsidRPr="00021432">
        <w:rPr>
          <w:rFonts w:ascii="Times New Roman" w:hAnsi="Times New Roman" w:cs="Times New Roman"/>
        </w:rPr>
        <w:t xml:space="preserve"> in South &amp; West Asia</w:t>
      </w:r>
      <w:r>
        <w:rPr>
          <w:rFonts w:ascii="Times New Roman" w:hAnsi="Times New Roman" w:cs="Times New Roman"/>
        </w:rPr>
        <w:t>, 7</w:t>
      </w:r>
      <w:r w:rsidRPr="00021432">
        <w:rPr>
          <w:rFonts w:ascii="Times New Roman" w:hAnsi="Times New Roman" w:cs="Times New Roman"/>
        </w:rPr>
        <w:t xml:space="preserve"> in</w:t>
      </w:r>
      <w:r>
        <w:rPr>
          <w:rFonts w:ascii="Times New Roman" w:hAnsi="Times New Roman" w:cs="Times New Roman"/>
        </w:rPr>
        <w:t xml:space="preserve"> </w:t>
      </w:r>
      <w:r w:rsidRPr="00021432">
        <w:rPr>
          <w:rFonts w:ascii="Times New Roman" w:hAnsi="Times New Roman" w:cs="Times New Roman"/>
        </w:rPr>
        <w:t xml:space="preserve">Latin America, </w:t>
      </w:r>
      <w:r>
        <w:rPr>
          <w:rFonts w:ascii="Times New Roman" w:hAnsi="Times New Roman" w:cs="Times New Roman"/>
        </w:rPr>
        <w:t>5</w:t>
      </w:r>
      <w:r w:rsidRPr="00021432">
        <w:rPr>
          <w:rFonts w:ascii="Times New Roman" w:hAnsi="Times New Roman" w:cs="Times New Roman"/>
        </w:rPr>
        <w:t xml:space="preserve"> </w:t>
      </w:r>
      <w:r>
        <w:rPr>
          <w:rFonts w:ascii="Times New Roman" w:hAnsi="Times New Roman" w:cs="Times New Roman"/>
        </w:rPr>
        <w:t xml:space="preserve">in </w:t>
      </w:r>
      <w:r w:rsidRPr="00021432">
        <w:rPr>
          <w:rFonts w:ascii="Times New Roman" w:hAnsi="Times New Roman" w:cs="Times New Roman"/>
        </w:rPr>
        <w:t xml:space="preserve">Central East Asia, </w:t>
      </w:r>
      <w:r>
        <w:rPr>
          <w:rFonts w:ascii="Times New Roman" w:hAnsi="Times New Roman" w:cs="Times New Roman"/>
        </w:rPr>
        <w:t xml:space="preserve">5 in </w:t>
      </w:r>
      <w:r w:rsidRPr="00021432">
        <w:rPr>
          <w:rFonts w:ascii="Times New Roman" w:hAnsi="Times New Roman" w:cs="Times New Roman"/>
        </w:rPr>
        <w:t>East, Southeast Asia &amp; Oceania</w:t>
      </w:r>
      <w:r>
        <w:rPr>
          <w:rFonts w:ascii="Times New Roman" w:hAnsi="Times New Roman" w:cs="Times New Roman"/>
        </w:rPr>
        <w:t>, 10</w:t>
      </w:r>
      <w:r w:rsidRPr="00021432">
        <w:rPr>
          <w:rFonts w:ascii="Times New Roman" w:hAnsi="Times New Roman" w:cs="Times New Roman"/>
        </w:rPr>
        <w:t xml:space="preserve"> in </w:t>
      </w:r>
      <w:r>
        <w:rPr>
          <w:rFonts w:ascii="Times New Roman" w:hAnsi="Times New Roman" w:cs="Times New Roman"/>
        </w:rPr>
        <w:t xml:space="preserve">Europe, and 15 in </w:t>
      </w:r>
      <w:r w:rsidRPr="00021432">
        <w:rPr>
          <w:rFonts w:ascii="Times New Roman" w:hAnsi="Times New Roman" w:cs="Times New Roman"/>
        </w:rPr>
        <w:t>North America</w:t>
      </w:r>
      <w:r>
        <w:rPr>
          <w:rFonts w:ascii="Times New Roman" w:hAnsi="Times New Roman" w:cs="Times New Roman"/>
          <w:color w:val="000000" w:themeColor="text1"/>
        </w:rPr>
        <w:t>. On average, eight</w:t>
      </w:r>
      <w:r w:rsidRPr="00021432">
        <w:rPr>
          <w:rFonts w:ascii="Times New Roman" w:hAnsi="Times New Roman" w:cs="Times New Roman"/>
          <w:color w:val="000000" w:themeColor="text1"/>
        </w:rPr>
        <w:t xml:space="preserve"> OCO-3 SAMs</w:t>
      </w:r>
      <w:r>
        <w:rPr>
          <w:rFonts w:ascii="Times New Roman" w:hAnsi="Times New Roman" w:cs="Times New Roman"/>
          <w:color w:val="000000" w:themeColor="text1"/>
        </w:rPr>
        <w:t xml:space="preserve"> per city</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were</w:t>
      </w:r>
      <w:r w:rsidRPr="00021432">
        <w:rPr>
          <w:rFonts w:ascii="Times New Roman" w:hAnsi="Times New Roman" w:cs="Times New Roman"/>
          <w:color w:val="000000" w:themeColor="text1"/>
        </w:rPr>
        <w:t xml:space="preserve"> used </w:t>
      </w:r>
      <w:r>
        <w:rPr>
          <w:rFonts w:ascii="Times New Roman" w:hAnsi="Times New Roman" w:cs="Times New Roman"/>
          <w:color w:val="000000" w:themeColor="text1"/>
        </w:rPr>
        <w:t>to estimate citywide</w:t>
      </w:r>
      <w:r w:rsidRPr="00021432">
        <w:rPr>
          <w:rFonts w:ascii="Times New Roman" w:hAnsi="Times New Roman" w:cs="Times New Roman"/>
          <w:color w:val="000000" w:themeColor="text1"/>
        </w:rPr>
        <w:t xml:space="preserve"> CO</w:t>
      </w:r>
      <w:r w:rsidRPr="00021432">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w:t>
      </w:r>
      <w:r>
        <w:rPr>
          <w:rFonts w:ascii="Times New Roman" w:hAnsi="Times New Roman" w:cs="Times New Roman"/>
        </w:rPr>
        <w:t>―</w:t>
      </w:r>
      <w:r>
        <w:rPr>
          <w:rFonts w:ascii="Times New Roman" w:hAnsi="Times New Roman" w:cs="Times New Roman"/>
          <w:color w:val="000000" w:themeColor="text1"/>
        </w:rPr>
        <w:t xml:space="preserve"> 11 </w:t>
      </w:r>
      <w:r w:rsidRPr="00021432">
        <w:rPr>
          <w:rFonts w:ascii="Times New Roman" w:hAnsi="Times New Roman" w:cs="Times New Roman"/>
          <w:color w:val="000000" w:themeColor="text1"/>
        </w:rPr>
        <w:t xml:space="preserve">% of all SAMs collected between September 2019 and </w:t>
      </w:r>
      <w:r>
        <w:rPr>
          <w:rFonts w:ascii="Times New Roman" w:hAnsi="Times New Roman" w:cs="Times New Roman"/>
          <w:color w:val="000000" w:themeColor="text1"/>
        </w:rPr>
        <w:t>November</w:t>
      </w:r>
      <w:r w:rsidRPr="00021432">
        <w:rPr>
          <w:rFonts w:ascii="Times New Roman" w:hAnsi="Times New Roman" w:cs="Times New Roman"/>
          <w:color w:val="000000" w:themeColor="text1"/>
        </w:rPr>
        <w:t xml:space="preserve"> 2023</w:t>
      </w:r>
      <w:r>
        <w:rPr>
          <w:rFonts w:ascii="Times New Roman" w:hAnsi="Times New Roman" w:cs="Times New Roman"/>
          <w:color w:val="000000" w:themeColor="text1"/>
        </w:rPr>
        <w:t>.</w:t>
      </w:r>
      <w:r>
        <w:rPr>
          <w:rFonts w:ascii="Times New Roman" w:hAnsi="Times New Roman" w:cs="Times New Roman"/>
        </w:rPr>
        <w:t xml:space="preserve"> As the OCO-3 SAM data record continues to grow, we expect an increasing number of useable SAMs over individual cities, providing more robust emission estimates. </w:t>
      </w:r>
    </w:p>
    <w:p w14:paraId="15B2735B" w14:textId="77777777" w:rsidR="00BF0126" w:rsidRPr="00180EA3" w:rsidRDefault="00BF0126" w:rsidP="00BF0126">
      <w:pPr>
        <w:pStyle w:val="Heading-Secondary"/>
        <w:ind w:left="0"/>
        <w:rPr>
          <w:b/>
          <w:bCs w:val="0"/>
          <w:vertAlign w:val="subscript"/>
        </w:rPr>
      </w:pPr>
      <w:r w:rsidRPr="00180EA3">
        <w:rPr>
          <w:b/>
          <w:bCs w:val="0"/>
        </w:rPr>
        <w:t>2.2. TROPOMI NO</w:t>
      </w:r>
      <w:r w:rsidRPr="00180EA3">
        <w:rPr>
          <w:b/>
          <w:bCs w:val="0"/>
          <w:vertAlign w:val="subscript"/>
        </w:rPr>
        <w:t>2</w:t>
      </w:r>
    </w:p>
    <w:p w14:paraId="7A002AB8" w14:textId="77777777" w:rsidR="00BF0126" w:rsidRDefault="00BF0126" w:rsidP="00BF0126">
      <w:pPr>
        <w:pStyle w:val="Body"/>
        <w:spacing w:before="120"/>
        <w:jc w:val="both"/>
        <w:rPr>
          <w:rFonts w:ascii="Times New Roman" w:hAnsi="Times New Roman" w:cs="Times New Roman"/>
        </w:rPr>
      </w:pPr>
      <w:r w:rsidRPr="00021432">
        <w:rPr>
          <w:rFonts w:ascii="Times New Roman" w:hAnsi="Times New Roman" w:cs="Times New Roman"/>
        </w:rPr>
        <w:t>We downloaded TROPOMI L</w:t>
      </w:r>
      <w:r>
        <w:rPr>
          <w:rFonts w:ascii="Times New Roman" w:hAnsi="Times New Roman" w:cs="Times New Roman"/>
        </w:rPr>
        <w:t xml:space="preserve">evel </w:t>
      </w:r>
      <w:r w:rsidRPr="00021432">
        <w:rPr>
          <w:rFonts w:ascii="Times New Roman" w:hAnsi="Times New Roman" w:cs="Times New Roman"/>
        </w:rPr>
        <w:t>2 NO</w:t>
      </w:r>
      <w:r w:rsidRPr="00021432">
        <w:rPr>
          <w:rFonts w:ascii="Times New Roman" w:hAnsi="Times New Roman" w:cs="Times New Roman"/>
          <w:vertAlign w:val="subscript"/>
        </w:rPr>
        <w:t>2</w:t>
      </w:r>
      <w:r w:rsidRPr="00021432">
        <w:rPr>
          <w:rFonts w:ascii="Times New Roman" w:hAnsi="Times New Roman" w:cs="Times New Roman"/>
        </w:rPr>
        <w:t xml:space="preserve"> data (S5P_OFFL_L2_NO2</w:t>
      </w:r>
      <w:r>
        <w:rPr>
          <w:rFonts w:ascii="Times New Roman" w:hAnsi="Times New Roman" w:cs="Times New Roman"/>
        </w:rPr>
        <w:t xml:space="preserve"> and </w:t>
      </w:r>
      <w:r w:rsidRPr="00021432">
        <w:rPr>
          <w:rFonts w:ascii="Times New Roman" w:hAnsi="Times New Roman" w:cs="Times New Roman"/>
        </w:rPr>
        <w:t>S5P_</w:t>
      </w:r>
      <w:r>
        <w:rPr>
          <w:rFonts w:ascii="Times New Roman" w:hAnsi="Times New Roman" w:cs="Times New Roman"/>
        </w:rPr>
        <w:t>RPRO</w:t>
      </w:r>
      <w:r w:rsidRPr="00021432">
        <w:rPr>
          <w:rFonts w:ascii="Times New Roman" w:hAnsi="Times New Roman" w:cs="Times New Roman"/>
        </w:rPr>
        <w:t xml:space="preserve">_L2_NO2) </w:t>
      </w:r>
      <w:r>
        <w:rPr>
          <w:rFonts w:ascii="Times New Roman" w:hAnsi="Times New Roman" w:cs="Times New Roman"/>
        </w:rPr>
        <w:t>for</w:t>
      </w:r>
      <w:r w:rsidRPr="00021432">
        <w:rPr>
          <w:rFonts w:ascii="Times New Roman" w:hAnsi="Times New Roman" w:cs="Times New Roman"/>
        </w:rPr>
        <w:t xml:space="preserve"> the 6</w:t>
      </w:r>
      <w:r>
        <w:rPr>
          <w:rFonts w:ascii="Times New Roman" w:hAnsi="Times New Roman" w:cs="Times New Roman"/>
        </w:rPr>
        <w:t>6</w:t>
      </w:r>
      <w:r w:rsidRPr="00021432">
        <w:rPr>
          <w:rFonts w:ascii="Times New Roman" w:hAnsi="Times New Roman" w:cs="Times New Roman"/>
        </w:rPr>
        <w:t xml:space="preserve"> C40 cities </w:t>
      </w:r>
      <w:r>
        <w:rPr>
          <w:rFonts w:ascii="Times New Roman" w:hAnsi="Times New Roman" w:cs="Times New Roman"/>
        </w:rPr>
        <w:t xml:space="preserve">with OCO-3 SAM observations </w:t>
      </w:r>
      <w:r w:rsidRPr="00021432">
        <w:rPr>
          <w:rFonts w:ascii="Times New Roman" w:hAnsi="Times New Roman" w:cs="Times New Roman"/>
        </w:rPr>
        <w:t xml:space="preserve">using the OData interface of the Data Hub (DHuSget v0.3.8). </w:t>
      </w:r>
      <w:r>
        <w:rPr>
          <w:rFonts w:ascii="Times New Roman" w:hAnsi="Times New Roman" w:cs="Times New Roman"/>
        </w:rPr>
        <w:t>The p</w:t>
      </w:r>
      <w:r w:rsidRPr="00021432">
        <w:rPr>
          <w:rFonts w:ascii="Times New Roman" w:hAnsi="Times New Roman" w:cs="Times New Roman"/>
        </w:rPr>
        <w:t xml:space="preserve">rocessor version ranges from v1.03.02 to v2.05. </w:t>
      </w:r>
      <w:r>
        <w:rPr>
          <w:rFonts w:ascii="Times New Roman" w:hAnsi="Times New Roman" w:cs="Times New Roman"/>
        </w:rPr>
        <w:t>A</w:t>
      </w:r>
      <w:r w:rsidRPr="00021432">
        <w:rPr>
          <w:rFonts w:ascii="Times New Roman" w:hAnsi="Times New Roman" w:cs="Times New Roman"/>
        </w:rPr>
        <w:t>s recommended by the user guide</w:t>
      </w:r>
      <w:r>
        <w:rPr>
          <w:rFonts w:ascii="Times New Roman" w:hAnsi="Times New Roman" w:cs="Times New Roman"/>
        </w:rPr>
        <w:t xml:space="preserve">, we excluded </w:t>
      </w:r>
      <w:r w:rsidRPr="00021432">
        <w:rPr>
          <w:rFonts w:ascii="Times New Roman" w:hAnsi="Times New Roman" w:cs="Times New Roman"/>
        </w:rPr>
        <w:t>TROPOMI NO</w:t>
      </w:r>
      <w:r w:rsidRPr="00021432">
        <w:rPr>
          <w:rFonts w:ascii="Times New Roman" w:hAnsi="Times New Roman" w:cs="Times New Roman"/>
          <w:vertAlign w:val="subscript"/>
        </w:rPr>
        <w:t>2</w:t>
      </w:r>
      <w:r w:rsidRPr="00021432">
        <w:rPr>
          <w:rFonts w:ascii="Times New Roman" w:hAnsi="Times New Roman" w:cs="Times New Roman"/>
        </w:rPr>
        <w:t xml:space="preserve"> </w:t>
      </w:r>
      <w:r>
        <w:rPr>
          <w:rFonts w:ascii="Times New Roman" w:hAnsi="Times New Roman" w:cs="Times New Roman"/>
        </w:rPr>
        <w:t>d</w:t>
      </w:r>
      <w:r w:rsidRPr="00021432">
        <w:rPr>
          <w:rFonts w:ascii="Times New Roman" w:hAnsi="Times New Roman" w:cs="Times New Roman"/>
        </w:rPr>
        <w:t xml:space="preserve">ata with </w:t>
      </w:r>
      <w:r w:rsidRPr="00323520">
        <w:rPr>
          <w:rFonts w:ascii="Times New Roman" w:hAnsi="Times New Roman" w:cs="Times New Roman"/>
          <w:i/>
          <w:iCs/>
        </w:rPr>
        <w:t>qa_value</w:t>
      </w:r>
      <w:r w:rsidRPr="00021432">
        <w:rPr>
          <w:rFonts w:ascii="Times New Roman" w:hAnsi="Times New Roman" w:cs="Times New Roman"/>
        </w:rPr>
        <w:t xml:space="preserve"> &lt; 0.5.</w:t>
      </w:r>
    </w:p>
    <w:p w14:paraId="7373CBAD" w14:textId="77777777" w:rsidR="00BF0126" w:rsidRDefault="00BF0126" w:rsidP="00BF0126">
      <w:pPr>
        <w:pStyle w:val="Body"/>
        <w:spacing w:before="120"/>
        <w:jc w:val="both"/>
        <w:rPr>
          <w:rFonts w:ascii="Times New Roman" w:hAnsi="Times New Roman" w:cs="Times New Roman"/>
        </w:rPr>
      </w:pPr>
      <w:r w:rsidRPr="00021432">
        <w:rPr>
          <w:rFonts w:ascii="Times New Roman" w:hAnsi="Times New Roman" w:cs="Times New Roman"/>
        </w:rPr>
        <w:t>TROPOMI acquires column NO</w:t>
      </w:r>
      <w:r w:rsidRPr="00021432">
        <w:rPr>
          <w:rFonts w:ascii="Times New Roman" w:hAnsi="Times New Roman" w:cs="Times New Roman"/>
          <w:vertAlign w:val="subscript"/>
        </w:rPr>
        <w:t>2</w:t>
      </w:r>
      <w:r w:rsidRPr="00021432">
        <w:rPr>
          <w:rFonts w:ascii="Times New Roman" w:hAnsi="Times New Roman" w:cs="Times New Roman"/>
        </w:rPr>
        <w:t xml:space="preserve"> </w:t>
      </w:r>
      <w:r>
        <w:rPr>
          <w:rFonts w:ascii="Times New Roman" w:hAnsi="Times New Roman" w:cs="Times New Roman"/>
        </w:rPr>
        <w:t xml:space="preserve">measurements </w:t>
      </w:r>
      <w:r w:rsidRPr="00021432">
        <w:rPr>
          <w:rFonts w:ascii="Times New Roman" w:hAnsi="Times New Roman" w:cs="Times New Roman"/>
        </w:rPr>
        <w:t>in the early afternoon</w:t>
      </w:r>
      <w:r>
        <w:rPr>
          <w:rFonts w:ascii="Times New Roman" w:hAnsi="Times New Roman" w:cs="Times New Roman"/>
        </w:rPr>
        <w:t xml:space="preserve">, around </w:t>
      </w:r>
      <w:r w:rsidRPr="00021432">
        <w:rPr>
          <w:rFonts w:ascii="Times New Roman" w:hAnsi="Times New Roman" w:cs="Times New Roman"/>
        </w:rPr>
        <w:t>13:30 local time.</w:t>
      </w:r>
      <w:r>
        <w:rPr>
          <w:rFonts w:ascii="Times New Roman" w:hAnsi="Times New Roman" w:cs="Times New Roman"/>
        </w:rPr>
        <w:t xml:space="preserve"> For temporal colocation</w:t>
      </w:r>
      <w:r w:rsidRPr="00021432">
        <w:rPr>
          <w:rFonts w:ascii="Times New Roman" w:hAnsi="Times New Roman" w:cs="Times New Roman"/>
        </w:rPr>
        <w:t>, we used TROPOMI NO</w:t>
      </w:r>
      <w:r w:rsidRPr="00021432">
        <w:rPr>
          <w:rFonts w:ascii="Times New Roman" w:hAnsi="Times New Roman" w:cs="Times New Roman"/>
          <w:vertAlign w:val="subscript"/>
        </w:rPr>
        <w:t>2</w:t>
      </w:r>
      <w:r w:rsidRPr="00021432">
        <w:rPr>
          <w:rFonts w:ascii="Times New Roman" w:hAnsi="Times New Roman" w:cs="Times New Roman"/>
        </w:rPr>
        <w:t xml:space="preserve"> </w:t>
      </w:r>
      <w:r>
        <w:rPr>
          <w:rFonts w:ascii="Times New Roman" w:hAnsi="Times New Roman" w:cs="Times New Roman"/>
        </w:rPr>
        <w:t>measurements taken</w:t>
      </w:r>
      <w:r w:rsidRPr="00021432">
        <w:rPr>
          <w:rFonts w:ascii="Times New Roman" w:hAnsi="Times New Roman" w:cs="Times New Roman"/>
        </w:rPr>
        <w:t xml:space="preserve"> within </w:t>
      </w:r>
      <w:r>
        <w:rPr>
          <w:rFonts w:ascii="Times New Roman" w:hAnsi="Times New Roman" w:cs="Times New Roman"/>
        </w:rPr>
        <w:t>2.5</w:t>
      </w:r>
      <w:r w:rsidRPr="00021432">
        <w:rPr>
          <w:rFonts w:ascii="Times New Roman" w:hAnsi="Times New Roman" w:cs="Times New Roman"/>
        </w:rPr>
        <w:t xml:space="preserve"> hours of the OCO-3 SAMs overpass time, </w:t>
      </w:r>
      <w:r>
        <w:rPr>
          <w:rFonts w:ascii="Times New Roman" w:hAnsi="Times New Roman" w:cs="Times New Roman"/>
        </w:rPr>
        <w:t>based on</w:t>
      </w:r>
      <w:r w:rsidRPr="00021432">
        <w:rPr>
          <w:rFonts w:ascii="Times New Roman" w:hAnsi="Times New Roman" w:cs="Times New Roman"/>
        </w:rPr>
        <w:t xml:space="preserve"> the findings from Wu et al. </w:t>
      </w:r>
      <w:r w:rsidRPr="00021432">
        <w:rPr>
          <w:rFonts w:ascii="Times New Roman" w:hAnsi="Times New Roman" w:cs="Times New Roman"/>
        </w:rPr>
        <w:fldChar w:fldCharType="begin"/>
      </w:r>
      <w:r>
        <w:rPr>
          <w:rFonts w:ascii="Times New Roman" w:hAnsi="Times New Roman" w:cs="Times New Roman"/>
        </w:rPr>
        <w:instrText xml:space="preserve"> ADDIN ZOTERO_ITEM CSL_CITATION {"citationID":"J3xSPwnG","properties":{"formattedCitation":"(2022)","plainCitation":"(2022)","noteIndex":0},"citationItems":[{"id":507,"uris":["http://zotero.org/users/12959951/items/IKK9F4ZU"],"itemData":{"id":507,"type":"</w:instrText>
      </w:r>
      <w:r>
        <w:rPr>
          <w:rFonts w:ascii="Times New Roman" w:hAnsi="Times New Roman" w:cs="Times New Roman" w:hint="eastAsia"/>
        </w:rPr>
        <w:instrText>article-journal","container-title":"Atmospheric Chemistry and Physics","DOI":"10.5194/acp-22-14547-2022","issue":"22","page":"14547</w:instrText>
      </w:r>
      <w:r>
        <w:rPr>
          <w:rFonts w:ascii="Times New Roman" w:hAnsi="Times New Roman" w:cs="Times New Roman" w:hint="eastAsia"/>
        </w:rPr>
        <w:instrText>–</w:instrText>
      </w:r>
      <w:r>
        <w:rPr>
          <w:rFonts w:ascii="Times New Roman" w:hAnsi="Times New Roman" w:cs="Times New Roman" w:hint="eastAsia"/>
        </w:rPr>
        <w:instrText>14570","title":"Towards sector-based attribution using intra-city variations in satellite-based emission ratios between CO</w:instrText>
      </w:r>
      <w:r>
        <w:rPr>
          <w:rFonts w:ascii="Times New Roman" w:hAnsi="Times New Roman" w:cs="Times New Roman" w:hint="eastAsia"/>
        </w:rPr>
        <w:instrText>₂</w:instrText>
      </w:r>
      <w:r>
        <w:rPr>
          <w:rFonts w:ascii="Times New Roman" w:hAnsi="Times New Roman" w:cs="Times New Roman"/>
        </w:rPr>
        <w:instrText xml:space="preserve"> and CO","volume":"22","author":[{"family":"Wu","given":"D."},{"family":"Liu","given":"J."},{"family":"Wennberg","given":"P. O."},{"family":"Palmer","given":"P. I."},{"family":"Nelson","given":"R. R."},{"family":"Kiel","given":"M."},{"family":"Eldering","given":"A."}],"issued":{"date-parts":[["2022"]]}},"label":"page","suppress-author":true}],"schema":"https://github.com/citation-style-language/schema/raw/master/csl-citation.json"} </w:instrText>
      </w:r>
      <w:r w:rsidRPr="00021432">
        <w:rPr>
          <w:rFonts w:ascii="Times New Roman" w:hAnsi="Times New Roman" w:cs="Times New Roman"/>
        </w:rPr>
        <w:fldChar w:fldCharType="separate"/>
      </w:r>
      <w:r>
        <w:rPr>
          <w:rFonts w:ascii="Times New Roman" w:hAnsi="Times New Roman" w:cs="Times New Roman"/>
        </w:rPr>
        <w:t>(2022)</w:t>
      </w:r>
      <w:r w:rsidRPr="00021432">
        <w:rPr>
          <w:rFonts w:ascii="Times New Roman" w:hAnsi="Times New Roman" w:cs="Times New Roman"/>
        </w:rPr>
        <w:fldChar w:fldCharType="end"/>
      </w:r>
      <w:r>
        <w:rPr>
          <w:rFonts w:ascii="Times New Roman" w:hAnsi="Times New Roman" w:cs="Times New Roman"/>
        </w:rPr>
        <w:t xml:space="preserve">. This means that OCO-3 SAMs collected between 11:00 and 16:00 local time were used for emission estimations. We also tested alternative temporal windows of 1.5 hours, 2 hours, and 3 hours (Table S1). </w:t>
      </w:r>
      <w:r w:rsidRPr="002D5F4A">
        <w:rPr>
          <w:rFonts w:ascii="Times New Roman" w:hAnsi="Times New Roman" w:cs="Times New Roman"/>
        </w:rPr>
        <w:t>The 1.5-hour window resulted in greater variability in emission estimates due to a reduced number of available SAMs</w:t>
      </w:r>
      <w:r>
        <w:rPr>
          <w:rFonts w:ascii="Times New Roman" w:hAnsi="Times New Roman" w:cs="Times New Roman"/>
        </w:rPr>
        <w:t xml:space="preserve"> (–35%)</w:t>
      </w:r>
      <w:r w:rsidRPr="002D5F4A">
        <w:rPr>
          <w:rFonts w:ascii="Times New Roman" w:hAnsi="Times New Roman" w:cs="Times New Roman"/>
        </w:rPr>
        <w:t xml:space="preserve">, which limited the averaging of random errors and decreased temporal </w:t>
      </w:r>
      <w:r w:rsidRPr="002D5F4A">
        <w:rPr>
          <w:rFonts w:ascii="Times New Roman" w:hAnsi="Times New Roman" w:cs="Times New Roman"/>
        </w:rPr>
        <w:lastRenderedPageBreak/>
        <w:t xml:space="preserve">representation of urban emissions. </w:t>
      </w:r>
      <w:r>
        <w:rPr>
          <w:rFonts w:ascii="Times New Roman" w:hAnsi="Times New Roman" w:cs="Times New Roman"/>
        </w:rPr>
        <w:t>T</w:t>
      </w:r>
      <w:r w:rsidRPr="002D5F4A">
        <w:rPr>
          <w:rFonts w:ascii="Times New Roman" w:hAnsi="Times New Roman" w:cs="Times New Roman"/>
        </w:rPr>
        <w:t>he 3.5-hour window</w:t>
      </w:r>
      <w:r>
        <w:rPr>
          <w:rFonts w:ascii="Times New Roman" w:hAnsi="Times New Roman" w:cs="Times New Roman"/>
        </w:rPr>
        <w:t xml:space="preserve"> also</w:t>
      </w:r>
      <w:r w:rsidRPr="002D5F4A">
        <w:rPr>
          <w:rFonts w:ascii="Times New Roman" w:hAnsi="Times New Roman" w:cs="Times New Roman"/>
        </w:rPr>
        <w:t xml:space="preserve"> led to increased variability </w:t>
      </w:r>
      <w:r>
        <w:rPr>
          <w:rFonts w:ascii="Times New Roman" w:hAnsi="Times New Roman" w:cs="Times New Roman"/>
        </w:rPr>
        <w:t xml:space="preserve">in emission estimates </w:t>
      </w:r>
      <w:r w:rsidRPr="002D5F4A">
        <w:rPr>
          <w:rFonts w:ascii="Times New Roman" w:hAnsi="Times New Roman" w:cs="Times New Roman"/>
        </w:rPr>
        <w:t>due to</w:t>
      </w:r>
      <w:r>
        <w:rPr>
          <w:rFonts w:ascii="Times New Roman" w:hAnsi="Times New Roman" w:cs="Times New Roman"/>
        </w:rPr>
        <w:t xml:space="preserve"> larger changes </w:t>
      </w:r>
      <w:r w:rsidRPr="002D5F4A">
        <w:rPr>
          <w:rFonts w:ascii="Times New Roman" w:hAnsi="Times New Roman" w:cs="Times New Roman"/>
        </w:rPr>
        <w:t xml:space="preserve">in wind velocities during the extended </w:t>
      </w:r>
      <w:r>
        <w:rPr>
          <w:rFonts w:ascii="Times New Roman" w:hAnsi="Times New Roman" w:cs="Times New Roman"/>
        </w:rPr>
        <w:t>time window</w:t>
      </w:r>
      <w:r w:rsidRPr="002D5F4A">
        <w:rPr>
          <w:rFonts w:ascii="Times New Roman" w:hAnsi="Times New Roman" w:cs="Times New Roman"/>
        </w:rPr>
        <w:t>.</w:t>
      </w:r>
      <w:r>
        <w:rPr>
          <w:rFonts w:ascii="Times New Roman" w:hAnsi="Times New Roman" w:cs="Times New Roman"/>
        </w:rPr>
        <w:t xml:space="preserve"> </w:t>
      </w:r>
    </w:p>
    <w:p w14:paraId="3C59AF33" w14:textId="77777777" w:rsidR="00BF0126" w:rsidRPr="008B271C" w:rsidRDefault="00BF0126" w:rsidP="00BF0126">
      <w:pPr>
        <w:pStyle w:val="Heading-Secondary"/>
        <w:ind w:left="0"/>
        <w:rPr>
          <w:b/>
          <w:bCs w:val="0"/>
        </w:rPr>
      </w:pPr>
      <w:r w:rsidRPr="008B271C">
        <w:rPr>
          <w:b/>
          <w:bCs w:val="0"/>
        </w:rPr>
        <w:t>2.3. C40 Cities</w:t>
      </w:r>
    </w:p>
    <w:p w14:paraId="57A2FB09" w14:textId="77777777" w:rsidR="00BF0126" w:rsidRPr="00B47407" w:rsidRDefault="00BF0126" w:rsidP="00BF0126">
      <w:pPr>
        <w:pStyle w:val="Body"/>
        <w:spacing w:before="120"/>
        <w:jc w:val="both"/>
        <w:rPr>
          <w:rFonts w:ascii="Times New Roman" w:hAnsi="Times New Roman" w:cs="Times New Roman"/>
          <w:u w:val="single"/>
        </w:rPr>
      </w:pPr>
      <w:r>
        <w:rPr>
          <w:rFonts w:ascii="Times New Roman" w:hAnsi="Times New Roman" w:cs="Times New Roman"/>
        </w:rPr>
        <w:t xml:space="preserve">Our emission estimation algorithm requires a city’s geographical boundary information as one of its input parameters. We consider two types of city boundaries: 1) the </w:t>
      </w:r>
      <w:r w:rsidRPr="00021432">
        <w:rPr>
          <w:rFonts w:ascii="Times New Roman" w:eastAsia="Times New Roman" w:hAnsi="Times New Roman" w:cs="Times New Roman"/>
        </w:rPr>
        <w:t>Urban Centre (UC) boundary from the</w:t>
      </w:r>
      <w:r>
        <w:rPr>
          <w:rFonts w:ascii="Times New Roman" w:eastAsia="Times New Roman" w:hAnsi="Times New Roman" w:cs="Times New Roman"/>
        </w:rPr>
        <w:t xml:space="preserve"> publicly available</w:t>
      </w:r>
      <w:r w:rsidRPr="00021432">
        <w:rPr>
          <w:rFonts w:ascii="Times New Roman" w:eastAsia="Times New Roman" w:hAnsi="Times New Roman" w:cs="Times New Roman"/>
        </w:rPr>
        <w:t xml:space="preserve"> GHS-SMOD (1 km resolution, year 2020, </w:t>
      </w:r>
      <w:r w:rsidRPr="00021432">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ZOTERO_ITEM CSL_CITATION {"citationID":"zBS7xdK7","properties":{"formattedCitation":"(Schiavina et al., 2023)","plainCitation":"(Schiavina et al., 2023)","noteIndex":0},"citationItems":[{"id":953,"uris":["http://zotero.org/users/12959951/items/TGQYK4K2"],"itemData":{"id":953,"type":"article-journal","container-title":"European Commission, Joint Research Centre (JRC)","DOI":"10.2905/A0DF7A6F-49DE-46EA-9BDE-563437A6E2BA","title":"GHS-SMOD R2023A - GHS settlement layers, application of the Degree of Urbanisation methodology (stage I) to GHS-POP R2023A and GHS-BUILT-S R2023A, multitemporal (1975-2030)","URL":"http://data.europa.eu/89h/a0df7a6f-49de-46ea-9bde-563437a6e2ba","author":[{"family":"Schiavina","given":"M."},{"family":"Melchiorri","given":"M."},{"family":"Pesaresi","given":"M."}],"issued":{"date-parts":[["2023"]]}}}],"schema":"https://github.com/citation-style-language/schema/raw/master/csl-citation.json"} </w:instrText>
      </w:r>
      <w:r w:rsidRPr="00021432">
        <w:rPr>
          <w:rFonts w:ascii="Times New Roman" w:eastAsia="Times New Roman" w:hAnsi="Times New Roman" w:cs="Times New Roman"/>
        </w:rPr>
        <w:fldChar w:fldCharType="separate"/>
      </w:r>
      <w:r>
        <w:rPr>
          <w:rFonts w:ascii="Times New Roman" w:hAnsi="Times New Roman" w:cs="Times New Roman"/>
        </w:rPr>
        <w:t>(Schiavina et al., 2023)</w:t>
      </w:r>
      <w:r w:rsidRPr="00021432">
        <w:rPr>
          <w:rFonts w:ascii="Times New Roman" w:eastAsia="Times New Roman" w:hAnsi="Times New Roman" w:cs="Times New Roman"/>
        </w:rPr>
        <w:fldChar w:fldCharType="end"/>
      </w:r>
      <w:r>
        <w:rPr>
          <w:rFonts w:ascii="Times New Roman" w:eastAsia="Times New Roman" w:hAnsi="Times New Roman" w:cs="Times New Roman"/>
        </w:rPr>
        <w:t>)</w:t>
      </w:r>
      <w:r w:rsidRPr="00021432">
        <w:rPr>
          <w:rFonts w:ascii="Times New Roman" w:eastAsia="Times New Roman" w:hAnsi="Times New Roman" w:cs="Times New Roman"/>
        </w:rPr>
        <w:t xml:space="preserve"> and</w:t>
      </w:r>
      <w:r>
        <w:rPr>
          <w:rFonts w:ascii="Times New Roman" w:eastAsia="Times New Roman" w:hAnsi="Times New Roman" w:cs="Times New Roman"/>
        </w:rPr>
        <w:t xml:space="preserve"> 2)</w:t>
      </w:r>
      <w:r w:rsidRPr="00021432">
        <w:rPr>
          <w:rFonts w:ascii="Times New Roman" w:eastAsia="Times New Roman" w:hAnsi="Times New Roman" w:cs="Times New Roman"/>
        </w:rPr>
        <w:t xml:space="preserve"> a cities’ administrative boundary.</w:t>
      </w:r>
      <w:r>
        <w:rPr>
          <w:rFonts w:ascii="Times New Roman" w:eastAsia="Times New Roman" w:hAnsi="Times New Roman" w:cs="Times New Roman"/>
        </w:rPr>
        <w:t xml:space="preserve"> GHS-SMOD defines the Urban Centre (UC) as a cluster of contiguous 1 km</w:t>
      </w:r>
      <w:r w:rsidRPr="00B94AB7">
        <w:rPr>
          <w:rFonts w:ascii="Times New Roman" w:eastAsia="Times New Roman" w:hAnsi="Times New Roman" w:cs="Times New Roman"/>
          <w:vertAlign w:val="superscript"/>
        </w:rPr>
        <w:t>2</w:t>
      </w:r>
      <w:r>
        <w:rPr>
          <w:rFonts w:ascii="Times New Roman" w:eastAsia="Times New Roman" w:hAnsi="Times New Roman" w:cs="Times New Roman"/>
        </w:rPr>
        <w:t xml:space="preserve"> grid cells with a population density of at least 1,500 inhabitants per km</w:t>
      </w:r>
      <w:r w:rsidRPr="00405B44">
        <w:rPr>
          <w:rFonts w:ascii="Times New Roman" w:eastAsia="Times New Roman" w:hAnsi="Times New Roman" w:cs="Times New Roman"/>
          <w:vertAlign w:val="superscript"/>
        </w:rPr>
        <w:t>2</w:t>
      </w:r>
      <w:r>
        <w:rPr>
          <w:rFonts w:ascii="Times New Roman" w:eastAsia="Times New Roman" w:hAnsi="Times New Roman" w:cs="Times New Roman"/>
        </w:rPr>
        <w:t xml:space="preserve"> and a collective minimum population of 50,000 inhabitants, with occasional inclusion of grid cells containing more than 50% built-up area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ZOTERO_ITEM CSL_CITATION {"citationID":"4Iqgb4aZ","properties":{"formattedCitation":"(Commission &amp; Eurostat, 2021)","plainCitation":"(Commission &amp; Eurostat, 2021)","noteIndex":0},"citationItems":[{"id":3746,"uris":["http://zotero.org/users/12959951/items/MU66DSUV"],"itemData":{"id":3746,"type":"book","note":"DOI: doi/10.2785/706535","publisher":"Publications Office of the European Union","title":"Applying the degree of urbanisation – A methodological manual to define cities, towns and rural areas for international comparisons – 2021 edition","author":[{"family":"Commission","given":"European"},{"literal":"Eurostat"}],"issued":{"date-parts":[["2021"]]}}}],"schema":"https://github.com/citation-style-language/schema/raw/master/csl-citation.json"} </w:instrText>
      </w:r>
      <w:r>
        <w:rPr>
          <w:rFonts w:ascii="Times New Roman" w:eastAsia="Times New Roman" w:hAnsi="Times New Roman" w:cs="Times New Roman"/>
        </w:rPr>
        <w:fldChar w:fldCharType="separate"/>
      </w:r>
      <w:r>
        <w:rPr>
          <w:rFonts w:ascii="Times New Roman" w:hAnsi="Times New Roman" w:cs="Times New Roman"/>
        </w:rPr>
        <w:t>(Commission &amp; Eurostat, 2021)</w:t>
      </w:r>
      <w:r>
        <w:rPr>
          <w:rFonts w:ascii="Times New Roman" w:eastAsia="Times New Roman" w:hAnsi="Times New Roman" w:cs="Times New Roman"/>
        </w:rPr>
        <w:fldChar w:fldCharType="end"/>
      </w:r>
      <w:r>
        <w:rPr>
          <w:rFonts w:ascii="Times New Roman" w:eastAsia="Times New Roman" w:hAnsi="Times New Roman" w:cs="Times New Roman"/>
        </w:rPr>
        <w:t xml:space="preserve">. Administrative boundaries indicate the geographical area under the jurisdiction of a city government, where urban climate policies, such as GHG mitigation efforts, are implemented and monitored. </w:t>
      </w:r>
      <w:r>
        <w:rPr>
          <w:rFonts w:ascii="Times New Roman" w:hAnsi="Times New Roman" w:cs="Times New Roman"/>
        </w:rPr>
        <w:t xml:space="preserve">We select either the </w:t>
      </w:r>
      <w:r>
        <w:rPr>
          <w:rFonts w:ascii="Times New Roman" w:eastAsia="Times New Roman" w:hAnsi="Times New Roman" w:cs="Times New Roman"/>
        </w:rPr>
        <w:t>UC boundary</w:t>
      </w:r>
      <w:r w:rsidRPr="00021432">
        <w:rPr>
          <w:rFonts w:ascii="Times New Roman" w:eastAsia="Times New Roman" w:hAnsi="Times New Roman" w:cs="Times New Roman"/>
        </w:rPr>
        <w:t xml:space="preserve"> </w:t>
      </w:r>
      <w:r>
        <w:rPr>
          <w:rFonts w:ascii="Times New Roman" w:eastAsia="Times New Roman" w:hAnsi="Times New Roman" w:cs="Times New Roman"/>
        </w:rPr>
        <w:t>or</w:t>
      </w:r>
      <w:r w:rsidRPr="00021432">
        <w:rPr>
          <w:rFonts w:ascii="Times New Roman" w:eastAsia="Times New Roman" w:hAnsi="Times New Roman" w:cs="Times New Roman"/>
        </w:rPr>
        <w:t xml:space="preserve"> </w:t>
      </w:r>
      <w:r>
        <w:rPr>
          <w:rFonts w:ascii="Times New Roman" w:eastAsia="Times New Roman" w:hAnsi="Times New Roman" w:cs="Times New Roman"/>
        </w:rPr>
        <w:t>the</w:t>
      </w:r>
      <w:r w:rsidRPr="00021432">
        <w:rPr>
          <w:rFonts w:ascii="Times New Roman" w:eastAsia="Times New Roman" w:hAnsi="Times New Roman" w:cs="Times New Roman"/>
        </w:rPr>
        <w:t xml:space="preserve"> administrative boundary </w:t>
      </w:r>
      <w:r>
        <w:rPr>
          <w:rFonts w:ascii="Times New Roman" w:eastAsia="Times New Roman" w:hAnsi="Times New Roman" w:cs="Times New Roman"/>
        </w:rPr>
        <w:t xml:space="preserve">based on the one that better matches </w:t>
      </w:r>
      <w:r w:rsidRPr="00021432">
        <w:rPr>
          <w:rFonts w:ascii="Times New Roman" w:eastAsia="Times New Roman" w:hAnsi="Times New Roman" w:cs="Times New Roman"/>
        </w:rPr>
        <w:t>the spatial coverage of OCO-3 SAM for each city</w:t>
      </w:r>
      <w:r>
        <w:rPr>
          <w:rFonts w:ascii="Times New Roman" w:eastAsia="Times New Roman" w:hAnsi="Times New Roman" w:cs="Times New Roman"/>
        </w:rPr>
        <w:t xml:space="preserve">. </w:t>
      </w:r>
      <w:r w:rsidRPr="00021432">
        <w:rPr>
          <w:rFonts w:ascii="Times New Roman" w:eastAsia="Times New Roman" w:hAnsi="Times New Roman" w:cs="Times New Roman"/>
        </w:rPr>
        <w:t xml:space="preserve">For example, a UC boundary from GHS-SMOD for </w:t>
      </w:r>
      <w:r>
        <w:rPr>
          <w:rFonts w:ascii="Times New Roman" w:eastAsia="Times New Roman" w:hAnsi="Times New Roman" w:cs="Times New Roman"/>
        </w:rPr>
        <w:t xml:space="preserve">the </w:t>
      </w:r>
      <w:r w:rsidRPr="00021432">
        <w:rPr>
          <w:rFonts w:ascii="Times New Roman" w:eastAsia="Times New Roman" w:hAnsi="Times New Roman" w:cs="Times New Roman"/>
        </w:rPr>
        <w:t>Los Angeles area covers 5,093 km</w:t>
      </w:r>
      <w:r w:rsidRPr="00021432">
        <w:rPr>
          <w:rFonts w:ascii="Times New Roman" w:eastAsia="Times New Roman" w:hAnsi="Times New Roman" w:cs="Times New Roman"/>
          <w:vertAlign w:val="superscript"/>
        </w:rPr>
        <w:t>2</w:t>
      </w:r>
      <w:r w:rsidRPr="00021432">
        <w:rPr>
          <w:rFonts w:ascii="Times New Roman" w:eastAsia="Times New Roman" w:hAnsi="Times New Roman" w:cs="Times New Roman"/>
        </w:rPr>
        <w:t>, includ</w:t>
      </w:r>
      <w:r>
        <w:rPr>
          <w:rFonts w:ascii="Times New Roman" w:eastAsia="Times New Roman" w:hAnsi="Times New Roman" w:cs="Times New Roman"/>
        </w:rPr>
        <w:t>ing</w:t>
      </w:r>
      <w:r w:rsidRPr="00021432">
        <w:rPr>
          <w:rFonts w:ascii="Times New Roman" w:eastAsia="Times New Roman" w:hAnsi="Times New Roman" w:cs="Times New Roman"/>
        </w:rPr>
        <w:t xml:space="preserve"> nearby cities such as Anaheim and Irvine. Meanwhile, OCO-3 SAM specifically target</w:t>
      </w:r>
      <w:r>
        <w:rPr>
          <w:rFonts w:ascii="Times New Roman" w:eastAsia="Times New Roman" w:hAnsi="Times New Roman" w:cs="Times New Roman"/>
        </w:rPr>
        <w:t>s</w:t>
      </w:r>
      <w:r w:rsidRPr="00021432">
        <w:rPr>
          <w:rFonts w:ascii="Times New Roman" w:eastAsia="Times New Roman" w:hAnsi="Times New Roman" w:cs="Times New Roman"/>
        </w:rPr>
        <w:t xml:space="preserve"> the city of Los Angeles</w:t>
      </w:r>
      <w:r>
        <w:rPr>
          <w:rFonts w:ascii="Times New Roman" w:eastAsia="Times New Roman" w:hAnsi="Times New Roman" w:cs="Times New Roman"/>
        </w:rPr>
        <w:t>, which aligns well with its administrative boundary area of 1,361 km</w:t>
      </w:r>
      <w:r w:rsidRPr="00D33D6E">
        <w:rPr>
          <w:rFonts w:ascii="Times New Roman" w:eastAsia="Times New Roman" w:hAnsi="Times New Roman" w:cs="Times New Roman"/>
          <w:vertAlign w:val="superscript"/>
        </w:rPr>
        <w:t>2</w:t>
      </w:r>
      <w:r>
        <w:rPr>
          <w:rFonts w:ascii="Times New Roman" w:eastAsia="Times New Roman" w:hAnsi="Times New Roman" w:cs="Times New Roman"/>
        </w:rPr>
        <w:t>.</w:t>
      </w:r>
      <w:r w:rsidRPr="00021432">
        <w:rPr>
          <w:rFonts w:ascii="Times New Roman" w:eastAsia="Times New Roman" w:hAnsi="Times New Roman" w:cs="Times New Roman"/>
        </w:rPr>
        <w:t xml:space="preserve"> </w:t>
      </w:r>
      <w:r>
        <w:rPr>
          <w:rFonts w:ascii="Times New Roman" w:eastAsia="Times New Roman" w:hAnsi="Times New Roman" w:cs="Times New Roman"/>
        </w:rPr>
        <w:t>Therefore,</w:t>
      </w:r>
      <w:r w:rsidRPr="00021432">
        <w:rPr>
          <w:rFonts w:ascii="Times New Roman" w:eastAsia="Times New Roman" w:hAnsi="Times New Roman" w:cs="Times New Roman"/>
        </w:rPr>
        <w:t xml:space="preserve"> we choose the </w:t>
      </w:r>
      <w:r>
        <w:rPr>
          <w:rFonts w:ascii="Times New Roman" w:eastAsia="Times New Roman" w:hAnsi="Times New Roman" w:cs="Times New Roman"/>
        </w:rPr>
        <w:t>Los Angeles</w:t>
      </w:r>
      <w:r w:rsidRPr="00021432">
        <w:rPr>
          <w:rFonts w:ascii="Times New Roman" w:eastAsia="Times New Roman" w:hAnsi="Times New Roman" w:cs="Times New Roman"/>
        </w:rPr>
        <w:t xml:space="preserve"> administrative boundary over </w:t>
      </w:r>
      <w:r>
        <w:rPr>
          <w:rFonts w:ascii="Times New Roman" w:eastAsia="Times New Roman" w:hAnsi="Times New Roman" w:cs="Times New Roman"/>
        </w:rPr>
        <w:t xml:space="preserve">the </w:t>
      </w:r>
      <w:r w:rsidRPr="00021432">
        <w:rPr>
          <w:rFonts w:ascii="Times New Roman" w:eastAsia="Times New Roman" w:hAnsi="Times New Roman" w:cs="Times New Roman"/>
        </w:rPr>
        <w:t>UC boundary.</w:t>
      </w:r>
      <w:r>
        <w:rPr>
          <w:rFonts w:ascii="Times New Roman" w:eastAsia="Times New Roman" w:hAnsi="Times New Roman" w:cs="Times New Roman"/>
        </w:rPr>
        <w:t xml:space="preserve"> </w:t>
      </w:r>
      <w:r w:rsidRPr="00021432">
        <w:rPr>
          <w:rFonts w:ascii="Times New Roman" w:eastAsia="Times New Roman" w:hAnsi="Times New Roman" w:cs="Times New Roman"/>
        </w:rPr>
        <w:t>For the following 1</w:t>
      </w:r>
      <w:r>
        <w:rPr>
          <w:rFonts w:ascii="Times New Roman" w:eastAsia="Times New Roman" w:hAnsi="Times New Roman" w:cs="Times New Roman"/>
        </w:rPr>
        <w:t>2</w:t>
      </w:r>
      <w:r w:rsidRPr="00021432">
        <w:rPr>
          <w:rFonts w:ascii="Times New Roman" w:eastAsia="Times New Roman" w:hAnsi="Times New Roman" w:cs="Times New Roman"/>
        </w:rPr>
        <w:t xml:space="preserve"> cities, we </w:t>
      </w:r>
      <w:r>
        <w:rPr>
          <w:rFonts w:ascii="Times New Roman" w:eastAsia="Times New Roman" w:hAnsi="Times New Roman" w:cs="Times New Roman"/>
        </w:rPr>
        <w:t>select</w:t>
      </w:r>
      <w:r w:rsidRPr="00021432">
        <w:rPr>
          <w:rFonts w:ascii="Times New Roman" w:eastAsia="Times New Roman" w:hAnsi="Times New Roman" w:cs="Times New Roman"/>
        </w:rPr>
        <w:t xml:space="preserve"> administrative boundaries over UC boundaries: </w:t>
      </w:r>
      <w:r w:rsidRPr="0093299D">
        <w:rPr>
          <w:rFonts w:ascii="Times New Roman" w:eastAsia="Times New Roman" w:hAnsi="Times New Roman" w:cs="Times New Roman"/>
        </w:rPr>
        <w:t>Seoul, New York, Los Angeles, Chicago, Tokyo, New Delhi, Houston, Mexico City, Kolkata, Sao Paulo, Rome, Toronto</w:t>
      </w:r>
      <w:r>
        <w:rPr>
          <w:rFonts w:ascii="Times New Roman" w:eastAsia="Times New Roman" w:hAnsi="Times New Roman" w:cs="Times New Roman"/>
        </w:rPr>
        <w:t>. Section 2.4 describes how cities’ geographical boundary information is used to identify urban plumes from TROPOMI NO</w:t>
      </w:r>
      <w:r w:rsidRPr="005F16B6">
        <w:rPr>
          <w:rFonts w:ascii="Times New Roman" w:eastAsia="Times New Roman" w:hAnsi="Times New Roman" w:cs="Times New Roman"/>
          <w:vertAlign w:val="subscript"/>
        </w:rPr>
        <w:t>2</w:t>
      </w:r>
      <w:r>
        <w:rPr>
          <w:rFonts w:ascii="Times New Roman" w:eastAsia="Times New Roman" w:hAnsi="Times New Roman" w:cs="Times New Roman"/>
        </w:rPr>
        <w:t xml:space="preserve"> and OCO-3 XCO</w:t>
      </w:r>
      <w:r w:rsidRPr="005F16B6">
        <w:rPr>
          <w:rFonts w:ascii="Times New Roman" w:eastAsia="Times New Roman" w:hAnsi="Times New Roman" w:cs="Times New Roman"/>
          <w:vertAlign w:val="subscript"/>
        </w:rPr>
        <w:t>2</w:t>
      </w:r>
      <w:r>
        <w:rPr>
          <w:rFonts w:ascii="Times New Roman" w:eastAsia="Times New Roman" w:hAnsi="Times New Roman" w:cs="Times New Roman"/>
        </w:rPr>
        <w:t xml:space="preserve"> measurements. The </w:t>
      </w:r>
      <w:r w:rsidRPr="00021432">
        <w:rPr>
          <w:rFonts w:ascii="Times New Roman" w:eastAsia="Times New Roman" w:hAnsi="Times New Roman" w:cs="Times New Roman"/>
        </w:rPr>
        <w:t>GHS-SMOD</w:t>
      </w:r>
      <w:r>
        <w:rPr>
          <w:rFonts w:ascii="Times New Roman" w:eastAsia="Times New Roman" w:hAnsi="Times New Roman" w:cs="Times New Roman"/>
        </w:rPr>
        <w:t xml:space="preserve"> is publicly available for download from the open Global Human Settlement Layer (GHSL) data. The shapefiles of administrative boundaries for the C40 cities are provided as supplemental data.</w:t>
      </w:r>
    </w:p>
    <w:p w14:paraId="22857B5D" w14:textId="77777777" w:rsidR="00BF0126" w:rsidRDefault="00BF0126" w:rsidP="00BF0126">
      <w:pPr>
        <w:pStyle w:val="Heading-Secondary"/>
        <w:ind w:left="0"/>
        <w:rPr>
          <w:b/>
          <w:bCs w:val="0"/>
        </w:rPr>
      </w:pPr>
      <w:r w:rsidRPr="00F436D6">
        <w:rPr>
          <w:b/>
          <w:bCs w:val="0"/>
        </w:rPr>
        <w:t>2.4. Cross-Sectional Flux (CSF) method</w:t>
      </w:r>
    </w:p>
    <w:p w14:paraId="75DA5242" w14:textId="77777777" w:rsidR="00BF0126" w:rsidRPr="00D36894" w:rsidRDefault="00BF0126" w:rsidP="00BF0126">
      <w:pPr>
        <w:pStyle w:val="Body"/>
        <w:spacing w:before="120"/>
        <w:jc w:val="both"/>
        <w:rPr>
          <w:rFonts w:ascii="Times New Roman" w:hAnsi="Times New Roman" w:cs="Times New Roman"/>
        </w:rPr>
      </w:pPr>
      <w:r>
        <w:rPr>
          <w:rFonts w:ascii="Times New Roman" w:hAnsi="Times New Roman" w:cs="Times New Roman"/>
        </w:rPr>
        <w:t>In this study, we adopt and refine the CSF method, previously applied to OCO-2’s single-swath XCO</w:t>
      </w:r>
      <w:r w:rsidRPr="007D243A">
        <w:rPr>
          <w:rFonts w:ascii="Times New Roman" w:hAnsi="Times New Roman" w:cs="Times New Roman"/>
          <w:vertAlign w:val="subscript"/>
        </w:rPr>
        <w:t>2</w:t>
      </w:r>
      <w:r>
        <w:rPr>
          <w:rFonts w:ascii="Times New Roman" w:hAnsi="Times New Roman" w:cs="Times New Roman"/>
        </w:rPr>
        <w:t xml:space="preserve"> data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{"citationID":"40Dd4jYJ","properties":{"formattedCitation":"(Reuter et al., 2019; Zheng et al., 2020)","plainCitation":"(Reuter et al., 2019; Zheng et al., 2020)","noteIndex":0},"citationItems":[{"id":220,"uris":["http://zotero.org/users/12959951/items/SGA9BYD6"],"itemData":{"id":220,"type":"article-journal","container-title":"Atmospheric Chemistry and Physics","DOI":"10.5194/acp-19-9371-2019","issue":"14","page":"9371–9383","title":"Towards monitoring localized CO2 emissions from space: co-located regional CO2 and NO2 enhancements observed by the OCO-2 and S5P satellites","volume":"19","author":[{"family":"Reuter","given":"M."},{"family":"Buchwitz","given":"M."},{"family":"Schneising","given":"O."},{"family":"Krautwurst","given":"S."},{"family":"O'Dell","given":"C. W."},{"family":"Richter","given":"A."},{"family":"Bovensmann","given":"H."},{"family":"Burrows","given":"J. P."}],"issued":{"date-parts":[["2019"]]}}},{"id":763,"uris":["http://zotero.org/users/12959951/items/MUSRLZL3"],"itemData":{"id":763,"type":"article-journal","container-title":"Atmospheric Chemistry and Physics","DOI":"10.5194/acp-20-8501-2020","issue":"14","page":"8501–8510","title":"Observing carbon dioxide emissions over China's cities and industrial areas with the Orbiting Carbon Observatory-2","volume":"20","author":[{"family":"Zheng","given":"B."},{"family":"Chevallier","given":"F."},{"family":"Ciais","given":"P."},{"family":"Broquet","given":"G."},{"family":"Wang","given":"Y."},{"family":"Lian","given":"J."},{"family":"Zhao","given":"Y."}],"issued":{"date-parts":[["2020"]]}}}],"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(Reuter et al., 2019; Zheng et al., 2020)</w:t>
      </w:r>
      <w:r w:rsidRPr="00472ADD">
        <w:rPr>
          <w:rFonts w:ascii="Times New Roman" w:hAnsi="Times New Roman" w:cs="Times New Roman"/>
        </w:rPr>
        <w:fldChar w:fldCharType="end"/>
      </w:r>
      <w:r>
        <w:rPr>
          <w:rFonts w:ascii="Times New Roman" w:hAnsi="Times New Roman" w:cs="Times New Roman"/>
        </w:rPr>
        <w:t>, to optimize utilization of OCO-3 SAM’s multi-swatch XCO</w:t>
      </w:r>
      <w:r w:rsidRPr="00167BA0">
        <w:rPr>
          <w:rFonts w:ascii="Times New Roman" w:hAnsi="Times New Roman" w:cs="Times New Roman"/>
          <w:vertAlign w:val="subscript"/>
        </w:rPr>
        <w:t>2</w:t>
      </w:r>
      <w:r>
        <w:rPr>
          <w:rFonts w:ascii="Times New Roman" w:hAnsi="Times New Roman" w:cs="Times New Roman"/>
        </w:rPr>
        <w:t xml:space="preserve"> data for estimating urban CO</w:t>
      </w:r>
      <w:r w:rsidRPr="00657C7A">
        <w:rPr>
          <w:rFonts w:ascii="Times New Roman" w:hAnsi="Times New Roman" w:cs="Times New Roman"/>
          <w:vertAlign w:val="subscript"/>
        </w:rPr>
        <w:t>2</w:t>
      </w:r>
      <w:r>
        <w:rPr>
          <w:rFonts w:ascii="Times New Roman" w:hAnsi="Times New Roman" w:cs="Times New Roman"/>
        </w:rPr>
        <w:t xml:space="preserve"> emissions. </w:t>
      </w:r>
    </w:p>
    <w:p w14:paraId="5392A603" w14:textId="77777777" w:rsidR="00BF0126" w:rsidRPr="00657C7A" w:rsidRDefault="00BF0126" w:rsidP="00BF0126">
      <w:pPr>
        <w:pStyle w:val="Heading-Secondary"/>
        <w:ind w:left="0"/>
        <w:rPr>
          <w:b/>
          <w:bCs w:val="0"/>
        </w:rPr>
      </w:pPr>
      <w:r w:rsidRPr="00F436D6">
        <w:rPr>
          <w:b/>
          <w:bCs w:val="0"/>
        </w:rPr>
        <w:t>2.4.</w:t>
      </w:r>
      <w:r>
        <w:rPr>
          <w:b/>
          <w:bCs w:val="0"/>
        </w:rPr>
        <w:t>1.</w:t>
      </w:r>
      <w:r w:rsidRPr="00F436D6">
        <w:rPr>
          <w:b/>
          <w:bCs w:val="0"/>
        </w:rPr>
        <w:t xml:space="preserve"> </w:t>
      </w:r>
      <w:r>
        <w:rPr>
          <w:b/>
          <w:bCs w:val="0"/>
        </w:rPr>
        <w:t>HYSPLIT Trajectories</w:t>
      </w:r>
    </w:p>
    <w:p w14:paraId="3BF79A7B" w14:textId="77777777" w:rsidR="00BF0126" w:rsidRDefault="00BF0126" w:rsidP="00BF0126">
      <w:pPr>
        <w:pStyle w:val="Body"/>
        <w:spacing w:before="120"/>
        <w:jc w:val="both"/>
        <w:rPr>
          <w:rFonts w:ascii="Times New Roman" w:hAnsi="Times New Roman" w:cs="Times New Roman"/>
        </w:rPr>
      </w:pPr>
      <w:r w:rsidRPr="00021432">
        <w:rPr>
          <w:rFonts w:ascii="Times New Roman" w:hAnsi="Times New Roman" w:cs="Times New Roman"/>
        </w:rPr>
        <w:t xml:space="preserve">First, we define </w:t>
      </w:r>
      <w:r>
        <w:rPr>
          <w:rFonts w:ascii="Times New Roman" w:hAnsi="Times New Roman" w:cs="Times New Roman"/>
        </w:rPr>
        <w:t xml:space="preserve">the </w:t>
      </w:r>
      <w:r w:rsidRPr="00021432">
        <w:rPr>
          <w:rFonts w:ascii="Times New Roman" w:hAnsi="Times New Roman" w:cs="Times New Roman"/>
        </w:rPr>
        <w:t>cross-sections of a city’s NO</w:t>
      </w:r>
      <w:r w:rsidRPr="00021432">
        <w:rPr>
          <w:rFonts w:ascii="Times New Roman" w:hAnsi="Times New Roman" w:cs="Times New Roman"/>
          <w:vertAlign w:val="subscript"/>
        </w:rPr>
        <w:t>2</w:t>
      </w:r>
      <w:r w:rsidRPr="00021432">
        <w:rPr>
          <w:rFonts w:ascii="Times New Roman" w:hAnsi="Times New Roman" w:cs="Times New Roman"/>
        </w:rPr>
        <w:t xml:space="preserve"> and CO</w:t>
      </w:r>
      <w:r w:rsidRPr="00021432">
        <w:rPr>
          <w:rFonts w:ascii="Times New Roman" w:hAnsi="Times New Roman" w:cs="Times New Roman"/>
          <w:vertAlign w:val="subscript"/>
        </w:rPr>
        <w:t>2</w:t>
      </w:r>
      <w:r w:rsidRPr="00021432">
        <w:rPr>
          <w:rFonts w:ascii="Times New Roman" w:hAnsi="Times New Roman" w:cs="Times New Roman"/>
        </w:rPr>
        <w:t xml:space="preserve"> plumes by computing two separate</w:t>
      </w:r>
      <w:r>
        <w:rPr>
          <w:rFonts w:ascii="Times New Roman" w:hAnsi="Times New Roman" w:cs="Times New Roman"/>
        </w:rPr>
        <w:t xml:space="preserve"> trajectories using</w:t>
      </w:r>
      <w:r w:rsidRPr="00021432">
        <w:rPr>
          <w:rFonts w:ascii="Times New Roman" w:hAnsi="Times New Roman" w:cs="Times New Roman"/>
        </w:rPr>
        <w:t xml:space="preserve"> </w:t>
      </w:r>
      <w:r>
        <w:rPr>
          <w:rFonts w:ascii="Times New Roman" w:hAnsi="Times New Roman" w:cs="Times New Roman"/>
        </w:rPr>
        <w:t xml:space="preserve">the </w:t>
      </w:r>
      <w:r w:rsidRPr="00472ADD">
        <w:rPr>
          <w:rFonts w:ascii="Times New Roman" w:hAnsi="Times New Roman" w:cs="Times New Roman"/>
        </w:rPr>
        <w:t xml:space="preserve">Hybrid Singe-Particle Lagrangian Integrated Trajectory (HYSPLIT) </w:t>
      </w:r>
      <w:r w:rsidRPr="00021432">
        <w:rPr>
          <w:rFonts w:ascii="Times New Roman" w:hAnsi="Times New Roman" w:cs="Times New Roman"/>
        </w:rPr>
        <w:t>model</w:t>
      </w:r>
      <w:r>
        <w:rPr>
          <w:rFonts w:ascii="Times New Roman" w:hAnsi="Times New Roman" w:cs="Times New Roman"/>
        </w:rPr>
        <w:t xml:space="preserve"> </w:t>
      </w:r>
      <w:r w:rsidRPr="00472ADD">
        <w:rPr>
          <w:rFonts w:ascii="Times New Roman" w:hAnsi="Times New Roman" w:cs="Times New Roman"/>
        </w:rPr>
        <w:fldChar w:fldCharType="begin"/>
      </w:r>
      <w:r>
        <w:rPr>
          <w:rFonts w:ascii="Times New Roman" w:hAnsi="Times New Roman" w:cs="Times New Roman"/>
        </w:rPr>
        <w:instrText xml:space="preserve"> ADDIN ZOTERO_ITEM CSL_CITATION {"citationID":"hTMg4KMh","properties":{"formattedCitation":"(Stein et al., 2015)","plainCitation":"(Stein et al., 2015)","noteIndex":0},"citationItems":[{"id":795,"uris":["http://zotero.org/users/12959951/items/QAN3836A"],"itemData":{"id":795,"type":"article-journal","container-title":"Bulletin of the American Meteorological Society","DOI":"10.1175/BAMS-D-14-00110.1","issue":"12","note":"publisher-place: Boston MA, USA\npublisher: American Meteorological Society","page":"2059 - 2077","title":"NOAA’s HYSPLIT Atmospheric Transport and Dispersion Modeling System","volume":"96","author":[{"family":"Stein","given":"A. F."},{"family":"Draxler","given":"R. R."},{"family":"Rolph","given":"G. D."},{"family":"Stunder","given":"B. J. B."},{"family":"Cohen","given":"M. D."},{"family":"Ngan","given":"F."}],"issued":{"date-parts":[["2015"]]}}}],"schema":"https://github.com/citation-style-language/schema/raw/master/csl-citation.json"} </w:instrText>
      </w:r>
      <w:r w:rsidRPr="00472ADD">
        <w:rPr>
          <w:rFonts w:ascii="Times New Roman" w:hAnsi="Times New Roman" w:cs="Times New Roman"/>
        </w:rPr>
        <w:fldChar w:fldCharType="separate"/>
      </w:r>
      <w:r>
        <w:rPr>
          <w:rFonts w:ascii="Times New Roman" w:hAnsi="Times New Roman" w:cs="Times New Roman"/>
        </w:rPr>
        <w:t>(Stein et al., 2015)</w:t>
      </w:r>
      <w:r w:rsidRPr="00472ADD">
        <w:rPr>
          <w:rFonts w:ascii="Times New Roman" w:hAnsi="Times New Roman" w:cs="Times New Roman"/>
        </w:rPr>
        <w:fldChar w:fldCharType="end"/>
      </w:r>
      <w:r w:rsidRPr="00021432">
        <w:rPr>
          <w:rFonts w:ascii="Times New Roman" w:hAnsi="Times New Roman" w:cs="Times New Roman"/>
        </w:rPr>
        <w:t xml:space="preserve">. A </w:t>
      </w:r>
      <w:r>
        <w:rPr>
          <w:rFonts w:ascii="Times New Roman" w:hAnsi="Times New Roman" w:cs="Times New Roman"/>
        </w:rPr>
        <w:t>six-</w:t>
      </w:r>
      <w:r w:rsidRPr="00021432">
        <w:rPr>
          <w:rFonts w:ascii="Times New Roman" w:hAnsi="Times New Roman" w:cs="Times New Roman"/>
        </w:rPr>
        <w:t>hour</w:t>
      </w:r>
      <w:r>
        <w:rPr>
          <w:rFonts w:ascii="Times New Roman" w:hAnsi="Times New Roman" w:cs="Times New Roman"/>
        </w:rPr>
        <w:t xml:space="preserve"> forward</w:t>
      </w:r>
      <w:r w:rsidRPr="00021432">
        <w:rPr>
          <w:rFonts w:ascii="Times New Roman" w:hAnsi="Times New Roman" w:cs="Times New Roman"/>
        </w:rPr>
        <w:t xml:space="preserve"> trajectory</w:t>
      </w:r>
      <w:r>
        <w:rPr>
          <w:rFonts w:ascii="Times New Roman" w:hAnsi="Times New Roman" w:cs="Times New Roman"/>
        </w:rPr>
        <w:t>,</w:t>
      </w:r>
      <w:r w:rsidRPr="00021432">
        <w:rPr>
          <w:rFonts w:ascii="Times New Roman" w:hAnsi="Times New Roman" w:cs="Times New Roman"/>
        </w:rPr>
        <w:t xml:space="preserve"> starting </w:t>
      </w:r>
      <w:r>
        <w:rPr>
          <w:rFonts w:ascii="Times New Roman" w:hAnsi="Times New Roman" w:cs="Times New Roman"/>
        </w:rPr>
        <w:t xml:space="preserve">2 hours before </w:t>
      </w:r>
      <w:r w:rsidRPr="00021432">
        <w:rPr>
          <w:rFonts w:ascii="Times New Roman" w:hAnsi="Times New Roman" w:cs="Times New Roman"/>
        </w:rPr>
        <w:t xml:space="preserve">TROPOMI (or OCO-3) overpass time from the city’s </w:t>
      </w:r>
      <w:r>
        <w:rPr>
          <w:rFonts w:ascii="Times New Roman" w:hAnsi="Times New Roman" w:cs="Times New Roman"/>
        </w:rPr>
        <w:t>geographical center (i.e., UC or administrative boundary),</w:t>
      </w:r>
      <w:r w:rsidRPr="00021432">
        <w:rPr>
          <w:rFonts w:ascii="Times New Roman" w:hAnsi="Times New Roman" w:cs="Times New Roman"/>
        </w:rPr>
        <w:t xml:space="preserve"> </w:t>
      </w:r>
      <w:r>
        <w:rPr>
          <w:rFonts w:ascii="Times New Roman" w:hAnsi="Times New Roman" w:cs="Times New Roman"/>
        </w:rPr>
        <w:t>is</w:t>
      </w:r>
      <w:r w:rsidRPr="00021432">
        <w:rPr>
          <w:rFonts w:ascii="Times New Roman" w:hAnsi="Times New Roman" w:cs="Times New Roman"/>
        </w:rPr>
        <w:t xml:space="preserve"> computed using </w:t>
      </w:r>
      <w:r w:rsidRPr="00021432">
        <w:rPr>
          <w:rFonts w:ascii="Times New Roman" w:hAnsi="Times New Roman"/>
        </w:rPr>
        <w:t xml:space="preserve">ECMWF Reanalysis v5 (ERA5) meteorology </w:t>
      </w:r>
      <w:r w:rsidRPr="00021432">
        <w:rPr>
          <w:rFonts w:ascii="Times New Roman" w:hAnsi="Times New Roman"/>
        </w:rPr>
        <w:fldChar w:fldCharType="begin"/>
      </w:r>
      <w:r>
        <w:rPr>
          <w:rFonts w:ascii="Times New Roman" w:hAnsi="Times New Roman"/>
        </w:rPr>
        <w:instrText xml:space="preserve"> ADDIN ZOTERO_ITEM CSL_CITATION {"citationID":"U6KXAPO5","properties":{"formattedCitation":"(Hersbach et al., 2020)","plainCitation":"(Hersbach et al., 2020)","noteIndex":0},"citationItems":[{"id":949,"uris":["http://zotero.org/users/12959951/items/3KQT56G8"],"itemData":{"id":949,"type":"article-journal","abstract":"Abstract 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Society","DOI":"https://doi.org/10.1002/qj.3803","issue":"730","note":"_eprint: https://rmets.onlinelibrary.wiley.com/doi/pdf/10.1002/qj.3803","page":"1999-2049","title":"The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Rosnay","given":"Patricia","non-dropping-particle":"de"},{"family":"Rozum","given":"Iryna"},{"family":"Vamborg","given":"Freja"},{"family":"Villaume","given":"Sebastien"},{"family":"Thépaut","given":"Jean-Noël"}],"issued":{"date-parts":[["2020"]]}}}],"schema":"https://github.com/citation-style-language/schema/raw/master/csl-citation.json"} </w:instrText>
      </w:r>
      <w:r w:rsidRPr="00021432">
        <w:rPr>
          <w:rFonts w:ascii="Times New Roman" w:hAnsi="Times New Roman"/>
        </w:rPr>
        <w:fldChar w:fldCharType="separate"/>
      </w:r>
      <w:r>
        <w:rPr>
          <w:rFonts w:ascii="Times New Roman" w:hAnsi="Times New Roman" w:cs="Times New Roman"/>
        </w:rPr>
        <w:t>(Hersbach et al., 2020)</w:t>
      </w:r>
      <w:r w:rsidRPr="00021432">
        <w:rPr>
          <w:rFonts w:ascii="Times New Roman" w:hAnsi="Times New Roman"/>
        </w:rPr>
        <w:fldChar w:fldCharType="end"/>
      </w:r>
      <w:r w:rsidRPr="00021432">
        <w:rPr>
          <w:rFonts w:ascii="Times New Roman" w:hAnsi="Times New Roman"/>
        </w:rPr>
        <w:t>.</w:t>
      </w:r>
      <w:r w:rsidRPr="00021432">
        <w:rPr>
          <w:rFonts w:ascii="Times New Roman" w:hAnsi="Times New Roman" w:cs="Times New Roman"/>
        </w:rPr>
        <w:t xml:space="preserve"> </w:t>
      </w:r>
    </w:p>
    <w:p w14:paraId="24EE2EE9" w14:textId="77777777" w:rsidR="00BF0126" w:rsidRDefault="00BF0126" w:rsidP="00BF0126">
      <w:pPr>
        <w:pStyle w:val="Body"/>
        <w:spacing w:before="120"/>
        <w:jc w:val="both"/>
        <w:rPr>
          <w:rFonts w:ascii="Times New Roman" w:hAnsi="Times New Roman"/>
        </w:rPr>
      </w:pPr>
      <w:r>
        <w:rPr>
          <w:rFonts w:ascii="Times New Roman" w:hAnsi="Times New Roman" w:cs="Times New Roman"/>
        </w:rPr>
        <w:t xml:space="preserve">The trajectory’s starting time―two hours ahead of satellite overpass― is determined based on a sensitivity study evaluating the impact of varying start times ranging from three hours before to exact overpass time (Table S2). The </w:t>
      </w:r>
      <w:r w:rsidRPr="00021432">
        <w:rPr>
          <w:rFonts w:ascii="Times New Roman" w:hAnsi="Times New Roman"/>
        </w:rPr>
        <w:t xml:space="preserve">Copernicus Data Service </w:t>
      </w:r>
      <w:r>
        <w:rPr>
          <w:rFonts w:ascii="Times New Roman" w:hAnsi="Times New Roman"/>
        </w:rPr>
        <w:t>(</w:t>
      </w:r>
      <w:r w:rsidRPr="00021432">
        <w:rPr>
          <w:rFonts w:ascii="Times New Roman" w:hAnsi="Times New Roman"/>
        </w:rPr>
        <w:t>CDS</w:t>
      </w:r>
      <w:r>
        <w:rPr>
          <w:rFonts w:ascii="Times New Roman" w:hAnsi="Times New Roman"/>
        </w:rPr>
        <w:t>)</w:t>
      </w:r>
      <w:r w:rsidRPr="00021432">
        <w:rPr>
          <w:rFonts w:ascii="Times New Roman" w:hAnsi="Times New Roman"/>
        </w:rPr>
        <w:t xml:space="preserve"> API </w:t>
      </w:r>
      <w:r>
        <w:rPr>
          <w:rFonts w:ascii="Times New Roman" w:hAnsi="Times New Roman"/>
        </w:rPr>
        <w:t>i</w:t>
      </w:r>
      <w:r w:rsidRPr="00021432">
        <w:rPr>
          <w:rFonts w:ascii="Times New Roman" w:hAnsi="Times New Roman"/>
        </w:rPr>
        <w:t xml:space="preserve">s used to automatically retrieve </w:t>
      </w:r>
      <w:r>
        <w:rPr>
          <w:rFonts w:ascii="Times New Roman" w:hAnsi="Times New Roman"/>
        </w:rPr>
        <w:t xml:space="preserve">ERA5 </w:t>
      </w:r>
      <w:r w:rsidRPr="00021432">
        <w:rPr>
          <w:rFonts w:ascii="Times New Roman" w:hAnsi="Times New Roman"/>
        </w:rPr>
        <w:t>spatiotemporal subset for OCO3/TROPOMI overpasses over C40 cities.</w:t>
      </w:r>
    </w:p>
    <w:p w14:paraId="608A6C65" w14:textId="77777777" w:rsidR="00BF0126" w:rsidRPr="0076334A" w:rsidRDefault="00BF0126" w:rsidP="00BF0126">
      <w:pPr>
        <w:pStyle w:val="Body"/>
        <w:spacing w:before="120"/>
        <w:jc w:val="both"/>
        <w:rPr>
          <w:rFonts w:ascii="Times New Roman" w:hAnsi="Times New Roman" w:cs="Times New Roman"/>
        </w:rPr>
      </w:pPr>
      <w:r w:rsidRPr="00021432">
        <w:rPr>
          <w:rFonts w:ascii="Times New Roman" w:hAnsi="Times New Roman"/>
        </w:rPr>
        <w:t xml:space="preserve">Once the two trajectories are computed, cross-sections of </w:t>
      </w:r>
      <w:r>
        <w:rPr>
          <w:rFonts w:ascii="Times New Roman" w:hAnsi="Times New Roman"/>
        </w:rPr>
        <w:t xml:space="preserve">a </w:t>
      </w:r>
      <w:r w:rsidRPr="00021432">
        <w:rPr>
          <w:rFonts w:ascii="Times New Roman" w:hAnsi="Times New Roman"/>
        </w:rPr>
        <w:t>city’s NO</w:t>
      </w:r>
      <w:r w:rsidRPr="00021432">
        <w:rPr>
          <w:rFonts w:ascii="Times New Roman" w:hAnsi="Times New Roman"/>
          <w:vertAlign w:val="subscript"/>
        </w:rPr>
        <w:t>2</w:t>
      </w:r>
      <w:r w:rsidRPr="00021432">
        <w:rPr>
          <w:rFonts w:ascii="Times New Roman" w:hAnsi="Times New Roman"/>
        </w:rPr>
        <w:t xml:space="preserve"> and CO</w:t>
      </w:r>
      <w:r w:rsidRPr="00021432">
        <w:rPr>
          <w:rFonts w:ascii="Times New Roman" w:hAnsi="Times New Roman"/>
          <w:vertAlign w:val="subscript"/>
        </w:rPr>
        <w:t>2</w:t>
      </w:r>
      <w:r w:rsidRPr="00021432">
        <w:rPr>
          <w:rFonts w:ascii="Times New Roman" w:hAnsi="Times New Roman"/>
        </w:rPr>
        <w:t xml:space="preserve"> plume</w:t>
      </w:r>
      <w:r>
        <w:rPr>
          <w:rFonts w:ascii="Times New Roman" w:hAnsi="Times New Roman"/>
        </w:rPr>
        <w:t xml:space="preserve">s </w:t>
      </w:r>
      <w:r w:rsidRPr="00021432">
        <w:rPr>
          <w:rFonts w:ascii="Times New Roman" w:hAnsi="Times New Roman"/>
        </w:rPr>
        <w:t xml:space="preserve">are defined by drawing </w:t>
      </w:r>
      <w:r>
        <w:rPr>
          <w:rFonts w:ascii="Times New Roman" w:hAnsi="Times New Roman"/>
        </w:rPr>
        <w:t xml:space="preserve">orthogonal </w:t>
      </w:r>
      <w:r w:rsidRPr="00021432">
        <w:rPr>
          <w:rFonts w:ascii="Times New Roman" w:hAnsi="Times New Roman"/>
        </w:rPr>
        <w:t>cross</w:t>
      </w:r>
      <w:r>
        <w:rPr>
          <w:rFonts w:ascii="Times New Roman" w:hAnsi="Times New Roman"/>
        </w:rPr>
        <w:t>-</w:t>
      </w:r>
      <w:r w:rsidRPr="00021432">
        <w:rPr>
          <w:rFonts w:ascii="Times New Roman" w:hAnsi="Times New Roman"/>
        </w:rPr>
        <w:t xml:space="preserve">sectional lines </w:t>
      </w:r>
      <w:r>
        <w:rPr>
          <w:rFonts w:ascii="Times New Roman" w:hAnsi="Times New Roman"/>
        </w:rPr>
        <w:t>along at 15-minute intervals</w:t>
      </w:r>
      <w:r w:rsidRPr="00021432">
        <w:rPr>
          <w:rFonts w:ascii="Times New Roman" w:hAnsi="Times New Roman"/>
        </w:rPr>
        <w:t xml:space="preserve"> (dashed lines in </w:t>
      </w:r>
      <w:r>
        <w:rPr>
          <w:rFonts w:ascii="Times New Roman" w:hAnsi="Times New Roman"/>
        </w:rPr>
        <w:t>Figure</w:t>
      </w:r>
      <w:r w:rsidRPr="00021432">
        <w:rPr>
          <w:rFonts w:ascii="Times New Roman" w:hAnsi="Times New Roman"/>
        </w:rPr>
        <w:t xml:space="preserve"> </w:t>
      </w:r>
      <w:r>
        <w:rPr>
          <w:rFonts w:ascii="Times New Roman" w:hAnsi="Times New Roman"/>
        </w:rPr>
        <w:t>1</w:t>
      </w:r>
      <w:r w:rsidRPr="00021432">
        <w:rPr>
          <w:rFonts w:ascii="Times New Roman" w:hAnsi="Times New Roman"/>
        </w:rPr>
        <w:t>). NO</w:t>
      </w:r>
      <w:r w:rsidRPr="00021432">
        <w:rPr>
          <w:rFonts w:ascii="Times New Roman" w:hAnsi="Times New Roman"/>
          <w:vertAlign w:val="subscript"/>
        </w:rPr>
        <w:t>2</w:t>
      </w:r>
      <w:r w:rsidRPr="00021432">
        <w:rPr>
          <w:rFonts w:ascii="Times New Roman" w:hAnsi="Times New Roman"/>
        </w:rPr>
        <w:t xml:space="preserve"> </w:t>
      </w:r>
      <w:r>
        <w:rPr>
          <w:rFonts w:ascii="Times New Roman" w:hAnsi="Times New Roman"/>
        </w:rPr>
        <w:t>and</w:t>
      </w:r>
      <w:r w:rsidRPr="00021432">
        <w:rPr>
          <w:rFonts w:ascii="Times New Roman" w:hAnsi="Times New Roman"/>
        </w:rPr>
        <w:t xml:space="preserve"> </w:t>
      </w:r>
      <w:r>
        <w:rPr>
          <w:rFonts w:ascii="Times New Roman" w:hAnsi="Times New Roman"/>
        </w:rPr>
        <w:t>X</w:t>
      </w:r>
      <w:r w:rsidRPr="00021432">
        <w:rPr>
          <w:rFonts w:ascii="Times New Roman" w:hAnsi="Times New Roman"/>
        </w:rPr>
        <w:t>CO</w:t>
      </w:r>
      <w:r w:rsidRPr="00021432">
        <w:rPr>
          <w:rFonts w:ascii="Times New Roman" w:hAnsi="Times New Roman"/>
          <w:vertAlign w:val="subscript"/>
        </w:rPr>
        <w:t>2</w:t>
      </w:r>
      <w:r w:rsidRPr="00021432">
        <w:rPr>
          <w:rFonts w:ascii="Times New Roman" w:hAnsi="Times New Roman"/>
        </w:rPr>
        <w:t xml:space="preserve"> measurements within ± 0.</w:t>
      </w:r>
      <w:r>
        <w:rPr>
          <w:rFonts w:ascii="Times New Roman" w:hAnsi="Times New Roman"/>
        </w:rPr>
        <w:t>08</w:t>
      </w:r>
      <w:r w:rsidRPr="00021432">
        <w:rPr>
          <w:rFonts w:ascii="Times New Roman" w:hAnsi="Times New Roman"/>
        </w:rPr>
        <w:t xml:space="preserve">° </w:t>
      </w:r>
      <w:r>
        <w:rPr>
          <w:rFonts w:ascii="Times New Roman" w:hAnsi="Times New Roman"/>
        </w:rPr>
        <w:t>and</w:t>
      </w:r>
      <w:r w:rsidRPr="00021432">
        <w:rPr>
          <w:rFonts w:ascii="Times New Roman" w:hAnsi="Times New Roman"/>
        </w:rPr>
        <w:t xml:space="preserve"> ± 0.03° </w:t>
      </w:r>
      <w:r>
        <w:rPr>
          <w:rFonts w:ascii="Times New Roman" w:hAnsi="Times New Roman"/>
        </w:rPr>
        <w:t>of these</w:t>
      </w:r>
      <w:r w:rsidRPr="00021432">
        <w:rPr>
          <w:rFonts w:ascii="Times New Roman" w:hAnsi="Times New Roman"/>
        </w:rPr>
        <w:t xml:space="preserve"> lines</w:t>
      </w:r>
      <w:r>
        <w:rPr>
          <w:rFonts w:ascii="Times New Roman" w:hAnsi="Times New Roman"/>
        </w:rPr>
        <w:t>, respectively,</w:t>
      </w:r>
      <w:r w:rsidRPr="00021432">
        <w:rPr>
          <w:rFonts w:ascii="Times New Roman" w:hAnsi="Times New Roman"/>
        </w:rPr>
        <w:t xml:space="preserve"> are sampled for Gaussian-curve fitting (grey circles in </w:t>
      </w:r>
      <w:r>
        <w:rPr>
          <w:rFonts w:ascii="Times New Roman" w:hAnsi="Times New Roman"/>
        </w:rPr>
        <w:t>Figure</w:t>
      </w:r>
      <w:r w:rsidRPr="00021432">
        <w:rPr>
          <w:rFonts w:ascii="Times New Roman" w:hAnsi="Times New Roman"/>
        </w:rPr>
        <w:t xml:space="preserve"> </w:t>
      </w:r>
      <w:r>
        <w:rPr>
          <w:rFonts w:ascii="Times New Roman" w:hAnsi="Times New Roman"/>
        </w:rPr>
        <w:t>1</w:t>
      </w:r>
      <w:r w:rsidRPr="00021432">
        <w:rPr>
          <w:rFonts w:ascii="Times New Roman" w:hAnsi="Times New Roman"/>
        </w:rPr>
        <w:t>).</w:t>
      </w:r>
    </w:p>
    <w:p w14:paraId="396D5108" w14:textId="77777777" w:rsidR="00BF0126" w:rsidRDefault="00BF0126" w:rsidP="00BF0126">
      <w:pPr>
        <w:pStyle w:val="Body"/>
        <w:spacing w:before="120"/>
        <w:jc w:val="both"/>
        <w:rPr>
          <w:rFonts w:ascii="Times New Roman" w:hAnsi="Times New Roman"/>
        </w:rPr>
      </w:pPr>
      <w:r>
        <w:rPr>
          <w:rFonts w:ascii="Times New Roman" w:hAnsi="Times New Roman"/>
          <w:noProof/>
          <w14:textOutline w14:w="0" w14:cap="rnd" w14:cmpd="sng" w14:algn="ctr">
            <w14:noFill/>
            <w14:prstDash w14:val="solid"/>
            <w14:bevel/>
          </w14:textOutline>
        </w:rPr>
        <w:lastRenderedPageBreak/>
        <w:drawing>
          <wp:inline distT="0" distB="0" distL="0" distR="0" wp14:anchorId="69977046" wp14:editId="71BB2132">
            <wp:extent cx="5943600" cy="5932170"/>
            <wp:effectExtent l="0" t="0" r="0" b="0"/>
            <wp:docPr id="198913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7779" name="Picture 1989137779"/>
                    <pic:cNvPicPr/>
                  </pic:nvPicPr>
                  <pic:blipFill>
                    <a:blip r:embed="rId8"/>
                    <a:stretch>
                      <a:fillRect/>
                    </a:stretch>
                  </pic:blipFill>
                  <pic:spPr>
                    <a:xfrm>
                      <a:off x="0" y="0"/>
                      <a:ext cx="5943600" cy="5932170"/>
                    </a:xfrm>
                    <a:prstGeom prst="rect">
                      <a:avLst/>
                    </a:prstGeom>
                  </pic:spPr>
                </pic:pic>
              </a:graphicData>
            </a:graphic>
          </wp:inline>
        </w:drawing>
      </w:r>
    </w:p>
    <w:p w14:paraId="31CA80CA" w14:textId="77777777" w:rsidR="00BF0126" w:rsidRDefault="00BF0126" w:rsidP="00BF0126">
      <w:pPr>
        <w:pStyle w:val="Body"/>
        <w:spacing w:before="120"/>
        <w:jc w:val="both"/>
        <w:rPr>
          <w:rFonts w:ascii="Times New Roman" w:hAnsi="Times New Roman"/>
        </w:rPr>
      </w:pPr>
      <w:r>
        <w:rPr>
          <w:rFonts w:ascii="Times New Roman" w:eastAsia="Times New Roman" w:hAnsi="Times New Roman" w:cs="Times New Roman"/>
          <w:b/>
          <w:bCs/>
        </w:rPr>
        <w:t>Figure</w:t>
      </w:r>
      <w:r w:rsidRPr="00021432">
        <w:rPr>
          <w:rFonts w:ascii="Times New Roman" w:eastAsia="Times New Roman" w:hAnsi="Times New Roman" w:cs="Times New Roman"/>
          <w:b/>
          <w:bCs/>
        </w:rPr>
        <w:t xml:space="preserve"> </w:t>
      </w:r>
      <w:r>
        <w:rPr>
          <w:rFonts w:ascii="Times New Roman" w:eastAsia="Times New Roman" w:hAnsi="Times New Roman" w:cs="Times New Roman"/>
          <w:b/>
          <w:bCs/>
        </w:rPr>
        <w:t>1</w:t>
      </w:r>
      <w:r w:rsidRPr="00021432">
        <w:rPr>
          <w:rFonts w:ascii="Times New Roman" w:eastAsia="Times New Roman" w:hAnsi="Times New Roman" w:cs="Times New Roman"/>
          <w:b/>
          <w:bCs/>
        </w:rPr>
        <w:t xml:space="preserve">. </w:t>
      </w:r>
      <w:r>
        <w:rPr>
          <w:rFonts w:ascii="Times New Roman" w:eastAsia="Times New Roman" w:hAnsi="Times New Roman" w:cs="Times New Roman"/>
        </w:rPr>
        <w:t>O</w:t>
      </w:r>
      <w:r w:rsidRPr="00021432">
        <w:rPr>
          <w:rFonts w:ascii="Times New Roman" w:eastAsia="Times New Roman" w:hAnsi="Times New Roman" w:cs="Times New Roman"/>
        </w:rPr>
        <w:t>verview of the cross-sectional flux method. (</w:t>
      </w:r>
      <w:r>
        <w:rPr>
          <w:rFonts w:ascii="Times New Roman" w:eastAsia="Times New Roman" w:hAnsi="Times New Roman" w:cs="Times New Roman"/>
        </w:rPr>
        <w:t>A</w:t>
      </w:r>
      <w:r w:rsidRPr="00021432">
        <w:rPr>
          <w:rFonts w:ascii="Times New Roman" w:eastAsia="Times New Roman" w:hAnsi="Times New Roman" w:cs="Times New Roman"/>
        </w:rPr>
        <w:t>) TROPOMI tropospheric column NO</w:t>
      </w:r>
      <w:r w:rsidRPr="00021432">
        <w:rPr>
          <w:rFonts w:ascii="Times New Roman" w:eastAsia="Times New Roman" w:hAnsi="Times New Roman" w:cs="Times New Roman"/>
          <w:vertAlign w:val="subscript"/>
        </w:rPr>
        <w:t>2</w:t>
      </w:r>
      <w:r w:rsidRPr="00021432">
        <w:rPr>
          <w:rFonts w:ascii="Times New Roman" w:eastAsia="Times New Roman" w:hAnsi="Times New Roman" w:cs="Times New Roman"/>
        </w:rPr>
        <w:t xml:space="preserve"> measurements over New Delhi on February 7</w:t>
      </w:r>
      <w:r w:rsidRPr="00021432">
        <w:rPr>
          <w:rFonts w:ascii="Times New Roman" w:eastAsia="Times New Roman" w:hAnsi="Times New Roman" w:cs="Times New Roman"/>
          <w:vertAlign w:val="superscript"/>
        </w:rPr>
        <w:t>th</w:t>
      </w:r>
      <w:r w:rsidRPr="00021432">
        <w:rPr>
          <w:rFonts w:ascii="Times New Roman" w:eastAsia="Times New Roman" w:hAnsi="Times New Roman" w:cs="Times New Roman"/>
        </w:rPr>
        <w:t xml:space="preserve">, 2021. </w:t>
      </w:r>
      <w:r>
        <w:rPr>
          <w:rFonts w:ascii="Times New Roman" w:eastAsia="Times New Roman" w:hAnsi="Times New Roman" w:cs="Times New Roman"/>
        </w:rPr>
        <w:t>The</w:t>
      </w:r>
      <w:r w:rsidRPr="00021432">
        <w:rPr>
          <w:rFonts w:ascii="Times New Roman" w:eastAsia="Times New Roman" w:hAnsi="Times New Roman" w:cs="Times New Roman"/>
        </w:rPr>
        <w:t xml:space="preserve"> </w:t>
      </w:r>
      <w:r>
        <w:rPr>
          <w:rFonts w:ascii="Times New Roman" w:eastAsia="Times New Roman" w:hAnsi="Times New Roman" w:cs="Times New Roman"/>
        </w:rPr>
        <w:t>black</w:t>
      </w:r>
      <w:r w:rsidRPr="00021432">
        <w:rPr>
          <w:rFonts w:ascii="Times New Roman" w:eastAsia="Times New Roman" w:hAnsi="Times New Roman" w:cs="Times New Roman"/>
        </w:rPr>
        <w:t xml:space="preserve"> line </w:t>
      </w:r>
      <w:r>
        <w:rPr>
          <w:rFonts w:ascii="Times New Roman" w:eastAsia="Times New Roman" w:hAnsi="Times New Roman" w:cs="Times New Roman"/>
        </w:rPr>
        <w:t>is</w:t>
      </w:r>
      <w:r w:rsidRPr="00021432">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Pr="00021432">
        <w:rPr>
          <w:rFonts w:ascii="Times New Roman" w:eastAsia="Times New Roman" w:hAnsi="Times New Roman" w:cs="Times New Roman"/>
        </w:rPr>
        <w:t xml:space="preserve">HYSPLIT trajectory, </w:t>
      </w:r>
      <w:r>
        <w:rPr>
          <w:rFonts w:ascii="Times New Roman" w:eastAsia="Times New Roman" w:hAnsi="Times New Roman" w:cs="Times New Roman"/>
        </w:rPr>
        <w:t xml:space="preserve">while </w:t>
      </w:r>
      <w:r w:rsidRPr="00021432">
        <w:rPr>
          <w:rFonts w:ascii="Times New Roman" w:eastAsia="Times New Roman" w:hAnsi="Times New Roman" w:cs="Times New Roman"/>
        </w:rPr>
        <w:t xml:space="preserve">dotted lines </w:t>
      </w:r>
      <w:r>
        <w:rPr>
          <w:rFonts w:ascii="Times New Roman" w:eastAsia="Times New Roman" w:hAnsi="Times New Roman" w:cs="Times New Roman"/>
        </w:rPr>
        <w:t>are</w:t>
      </w:r>
      <w:r w:rsidRPr="00021432">
        <w:rPr>
          <w:rFonts w:ascii="Times New Roman" w:eastAsia="Times New Roman" w:hAnsi="Times New Roman" w:cs="Times New Roman"/>
        </w:rPr>
        <w:t xml:space="preserve"> orthogonal lines </w:t>
      </w:r>
      <w:r>
        <w:rPr>
          <w:rFonts w:ascii="Times New Roman" w:eastAsia="Times New Roman" w:hAnsi="Times New Roman" w:cs="Times New Roman"/>
        </w:rPr>
        <w:t>used</w:t>
      </w:r>
      <w:r w:rsidRPr="00021432">
        <w:rPr>
          <w:rFonts w:ascii="Times New Roman" w:eastAsia="Times New Roman" w:hAnsi="Times New Roman" w:cs="Times New Roman"/>
        </w:rPr>
        <w:t xml:space="preserve"> </w:t>
      </w:r>
      <w:r>
        <w:rPr>
          <w:rFonts w:ascii="Times New Roman" w:eastAsia="Times New Roman" w:hAnsi="Times New Roman" w:cs="Times New Roman"/>
        </w:rPr>
        <w:t>for</w:t>
      </w:r>
      <w:r w:rsidRPr="00021432">
        <w:rPr>
          <w:rFonts w:ascii="Times New Roman" w:eastAsia="Times New Roman" w:hAnsi="Times New Roman" w:cs="Times New Roman"/>
        </w:rPr>
        <w:t xml:space="preserve"> calculat</w:t>
      </w:r>
      <w:r>
        <w:rPr>
          <w:rFonts w:ascii="Times New Roman" w:eastAsia="Times New Roman" w:hAnsi="Times New Roman" w:cs="Times New Roman"/>
        </w:rPr>
        <w:t>ing</w:t>
      </w:r>
      <w:r w:rsidRPr="00021432">
        <w:rPr>
          <w:rFonts w:ascii="Times New Roman" w:eastAsia="Times New Roman" w:hAnsi="Times New Roman" w:cs="Times New Roman"/>
        </w:rPr>
        <w:t xml:space="preserve"> cross-sectional fluxes</w:t>
      </w:r>
      <w:r>
        <w:rPr>
          <w:rFonts w:ascii="Times New Roman" w:eastAsia="Times New Roman" w:hAnsi="Times New Roman" w:cs="Times New Roman"/>
        </w:rPr>
        <w:t>,</w:t>
      </w:r>
      <w:r w:rsidRPr="00021432">
        <w:rPr>
          <w:rFonts w:ascii="Times New Roman" w:eastAsia="Times New Roman" w:hAnsi="Times New Roman" w:cs="Times New Roman"/>
        </w:rPr>
        <w:t xml:space="preserve"> defined </w:t>
      </w:r>
      <w:r>
        <w:rPr>
          <w:rFonts w:ascii="Times New Roman" w:eastAsia="Times New Roman" w:hAnsi="Times New Roman" w:cs="Times New Roman"/>
        </w:rPr>
        <w:t xml:space="preserve">at </w:t>
      </w:r>
      <w:r w:rsidRPr="00021432">
        <w:rPr>
          <w:rFonts w:ascii="Times New Roman" w:eastAsia="Times New Roman" w:hAnsi="Times New Roman" w:cs="Times New Roman"/>
        </w:rPr>
        <w:t>15</w:t>
      </w:r>
      <w:r>
        <w:rPr>
          <w:rFonts w:ascii="Times New Roman" w:eastAsia="Times New Roman" w:hAnsi="Times New Roman" w:cs="Times New Roman"/>
        </w:rPr>
        <w:t>-</w:t>
      </w:r>
      <w:r w:rsidRPr="00021432">
        <w:rPr>
          <w:rFonts w:ascii="Times New Roman" w:eastAsia="Times New Roman" w:hAnsi="Times New Roman" w:cs="Times New Roman"/>
        </w:rPr>
        <w:t>minute</w:t>
      </w:r>
      <w:r>
        <w:rPr>
          <w:rFonts w:ascii="Times New Roman" w:eastAsia="Times New Roman" w:hAnsi="Times New Roman" w:cs="Times New Roman"/>
        </w:rPr>
        <w:t xml:space="preserve"> intervals along the trajectory</w:t>
      </w:r>
      <w:r w:rsidRPr="00021432">
        <w:rPr>
          <w:rFonts w:ascii="Times New Roman" w:eastAsia="Times New Roman" w:hAnsi="Times New Roman" w:cs="Times New Roman"/>
        </w:rPr>
        <w:t xml:space="preserve">. Red lines </w:t>
      </w:r>
      <w:r>
        <w:rPr>
          <w:rFonts w:ascii="Times New Roman" w:eastAsia="Times New Roman" w:hAnsi="Times New Roman" w:cs="Times New Roman"/>
        </w:rPr>
        <w:t>are</w:t>
      </w:r>
      <w:r w:rsidRPr="00021432">
        <w:rPr>
          <w:rFonts w:ascii="Times New Roman" w:eastAsia="Times New Roman" w:hAnsi="Times New Roman" w:cs="Times New Roman"/>
        </w:rPr>
        <w:t xml:space="preserve"> the full width at half-maximum (a</w:t>
      </w:r>
      <w:r w:rsidRPr="00844363">
        <w:rPr>
          <w:rFonts w:ascii="Times New Roman" w:eastAsia="Times New Roman" w:hAnsi="Times New Roman" w:cs="Times New Roman"/>
          <w:vertAlign w:val="subscript"/>
        </w:rPr>
        <w:t>4</w:t>
      </w:r>
      <w:r w:rsidRPr="00021432">
        <w:rPr>
          <w:rFonts w:ascii="Times New Roman" w:eastAsia="Times New Roman" w:hAnsi="Times New Roman" w:cs="Times New Roman"/>
        </w:rPr>
        <w:t xml:space="preserve"> in Equation 1). The right panels show NO</w:t>
      </w:r>
      <w:r w:rsidRPr="00021432">
        <w:rPr>
          <w:rFonts w:ascii="Times New Roman" w:eastAsia="Times New Roman" w:hAnsi="Times New Roman" w:cs="Times New Roman"/>
          <w:vertAlign w:val="subscript"/>
        </w:rPr>
        <w:t>2</w:t>
      </w:r>
      <w:r w:rsidRPr="00021432">
        <w:rPr>
          <w:rFonts w:ascii="Times New Roman" w:eastAsia="Times New Roman" w:hAnsi="Times New Roman" w:cs="Times New Roman"/>
        </w:rPr>
        <w:t xml:space="preserve"> measurements sampled along the orthogonal lines as a function of distance from the line</w:t>
      </w:r>
      <w:r>
        <w:rPr>
          <w:rFonts w:ascii="Times New Roman" w:eastAsia="Times New Roman" w:hAnsi="Times New Roman" w:cs="Times New Roman"/>
        </w:rPr>
        <w:t>’s center</w:t>
      </w:r>
      <w:r w:rsidRPr="00021432">
        <w:rPr>
          <w:rFonts w:ascii="Times New Roman" w:eastAsia="Times New Roman" w:hAnsi="Times New Roman" w:cs="Times New Roman"/>
        </w:rPr>
        <w:t xml:space="preserve"> (</w:t>
      </w:r>
      <w:r>
        <w:rPr>
          <w:rFonts w:ascii="Times New Roman" w:eastAsia="Times New Roman" w:hAnsi="Times New Roman" w:cs="Times New Roman"/>
        </w:rPr>
        <w:t>c</w:t>
      </w:r>
      <w:r w:rsidRPr="00021432">
        <w:rPr>
          <w:rFonts w:ascii="Times New Roman" w:eastAsia="Times New Roman" w:hAnsi="Times New Roman" w:cs="Times New Roman"/>
        </w:rPr>
        <w:t>ircles). Gaussian curves fitted to the sampled NO</w:t>
      </w:r>
      <w:r w:rsidRPr="00021432">
        <w:rPr>
          <w:rFonts w:ascii="Times New Roman" w:eastAsia="Times New Roman" w:hAnsi="Times New Roman" w:cs="Times New Roman"/>
          <w:vertAlign w:val="subscript"/>
        </w:rPr>
        <w:t>2</w:t>
      </w:r>
      <w:r w:rsidRPr="00021432">
        <w:rPr>
          <w:rFonts w:ascii="Times New Roman" w:eastAsia="Times New Roman" w:hAnsi="Times New Roman" w:cs="Times New Roman"/>
        </w:rPr>
        <w:t xml:space="preserve"> </w:t>
      </w:r>
      <w:r>
        <w:rPr>
          <w:rFonts w:ascii="Times New Roman" w:eastAsia="Times New Roman" w:hAnsi="Times New Roman" w:cs="Times New Roman"/>
        </w:rPr>
        <w:t xml:space="preserve">measurements </w:t>
      </w:r>
      <w:r w:rsidRPr="00021432">
        <w:rPr>
          <w:rFonts w:ascii="Times New Roman" w:eastAsia="Times New Roman" w:hAnsi="Times New Roman" w:cs="Times New Roman"/>
        </w:rPr>
        <w:t xml:space="preserve">are shown in </w:t>
      </w:r>
      <w:r>
        <w:rPr>
          <w:rFonts w:ascii="Times New Roman" w:eastAsia="Times New Roman" w:hAnsi="Times New Roman" w:cs="Times New Roman"/>
        </w:rPr>
        <w:t>green</w:t>
      </w:r>
      <w:r w:rsidRPr="00021432">
        <w:rPr>
          <w:rFonts w:ascii="Times New Roman" w:eastAsia="Times New Roman" w:hAnsi="Times New Roman" w:cs="Times New Roman"/>
        </w:rPr>
        <w:t xml:space="preserve"> if </w:t>
      </w:r>
      <w:r>
        <w:rPr>
          <w:rFonts w:ascii="Times New Roman" w:eastAsia="Times New Roman" w:hAnsi="Times New Roman" w:cs="Times New Roman"/>
        </w:rPr>
        <w:t>they</w:t>
      </w:r>
      <w:r w:rsidRPr="00021432">
        <w:rPr>
          <w:rFonts w:ascii="Times New Roman" w:eastAsia="Times New Roman" w:hAnsi="Times New Roman" w:cs="Times New Roman"/>
        </w:rPr>
        <w:t xml:space="preserve"> passed the goodness-of-fit test and in </w:t>
      </w:r>
      <w:r>
        <w:rPr>
          <w:rFonts w:ascii="Times New Roman" w:eastAsia="Times New Roman" w:hAnsi="Times New Roman" w:cs="Times New Roman"/>
        </w:rPr>
        <w:t>b</w:t>
      </w:r>
      <w:r w:rsidRPr="00021432">
        <w:rPr>
          <w:rFonts w:ascii="Times New Roman" w:eastAsia="Times New Roman" w:hAnsi="Times New Roman" w:cs="Times New Roman"/>
        </w:rPr>
        <w:t xml:space="preserve">lack if </w:t>
      </w:r>
      <w:r>
        <w:rPr>
          <w:rFonts w:ascii="Times New Roman" w:eastAsia="Times New Roman" w:hAnsi="Times New Roman" w:cs="Times New Roman"/>
        </w:rPr>
        <w:t>they</w:t>
      </w:r>
      <w:r w:rsidRPr="00021432">
        <w:rPr>
          <w:rFonts w:ascii="Times New Roman" w:eastAsia="Times New Roman" w:hAnsi="Times New Roman" w:cs="Times New Roman"/>
        </w:rPr>
        <w:t xml:space="preserve"> failed.</w:t>
      </w:r>
      <w:r>
        <w:rPr>
          <w:rFonts w:ascii="Times New Roman" w:eastAsia="Times New Roman" w:hAnsi="Times New Roman" w:cs="Times New Roman"/>
        </w:rPr>
        <w:t xml:space="preserve"> Eight goodness-of-fit parameters used for the threshold filtering are shown for two Gaussian curves.</w:t>
      </w:r>
      <w:r w:rsidRPr="00021432">
        <w:rPr>
          <w:rFonts w:ascii="Times New Roman" w:eastAsia="Times New Roman" w:hAnsi="Times New Roman" w:cs="Times New Roman"/>
        </w:rPr>
        <w:t xml:space="preserve"> (</w:t>
      </w:r>
      <w:r>
        <w:rPr>
          <w:rFonts w:ascii="Times New Roman" w:eastAsia="Times New Roman" w:hAnsi="Times New Roman" w:cs="Times New Roman"/>
        </w:rPr>
        <w:t>B</w:t>
      </w:r>
      <w:r w:rsidRPr="00021432">
        <w:rPr>
          <w:rFonts w:ascii="Times New Roman" w:eastAsia="Times New Roman" w:hAnsi="Times New Roman" w:cs="Times New Roman"/>
        </w:rPr>
        <w:t>) OCO-3 SAM XCO</w:t>
      </w:r>
      <w:r w:rsidRPr="00021432">
        <w:rPr>
          <w:rFonts w:ascii="Times New Roman" w:eastAsia="Times New Roman" w:hAnsi="Times New Roman" w:cs="Times New Roman"/>
          <w:vertAlign w:val="subscript"/>
        </w:rPr>
        <w:t>2</w:t>
      </w:r>
      <w:r w:rsidRPr="00021432">
        <w:rPr>
          <w:rFonts w:ascii="Times New Roman" w:eastAsia="Times New Roman" w:hAnsi="Times New Roman" w:cs="Times New Roman"/>
        </w:rPr>
        <w:t xml:space="preserve"> measurements </w:t>
      </w:r>
      <w:r>
        <w:rPr>
          <w:rFonts w:ascii="Times New Roman" w:eastAsia="Times New Roman" w:hAnsi="Times New Roman" w:cs="Times New Roman"/>
        </w:rPr>
        <w:t>from</w:t>
      </w:r>
      <w:r w:rsidRPr="00021432">
        <w:rPr>
          <w:rFonts w:ascii="Times New Roman" w:eastAsia="Times New Roman" w:hAnsi="Times New Roman" w:cs="Times New Roman"/>
        </w:rPr>
        <w:t xml:space="preserve"> the same day, 2.5 hours </w:t>
      </w:r>
      <w:r>
        <w:rPr>
          <w:rFonts w:ascii="Times New Roman" w:eastAsia="Times New Roman" w:hAnsi="Times New Roman" w:cs="Times New Roman"/>
        </w:rPr>
        <w:t>before</w:t>
      </w:r>
      <w:r w:rsidRPr="00021432">
        <w:rPr>
          <w:rFonts w:ascii="Times New Roman" w:eastAsia="Times New Roman" w:hAnsi="Times New Roman" w:cs="Times New Roman"/>
        </w:rPr>
        <w:t xml:space="preserve"> </w:t>
      </w:r>
      <w:r>
        <w:rPr>
          <w:rFonts w:ascii="Times New Roman" w:eastAsia="Times New Roman" w:hAnsi="Times New Roman" w:cs="Times New Roman"/>
        </w:rPr>
        <w:t>the</w:t>
      </w:r>
      <w:r w:rsidRPr="00021432">
        <w:rPr>
          <w:rFonts w:ascii="Times New Roman" w:eastAsia="Times New Roman" w:hAnsi="Times New Roman" w:cs="Times New Roman"/>
        </w:rPr>
        <w:t xml:space="preserve"> TROPOMI overpass.</w:t>
      </w:r>
    </w:p>
    <w:p w14:paraId="40BB99E7" w14:textId="77777777" w:rsidR="00BF0126" w:rsidRPr="002F52E5" w:rsidRDefault="00BF0126" w:rsidP="00BF0126">
      <w:pPr>
        <w:pStyle w:val="Heading-Secondary"/>
        <w:ind w:left="0"/>
        <w:rPr>
          <w:b/>
          <w:bCs w:val="0"/>
        </w:rPr>
      </w:pPr>
      <w:r w:rsidRPr="00F436D6">
        <w:rPr>
          <w:b/>
          <w:bCs w:val="0"/>
        </w:rPr>
        <w:lastRenderedPageBreak/>
        <w:t>2.4.</w:t>
      </w:r>
      <w:r>
        <w:rPr>
          <w:b/>
          <w:bCs w:val="0"/>
        </w:rPr>
        <w:t>2.</w:t>
      </w:r>
      <w:r w:rsidRPr="00F436D6">
        <w:rPr>
          <w:b/>
          <w:bCs w:val="0"/>
        </w:rPr>
        <w:t xml:space="preserve"> </w:t>
      </w:r>
      <w:r>
        <w:rPr>
          <w:b/>
          <w:bCs w:val="0"/>
        </w:rPr>
        <w:t>Gaussian Curve Fitting</w:t>
      </w:r>
    </w:p>
    <w:p w14:paraId="780C088F" w14:textId="77777777" w:rsidR="00BF0126" w:rsidRPr="00021432" w:rsidRDefault="00BF0126" w:rsidP="00BF0126">
      <w:pPr>
        <w:pStyle w:val="Body"/>
        <w:spacing w:before="120"/>
        <w:jc w:val="both"/>
        <w:rPr>
          <w:rFonts w:ascii="Times New Roman" w:hAnsi="Times New Roman"/>
        </w:rPr>
      </w:pPr>
      <w:r w:rsidRPr="00021432">
        <w:rPr>
          <w:rFonts w:ascii="Times New Roman" w:hAnsi="Times New Roman" w:cs="Times New Roman"/>
        </w:rPr>
        <w:t>For Gaussian-curve fitting of the cross-sectional NO</w:t>
      </w:r>
      <w:r w:rsidRPr="00021432">
        <w:rPr>
          <w:rFonts w:ascii="Times New Roman" w:hAnsi="Times New Roman" w:cs="Times New Roman"/>
          <w:vertAlign w:val="subscript"/>
        </w:rPr>
        <w:t>2</w:t>
      </w:r>
      <w:r w:rsidRPr="00021432">
        <w:rPr>
          <w:rFonts w:ascii="Times New Roman" w:hAnsi="Times New Roman" w:cs="Times New Roman"/>
        </w:rPr>
        <w:t xml:space="preserve"> and XCO</w:t>
      </w:r>
      <w:r w:rsidRPr="00021432">
        <w:rPr>
          <w:rFonts w:ascii="Times New Roman" w:hAnsi="Times New Roman" w:cs="Times New Roman"/>
          <w:vertAlign w:val="subscript"/>
        </w:rPr>
        <w:t>2</w:t>
      </w:r>
      <w:r w:rsidRPr="00021432">
        <w:rPr>
          <w:rFonts w:ascii="Times New Roman" w:hAnsi="Times New Roman" w:cs="Times New Roman"/>
        </w:rPr>
        <w:softHyphen/>
        <w:t xml:space="preserve"> </w:t>
      </w:r>
      <w:r>
        <w:rPr>
          <w:rFonts w:ascii="Times New Roman" w:hAnsi="Times New Roman" w:cs="Times New Roman"/>
        </w:rPr>
        <w:t>measurements</w:t>
      </w:r>
      <w:r w:rsidRPr="00021432">
        <w:rPr>
          <w:rFonts w:ascii="Times New Roman" w:hAnsi="Times New Roman" w:cs="Times New Roman"/>
        </w:rPr>
        <w:t xml:space="preserve">, we adopt the </w:t>
      </w:r>
      <w:r>
        <w:rPr>
          <w:rFonts w:ascii="Times New Roman" w:hAnsi="Times New Roman" w:cs="Times New Roman"/>
        </w:rPr>
        <w:t>CSF</w:t>
      </w:r>
      <w:r w:rsidRPr="00021432">
        <w:rPr>
          <w:rFonts w:ascii="Times New Roman" w:hAnsi="Times New Roman" w:cs="Times New Roman"/>
        </w:rPr>
        <w:t xml:space="preserve"> method </w:t>
      </w:r>
      <w:r>
        <w:rPr>
          <w:rFonts w:ascii="Times New Roman" w:hAnsi="Times New Roman" w:cs="Times New Roman"/>
        </w:rPr>
        <w:t>from</w:t>
      </w:r>
      <w:r w:rsidRPr="00021432">
        <w:rPr>
          <w:rFonts w:ascii="Times New Roman" w:hAnsi="Times New Roman" w:cs="Times New Roman"/>
        </w:rPr>
        <w:t xml:space="preserve"> Reuter et al. </w:t>
      </w:r>
      <w:r w:rsidRPr="00021432">
        <w:rPr>
          <w:rFonts w:ascii="Times New Roman" w:hAnsi="Times New Roman" w:cs="Times New Roman"/>
        </w:rPr>
        <w:fldChar w:fldCharType="begin"/>
      </w:r>
      <w:r>
        <w:rPr>
          <w:rFonts w:ascii="Times New Roman" w:hAnsi="Times New Roman" w:cs="Times New Roman"/>
        </w:rPr>
        <w:instrText xml:space="preserve"> ADDIN ZOTERO_ITEM CSL_CITATION {"citationID":"aVHRxPIE","properties":{"formattedCitation":"(2019)","plainCitation":"(2019)","noteIndex":0},"citationItems":[{"id":220,"uris":["http://zotero.org/users/12959951/items/SGA9BYD6"],"itemData":{"id":220,"type":"article-journal","container-title":"Atmospheric Chemistry and Physics","DOI":"10.5194/acp-19-9371-2019","issue":"14","page":"9371–9383","title":"Towards monitoring localized CO2 emissions from space: co-located regional CO2 and NO2 enhancements observed by the OCO-2 and S5P satellites","volume":"19","author":[{"family":"Reuter","given":"M."},{"family":"Buchwitz","given":"M."},{"family":"Schneising","given":"O."},{"family":"Krautwurst","given":"S."},{"family":"O'Dell","given":"C. W."},{"family":"Richter","given":"A."},{"family":"Bovensmann","given":"H."},{"family":"Burrows","given":"J. P."}],"issued":{"date-parts":[["2019"]]}},"label":"page","suppress-author":true}],"schema":"https://github.com/citation-style-language/schema/raw/master/csl-citation.json"} </w:instrText>
      </w:r>
      <w:r w:rsidRPr="00021432">
        <w:rPr>
          <w:rFonts w:ascii="Times New Roman" w:hAnsi="Times New Roman" w:cs="Times New Roman"/>
        </w:rPr>
        <w:fldChar w:fldCharType="separate"/>
      </w:r>
      <w:r>
        <w:rPr>
          <w:rFonts w:ascii="Times New Roman" w:hAnsi="Times New Roman" w:cs="Times New Roman"/>
        </w:rPr>
        <w:t>(2019)</w:t>
      </w:r>
      <w:r w:rsidRPr="00021432">
        <w:rPr>
          <w:rFonts w:ascii="Times New Roman" w:hAnsi="Times New Roman" w:cs="Times New Roman"/>
        </w:rPr>
        <w:fldChar w:fldCharType="end"/>
      </w:r>
      <w:r w:rsidRPr="00021432">
        <w:rPr>
          <w:rFonts w:ascii="Times New Roman" w:hAnsi="Times New Roman" w:cs="Times New Roman"/>
        </w:rPr>
        <w:t xml:space="preserve"> (R2019). </w:t>
      </w:r>
      <w:r>
        <w:rPr>
          <w:rFonts w:ascii="Times New Roman" w:hAnsi="Times New Roman" w:cs="Times New Roman"/>
        </w:rPr>
        <w:t>The</w:t>
      </w:r>
      <w:r w:rsidRPr="00021432">
        <w:rPr>
          <w:rFonts w:ascii="Times New Roman" w:hAnsi="Times New Roman" w:cs="Times New Roman"/>
        </w:rPr>
        <w:t xml:space="preserve"> following two equations </w:t>
      </w:r>
      <w:r>
        <w:rPr>
          <w:rFonts w:ascii="Times New Roman" w:hAnsi="Times New Roman" w:cs="Times New Roman"/>
        </w:rPr>
        <w:t xml:space="preserve">are used </w:t>
      </w:r>
      <w:r w:rsidRPr="00021432">
        <w:rPr>
          <w:rFonts w:ascii="Times New Roman" w:hAnsi="Times New Roman" w:cs="Times New Roman"/>
        </w:rPr>
        <w:t>to fit Gaussian curves to TROPOMI’s NO</w:t>
      </w:r>
      <w:r w:rsidRPr="00021432">
        <w:rPr>
          <w:rFonts w:ascii="Times New Roman" w:hAnsi="Times New Roman" w:cs="Times New Roman"/>
          <w:vertAlign w:val="subscript"/>
        </w:rPr>
        <w:t>2</w:t>
      </w:r>
      <w:r w:rsidRPr="00021432">
        <w:rPr>
          <w:rFonts w:ascii="Times New Roman" w:hAnsi="Times New Roman" w:cs="Times New Roman"/>
        </w:rPr>
        <w:t xml:space="preserve"> and OCO-3’s XCO</w:t>
      </w:r>
      <w:r w:rsidRPr="00021432">
        <w:rPr>
          <w:rFonts w:ascii="Times New Roman" w:hAnsi="Times New Roman" w:cs="Times New Roman"/>
          <w:vertAlign w:val="subscript"/>
        </w:rPr>
        <w:t>2</w:t>
      </w:r>
      <w:r w:rsidRPr="00021432">
        <w:rPr>
          <w:rFonts w:ascii="Times New Roman" w:hAnsi="Times New Roman" w:cs="Times New Roman"/>
        </w:rPr>
        <w:t xml:space="preserve"> </w:t>
      </w:r>
      <w:r>
        <w:rPr>
          <w:rFonts w:ascii="Times New Roman" w:hAnsi="Times New Roman" w:cs="Times New Roman"/>
        </w:rPr>
        <w:t>cross-sections</w:t>
      </w:r>
      <w:r w:rsidRPr="00021432">
        <w:rPr>
          <w:rFonts w:ascii="Times New Roman" w:hAnsi="Times New Roman" w:cs="Times New Roman"/>
        </w:rPr>
        <w:t xml:space="preserve"> sampled downwind of the city: </w:t>
      </w:r>
    </w:p>
    <w:p w14:paraId="00B14765" w14:textId="77777777" w:rsidR="00BF0126" w:rsidRPr="00021432" w:rsidRDefault="00BF0126" w:rsidP="00BF0126">
      <w:pPr>
        <w:pStyle w:val="Body"/>
        <w:spacing w:before="120"/>
        <w:ind w:left="2160" w:firstLine="720"/>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NO</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-4</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 xml:space="preserve"> </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e>
                    </m:d>
                  </m:e>
                  <m:sup>
                    <m:r>
                      <w:rPr>
                        <w:rFonts w:ascii="Cambria Math" w:hAnsi="Cambria Math" w:cs="Times New Roman"/>
                      </w:rPr>
                      <m:t>2</m:t>
                    </m:r>
                  </m:sup>
                </m:s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4</m:t>
                    </m:r>
                  </m:sub>
                  <m:sup>
                    <m:r>
                      <w:rPr>
                        <w:rFonts w:ascii="Cambria Math" w:hAnsi="Cambria Math" w:cs="Times New Roman"/>
                      </w:rPr>
                      <m:t>-2</m:t>
                    </m:r>
                  </m:sup>
                </m:sSubSup>
              </m:e>
            </m:func>
          </m:sup>
        </m:sSup>
      </m:oMath>
      <w:r w:rsidRPr="00021432">
        <w:rPr>
          <w:rFonts w:ascii="Times New Roman" w:hAnsi="Times New Roman" w:cs="Times New Roman"/>
        </w:rPr>
        <w:tab/>
      </w:r>
      <w:r w:rsidRPr="00021432">
        <w:rPr>
          <w:rFonts w:ascii="Times New Roman" w:hAnsi="Times New Roman" w:cs="Times New Roman"/>
        </w:rPr>
        <w:tab/>
      </w:r>
      <w:r>
        <w:rPr>
          <w:rFonts w:ascii="Times New Roman" w:hAnsi="Times New Roman" w:cs="Times New Roman"/>
        </w:rPr>
        <w:tab/>
      </w:r>
      <w:r w:rsidRPr="00021432">
        <w:rPr>
          <w:rFonts w:ascii="Times New Roman" w:hAnsi="Times New Roman" w:cs="Times New Roman"/>
        </w:rPr>
        <w:t>(1)</w:t>
      </w:r>
    </w:p>
    <w:p w14:paraId="2C0CA152" w14:textId="77777777" w:rsidR="00BF0126" w:rsidRDefault="00BF0126" w:rsidP="00BF0126">
      <w:pPr>
        <w:pStyle w:val="Body"/>
        <w:spacing w:before="120"/>
        <w:ind w:left="2160" w:firstLine="72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XCO</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-4</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r>
                      <w:rPr>
                        <w:rFonts w:ascii="Cambria Math" w:hAnsi="Cambria Math" w:cs="Times New Roman"/>
                      </w:rPr>
                      <m:t>)</m:t>
                    </m:r>
                  </m:e>
                  <m:sup>
                    <m:r>
                      <w:rPr>
                        <w:rFonts w:ascii="Cambria Math" w:hAnsi="Cambria Math" w:cs="Times New Roman"/>
                      </w:rPr>
                      <m:t>2</m:t>
                    </m:r>
                  </m:sup>
                </m:s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4</m:t>
                    </m:r>
                  </m:sub>
                  <m:sup>
                    <m:r>
                      <w:rPr>
                        <w:rFonts w:ascii="Cambria Math" w:hAnsi="Cambria Math" w:cs="Times New Roman"/>
                      </w:rPr>
                      <m:t>-2</m:t>
                    </m:r>
                  </m:sup>
                </m:sSubSup>
              </m:e>
            </m:func>
          </m:sup>
        </m:sSup>
      </m:oMath>
      <w:r w:rsidRPr="00021432">
        <w:rPr>
          <w:rFonts w:ascii="Times New Roman" w:hAnsi="Times New Roman" w:cs="Times New Roman"/>
        </w:rPr>
        <w:tab/>
      </w:r>
    </w:p>
    <w:p w14:paraId="7B958008" w14:textId="77777777" w:rsidR="00BF0126" w:rsidRPr="00FC1E9E" w:rsidRDefault="00BF0126" w:rsidP="00BF0126">
      <w:pPr>
        <w:pStyle w:val="Body"/>
        <w:spacing w:before="120"/>
        <w:rPr>
          <w:rFonts w:ascii="Times New Roman" w:hAnsi="Times New Roman" w:cs="Times New Roman"/>
          <w:sz w:val="20"/>
          <w:szCs w:val="20"/>
        </w:rPr>
      </w:pPr>
      <m:oMathPara>
        <m:oMath>
          <m:r>
            <w:rPr>
              <w:rFonts w:ascii="Cambria Math" w:hAnsi="Cambria Math" w:cs="Times New Roman"/>
              <w:sz w:val="20"/>
              <w:szCs w:val="20"/>
            </w:rPr>
            <m:t xml:space="preserve">where </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 xml:space="preserve">        0&lt;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0</m:t>
                      </m:r>
                    </m:sub>
                  </m:sSub>
                  <m:r>
                    <w:rPr>
                      <w:rFonts w:ascii="Cambria Math" w:hAnsi="Cambria Math" w:cs="Times New Roman"/>
                      <w:sz w:val="20"/>
                      <w:szCs w:val="20"/>
                    </w:rPr>
                    <m:t>&lt;500</m:t>
                  </m:r>
                </m:e>
                <m:e>
                  <m:r>
                    <w:rPr>
                      <w:rFonts w:ascii="Cambria Math" w:hAnsi="Cambria Math" w:cs="Times New Roman"/>
                      <w:sz w:val="20"/>
                      <w:szCs w:val="20"/>
                    </w:rPr>
                    <m:t>-50&lt;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r>
                    <w:rPr>
                      <w:rFonts w:ascii="Cambria Math" w:hAnsi="Cambria Math" w:cs="Times New Roman"/>
                      <w:sz w:val="20"/>
                      <w:szCs w:val="20"/>
                    </w:rPr>
                    <m:t>&lt;50</m:t>
                  </m:r>
                </m:e>
                <m:e>
                  <m:r>
                    <w:rPr>
                      <w:rFonts w:ascii="Cambria Math" w:hAnsi="Cambria Math" w:cs="Times New Roman"/>
                      <w:sz w:val="20"/>
                      <w:szCs w:val="20"/>
                    </w:rPr>
                    <m:t xml:space="preserve">        0&lt;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r>
                    <w:rPr>
                      <w:rFonts w:ascii="Cambria Math" w:hAnsi="Cambria Math" w:cs="Times New Roman"/>
                      <w:sz w:val="20"/>
                      <w:szCs w:val="20"/>
                    </w:rPr>
                    <m:t>&lt;1000</m:t>
                  </m:r>
                  <m:ctrlPr>
                    <w:rPr>
                      <w:rFonts w:ascii="Cambria Math" w:eastAsia="Cambria Math" w:hAnsi="Cambria Math" w:cs="Cambria Math"/>
                      <w:i/>
                      <w:sz w:val="20"/>
                      <w:szCs w:val="20"/>
                    </w:rPr>
                  </m:ctrlPr>
                </m:e>
                <m:e>
                  <m:r>
                    <w:rPr>
                      <w:rFonts w:ascii="Cambria Math" w:eastAsia="Cambria Math" w:hAnsi="Cambria Math" w:cs="Cambria Math"/>
                      <w:sz w:val="20"/>
                      <w:szCs w:val="20"/>
                    </w:rPr>
                    <m:t>-1D&lt;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3</m:t>
                      </m:r>
                    </m:sub>
                  </m:sSub>
                  <m:r>
                    <w:rPr>
                      <w:rFonts w:ascii="Cambria Math" w:eastAsia="Cambria Math" w:hAnsi="Cambria Math" w:cs="Cambria Math"/>
                      <w:sz w:val="20"/>
                      <w:szCs w:val="20"/>
                    </w:rPr>
                    <m:t>&lt;1D</m:t>
                  </m:r>
                  <m:ctrlPr>
                    <w:rPr>
                      <w:rFonts w:ascii="Cambria Math" w:eastAsia="Cambria Math" w:hAnsi="Cambria Math" w:cs="Cambria Math"/>
                      <w:i/>
                      <w:sz w:val="20"/>
                      <w:szCs w:val="20"/>
                    </w:rPr>
                  </m:ctrlPr>
                </m:e>
                <m:e>
                  <m:r>
                    <w:rPr>
                      <w:rFonts w:ascii="Cambria Math" w:eastAsia="Cambria Math" w:hAnsi="Cambria Math" w:cs="Cambria Math"/>
                      <w:sz w:val="20"/>
                      <w:szCs w:val="20"/>
                    </w:rPr>
                    <m:t xml:space="preserve"> 0.5D&lt;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4</m:t>
                      </m:r>
                    </m:sub>
                  </m:sSub>
                  <m:r>
                    <w:rPr>
                      <w:rFonts w:ascii="Cambria Math" w:eastAsia="Cambria Math" w:hAnsi="Cambria Math" w:cs="Cambria Math"/>
                      <w:sz w:val="20"/>
                      <w:szCs w:val="20"/>
                    </w:rPr>
                    <m:t>&lt;2D</m:t>
                  </m:r>
                </m:e>
              </m:eqArr>
              <m:r>
                <w:rPr>
                  <w:rFonts w:ascii="Cambria Math" w:hAnsi="Cambria Math" w:cs="Times New Roman"/>
                  <w:sz w:val="20"/>
                  <w:szCs w:val="20"/>
                </w:rPr>
                <m:t xml:space="preserve">  and </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 xml:space="preserve">   400&lt;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0</m:t>
                          </m:r>
                        </m:sub>
                      </m:sSub>
                      <m:r>
                        <w:rPr>
                          <w:rFonts w:ascii="Cambria Math" w:hAnsi="Cambria Math" w:cs="Times New Roman"/>
                          <w:sz w:val="20"/>
                          <w:szCs w:val="20"/>
                        </w:rPr>
                        <m:t>&lt;440</m:t>
                      </m:r>
                    </m:e>
                    <m:e>
                      <m:r>
                        <w:rPr>
                          <w:rFonts w:ascii="Cambria Math" w:hAnsi="Cambria Math" w:cs="Times New Roman"/>
                          <w:sz w:val="20"/>
                          <w:szCs w:val="20"/>
                        </w:rPr>
                        <m:t>-0.03&lt;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r>
                        <w:rPr>
                          <w:rFonts w:ascii="Cambria Math" w:hAnsi="Cambria Math" w:cs="Times New Roman"/>
                          <w:sz w:val="20"/>
                          <w:szCs w:val="20"/>
                        </w:rPr>
                        <m:t>&lt;0.03</m:t>
                      </m:r>
                      <m:ctrlPr>
                        <w:rPr>
                          <w:rFonts w:ascii="Cambria Math" w:eastAsia="Cambria Math" w:hAnsi="Cambria Math" w:cs="Cambria Math"/>
                          <w:i/>
                          <w:sz w:val="20"/>
                          <w:szCs w:val="20"/>
                        </w:rPr>
                      </m:ctrlPr>
                    </m:e>
                    <m:e>
                      <m:r>
                        <w:rPr>
                          <w:rFonts w:ascii="Cambria Math" w:hAnsi="Cambria Math" w:cs="Times New Roman"/>
                          <w:sz w:val="20"/>
                          <w:szCs w:val="20"/>
                        </w:rPr>
                        <m:t xml:space="preserve">   0&lt;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w:rPr>
                          <w:rFonts w:ascii="Cambria Math" w:hAnsi="Cambria Math" w:cs="Times New Roman"/>
                          <w:sz w:val="20"/>
                          <w:szCs w:val="20"/>
                        </w:rPr>
                        <m:t>&lt;5</m:t>
                      </m:r>
                      <m:ctrlPr>
                        <w:rPr>
                          <w:rFonts w:ascii="Cambria Math" w:eastAsia="Cambria Math" w:hAnsi="Cambria Math" w:cs="Cambria Math"/>
                          <w:i/>
                          <w:sz w:val="20"/>
                          <w:szCs w:val="20"/>
                        </w:rPr>
                      </m:ctrlPr>
                    </m:e>
                    <m:e>
                      <m:sSub>
                        <m:sSubPr>
                          <m:ctrlPr>
                            <w:rPr>
                              <w:rFonts w:ascii="Cambria Math" w:hAnsi="Cambria Math" w:cs="Times New Roman"/>
                              <w:i/>
                              <w:sz w:val="20"/>
                              <w:szCs w:val="20"/>
                            </w:rPr>
                          </m:ctrlPr>
                        </m:sSubPr>
                        <m:e>
                          <m:r>
                            <w:rPr>
                              <w:rFonts w:ascii="Cambria Math" w:hAnsi="Cambria Math" w:cs="Times New Roman"/>
                              <w:sz w:val="20"/>
                              <w:szCs w:val="20"/>
                            </w:rPr>
                            <m:t>-1.1 a</m:t>
                          </m:r>
                        </m:e>
                        <m:sub>
                          <m:r>
                            <w:rPr>
                              <w:rFonts w:ascii="Cambria Math" w:hAnsi="Cambria Math" w:cs="Times New Roman"/>
                              <w:sz w:val="20"/>
                              <w:szCs w:val="20"/>
                            </w:rPr>
                            <m:t>3,  max</m:t>
                          </m:r>
                        </m:sub>
                      </m:sSub>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3</m:t>
                          </m:r>
                        </m:sub>
                      </m:sSub>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1.1 a</m:t>
                          </m:r>
                        </m:e>
                        <m:sub>
                          <m:r>
                            <w:rPr>
                              <w:rFonts w:ascii="Cambria Math" w:hAnsi="Cambria Math" w:cs="Times New Roman"/>
                              <w:sz w:val="20"/>
                              <w:szCs w:val="20"/>
                            </w:rPr>
                            <m:t>3,  max</m:t>
                          </m:r>
                        </m:sub>
                      </m:sSub>
                    </m:e>
                    <m:e>
                      <m:r>
                        <w:rPr>
                          <w:rFonts w:ascii="Cambria Math" w:hAnsi="Cambria Math" w:cs="Times New Roman"/>
                          <w:sz w:val="20"/>
                          <w:szCs w:val="20"/>
                        </w:rPr>
                        <m:t xml:space="preserve">    0.5 </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4</m:t>
                          </m:r>
                        </m:sub>
                      </m:sSub>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4</m:t>
                          </m:r>
                        </m:sub>
                      </m:sSub>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4</m:t>
                          </m:r>
                        </m:sub>
                      </m:sSub>
                    </m:e>
                  </m:eqArr>
                </m:e>
              </m:d>
            </m:e>
          </m:d>
        </m:oMath>
      </m:oMathPara>
    </w:p>
    <w:p w14:paraId="315DB5EB" w14:textId="77777777" w:rsidR="00BF0126" w:rsidRPr="00FC1E9E" w:rsidRDefault="00BF0126" w:rsidP="00BF0126">
      <w:pPr>
        <w:pStyle w:val="Body"/>
        <w:spacing w:before="120"/>
        <w:rPr>
          <w:rFonts w:ascii="Times New Roman" w:hAnsi="Times New Roman" w:cs="Times New Roman"/>
          <w:sz w:val="20"/>
          <w:szCs w:val="20"/>
        </w:rPr>
      </w:pPr>
      <m:oMathPara>
        <m:oMath>
          <m:r>
            <w:rPr>
              <w:rFonts w:ascii="Cambria Math" w:hAnsi="Cambria Math" w:cs="Times New Roman"/>
              <w:sz w:val="20"/>
              <w:szCs w:val="20"/>
            </w:rPr>
            <m:t>D</m:t>
          </m:r>
          <m:r>
            <m:rPr>
              <m:sty m:val="p"/>
            </m:rPr>
            <w:rPr>
              <w:rFonts w:ascii="Cambria Math" w:hAnsi="Cambria Math" w:cs="Times New Roman"/>
              <w:sz w:val="20"/>
              <w:szCs w:val="20"/>
            </w:rPr>
            <m:t>: City’s diameter</m:t>
          </m:r>
        </m:oMath>
      </m:oMathPara>
    </w:p>
    <w:p w14:paraId="7318D5F4" w14:textId="77777777" w:rsidR="00BF0126" w:rsidRDefault="00BF0126" w:rsidP="00BF0126">
      <w:pPr>
        <w:pStyle w:val="Body"/>
        <w:spacing w:before="120"/>
        <w:jc w:val="both"/>
        <w:rPr>
          <w:rFonts w:ascii="Times New Roman" w:hAnsi="Times New Roman" w:cs="Times New Roman"/>
        </w:rPr>
      </w:pPr>
      <w:r w:rsidRPr="00021432">
        <w:rPr>
          <w:rFonts w:ascii="Times New Roman" w:hAnsi="Times New Roman" w:cs="Times New Roman"/>
        </w:rPr>
        <w:t xml:space="preserve"> where a</w:t>
      </w:r>
      <w:r w:rsidRPr="00021432">
        <w:rPr>
          <w:rFonts w:ascii="Times New Roman" w:hAnsi="Times New Roman" w:cs="Times New Roman"/>
          <w:vertAlign w:val="subscript"/>
        </w:rPr>
        <w:t>0</w:t>
      </w:r>
      <w:r w:rsidRPr="00021432">
        <w:rPr>
          <w:rFonts w:ascii="Times New Roman" w:hAnsi="Times New Roman" w:cs="Times New Roman"/>
        </w:rPr>
        <w:t xml:space="preserve"> and a</w:t>
      </w:r>
      <w:r w:rsidRPr="00021432">
        <w:rPr>
          <w:rFonts w:ascii="Times New Roman" w:hAnsi="Times New Roman" w:cs="Times New Roman"/>
          <w:vertAlign w:val="subscript"/>
        </w:rPr>
        <w:t>1</w:t>
      </w:r>
      <w:r w:rsidRPr="00021432">
        <w:rPr>
          <w:rFonts w:ascii="Times New Roman" w:hAnsi="Times New Roman" w:cs="Times New Roman"/>
        </w:rPr>
        <w:t xml:space="preserve"> is </w:t>
      </w:r>
      <w:r>
        <w:rPr>
          <w:rFonts w:ascii="Times New Roman" w:hAnsi="Times New Roman" w:cs="Times New Roman"/>
        </w:rPr>
        <w:t xml:space="preserve">the </w:t>
      </w:r>
      <w:r w:rsidRPr="00021432">
        <w:rPr>
          <w:rFonts w:ascii="Times New Roman" w:hAnsi="Times New Roman" w:cs="Times New Roman"/>
        </w:rPr>
        <w:t>background with spatial variation, and a</w:t>
      </w:r>
      <w:r w:rsidRPr="00021432">
        <w:rPr>
          <w:rFonts w:ascii="Times New Roman" w:hAnsi="Times New Roman" w:cs="Times New Roman"/>
          <w:vertAlign w:val="subscript"/>
        </w:rPr>
        <w:t>2</w:t>
      </w:r>
      <w:r w:rsidRPr="00021432">
        <w:rPr>
          <w:rFonts w:ascii="Times New Roman" w:hAnsi="Times New Roman" w:cs="Times New Roman"/>
        </w:rPr>
        <w:t xml:space="preserve"> is </w:t>
      </w:r>
      <w:r>
        <w:rPr>
          <w:rFonts w:ascii="Times New Roman" w:hAnsi="Times New Roman" w:cs="Times New Roman"/>
        </w:rPr>
        <w:t xml:space="preserve">the </w:t>
      </w:r>
      <w:r w:rsidRPr="00021432">
        <w:rPr>
          <w:rFonts w:ascii="Times New Roman" w:hAnsi="Times New Roman" w:cs="Times New Roman"/>
        </w:rPr>
        <w:t>amplitude, a</w:t>
      </w:r>
      <w:r w:rsidRPr="00021432">
        <w:rPr>
          <w:rFonts w:ascii="Times New Roman" w:hAnsi="Times New Roman" w:cs="Times New Roman"/>
          <w:vertAlign w:val="subscript"/>
        </w:rPr>
        <w:t>3</w:t>
      </w:r>
      <w:r w:rsidRPr="00021432">
        <w:rPr>
          <w:rFonts w:ascii="Times New Roman" w:hAnsi="Times New Roman" w:cs="Times New Roman"/>
        </w:rPr>
        <w:t xml:space="preserve"> is </w:t>
      </w:r>
      <w:r>
        <w:rPr>
          <w:rFonts w:ascii="Times New Roman" w:hAnsi="Times New Roman" w:cs="Times New Roman"/>
        </w:rPr>
        <w:t xml:space="preserve">the </w:t>
      </w:r>
      <w:r w:rsidRPr="00021432">
        <w:rPr>
          <w:rFonts w:ascii="Times New Roman" w:hAnsi="Times New Roman" w:cs="Times New Roman"/>
        </w:rPr>
        <w:t>shift, a</w:t>
      </w:r>
      <w:r w:rsidRPr="00021432">
        <w:rPr>
          <w:rFonts w:ascii="Times New Roman" w:hAnsi="Times New Roman" w:cs="Times New Roman"/>
          <w:vertAlign w:val="subscript"/>
        </w:rPr>
        <w:t>4</w:t>
      </w:r>
      <w:r w:rsidRPr="00021432">
        <w:rPr>
          <w:rFonts w:ascii="Times New Roman" w:hAnsi="Times New Roman" w:cs="Times New Roman"/>
        </w:rPr>
        <w:t xml:space="preserve"> is the full width at half-maximum (FWHM) of </w:t>
      </w:r>
      <w:r>
        <w:rPr>
          <w:rFonts w:ascii="Times New Roman" w:hAnsi="Times New Roman" w:cs="Times New Roman"/>
        </w:rPr>
        <w:t>the</w:t>
      </w:r>
      <w:r w:rsidRPr="00021432">
        <w:rPr>
          <w:rFonts w:ascii="Times New Roman" w:hAnsi="Times New Roman" w:cs="Times New Roman"/>
        </w:rPr>
        <w:t xml:space="preserve"> Gaussian curve fitted </w:t>
      </w:r>
      <w:r>
        <w:rPr>
          <w:rFonts w:ascii="Times New Roman" w:hAnsi="Times New Roman" w:cs="Times New Roman"/>
        </w:rPr>
        <w:t xml:space="preserve">to TROPOMI </w:t>
      </w:r>
      <w:r w:rsidRPr="00021432">
        <w:rPr>
          <w:rFonts w:ascii="Times New Roman" w:hAnsi="Times New Roman" w:cs="Times New Roman"/>
        </w:rPr>
        <w:t>NO</w:t>
      </w:r>
      <w:r w:rsidRPr="00021432">
        <w:rPr>
          <w:rFonts w:ascii="Times New Roman" w:hAnsi="Times New Roman" w:cs="Times New Roman"/>
          <w:vertAlign w:val="subscript"/>
        </w:rPr>
        <w:t>2</w:t>
      </w:r>
      <w:r w:rsidRPr="00021432">
        <w:rPr>
          <w:rFonts w:ascii="Times New Roman" w:hAnsi="Times New Roman" w:cs="Times New Roman"/>
        </w:rPr>
        <w:t xml:space="preserve"> measurements. </w:t>
      </w:r>
      <w:r>
        <w:rPr>
          <w:rFonts w:ascii="Times New Roman" w:hAnsi="Times New Roman" w:cs="Times New Roman"/>
        </w:rPr>
        <w:t xml:space="preserve">Similarly, </w:t>
      </w:r>
      <w:r w:rsidRPr="00021432">
        <w:rPr>
          <w:rFonts w:ascii="Times New Roman" w:hAnsi="Times New Roman" w:cs="Times New Roman"/>
        </w:rPr>
        <w:t>b</w:t>
      </w:r>
      <w:r w:rsidRPr="00021432">
        <w:rPr>
          <w:rFonts w:ascii="Times New Roman" w:hAnsi="Times New Roman" w:cs="Times New Roman"/>
          <w:vertAlign w:val="subscript"/>
        </w:rPr>
        <w:t>0</w:t>
      </w:r>
      <w:r>
        <w:rPr>
          <w:rFonts w:ascii="Times New Roman" w:hAnsi="Times New Roman" w:cs="Times New Roman"/>
        </w:rPr>
        <w:t xml:space="preserve"> to </w:t>
      </w:r>
      <w:r w:rsidRPr="00021432">
        <w:rPr>
          <w:rFonts w:ascii="Times New Roman" w:hAnsi="Times New Roman" w:cs="Times New Roman"/>
        </w:rPr>
        <w:t>b</w:t>
      </w:r>
      <w:r w:rsidRPr="00021432">
        <w:rPr>
          <w:rFonts w:ascii="Times New Roman" w:hAnsi="Times New Roman" w:cs="Times New Roman"/>
          <w:vertAlign w:val="subscript"/>
        </w:rPr>
        <w:t>4</w:t>
      </w:r>
      <w:r w:rsidRPr="00021432">
        <w:rPr>
          <w:rFonts w:ascii="Times New Roman" w:hAnsi="Times New Roman" w:cs="Times New Roman"/>
        </w:rPr>
        <w:t xml:space="preserve"> are </w:t>
      </w:r>
      <w:r>
        <w:rPr>
          <w:rFonts w:ascii="Times New Roman" w:hAnsi="Times New Roman" w:cs="Times New Roman"/>
        </w:rPr>
        <w:t>equivalent</w:t>
      </w:r>
      <w:r w:rsidRPr="00021432">
        <w:rPr>
          <w:rFonts w:ascii="Times New Roman" w:hAnsi="Times New Roman" w:cs="Times New Roman"/>
        </w:rPr>
        <w:t xml:space="preserve"> parameters for </w:t>
      </w:r>
      <w:r>
        <w:rPr>
          <w:rFonts w:ascii="Times New Roman" w:hAnsi="Times New Roman" w:cs="Times New Roman"/>
        </w:rPr>
        <w:t xml:space="preserve">OCO-3 </w:t>
      </w:r>
      <w:r w:rsidRPr="00021432">
        <w:rPr>
          <w:rFonts w:ascii="Times New Roman" w:hAnsi="Times New Roman" w:cs="Times New Roman"/>
        </w:rPr>
        <w:t>XCO</w:t>
      </w:r>
      <w:r w:rsidRPr="00021432">
        <w:rPr>
          <w:rFonts w:ascii="Times New Roman" w:hAnsi="Times New Roman" w:cs="Times New Roman"/>
          <w:vertAlign w:val="subscript"/>
        </w:rPr>
        <w:t>2</w:t>
      </w:r>
      <w:r w:rsidRPr="00021432">
        <w:rPr>
          <w:rFonts w:ascii="Times New Roman" w:hAnsi="Times New Roman" w:cs="Times New Roman"/>
        </w:rPr>
        <w:t xml:space="preserve"> measurements. </w:t>
      </w:r>
    </w:p>
    <w:p w14:paraId="1AD4ECD3"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 xml:space="preserve">First, we </w:t>
      </w:r>
      <w:r w:rsidRPr="00021432">
        <w:rPr>
          <w:rFonts w:ascii="Times New Roman" w:hAnsi="Times New Roman" w:cs="Times New Roman"/>
        </w:rPr>
        <w:t>estimate a</w:t>
      </w:r>
      <w:r w:rsidRPr="00021432">
        <w:rPr>
          <w:rFonts w:ascii="Times New Roman" w:hAnsi="Times New Roman" w:cs="Times New Roman"/>
          <w:vertAlign w:val="subscript"/>
        </w:rPr>
        <w:t>0</w:t>
      </w:r>
      <w:r w:rsidRPr="00021432">
        <w:rPr>
          <w:rFonts w:ascii="Times New Roman" w:hAnsi="Times New Roman" w:cs="Times New Roman"/>
        </w:rPr>
        <w:t>-a</w:t>
      </w:r>
      <w:r w:rsidRPr="00021432">
        <w:rPr>
          <w:rFonts w:ascii="Times New Roman" w:hAnsi="Times New Roman" w:cs="Times New Roman"/>
          <w:vertAlign w:val="subscript"/>
        </w:rPr>
        <w:t>4</w:t>
      </w:r>
      <w:r w:rsidRPr="00021432">
        <w:rPr>
          <w:rFonts w:ascii="Times New Roman" w:hAnsi="Times New Roman" w:cs="Times New Roman"/>
        </w:rPr>
        <w:t xml:space="preserve"> by applying </w:t>
      </w:r>
      <w:r>
        <w:rPr>
          <w:rFonts w:ascii="Times New Roman" w:hAnsi="Times New Roman" w:cs="Times New Roman"/>
        </w:rPr>
        <w:t>a</w:t>
      </w:r>
      <w:r w:rsidRPr="00021432">
        <w:rPr>
          <w:rFonts w:ascii="Times New Roman" w:hAnsi="Times New Roman" w:cs="Times New Roman"/>
        </w:rPr>
        <w:t xml:space="preserve"> non-linear least squares method to cross-sectional NO</w:t>
      </w:r>
      <w:r w:rsidRPr="00021432">
        <w:rPr>
          <w:rFonts w:ascii="Times New Roman" w:hAnsi="Times New Roman" w:cs="Times New Roman"/>
          <w:vertAlign w:val="subscript"/>
        </w:rPr>
        <w:t>2</w:t>
      </w:r>
      <w:r w:rsidRPr="00021432">
        <w:rPr>
          <w:rFonts w:ascii="Times New Roman" w:hAnsi="Times New Roman" w:cs="Times New Roman"/>
        </w:rPr>
        <w:t xml:space="preserve"> measurements</w:t>
      </w:r>
      <w:r>
        <w:rPr>
          <w:rFonts w:ascii="Times New Roman" w:hAnsi="Times New Roman" w:cs="Times New Roman"/>
        </w:rPr>
        <w:t>, using upper and lower bounds for each parameter as defined in Equation 1.</w:t>
      </w:r>
      <w:r w:rsidRPr="00021432">
        <w:rPr>
          <w:rFonts w:ascii="Times New Roman" w:hAnsi="Times New Roman" w:cs="Times New Roman"/>
        </w:rPr>
        <w:t xml:space="preserve"> </w:t>
      </w:r>
      <w:r>
        <w:rPr>
          <w:rFonts w:ascii="Times New Roman" w:hAnsi="Times New Roman" w:cs="Times New Roman"/>
        </w:rPr>
        <w:t>These bounds help prevent the algorithm from fitting curves to noise in NO</w:t>
      </w:r>
      <w:r w:rsidRPr="00B37569">
        <w:rPr>
          <w:rFonts w:ascii="Times New Roman" w:hAnsi="Times New Roman" w:cs="Times New Roman"/>
          <w:vertAlign w:val="subscript"/>
        </w:rPr>
        <w:t>2</w:t>
      </w:r>
      <w:r>
        <w:rPr>
          <w:rFonts w:ascii="Times New Roman" w:hAnsi="Times New Roman" w:cs="Times New Roman"/>
        </w:rPr>
        <w:t xml:space="preserve"> or XCO</w:t>
      </w:r>
      <w:r w:rsidRPr="00B37569">
        <w:rPr>
          <w:rFonts w:ascii="Times New Roman" w:hAnsi="Times New Roman" w:cs="Times New Roman"/>
          <w:vertAlign w:val="subscript"/>
        </w:rPr>
        <w:t>2</w:t>
      </w:r>
      <w:r>
        <w:rPr>
          <w:rFonts w:ascii="Times New Roman" w:hAnsi="Times New Roman" w:cs="Times New Roman"/>
        </w:rPr>
        <w:t xml:space="preserve"> measurements while also improving computational efficiency. Notably,</w:t>
      </w:r>
      <w:r w:rsidRPr="00021432">
        <w:rPr>
          <w:rFonts w:ascii="Times New Roman" w:hAnsi="Times New Roman" w:cs="Times New Roman"/>
        </w:rPr>
        <w:t xml:space="preserve"> </w:t>
      </w:r>
      <w:r>
        <w:rPr>
          <w:rFonts w:ascii="Times New Roman" w:hAnsi="Times New Roman" w:cs="Times New Roman"/>
        </w:rPr>
        <w:t xml:space="preserve">the </w:t>
      </w:r>
      <w:r w:rsidRPr="00021432">
        <w:rPr>
          <w:rFonts w:ascii="Times New Roman" w:hAnsi="Times New Roman" w:cs="Times New Roman"/>
        </w:rPr>
        <w:t>shift</w:t>
      </w:r>
      <w:r>
        <w:rPr>
          <w:rFonts w:ascii="Times New Roman" w:hAnsi="Times New Roman" w:cs="Times New Roman"/>
        </w:rPr>
        <w:t xml:space="preserve"> of a Gaussian curve, </w:t>
      </w:r>
      <w:r w:rsidRPr="00021432">
        <w:rPr>
          <w:rFonts w:ascii="Times New Roman" w:hAnsi="Times New Roman" w:cs="Times New Roman"/>
        </w:rPr>
        <w:t>a</w:t>
      </w:r>
      <w:r w:rsidRPr="00021432">
        <w:rPr>
          <w:rFonts w:ascii="Times New Roman" w:hAnsi="Times New Roman" w:cs="Times New Roman"/>
          <w:vertAlign w:val="subscript"/>
        </w:rPr>
        <w:t>3</w:t>
      </w:r>
      <w:r>
        <w:rPr>
          <w:rFonts w:ascii="Times New Roman" w:hAnsi="Times New Roman" w:cs="Times New Roman"/>
          <w:vertAlign w:val="subscript"/>
        </w:rPr>
        <w:t>,</w:t>
      </w:r>
      <w:r w:rsidRPr="00021432">
        <w:rPr>
          <w:rFonts w:ascii="Times New Roman" w:hAnsi="Times New Roman" w:cs="Times New Roman"/>
        </w:rPr>
        <w:t xml:space="preserve"> is </w:t>
      </w:r>
      <w:r>
        <w:rPr>
          <w:rFonts w:ascii="Times New Roman" w:hAnsi="Times New Roman" w:cs="Times New Roman"/>
        </w:rPr>
        <w:t xml:space="preserve">allowed to deviate </w:t>
      </w:r>
      <w:r w:rsidRPr="00021432">
        <w:rPr>
          <w:rFonts w:ascii="Times New Roman" w:hAnsi="Times New Roman" w:cs="Times New Roman"/>
        </w:rPr>
        <w:t>from the center of the trajectory</w:t>
      </w:r>
      <w:r>
        <w:rPr>
          <w:rFonts w:ascii="Times New Roman" w:hAnsi="Times New Roman" w:cs="Times New Roman"/>
        </w:rPr>
        <w:t xml:space="preserve"> by up to the city’s diameter to account for </w:t>
      </w:r>
      <w:r w:rsidRPr="00021432">
        <w:rPr>
          <w:rFonts w:ascii="Times New Roman" w:hAnsi="Times New Roman" w:cs="Times New Roman"/>
        </w:rPr>
        <w:t>potential error</w:t>
      </w:r>
      <w:r>
        <w:rPr>
          <w:rFonts w:ascii="Times New Roman" w:hAnsi="Times New Roman" w:cs="Times New Roman"/>
        </w:rPr>
        <w:t>s</w:t>
      </w:r>
      <w:r w:rsidRPr="00021432">
        <w:rPr>
          <w:rFonts w:ascii="Times New Roman" w:hAnsi="Times New Roman" w:cs="Times New Roman"/>
        </w:rPr>
        <w:t xml:space="preserve"> in ERA5 wind direction. </w:t>
      </w:r>
      <w:r>
        <w:rPr>
          <w:rFonts w:ascii="Times New Roman" w:hAnsi="Times New Roman" w:cs="Times New Roman"/>
        </w:rPr>
        <w:t>The fitted a</w:t>
      </w:r>
      <w:r w:rsidRPr="00F01A2E">
        <w:rPr>
          <w:rFonts w:ascii="Times New Roman" w:hAnsi="Times New Roman" w:cs="Times New Roman"/>
          <w:vertAlign w:val="subscript"/>
        </w:rPr>
        <w:t>3</w:t>
      </w:r>
      <w:r>
        <w:rPr>
          <w:rFonts w:ascii="Times New Roman" w:hAnsi="Times New Roman" w:cs="Times New Roman"/>
        </w:rPr>
        <w:t xml:space="preserve"> value is subsequently used to correct bias in emission estimates caused by errors in HYSPLIT/ERA5 trajectories (see Text S1). </w:t>
      </w:r>
      <w:r w:rsidRPr="00021432">
        <w:rPr>
          <w:rFonts w:ascii="Times New Roman" w:hAnsi="Times New Roman" w:cs="Times New Roman"/>
        </w:rPr>
        <w:t>In contrast</w:t>
      </w:r>
      <w:r>
        <w:rPr>
          <w:rFonts w:ascii="Times New Roman" w:hAnsi="Times New Roman" w:cs="Times New Roman"/>
        </w:rPr>
        <w:t xml:space="preserve"> to our approach</w:t>
      </w:r>
      <w:r w:rsidRPr="00021432">
        <w:rPr>
          <w:rFonts w:ascii="Times New Roman" w:hAnsi="Times New Roman" w:cs="Times New Roman"/>
        </w:rPr>
        <w:t>, R2019 set a</w:t>
      </w:r>
      <w:r w:rsidRPr="00021432">
        <w:rPr>
          <w:rFonts w:ascii="Times New Roman" w:hAnsi="Times New Roman" w:cs="Times New Roman"/>
          <w:vertAlign w:val="subscript"/>
        </w:rPr>
        <w:t>3</w:t>
      </w:r>
      <w:r w:rsidRPr="00021432">
        <w:rPr>
          <w:rFonts w:ascii="Times New Roman" w:hAnsi="Times New Roman" w:cs="Times New Roman"/>
        </w:rPr>
        <w:t xml:space="preserve"> to zero after manually adjusting the model wind direction to subjectively </w:t>
      </w:r>
      <w:r>
        <w:rPr>
          <w:rFonts w:ascii="Times New Roman" w:hAnsi="Times New Roman" w:cs="Times New Roman"/>
        </w:rPr>
        <w:t>align with the observed NO</w:t>
      </w:r>
      <w:r w:rsidRPr="00383951">
        <w:rPr>
          <w:rFonts w:ascii="Times New Roman" w:hAnsi="Times New Roman" w:cs="Times New Roman"/>
          <w:vertAlign w:val="subscript"/>
        </w:rPr>
        <w:t>2</w:t>
      </w:r>
      <w:r w:rsidRPr="00021432">
        <w:rPr>
          <w:rFonts w:ascii="Times New Roman" w:hAnsi="Times New Roman" w:cs="Times New Roman"/>
        </w:rPr>
        <w:t xml:space="preserve"> plume</w:t>
      </w:r>
      <w:r>
        <w:rPr>
          <w:rFonts w:ascii="Times New Roman" w:hAnsi="Times New Roman" w:cs="Times New Roman"/>
        </w:rPr>
        <w:t>.</w:t>
      </w:r>
    </w:p>
    <w:p w14:paraId="758E25CD"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Gaussian curve fitting for OCO-3 XCO</w:t>
      </w:r>
      <w:r w:rsidRPr="00CE6DF0">
        <w:rPr>
          <w:rFonts w:ascii="Times New Roman" w:hAnsi="Times New Roman" w:cs="Times New Roman"/>
          <w:vertAlign w:val="subscript"/>
        </w:rPr>
        <w:t>2</w:t>
      </w:r>
      <w:r>
        <w:rPr>
          <w:rFonts w:ascii="Times New Roman" w:hAnsi="Times New Roman" w:cs="Times New Roman"/>
        </w:rPr>
        <w:t xml:space="preserve"> measurements follows a similar approach to NO</w:t>
      </w:r>
      <w:r w:rsidRPr="00A505AA">
        <w:rPr>
          <w:rFonts w:ascii="Times New Roman" w:hAnsi="Times New Roman" w:cs="Times New Roman"/>
          <w:vertAlign w:val="subscript"/>
        </w:rPr>
        <w:t>2</w:t>
      </w:r>
      <w:r>
        <w:rPr>
          <w:rFonts w:ascii="Times New Roman" w:hAnsi="Times New Roman" w:cs="Times New Roman"/>
        </w:rPr>
        <w:t xml:space="preserve"> measurements, with key differences in parameters: b</w:t>
      </w:r>
      <w:r w:rsidRPr="00600503">
        <w:rPr>
          <w:rFonts w:ascii="Times New Roman" w:hAnsi="Times New Roman" w:cs="Times New Roman"/>
          <w:vertAlign w:val="subscript"/>
        </w:rPr>
        <w:t>3</w:t>
      </w:r>
      <w:r>
        <w:rPr>
          <w:rFonts w:ascii="Times New Roman" w:hAnsi="Times New Roman" w:cs="Times New Roman"/>
        </w:rPr>
        <w:t xml:space="preserve"> (shift) and b</w:t>
      </w:r>
      <w:r w:rsidRPr="00A505AA">
        <w:rPr>
          <w:rFonts w:ascii="Times New Roman" w:hAnsi="Times New Roman" w:cs="Times New Roman"/>
          <w:vertAlign w:val="subscript"/>
        </w:rPr>
        <w:t>4</w:t>
      </w:r>
      <w:r>
        <w:rPr>
          <w:rFonts w:ascii="Times New Roman" w:hAnsi="Times New Roman" w:cs="Times New Roman"/>
        </w:rPr>
        <w:t xml:space="preserve"> (FWHM). The CO</w:t>
      </w:r>
      <w:r w:rsidRPr="005E10D7">
        <w:rPr>
          <w:rFonts w:ascii="Times New Roman" w:hAnsi="Times New Roman" w:cs="Times New Roman"/>
          <w:vertAlign w:val="subscript"/>
        </w:rPr>
        <w:t>2</w:t>
      </w:r>
      <w:r>
        <w:rPr>
          <w:rFonts w:ascii="Times New Roman" w:hAnsi="Times New Roman" w:cs="Times New Roman"/>
        </w:rPr>
        <w:t xml:space="preserve"> plume shift (b</w:t>
      </w:r>
      <w:r w:rsidRPr="006D1CB1">
        <w:rPr>
          <w:rFonts w:ascii="Times New Roman" w:hAnsi="Times New Roman" w:cs="Times New Roman"/>
          <w:vertAlign w:val="subscript"/>
        </w:rPr>
        <w:t>3</w:t>
      </w:r>
      <w:r>
        <w:rPr>
          <w:rFonts w:ascii="Times New Roman" w:hAnsi="Times New Roman" w:cs="Times New Roman"/>
        </w:rPr>
        <w:t>) is constrained within 110% of the maximum shift of the NO</w:t>
      </w:r>
      <w:r w:rsidRPr="002D7657">
        <w:rPr>
          <w:rFonts w:ascii="Times New Roman" w:hAnsi="Times New Roman" w:cs="Times New Roman"/>
          <w:vertAlign w:val="subscript"/>
        </w:rPr>
        <w:t>2</w:t>
      </w:r>
      <w:r>
        <w:rPr>
          <w:rFonts w:ascii="Times New Roman" w:hAnsi="Times New Roman" w:cs="Times New Roman"/>
        </w:rPr>
        <w:t xml:space="preserve"> plume (a</w:t>
      </w:r>
      <w:r w:rsidRPr="00A728D8">
        <w:rPr>
          <w:rFonts w:ascii="Times New Roman" w:hAnsi="Times New Roman" w:cs="Times New Roman"/>
          <w:vertAlign w:val="subscript"/>
        </w:rPr>
        <w:t>3</w:t>
      </w:r>
      <w:r>
        <w:rPr>
          <w:rFonts w:ascii="Times New Roman" w:hAnsi="Times New Roman" w:cs="Times New Roman"/>
        </w:rPr>
        <w:t>) over the 6-hour trajectory span. The CO</w:t>
      </w:r>
      <w:r w:rsidRPr="006D1CB1">
        <w:rPr>
          <w:rFonts w:ascii="Times New Roman" w:hAnsi="Times New Roman" w:cs="Times New Roman"/>
          <w:vertAlign w:val="subscript"/>
        </w:rPr>
        <w:t>2</w:t>
      </w:r>
      <w:r>
        <w:rPr>
          <w:rFonts w:ascii="Times New Roman" w:hAnsi="Times New Roman" w:cs="Times New Roman"/>
        </w:rPr>
        <w:t xml:space="preserve"> plume width (b</w:t>
      </w:r>
      <w:r>
        <w:rPr>
          <w:rFonts w:ascii="Times New Roman" w:hAnsi="Times New Roman" w:cs="Times New Roman"/>
          <w:vertAlign w:val="subscript"/>
        </w:rPr>
        <w:t>4</w:t>
      </w:r>
      <w:r>
        <w:rPr>
          <w:rFonts w:ascii="Times New Roman" w:hAnsi="Times New Roman" w:cs="Times New Roman"/>
        </w:rPr>
        <w:t xml:space="preserve">) is bounded </w:t>
      </w:r>
      <w:r w:rsidRPr="00021432">
        <w:rPr>
          <w:rFonts w:ascii="Times New Roman" w:hAnsi="Times New Roman" w:cs="Times New Roman"/>
        </w:rPr>
        <w:t>by the NO</w:t>
      </w:r>
      <w:r w:rsidRPr="00021432">
        <w:rPr>
          <w:rFonts w:ascii="Times New Roman" w:hAnsi="Times New Roman" w:cs="Times New Roman"/>
          <w:vertAlign w:val="subscript"/>
        </w:rPr>
        <w:t>2</w:t>
      </w:r>
      <w:r w:rsidRPr="00021432">
        <w:rPr>
          <w:rFonts w:ascii="Times New Roman" w:hAnsi="Times New Roman" w:cs="Times New Roman"/>
        </w:rPr>
        <w:t xml:space="preserve"> plume width </w:t>
      </w:r>
      <w:r>
        <w:rPr>
          <w:rFonts w:ascii="Times New Roman" w:hAnsi="Times New Roman" w:cs="Times New Roman"/>
        </w:rPr>
        <w:t>(a</w:t>
      </w:r>
      <w:r w:rsidRPr="00977533">
        <w:rPr>
          <w:rFonts w:ascii="Times New Roman" w:hAnsi="Times New Roman" w:cs="Times New Roman"/>
          <w:vertAlign w:val="subscript"/>
        </w:rPr>
        <w:t>4</w:t>
      </w:r>
      <w:r>
        <w:rPr>
          <w:rFonts w:ascii="Times New Roman" w:hAnsi="Times New Roman" w:cs="Times New Roman"/>
        </w:rPr>
        <w:t>), with an upper limit equal to a</w:t>
      </w:r>
      <w:r w:rsidRPr="00765072">
        <w:rPr>
          <w:rFonts w:ascii="Times New Roman" w:hAnsi="Times New Roman" w:cs="Times New Roman"/>
          <w:vertAlign w:val="subscript"/>
        </w:rPr>
        <w:t>4</w:t>
      </w:r>
      <w:r>
        <w:rPr>
          <w:rFonts w:ascii="Times New Roman" w:hAnsi="Times New Roman" w:cs="Times New Roman"/>
        </w:rPr>
        <w:t xml:space="preserve"> and a lower limit set at half of a</w:t>
      </w:r>
      <w:r w:rsidRPr="00765072">
        <w:rPr>
          <w:rFonts w:ascii="Times New Roman" w:hAnsi="Times New Roman" w:cs="Times New Roman"/>
          <w:vertAlign w:val="subscript"/>
        </w:rPr>
        <w:t>4</w:t>
      </w:r>
      <w:r>
        <w:rPr>
          <w:rFonts w:ascii="Times New Roman" w:hAnsi="Times New Roman" w:cs="Times New Roman"/>
        </w:rPr>
        <w:t xml:space="preserve">. This allows </w:t>
      </w:r>
      <w:r w:rsidRPr="00021432">
        <w:rPr>
          <w:rFonts w:ascii="Times New Roman" w:hAnsi="Times New Roman" w:cs="Times New Roman"/>
        </w:rPr>
        <w:t>the model to correct the</w:t>
      </w:r>
      <w:r>
        <w:rPr>
          <w:rFonts w:ascii="Times New Roman" w:hAnsi="Times New Roman" w:cs="Times New Roman"/>
        </w:rPr>
        <w:t xml:space="preserve"> potential overestimation of urban plume width caused by TROPOMI’s larger pixel size (up to 7 km × 7 km</w:t>
      </w:r>
      <w:r w:rsidRPr="00EB0DE5">
        <w:rPr>
          <w:rFonts w:ascii="Times New Roman" w:hAnsi="Times New Roman" w:cs="Times New Roman"/>
        </w:rPr>
        <w:t>)</w:t>
      </w:r>
      <w:r>
        <w:rPr>
          <w:rFonts w:ascii="Times New Roman" w:hAnsi="Times New Roman" w:cs="Times New Roman"/>
        </w:rPr>
        <w:t xml:space="preserve"> as compared to OCO-3’s finer pixel resolution (2.25 km × 1.6 km). If the Gaussian curve fitted to the co-located NO</w:t>
      </w:r>
      <w:r w:rsidRPr="00C720B3">
        <w:rPr>
          <w:rFonts w:ascii="Times New Roman" w:hAnsi="Times New Roman" w:cs="Times New Roman"/>
          <w:vertAlign w:val="subscript"/>
        </w:rPr>
        <w:t>2</w:t>
      </w:r>
      <w:r>
        <w:rPr>
          <w:rFonts w:ascii="Times New Roman" w:hAnsi="Times New Roman" w:cs="Times New Roman"/>
        </w:rPr>
        <w:t xml:space="preserve"> measurements fails the goodness-of-fit test </w:t>
      </w:r>
      <w:r w:rsidRPr="00021432">
        <w:rPr>
          <w:rFonts w:ascii="Times New Roman" w:hAnsi="Times New Roman" w:cs="Times New Roman"/>
        </w:rPr>
        <w:t>(</w:t>
      </w:r>
      <w:r>
        <w:rPr>
          <w:rFonts w:ascii="Times New Roman" w:hAnsi="Times New Roman" w:cs="Times New Roman"/>
        </w:rPr>
        <w:t>r</w:t>
      </w:r>
      <w:r w:rsidRPr="00021432">
        <w:rPr>
          <w:rFonts w:ascii="Times New Roman" w:hAnsi="Times New Roman" w:cs="Times New Roman"/>
          <w:vertAlign w:val="superscript"/>
        </w:rPr>
        <w:t>2</w:t>
      </w:r>
      <w:r w:rsidRPr="00021432">
        <w:rPr>
          <w:rFonts w:ascii="Times New Roman" w:hAnsi="Times New Roman" w:cs="Times New Roman"/>
        </w:rPr>
        <w:t xml:space="preserve"> &gt; 0.8)</w:t>
      </w:r>
      <w:r>
        <w:rPr>
          <w:rFonts w:ascii="Times New Roman" w:hAnsi="Times New Roman" w:cs="Times New Roman"/>
        </w:rPr>
        <w:t>, Gaussian fitting for the corresponding OCO-3 SAM is not conducted.</w:t>
      </w:r>
    </w:p>
    <w:p w14:paraId="694D30CA"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To ensure the quality of Gaussian fits for CO</w:t>
      </w:r>
      <w:r w:rsidRPr="0070433E">
        <w:rPr>
          <w:rFonts w:ascii="Times New Roman" w:hAnsi="Times New Roman" w:cs="Times New Roman"/>
          <w:vertAlign w:val="subscript"/>
        </w:rPr>
        <w:t>2</w:t>
      </w:r>
      <w:r>
        <w:rPr>
          <w:rFonts w:ascii="Times New Roman" w:hAnsi="Times New Roman" w:cs="Times New Roman"/>
        </w:rPr>
        <w:t xml:space="preserve"> plumes, we apply a goodness-of-fit test based on twelve</w:t>
      </w:r>
      <w:r w:rsidRPr="00345D5C">
        <w:rPr>
          <w:rFonts w:ascii="Times New Roman" w:hAnsi="Times New Roman" w:cs="Times New Roman"/>
        </w:rPr>
        <w:t xml:space="preserve"> </w:t>
      </w:r>
      <w:r>
        <w:rPr>
          <w:rFonts w:ascii="Times New Roman" w:hAnsi="Times New Roman" w:cs="Times New Roman"/>
        </w:rPr>
        <w:t>mutually inclusive goodness-of-fit metrics (Figure S1). A detailed description of the test is provided in Text S2. As a result, 2,381 Gaussian curves pass the goodness-of-fit test, representing 7% of all Gaussian curves fitted to XCO</w:t>
      </w:r>
      <w:r w:rsidRPr="00E55E64">
        <w:rPr>
          <w:rFonts w:ascii="Times New Roman" w:hAnsi="Times New Roman" w:cs="Times New Roman"/>
          <w:vertAlign w:val="subscript"/>
        </w:rPr>
        <w:t>2</w:t>
      </w:r>
      <w:r>
        <w:rPr>
          <w:rFonts w:ascii="Times New Roman" w:hAnsi="Times New Roman" w:cs="Times New Roman"/>
        </w:rPr>
        <w:t xml:space="preserve"> measurements. Figure 1 illustrates examples of Gaussian curves that passed (green lines) and failed (black lines) the goodness-of-fit test.</w:t>
      </w:r>
    </w:p>
    <w:p w14:paraId="5155B73C" w14:textId="77777777" w:rsidR="00BF0126" w:rsidRPr="007D3A3A" w:rsidRDefault="00BF0126" w:rsidP="00BF0126">
      <w:pPr>
        <w:pStyle w:val="Heading-Secondary"/>
        <w:ind w:left="0"/>
        <w:rPr>
          <w:b/>
          <w:bCs w:val="0"/>
        </w:rPr>
      </w:pPr>
      <w:r w:rsidRPr="00F436D6">
        <w:rPr>
          <w:b/>
          <w:bCs w:val="0"/>
        </w:rPr>
        <w:t>2.4.</w:t>
      </w:r>
      <w:r>
        <w:rPr>
          <w:b/>
          <w:bCs w:val="0"/>
        </w:rPr>
        <w:t>3.</w:t>
      </w:r>
      <w:r w:rsidRPr="00F436D6">
        <w:rPr>
          <w:b/>
          <w:bCs w:val="0"/>
        </w:rPr>
        <w:t xml:space="preserve"> </w:t>
      </w:r>
      <w:r>
        <w:rPr>
          <w:b/>
          <w:bCs w:val="0"/>
        </w:rPr>
        <w:t>Emission Estimation</w:t>
      </w:r>
    </w:p>
    <w:p w14:paraId="60634A51" w14:textId="77777777" w:rsidR="00BF0126" w:rsidRPr="00021432" w:rsidRDefault="00BF0126" w:rsidP="00BF0126">
      <w:pPr>
        <w:pStyle w:val="Body"/>
        <w:spacing w:before="120"/>
        <w:jc w:val="both"/>
        <w:rPr>
          <w:rFonts w:ascii="Times New Roman" w:hAnsi="Times New Roman" w:cs="Times New Roman"/>
        </w:rPr>
      </w:pPr>
      <w:r>
        <w:rPr>
          <w:rFonts w:ascii="Times New Roman" w:hAnsi="Times New Roman" w:cs="Times New Roman"/>
        </w:rPr>
        <w:t>Once the quality assurance of the Gaussian curves is complete, w</w:t>
      </w:r>
      <w:r w:rsidRPr="00021432">
        <w:rPr>
          <w:rFonts w:ascii="Times New Roman" w:hAnsi="Times New Roman" w:cs="Times New Roman"/>
        </w:rPr>
        <w:t xml:space="preserve">e calculate </w:t>
      </w:r>
      <w:r>
        <w:rPr>
          <w:rFonts w:ascii="Times New Roman" w:hAnsi="Times New Roman" w:cs="Times New Roman"/>
        </w:rPr>
        <w:t xml:space="preserve">the </w:t>
      </w:r>
      <w:r w:rsidRPr="00021432">
        <w:rPr>
          <w:rFonts w:ascii="Times New Roman" w:hAnsi="Times New Roman" w:cs="Times New Roman"/>
        </w:rPr>
        <w:t>city’s CO</w:t>
      </w:r>
      <w:r w:rsidRPr="00021432">
        <w:rPr>
          <w:rFonts w:ascii="Times New Roman" w:hAnsi="Times New Roman" w:cs="Times New Roman"/>
          <w:vertAlign w:val="subscript"/>
        </w:rPr>
        <w:t>2</w:t>
      </w:r>
      <w:r w:rsidRPr="00021432">
        <w:rPr>
          <w:rFonts w:ascii="Times New Roman" w:hAnsi="Times New Roman" w:cs="Times New Roman"/>
        </w:rPr>
        <w:t xml:space="preserve"> emissions</w:t>
      </w:r>
      <w:r>
        <w:rPr>
          <w:rFonts w:ascii="Times New Roman" w:hAnsi="Times New Roman" w:cs="Times New Roman"/>
        </w:rPr>
        <w:t xml:space="preserve"> using</w:t>
      </w:r>
      <w:r w:rsidRPr="00021432">
        <w:rPr>
          <w:rFonts w:ascii="Times New Roman" w:hAnsi="Times New Roman" w:cs="Times New Roman"/>
        </w:rPr>
        <w:t xml:space="preserve"> the following equation</w:t>
      </w:r>
      <w:r>
        <w:rPr>
          <w:rFonts w:ascii="Times New Roman" w:hAnsi="Times New Roman" w:cs="Times New Roman"/>
        </w:rPr>
        <w:t>,</w:t>
      </w:r>
      <w:r w:rsidRPr="00021432">
        <w:rPr>
          <w:rFonts w:ascii="Times New Roman" w:hAnsi="Times New Roman" w:cs="Times New Roman"/>
        </w:rPr>
        <w:t xml:space="preserve"> </w:t>
      </w:r>
      <w:r>
        <w:rPr>
          <w:rFonts w:ascii="Times New Roman" w:hAnsi="Times New Roman" w:cs="Times New Roman"/>
        </w:rPr>
        <w:t xml:space="preserve">adapted from </w:t>
      </w:r>
      <w:r w:rsidRPr="00021432">
        <w:rPr>
          <w:rFonts w:ascii="Times New Roman" w:hAnsi="Times New Roman" w:cs="Times New Roman"/>
        </w:rPr>
        <w:t>R2019:</w:t>
      </w:r>
    </w:p>
    <w:p w14:paraId="5C26F73E" w14:textId="77777777" w:rsidR="00BF0126" w:rsidRPr="00021432" w:rsidRDefault="00BF0126" w:rsidP="00BF0126">
      <w:pPr>
        <w:pStyle w:val="Body"/>
        <w:spacing w:beforeLines="120" w:before="288"/>
        <w:ind w:left="2160" w:firstLine="720"/>
        <w:jc w:val="both"/>
        <w:rPr>
          <w:rFonts w:ascii="Times New Roman" w:hAnsi="Times New Roman" w:cs="Times New Roman"/>
        </w:rPr>
      </w:pPr>
      <m:oMath>
        <m:r>
          <w:rPr>
            <w:rFonts w:ascii="Cambria Math" w:hAnsi="Cambria Math" w:cs="Times New Roman"/>
          </w:rPr>
          <w:lastRenderedPageBreak/>
          <m:t xml:space="preserve">     </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CO2</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π</m:t>
                </m:r>
              </m:num>
              <m:den>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2</m:t>
                        </m:r>
                      </m:e>
                    </m:d>
                  </m:e>
                </m:func>
              </m:den>
            </m:f>
          </m:e>
        </m:rad>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CO2</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4</m:t>
            </m:r>
          </m:sub>
        </m:sSub>
        <m:r>
          <w:rPr>
            <w:rFonts w:ascii="Cambria Math" w:hAnsi="Cambria Math" w:cs="Times New Roman"/>
          </w:rPr>
          <m:t>ws</m:t>
        </m:r>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21432">
        <w:rPr>
          <w:rFonts w:ascii="Times New Roman" w:hAnsi="Times New Roman" w:cs="Times New Roman"/>
        </w:rPr>
        <w:t>(2)</w:t>
      </w:r>
    </w:p>
    <w:p w14:paraId="5DE7DBFD" w14:textId="77777777" w:rsidR="00BF0126" w:rsidRDefault="00BF0126" w:rsidP="00BF0126">
      <w:pPr>
        <w:pStyle w:val="Body"/>
        <w:spacing w:before="120"/>
        <w:ind w:firstLine="115"/>
        <w:jc w:val="both"/>
        <w:rPr>
          <w:rFonts w:ascii="Times New Roman" w:hAnsi="Times New Roman" w:cs="Times New Roman"/>
        </w:rPr>
      </w:pPr>
      <w:r w:rsidRPr="00021432">
        <w:rPr>
          <w:rFonts w:ascii="Times New Roman" w:hAnsi="Times New Roman" w:cs="Times New Roman"/>
        </w:rPr>
        <w:t>where ECO</w:t>
      </w:r>
      <w:r w:rsidRPr="00021432">
        <w:rPr>
          <w:rFonts w:ascii="Times New Roman" w:hAnsi="Times New Roman" w:cs="Times New Roman"/>
          <w:vertAlign w:val="subscript"/>
        </w:rPr>
        <w:t>2</w:t>
      </w:r>
      <w:r w:rsidRPr="00021432">
        <w:rPr>
          <w:rFonts w:ascii="Times New Roman" w:hAnsi="Times New Roman" w:cs="Times New Roman"/>
        </w:rPr>
        <w:t xml:space="preserve"> is the CO</w:t>
      </w:r>
      <w:r w:rsidRPr="00021432">
        <w:rPr>
          <w:rFonts w:ascii="Times New Roman" w:hAnsi="Times New Roman" w:cs="Times New Roman"/>
          <w:vertAlign w:val="subscript"/>
        </w:rPr>
        <w:t>2</w:t>
      </w:r>
      <w:r w:rsidRPr="00021432">
        <w:rPr>
          <w:rFonts w:ascii="Times New Roman" w:hAnsi="Times New Roman" w:cs="Times New Roman"/>
        </w:rPr>
        <w:t xml:space="preserve"> emissions in million tons of CO</w:t>
      </w:r>
      <w:r w:rsidRPr="00021432">
        <w:rPr>
          <w:rFonts w:ascii="Times New Roman" w:hAnsi="Times New Roman" w:cs="Times New Roman"/>
          <w:vertAlign w:val="subscript"/>
        </w:rPr>
        <w:t>2</w:t>
      </w:r>
      <w:r w:rsidRPr="00021432">
        <w:rPr>
          <w:rFonts w:ascii="Times New Roman" w:hAnsi="Times New Roman" w:cs="Times New Roman"/>
        </w:rPr>
        <w:t xml:space="preserve"> (MtCO</w:t>
      </w:r>
      <w:r w:rsidRPr="00021432">
        <w:rPr>
          <w:rFonts w:ascii="Times New Roman" w:hAnsi="Times New Roman" w:cs="Times New Roman"/>
          <w:vertAlign w:val="subscript"/>
        </w:rPr>
        <w:t>2</w:t>
      </w:r>
      <w:r w:rsidRPr="00021432">
        <w:rPr>
          <w:rFonts w:ascii="Times New Roman" w:hAnsi="Times New Roman" w:cs="Times New Roman"/>
        </w:rPr>
        <w:t>) per year, M</w:t>
      </w:r>
      <w:r w:rsidRPr="00021432">
        <w:rPr>
          <w:rFonts w:ascii="Times New Roman" w:hAnsi="Times New Roman" w:cs="Times New Roman"/>
          <w:vertAlign w:val="subscript"/>
        </w:rPr>
        <w:t>CO2</w:t>
      </w:r>
      <w:r w:rsidRPr="00021432">
        <w:rPr>
          <w:rFonts w:ascii="Times New Roman" w:hAnsi="Times New Roman" w:cs="Times New Roman"/>
        </w:rPr>
        <w:t xml:space="preserve"> is the molar mass of CO</w:t>
      </w:r>
      <w:r w:rsidRPr="00021432">
        <w:rPr>
          <w:rFonts w:ascii="Times New Roman" w:hAnsi="Times New Roman" w:cs="Times New Roman"/>
          <w:vertAlign w:val="subscript"/>
        </w:rPr>
        <w:t>2</w:t>
      </w:r>
      <w:r w:rsidRPr="00021432">
        <w:rPr>
          <w:rFonts w:ascii="Times New Roman" w:hAnsi="Times New Roman" w:cs="Times New Roman"/>
        </w:rPr>
        <w:t xml:space="preserve"> (44.01 g mol</w:t>
      </w:r>
      <w:r w:rsidRPr="00447C9B">
        <w:rPr>
          <w:rFonts w:ascii="Times New Roman" w:hAnsi="Times New Roman" w:cs="Times New Roman"/>
          <w:vertAlign w:val="superscript"/>
        </w:rPr>
        <w:t>-1</w:t>
      </w:r>
      <w:r w:rsidRPr="00021432">
        <w:rPr>
          <w:rFonts w:ascii="Times New Roman" w:hAnsi="Times New Roman" w:cs="Times New Roman"/>
        </w:rPr>
        <w:t>), N</w:t>
      </w:r>
      <w:r w:rsidRPr="00021432">
        <w:rPr>
          <w:rFonts w:ascii="Times New Roman" w:hAnsi="Times New Roman" w:cs="Times New Roman"/>
          <w:vertAlign w:val="subscript"/>
        </w:rPr>
        <w:t>A</w:t>
      </w:r>
      <w:r w:rsidRPr="00021432">
        <w:rPr>
          <w:rFonts w:ascii="Times New Roman" w:hAnsi="Times New Roman" w:cs="Times New Roman"/>
        </w:rPr>
        <w:t xml:space="preserve"> is the Avogadro constant (6.022 × 10</w:t>
      </w:r>
      <w:r w:rsidRPr="00021432">
        <w:rPr>
          <w:rFonts w:ascii="Times New Roman" w:hAnsi="Times New Roman" w:cs="Times New Roman"/>
          <w:vertAlign w:val="superscript"/>
        </w:rPr>
        <w:t>23</w:t>
      </w:r>
      <w:r w:rsidRPr="00021432">
        <w:rPr>
          <w:rFonts w:ascii="Times New Roman" w:hAnsi="Times New Roman" w:cs="Times New Roman"/>
        </w:rPr>
        <w:t xml:space="preserve"> mol</w:t>
      </w:r>
      <w:r w:rsidRPr="00021432">
        <w:rPr>
          <w:rFonts w:ascii="Times New Roman" w:hAnsi="Times New Roman" w:cs="Times New Roman"/>
          <w:vertAlign w:val="superscript"/>
        </w:rPr>
        <w:t>-1</w:t>
      </w:r>
      <w:r w:rsidRPr="00021432">
        <w:rPr>
          <w:rFonts w:ascii="Times New Roman" w:hAnsi="Times New Roman" w:cs="Times New Roman"/>
        </w:rPr>
        <w:t>), n</w:t>
      </w:r>
      <w:r w:rsidRPr="00021432">
        <w:rPr>
          <w:rFonts w:ascii="Times New Roman" w:hAnsi="Times New Roman" w:cs="Times New Roman"/>
          <w:vertAlign w:val="subscript"/>
        </w:rPr>
        <w:t>e</w:t>
      </w:r>
      <w:r w:rsidRPr="00021432">
        <w:rPr>
          <w:rFonts w:ascii="Times New Roman" w:hAnsi="Times New Roman" w:cs="Times New Roman"/>
        </w:rPr>
        <w:t xml:space="preserve"> is the number of dry air particles in the atmospheric column</w:t>
      </w:r>
      <w:r>
        <w:rPr>
          <w:rFonts w:ascii="Times New Roman" w:hAnsi="Times New Roman" w:cs="Times New Roman"/>
        </w:rPr>
        <w:t xml:space="preserve"> (m</w:t>
      </w:r>
      <w:r w:rsidRPr="00CE2332">
        <w:rPr>
          <w:rFonts w:ascii="Times New Roman" w:hAnsi="Times New Roman" w:cs="Times New Roman"/>
          <w:vertAlign w:val="superscript"/>
        </w:rPr>
        <w:t>-2</w:t>
      </w:r>
      <w:r>
        <w:rPr>
          <w:rFonts w:ascii="Times New Roman" w:hAnsi="Times New Roman" w:cs="Times New Roman"/>
        </w:rPr>
        <w:t>)</w:t>
      </w:r>
      <w:r w:rsidRPr="00021432">
        <w:rPr>
          <w:rFonts w:ascii="Times New Roman" w:hAnsi="Times New Roman" w:cs="Times New Roman"/>
        </w:rPr>
        <w:t>, b</w:t>
      </w:r>
      <w:r w:rsidRPr="00021432">
        <w:rPr>
          <w:rFonts w:ascii="Times New Roman" w:hAnsi="Times New Roman" w:cs="Times New Roman"/>
          <w:vertAlign w:val="subscript"/>
        </w:rPr>
        <w:t>2</w:t>
      </w:r>
      <w:r w:rsidRPr="00021432">
        <w:rPr>
          <w:rFonts w:ascii="Times New Roman" w:hAnsi="Times New Roman" w:cs="Times New Roman"/>
        </w:rPr>
        <w:t xml:space="preserve"> is the amplitude (ppm)</w:t>
      </w:r>
      <w:r>
        <w:rPr>
          <w:rFonts w:ascii="Times New Roman" w:hAnsi="Times New Roman" w:cs="Times New Roman"/>
        </w:rPr>
        <w:t>,</w:t>
      </w:r>
      <w:r w:rsidRPr="00021432">
        <w:rPr>
          <w:rFonts w:ascii="Times New Roman" w:hAnsi="Times New Roman" w:cs="Times New Roman"/>
        </w:rPr>
        <w:t xml:space="preserve"> b</w:t>
      </w:r>
      <w:r w:rsidRPr="00021432">
        <w:rPr>
          <w:rFonts w:ascii="Times New Roman" w:hAnsi="Times New Roman" w:cs="Times New Roman"/>
          <w:vertAlign w:val="subscript"/>
        </w:rPr>
        <w:t>4</w:t>
      </w:r>
      <w:r w:rsidRPr="00021432">
        <w:rPr>
          <w:rFonts w:ascii="Times New Roman" w:hAnsi="Times New Roman" w:cs="Times New Roman"/>
        </w:rPr>
        <w:t xml:space="preserve"> is the FWHM (km)</w:t>
      </w:r>
      <w:r>
        <w:rPr>
          <w:rFonts w:ascii="Times New Roman" w:hAnsi="Times New Roman" w:cs="Times New Roman"/>
        </w:rPr>
        <w:t xml:space="preserve">, and </w:t>
      </w:r>
      <w:r w:rsidRPr="000B4815">
        <w:rPr>
          <w:rFonts w:ascii="Times New Roman" w:hAnsi="Times New Roman" w:cs="Times New Roman"/>
          <w:i/>
          <w:iCs/>
        </w:rPr>
        <w:t>ws</w:t>
      </w:r>
      <w:r>
        <w:rPr>
          <w:rFonts w:ascii="Times New Roman" w:hAnsi="Times New Roman" w:cs="Times New Roman"/>
        </w:rPr>
        <w:t xml:space="preserve"> is the wind speed orthogonal to the cross section (m/s)</w:t>
      </w:r>
      <w:r w:rsidRPr="00021432">
        <w:rPr>
          <w:rFonts w:ascii="Times New Roman" w:hAnsi="Times New Roman" w:cs="Times New Roman"/>
        </w:rPr>
        <w:t xml:space="preserve">. </w:t>
      </w:r>
      <w:r>
        <w:rPr>
          <w:rFonts w:ascii="Times New Roman" w:hAnsi="Times New Roman" w:cs="Times New Roman"/>
        </w:rPr>
        <w:t>The n</w:t>
      </w:r>
      <w:r w:rsidRPr="004B63DF">
        <w:rPr>
          <w:rFonts w:ascii="Times New Roman" w:hAnsi="Times New Roman" w:cs="Times New Roman"/>
          <w:vertAlign w:val="subscript"/>
        </w:rPr>
        <w:t>e</w:t>
      </w:r>
      <w:r w:rsidRPr="00021432">
        <w:rPr>
          <w:rFonts w:ascii="Times New Roman" w:hAnsi="Times New Roman" w:cs="Times New Roman"/>
        </w:rPr>
        <w:t xml:space="preserve"> </w:t>
      </w:r>
      <w:r>
        <w:rPr>
          <w:rFonts w:ascii="Times New Roman" w:hAnsi="Times New Roman" w:cs="Times New Roman"/>
        </w:rPr>
        <w:t xml:space="preserve">is calculated using </w:t>
      </w:r>
      <w:r w:rsidRPr="0053085C">
        <w:rPr>
          <w:rFonts w:ascii="Times New Roman" w:hAnsi="Times New Roman" w:cs="Times New Roman"/>
        </w:rPr>
        <w:t>OCO-3 surface pressure retrieval (P</w:t>
      </w:r>
      <w:r w:rsidRPr="0053085C">
        <w:rPr>
          <w:rFonts w:ascii="Times New Roman" w:hAnsi="Times New Roman" w:cs="Times New Roman"/>
          <w:vertAlign w:val="subscript"/>
        </w:rPr>
        <w:t>surf</w:t>
      </w:r>
      <w:r>
        <w:rPr>
          <w:rFonts w:ascii="Times New Roman" w:hAnsi="Times New Roman" w:cs="Times New Roman"/>
        </w:rPr>
        <w:t xml:space="preserve">) </w:t>
      </w:r>
      <w:r w:rsidRPr="0053085C">
        <w:rPr>
          <w:rFonts w:ascii="Times New Roman" w:hAnsi="Times New Roman" w:cs="Times New Roman"/>
        </w:rPr>
        <w:t>assuming hydrostatic pressure in the standard atmosphere.</w:t>
      </w:r>
    </w:p>
    <w:p w14:paraId="22EF6A47" w14:textId="77777777" w:rsidR="00BF0126" w:rsidRDefault="00BF0126" w:rsidP="00BF0126">
      <w:pPr>
        <w:pStyle w:val="Body"/>
        <w:spacing w:before="120"/>
        <w:jc w:val="both"/>
        <w:rPr>
          <w:rFonts w:ascii="Times New Roman" w:hAnsi="Times New Roman" w:cs="Times New Roman"/>
        </w:rPr>
      </w:pPr>
      <w:r>
        <w:rPr>
          <w:rFonts w:ascii="Times New Roman" w:hAnsi="Times New Roman" w:cs="Times New Roman"/>
        </w:rPr>
        <w:t xml:space="preserve">To </w:t>
      </w:r>
      <w:r w:rsidRPr="0053085C">
        <w:rPr>
          <w:rFonts w:ascii="Times New Roman" w:hAnsi="Times New Roman" w:cs="Times New Roman"/>
        </w:rPr>
        <w:t>calculate annual emissions</w:t>
      </w:r>
      <w:r>
        <w:rPr>
          <w:rFonts w:ascii="Times New Roman" w:hAnsi="Times New Roman" w:cs="Times New Roman"/>
        </w:rPr>
        <w:t xml:space="preserve">, we combine hourly emission estimates from SAMs using </w:t>
      </w:r>
      <w:r w:rsidRPr="0053085C">
        <w:rPr>
          <w:rFonts w:ascii="Times New Roman" w:hAnsi="Times New Roman" w:cs="Times New Roman"/>
        </w:rPr>
        <w:t xml:space="preserve">diurnal and weekly scaling factors from Temporal Improvements for Modeling Emissions by Scaling (TIMES, global 0.25° grids) </w:t>
      </w:r>
      <w:r w:rsidRPr="0053085C">
        <w:rPr>
          <w:rFonts w:ascii="Times New Roman" w:hAnsi="Times New Roman" w:cs="Times New Roman"/>
        </w:rPr>
        <w:fldChar w:fldCharType="begin"/>
      </w:r>
      <w:r>
        <w:rPr>
          <w:rFonts w:ascii="Times New Roman" w:hAnsi="Times New Roman" w:cs="Times New Roman"/>
        </w:rPr>
        <w:instrText xml:space="preserve"> ADDIN ZOTERO_ITEM CSL_CITATION {"citationID":"wUGDjDbU","properties":{"formattedCitation":"(Nassar et al., 2013)","plainCitation":"(Nassar et al., 2013)","noteIndex":0},"citationItems":[{"id":951,"uris":["http://zotero.org/users/12959951/items/BBPG4ZWC"],"itemData":{"id":951,"type":"article-journal","abstract":"Through an analysis of multiple global fossil fuel CO2 emission data sets, Vulcan emission data for the United States, Canada's National Inventory Report, and NO2 variability based on satellite observations, we derive scale factors that can be applied to global emission data sets to represent weekly and diurnal CO2 emission variability. This is important for inverse modeling and data assimilation of CO2, which use in situ or satellite measurements subject to variability on these time scales. Model simulations applying the weekly and diurnal scaling show that, although the impacts are minor far away from sources, surface atmospheric CO2 is perturbed by up to 1.5−8 ppm and column-averaged CO2 is perturbed by 0.1−0.5 ppm over some major cities, suggesting the magnitude of model biases for urban areas when these modes of temporal variability are not represented. In addition, we also derive scale factors to account for the large per capita differences in CO2 emissions between Canadian provinces that arise from differences in per capita energy use and the proportion of energy generated by methods that do not emit CO2, which are not accounted for in population-based global emission data sets. The resulting products of these analyses are global 0.25° × 0.25° gridded scale factor maps that can be applied to global fossil fuel CO2 emission data sets to represent weekly and diurnal variability and 1° × 1° scale factor maps to redistribute spatially emissions from two common global data sets to account for differences in per capita emissions within Canada.","container-title":"Journal of Geophysical Research: Atmospheres","DOI":"https://doi.org/10.1029/2012JD018196","issue":"2","note":"_eprint: https://agupubs.onlinelibrary.wiley.com/doi/pdf/10.1029/2012JD018196","page":"917-933","title":"Improving the temporal and spatial distribution of CO2 emissions from global fossil fuel emission data sets","volume":"118","author":[{"family":"Nassar","given":"Ray"},{"family":"Napier-Linton","given":"Louis"},{"family":"Gurney","given":"Kevin R."},{"family":"Andres","given":"Robert J."},{"family":"Oda","given":"Tomohiro"},{"family":"Vogel","given":"Felix R."},{"family":"Deng","given":"Feng"}],"issued":{"date-parts":[["2013"]]}}}],"schema":"https://github.com/citation-style-language/schema/raw/master/csl-citation.json"} </w:instrText>
      </w:r>
      <w:r w:rsidRPr="0053085C">
        <w:rPr>
          <w:rFonts w:ascii="Times New Roman" w:hAnsi="Times New Roman" w:cs="Times New Roman"/>
        </w:rPr>
        <w:fldChar w:fldCharType="separate"/>
      </w:r>
      <w:r>
        <w:rPr>
          <w:rFonts w:ascii="Times New Roman" w:hAnsi="Times New Roman" w:cs="Times New Roman"/>
        </w:rPr>
        <w:t>(Nassar et al., 2013)</w:t>
      </w:r>
      <w:r w:rsidRPr="0053085C">
        <w:rPr>
          <w:rFonts w:ascii="Times New Roman" w:hAnsi="Times New Roman" w:cs="Times New Roman"/>
        </w:rPr>
        <w:fldChar w:fldCharType="end"/>
      </w:r>
      <w:r w:rsidRPr="0053085C">
        <w:rPr>
          <w:rFonts w:ascii="Times New Roman" w:hAnsi="Times New Roman" w:cs="Times New Roman"/>
        </w:rPr>
        <w:t xml:space="preserve">, and monthly scaling factors derived from ODIAC’s monthly emissions for each city </w:t>
      </w:r>
      <w:r w:rsidRPr="0053085C">
        <w:rPr>
          <w:rFonts w:ascii="Times New Roman" w:hAnsi="Times New Roman" w:cs="Times New Roman"/>
        </w:rPr>
        <w:fldChar w:fldCharType="begin"/>
      </w:r>
      <w:r>
        <w:rPr>
          <w:rFonts w:ascii="Times New Roman" w:hAnsi="Times New Roman" w:cs="Times New Roman"/>
        </w:rPr>
        <w:instrText xml:space="preserve"> ADDIN ZOTERO_ITEM CSL_CITATION {"citationID":"uzBl0Qgd","properties":{"formattedCitation":"(T. Oda et al., 2018)","plainCitation":"(T. Oda et al., 2018)","noteIndex":0},"citationItems":[{"id":706,"uris":["http://zotero.org/users/12959951/items/REBPYBR2"]</w:instrText>
      </w:r>
      <w:r>
        <w:rPr>
          <w:rFonts w:ascii="Times New Roman" w:hAnsi="Times New Roman" w:cs="Times New Roman" w:hint="eastAsia"/>
        </w:rPr>
        <w:instrText>,"itemData":{"id":706,"type":"article-journal","container-title":"Earth System Science Data","DOI":"10.5194/essd-10-87-2018","issue":"1","page":"87</w:instrText>
      </w:r>
      <w:r>
        <w:rPr>
          <w:rFonts w:ascii="Times New Roman" w:hAnsi="Times New Roman" w:cs="Times New Roman" w:hint="eastAsia"/>
        </w:rPr>
        <w:instrText>–</w:instrText>
      </w:r>
      <w:r>
        <w:rPr>
          <w:rFonts w:ascii="Times New Roman" w:hAnsi="Times New Roman" w:cs="Times New Roman" w:hint="eastAsia"/>
        </w:rPr>
        <w:instrText>107","title":"The Open-source Data Inventory for Anthropogenic CO</w:instrText>
      </w:r>
      <w:r>
        <w:rPr>
          <w:rFonts w:ascii="Times New Roman" w:hAnsi="Times New Roman" w:cs="Times New Roman" w:hint="eastAsia"/>
        </w:rPr>
        <w:instrText>₂</w:instrText>
      </w:r>
      <w:r>
        <w:rPr>
          <w:rFonts w:ascii="Times New Roman" w:hAnsi="Times New Roman" w:cs="Times New Roman" w:hint="eastAsia"/>
        </w:rPr>
        <w:instrText>, version 2016 (ODIAC2016): a global monthly fossil fuel CO</w:instrText>
      </w:r>
      <w:r>
        <w:rPr>
          <w:rFonts w:ascii="Times New Roman" w:hAnsi="Times New Roman" w:cs="Times New Roman" w:hint="eastAsia"/>
        </w:rPr>
        <w:instrText>₂</w:instrText>
      </w:r>
      <w:r>
        <w:rPr>
          <w:rFonts w:ascii="Times New Roman" w:hAnsi="Times New Roman" w:cs="Times New Roman" w:hint="eastAsia"/>
        </w:rPr>
        <w:instrText xml:space="preserve"> gridded emissions data product for tracer transport simulations and surface flux inversions","volume":"10","author":[{"family":"Oda","given":"T."},{"family":"Maksyutov","given":"S."},{"family":"Andres","given":"R. J."}],"issued":{"date</w:instrText>
      </w:r>
      <w:r>
        <w:rPr>
          <w:rFonts w:ascii="Times New Roman" w:hAnsi="Times New Roman" w:cs="Times New Roman"/>
        </w:rPr>
        <w:instrText xml:space="preserve">-parts":[["2018"]]}},"label":"page"}],"schema":"https://github.com/citation-style-language/schema/raw/master/csl-citation.json"} </w:instrText>
      </w:r>
      <w:r w:rsidRPr="0053085C">
        <w:rPr>
          <w:rFonts w:ascii="Times New Roman" w:hAnsi="Times New Roman" w:cs="Times New Roman"/>
        </w:rPr>
        <w:fldChar w:fldCharType="separate"/>
      </w:r>
      <w:r>
        <w:rPr>
          <w:rFonts w:ascii="Times New Roman" w:hAnsi="Times New Roman" w:cs="Times New Roman"/>
        </w:rPr>
        <w:t>(T. Oda et al., 2018)</w:t>
      </w:r>
      <w:r w:rsidRPr="0053085C">
        <w:rPr>
          <w:rFonts w:ascii="Times New Roman" w:hAnsi="Times New Roman" w:cs="Times New Roman"/>
        </w:rPr>
        <w:fldChar w:fldCharType="end"/>
      </w:r>
      <w:r w:rsidRPr="0053085C">
        <w:rPr>
          <w:rFonts w:ascii="Times New Roman" w:hAnsi="Times New Roman" w:cs="Times New Roman"/>
        </w:rPr>
        <w:t>.</w:t>
      </w:r>
      <w:r>
        <w:rPr>
          <w:rFonts w:ascii="Times New Roman" w:hAnsi="Times New Roman" w:cs="Times New Roman"/>
        </w:rPr>
        <w:t xml:space="preserve"> For scaling from hourly to daily emissions, the diurnal scaling factor is inversely weighted by the </w:t>
      </w:r>
      <w:r w:rsidRPr="0053085C">
        <w:rPr>
          <w:rFonts w:ascii="Times New Roman" w:hAnsi="Times New Roman" w:cs="Times New Roman"/>
        </w:rPr>
        <w:t>1σ</w:t>
      </w:r>
      <w:r>
        <w:rPr>
          <w:rFonts w:ascii="Times New Roman" w:hAnsi="Times New Roman" w:cs="Times New Roman"/>
        </w:rPr>
        <w:t xml:space="preserve"> uncertainty of E</w:t>
      </w:r>
      <w:r w:rsidRPr="000366A6">
        <w:rPr>
          <w:rFonts w:ascii="Times New Roman" w:hAnsi="Times New Roman" w:cs="Times New Roman"/>
          <w:vertAlign w:val="subscript"/>
        </w:rPr>
        <w:t>CO2</w:t>
      </w:r>
      <w:r>
        <w:rPr>
          <w:rFonts w:ascii="Times New Roman" w:hAnsi="Times New Roman" w:cs="Times New Roman"/>
        </w:rPr>
        <w:t>. (i.e., larger weights are given to emission estimates with smaller uncertainties). For scaling from daily to monthly and monthly to annual emissions, ODIAC scaling factors are weighted by the number of high-quality Gaussian curves fitted for each OCO-3 SAM (i.e., larger weights are assigned to daily/monthly emission estimates that are derived from a larger number of Gaussian curves).</w:t>
      </w:r>
    </w:p>
    <w:p w14:paraId="55CCF8D0" w14:textId="77777777" w:rsidR="00BF0126" w:rsidRDefault="00BF0126" w:rsidP="00BF0126">
      <w:pPr>
        <w:pStyle w:val="Body"/>
        <w:spacing w:before="120"/>
        <w:jc w:val="both"/>
        <w:rPr>
          <w:rFonts w:ascii="Times New Roman" w:hAnsi="Times New Roman" w:cs="Times New Roman"/>
        </w:rPr>
      </w:pPr>
      <w:r w:rsidRPr="0053085C">
        <w:rPr>
          <w:rFonts w:ascii="Times New Roman" w:hAnsi="Times New Roman" w:cs="Times New Roman"/>
        </w:rPr>
        <w:t xml:space="preserve">We </w:t>
      </w:r>
      <w:r>
        <w:rPr>
          <w:rFonts w:ascii="Times New Roman" w:hAnsi="Times New Roman" w:cs="Times New Roman"/>
        </w:rPr>
        <w:t>calculate the</w:t>
      </w:r>
      <w:r w:rsidRPr="0053085C">
        <w:rPr>
          <w:rFonts w:ascii="Times New Roman" w:hAnsi="Times New Roman" w:cs="Times New Roman"/>
        </w:rPr>
        <w:t xml:space="preserve"> 1σ uncertainty </w:t>
      </w:r>
      <w:r>
        <w:rPr>
          <w:rFonts w:ascii="Times New Roman" w:hAnsi="Times New Roman" w:cs="Times New Roman"/>
        </w:rPr>
        <w:t>for</w:t>
      </w:r>
      <w:r w:rsidRPr="0053085C">
        <w:rPr>
          <w:rFonts w:ascii="Times New Roman" w:hAnsi="Times New Roman" w:cs="Times New Roman"/>
        </w:rPr>
        <w:t xml:space="preserve"> the satellite-based CO</w:t>
      </w:r>
      <w:r w:rsidRPr="0053085C">
        <w:rPr>
          <w:rFonts w:ascii="Times New Roman" w:hAnsi="Times New Roman" w:cs="Times New Roman"/>
          <w:vertAlign w:val="subscript"/>
        </w:rPr>
        <w:t>2</w:t>
      </w:r>
      <w:r w:rsidRPr="0053085C">
        <w:rPr>
          <w:rFonts w:ascii="Times New Roman" w:hAnsi="Times New Roman" w:cs="Times New Roman"/>
        </w:rPr>
        <w:t xml:space="preserve"> emission estimates by propagating six sources of uncertainty: </w:t>
      </w:r>
      <w:r>
        <w:rPr>
          <w:rFonts w:ascii="Times New Roman" w:hAnsi="Times New Roman" w:cs="Times New Roman"/>
        </w:rPr>
        <w:t>(</w:t>
      </w:r>
      <w:r w:rsidRPr="0053085C">
        <w:rPr>
          <w:rFonts w:ascii="Times New Roman" w:hAnsi="Times New Roman" w:cs="Times New Roman"/>
        </w:rPr>
        <w:t>1</w:t>
      </w:r>
      <w:r>
        <w:rPr>
          <w:rFonts w:ascii="Times New Roman" w:hAnsi="Times New Roman" w:cs="Times New Roman"/>
        </w:rPr>
        <w:t>, 2</w:t>
      </w:r>
      <w:r w:rsidRPr="0053085C">
        <w:rPr>
          <w:rFonts w:ascii="Times New Roman" w:hAnsi="Times New Roman" w:cs="Times New Roman"/>
        </w:rPr>
        <w:t>)</w:t>
      </w:r>
      <w:r>
        <w:rPr>
          <w:rFonts w:ascii="Times New Roman" w:hAnsi="Times New Roman" w:cs="Times New Roman"/>
        </w:rPr>
        <w:t xml:space="preserve"> </w:t>
      </w:r>
      <w:r w:rsidRPr="0053085C">
        <w:rPr>
          <w:rFonts w:ascii="Times New Roman" w:hAnsi="Times New Roman" w:cs="Times New Roman"/>
        </w:rPr>
        <w:t>one standard deviation error</w:t>
      </w:r>
      <w:r>
        <w:rPr>
          <w:rFonts w:ascii="Times New Roman" w:hAnsi="Times New Roman" w:cs="Times New Roman"/>
        </w:rPr>
        <w:t xml:space="preserve"> </w:t>
      </w:r>
      <w:r w:rsidRPr="0053085C">
        <w:rPr>
          <w:rFonts w:ascii="Times New Roman" w:hAnsi="Times New Roman" w:cs="Times New Roman"/>
        </w:rPr>
        <w:t>of the Gaussian curve amplitude</w:t>
      </w:r>
      <w:r>
        <w:rPr>
          <w:rFonts w:ascii="Times New Roman" w:hAnsi="Times New Roman" w:cs="Times New Roman"/>
        </w:rPr>
        <w:t xml:space="preserve"> and FWHM</w:t>
      </w:r>
      <w:r w:rsidRPr="0053085C">
        <w:rPr>
          <w:rFonts w:ascii="Times New Roman" w:hAnsi="Times New Roman" w:cs="Times New Roman"/>
        </w:rPr>
        <w:t xml:space="preserve"> (σ</w:t>
      </w:r>
      <w:r w:rsidRPr="0053085C">
        <w:rPr>
          <w:rFonts w:ascii="Times New Roman" w:hAnsi="Times New Roman" w:cs="Times New Roman"/>
          <w:vertAlign w:val="subscript"/>
        </w:rPr>
        <w:t>b2</w:t>
      </w:r>
      <w:r>
        <w:rPr>
          <w:rFonts w:ascii="Times New Roman" w:hAnsi="Times New Roman" w:cs="Times New Roman"/>
        </w:rPr>
        <w:t xml:space="preserve"> and </w:t>
      </w:r>
      <w:r w:rsidRPr="0053085C">
        <w:rPr>
          <w:rFonts w:ascii="Times New Roman" w:hAnsi="Times New Roman" w:cs="Times New Roman"/>
        </w:rPr>
        <w:t>σ</w:t>
      </w:r>
      <w:r w:rsidRPr="0053085C">
        <w:rPr>
          <w:rFonts w:ascii="Times New Roman" w:hAnsi="Times New Roman" w:cs="Times New Roman"/>
          <w:vertAlign w:val="subscript"/>
        </w:rPr>
        <w:t>b</w:t>
      </w:r>
      <w:r>
        <w:rPr>
          <w:rFonts w:ascii="Times New Roman" w:hAnsi="Times New Roman" w:cs="Times New Roman"/>
          <w:vertAlign w:val="subscript"/>
        </w:rPr>
        <w:t>4</w:t>
      </w:r>
      <w:r w:rsidRPr="0053085C">
        <w:rPr>
          <w:rFonts w:ascii="Times New Roman" w:hAnsi="Times New Roman" w:cs="Times New Roman"/>
        </w:rPr>
        <w:t xml:space="preserve">), </w:t>
      </w:r>
      <w:r>
        <w:rPr>
          <w:rFonts w:ascii="Times New Roman" w:hAnsi="Times New Roman" w:cs="Times New Roman"/>
        </w:rPr>
        <w:t>(</w:t>
      </w:r>
      <w:r w:rsidRPr="0053085C">
        <w:rPr>
          <w:rFonts w:ascii="Times New Roman" w:hAnsi="Times New Roman" w:cs="Times New Roman"/>
        </w:rPr>
        <w:t>3) orthogonal wind speed (σ</w:t>
      </w:r>
      <w:r w:rsidRPr="0053085C">
        <w:rPr>
          <w:rFonts w:ascii="Times New Roman" w:hAnsi="Times New Roman" w:cs="Times New Roman"/>
          <w:vertAlign w:val="subscript"/>
        </w:rPr>
        <w:t>ws</w:t>
      </w:r>
      <w:r w:rsidRPr="0053085C">
        <w:rPr>
          <w:rFonts w:ascii="Times New Roman" w:hAnsi="Times New Roman" w:cs="Times New Roman"/>
        </w:rPr>
        <w:t xml:space="preserve">), </w:t>
      </w:r>
      <w:r>
        <w:rPr>
          <w:rFonts w:ascii="Times New Roman" w:hAnsi="Times New Roman" w:cs="Times New Roman"/>
        </w:rPr>
        <w:t>(</w:t>
      </w:r>
      <w:r w:rsidRPr="0053085C">
        <w:rPr>
          <w:rFonts w:ascii="Times New Roman" w:hAnsi="Times New Roman" w:cs="Times New Roman"/>
        </w:rPr>
        <w:t>4) diurnal scaling factor</w:t>
      </w:r>
      <w:r>
        <w:rPr>
          <w:rFonts w:ascii="Times New Roman" w:hAnsi="Times New Roman" w:cs="Times New Roman"/>
        </w:rPr>
        <w:t xml:space="preserve"> from TIMES</w:t>
      </w:r>
      <w:r w:rsidRPr="0053085C">
        <w:rPr>
          <w:rFonts w:ascii="Times New Roman" w:hAnsi="Times New Roman" w:cs="Times New Roman"/>
        </w:rPr>
        <w:t xml:space="preserve"> (σ</w:t>
      </w:r>
      <w:r w:rsidRPr="0053085C">
        <w:rPr>
          <w:rFonts w:ascii="Times New Roman" w:hAnsi="Times New Roman" w:cs="Times New Roman"/>
          <w:vertAlign w:val="subscript"/>
        </w:rPr>
        <w:t>diurnal</w:t>
      </w:r>
      <w:r w:rsidRPr="0053085C">
        <w:rPr>
          <w:rFonts w:ascii="Times New Roman" w:hAnsi="Times New Roman" w:cs="Times New Roman"/>
        </w:rPr>
        <w:t xml:space="preserve">), </w:t>
      </w:r>
      <w:r>
        <w:rPr>
          <w:rFonts w:ascii="Times New Roman" w:hAnsi="Times New Roman" w:cs="Times New Roman"/>
        </w:rPr>
        <w:t>(</w:t>
      </w:r>
      <w:r w:rsidRPr="0053085C">
        <w:rPr>
          <w:rFonts w:ascii="Times New Roman" w:hAnsi="Times New Roman" w:cs="Times New Roman"/>
        </w:rPr>
        <w:t>5</w:t>
      </w:r>
      <w:r>
        <w:rPr>
          <w:rFonts w:ascii="Times New Roman" w:hAnsi="Times New Roman" w:cs="Times New Roman"/>
        </w:rPr>
        <w:t>, 6</w:t>
      </w:r>
      <w:r w:rsidRPr="0053085C">
        <w:rPr>
          <w:rFonts w:ascii="Times New Roman" w:hAnsi="Times New Roman" w:cs="Times New Roman"/>
        </w:rPr>
        <w:t xml:space="preserve">) weekly </w:t>
      </w:r>
      <w:r>
        <w:rPr>
          <w:rFonts w:ascii="Times New Roman" w:hAnsi="Times New Roman" w:cs="Times New Roman"/>
        </w:rPr>
        <w:t xml:space="preserve">and monthly </w:t>
      </w:r>
      <w:r w:rsidRPr="0053085C">
        <w:rPr>
          <w:rFonts w:ascii="Times New Roman" w:hAnsi="Times New Roman" w:cs="Times New Roman"/>
        </w:rPr>
        <w:t>scaling factor</w:t>
      </w:r>
      <w:r>
        <w:rPr>
          <w:rFonts w:ascii="Times New Roman" w:hAnsi="Times New Roman" w:cs="Times New Roman"/>
        </w:rPr>
        <w:t>s from ODIAC</w:t>
      </w:r>
      <w:r w:rsidRPr="0053085C">
        <w:rPr>
          <w:rFonts w:ascii="Times New Roman" w:hAnsi="Times New Roman" w:cs="Times New Roman"/>
        </w:rPr>
        <w:t xml:space="preserve"> (σ</w:t>
      </w:r>
      <w:r w:rsidRPr="0053085C">
        <w:rPr>
          <w:rFonts w:ascii="Times New Roman" w:hAnsi="Times New Roman" w:cs="Times New Roman"/>
          <w:vertAlign w:val="subscript"/>
        </w:rPr>
        <w:t>weekly</w:t>
      </w:r>
      <w:r>
        <w:rPr>
          <w:rFonts w:ascii="Times New Roman" w:hAnsi="Times New Roman" w:cs="Times New Roman"/>
        </w:rPr>
        <w:t xml:space="preserve"> and </w:t>
      </w:r>
      <w:r w:rsidRPr="0053085C">
        <w:rPr>
          <w:rFonts w:ascii="Times New Roman" w:hAnsi="Times New Roman" w:cs="Times New Roman"/>
        </w:rPr>
        <w:t>σ</w:t>
      </w:r>
      <w:r>
        <w:rPr>
          <w:rFonts w:ascii="Times New Roman" w:hAnsi="Times New Roman" w:cs="Times New Roman"/>
          <w:vertAlign w:val="subscript"/>
        </w:rPr>
        <w:t>monthly</w:t>
      </w:r>
      <w:r w:rsidRPr="0053085C">
        <w:rPr>
          <w:rFonts w:ascii="Times New Roman" w:hAnsi="Times New Roman" w:cs="Times New Roman"/>
        </w:rPr>
        <w:t>).</w:t>
      </w:r>
      <w:r>
        <w:rPr>
          <w:rFonts w:ascii="Times New Roman" w:hAnsi="Times New Roman" w:cs="Times New Roman"/>
        </w:rPr>
        <w:t xml:space="preserve"> </w:t>
      </w:r>
      <w:r w:rsidRPr="0053085C">
        <w:rPr>
          <w:rFonts w:ascii="Times New Roman" w:hAnsi="Times New Roman" w:cs="Times New Roman"/>
        </w:rPr>
        <w:t>The σ</w:t>
      </w:r>
      <w:r w:rsidRPr="0053085C">
        <w:rPr>
          <w:rFonts w:ascii="Times New Roman" w:hAnsi="Times New Roman" w:cs="Times New Roman"/>
          <w:vertAlign w:val="subscript"/>
        </w:rPr>
        <w:t>b2</w:t>
      </w:r>
      <w:r w:rsidRPr="0053085C">
        <w:rPr>
          <w:rFonts w:ascii="Times New Roman" w:hAnsi="Times New Roman" w:cs="Times New Roman"/>
        </w:rPr>
        <w:t xml:space="preserve"> and σ</w:t>
      </w:r>
      <w:r w:rsidRPr="0053085C">
        <w:rPr>
          <w:rFonts w:ascii="Times New Roman" w:hAnsi="Times New Roman" w:cs="Times New Roman"/>
          <w:vertAlign w:val="subscript"/>
        </w:rPr>
        <w:t>b4</w:t>
      </w:r>
      <w:r w:rsidRPr="0053085C">
        <w:rPr>
          <w:rFonts w:ascii="Times New Roman" w:hAnsi="Times New Roman" w:cs="Times New Roman"/>
        </w:rPr>
        <w:t xml:space="preserve"> are calculated </w:t>
      </w:r>
      <w:r>
        <w:rPr>
          <w:rFonts w:ascii="Times New Roman" w:hAnsi="Times New Roman" w:cs="Times New Roman"/>
        </w:rPr>
        <w:t>using the</w:t>
      </w:r>
      <w:r w:rsidRPr="0053085C">
        <w:rPr>
          <w:rFonts w:ascii="Times New Roman" w:hAnsi="Times New Roman" w:cs="Times New Roman"/>
        </w:rPr>
        <w:t xml:space="preserve"> Python SciPy </w:t>
      </w:r>
      <w:r>
        <w:rPr>
          <w:rFonts w:ascii="Times New Roman" w:hAnsi="Times New Roman" w:cs="Times New Roman"/>
        </w:rPr>
        <w:t>p</w:t>
      </w:r>
      <w:r w:rsidRPr="0053085C">
        <w:rPr>
          <w:rFonts w:ascii="Times New Roman" w:hAnsi="Times New Roman" w:cs="Times New Roman"/>
        </w:rPr>
        <w:t>ackage’s curve_fit algorithm. We assign conservative ±30% uncertaint</w:t>
      </w:r>
      <w:r>
        <w:rPr>
          <w:rFonts w:ascii="Times New Roman" w:hAnsi="Times New Roman" w:cs="Times New Roman"/>
        </w:rPr>
        <w:t>ies</w:t>
      </w:r>
      <w:r w:rsidRPr="0053085C">
        <w:rPr>
          <w:rFonts w:ascii="Times New Roman" w:hAnsi="Times New Roman" w:cs="Times New Roman"/>
        </w:rPr>
        <w:t xml:space="preserve"> for wind speed (σ</w:t>
      </w:r>
      <w:r w:rsidRPr="0053085C">
        <w:rPr>
          <w:rFonts w:ascii="Times New Roman" w:hAnsi="Times New Roman" w:cs="Times New Roman"/>
          <w:vertAlign w:val="subscript"/>
        </w:rPr>
        <w:t>ws</w:t>
      </w:r>
      <w:r w:rsidRPr="0053085C">
        <w:rPr>
          <w:rFonts w:ascii="Times New Roman" w:hAnsi="Times New Roman" w:cs="Times New Roman"/>
        </w:rPr>
        <w:t>) and temporal scaling factors (σ</w:t>
      </w:r>
      <w:r w:rsidRPr="0053085C">
        <w:rPr>
          <w:rFonts w:ascii="Times New Roman" w:hAnsi="Times New Roman" w:cs="Times New Roman"/>
          <w:vertAlign w:val="subscript"/>
        </w:rPr>
        <w:t>diurnal</w:t>
      </w:r>
      <w:r w:rsidRPr="0053085C">
        <w:rPr>
          <w:rFonts w:ascii="Times New Roman" w:hAnsi="Times New Roman" w:cs="Times New Roman"/>
        </w:rPr>
        <w:t>, σ</w:t>
      </w:r>
      <w:r w:rsidRPr="0053085C">
        <w:rPr>
          <w:rFonts w:ascii="Times New Roman" w:hAnsi="Times New Roman" w:cs="Times New Roman"/>
          <w:vertAlign w:val="subscript"/>
        </w:rPr>
        <w:t>weekly</w:t>
      </w:r>
      <w:r w:rsidRPr="0053085C">
        <w:rPr>
          <w:rFonts w:ascii="Times New Roman" w:hAnsi="Times New Roman" w:cs="Times New Roman"/>
        </w:rPr>
        <w:t>, σ</w:t>
      </w:r>
      <w:r w:rsidRPr="0053085C">
        <w:rPr>
          <w:rFonts w:ascii="Times New Roman" w:hAnsi="Times New Roman" w:cs="Times New Roman"/>
          <w:vertAlign w:val="subscript"/>
        </w:rPr>
        <w:t>monthly</w:t>
      </w:r>
      <w:r w:rsidRPr="0053085C">
        <w:rPr>
          <w:rFonts w:ascii="Times New Roman" w:hAnsi="Times New Roman" w:cs="Times New Roman"/>
        </w:rPr>
        <w:t xml:space="preserve">). </w:t>
      </w:r>
    </w:p>
    <w:p w14:paraId="3372274B"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rPr>
        <w:t>We also tested the sensitivity of our satellite-based CO</w:t>
      </w:r>
      <w:r w:rsidRPr="00D54661">
        <w:rPr>
          <w:rFonts w:ascii="Times New Roman" w:hAnsi="Times New Roman" w:cs="Times New Roman"/>
          <w:vertAlign w:val="subscript"/>
        </w:rPr>
        <w:t>2</w:t>
      </w:r>
      <w:r>
        <w:rPr>
          <w:rFonts w:ascii="Times New Roman" w:hAnsi="Times New Roman" w:cs="Times New Roman"/>
        </w:rPr>
        <w:t xml:space="preserve"> emission estimates calculated without incorporating TROPOMI NO</w:t>
      </w:r>
      <w:r w:rsidRPr="004E59DB">
        <w:rPr>
          <w:rFonts w:ascii="Times New Roman" w:hAnsi="Times New Roman" w:cs="Times New Roman"/>
          <w:vertAlign w:val="subscript"/>
        </w:rPr>
        <w:t>2</w:t>
      </w:r>
      <w:r>
        <w:rPr>
          <w:rFonts w:ascii="Times New Roman" w:hAnsi="Times New Roman" w:cs="Times New Roman"/>
        </w:rPr>
        <w:t xml:space="preserve"> measurements and/or HYSPLIT trajectories (see Text S3). Our results show that </w:t>
      </w:r>
      <w:r>
        <w:rPr>
          <w:rFonts w:ascii="Times New Roman" w:hAnsi="Times New Roman" w:cs="Times New Roman"/>
          <w:color w:val="000000" w:themeColor="text1"/>
        </w:rPr>
        <w:t>including TROPOMI NO</w:t>
      </w:r>
      <w:r w:rsidRPr="00A40349">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measurements and HYSPLIT trajectories improves the emission estimates―</w:t>
      </w:r>
      <w:r w:rsidRPr="009319F4">
        <w:rPr>
          <w:rFonts w:ascii="Times New Roman" w:hAnsi="Times New Roman" w:cs="Times New Roman"/>
          <w:color w:val="000000" w:themeColor="text1"/>
        </w:rPr>
        <w:t>incorporating TROPOMI NO</w:t>
      </w:r>
      <w:r w:rsidRPr="009319F4">
        <w:rPr>
          <w:rFonts w:ascii="Times New Roman" w:hAnsi="Times New Roman" w:cs="Times New Roman"/>
          <w:color w:val="000000" w:themeColor="text1"/>
          <w:vertAlign w:val="subscript"/>
        </w:rPr>
        <w:t>2</w:t>
      </w:r>
      <w:r w:rsidRPr="009319F4">
        <w:rPr>
          <w:rFonts w:ascii="Times New Roman" w:hAnsi="Times New Roman" w:cs="Times New Roman"/>
          <w:color w:val="000000" w:themeColor="text1"/>
        </w:rPr>
        <w:t xml:space="preserve"> </w:t>
      </w:r>
      <w:r>
        <w:rPr>
          <w:rFonts w:ascii="Times New Roman" w:hAnsi="Times New Roman" w:cs="Times New Roman"/>
          <w:color w:val="000000" w:themeColor="text1"/>
        </w:rPr>
        <w:t>enhances</w:t>
      </w:r>
      <w:r w:rsidRPr="009319F4">
        <w:rPr>
          <w:rFonts w:ascii="Times New Roman" w:hAnsi="Times New Roman" w:cs="Times New Roman"/>
          <w:color w:val="000000" w:themeColor="text1"/>
        </w:rPr>
        <w:t xml:space="preserve"> the quality of Gaussian curve</w:t>
      </w:r>
      <w:r>
        <w:rPr>
          <w:rFonts w:ascii="Times New Roman" w:hAnsi="Times New Roman" w:cs="Times New Roman"/>
          <w:color w:val="000000" w:themeColor="text1"/>
        </w:rPr>
        <w:t>s</w:t>
      </w:r>
      <w:r w:rsidRPr="009319F4">
        <w:rPr>
          <w:rFonts w:ascii="Times New Roman" w:hAnsi="Times New Roman" w:cs="Times New Roman"/>
          <w:color w:val="000000" w:themeColor="text1"/>
        </w:rPr>
        <w:t xml:space="preserve">, </w:t>
      </w:r>
      <w:r>
        <w:rPr>
          <w:rFonts w:ascii="Times New Roman" w:hAnsi="Times New Roman" w:cs="Times New Roman"/>
          <w:color w:val="000000" w:themeColor="text1"/>
        </w:rPr>
        <w:t>while</w:t>
      </w:r>
      <w:r w:rsidRPr="009319F4">
        <w:rPr>
          <w:rFonts w:ascii="Times New Roman" w:hAnsi="Times New Roman" w:cs="Times New Roman"/>
          <w:color w:val="000000" w:themeColor="text1"/>
        </w:rPr>
        <w:t xml:space="preserve"> incorporating HYSPLIT trajector</w:t>
      </w:r>
      <w:r>
        <w:rPr>
          <w:rFonts w:ascii="Times New Roman" w:hAnsi="Times New Roman" w:cs="Times New Roman"/>
          <w:color w:val="000000" w:themeColor="text1"/>
        </w:rPr>
        <w:t>ies</w:t>
      </w:r>
      <w:r w:rsidRPr="009319F4">
        <w:rPr>
          <w:rFonts w:ascii="Times New Roman" w:hAnsi="Times New Roman" w:cs="Times New Roman"/>
          <w:color w:val="000000" w:themeColor="text1"/>
        </w:rPr>
        <w:t xml:space="preserve"> increases the </w:t>
      </w:r>
      <w:r>
        <w:rPr>
          <w:rFonts w:ascii="Times New Roman" w:hAnsi="Times New Roman" w:cs="Times New Roman"/>
          <w:color w:val="000000" w:themeColor="text1"/>
        </w:rPr>
        <w:t>likelihood</w:t>
      </w:r>
      <w:r w:rsidRPr="009319F4">
        <w:rPr>
          <w:rFonts w:ascii="Times New Roman" w:hAnsi="Times New Roman" w:cs="Times New Roman"/>
          <w:color w:val="000000" w:themeColor="text1"/>
        </w:rPr>
        <w:t xml:space="preserve"> </w:t>
      </w:r>
      <w:r>
        <w:rPr>
          <w:rFonts w:ascii="Times New Roman" w:hAnsi="Times New Roman" w:cs="Times New Roman"/>
          <w:color w:val="000000" w:themeColor="text1"/>
        </w:rPr>
        <w:t>of</w:t>
      </w:r>
      <w:r w:rsidRPr="009319F4">
        <w:rPr>
          <w:rFonts w:ascii="Times New Roman" w:hAnsi="Times New Roman" w:cs="Times New Roman"/>
          <w:color w:val="000000" w:themeColor="text1"/>
        </w:rPr>
        <w:t xml:space="preserve"> detect</w:t>
      </w:r>
      <w:r>
        <w:rPr>
          <w:rFonts w:ascii="Times New Roman" w:hAnsi="Times New Roman" w:cs="Times New Roman"/>
          <w:color w:val="000000" w:themeColor="text1"/>
        </w:rPr>
        <w:t>ing</w:t>
      </w:r>
      <w:r w:rsidRPr="009319F4">
        <w:rPr>
          <w:rFonts w:ascii="Times New Roman" w:hAnsi="Times New Roman" w:cs="Times New Roman"/>
          <w:color w:val="000000" w:themeColor="text1"/>
        </w:rPr>
        <w:t xml:space="preserve"> urban plumes from satellite pixels</w:t>
      </w:r>
      <w:r>
        <w:rPr>
          <w:rFonts w:ascii="Times New Roman" w:hAnsi="Times New Roman" w:cs="Times New Roman"/>
          <w:color w:val="000000" w:themeColor="text1"/>
        </w:rPr>
        <w:t xml:space="preserve"> (Table S3)</w:t>
      </w:r>
      <w:r w:rsidRPr="009319F4">
        <w:rPr>
          <w:rFonts w:ascii="Times New Roman" w:hAnsi="Times New Roman" w:cs="Times New Roman"/>
          <w:color w:val="000000" w:themeColor="text1"/>
        </w:rPr>
        <w:t>.</w:t>
      </w:r>
    </w:p>
    <w:p w14:paraId="3D5A3905" w14:textId="77777777" w:rsidR="00BF0126" w:rsidRPr="001E3DD8" w:rsidRDefault="00BF0126" w:rsidP="00BF0126">
      <w:pPr>
        <w:pStyle w:val="Heading-Secondary"/>
        <w:ind w:left="0"/>
        <w:rPr>
          <w:b/>
          <w:bCs w:val="0"/>
        </w:rPr>
      </w:pPr>
      <w:r w:rsidRPr="001E3DD8">
        <w:rPr>
          <w:b/>
          <w:bCs w:val="0"/>
        </w:rPr>
        <w:t>2.5. EDGAR and ODIAC</w:t>
      </w:r>
    </w:p>
    <w:p w14:paraId="494A4750" w14:textId="77777777" w:rsidR="00BF0126" w:rsidRDefault="00BF0126" w:rsidP="00BF0126">
      <w:pPr>
        <w:pStyle w:val="Body"/>
        <w:spacing w:before="120"/>
        <w:jc w:val="both"/>
        <w:rPr>
          <w:rFonts w:ascii="Times New Roman" w:eastAsia="Times New Roman" w:hAnsi="Times New Roman" w:cs="Times New Roman"/>
        </w:rPr>
      </w:pPr>
      <w:r w:rsidRPr="00021432">
        <w:rPr>
          <w:rFonts w:ascii="Times New Roman" w:eastAsia="Times New Roman" w:hAnsi="Times New Roman" w:cs="Times New Roman"/>
        </w:rPr>
        <w:t>We use EDGAR</w:t>
      </w:r>
      <w:r>
        <w:rPr>
          <w:rFonts w:ascii="Times New Roman" w:eastAsia="Times New Roman" w:hAnsi="Times New Roman" w:cs="Times New Roman"/>
        </w:rPr>
        <w:t xml:space="preserve"> </w:t>
      </w:r>
      <w:r w:rsidRPr="00021432">
        <w:rPr>
          <w:rFonts w:ascii="Times New Roman" w:eastAsia="Times New Roman" w:hAnsi="Times New Roman" w:cs="Times New Roman"/>
        </w:rPr>
        <w:t xml:space="preserve">v8 </w:t>
      </w:r>
      <w:r w:rsidRPr="00021432">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ZOTERO_ITEM CSL_CITATION {"citationID":"Ng3anEDr","properties":{"formattedCitation":"(European Commission et al., 2023)","plainCitation":"(European Commission et al., 2023)","noteIndex":0},"citationItems":[{"id":705,"uris":["http://zotero.org/users/12959951/items/MEQ4MX4I"],"itemData":{"id":705,"type":"book","note":"DOI: 10.2760/953322","publisher":"Publications Office of the European Union","title":"GHG emissions of all world countries – 2023","author":[{"literal":"European Commission"},{"literal":"Joint Research Centre"},{"family":"Crippa","given":"M"},{"family":"Guizzardi","given":"D"},{"family":"Schaaf","given":"E"},{"family":"Monforti-Ferrario","given":"F"},{"family":"Quadrelli","given":"R"},{"family":"Risquez Martin","given":"A"},{"family":"Rossi","given":"S"},{"family":"Vignati","given":"E"},{"family":"Muntean","given":"M"},{"family":"Brandao De Melo","given":"J"},{"family":"Oom","given":"D"},{"family":"Pagani","given":"F"},{"family":"Banja","given":"M"},{"family":"Taghavi-Moharamli","given":"P"},{"family":"Köykkä","given":"J"},{"family":"Grassi","given":"G"},{"family":"Branco","given":"A"},{"family":"San-Miguel","given":"J"}],"issued":{"date-parts":[["2023"]]}}}],"schema":"https://github.com/citation-style-language/schema/raw/master/csl-citation.json"} </w:instrText>
      </w:r>
      <w:r w:rsidRPr="00021432">
        <w:rPr>
          <w:rFonts w:ascii="Times New Roman" w:eastAsia="Times New Roman" w:hAnsi="Times New Roman" w:cs="Times New Roman"/>
        </w:rPr>
        <w:fldChar w:fldCharType="separate"/>
      </w:r>
      <w:r>
        <w:rPr>
          <w:rFonts w:ascii="Times New Roman" w:hAnsi="Times New Roman" w:cs="Times New Roman"/>
        </w:rPr>
        <w:t>(European Commission et al., 2023)</w:t>
      </w:r>
      <w:r w:rsidRPr="00021432">
        <w:rPr>
          <w:rFonts w:ascii="Times New Roman" w:eastAsia="Times New Roman" w:hAnsi="Times New Roman" w:cs="Times New Roman"/>
        </w:rPr>
        <w:fldChar w:fldCharType="end"/>
      </w:r>
      <w:r w:rsidRPr="00021432">
        <w:rPr>
          <w:rFonts w:ascii="Times New Roman" w:eastAsia="Times New Roman" w:hAnsi="Times New Roman" w:cs="Times New Roman"/>
        </w:rPr>
        <w:t xml:space="preserve"> and ODIAC202</w:t>
      </w:r>
      <w:r>
        <w:rPr>
          <w:rFonts w:ascii="Times New Roman" w:eastAsia="Times New Roman" w:hAnsi="Times New Roman" w:cs="Times New Roman"/>
        </w:rPr>
        <w:t>3</w:t>
      </w:r>
      <w:r w:rsidRPr="00021432">
        <w:rPr>
          <w:rFonts w:ascii="Times New Roman" w:eastAsia="Times New Roman" w:hAnsi="Times New Roman" w:cs="Times New Roman"/>
        </w:rPr>
        <w:t xml:space="preserve"> </w:t>
      </w:r>
      <w:r w:rsidRPr="00021432">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ZOTERO_ITEM CSL_CITATION {"citationID":"SxLCJzl1","properties":{"formattedCitation":"(Oda &amp; Maksyutov, 2015)","plainCitation":"(Oda &amp; Maksyutov, 2015)","noteIndex":0},"citationItems":[{"id":952,"uris":["http://zotero.org/users/12959951/items/5RHDIHXV"],"itemData":{"id":952,"type":"article-journal","container-title":"Center for Global Environmental Research, National Institute for Environmental Studies","DOI":"10.17595/20170411.001","note":"publisher: National Institute for Environmental Studies","title":"ODIAC Fossil Fuel CO2 Emissions Dataset (ODIAC2022)","author":[{"family":"Oda","given":"Tomohiro"},{"family":"Maksyutov","given":"Shamil"}],"issued":{"date-parts":[["2015"]]}},"label":"page","suppress-author":true,"prefix":"Oda &amp; Maksyutov, "}],"schema":"https://github.com/citation-style-language/schema/raw/master/csl-citation.json"} </w:instrText>
      </w:r>
      <w:r w:rsidRPr="00021432">
        <w:rPr>
          <w:rFonts w:ascii="Times New Roman" w:eastAsia="Times New Roman" w:hAnsi="Times New Roman" w:cs="Times New Roman"/>
        </w:rPr>
        <w:fldChar w:fldCharType="separate"/>
      </w:r>
      <w:r>
        <w:rPr>
          <w:rFonts w:ascii="Times New Roman" w:hAnsi="Times New Roman" w:cs="Times New Roman"/>
        </w:rPr>
        <w:t>(Oda &amp; Maksyutov, 2015)</w:t>
      </w:r>
      <w:r w:rsidRPr="00021432">
        <w:rPr>
          <w:rFonts w:ascii="Times New Roman" w:eastAsia="Times New Roman" w:hAnsi="Times New Roman" w:cs="Times New Roman"/>
        </w:rPr>
        <w:fldChar w:fldCharType="end"/>
      </w:r>
      <w:r w:rsidRPr="00021432">
        <w:rPr>
          <w:rFonts w:ascii="Times New Roman" w:eastAsia="Times New Roman" w:hAnsi="Times New Roman" w:cs="Times New Roman"/>
        </w:rPr>
        <w:t xml:space="preserve"> to calculate</w:t>
      </w:r>
      <w:r>
        <w:rPr>
          <w:rFonts w:ascii="Times New Roman" w:eastAsia="Times New Roman" w:hAnsi="Times New Roman" w:cs="Times New Roman"/>
        </w:rPr>
        <w:t xml:space="preserve"> </w:t>
      </w:r>
      <w:r w:rsidRPr="00021432">
        <w:rPr>
          <w:rFonts w:ascii="Times New Roman" w:eastAsia="Times New Roman" w:hAnsi="Times New Roman" w:cs="Times New Roman"/>
        </w:rPr>
        <w:t>annual CO</w:t>
      </w:r>
      <w:r w:rsidRPr="00021432">
        <w:rPr>
          <w:rFonts w:ascii="Times New Roman" w:eastAsia="Times New Roman" w:hAnsi="Times New Roman" w:cs="Times New Roman"/>
          <w:vertAlign w:val="subscript"/>
        </w:rPr>
        <w:t>2</w:t>
      </w:r>
      <w:r w:rsidRPr="00021432">
        <w:rPr>
          <w:rFonts w:ascii="Times New Roman" w:eastAsia="Times New Roman" w:hAnsi="Times New Roman" w:cs="Times New Roman"/>
        </w:rPr>
        <w:t xml:space="preserve"> emissions</w:t>
      </w:r>
      <w:r>
        <w:rPr>
          <w:rFonts w:ascii="Times New Roman" w:eastAsia="Times New Roman" w:hAnsi="Times New Roman" w:cs="Times New Roman"/>
        </w:rPr>
        <w:t xml:space="preserve"> for</w:t>
      </w:r>
      <w:r w:rsidRPr="00021432">
        <w:rPr>
          <w:rFonts w:ascii="Times New Roman" w:eastAsia="Times New Roman" w:hAnsi="Times New Roman" w:cs="Times New Roman"/>
        </w:rPr>
        <w:t xml:space="preserve"> 5</w:t>
      </w:r>
      <w:r>
        <w:rPr>
          <w:rFonts w:ascii="Times New Roman" w:eastAsia="Times New Roman" w:hAnsi="Times New Roman" w:cs="Times New Roman"/>
        </w:rPr>
        <w:t>4</w:t>
      </w:r>
      <w:r w:rsidRPr="00021432">
        <w:rPr>
          <w:rFonts w:ascii="Times New Roman" w:eastAsia="Times New Roman" w:hAnsi="Times New Roman" w:cs="Times New Roman"/>
        </w:rPr>
        <w:t xml:space="preserve"> C40 cities. We </w:t>
      </w:r>
      <w:r>
        <w:rPr>
          <w:rFonts w:ascii="Times New Roman" w:eastAsia="Times New Roman" w:hAnsi="Times New Roman" w:cs="Times New Roman"/>
        </w:rPr>
        <w:t>select</w:t>
      </w:r>
      <w:r w:rsidRPr="00021432">
        <w:rPr>
          <w:rFonts w:ascii="Times New Roman" w:eastAsia="Times New Roman" w:hAnsi="Times New Roman" w:cs="Times New Roman"/>
        </w:rPr>
        <w:t xml:space="preserve"> the year 202</w:t>
      </w:r>
      <w:r>
        <w:rPr>
          <w:rFonts w:ascii="Times New Roman" w:eastAsia="Times New Roman" w:hAnsi="Times New Roman" w:cs="Times New Roman"/>
        </w:rPr>
        <w:t>2</w:t>
      </w:r>
      <w:r w:rsidRPr="00021432">
        <w:rPr>
          <w:rFonts w:ascii="Times New Roman" w:eastAsia="Times New Roman" w:hAnsi="Times New Roman" w:cs="Times New Roman"/>
        </w:rPr>
        <w:t xml:space="preserve"> </w:t>
      </w:r>
      <w:r>
        <w:rPr>
          <w:rFonts w:ascii="Times New Roman" w:eastAsia="Times New Roman" w:hAnsi="Times New Roman" w:cs="Times New Roman"/>
        </w:rPr>
        <w:t>for both</w:t>
      </w:r>
      <w:r w:rsidRPr="00021432">
        <w:rPr>
          <w:rFonts w:ascii="Times New Roman" w:eastAsia="Times New Roman" w:hAnsi="Times New Roman" w:cs="Times New Roman"/>
        </w:rPr>
        <w:t xml:space="preserve"> EDGAR and ODIAC</w:t>
      </w:r>
      <w:r>
        <w:rPr>
          <w:rFonts w:ascii="Times New Roman" w:eastAsia="Times New Roman" w:hAnsi="Times New Roman" w:cs="Times New Roman"/>
        </w:rPr>
        <w:t xml:space="preserve">, as the mean </w:t>
      </w:r>
      <w:r w:rsidRPr="00021432">
        <w:rPr>
          <w:rFonts w:ascii="Times New Roman" w:eastAsia="Times New Roman" w:hAnsi="Times New Roman" w:cs="Times New Roman"/>
        </w:rPr>
        <w:t xml:space="preserve">decimal year of </w:t>
      </w:r>
      <w:r>
        <w:rPr>
          <w:rFonts w:ascii="Times New Roman" w:eastAsia="Times New Roman" w:hAnsi="Times New Roman" w:cs="Times New Roman"/>
        </w:rPr>
        <w:t xml:space="preserve">the </w:t>
      </w:r>
      <w:r w:rsidRPr="00021432">
        <w:rPr>
          <w:rFonts w:ascii="Times New Roman" w:eastAsia="Times New Roman" w:hAnsi="Times New Roman" w:cs="Times New Roman"/>
        </w:rPr>
        <w:t>OCO-3 SAMs used</w:t>
      </w:r>
      <w:r>
        <w:rPr>
          <w:rFonts w:ascii="Times New Roman" w:eastAsia="Times New Roman" w:hAnsi="Times New Roman" w:cs="Times New Roman"/>
        </w:rPr>
        <w:t xml:space="preserve"> for emission calculations is </w:t>
      </w:r>
      <w:r w:rsidRPr="00021432">
        <w:rPr>
          <w:rFonts w:ascii="Times New Roman" w:eastAsia="Times New Roman" w:hAnsi="Times New Roman" w:cs="Times New Roman"/>
        </w:rPr>
        <w:t>202</w:t>
      </w:r>
      <w:r>
        <w:rPr>
          <w:rFonts w:ascii="Times New Roman" w:eastAsia="Times New Roman" w:hAnsi="Times New Roman" w:cs="Times New Roman"/>
        </w:rPr>
        <w:t>2</w:t>
      </w:r>
      <w:r w:rsidRPr="00021432">
        <w:rPr>
          <w:rFonts w:ascii="Times New Roman" w:eastAsia="Times New Roman" w:hAnsi="Times New Roman" w:cs="Times New Roman"/>
        </w:rPr>
        <w:t>.</w:t>
      </w:r>
      <w:r>
        <w:rPr>
          <w:rFonts w:ascii="Times New Roman" w:eastAsia="Times New Roman" w:hAnsi="Times New Roman" w:cs="Times New Roman"/>
        </w:rPr>
        <w:t>1</w:t>
      </w:r>
      <w:r w:rsidRPr="00021432">
        <w:rPr>
          <w:rFonts w:ascii="Times New Roman" w:eastAsia="Times New Roman" w:hAnsi="Times New Roman" w:cs="Times New Roman"/>
        </w:rPr>
        <w:t xml:space="preserve">. </w:t>
      </w:r>
      <w:r>
        <w:rPr>
          <w:rFonts w:ascii="Times New Roman" w:eastAsia="Times New Roman" w:hAnsi="Times New Roman" w:cs="Times New Roman"/>
        </w:rPr>
        <w:t>Em</w:t>
      </w:r>
      <w:r w:rsidRPr="00021432">
        <w:rPr>
          <w:rFonts w:ascii="Times New Roman" w:eastAsia="Times New Roman" w:hAnsi="Times New Roman" w:cs="Times New Roman"/>
        </w:rPr>
        <w:t xml:space="preserve">issions </w:t>
      </w:r>
      <w:r>
        <w:rPr>
          <w:rFonts w:ascii="Times New Roman" w:eastAsia="Times New Roman" w:hAnsi="Times New Roman" w:cs="Times New Roman"/>
        </w:rPr>
        <w:t xml:space="preserve">are calculated by summing the values from </w:t>
      </w:r>
      <w:r w:rsidRPr="00021432">
        <w:rPr>
          <w:rFonts w:ascii="Times New Roman" w:eastAsia="Times New Roman" w:hAnsi="Times New Roman" w:cs="Times New Roman"/>
        </w:rPr>
        <w:t>EDGAR</w:t>
      </w:r>
      <w:r>
        <w:rPr>
          <w:rFonts w:ascii="Times New Roman" w:eastAsia="Times New Roman" w:hAnsi="Times New Roman" w:cs="Times New Roman"/>
        </w:rPr>
        <w:t>/</w:t>
      </w:r>
      <w:r w:rsidRPr="00021432">
        <w:rPr>
          <w:rFonts w:ascii="Times New Roman" w:eastAsia="Times New Roman" w:hAnsi="Times New Roman" w:cs="Times New Roman"/>
        </w:rPr>
        <w:t>ODIAC grid cells within the minimum and maximum longitude/latitude of a city’s boundary</w:t>
      </w:r>
      <w:r>
        <w:rPr>
          <w:rFonts w:ascii="Times New Roman" w:eastAsia="Times New Roman" w:hAnsi="Times New Roman" w:cs="Times New Roman"/>
        </w:rPr>
        <w:t xml:space="preserve"> </w:t>
      </w:r>
      <w:r w:rsidRPr="00021432">
        <w:rPr>
          <w:rFonts w:ascii="Times New Roman" w:eastAsia="Times New Roman" w:hAnsi="Times New Roman" w:cs="Times New Roman"/>
        </w:rPr>
        <w:t>(i.e., rectangular area enclosing a city’ boundary shape</w:t>
      </w:r>
      <w:r>
        <w:rPr>
          <w:rFonts w:ascii="Times New Roman" w:eastAsia="Times New Roman" w:hAnsi="Times New Roman" w:cs="Times New Roman"/>
        </w:rPr>
        <w:t>). Detailed description on city’s boundary is provided in Section 2.1</w:t>
      </w:r>
      <w:r w:rsidRPr="00021432">
        <w:rPr>
          <w:rFonts w:ascii="Times New Roman" w:eastAsia="Times New Roman" w:hAnsi="Times New Roman" w:cs="Times New Roman"/>
        </w:rPr>
        <w:t>.</w:t>
      </w:r>
    </w:p>
    <w:p w14:paraId="419EA161" w14:textId="77777777" w:rsidR="00BF0126" w:rsidRPr="003906C3" w:rsidRDefault="00BF0126" w:rsidP="00BF0126">
      <w:pPr>
        <w:pStyle w:val="Body"/>
        <w:spacing w:before="120"/>
        <w:jc w:val="both"/>
        <w:rPr>
          <w:rFonts w:ascii="Times New Roman" w:hAnsi="Times New Roman" w:cs="Times New Roman"/>
        </w:rPr>
      </w:pPr>
      <w:r>
        <w:rPr>
          <w:rFonts w:ascii="Times New Roman" w:eastAsia="Times New Roman" w:hAnsi="Times New Roman" w:cs="Times New Roman"/>
        </w:rPr>
        <w:t xml:space="preserve">To determine the </w:t>
      </w:r>
      <w:r w:rsidRPr="0053085C">
        <w:rPr>
          <w:rFonts w:ascii="Times New Roman" w:hAnsi="Times New Roman" w:cs="Times New Roman"/>
        </w:rPr>
        <w:t xml:space="preserve">1σ uncertainty </w:t>
      </w:r>
      <w:r>
        <w:rPr>
          <w:rFonts w:ascii="Times New Roman" w:hAnsi="Times New Roman" w:cs="Times New Roman"/>
        </w:rPr>
        <w:t>of</w:t>
      </w:r>
      <w:r w:rsidRPr="0053085C">
        <w:rPr>
          <w:rFonts w:ascii="Times New Roman" w:hAnsi="Times New Roman" w:cs="Times New Roman"/>
        </w:rPr>
        <w:t xml:space="preserve"> </w:t>
      </w:r>
      <w:r>
        <w:rPr>
          <w:rFonts w:ascii="Times New Roman" w:hAnsi="Times New Roman" w:cs="Times New Roman"/>
        </w:rPr>
        <w:t xml:space="preserve">EDGAR and ODIAC </w:t>
      </w:r>
      <w:r w:rsidRPr="0053085C">
        <w:rPr>
          <w:rFonts w:ascii="Times New Roman" w:hAnsi="Times New Roman" w:cs="Times New Roman"/>
        </w:rPr>
        <w:t>emission estimates</w:t>
      </w:r>
      <w:r>
        <w:rPr>
          <w:rFonts w:ascii="Times New Roman" w:hAnsi="Times New Roman" w:cs="Times New Roman"/>
        </w:rPr>
        <w:t>, we consider potential spatial misalignment between the geographical coverage of OCO-3 SAM and the boundaries used to sample EDGAR and ODIAC grid cells. Two additional emissions are estimated from EDGAR and ODIAC by sampling grid cells in the following shapes:</w:t>
      </w:r>
      <w:r w:rsidRPr="001337F9">
        <w:rPr>
          <w:rFonts w:ascii="Times New Roman" w:hAnsi="Times New Roman" w:cs="Times New Roman"/>
        </w:rPr>
        <w:t xml:space="preserve"> </w:t>
      </w:r>
      <w:r>
        <w:rPr>
          <w:rFonts w:ascii="Times New Roman" w:hAnsi="Times New Roman" w:cs="Times New Roman"/>
        </w:rPr>
        <w:t xml:space="preserve">1) a square area enclosing a city’s boundary shape (i.e., larger than the rectangular area) and 2) the city’s geographical boundary shape (i.e., smaller than the rectangular area). The </w:t>
      </w:r>
      <w:r w:rsidRPr="0053085C">
        <w:rPr>
          <w:rFonts w:ascii="Times New Roman" w:hAnsi="Times New Roman" w:cs="Times New Roman"/>
        </w:rPr>
        <w:t>1σ</w:t>
      </w:r>
      <w:r>
        <w:rPr>
          <w:rFonts w:ascii="Times New Roman" w:hAnsi="Times New Roman" w:cs="Times New Roman"/>
        </w:rPr>
        <w:t xml:space="preserve"> uncertainties for EDGAR (or ODIAC) are </w:t>
      </w:r>
      <w:r>
        <w:rPr>
          <w:rFonts w:ascii="Times New Roman" w:hAnsi="Times New Roman" w:cs="Times New Roman"/>
        </w:rPr>
        <w:lastRenderedPageBreak/>
        <w:t>calculated as one standard deviation of the three emission estimates― rectangular area (base), square area, and city’s boundary.</w:t>
      </w:r>
    </w:p>
    <w:p w14:paraId="7DA1CD7E" w14:textId="77777777" w:rsidR="00BF0126" w:rsidRPr="009F795B" w:rsidRDefault="00BF0126" w:rsidP="00BF0126">
      <w:pPr>
        <w:pStyle w:val="Heading-Secondary"/>
        <w:ind w:left="0"/>
        <w:rPr>
          <w:b/>
          <w:bCs w:val="0"/>
        </w:rPr>
      </w:pPr>
      <w:r w:rsidRPr="009F795B">
        <w:rPr>
          <w:b/>
          <w:bCs w:val="0"/>
        </w:rPr>
        <w:t xml:space="preserve">2.6. Socioeconomic </w:t>
      </w:r>
      <w:r>
        <w:rPr>
          <w:b/>
          <w:bCs w:val="0"/>
        </w:rPr>
        <w:t>A</w:t>
      </w:r>
      <w:r w:rsidRPr="009F795B">
        <w:rPr>
          <w:b/>
          <w:bCs w:val="0"/>
        </w:rPr>
        <w:t>nalysis</w:t>
      </w:r>
    </w:p>
    <w:p w14:paraId="43555103" w14:textId="77777777" w:rsidR="00BF0126" w:rsidRPr="00680111" w:rsidRDefault="00BF0126" w:rsidP="00BF0126">
      <w:pPr>
        <w:pStyle w:val="Body"/>
        <w:spacing w:before="120"/>
        <w:jc w:val="both"/>
        <w:rPr>
          <w:rFonts w:ascii="Times New Roman" w:eastAsia="Times New Roman" w:hAnsi="Times New Roman" w:cs="Times New Roman"/>
        </w:rPr>
      </w:pPr>
      <w:r w:rsidRPr="00021432">
        <w:rPr>
          <w:rFonts w:ascii="Times New Roman" w:eastAsia="Times New Roman" w:hAnsi="Times New Roman" w:cs="Times New Roman"/>
        </w:rPr>
        <w:t xml:space="preserve">We use cities’ GDP </w:t>
      </w:r>
      <w:r>
        <w:rPr>
          <w:rFonts w:ascii="Times New Roman" w:eastAsia="Times New Roman" w:hAnsi="Times New Roman" w:cs="Times New Roman"/>
        </w:rPr>
        <w:t xml:space="preserve">and population </w:t>
      </w:r>
      <w:r w:rsidRPr="00021432">
        <w:rPr>
          <w:rFonts w:ascii="Times New Roman" w:eastAsia="Times New Roman" w:hAnsi="Times New Roman" w:cs="Times New Roman"/>
        </w:rPr>
        <w:t xml:space="preserve">data from </w:t>
      </w:r>
      <w:r>
        <w:rPr>
          <w:rFonts w:ascii="Times New Roman" w:eastAsia="Times New Roman" w:hAnsi="Times New Roman" w:cs="Times New Roman"/>
        </w:rPr>
        <w:t xml:space="preserve">the </w:t>
      </w:r>
      <w:r w:rsidRPr="00021432">
        <w:rPr>
          <w:rFonts w:ascii="Times New Roman" w:eastAsia="Times New Roman" w:hAnsi="Times New Roman" w:cs="Times New Roman"/>
        </w:rPr>
        <w:t>C40</w:t>
      </w:r>
      <w:r>
        <w:rPr>
          <w:rFonts w:ascii="Times New Roman" w:eastAsia="Times New Roman" w:hAnsi="Times New Roman" w:cs="Times New Roman"/>
        </w:rPr>
        <w:t xml:space="preserve"> Cities</w:t>
      </w:r>
      <w:r w:rsidRPr="00021432">
        <w:rPr>
          <w:rFonts w:ascii="Times New Roman" w:eastAsia="Times New Roman" w:hAnsi="Times New Roman" w:cs="Times New Roman"/>
        </w:rPr>
        <w:t xml:space="preserve"> website</w:t>
      </w:r>
      <w:r>
        <w:rPr>
          <w:rFonts w:ascii="Times New Roman" w:eastAsia="Times New Roman" w:hAnsi="Times New Roman" w:cs="Times New Roman"/>
        </w:rPr>
        <w:t>, which provides</w:t>
      </w:r>
      <w:r w:rsidRPr="00021432">
        <w:rPr>
          <w:rFonts w:ascii="Times New Roman" w:eastAsia="Times New Roman" w:hAnsi="Times New Roman" w:cs="Times New Roman"/>
        </w:rPr>
        <w:t xml:space="preserve"> city-specific GDP values from </w:t>
      </w:r>
      <w:r>
        <w:rPr>
          <w:rFonts w:ascii="Times New Roman" w:eastAsia="Times New Roman" w:hAnsi="Times New Roman" w:cs="Times New Roman"/>
        </w:rPr>
        <w:t xml:space="preserve">the </w:t>
      </w:r>
      <w:r w:rsidRPr="00021432">
        <w:rPr>
          <w:rFonts w:ascii="Times New Roman" w:eastAsia="Times New Roman" w:hAnsi="Times New Roman" w:cs="Times New Roman"/>
        </w:rPr>
        <w:t xml:space="preserve">Oxford Economics’ Global Cities Dataset. </w:t>
      </w:r>
      <w:r>
        <w:rPr>
          <w:rFonts w:ascii="Times New Roman" w:eastAsia="Times New Roman" w:hAnsi="Times New Roman" w:cs="Times New Roman"/>
        </w:rPr>
        <w:t>To align the spatial coverage of OCO-3 SAM (i.e., emission estimates) with the C40 cities’ administrative boundaries (i.e., GDP), w</w:t>
      </w:r>
      <w:r w:rsidRPr="00021432">
        <w:rPr>
          <w:rFonts w:ascii="Times New Roman" w:eastAsia="Times New Roman" w:hAnsi="Times New Roman" w:cs="Times New Roman"/>
        </w:rPr>
        <w:t xml:space="preserve">e </w:t>
      </w:r>
      <w:r>
        <w:rPr>
          <w:rFonts w:ascii="Times New Roman" w:eastAsia="Times New Roman" w:hAnsi="Times New Roman" w:cs="Times New Roman"/>
        </w:rPr>
        <w:t>scale</w:t>
      </w:r>
      <w:r w:rsidRPr="00021432">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Pr="00021432">
        <w:rPr>
          <w:rFonts w:ascii="Times New Roman" w:eastAsia="Times New Roman" w:hAnsi="Times New Roman" w:cs="Times New Roman"/>
        </w:rPr>
        <w:t xml:space="preserve">GDP values </w:t>
      </w:r>
      <w:r>
        <w:rPr>
          <w:rFonts w:ascii="Times New Roman" w:eastAsia="Times New Roman" w:hAnsi="Times New Roman" w:cs="Times New Roman"/>
        </w:rPr>
        <w:t>by</w:t>
      </w:r>
      <w:r w:rsidRPr="00021432">
        <w:rPr>
          <w:rFonts w:ascii="Times New Roman" w:eastAsia="Times New Roman" w:hAnsi="Times New Roman" w:cs="Times New Roman"/>
        </w:rPr>
        <w:t xml:space="preserve"> the</w:t>
      </w:r>
      <w:r>
        <w:rPr>
          <w:rFonts w:ascii="Times New Roman" w:eastAsia="Times New Roman" w:hAnsi="Times New Roman" w:cs="Times New Roman"/>
        </w:rPr>
        <w:t xml:space="preserve"> population ratio </w:t>
      </w:r>
      <w:r w:rsidRPr="00021432">
        <w:rPr>
          <w:rFonts w:ascii="Times New Roman" w:eastAsia="Times New Roman" w:hAnsi="Times New Roman" w:cs="Times New Roman"/>
        </w:rPr>
        <w:t>between the two</w:t>
      </w:r>
      <w:r>
        <w:rPr>
          <w:rFonts w:ascii="Times New Roman" w:eastAsia="Times New Roman" w:hAnsi="Times New Roman" w:cs="Times New Roman"/>
        </w:rPr>
        <w:t xml:space="preserve"> areas. Specifically, we calculate the population in the OCO-3 SAM’s geographical coverage area (i.e., the rectangular area enclosed by the UC or administrative boundaries) relative to the population in the C40 city administrative boundaries. The population count in the OCO-3 SAM’s coverage area is derived </w:t>
      </w:r>
      <w:r w:rsidRPr="00021432">
        <w:rPr>
          <w:rFonts w:ascii="Times New Roman" w:eastAsia="Times New Roman" w:hAnsi="Times New Roman" w:cs="Times New Roman"/>
        </w:rPr>
        <w:t xml:space="preserve">from the Gridded Population of the World (GPWv4, Revision 11, 2020, </w:t>
      </w:r>
      <w:r w:rsidRPr="00021432">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ZOTERO_ITEM CSL_CITATION {"citationID":"eZXxeHPT","properties":{"formattedCitation":"(Center for International Earth Science Information Network - CIESIN - Columbia University, 2018)","plainCitation":"(Center for International Earth Science Information Network - CIESIN - Columbia University, 2018)","noteIndex":0},"citationItems":[{"id":494,"uris":["http://zotero.org/users/12959951/items/WL2IGTFE"],"itemData":{"id":494,"type":"dataset","event-place":"Palisades, New York","publisher":"NASA Socioeconomic Data and Applications Center (SEDAC)","publisher-place":"Palisades, New York","title":"Gridded Population of the World, Version 4 (GPWv4): Land and Water Area, Revision 11","URL":"https://doi.org/10.7927/H4Z60M4Z","author":[{"literal":"Center for International Earth Science Information Network - CIESIN - Columbia University"}],"issued":{"date-parts":[["2018"]]}},"label":"page"}],"schema":"https://github.com/citation-style-language/schema/raw/master/csl-citation.json"} </w:instrText>
      </w:r>
      <w:r w:rsidRPr="00021432">
        <w:rPr>
          <w:rFonts w:ascii="Times New Roman" w:eastAsia="Times New Roman" w:hAnsi="Times New Roman" w:cs="Times New Roman"/>
        </w:rPr>
        <w:fldChar w:fldCharType="separate"/>
      </w:r>
      <w:r>
        <w:rPr>
          <w:rFonts w:ascii="Times New Roman" w:hAnsi="Times New Roman" w:cs="Times New Roman"/>
        </w:rPr>
        <w:t>(Center for International Earth Science Information Network - CIESIN - Columbia University, 2018)</w:t>
      </w:r>
      <w:r w:rsidRPr="00021432">
        <w:rPr>
          <w:rFonts w:ascii="Times New Roman" w:eastAsia="Times New Roman" w:hAnsi="Times New Roman" w:cs="Times New Roman"/>
        </w:rPr>
        <w:fldChar w:fldCharType="end"/>
      </w:r>
      <w:r w:rsidRPr="00021432">
        <w:rPr>
          <w:rFonts w:ascii="Times New Roman" w:eastAsia="Times New Roman" w:hAnsi="Times New Roman" w:cs="Times New Roman"/>
        </w:rPr>
        <w:t>)</w:t>
      </w:r>
      <w:r>
        <w:rPr>
          <w:rFonts w:ascii="Times New Roman" w:eastAsia="Times New Roman" w:hAnsi="Times New Roman" w:cs="Times New Roman"/>
        </w:rPr>
        <w:t>.</w:t>
      </w:r>
    </w:p>
    <w:p w14:paraId="3B11ABB1" w14:textId="77777777" w:rsidR="00BF0126" w:rsidRDefault="00BF0126" w:rsidP="00BF0126">
      <w:pPr>
        <w:pStyle w:val="Heading-Main"/>
      </w:pPr>
      <w:r>
        <w:t>3</w:t>
      </w:r>
      <w:r w:rsidRPr="00472ADD">
        <w:t xml:space="preserve"> Results</w:t>
      </w:r>
    </w:p>
    <w:p w14:paraId="2FF489B5" w14:textId="77777777" w:rsidR="00BF0126" w:rsidRDefault="00BF0126" w:rsidP="00BF0126">
      <w:pPr>
        <w:pStyle w:val="Heading-Secondary"/>
        <w:ind w:left="0"/>
        <w:rPr>
          <w:b/>
          <w:bCs w:val="0"/>
        </w:rPr>
      </w:pPr>
      <w:r w:rsidRPr="00665230">
        <w:rPr>
          <w:b/>
          <w:bCs w:val="0"/>
        </w:rPr>
        <w:t xml:space="preserve">3.1. </w:t>
      </w:r>
      <w:r>
        <w:rPr>
          <w:b/>
          <w:bCs w:val="0"/>
        </w:rPr>
        <w:t>Satellite-based CO</w:t>
      </w:r>
      <w:r w:rsidRPr="00272081">
        <w:rPr>
          <w:b/>
          <w:bCs w:val="0"/>
          <w:vertAlign w:val="subscript"/>
        </w:rPr>
        <w:t>2</w:t>
      </w:r>
      <w:r>
        <w:rPr>
          <w:b/>
          <w:bCs w:val="0"/>
        </w:rPr>
        <w:t xml:space="preserve"> Emission Estimates for Global Cities</w:t>
      </w:r>
    </w:p>
    <w:p w14:paraId="5353A784" w14:textId="77777777" w:rsidR="00BF0126" w:rsidRPr="002D2C3A" w:rsidRDefault="00BF0126" w:rsidP="00BF0126">
      <w:pPr>
        <w:pStyle w:val="Heading-Main"/>
        <w:keepNext w:val="0"/>
        <w:spacing w:before="120" w:after="0"/>
        <w:jc w:val="both"/>
        <w:rPr>
          <w:b w:val="0"/>
          <w:bCs w:val="0"/>
          <w:color w:val="000000" w:themeColor="text1"/>
        </w:rPr>
      </w:pPr>
      <w:r w:rsidRPr="00937FDC">
        <w:rPr>
          <w:b w:val="0"/>
          <w:bCs w:val="0"/>
          <w:color w:val="000000" w:themeColor="text1"/>
        </w:rPr>
        <w:t>Figure 2 shows annual CO</w:t>
      </w:r>
      <w:r w:rsidRPr="00937FDC">
        <w:rPr>
          <w:b w:val="0"/>
          <w:bCs w:val="0"/>
          <w:color w:val="000000" w:themeColor="text1"/>
          <w:vertAlign w:val="subscript"/>
        </w:rPr>
        <w:t>2</w:t>
      </w:r>
      <w:r w:rsidRPr="00937FDC">
        <w:rPr>
          <w:b w:val="0"/>
          <w:bCs w:val="0"/>
          <w:color w:val="000000" w:themeColor="text1"/>
        </w:rPr>
        <w:t xml:space="preserve"> emissions for 54 C40</w:t>
      </w:r>
      <w:r>
        <w:rPr>
          <w:b w:val="0"/>
          <w:bCs w:val="0"/>
          <w:color w:val="000000" w:themeColor="text1"/>
        </w:rPr>
        <w:t xml:space="preserve"> </w:t>
      </w:r>
      <w:r w:rsidRPr="00937FDC">
        <w:rPr>
          <w:b w:val="0"/>
          <w:bCs w:val="0"/>
          <w:color w:val="000000" w:themeColor="text1"/>
        </w:rPr>
        <w:t>cities, estimated using OCO-3 SAMs XCO</w:t>
      </w:r>
      <w:r w:rsidRPr="00937FDC">
        <w:rPr>
          <w:b w:val="0"/>
          <w:bCs w:val="0"/>
          <w:color w:val="000000" w:themeColor="text1"/>
          <w:vertAlign w:val="subscript"/>
        </w:rPr>
        <w:t>2</w:t>
      </w:r>
      <w:r w:rsidRPr="00937FDC">
        <w:rPr>
          <w:b w:val="0"/>
          <w:bCs w:val="0"/>
          <w:color w:val="000000" w:themeColor="text1"/>
        </w:rPr>
        <w:t xml:space="preserve"> retrievals collected between September 2019 and November 2023.</w:t>
      </w:r>
      <w:r>
        <w:rPr>
          <w:b w:val="0"/>
          <w:bCs w:val="0"/>
          <w:color w:val="000000" w:themeColor="text1"/>
        </w:rPr>
        <w:t xml:space="preserve"> The emission estimates are calculated using 2,381 Gaussian curves derived from OCO-3 434 SAMs. The average number of SAMs used per city varies by region: 9 for Africa, 8 for South and West Asia, 13 for Latin America, 3 for Central East Asia, 4 for East and Southeast Asia &amp; Oceania, 9 for Europe, and 8 for North America. </w:t>
      </w:r>
    </w:p>
    <w:p w14:paraId="4B4E46B9" w14:textId="77777777" w:rsidR="00BF0126" w:rsidRPr="002D2C3A" w:rsidRDefault="00BF0126" w:rsidP="00BF0126">
      <w:pPr>
        <w:pStyle w:val="Body"/>
        <w:spacing w:before="120"/>
        <w:jc w:val="both"/>
        <w:rPr>
          <w:rFonts w:ascii="Times New Roman" w:hAnsi="Times New Roman" w:cs="Times New Roman"/>
          <w:color w:val="000000" w:themeColor="text1"/>
        </w:rPr>
      </w:pPr>
      <w:r w:rsidRPr="002D2C3A">
        <w:rPr>
          <w:rFonts w:ascii="Times New Roman" w:hAnsi="Times New Roman" w:cs="Times New Roman"/>
          <w:color w:val="000000" w:themeColor="text1"/>
        </w:rPr>
        <w:t xml:space="preserve">Among these cities, Tokyo, Japan shows the highest emissions at 83 million metric tons </w:t>
      </w:r>
      <w:r>
        <w:rPr>
          <w:rFonts w:ascii="Times New Roman" w:hAnsi="Times New Roman" w:cs="Times New Roman"/>
          <w:color w:val="000000" w:themeColor="text1"/>
        </w:rPr>
        <w:t>of CO</w:t>
      </w:r>
      <w:r w:rsidRPr="00324910">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2D2C3A">
        <w:rPr>
          <w:rFonts w:ascii="Times New Roman" w:hAnsi="Times New Roman" w:cs="Times New Roman"/>
          <w:color w:val="000000" w:themeColor="text1"/>
        </w:rPr>
        <w:t>MtCO</w:t>
      </w:r>
      <w:r w:rsidRPr="002D2C3A">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2D2C3A">
        <w:rPr>
          <w:rFonts w:ascii="Times New Roman" w:hAnsi="Times New Roman" w:cs="Times New Roman"/>
          <w:color w:val="000000" w:themeColor="text1"/>
        </w:rPr>
        <w:t>(population 21.6 million), while Rotterdam, Netherlands shows the lowest at 11 MtCO</w:t>
      </w:r>
      <w:r w:rsidRPr="002D2C3A">
        <w:rPr>
          <w:rFonts w:ascii="Times New Roman" w:hAnsi="Times New Roman" w:cs="Times New Roman"/>
          <w:color w:val="000000" w:themeColor="text1"/>
          <w:vertAlign w:val="subscript"/>
        </w:rPr>
        <w:t>2</w:t>
      </w:r>
      <w:r w:rsidRPr="002D2C3A">
        <w:rPr>
          <w:rFonts w:ascii="Times New Roman" w:hAnsi="Times New Roman" w:cs="Times New Roman"/>
          <w:color w:val="000000" w:themeColor="text1"/>
        </w:rPr>
        <w:t xml:space="preserve"> (population: 2.3 million)</w:t>
      </w:r>
      <w:r>
        <w:rPr>
          <w:rFonts w:ascii="Times New Roman" w:hAnsi="Times New Roman" w:cs="Times New Roman"/>
          <w:color w:val="000000" w:themeColor="text1"/>
        </w:rPr>
        <w:t>. Istanbul, Türkiye, and Dubai, UAE, show the median values with emissions of 28 MtCO</w:t>
      </w:r>
      <w:r w:rsidRPr="00633643">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and 32 MtCO</w:t>
      </w:r>
      <w:r w:rsidRPr="00633643">
        <w:rPr>
          <w:rFonts w:ascii="Times New Roman" w:hAnsi="Times New Roman" w:cs="Times New Roman"/>
          <w:color w:val="000000" w:themeColor="text1"/>
          <w:vertAlign w:val="subscript"/>
        </w:rPr>
        <w:t>2</w:t>
      </w:r>
      <w:r>
        <w:rPr>
          <w:rFonts w:ascii="Times New Roman" w:hAnsi="Times New Roman" w:cs="Times New Roman"/>
          <w:color w:val="000000" w:themeColor="text1"/>
        </w:rPr>
        <w:t>, respectively</w:t>
      </w:r>
      <w:r w:rsidRPr="002D2C3A">
        <w:rPr>
          <w:rFonts w:ascii="Times New Roman" w:hAnsi="Times New Roman" w:cs="Times New Roman"/>
          <w:color w:val="000000" w:themeColor="text1"/>
        </w:rPr>
        <w:t>. The combined emissions of these cities total 1,735 MtCO</w:t>
      </w:r>
      <w:r w:rsidRPr="002D2C3A">
        <w:rPr>
          <w:rFonts w:ascii="Times New Roman" w:hAnsi="Times New Roman" w:cs="Times New Roman"/>
          <w:color w:val="000000" w:themeColor="text1"/>
          <w:vertAlign w:val="subscript"/>
        </w:rPr>
        <w:t>2</w:t>
      </w:r>
      <w:r w:rsidRPr="002D2C3A">
        <w:rPr>
          <w:rFonts w:ascii="Times New Roman" w:hAnsi="Times New Roman" w:cs="Times New Roman"/>
          <w:color w:val="000000" w:themeColor="text1"/>
        </w:rPr>
        <w:t>, which falls between annual emissions of Russia (1,909 MtCO</w:t>
      </w:r>
      <w:r w:rsidRPr="002D2C3A">
        <w:rPr>
          <w:rFonts w:ascii="Times New Roman" w:hAnsi="Times New Roman" w:cs="Times New Roman"/>
          <w:color w:val="000000" w:themeColor="text1"/>
          <w:vertAlign w:val="subscript"/>
        </w:rPr>
        <w:t>2</w:t>
      </w:r>
      <w:r w:rsidRPr="002D2C3A">
        <w:rPr>
          <w:rFonts w:ascii="Times New Roman" w:hAnsi="Times New Roman" w:cs="Times New Roman"/>
          <w:color w:val="000000" w:themeColor="text1"/>
        </w:rPr>
        <w:t>) and Japan (1,083 MtCO</w:t>
      </w:r>
      <w:r w:rsidRPr="002D2C3A">
        <w:rPr>
          <w:rFonts w:ascii="Times New Roman" w:hAnsi="Times New Roman" w:cs="Times New Roman"/>
          <w:color w:val="000000" w:themeColor="text1"/>
          <w:vertAlign w:val="subscript"/>
        </w:rPr>
        <w:t>2</w:t>
      </w:r>
      <w:r w:rsidRPr="002D2C3A">
        <w:rPr>
          <w:rFonts w:ascii="Times New Roman" w:hAnsi="Times New Roman" w:cs="Times New Roman"/>
          <w:color w:val="000000" w:themeColor="text1"/>
        </w:rPr>
        <w:t xml:space="preserve">)— the fourth- and fifth-largest emitting countries, respectively, according to EDGAR. </w:t>
      </w:r>
      <w:r w:rsidRPr="002D2C3A">
        <w:rPr>
          <w:rFonts w:ascii="Times New Roman" w:hAnsi="Times New Roman" w:cs="Times New Roman"/>
        </w:rPr>
        <w:t xml:space="preserve">The 1σ uncertainty in our </w:t>
      </w:r>
      <w:r w:rsidRPr="002D2C3A">
        <w:rPr>
          <w:rFonts w:ascii="Times New Roman" w:hAnsi="Times New Roman" w:cs="Times New Roman"/>
          <w:color w:val="000000" w:themeColor="text1"/>
        </w:rPr>
        <w:t xml:space="preserve">satellite-based emission estimates range from 15% for Madrid, Spain to 181% for San Francisco, USA, with median </w:t>
      </w:r>
      <w:r>
        <w:rPr>
          <w:rFonts w:ascii="Times New Roman" w:hAnsi="Times New Roman" w:cs="Times New Roman"/>
          <w:color w:val="000000" w:themeColor="text1"/>
        </w:rPr>
        <w:t xml:space="preserve">uncertainties </w:t>
      </w:r>
      <w:r w:rsidRPr="002D2C3A">
        <w:rPr>
          <w:rFonts w:ascii="Times New Roman" w:hAnsi="Times New Roman" w:cs="Times New Roman"/>
          <w:color w:val="000000" w:themeColor="text1"/>
        </w:rPr>
        <w:t>of 31%</w:t>
      </w:r>
      <w:r>
        <w:rPr>
          <w:rFonts w:ascii="Times New Roman" w:hAnsi="Times New Roman" w:cs="Times New Roman"/>
          <w:color w:val="000000" w:themeColor="text1"/>
        </w:rPr>
        <w:t xml:space="preserve"> for Washington D.C., USA and 33% </w:t>
      </w:r>
      <w:r w:rsidRPr="002D2C3A">
        <w:rPr>
          <w:rFonts w:ascii="Times New Roman" w:hAnsi="Times New Roman" w:cs="Times New Roman"/>
          <w:color w:val="000000" w:themeColor="text1"/>
        </w:rPr>
        <w:t>for</w:t>
      </w:r>
      <w:r>
        <w:rPr>
          <w:rFonts w:ascii="Times New Roman" w:hAnsi="Times New Roman" w:cs="Times New Roman"/>
          <w:color w:val="000000" w:themeColor="text1"/>
        </w:rPr>
        <w:t xml:space="preserve"> Boston</w:t>
      </w:r>
      <w:r w:rsidRPr="002D2C3A">
        <w:rPr>
          <w:rFonts w:ascii="Times New Roman" w:hAnsi="Times New Roman" w:cs="Times New Roman"/>
          <w:color w:val="000000" w:themeColor="text1"/>
        </w:rPr>
        <w:t>, USA</w:t>
      </w:r>
      <w:r>
        <w:rPr>
          <w:rFonts w:ascii="Times New Roman" w:hAnsi="Times New Roman" w:cs="Times New Roman"/>
          <w:color w:val="000000" w:themeColor="text1"/>
        </w:rPr>
        <w:t>.</w:t>
      </w:r>
      <w:r w:rsidRPr="002D2C3A">
        <w:rPr>
          <w:rFonts w:ascii="Times New Roman" w:hAnsi="Times New Roman" w:cs="Times New Roman"/>
          <w:color w:val="000000" w:themeColor="text1"/>
        </w:rPr>
        <w:t xml:space="preserve"> </w:t>
      </w:r>
      <w:r>
        <w:rPr>
          <w:rFonts w:ascii="Times New Roman" w:hAnsi="Times New Roman" w:cs="Times New Roman"/>
          <w:color w:val="000000" w:themeColor="text1"/>
        </w:rPr>
        <w:t>A</w:t>
      </w:r>
      <w:r w:rsidRPr="002D2C3A">
        <w:rPr>
          <w:rFonts w:ascii="Times New Roman" w:hAnsi="Times New Roman" w:cs="Times New Roman"/>
          <w:color w:val="000000" w:themeColor="text1"/>
        </w:rPr>
        <w:t xml:space="preserve"> full list of </w:t>
      </w:r>
      <w:r w:rsidRPr="002D2C3A">
        <w:rPr>
          <w:rFonts w:ascii="Times New Roman" w:hAnsi="Times New Roman" w:cs="Times New Roman"/>
        </w:rPr>
        <w:t>1σ</w:t>
      </w:r>
      <w:r w:rsidRPr="002D2C3A">
        <w:rPr>
          <w:rFonts w:ascii="Times New Roman" w:hAnsi="Times New Roman" w:cs="Times New Roman"/>
          <w:color w:val="000000" w:themeColor="text1"/>
        </w:rPr>
        <w:t xml:space="preserve"> uncertainties for </w:t>
      </w:r>
      <w:r w:rsidRPr="002D2C3A">
        <w:rPr>
          <w:color w:val="000000" w:themeColor="text1"/>
        </w:rPr>
        <w:t xml:space="preserve">all </w:t>
      </w:r>
      <w:r w:rsidRPr="002D2C3A">
        <w:rPr>
          <w:rFonts w:ascii="Times New Roman" w:hAnsi="Times New Roman" w:cs="Times New Roman"/>
          <w:color w:val="000000" w:themeColor="text1"/>
        </w:rPr>
        <w:t>54 cities is shown in Figure 2.</w:t>
      </w:r>
    </w:p>
    <w:p w14:paraId="14FC03E5" w14:textId="77777777" w:rsidR="00BF0126" w:rsidRDefault="00BF0126" w:rsidP="00BF0126">
      <w:pPr>
        <w:pStyle w:val="SMcaption"/>
        <w:spacing w:line="276" w:lineRule="auto"/>
        <w:jc w:val="both"/>
        <w:rPr>
          <w:b/>
          <w:bCs/>
          <w:sz w:val="22"/>
          <w:szCs w:val="22"/>
        </w:rPr>
      </w:pPr>
      <w:r>
        <w:rPr>
          <w:b/>
          <w:bCs/>
          <w:noProof/>
          <w:sz w:val="22"/>
          <w:szCs w:val="22"/>
        </w:rPr>
        <w:lastRenderedPageBreak/>
        <w:drawing>
          <wp:inline distT="0" distB="0" distL="0" distR="0" wp14:anchorId="32F55DFF" wp14:editId="0A23C998">
            <wp:extent cx="5943600" cy="2966085"/>
            <wp:effectExtent l="0" t="0" r="0" b="5715"/>
            <wp:docPr id="1939579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79990" name="Picture 1939579990"/>
                    <pic:cNvPicPr/>
                  </pic:nvPicPr>
                  <pic:blipFill>
                    <a:blip r:embed="rId9"/>
                    <a:stretch>
                      <a:fillRect/>
                    </a:stretch>
                  </pic:blipFill>
                  <pic:spPr>
                    <a:xfrm>
                      <a:off x="0" y="0"/>
                      <a:ext cx="5943600" cy="2966085"/>
                    </a:xfrm>
                    <a:prstGeom prst="rect">
                      <a:avLst/>
                    </a:prstGeom>
                  </pic:spPr>
                </pic:pic>
              </a:graphicData>
            </a:graphic>
          </wp:inline>
        </w:drawing>
      </w:r>
    </w:p>
    <w:p w14:paraId="232E361E" w14:textId="77777777" w:rsidR="00BF0126" w:rsidRPr="003B74ED" w:rsidRDefault="00BF0126" w:rsidP="00BF0126">
      <w:pPr>
        <w:pStyle w:val="SMcaption"/>
        <w:spacing w:line="276" w:lineRule="auto"/>
        <w:jc w:val="both"/>
        <w:rPr>
          <w:szCs w:val="24"/>
        </w:rPr>
      </w:pPr>
      <w:r w:rsidRPr="003A1222">
        <w:rPr>
          <w:b/>
          <w:bCs/>
          <w:szCs w:val="24"/>
        </w:rPr>
        <w:t xml:space="preserve">Figure </w:t>
      </w:r>
      <w:r>
        <w:rPr>
          <w:b/>
          <w:bCs/>
          <w:szCs w:val="24"/>
        </w:rPr>
        <w:t>2</w:t>
      </w:r>
      <w:r w:rsidRPr="003A1222">
        <w:rPr>
          <w:b/>
          <w:bCs/>
          <w:szCs w:val="24"/>
        </w:rPr>
        <w:t xml:space="preserve">. </w:t>
      </w:r>
      <w:r w:rsidRPr="003A1222">
        <w:rPr>
          <w:szCs w:val="24"/>
        </w:rPr>
        <w:t>Fifty-four C40 cities’ annual CO</w:t>
      </w:r>
      <w:r w:rsidRPr="003A1222">
        <w:rPr>
          <w:szCs w:val="24"/>
          <w:vertAlign w:val="subscript"/>
        </w:rPr>
        <w:t>2</w:t>
      </w:r>
      <w:r w:rsidRPr="003A1222">
        <w:rPr>
          <w:szCs w:val="24"/>
        </w:rPr>
        <w:t xml:space="preserve"> emissions estimated from the satellite-based cross-sectional flux method (colored bars) and the number of OCO-3 SAMs used to calculate emissions. Error bars show 1σ uncertainty. Colored diamond symbols on y-axis show the average numbers for seven global regions designated by C40 Cities. An asterisk symbol next to the city name indicates that the city’s administrative boundary was used for the emission estimation. Other cities used the Urban Centre (UC) defined in the GHS-SMOD dataset.</w:t>
      </w:r>
    </w:p>
    <w:p w14:paraId="3EDEF324" w14:textId="77777777" w:rsidR="00BF0126" w:rsidRDefault="00BF0126" w:rsidP="00BF0126">
      <w:pPr>
        <w:pStyle w:val="Heading-Secondary"/>
        <w:ind w:left="0"/>
        <w:rPr>
          <w:b/>
          <w:bCs w:val="0"/>
        </w:rPr>
      </w:pPr>
      <w:r w:rsidRPr="00665230">
        <w:rPr>
          <w:b/>
          <w:bCs w:val="0"/>
        </w:rPr>
        <w:t>3.</w:t>
      </w:r>
      <w:r>
        <w:rPr>
          <w:b/>
          <w:bCs w:val="0"/>
        </w:rPr>
        <w:t>2</w:t>
      </w:r>
      <w:r w:rsidRPr="00665230">
        <w:rPr>
          <w:b/>
          <w:bCs w:val="0"/>
        </w:rPr>
        <w:t xml:space="preserve">. </w:t>
      </w:r>
      <w:r>
        <w:rPr>
          <w:b/>
          <w:bCs w:val="0"/>
        </w:rPr>
        <w:t>Global Comparison of Bottom-up and Satellite-based Urban Emission Estimates</w:t>
      </w:r>
    </w:p>
    <w:p w14:paraId="0A22888B"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Figure 3 compares our satellite-based CO</w:t>
      </w:r>
      <w:r w:rsidRPr="00215D24">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 estimates for </w:t>
      </w:r>
      <w:r w:rsidRPr="00021432">
        <w:rPr>
          <w:rFonts w:ascii="Times New Roman" w:hAnsi="Times New Roman" w:cs="Times New Roman"/>
          <w:color w:val="000000" w:themeColor="text1"/>
        </w:rPr>
        <w:t>5</w:t>
      </w:r>
      <w:r>
        <w:rPr>
          <w:rFonts w:ascii="Times New Roman" w:hAnsi="Times New Roman" w:cs="Times New Roman"/>
          <w:color w:val="000000" w:themeColor="text1"/>
        </w:rPr>
        <w:t>4</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C40 </w:t>
      </w:r>
      <w:r w:rsidRPr="00021432">
        <w:rPr>
          <w:rFonts w:ascii="Times New Roman" w:hAnsi="Times New Roman" w:cs="Times New Roman"/>
          <w:color w:val="000000" w:themeColor="text1"/>
        </w:rPr>
        <w:t>cities</w:t>
      </w:r>
      <w:r w:rsidRPr="00F33F60">
        <w:rPr>
          <w:rFonts w:ascii="Times New Roman" w:hAnsi="Times New Roman" w:cs="Times New Roman"/>
          <w:color w:val="000000" w:themeColor="text1"/>
        </w:rPr>
        <w:t xml:space="preserve"> </w:t>
      </w:r>
      <w:r>
        <w:rPr>
          <w:rFonts w:ascii="Times New Roman" w:hAnsi="Times New Roman" w:cs="Times New Roman"/>
          <w:color w:val="000000" w:themeColor="text1"/>
        </w:rPr>
        <w:t>to two bottom-up gridded emission datasets</w:t>
      </w:r>
      <w:r w:rsidRPr="00021432">
        <w:rPr>
          <w:rFonts w:ascii="Times New Roman" w:hAnsi="Times New Roman" w:cs="Times New Roman"/>
        </w:rPr>
        <w:t>–</w:t>
      </w:r>
      <w:r>
        <w:rPr>
          <w:rFonts w:ascii="Times New Roman" w:hAnsi="Times New Roman" w:cs="Times New Roman"/>
        </w:rPr>
        <w:t xml:space="preserve"> EDGAR and ODIAC. It is important to </w:t>
      </w:r>
      <w:r>
        <w:rPr>
          <w:rFonts w:ascii="Times New Roman" w:hAnsi="Times New Roman" w:cs="Times New Roman"/>
          <w:color w:val="000000" w:themeColor="text1"/>
        </w:rPr>
        <w:t xml:space="preserve">note that EDGAR includes both fossil and biofuel sectors, while ODIAC only covers fossil-fuel sectors. </w:t>
      </w:r>
      <w:r>
        <w:rPr>
          <w:rFonts w:ascii="Times New Roman" w:hAnsi="Times New Roman" w:cs="Times New Roman"/>
        </w:rPr>
        <w:t xml:space="preserve">A previous study </w:t>
      </w:r>
      <w:r w:rsidRPr="00021432">
        <w:rPr>
          <w:rFonts w:ascii="Times New Roman" w:hAnsi="Times New Roman" w:cs="Times New Roman"/>
          <w:color w:val="000000" w:themeColor="text1"/>
        </w:rPr>
        <w:t xml:space="preserve">found that EDGAR can </w:t>
      </w:r>
      <w:r>
        <w:rPr>
          <w:rFonts w:ascii="Times New Roman" w:hAnsi="Times New Roman" w:cs="Times New Roman"/>
          <w:color w:val="000000" w:themeColor="text1"/>
        </w:rPr>
        <w:t>artificially underestimate</w:t>
      </w:r>
      <w:r w:rsidRPr="00021432">
        <w:rPr>
          <w:rFonts w:ascii="Times New Roman" w:hAnsi="Times New Roman" w:cs="Times New Roman"/>
          <w:color w:val="000000" w:themeColor="text1"/>
        </w:rPr>
        <w:t xml:space="preserve"> citywide emissions by 13% for cities smaller than 1,000 km</w:t>
      </w:r>
      <w:r w:rsidRPr="00021432">
        <w:rPr>
          <w:rFonts w:ascii="Times New Roman" w:hAnsi="Times New Roman" w:cs="Times New Roman"/>
          <w:color w:val="000000" w:themeColor="text1"/>
          <w:vertAlign w:val="superscript"/>
        </w:rPr>
        <w:t>2</w:t>
      </w:r>
      <w:r w:rsidRPr="00021432">
        <w:rPr>
          <w:rFonts w:ascii="Times New Roman" w:hAnsi="Times New Roman" w:cs="Times New Roman"/>
          <w:color w:val="000000" w:themeColor="text1"/>
        </w:rPr>
        <w:t xml:space="preserve"> due to the smoothing effect of urban emission hotspot grid cells</w:t>
      </w:r>
      <w:r>
        <w:rPr>
          <w:rFonts w:ascii="Times New Roman" w:hAnsi="Times New Roman" w:cs="Times New Roman"/>
          <w:color w:val="000000" w:themeColor="text1"/>
        </w:rPr>
        <w:t xml:space="preserve"> </w:t>
      </w:r>
      <w:r w:rsidRPr="00021432">
        <w:rPr>
          <w:rFonts w:ascii="Times New Roman" w:hAnsi="Times New Roman" w:cs="Times New Roman"/>
        </w:rPr>
        <w:fldChar w:fldCharType="begin"/>
      </w:r>
      <w:r>
        <w:rPr>
          <w:rFonts w:ascii="Times New Roman" w:hAnsi="Times New Roman" w:cs="Times New Roman"/>
        </w:rPr>
        <w:instrText xml:space="preserve"> ADDIN ZOTERO_ITEM CSL_CITATION {"citationID":"lhItv9CU","properties":{"formattedCitation":"(Ahn et al., 2023)","plainCitation":"(Ahn et al., 2023)","noteIndex":0},"citationItems":[{"id":21,"uris":["http://zotero.org/users/12959951/items/LYA34N4M"],"itemData":{"id":21,"type":"article-journal","abstract":"Under the leadership of the C40 Cities Climate Leadership Group (C40), approximately 1100 global cities have signed to reach net-zero emissions by 2050. Accurate greenhouse gas emission calculations at the city-scale have become critical. This study forms a bridge between the two emission calculation methods: (a) the city-scale accounting used by C40 cities—the Global Protocol for Community-Scale Greenhouse Gas Emission Inventories (GPC) and (b) the globa</w:instrText>
      </w:r>
      <w:r>
        <w:rPr>
          <w:rFonts w:ascii="Times New Roman" w:hAnsi="Times New Roman" w:cs="Times New Roman" w:hint="eastAsia"/>
        </w:rPr>
        <w:instrText>l-scale gridded datasets used by the research community</w:instrText>
      </w:r>
      <w:r>
        <w:rPr>
          <w:rFonts w:ascii="Times New Roman" w:hAnsi="Times New Roman" w:cs="Times New Roman" w:hint="eastAsia"/>
        </w:rPr>
        <w:instrText>—</w:instrText>
      </w:r>
      <w:r>
        <w:rPr>
          <w:rFonts w:ascii="Times New Roman" w:hAnsi="Times New Roman" w:cs="Times New Roman" w:hint="eastAsia"/>
        </w:rPr>
        <w:instrText>the Emission Database for Global Atmospheric Research (EDGAR) and Open</w:instrText>
      </w:r>
      <w:r>
        <w:rPr>
          <w:rFonts w:ascii="Times New Roman" w:hAnsi="Times New Roman" w:cs="Times New Roman" w:hint="eastAsia"/>
        </w:rPr>
        <w:instrText>‐</w:instrText>
      </w:r>
      <w:r>
        <w:rPr>
          <w:rFonts w:ascii="Times New Roman" w:hAnsi="Times New Roman" w:cs="Times New Roman" w:hint="eastAsia"/>
        </w:rPr>
        <w:instrText>Source Data Inventory for Anthropogenic CO2 (ODIAC). For the emission magnitudes of 78 C40 cities, we find good correlations bet</w:instrText>
      </w:r>
      <w:r>
        <w:rPr>
          <w:rFonts w:ascii="Times New Roman" w:hAnsi="Times New Roman" w:cs="Times New Roman"/>
        </w:rPr>
        <w:instrText xml:space="preserve">ween the GPC and EDGAR (R 2 = 0.80) and the GPC and ODIAC (R 2 = 0.72). Regionally, African cities show the largest variability in the three emission estimates. For the emission trends, the standard deviation of the differences is ±4.7% yr−1 for EDGAR vs. GPC and is ±3.9% yr−1 for ODIAC vs. GPC: a factor of </w:instrText>
      </w:r>
      <w:r>
        <w:rPr>
          <w:rFonts w:ascii="Times New Roman" w:hAnsi="Times New Roman" w:cs="Times New Roman" w:hint="eastAsia"/>
        </w:rPr>
        <w:instrText>∼</w:instrText>
      </w:r>
      <w:r>
        <w:rPr>
          <w:rFonts w:ascii="Times New Roman" w:hAnsi="Times New Roman" w:cs="Times New Roman"/>
        </w:rPr>
        <w:instrText xml:space="preserve">2 larger than the trends that many C40 cities pledged (net-zero by 2050 from 2010, or −2.5% yr−1). To examine the source of discrepancies in the emission datasets, we assess the impact of spatial resolutions of EDGAR (0.1°) and ODIAC (1 km) on estimating varying-sized cities’ emissions. Our analysis shows that the coarser resolution of EDGAR can artificially decrease emissions by 13% for cities smaller than 1000 km2. We find that data quality of emission factors (EFs) used in GPC inventories vary regionally: the highest quality for European and North American and the lowest for African and Latin American cities. Our study indicates that the following items should be prioritized to reduce the discrepancies between the two emission calculation methods: (a) implementing local-specific/up-to-date EFs in GPC inventories, (b) keeping the global power plant database current, and (c) incorporating satellite-derived CO2 datasets (i.e. NASA OCO-3).","container-title":"Environmental Research Letters","DOI":"10.1088/1748-9326/acbb91","ISSN":"1748-9326","issue":"3","license":"All rights reserved","note":"publisher: IOP Publishing","page":"034032","title":"CO2 emissions from C40 cities: citywide emission inventories and comparisons with global gridded emission datasets","volume":"18","author":[{"family":"Ahn","given":"D Y"},{"family":"Goldberg","given":"D L"},{"family":"Coombes","given":"Toby"},{"family":"Kleiman","given":"Gary"},{"family":"Anenberg","given":"S C"}],"issued":{"date-parts":[["2023",2,28]]}}}],"schema":"https://github.com/citation-style-language/schema/raw/master/csl-citation.json"} </w:instrText>
      </w:r>
      <w:r w:rsidRPr="00021432">
        <w:rPr>
          <w:rFonts w:ascii="Times New Roman" w:hAnsi="Times New Roman" w:cs="Times New Roman"/>
        </w:rPr>
        <w:fldChar w:fldCharType="separate"/>
      </w:r>
      <w:r>
        <w:rPr>
          <w:rFonts w:ascii="Times New Roman" w:hAnsi="Times New Roman" w:cs="Times New Roman"/>
        </w:rPr>
        <w:t>(Ahn et al., 2023)</w:t>
      </w:r>
      <w:r w:rsidRPr="00021432">
        <w:rPr>
          <w:rFonts w:ascii="Times New Roman" w:hAnsi="Times New Roman" w:cs="Times New Roman"/>
        </w:rPr>
        <w:fldChar w:fldCharType="end"/>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O</w:t>
      </w:r>
      <w:r w:rsidRPr="00021432">
        <w:rPr>
          <w:rFonts w:ascii="Times New Roman" w:hAnsi="Times New Roman" w:cs="Times New Roman"/>
          <w:color w:val="000000" w:themeColor="text1"/>
        </w:rPr>
        <w:t>ur study</w:t>
      </w:r>
      <w:r>
        <w:rPr>
          <w:rFonts w:ascii="Times New Roman" w:hAnsi="Times New Roman" w:cs="Times New Roman"/>
          <w:color w:val="000000" w:themeColor="text1"/>
        </w:rPr>
        <w:t xml:space="preserve"> includes</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29</w:t>
      </w:r>
      <w:r w:rsidRPr="00021432">
        <w:rPr>
          <w:rFonts w:ascii="Times New Roman" w:hAnsi="Times New Roman" w:cs="Times New Roman"/>
          <w:color w:val="000000" w:themeColor="text1"/>
        </w:rPr>
        <w:t xml:space="preserve"> cities smaller than 1,000</w:t>
      </w:r>
      <w:r>
        <w:rPr>
          <w:rFonts w:ascii="Times New Roman" w:hAnsi="Times New Roman" w:cs="Times New Roman"/>
          <w:color w:val="000000" w:themeColor="text1"/>
        </w:rPr>
        <w:t xml:space="preserve"> </w:t>
      </w:r>
      <w:r w:rsidRPr="00021432">
        <w:rPr>
          <w:rFonts w:ascii="Times New Roman" w:hAnsi="Times New Roman" w:cs="Times New Roman"/>
          <w:color w:val="000000" w:themeColor="text1"/>
        </w:rPr>
        <w:t>km</w:t>
      </w:r>
      <w:r w:rsidRPr="00021432">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r w:rsidRPr="00021432">
        <w:rPr>
          <w:rFonts w:ascii="Times New Roman" w:hAnsi="Times New Roman" w:cs="Times New Roman"/>
          <w:color w:val="000000" w:themeColor="text1"/>
        </w:rPr>
        <w:t xml:space="preserve"> For these cities, EDGAR emission</w:t>
      </w:r>
      <w:r>
        <w:rPr>
          <w:rFonts w:ascii="Times New Roman" w:hAnsi="Times New Roman" w:cs="Times New Roman"/>
          <w:color w:val="000000" w:themeColor="text1"/>
        </w:rPr>
        <w:t>s</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are</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8</w:t>
      </w:r>
      <w:r w:rsidRPr="00021432">
        <w:rPr>
          <w:rFonts w:ascii="Times New Roman" w:hAnsi="Times New Roman" w:cs="Times New Roman"/>
          <w:color w:val="000000" w:themeColor="text1"/>
        </w:rPr>
        <w:t xml:space="preserve">% smaller than </w:t>
      </w:r>
      <w:r>
        <w:rPr>
          <w:rFonts w:ascii="Times New Roman" w:hAnsi="Times New Roman" w:cs="Times New Roman"/>
          <w:color w:val="000000" w:themeColor="text1"/>
        </w:rPr>
        <w:t>our</w:t>
      </w:r>
      <w:r w:rsidRPr="00021432">
        <w:rPr>
          <w:rFonts w:ascii="Times New Roman" w:hAnsi="Times New Roman" w:cs="Times New Roman"/>
          <w:color w:val="000000" w:themeColor="text1"/>
        </w:rPr>
        <w:t xml:space="preserve"> satellite-based estimates, </w:t>
      </w:r>
      <w:r>
        <w:rPr>
          <w:rFonts w:ascii="Times New Roman" w:hAnsi="Times New Roman" w:cs="Times New Roman"/>
          <w:color w:val="000000" w:themeColor="text1"/>
        </w:rPr>
        <w:t xml:space="preserve">which is </w:t>
      </w:r>
      <w:r w:rsidRPr="00021432">
        <w:rPr>
          <w:rFonts w:ascii="Times New Roman" w:hAnsi="Times New Roman" w:cs="Times New Roman"/>
          <w:color w:val="000000" w:themeColor="text1"/>
        </w:rPr>
        <w:t xml:space="preserve">consistent with </w:t>
      </w:r>
      <w:r>
        <w:rPr>
          <w:rFonts w:ascii="Times New Roman" w:hAnsi="Times New Roman" w:cs="Times New Roman"/>
          <w:color w:val="000000" w:themeColor="text1"/>
        </w:rPr>
        <w:t xml:space="preserve">previous </w:t>
      </w:r>
      <w:r w:rsidRPr="00021432">
        <w:rPr>
          <w:rFonts w:ascii="Times New Roman" w:hAnsi="Times New Roman" w:cs="Times New Roman"/>
          <w:color w:val="000000" w:themeColor="text1"/>
        </w:rPr>
        <w:t xml:space="preserve">findings </w:t>
      </w:r>
      <w:r>
        <w:rPr>
          <w:rFonts w:ascii="Times New Roman" w:hAnsi="Times New Roman" w:cs="Times New Roman"/>
          <w:color w:val="000000" w:themeColor="text1"/>
        </w:rPr>
        <w:t xml:space="preserve">reported </w:t>
      </w:r>
      <w:r w:rsidRPr="00021432">
        <w:rPr>
          <w:rFonts w:ascii="Times New Roman" w:hAnsi="Times New Roman" w:cs="Times New Roman"/>
          <w:color w:val="000000" w:themeColor="text1"/>
        </w:rPr>
        <w:t xml:space="preserve">in </w:t>
      </w:r>
      <w:r>
        <w:rPr>
          <w:rFonts w:ascii="Times New Roman" w:hAnsi="Times New Roman" w:cs="Times New Roman"/>
        </w:rPr>
        <w:t xml:space="preserve">Ahn et al. </w:t>
      </w:r>
      <w:r w:rsidRPr="00021432">
        <w:rPr>
          <w:rFonts w:ascii="Times New Roman" w:hAnsi="Times New Roman" w:cs="Times New Roman"/>
        </w:rPr>
        <w:fldChar w:fldCharType="begin"/>
      </w:r>
      <w:r>
        <w:rPr>
          <w:rFonts w:ascii="Times New Roman" w:hAnsi="Times New Roman" w:cs="Times New Roman"/>
        </w:rPr>
        <w:instrText xml:space="preserve"> ADDIN ZOTERO_ITEM CSL_CITATION {"citationID":"0n70udNy","properties":{"formattedCitation":"(2023)","plainCitation":"(2023)","noteIndex":0},"citationItems":[{"id":21,"uris":["http://zotero.org/users/12959951/items/LYA34N4M"],"itemData":{"id":21,"type":"article-journal","abstract":"Under the leadership of the C40 Cities Climate Leadership Group (C40), approximately 1100 global cities have signed to reach net-zero emissions by 2050. Accurate greenhouse gas emission calculations at the city-scale have become critical. This study forms a bridge between the two emission calculation methods: (a) the city-scale accounting used by C40 cities—the Global Protocol for Community-Scale Greenhouse Gas Emission Inventories (GPC) and (b) the global-scale gridded datasets</w:instrText>
      </w:r>
      <w:r>
        <w:rPr>
          <w:rFonts w:ascii="Times New Roman" w:hAnsi="Times New Roman" w:cs="Times New Roman" w:hint="eastAsia"/>
        </w:rPr>
        <w:instrText xml:space="preserve"> used by the research community</w:instrText>
      </w:r>
      <w:r>
        <w:rPr>
          <w:rFonts w:ascii="Times New Roman" w:hAnsi="Times New Roman" w:cs="Times New Roman" w:hint="eastAsia"/>
        </w:rPr>
        <w:instrText>—</w:instrText>
      </w:r>
      <w:r>
        <w:rPr>
          <w:rFonts w:ascii="Times New Roman" w:hAnsi="Times New Roman" w:cs="Times New Roman" w:hint="eastAsia"/>
        </w:rPr>
        <w:instrText>the Emission Database for Global Atmospheric Research (EDGAR) and Open</w:instrText>
      </w:r>
      <w:r>
        <w:rPr>
          <w:rFonts w:ascii="Times New Roman" w:hAnsi="Times New Roman" w:cs="Times New Roman" w:hint="eastAsia"/>
        </w:rPr>
        <w:instrText>‐</w:instrText>
      </w:r>
      <w:r>
        <w:rPr>
          <w:rFonts w:ascii="Times New Roman" w:hAnsi="Times New Roman" w:cs="Times New Roman" w:hint="eastAsia"/>
        </w:rPr>
        <w:instrText>Source Data Inventory for Anthropogenic CO2 (ODIAC). For the emission magnitudes of 78 C40 cities, we find good correlations between the GPC and EDGAR (</w:instrText>
      </w:r>
      <w:r>
        <w:rPr>
          <w:rFonts w:ascii="Times New Roman" w:hAnsi="Times New Roman" w:cs="Times New Roman"/>
        </w:rPr>
        <w:instrText xml:space="preserve">R 2 = 0.80) and the GPC and ODIAC (R 2 = 0.72). Regionally, African cities show the largest variability in the three emission estimates. For the emission trends, the standard deviation of the differences is ±4.7% yr−1 for EDGAR vs. GPC and is ±3.9% yr−1 for ODIAC vs. GPC: a factor of </w:instrText>
      </w:r>
      <w:r>
        <w:rPr>
          <w:rFonts w:ascii="Times New Roman" w:hAnsi="Times New Roman" w:cs="Times New Roman" w:hint="eastAsia"/>
        </w:rPr>
        <w:instrText>∼</w:instrText>
      </w:r>
      <w:r>
        <w:rPr>
          <w:rFonts w:ascii="Times New Roman" w:hAnsi="Times New Roman" w:cs="Times New Roman"/>
        </w:rPr>
        <w:instrText xml:space="preserve">2 larger than the trends that many C40 cities pledged (net-zero by 2050 from 2010, or −2.5% yr−1). To examine the source of discrepancies in the emission datasets, we assess the impact of spatial resolutions of EDGAR (0.1°) and ODIAC (1 km) on estimating varying-sized cities’ emissions. Our analysis shows that the coarser resolution of EDGAR can artificially decrease emissions by 13% for cities smaller than 1000 km2. We find that data quality of emission factors (EFs) used in GPC inventories vary regionally: the highest quality for European and North American and the lowest for African and Latin American cities. Our study indicates that the following items should be prioritized to reduce the discrepancies between the two emission calculation methods: (a) implementing local-specific/up-to-date EFs in GPC inventories, (b) keeping the global power plant database current, and (c) incorporating satellite-derived CO2 datasets (i.e. NASA OCO-3).","container-title":"Environmental Research Letters","DOI":"10.1088/1748-9326/acbb91","ISSN":"1748-9326","issue":"3","license":"All rights reserved","note":"publisher: IOP Publishing","page":"034032","title":"CO2 emissions from C40 cities: citywide emission inventories and comparisons with global gridded emission datasets","volume":"18","author":[{"family":"Ahn","given":"D Y"},{"family":"Goldberg","given":"D L"},{"family":"Coombes","given":"Toby"},{"family":"Kleiman","given":"Gary"},{"family":"Anenberg","given":"S C"}],"issued":{"date-parts":[["2023",2,28]]}},"label":"page","suppress-author":true}],"schema":"https://github.com/citation-style-language/schema/raw/master/csl-citation.json"} </w:instrText>
      </w:r>
      <w:r w:rsidRPr="00021432">
        <w:rPr>
          <w:rFonts w:ascii="Times New Roman" w:hAnsi="Times New Roman" w:cs="Times New Roman"/>
        </w:rPr>
        <w:fldChar w:fldCharType="separate"/>
      </w:r>
      <w:r>
        <w:rPr>
          <w:rFonts w:ascii="Times New Roman" w:hAnsi="Times New Roman" w:cs="Times New Roman"/>
        </w:rPr>
        <w:t>(2023)</w:t>
      </w:r>
      <w:r w:rsidRPr="00021432">
        <w:rPr>
          <w:rFonts w:ascii="Times New Roman" w:hAnsi="Times New Roman" w:cs="Times New Roman"/>
        </w:rPr>
        <w:fldChar w:fldCharType="end"/>
      </w:r>
      <w:r>
        <w:rPr>
          <w:rFonts w:ascii="Times New Roman" w:hAnsi="Times New Roman" w:cs="Times New Roman"/>
          <w:color w:val="000000" w:themeColor="text1"/>
        </w:rPr>
        <w:t>.</w:t>
      </w:r>
    </w:p>
    <w:p w14:paraId="69DCF584"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 xml:space="preserve">Globally, both EDGAR and ODIAC show great agreement with our satellite-based emission estimates: the mean percentage error (MPE) for the 54 cities’ emission estimates is </w:t>
      </w:r>
      <w:r w:rsidRPr="00021432">
        <w:rPr>
          <w:rFonts w:ascii="Times New Roman" w:hAnsi="Times New Roman" w:cs="Times New Roman"/>
          <w:color w:val="000000" w:themeColor="text1"/>
        </w:rPr>
        <w:t>−</w:t>
      </w:r>
      <w:r>
        <w:rPr>
          <w:rFonts w:ascii="Times New Roman" w:hAnsi="Times New Roman" w:cs="Times New Roman"/>
          <w:color w:val="000000" w:themeColor="text1"/>
        </w:rPr>
        <w:t>7% for EDGAR vs. OCO-3 and 1% for ODIAC vs. OCO-3. However, this agreement results from the cancellation of large errors in opposite directions at the individual city level. T</w:t>
      </w:r>
      <w:r w:rsidRPr="00021432">
        <w:rPr>
          <w:rFonts w:ascii="Times New Roman" w:hAnsi="Times New Roman" w:cs="Times New Roman"/>
          <w:color w:val="000000" w:themeColor="text1"/>
        </w:rPr>
        <w:t>he mean absolute percentage error</w:t>
      </w:r>
      <w:r>
        <w:rPr>
          <w:rFonts w:ascii="Times New Roman" w:hAnsi="Times New Roman" w:cs="Times New Roman"/>
          <w:color w:val="000000" w:themeColor="text1"/>
        </w:rPr>
        <w:t xml:space="preserve"> (MAPE), which accounts for errors of both signs,</w:t>
      </w:r>
      <w:r w:rsidRPr="00021432">
        <w:rPr>
          <w:rFonts w:ascii="Times New Roman" w:hAnsi="Times New Roman" w:cs="Times New Roman"/>
          <w:color w:val="000000" w:themeColor="text1"/>
        </w:rPr>
        <w:t xml:space="preserve"> is 4</w:t>
      </w:r>
      <w:r>
        <w:rPr>
          <w:rFonts w:ascii="Times New Roman" w:hAnsi="Times New Roman" w:cs="Times New Roman"/>
          <w:color w:val="000000" w:themeColor="text1"/>
        </w:rPr>
        <w:t>5</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 for EDGAR vs. OCO-3 and 50% for ODIAC vs. OCO-3</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 Among the 54 cities, EDGAR estimates fall within the 1</w:t>
      </w:r>
      <w:r w:rsidRPr="0053085C">
        <w:rPr>
          <w:rFonts w:ascii="Times New Roman" w:hAnsi="Times New Roman" w:cs="Times New Roman"/>
        </w:rPr>
        <w:t>σ</w:t>
      </w:r>
      <w:r>
        <w:rPr>
          <w:rFonts w:ascii="Times New Roman" w:hAnsi="Times New Roman" w:cs="Times New Roman"/>
        </w:rPr>
        <w:t xml:space="preserve"> uncertainty range</w:t>
      </w:r>
      <w:r>
        <w:rPr>
          <w:rFonts w:ascii="Times New Roman" w:hAnsi="Times New Roman" w:cs="Times New Roman"/>
          <w:color w:val="000000" w:themeColor="text1"/>
        </w:rPr>
        <w:t xml:space="preserve"> of our OCO-3 estimates for 25 cities, and ODIAC estimates fall within this 1</w:t>
      </w:r>
      <w:r w:rsidRPr="0053085C">
        <w:rPr>
          <w:rFonts w:ascii="Times New Roman" w:hAnsi="Times New Roman" w:cs="Times New Roman"/>
        </w:rPr>
        <w:t>σ</w:t>
      </w:r>
      <w:r>
        <w:rPr>
          <w:rFonts w:ascii="Times New Roman" w:hAnsi="Times New Roman" w:cs="Times New Roman"/>
          <w:color w:val="000000" w:themeColor="text1"/>
        </w:rPr>
        <w:t xml:space="preserve"> range for 22 cities. In summary, while individual city estimates should be interpreted with caution, there is less uncertainty when emissions are analyzed for groups of cities, particularly when aggregated at regional or global scales.</w:t>
      </w:r>
    </w:p>
    <w:p w14:paraId="5CC3AB8F"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noProof/>
          <w:color w:val="000000" w:themeColor="text1"/>
          <w14:textOutline w14:w="0" w14:cap="rnd" w14:cmpd="sng" w14:algn="ctr">
            <w14:noFill/>
            <w14:prstDash w14:val="solid"/>
            <w14:bevel/>
          </w14:textOutline>
        </w:rPr>
        <w:lastRenderedPageBreak/>
        <w:drawing>
          <wp:inline distT="0" distB="0" distL="0" distR="0" wp14:anchorId="19F98A69" wp14:editId="153FAED8">
            <wp:extent cx="5943600" cy="2954655"/>
            <wp:effectExtent l="0" t="0" r="0" b="4445"/>
            <wp:docPr id="347756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56744" name="Picture 347756744"/>
                    <pic:cNvPicPr/>
                  </pic:nvPicPr>
                  <pic:blipFill>
                    <a:blip r:embed="rId10"/>
                    <a:stretch>
                      <a:fillRect/>
                    </a:stretch>
                  </pic:blipFill>
                  <pic:spPr>
                    <a:xfrm>
                      <a:off x="0" y="0"/>
                      <a:ext cx="5943600" cy="2954655"/>
                    </a:xfrm>
                    <a:prstGeom prst="rect">
                      <a:avLst/>
                    </a:prstGeom>
                  </pic:spPr>
                </pic:pic>
              </a:graphicData>
            </a:graphic>
          </wp:inline>
        </w:drawing>
      </w:r>
    </w:p>
    <w:p w14:paraId="59996849" w14:textId="77777777" w:rsidR="00BF0126" w:rsidRPr="00021432" w:rsidRDefault="00BF0126" w:rsidP="00BF0126">
      <w:pPr>
        <w:pStyle w:val="Body"/>
        <w:jc w:val="both"/>
        <w:rPr>
          <w:rFonts w:ascii="Times New Roman" w:hAnsi="Times New Roman" w:cs="Times New Roman"/>
          <w:color w:val="000000" w:themeColor="text1"/>
        </w:rPr>
      </w:pPr>
      <w:r>
        <w:rPr>
          <w:rFonts w:ascii="Times New Roman" w:hAnsi="Times New Roman" w:cs="Times New Roman"/>
          <w:b/>
          <w:bCs/>
          <w:color w:val="000000" w:themeColor="text1"/>
        </w:rPr>
        <w:t>Figure</w:t>
      </w:r>
      <w:r w:rsidRPr="00021432">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3</w:t>
      </w:r>
      <w:r w:rsidRPr="00021432">
        <w:rPr>
          <w:rFonts w:ascii="Times New Roman" w:hAnsi="Times New Roman" w:cs="Times New Roman"/>
          <w:b/>
          <w:bCs/>
          <w:color w:val="000000" w:themeColor="text1"/>
        </w:rPr>
        <w:t>.</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Comparison of </w:t>
      </w:r>
      <w:r>
        <w:rPr>
          <w:rFonts w:ascii="Times New Roman" w:hAnsi="Times New Roman" w:cs="Times New Roman"/>
        </w:rPr>
        <w:t xml:space="preserve">annual </w:t>
      </w:r>
      <w:r w:rsidRPr="00021432">
        <w:rPr>
          <w:rFonts w:ascii="Times New Roman" w:hAnsi="Times New Roman" w:cs="Times New Roman"/>
        </w:rPr>
        <w:t>CO</w:t>
      </w:r>
      <w:r w:rsidRPr="00021432">
        <w:rPr>
          <w:rFonts w:ascii="Times New Roman" w:hAnsi="Times New Roman" w:cs="Times New Roman"/>
          <w:vertAlign w:val="subscript"/>
        </w:rPr>
        <w:t>2</w:t>
      </w:r>
      <w:r w:rsidRPr="00021432">
        <w:rPr>
          <w:rFonts w:ascii="Times New Roman" w:hAnsi="Times New Roman" w:cs="Times New Roman"/>
        </w:rPr>
        <w:t xml:space="preserve"> emission estimates </w:t>
      </w:r>
      <w:r>
        <w:rPr>
          <w:rFonts w:ascii="Times New Roman" w:hAnsi="Times New Roman" w:cs="Times New Roman"/>
        </w:rPr>
        <w:t xml:space="preserve">for </w:t>
      </w:r>
      <w:r>
        <w:rPr>
          <w:rFonts w:ascii="Times New Roman" w:hAnsi="Times New Roman" w:cs="Times New Roman"/>
          <w:color w:val="000000" w:themeColor="text1"/>
        </w:rPr>
        <w:t xml:space="preserve">54 global </w:t>
      </w:r>
      <w:r w:rsidRPr="00021432">
        <w:rPr>
          <w:rFonts w:ascii="Times New Roman" w:hAnsi="Times New Roman" w:cs="Times New Roman"/>
        </w:rPr>
        <w:t xml:space="preserve">C40 cities between </w:t>
      </w:r>
      <w:r>
        <w:rPr>
          <w:rFonts w:ascii="Times New Roman" w:hAnsi="Times New Roman" w:cs="Times New Roman"/>
        </w:rPr>
        <w:t xml:space="preserve">bottom-up </w:t>
      </w:r>
      <w:r w:rsidRPr="00021432">
        <w:rPr>
          <w:rFonts w:ascii="Times New Roman" w:hAnsi="Times New Roman" w:cs="Times New Roman"/>
        </w:rPr>
        <w:t>datasets—EDGAR (</w:t>
      </w:r>
      <w:r>
        <w:rPr>
          <w:rFonts w:ascii="Times New Roman" w:hAnsi="Times New Roman" w:cs="Times New Roman"/>
        </w:rPr>
        <w:t>A</w:t>
      </w:r>
      <w:r w:rsidRPr="00021432">
        <w:rPr>
          <w:rFonts w:ascii="Times New Roman" w:hAnsi="Times New Roman" w:cs="Times New Roman"/>
        </w:rPr>
        <w:t>) and ODIAC (</w:t>
      </w:r>
      <w:r>
        <w:rPr>
          <w:rFonts w:ascii="Times New Roman" w:hAnsi="Times New Roman" w:cs="Times New Roman"/>
        </w:rPr>
        <w:t>B</w:t>
      </w:r>
      <w:r w:rsidRPr="00021432">
        <w:rPr>
          <w:rFonts w:ascii="Times New Roman" w:hAnsi="Times New Roman" w:cs="Times New Roman"/>
        </w:rPr>
        <w:t xml:space="preserve">)— and satellite-based </w:t>
      </w:r>
      <w:r>
        <w:rPr>
          <w:rFonts w:ascii="Times New Roman" w:hAnsi="Times New Roman" w:cs="Times New Roman"/>
        </w:rPr>
        <w:t>estimates.</w:t>
      </w:r>
      <w:r>
        <w:rPr>
          <w:rFonts w:ascii="Times New Roman" w:hAnsi="Times New Roman" w:cs="Times New Roman"/>
          <w:color w:val="000000" w:themeColor="text1"/>
        </w:rPr>
        <w:t xml:space="preserve"> The</w:t>
      </w:r>
      <w:r w:rsidRPr="00021432">
        <w:rPr>
          <w:rFonts w:ascii="Times New Roman" w:hAnsi="Times New Roman" w:cs="Times New Roman"/>
          <w:color w:val="000000" w:themeColor="text1"/>
        </w:rPr>
        <w:t xml:space="preserve"> mean percentage error ((</w:t>
      </w:r>
      <w:r>
        <w:rPr>
          <w:rFonts w:ascii="Times New Roman" w:hAnsi="Times New Roman" w:cs="Times New Roman"/>
          <w:color w:val="000000" w:themeColor="text1"/>
        </w:rPr>
        <w:t>BottomUp−</w:t>
      </w:r>
      <w:r w:rsidRPr="00021432">
        <w:rPr>
          <w:rFonts w:ascii="Times New Roman" w:hAnsi="Times New Roman" w:cs="Times New Roman"/>
          <w:color w:val="000000" w:themeColor="text1"/>
        </w:rPr>
        <w:t>OCO3)/OCO3</w:t>
      </w:r>
      <w:r>
        <w:rPr>
          <w:rFonts w:ascii="Times New Roman" w:hAnsi="Times New Roman" w:cs="Times New Roman"/>
          <w:color w:val="000000" w:themeColor="text1"/>
        </w:rPr>
        <w:t>×</w:t>
      </w:r>
      <w:r w:rsidRPr="00021432">
        <w:rPr>
          <w:rFonts w:ascii="Times New Roman" w:hAnsi="Times New Roman" w:cs="Times New Roman"/>
          <w:color w:val="000000" w:themeColor="text1"/>
        </w:rPr>
        <w:t>100), mean absolute percentage error</w:t>
      </w:r>
      <w:r>
        <w:rPr>
          <w:rFonts w:ascii="Times New Roman" w:hAnsi="Times New Roman" w:cs="Times New Roman"/>
          <w:color w:val="000000" w:themeColor="text1"/>
        </w:rPr>
        <w:t xml:space="preserve">, </w:t>
      </w:r>
      <w:r w:rsidRPr="00021432">
        <w:rPr>
          <w:rFonts w:ascii="Times New Roman" w:hAnsi="Times New Roman" w:cs="Times New Roman"/>
          <w:color w:val="000000" w:themeColor="text1"/>
        </w:rPr>
        <w:t xml:space="preserve">and the linear least-squares regression model are shown. </w:t>
      </w:r>
      <w:r>
        <w:rPr>
          <w:rFonts w:ascii="Times New Roman" w:hAnsi="Times New Roman" w:cs="Times New Roman"/>
          <w:color w:val="000000" w:themeColor="text1"/>
        </w:rPr>
        <w:t>The g</w:t>
      </w:r>
      <w:r w:rsidRPr="00021432">
        <w:rPr>
          <w:rFonts w:ascii="Times New Roman" w:hAnsi="Times New Roman" w:cs="Times New Roman"/>
          <w:color w:val="000000" w:themeColor="text1"/>
        </w:rPr>
        <w:t xml:space="preserve">rey area </w:t>
      </w:r>
      <w:r>
        <w:rPr>
          <w:rFonts w:ascii="Times New Roman" w:hAnsi="Times New Roman" w:cs="Times New Roman"/>
          <w:color w:val="000000" w:themeColor="text1"/>
        </w:rPr>
        <w:t>represents the</w:t>
      </w:r>
      <w:r w:rsidRPr="00021432">
        <w:rPr>
          <w:rFonts w:ascii="Times New Roman" w:hAnsi="Times New Roman" w:cs="Times New Roman"/>
          <w:color w:val="000000" w:themeColor="text1"/>
        </w:rPr>
        <w:t xml:space="preserve"> 95% confidence interval of the regression</w:t>
      </w:r>
      <w:r>
        <w:rPr>
          <w:rFonts w:ascii="Times New Roman" w:hAnsi="Times New Roman" w:cs="Times New Roman"/>
          <w:color w:val="000000" w:themeColor="text1"/>
        </w:rPr>
        <w:t xml:space="preserve"> model</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 Only half of the cities are labeled, with the remaining city names shown in Figure S2. Note that EDGAR includes emissions from both fossil and biofuel sectors, while ODIAC only covers fossil-fuel emissions.</w:t>
      </w:r>
    </w:p>
    <w:p w14:paraId="6D42A277" w14:textId="77777777" w:rsidR="00BF0126" w:rsidRPr="0015781B" w:rsidRDefault="00BF0126" w:rsidP="00BF0126">
      <w:pPr>
        <w:pStyle w:val="Heading-Secondary"/>
        <w:ind w:left="0"/>
        <w:rPr>
          <w:b/>
          <w:bCs w:val="0"/>
        </w:rPr>
      </w:pPr>
      <w:r w:rsidRPr="00665230">
        <w:rPr>
          <w:b/>
          <w:bCs w:val="0"/>
        </w:rPr>
        <w:t>3.</w:t>
      </w:r>
      <w:r>
        <w:rPr>
          <w:b/>
          <w:bCs w:val="0"/>
        </w:rPr>
        <w:t>3</w:t>
      </w:r>
      <w:r w:rsidRPr="00665230">
        <w:rPr>
          <w:b/>
          <w:bCs w:val="0"/>
        </w:rPr>
        <w:t xml:space="preserve">. </w:t>
      </w:r>
      <w:r>
        <w:rPr>
          <w:b/>
          <w:bCs w:val="0"/>
        </w:rPr>
        <w:t>Regional Comparison of Bottom-up and Satellite-based Urban Emission Estimates</w:t>
      </w:r>
    </w:p>
    <w:p w14:paraId="305FA94A" w14:textId="77777777" w:rsidR="00BF0126" w:rsidRDefault="00BF0126" w:rsidP="00BF0126">
      <w:pPr>
        <w:pStyle w:val="Body"/>
        <w:spacing w:before="120" w:after="120"/>
        <w:jc w:val="both"/>
        <w:rPr>
          <w:rFonts w:ascii="Times New Roman" w:hAnsi="Times New Roman" w:cs="Times New Roman"/>
          <w:color w:val="000000" w:themeColor="text1"/>
        </w:rPr>
      </w:pPr>
      <w:r>
        <w:rPr>
          <w:rFonts w:ascii="Times New Roman" w:hAnsi="Times New Roman" w:cs="Times New Roman"/>
          <w:color w:val="000000" w:themeColor="text1"/>
        </w:rPr>
        <w:t>When cities are grouped into seven global regions, the two bottom-up emission datasets reveal distinct regional characteristics (Figure 4</w:t>
      </w:r>
      <w:r>
        <w:rPr>
          <w:rFonts w:ascii="Times New Roman" w:hAnsi="Times New Roman" w:cs="Times New Roman"/>
        </w:rPr>
        <w:t>).</w:t>
      </w:r>
      <w:r w:rsidRPr="00525423">
        <w:rPr>
          <w:rFonts w:ascii="Times New Roman" w:hAnsi="Times New Roman" w:cs="Times New Roman"/>
          <w:color w:val="000000" w:themeColor="text1"/>
        </w:rPr>
        <w:t xml:space="preserve"> </w:t>
      </w:r>
      <w:r>
        <w:rPr>
          <w:rFonts w:ascii="Times New Roman" w:hAnsi="Times New Roman" w:cs="Times New Roman"/>
          <w:color w:val="000000" w:themeColor="text1"/>
        </w:rPr>
        <w:t>Figure 4 includes two additional variables from Figure 3: EDGAR’s fossil-only emissions and the sum of ODIAC’s fossil- and EDGAR’s biofuel emissions. For the 54 cities, ODIAC fossil emissions are 55% larger than EDGAR’s fossil emissions and 14% larger than EDGAR’s total emissions.</w:t>
      </w:r>
    </w:p>
    <w:p w14:paraId="60EE51AD" w14:textId="77777777" w:rsidR="00BF0126" w:rsidRDefault="00BF0126" w:rsidP="00BF0126">
      <w:pPr>
        <w:pStyle w:val="Body"/>
        <w:spacing w:before="120" w:after="120"/>
        <w:jc w:val="both"/>
        <w:rPr>
          <w:rFonts w:ascii="Times New Roman" w:hAnsi="Times New Roman" w:cs="Times New Roman"/>
          <w:color w:val="000000" w:themeColor="text1"/>
        </w:rPr>
      </w:pPr>
      <w:r w:rsidRPr="00F505D0">
        <w:rPr>
          <w:rFonts w:ascii="Times New Roman" w:hAnsi="Times New Roman" w:cs="Times New Roman"/>
          <w:color w:val="000000" w:themeColor="text1"/>
        </w:rPr>
        <w:t>We found the best agreement between bottom-up and satellite-based emission estimates for cities in North America, with MPE rang</w:t>
      </w:r>
      <w:r>
        <w:rPr>
          <w:rFonts w:ascii="Times New Roman" w:hAnsi="Times New Roman" w:cs="Times New Roman"/>
          <w:color w:val="000000" w:themeColor="text1"/>
        </w:rPr>
        <w:t>ing</w:t>
      </w:r>
      <w:r w:rsidRPr="00F505D0">
        <w:rPr>
          <w:rFonts w:ascii="Times New Roman" w:hAnsi="Times New Roman" w:cs="Times New Roman"/>
          <w:color w:val="000000" w:themeColor="text1"/>
        </w:rPr>
        <w:t xml:space="preserve"> from −15 ± 41% </w:t>
      </w:r>
      <w:r>
        <w:rPr>
          <w:rFonts w:ascii="Times New Roman" w:hAnsi="Times New Roman" w:cs="Times New Roman"/>
          <w:color w:val="000000" w:themeColor="text1"/>
        </w:rPr>
        <w:t xml:space="preserve">for </w:t>
      </w:r>
      <w:r w:rsidRPr="00F505D0">
        <w:rPr>
          <w:rFonts w:ascii="Times New Roman" w:hAnsi="Times New Roman" w:cs="Times New Roman"/>
          <w:color w:val="000000" w:themeColor="text1"/>
        </w:rPr>
        <w:t>EDGAR fossil to −3 ± 46% for ODIAC total</w:t>
      </w:r>
      <w:r>
        <w:rPr>
          <w:rFonts w:ascii="Times New Roman" w:hAnsi="Times New Roman" w:cs="Times New Roman"/>
          <w:color w:val="000000" w:themeColor="text1"/>
        </w:rPr>
        <w:t xml:space="preserve"> emissions</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Overall, </w:t>
      </w:r>
      <w:r w:rsidRPr="00F505D0">
        <w:rPr>
          <w:rFonts w:ascii="Times New Roman" w:hAnsi="Times New Roman" w:cs="Times New Roman"/>
          <w:color w:val="000000" w:themeColor="text1"/>
        </w:rPr>
        <w:t>EDGAR and ODIAC underestimates emissions</w:t>
      </w:r>
      <w:r>
        <w:rPr>
          <w:rFonts w:ascii="Times New Roman" w:hAnsi="Times New Roman" w:cs="Times New Roman"/>
          <w:color w:val="000000" w:themeColor="text1"/>
        </w:rPr>
        <w:t>, though</w:t>
      </w:r>
      <w:r w:rsidRPr="00F505D0">
        <w:rPr>
          <w:rFonts w:ascii="Times New Roman" w:hAnsi="Times New Roman" w:cs="Times New Roman"/>
          <w:color w:val="000000" w:themeColor="text1"/>
        </w:rPr>
        <w:t xml:space="preserve"> the standard deviation</w:t>
      </w:r>
      <w:r>
        <w:rPr>
          <w:rFonts w:ascii="Times New Roman" w:hAnsi="Times New Roman" w:cs="Times New Roman"/>
          <w:color w:val="000000" w:themeColor="text1"/>
        </w:rPr>
        <w:t xml:space="preserve"> of MPE</w:t>
      </w:r>
      <w:r w:rsidRPr="00F505D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includes zero, indicating reasonable agreement with satellite-based estimates. </w:t>
      </w:r>
    </w:p>
    <w:p w14:paraId="31C032DD" w14:textId="77777777" w:rsidR="00BF0126" w:rsidRDefault="00BF0126" w:rsidP="00BF0126">
      <w:pPr>
        <w:pStyle w:val="Body"/>
        <w:spacing w:before="120"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A similar pattern was observed for European cities, though the underestimation by bottom-up datasets was more pronounced than in North America, with MPE range from </w:t>
      </w:r>
      <w:r w:rsidRPr="00F505D0">
        <w:rPr>
          <w:rFonts w:ascii="Times New Roman" w:hAnsi="Times New Roman" w:cs="Times New Roman"/>
          <w:color w:val="000000" w:themeColor="text1"/>
        </w:rPr>
        <w:t>−29 ± 43% for EDGAR fossil to −20 ± 4</w:t>
      </w:r>
      <w:r>
        <w:rPr>
          <w:rFonts w:ascii="Times New Roman" w:hAnsi="Times New Roman" w:cs="Times New Roman"/>
          <w:color w:val="000000" w:themeColor="text1"/>
        </w:rPr>
        <w:t>4</w:t>
      </w:r>
      <w:r w:rsidRPr="00F505D0">
        <w:rPr>
          <w:rFonts w:ascii="Times New Roman" w:hAnsi="Times New Roman" w:cs="Times New Roman"/>
          <w:color w:val="000000" w:themeColor="text1"/>
        </w:rPr>
        <w:t>% for ODIAC total</w:t>
      </w:r>
      <w:r>
        <w:rPr>
          <w:rFonts w:ascii="Times New Roman" w:hAnsi="Times New Roman" w:cs="Times New Roman"/>
          <w:color w:val="000000" w:themeColor="text1"/>
        </w:rPr>
        <w:t xml:space="preserve"> emissions. Notably, EDGAR and ODIAC fossil emissions showed stronger agreement in North America and Europe than in other regions, suggesting a more robust census capability in these areas. </w:t>
      </w:r>
      <w:r w:rsidRPr="00F505D0">
        <w:rPr>
          <w:rFonts w:ascii="Times New Roman" w:hAnsi="Times New Roman" w:cs="Times New Roman"/>
          <w:color w:val="000000" w:themeColor="text1"/>
        </w:rPr>
        <w:t xml:space="preserve">This finding </w:t>
      </w:r>
      <w:r>
        <w:rPr>
          <w:rFonts w:ascii="Times New Roman" w:hAnsi="Times New Roman" w:cs="Times New Roman"/>
          <w:color w:val="000000" w:themeColor="text1"/>
        </w:rPr>
        <w:t>supports</w:t>
      </w:r>
      <w:r w:rsidRPr="00F505D0">
        <w:rPr>
          <w:rFonts w:ascii="Times New Roman" w:hAnsi="Times New Roman" w:cs="Times New Roman"/>
          <w:color w:val="000000" w:themeColor="text1"/>
        </w:rPr>
        <w:t xml:space="preserve"> the assumption in Solazzo et al. </w:t>
      </w:r>
      <w:r w:rsidRPr="00F505D0">
        <w:rPr>
          <w:rFonts w:ascii="Times New Roman" w:hAnsi="Times New Roman" w:cs="Times New Roman"/>
          <w:color w:val="000000" w:themeColor="text1"/>
        </w:rPr>
        <w:fldChar w:fldCharType="begin"/>
      </w:r>
      <w:r w:rsidRPr="00F505D0">
        <w:rPr>
          <w:rFonts w:ascii="Times New Roman" w:hAnsi="Times New Roman" w:cs="Times New Roman"/>
          <w:color w:val="000000" w:themeColor="text1"/>
        </w:rPr>
        <w:instrText xml:space="preserve"> ADDIN ZOTERO_ITEM CSL_CITATION {"citationID":"knAerA58","properties":{"formattedCitation":"(2021)","plainCitation":"(2021)","noteIndex":0},"citationItems":[{"id":581,"uris":["http://zotero.org/users/12959951/items/5N4E99B7"],"itemData":{"id":581,"type":"article-journal","container-title":"Atmospheric Chemistry and Physics","DOI":"10.5194/acp-21-5655-2021","issue":"7","page":"5655–5683","title":"Uncertainties in the Emissions Database for Global Atmospheric Research (EDGAR) emission inventory of greenhouse gases","volume":"21","author":[{"family":"Solazzo","given":"E."},{"family":"Crippa","given":"M."},{"family":"Guizzardi","given":"D."},{"family":"Muntean","given":"M."},{"family":"Choulga","given":"M."},{"family":"Janssens-Maenhout","given":"G."}],"issued":{"date-parts":[["2021"]]}},"label":"page","suppress-author":true}],"schema":"https://github.com/citation-style-language/schema/raw/master/csl-citation.json"} </w:instrText>
      </w:r>
      <w:r w:rsidRPr="00F505D0">
        <w:rPr>
          <w:rFonts w:ascii="Times New Roman" w:hAnsi="Times New Roman" w:cs="Times New Roman"/>
          <w:color w:val="000000" w:themeColor="text1"/>
        </w:rPr>
        <w:fldChar w:fldCharType="separate"/>
      </w:r>
      <w:r w:rsidRPr="00F505D0">
        <w:rPr>
          <w:rFonts w:ascii="Times New Roman" w:hAnsi="Times New Roman" w:cs="Times New Roman"/>
          <w:color w:val="000000" w:themeColor="text1"/>
        </w:rPr>
        <w:t>(2021)</w:t>
      </w:r>
      <w:r w:rsidRPr="00F505D0">
        <w:rPr>
          <w:rFonts w:ascii="Times New Roman" w:hAnsi="Times New Roman" w:cs="Times New Roman"/>
          <w:color w:val="000000" w:themeColor="text1"/>
        </w:rPr>
        <w:fldChar w:fldCharType="end"/>
      </w:r>
      <w:r w:rsidRPr="00F505D0">
        <w:rPr>
          <w:rFonts w:ascii="Times New Roman" w:hAnsi="Times New Roman" w:cs="Times New Roman"/>
          <w:color w:val="000000" w:themeColor="text1"/>
        </w:rPr>
        <w:t xml:space="preserve">, which assigned </w:t>
      </w:r>
      <w:r>
        <w:rPr>
          <w:rFonts w:ascii="Times New Roman" w:hAnsi="Times New Roman" w:cs="Times New Roman"/>
          <w:color w:val="000000" w:themeColor="text1"/>
        </w:rPr>
        <w:t xml:space="preserve">a lower </w:t>
      </w:r>
      <w:r w:rsidRPr="00F505D0">
        <w:rPr>
          <w:rFonts w:ascii="Times New Roman" w:hAnsi="Times New Roman" w:cs="Times New Roman"/>
          <w:color w:val="000000" w:themeColor="text1"/>
        </w:rPr>
        <w:t xml:space="preserve">uncertainty </w:t>
      </w:r>
      <w:r>
        <w:rPr>
          <w:rFonts w:ascii="Times New Roman" w:hAnsi="Times New Roman" w:cs="Times New Roman"/>
          <w:color w:val="000000" w:themeColor="text1"/>
        </w:rPr>
        <w:t xml:space="preserve">to </w:t>
      </w:r>
      <w:r w:rsidRPr="00F505D0">
        <w:rPr>
          <w:rFonts w:ascii="Times New Roman" w:hAnsi="Times New Roman" w:cs="Times New Roman"/>
          <w:color w:val="000000" w:themeColor="text1"/>
        </w:rPr>
        <w:t>fossil fuel combustion activity</w:t>
      </w:r>
      <w:r>
        <w:rPr>
          <w:rFonts w:ascii="Times New Roman" w:hAnsi="Times New Roman" w:cs="Times New Roman"/>
          <w:color w:val="000000" w:themeColor="text1"/>
        </w:rPr>
        <w:t xml:space="preserve"> in</w:t>
      </w:r>
      <w:r w:rsidRPr="00F505D0">
        <w:rPr>
          <w:rFonts w:ascii="Times New Roman" w:hAnsi="Times New Roman" w:cs="Times New Roman"/>
          <w:color w:val="000000" w:themeColor="text1"/>
        </w:rPr>
        <w:t xml:space="preserve"> industrialized countries</w:t>
      </w:r>
      <w:r>
        <w:rPr>
          <w:rFonts w:ascii="Times New Roman" w:hAnsi="Times New Roman" w:cs="Times New Roman"/>
          <w:color w:val="000000" w:themeColor="text1"/>
        </w:rPr>
        <w:t xml:space="preserve"> (</w:t>
      </w:r>
      <w:r w:rsidRPr="00F505D0">
        <w:rPr>
          <w:rFonts w:ascii="Times New Roman" w:hAnsi="Times New Roman" w:cs="Times New Roman"/>
          <w:color w:val="000000" w:themeColor="text1"/>
        </w:rPr>
        <w:t>±5%</w:t>
      </w:r>
      <w:r>
        <w:rPr>
          <w:rFonts w:ascii="Times New Roman" w:hAnsi="Times New Roman" w:cs="Times New Roman"/>
          <w:color w:val="000000" w:themeColor="text1"/>
        </w:rPr>
        <w:t>) compared to developing countries (</w:t>
      </w:r>
      <w:r w:rsidRPr="00F505D0">
        <w:rPr>
          <w:rFonts w:ascii="Times New Roman" w:hAnsi="Times New Roman" w:cs="Times New Roman"/>
          <w:color w:val="000000" w:themeColor="text1"/>
        </w:rPr>
        <w:t>±</w:t>
      </w:r>
      <w:r>
        <w:rPr>
          <w:rFonts w:ascii="Times New Roman" w:hAnsi="Times New Roman" w:cs="Times New Roman"/>
          <w:color w:val="000000" w:themeColor="text1"/>
        </w:rPr>
        <w:t>10</w:t>
      </w:r>
      <w:r w:rsidRPr="00F505D0">
        <w:rPr>
          <w:rFonts w:ascii="Times New Roman" w:hAnsi="Times New Roman" w:cs="Times New Roman"/>
          <w:color w:val="000000" w:themeColor="text1"/>
        </w:rPr>
        <w:t>%</w:t>
      </w:r>
      <w:r>
        <w:rPr>
          <w:rFonts w:ascii="Times New Roman" w:hAnsi="Times New Roman" w:cs="Times New Roman"/>
          <w:color w:val="000000" w:themeColor="text1"/>
        </w:rPr>
        <w:t>). Additionally</w:t>
      </w:r>
      <w:r w:rsidRPr="00F505D0">
        <w:rPr>
          <w:rFonts w:ascii="Times New Roman" w:hAnsi="Times New Roman" w:cs="Times New Roman"/>
          <w:color w:val="000000" w:themeColor="text1"/>
        </w:rPr>
        <w:t xml:space="preserve">, Ahn et al. </w:t>
      </w:r>
      <w:r w:rsidRPr="00F505D0">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{"citationID":"L33CAdCS","properties":{"formattedCitation":"(2023)","plainCitation":"(2023)","noteIndex":0},"citationItems":[{"id":21,"uris":["http://zotero.org/users/12959951/items/LYA34N4M"],"itemData":{"id":21,"type":"article-journal","abstract":"Under the leadership of the C40 Cities Climate Leadership Group (C40), approximately 1100 global cities have signed to reach net-zero emissions by 2050. Accurate greenhouse gas emission calculations at the city-scale have become critical. This study forms a bridge between the two emission calculation methods: (a) the city-scale accounting used by C40 cities—the Global Protocol for Community-Scale Greenhouse Gas Emission Inventories (GPC) and (b) the global-scale gridded datasets</w:instrText>
      </w:r>
      <w:r>
        <w:rPr>
          <w:rFonts w:ascii="Times New Roman" w:hAnsi="Times New Roman" w:cs="Times New Roman" w:hint="eastAsia"/>
          <w:color w:val="000000" w:themeColor="text1"/>
        </w:rPr>
        <w:instrText xml:space="preserve"> used by the research community</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the Emission Database for Global Atmospheric Research (EDGAR) and Open</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Source Data Inventory for Anthropogenic CO2 (ODIAC). For the emission magnitudes of 78 C40 cities, we find good correlations between the GPC and EDGAR (</w:instrText>
      </w:r>
      <w:r>
        <w:rPr>
          <w:rFonts w:ascii="Times New Roman" w:hAnsi="Times New Roman" w:cs="Times New Roman"/>
          <w:color w:val="000000" w:themeColor="text1"/>
        </w:rPr>
        <w:instrText xml:space="preserve">R 2 = 0.80) and the GPC and ODIAC (R 2 = 0.72). Regionally, African cities show the largest variability in the three emission estimates. For the emission trends, the standard deviation of the differences is ±4.7% yr−1 for EDGAR vs. GPC and is ±3.9% yr−1 for ODIAC vs. GPC: a factor of </w:instrText>
      </w:r>
      <w:r>
        <w:rPr>
          <w:rFonts w:ascii="Times New Roman" w:hAnsi="Times New Roman" w:cs="Times New Roman" w:hint="eastAsia"/>
          <w:color w:val="000000" w:themeColor="text1"/>
        </w:rPr>
        <w:instrText>∼</w:instrText>
      </w:r>
      <w:r>
        <w:rPr>
          <w:rFonts w:ascii="Times New Roman" w:hAnsi="Times New Roman" w:cs="Times New Roman"/>
          <w:color w:val="000000" w:themeColor="text1"/>
        </w:rPr>
        <w:instrText xml:space="preserve">2 larger than the trends that many C40 cities pledged (net-zero by 2050 from 2010, or −2.5% yr−1). To examine the source of discrepancies in the emission datasets, we assess the impact of spatial resolutions of EDGAR (0.1°) and ODIAC (1 km) on estimating varying-sized cities’ emissions. Our analysis shows that the coarser resolution of EDGAR can artificially decrease emissions by 13% for cities smaller than 1000 km2. We find that data quality of emission factors (EFs) used in GPC inventories vary regionally: the highest quality for European and North American and the lowest for African and Latin American cities. Our study indicates that the following items should be prioritized to reduce the discrepancies between the two emission calculation methods: (a) implementing local-specific/up-to-date EFs in GPC inventories, (b) keeping the global power plant database current, and (c) incorporating satellite-derived CO2 datasets (i.e. NASA OCO-3).","container-title":"Environmental Research Letters","DOI":"10.1088/1748-9326/acbb91","ISSN":"1748-9326","issue":"3","license":"All rights reserved","note":"publisher: IOP Publishing","page":"034032","title":"CO2 emissions from C40 cities: citywide emission inventories and comparisons with global gridded emission datasets","volume":"18","author":[{"family":"Ahn","given":"D Y"},{"family":"Goldberg","given":"D L"},{"family":"Coombes","given":"Toby"},{"family":"Kleiman","given":"Gary"},{"family":"Anenberg","given":"S C"}],"issued":{"date-parts":[["2023",2,28]]}},"label":"page","suppress-author":true}],"schema":"https://github.com/citation-style-language/schema/raw/master/csl-citation.json"} </w:instrText>
      </w:r>
      <w:r w:rsidRPr="00F505D0">
        <w:rPr>
          <w:rFonts w:ascii="Times New Roman" w:hAnsi="Times New Roman" w:cs="Times New Roman"/>
          <w:color w:val="000000" w:themeColor="text1"/>
        </w:rPr>
        <w:fldChar w:fldCharType="separate"/>
      </w:r>
      <w:r>
        <w:rPr>
          <w:rFonts w:ascii="Times New Roman" w:hAnsi="Times New Roman" w:cs="Times New Roman"/>
          <w:color w:val="000000" w:themeColor="text1"/>
        </w:rPr>
        <w:t>(2023)</w:t>
      </w:r>
      <w:r w:rsidRPr="00F505D0">
        <w:rPr>
          <w:rFonts w:ascii="Times New Roman" w:hAnsi="Times New Roman" w:cs="Times New Roman"/>
          <w:color w:val="000000" w:themeColor="text1"/>
        </w:rPr>
        <w:fldChar w:fldCharType="end"/>
      </w:r>
      <w:r w:rsidRPr="00F505D0">
        <w:rPr>
          <w:rFonts w:ascii="Times New Roman" w:hAnsi="Times New Roman" w:cs="Times New Roman"/>
          <w:color w:val="000000" w:themeColor="text1"/>
        </w:rPr>
        <w:t xml:space="preserve"> reported that </w:t>
      </w:r>
      <w:r>
        <w:rPr>
          <w:rFonts w:ascii="Times New Roman" w:hAnsi="Times New Roman" w:cs="Times New Roman"/>
          <w:color w:val="000000" w:themeColor="text1"/>
        </w:rPr>
        <w:t xml:space="preserve">cities in </w:t>
      </w:r>
      <w:r w:rsidRPr="00F505D0">
        <w:rPr>
          <w:rFonts w:ascii="Times New Roman" w:hAnsi="Times New Roman" w:cs="Times New Roman"/>
          <w:color w:val="000000" w:themeColor="text1"/>
        </w:rPr>
        <w:t>North America and Europe</w:t>
      </w:r>
      <w:r>
        <w:rPr>
          <w:rFonts w:ascii="Times New Roman" w:hAnsi="Times New Roman" w:cs="Times New Roman"/>
          <w:color w:val="000000" w:themeColor="text1"/>
        </w:rPr>
        <w:t xml:space="preserve"> </w:t>
      </w:r>
      <w:r w:rsidRPr="00F505D0">
        <w:rPr>
          <w:rFonts w:ascii="Times New Roman" w:hAnsi="Times New Roman" w:cs="Times New Roman"/>
          <w:color w:val="000000" w:themeColor="text1"/>
        </w:rPr>
        <w:t xml:space="preserve">tend to use more recent and local-specific emission factors </w:t>
      </w:r>
      <w:r>
        <w:rPr>
          <w:rFonts w:ascii="Times New Roman" w:hAnsi="Times New Roman" w:cs="Times New Roman"/>
          <w:color w:val="000000" w:themeColor="text1"/>
        </w:rPr>
        <w:t>in</w:t>
      </w:r>
      <w:r w:rsidRPr="00F505D0">
        <w:rPr>
          <w:rFonts w:ascii="Times New Roman" w:hAnsi="Times New Roman" w:cs="Times New Roman"/>
          <w:color w:val="000000" w:themeColor="text1"/>
        </w:rPr>
        <w:t xml:space="preserve"> their inventories</w:t>
      </w:r>
      <w:r>
        <w:rPr>
          <w:rFonts w:ascii="Times New Roman" w:hAnsi="Times New Roman" w:cs="Times New Roman"/>
          <w:color w:val="000000" w:themeColor="text1"/>
        </w:rPr>
        <w:t>, further supporting these results.</w:t>
      </w:r>
    </w:p>
    <w:p w14:paraId="356C1A08" w14:textId="77777777" w:rsidR="00BF0126" w:rsidRDefault="00BF0126" w:rsidP="00BF0126">
      <w:pPr>
        <w:pStyle w:val="Body"/>
        <w:spacing w:before="120" w:after="1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For cities in East and Southeast Asia &amp; Oceania, ODIAC showed great agreement with satellite-based emission estimates, comparable to cities in North America, with MPE of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13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23% for ODIAC fossil and 2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29% for ODIAC total emissions. In contrast, EDGAR estimated significantly lower CO</w:t>
      </w:r>
      <w:r>
        <w:rPr>
          <w:rFonts w:ascii="Times New Roman" w:hAnsi="Times New Roman" w:cs="Times New Roman"/>
          <w:color w:val="000000" w:themeColor="text1"/>
          <w:vertAlign w:val="subscript"/>
        </w:rPr>
        <w:softHyphen/>
        <w:t>2</w:t>
      </w:r>
      <w:r>
        <w:rPr>
          <w:rFonts w:ascii="Times New Roman" w:hAnsi="Times New Roman" w:cs="Times New Roman"/>
          <w:color w:val="000000" w:themeColor="text1"/>
        </w:rPr>
        <w:t xml:space="preserve"> emissions in this region than both ODIAC and the satellite-based estimates,</w:t>
      </w:r>
      <w:r>
        <w:rPr>
          <w:rFonts w:ascii="Times New Roman" w:hAnsi="Times New Roman" w:cs="Times New Roman"/>
        </w:rPr>
        <w:t xml:space="preserve"> with</w:t>
      </w:r>
      <w:r>
        <w:rPr>
          <w:rFonts w:ascii="Times New Roman" w:hAnsi="Times New Roman" w:cs="Times New Roman"/>
          <w:color w:val="000000" w:themeColor="text1"/>
        </w:rPr>
        <w:t xml:space="preserve"> MPE values of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58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13% for EDGAR fossil and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43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13% for EDGAR total.</w:t>
      </w:r>
    </w:p>
    <w:p w14:paraId="0F2F8544" w14:textId="77777777" w:rsidR="00BF0126" w:rsidRDefault="00BF0126" w:rsidP="00BF0126">
      <w:pPr>
        <w:pStyle w:val="Body"/>
        <w:spacing w:before="120" w:after="120"/>
        <w:jc w:val="both"/>
        <w:rPr>
          <w:rFonts w:ascii="Times New Roman" w:hAnsi="Times New Roman" w:cs="Times New Roman"/>
          <w:color w:val="000000" w:themeColor="text1"/>
        </w:rPr>
      </w:pPr>
      <w:r>
        <w:rPr>
          <w:rFonts w:ascii="Times New Roman" w:hAnsi="Times New Roman" w:cs="Times New Roman"/>
          <w:color w:val="000000" w:themeColor="text1"/>
        </w:rPr>
        <w:t>For cities in Africa, both EDGAR and ODIAC significantly underestimated emissions compared to satellite-based estimates</w:t>
      </w:r>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Among the seven global regions, Africa is the only region where satellite-based estimates fall outside the 1</w:t>
      </w:r>
      <w:r w:rsidRPr="0054028F">
        <w:rPr>
          <w:rFonts w:ascii="Times New Roman" w:hAnsi="Times New Roman" w:cs="Times New Roman"/>
        </w:rPr>
        <w:t xml:space="preserve"> </w:t>
      </w:r>
      <w:r>
        <w:rPr>
          <w:rFonts w:ascii="Times New Roman" w:hAnsi="Times New Roman" w:cs="Times New Roman"/>
        </w:rPr>
        <w:t xml:space="preserve">sigma </w:t>
      </w:r>
      <w:r>
        <w:rPr>
          <w:rFonts w:ascii="Times New Roman" w:hAnsi="Times New Roman" w:cs="Times New Roman"/>
          <w:color w:val="000000" w:themeColor="text1"/>
        </w:rPr>
        <w:t xml:space="preserve">range of all four bottom-up emission estimates, with MPE ranging from </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73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19% for EDGAR fossil to </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47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35% for ODIAC total emissions.</w:t>
      </w:r>
    </w:p>
    <w:p w14:paraId="2D184BCF" w14:textId="77777777" w:rsidR="00BF0126" w:rsidRDefault="00BF0126" w:rsidP="00BF0126">
      <w:pPr>
        <w:pStyle w:val="Body"/>
        <w:spacing w:before="120" w:after="120"/>
        <w:jc w:val="both"/>
        <w:rPr>
          <w:rFonts w:ascii="Times New Roman" w:hAnsi="Times New Roman" w:cs="Times New Roman"/>
        </w:rPr>
      </w:pPr>
      <w:r>
        <w:rPr>
          <w:rFonts w:ascii="Times New Roman" w:hAnsi="Times New Roman" w:cs="Times New Roman"/>
          <w:color w:val="000000" w:themeColor="text1"/>
        </w:rPr>
        <w:t>In contrast, for cities in Central East Asia, both EDGAR and ODIAC</w:t>
      </w:r>
      <w:r>
        <w:rPr>
          <w:rFonts w:ascii="Times New Roman" w:hAnsi="Times New Roman" w:cs="Times New Roman"/>
        </w:rPr>
        <w:t xml:space="preserve"> overestimated emissions compared to satellite-based estimates</w:t>
      </w:r>
      <w:r w:rsidRPr="00021432">
        <w:rPr>
          <w:rFonts w:ascii="Times New Roman" w:hAnsi="Times New Roman" w:cs="Times New Roman"/>
        </w:rPr>
        <w:t>—</w:t>
      </w:r>
      <w:r>
        <w:rPr>
          <w:rFonts w:ascii="Times New Roman" w:hAnsi="Times New Roman" w:cs="Times New Roman"/>
          <w:color w:val="000000" w:themeColor="text1"/>
        </w:rPr>
        <w:t xml:space="preserve"> </w:t>
      </w:r>
      <w:r>
        <w:rPr>
          <w:rFonts w:ascii="Times New Roman" w:hAnsi="Times New Roman" w:cs="Times New Roman"/>
        </w:rPr>
        <w:t xml:space="preserve">the opposite pattern observed in Africa. This is one of two regions where all four bottom-up estimates showed positive MPE values against satellite-based estimates, ranging from 13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 xml:space="preserve">42% for EDGAR fossil to 70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 xml:space="preserve">93% for ODIAC total emissions. Previous studies have suggested that China’s emission inventories may be overestimated due to factors such as inflated emission factors and imprecise spatial disaggregation </w:t>
      </w:r>
      <w:r>
        <w:rPr>
          <w:rFonts w:ascii="Times New Roman" w:hAnsi="Times New Roman" w:cs="Times New Roman"/>
        </w:rPr>
        <w:fldChar w:fldCharType="begin"/>
      </w:r>
      <w:r>
        <w:rPr>
          <w:rFonts w:ascii="Times New Roman" w:hAnsi="Times New Roman" w:cs="Times New Roman"/>
        </w:rPr>
        <w:instrText xml:space="preserve"> ADDIN ZOTERO_ITEM CSL_CITATION {"citationID":"Gdek9rzU","properties":{"formattedCitation":"(Feng et al., 2024; Liu et al., 2015; Zhang et al., 2023)","plainCitation":"(Feng et al., 2024; Liu et al., 2015; Zhang et al., 2023)","noteIndex":0},"citationItems":[{"id":3755,"uris":["http://zotero.org/users/12959951/items/YQ3QMPQR"],"itemData":{"id":3755,"type":"article-journal","container-title":"Environmental Science &amp; Technology","DOI":"10.1021/acs.est.3c07756","ISSN":"0013-936X","issue":"19","journalAbbreviation":"Environ. Sci. Technol.","note":"publisher: American Chemical Society","page":"8299-8312","title":"China’s Fossil Fuel CO2 Emissions Estimated Using Surface Observations of Coemitted NO2","volume":"58","author":[{"family":"Feng","given":"Shuzhuang"},{"family":"Jiang","given":"Fei"},{"family":"Wang","given":"Hengmao"},{"family":"Liu","given":"Yifan"},{"family":"He","given":"Wei"},{"family":"Wang","given":"Haikun"},{"family":"Shen","given":"Yang"},{"family":"Zhang","given":"Lingyu"},{"family":"Jia","given":"Mengwei"},{"family":"Ju","given":"Weimin"},{"family":"Chen","given":"Jing M."}],"issued":{"date-parts":[["2024",5,14]]}}},{"id":3749,"uris":["http://zotero.org/users/12959951/items/L49HGTA3"],"itemData":{"id":3749,"type":"article-journal","abstract":"A revised estimate of Chinese carbon emissions from fossil fuel burning and cement production is presented, based on updated energy consumption and clinker production data and two new sets of measured emission factors for Chinese coal.","container-title":"Nature","DOI":"10.1038/nature14677","ISSN":"1476-4687","issue":"7565","journalAbbreviation":"Nature","page":"335-338","title":"Reduced carbon emission estimates from fossil fuel combustion and cement production in China","volume":"524","author":[{"family":"Liu","given":"Zhu"},{"family":"Guan","given":"Dabo"},{"family":"Wei","given":"Wei"},{"family":"Davis","given":"Steven J."},{"family":"Ciais","given":"Philippe"},{"family":"Bai","given":"Jin"},{"family":"Peng","given":"Shushi"},{"family":"Zhang","given":"Qiang"},{"family":"Hubacek","given":"Klaus"},{"family":"Marland","given":"Gregg"},{"family":"Andres","given":"Robert J."},{"family":"Crawford-Brown","given":"Douglas"},{"family":"Lin","given":"Jintai"},{"family":"Zhao","given":"Hongyan"},{"family":"Hong","given":"Chaopeng"},{"family":"Boden","given":"Thomas A."},{"family":"Feng","given":"Kuishuang"},{"family":"Peters","given":"Glen P."},{"family":"Xi","given":"Fengming"},{"family":"Liu","given":"Junguo"},{"family":"Li","given":"Yuan"},{"family":"Zhao","given":"Yu"},{"family":"Zeng","given":"Ning"},{"family":"He","given":"Kebin"}],"issued":{"date-parts":[["2015",8,1]]}},"label":"page","suppress-author":true,"prefix":"Liu et al., "},{"id":3752,"uris":["http://zotero.org/users/12959951/items/D6AS24QF"],"itemData":{"id":3752,"type":"article-journal","abstract":"In 2021, China updated its nationally determined contributions (NDCs) under the Paris Agreement, which prompts a more accurate measurement of its emissions inventory and a reasonable pathway toward carbon neutrality by 2060. This study reviews the estimates using the bottom-up emissions factor method or the top-down atmospheric CO2 concentration inversion method to derive China's CO2 emissions inventory and finds that CO2 emissions from energy combustion and industrial processes in Chinese mainland range from 11.3–12.0 GtCO2 in 2021. Based on a comprehensive review of pathways proposed by domestic and international studies and an analysis of the origins of their differences, we proposed the Tsinghua-CMA pathway that coordinates the 2 °C global temperature rise control target with China's current CO2 emissions status and mitigation policies. The pathway requires China's CO2 emissions to peak around 2028–2029 at about 12.8 GtCO2, then decline steadily to about 11.2 GtCO2 in 2035, 3.6 GtCO2 in 2050, and 0.9 GtCO2 in 2060. Compared to a reference scenario without updated NDCs, this pathway would result in an economic cost of about 0.9% cumulative GDP between 2020 and 2060, only 1/4–1/3 of the cost associated with pathways that align with the 1.5 °C target. We recommended that China improves emissions accounting by cross-validating bottom-up and top-down approaches and regularly updating the pathway toward carbon neutrality while maintaining consistency with its evolving CO2 emissions inventory, policy trends, and global CO2 emission budget updates.","container-title":"Advances in Climate Change Research","DOI":"https://doi.org/10.1016/j.accre.2023.11.004","ISSN":"1674-9278","issue":"6","page":"941-951","title":"A representative CO2 emissions pathway for China toward carbon neutrality under the Paris Agreement's 2 °C target","volume":"14","author":[{"family":"Zhang","given":"Da"},{"family":"Huang","given":"Xiao-Dan"},{"family":"Zhong","given":"Jun-Ting"},{"family":"Guo","given":"Li-Feng"},{"family":"Guo","given":"Si-Yue"},{"family":"Wang","given":"De-Ying"},{"family":"Miao","given":"Chang-Hong"},{"family":"Zhang","given":"Xi-Liang"},{"family":"Zhang","given":"Xiao-Ye"}],"issued":{"date-parts":[["2023"]]}}}],"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(Feng et al., 2024; Liu et al., 2015; Zhang et al., 2023)</w:t>
      </w:r>
      <w:r>
        <w:rPr>
          <w:rFonts w:ascii="Times New Roman" w:hAnsi="Times New Roman" w:cs="Times New Roman"/>
        </w:rPr>
        <w:fldChar w:fldCharType="end"/>
      </w:r>
      <w:r>
        <w:rPr>
          <w:rFonts w:ascii="Times New Roman" w:hAnsi="Times New Roman" w:cs="Times New Roman"/>
        </w:rPr>
        <w:t>. While our study does not include an in-depth analysis of bottom-up datasets (e.g., emission factors, spatial proxies used for disaggregation), our results align with these earlier findings.</w:t>
      </w:r>
    </w:p>
    <w:p w14:paraId="18211054" w14:textId="77777777" w:rsidR="00BF0126" w:rsidRDefault="00BF0126" w:rsidP="00BF0126">
      <w:pPr>
        <w:pStyle w:val="Body"/>
        <w:spacing w:before="120" w:after="120"/>
        <w:jc w:val="both"/>
        <w:rPr>
          <w:rFonts w:ascii="Times New Roman" w:hAnsi="Times New Roman" w:cs="Times New Roman"/>
        </w:rPr>
      </w:pPr>
      <w:r>
        <w:rPr>
          <w:rFonts w:ascii="Times New Roman" w:hAnsi="Times New Roman" w:cs="Times New Roman"/>
        </w:rPr>
        <w:t xml:space="preserve">Similarly, for cities in South and West Asia, both EDGAR and ODIAC overestimated emissions compared to satellite-based estimates. Overall, EDGAR showed better agreements than ODIAC, with MPE ranging from 1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 xml:space="preserve">75% for EDGAR fossil to 111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90% for ODIAC total emissions. Notably, fossil emissions from EDGAR and ODIAC agreed with satellite-based estimates at a level similar to that of Central East Asia. However, in this region, EDGAR biofuel emissions accounted for 33% of the total emissions, significantly higher than Central East Asia’s 7%. This led to significantly larger MPE values for EDGAR and ODIAC total emissions compared to cities in Central East Asia.</w:t>
      </w:r>
    </w:p>
    <w:p w14:paraId="477C2EF9" w14:textId="77777777" w:rsidR="00BF0126" w:rsidRPr="00FE62E8" w:rsidRDefault="00BF0126" w:rsidP="00BF0126">
      <w:pPr>
        <w:pStyle w:val="Body"/>
        <w:spacing w:before="120" w:after="120"/>
        <w:jc w:val="both"/>
        <w:rPr>
          <w:rFonts w:ascii="Times New Roman" w:hAnsi="Times New Roman" w:cs="Times New Roman"/>
          <w:color w:val="000000" w:themeColor="text1"/>
        </w:rPr>
      </w:pPr>
      <w:r>
        <w:rPr>
          <w:rFonts w:ascii="Times New Roman" w:hAnsi="Times New Roman" w:cs="Times New Roman"/>
        </w:rPr>
        <w:t xml:space="preserve">For cities in Latin America, EDGAR total and ODIAC fossil emissions showed great agreements with satellite-based estimates, at a level similar to North America, with MPE of </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15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31% and </w:t>
      </w:r>
      <w:r w:rsidRPr="00021432">
        <w:rPr>
          <w:rFonts w:ascii="Times New Roman" w:hAnsi="Times New Roman" w:cs="Times New Roman"/>
          <w:color w:val="000000" w:themeColor="text1"/>
        </w:rPr>
        <w:t>−</w:t>
      </w:r>
      <w:r>
        <w:rPr>
          <w:rFonts w:ascii="Times New Roman" w:hAnsi="Times New Roman" w:cs="Times New Roman"/>
          <w:color w:val="000000" w:themeColor="text1"/>
        </w:rPr>
        <w:t xml:space="preserve">4 </w:t>
      </w:r>
      <w:r w:rsidRPr="00F505D0">
        <w:rPr>
          <w:rFonts w:ascii="Times New Roman" w:hAnsi="Times New Roman" w:cs="Times New Roman"/>
          <w:color w:val="000000" w:themeColor="text1"/>
        </w:rPr>
        <w:t>±</w:t>
      </w:r>
      <w:r>
        <w:rPr>
          <w:rFonts w:ascii="Times New Roman" w:hAnsi="Times New Roman" w:cs="Times New Roman"/>
          <w:color w:val="000000" w:themeColor="text1"/>
        </w:rPr>
        <w:t xml:space="preserve"> 40%, respectively. Meanwhile, EDGAR estimated relatively high biofuel CO</w:t>
      </w:r>
      <w:r w:rsidRPr="00A04825">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in this region, accounting for 37% of total emissions. This led to a significantly lower MPE for EDGAR fossil emissions and a higher MPE for ODIAC total emissions. The implications of such large biofuel emissions are further discussed in Section 4.1.</w:t>
      </w:r>
    </w:p>
    <w:p w14:paraId="0222D2BD" w14:textId="77777777" w:rsidR="00BF0126" w:rsidRDefault="00BF0126" w:rsidP="00BF0126">
      <w:pPr>
        <w:pStyle w:val="Heading-Secondary"/>
        <w:ind w:left="0"/>
      </w:pPr>
      <w:r>
        <w:rPr>
          <w:noProof/>
        </w:rPr>
        <w:lastRenderedPageBreak/>
        <w:drawing>
          <wp:inline distT="0" distB="0" distL="0" distR="0" wp14:anchorId="47235FFF" wp14:editId="33269713">
            <wp:extent cx="5943600" cy="2372995"/>
            <wp:effectExtent l="0" t="0" r="0" b="1905"/>
            <wp:docPr id="1324035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35259" name="Picture 1324035259"/>
                    <pic:cNvPicPr/>
                  </pic:nvPicPr>
                  <pic:blipFill>
                    <a:blip r:embed="rId11"/>
                    <a:stretch>
                      <a:fillRect/>
                    </a:stretch>
                  </pic:blipFill>
                  <pic:spPr>
                    <a:xfrm>
                      <a:off x="0" y="0"/>
                      <a:ext cx="5943600" cy="2372995"/>
                    </a:xfrm>
                    <a:prstGeom prst="rect">
                      <a:avLst/>
                    </a:prstGeom>
                  </pic:spPr>
                </pic:pic>
              </a:graphicData>
            </a:graphic>
          </wp:inline>
        </w:drawing>
      </w:r>
    </w:p>
    <w:p w14:paraId="0CFB4CB1" w14:textId="77777777" w:rsidR="00BF0126" w:rsidRDefault="00BF0126" w:rsidP="00BF0126">
      <w:pPr>
        <w:pStyle w:val="Body"/>
        <w:spacing w:before="120" w:after="120"/>
        <w:jc w:val="both"/>
        <w:rPr>
          <w:rFonts w:ascii="Times New Roman" w:hAnsi="Times New Roman" w:cs="Times New Roman"/>
        </w:rPr>
      </w:pPr>
      <w:r>
        <w:rPr>
          <w:rFonts w:ascii="Times New Roman" w:hAnsi="Times New Roman" w:cs="Times New Roman"/>
          <w:b/>
          <w:bCs/>
        </w:rPr>
        <w:t>Figure</w:t>
      </w:r>
      <w:r w:rsidRPr="00021432">
        <w:rPr>
          <w:rFonts w:ascii="Times New Roman" w:hAnsi="Times New Roman" w:cs="Times New Roman"/>
          <w:b/>
          <w:bCs/>
        </w:rPr>
        <w:t xml:space="preserve"> </w:t>
      </w:r>
      <w:r>
        <w:rPr>
          <w:rFonts w:ascii="Times New Roman" w:hAnsi="Times New Roman" w:cs="Times New Roman"/>
          <w:b/>
          <w:bCs/>
        </w:rPr>
        <w:t>4</w:t>
      </w:r>
      <w:r w:rsidRPr="00021432">
        <w:rPr>
          <w:rFonts w:ascii="Times New Roman" w:hAnsi="Times New Roman" w:cs="Times New Roman"/>
          <w:b/>
          <w:bCs/>
        </w:rPr>
        <w:t xml:space="preserve">. </w:t>
      </w:r>
      <w:r>
        <w:rPr>
          <w:rFonts w:ascii="Times New Roman" w:hAnsi="Times New Roman" w:cs="Times New Roman"/>
        </w:rPr>
        <w:t xml:space="preserve">Regional </w:t>
      </w:r>
      <w:r>
        <w:rPr>
          <w:rFonts w:ascii="Times New Roman" w:hAnsi="Times New Roman" w:cs="Times New Roman"/>
          <w:color w:val="000000" w:themeColor="text1"/>
        </w:rPr>
        <w:t xml:space="preserve">comparison of </w:t>
      </w:r>
      <w:r>
        <w:rPr>
          <w:rFonts w:ascii="Times New Roman" w:hAnsi="Times New Roman" w:cs="Times New Roman"/>
        </w:rPr>
        <w:t>urban</w:t>
      </w:r>
      <w:r w:rsidRPr="00021432">
        <w:rPr>
          <w:rFonts w:ascii="Times New Roman" w:hAnsi="Times New Roman" w:cs="Times New Roman"/>
        </w:rPr>
        <w:t xml:space="preserve"> CO</w:t>
      </w:r>
      <w:r w:rsidRPr="00021432">
        <w:rPr>
          <w:rFonts w:ascii="Times New Roman" w:hAnsi="Times New Roman" w:cs="Times New Roman"/>
          <w:vertAlign w:val="subscript"/>
        </w:rPr>
        <w:t>2</w:t>
      </w:r>
      <w:r w:rsidRPr="00021432">
        <w:rPr>
          <w:rFonts w:ascii="Times New Roman" w:hAnsi="Times New Roman" w:cs="Times New Roman"/>
        </w:rPr>
        <w:t xml:space="preserve"> emission estimates between the </w:t>
      </w:r>
      <w:r>
        <w:rPr>
          <w:rFonts w:ascii="Times New Roman" w:hAnsi="Times New Roman" w:cs="Times New Roman"/>
        </w:rPr>
        <w:t xml:space="preserve">bottom-up </w:t>
      </w:r>
      <w:r w:rsidRPr="00021432">
        <w:rPr>
          <w:rFonts w:ascii="Times New Roman" w:hAnsi="Times New Roman" w:cs="Times New Roman"/>
        </w:rPr>
        <w:t xml:space="preserve">datasets—EDGAR and ODIAC— and satellite-based </w:t>
      </w:r>
      <w:r>
        <w:rPr>
          <w:rFonts w:ascii="Times New Roman" w:hAnsi="Times New Roman" w:cs="Times New Roman"/>
        </w:rPr>
        <w:t xml:space="preserve">estimates. </w:t>
      </w:r>
      <w:r w:rsidRPr="00021432">
        <w:rPr>
          <w:rFonts w:ascii="Times New Roman" w:hAnsi="Times New Roman" w:cs="Times New Roman"/>
        </w:rPr>
        <w:t xml:space="preserve">Empty symbols show the </w:t>
      </w:r>
      <w:r>
        <w:rPr>
          <w:rFonts w:ascii="Times New Roman" w:hAnsi="Times New Roman" w:cs="Times New Roman"/>
        </w:rPr>
        <w:t>mean percentage error (</w:t>
      </w:r>
      <w:r w:rsidRPr="00021432">
        <w:rPr>
          <w:rFonts w:ascii="Times New Roman" w:hAnsi="Times New Roman" w:cs="Times New Roman"/>
        </w:rPr>
        <w:t>MPE</w:t>
      </w:r>
      <w:r>
        <w:rPr>
          <w:rFonts w:ascii="Times New Roman" w:hAnsi="Times New Roman" w:cs="Times New Roman"/>
        </w:rPr>
        <w:t>)</w:t>
      </w:r>
      <w:r w:rsidRPr="00021432">
        <w:rPr>
          <w:rFonts w:ascii="Times New Roman" w:hAnsi="Times New Roman" w:cs="Times New Roman"/>
        </w:rPr>
        <w:t xml:space="preserve"> </w:t>
      </w:r>
      <w:r>
        <w:rPr>
          <w:rFonts w:ascii="Times New Roman" w:hAnsi="Times New Roman" w:cs="Times New Roman"/>
        </w:rPr>
        <w:t>for</w:t>
      </w:r>
      <w:r w:rsidRPr="00021432">
        <w:rPr>
          <w:rFonts w:ascii="Times New Roman" w:hAnsi="Times New Roman" w:cs="Times New Roman"/>
        </w:rPr>
        <w:t xml:space="preserve"> fossil-fuel emissions of the </w:t>
      </w:r>
      <w:r>
        <w:rPr>
          <w:rFonts w:ascii="Times New Roman" w:hAnsi="Times New Roman" w:cs="Times New Roman"/>
        </w:rPr>
        <w:t>bottom-up</w:t>
      </w:r>
      <w:r w:rsidRPr="00021432">
        <w:rPr>
          <w:rFonts w:ascii="Times New Roman" w:hAnsi="Times New Roman" w:cs="Times New Roman"/>
        </w:rPr>
        <w:t xml:space="preserve"> </w:t>
      </w:r>
      <w:r>
        <w:rPr>
          <w:rFonts w:ascii="Times New Roman" w:hAnsi="Times New Roman" w:cs="Times New Roman"/>
        </w:rPr>
        <w:t>datasets, while</w:t>
      </w:r>
      <w:r w:rsidRPr="00021432">
        <w:rPr>
          <w:rFonts w:ascii="Times New Roman" w:hAnsi="Times New Roman" w:cs="Times New Roman"/>
        </w:rPr>
        <w:t xml:space="preserve"> </w:t>
      </w:r>
      <w:r>
        <w:rPr>
          <w:rFonts w:ascii="Times New Roman" w:hAnsi="Times New Roman" w:cs="Times New Roman"/>
        </w:rPr>
        <w:t>f</w:t>
      </w:r>
      <w:r w:rsidRPr="00021432">
        <w:rPr>
          <w:rFonts w:ascii="Times New Roman" w:hAnsi="Times New Roman" w:cs="Times New Roman"/>
        </w:rPr>
        <w:t xml:space="preserve">illed symbols </w:t>
      </w:r>
      <w:r>
        <w:rPr>
          <w:rFonts w:ascii="Times New Roman" w:hAnsi="Times New Roman" w:cs="Times New Roman"/>
        </w:rPr>
        <w:t>indicate</w:t>
      </w:r>
      <w:r w:rsidRPr="00021432">
        <w:rPr>
          <w:rFonts w:ascii="Times New Roman" w:hAnsi="Times New Roman" w:cs="Times New Roman"/>
        </w:rPr>
        <w:t xml:space="preserve"> MPE </w:t>
      </w:r>
      <w:r>
        <w:rPr>
          <w:rFonts w:ascii="Times New Roman" w:hAnsi="Times New Roman" w:cs="Times New Roman"/>
        </w:rPr>
        <w:t>for</w:t>
      </w:r>
      <w:r w:rsidRPr="00021432">
        <w:rPr>
          <w:rFonts w:ascii="Times New Roman" w:hAnsi="Times New Roman" w:cs="Times New Roman"/>
        </w:rPr>
        <w:t xml:space="preserve"> the total emissions (i.e., fossil-fuel + biofuel).</w:t>
      </w:r>
      <w:r>
        <w:rPr>
          <w:rFonts w:ascii="Times New Roman" w:hAnsi="Times New Roman" w:cs="Times New Roman"/>
        </w:rPr>
        <w:t xml:space="preserve"> The</w:t>
      </w:r>
      <w:r w:rsidRPr="00021432">
        <w:rPr>
          <w:rFonts w:ascii="Times New Roman" w:hAnsi="Times New Roman" w:cs="Times New Roman"/>
        </w:rPr>
        <w:t xml:space="preserve"> </w:t>
      </w:r>
      <w:r>
        <w:rPr>
          <w:rFonts w:ascii="Times New Roman" w:hAnsi="Times New Roman" w:cs="Times New Roman"/>
        </w:rPr>
        <w:t>b</w:t>
      </w:r>
      <w:r w:rsidRPr="00021432">
        <w:rPr>
          <w:rFonts w:ascii="Times New Roman" w:hAnsi="Times New Roman" w:cs="Times New Roman"/>
        </w:rPr>
        <w:t>ox plot show</w:t>
      </w:r>
      <w:r>
        <w:rPr>
          <w:rFonts w:ascii="Times New Roman" w:hAnsi="Times New Roman" w:cs="Times New Roman"/>
        </w:rPr>
        <w:t>s</w:t>
      </w:r>
      <w:r w:rsidRPr="00021432">
        <w:rPr>
          <w:rFonts w:ascii="Times New Roman" w:hAnsi="Times New Roman" w:cs="Times New Roman"/>
        </w:rPr>
        <w:t xml:space="preserve"> the lower</w:t>
      </w:r>
      <w:r>
        <w:rPr>
          <w:rFonts w:ascii="Times New Roman" w:hAnsi="Times New Roman" w:cs="Times New Roman"/>
        </w:rPr>
        <w:t xml:space="preserve"> (q1) and upper (q3)</w:t>
      </w:r>
      <w:r w:rsidRPr="00021432">
        <w:rPr>
          <w:rFonts w:ascii="Times New Roman" w:hAnsi="Times New Roman" w:cs="Times New Roman"/>
        </w:rPr>
        <w:t xml:space="preserve"> quartile</w:t>
      </w:r>
      <w:r>
        <w:rPr>
          <w:rFonts w:ascii="Times New Roman" w:hAnsi="Times New Roman" w:cs="Times New Roman"/>
        </w:rPr>
        <w:t>s,</w:t>
      </w:r>
      <w:r w:rsidRPr="00021432">
        <w:rPr>
          <w:rFonts w:ascii="Times New Roman" w:hAnsi="Times New Roman" w:cs="Times New Roman"/>
        </w:rPr>
        <w:t xml:space="preserve"> median, and the whisker ranges from the </w:t>
      </w:r>
      <w:r>
        <w:rPr>
          <w:rFonts w:ascii="Times New Roman" w:hAnsi="Times New Roman" w:cs="Times New Roman"/>
        </w:rPr>
        <w:t>q</w:t>
      </w:r>
      <w:r w:rsidRPr="00021432">
        <w:rPr>
          <w:rFonts w:ascii="Times New Roman" w:hAnsi="Times New Roman" w:cs="Times New Roman"/>
        </w:rPr>
        <w:t>3+1.5(</w:t>
      </w:r>
      <w:r>
        <w:rPr>
          <w:rFonts w:ascii="Times New Roman" w:hAnsi="Times New Roman" w:cs="Times New Roman"/>
        </w:rPr>
        <w:t>q</w:t>
      </w:r>
      <w:r w:rsidRPr="00021432">
        <w:rPr>
          <w:rFonts w:ascii="Times New Roman" w:hAnsi="Times New Roman" w:cs="Times New Roman"/>
        </w:rPr>
        <w:t>3–</w:t>
      </w:r>
      <w:r>
        <w:rPr>
          <w:rFonts w:ascii="Times New Roman" w:hAnsi="Times New Roman" w:cs="Times New Roman"/>
        </w:rPr>
        <w:t>q</w:t>
      </w:r>
      <w:r w:rsidRPr="00021432">
        <w:rPr>
          <w:rFonts w:ascii="Times New Roman" w:hAnsi="Times New Roman" w:cs="Times New Roman"/>
        </w:rPr>
        <w:t xml:space="preserve">1) to </w:t>
      </w:r>
      <w:r>
        <w:rPr>
          <w:rFonts w:ascii="Times New Roman" w:hAnsi="Times New Roman" w:cs="Times New Roman"/>
        </w:rPr>
        <w:t>q</w:t>
      </w:r>
      <w:r w:rsidRPr="00021432">
        <w:rPr>
          <w:rFonts w:ascii="Times New Roman" w:hAnsi="Times New Roman" w:cs="Times New Roman"/>
        </w:rPr>
        <w:t>1–1.5(</w:t>
      </w:r>
      <w:r>
        <w:rPr>
          <w:rFonts w:ascii="Times New Roman" w:hAnsi="Times New Roman" w:cs="Times New Roman"/>
        </w:rPr>
        <w:t>q</w:t>
      </w:r>
      <w:r w:rsidRPr="00021432">
        <w:rPr>
          <w:rFonts w:ascii="Times New Roman" w:hAnsi="Times New Roman" w:cs="Times New Roman"/>
        </w:rPr>
        <w:t>3–</w:t>
      </w:r>
      <w:r>
        <w:rPr>
          <w:rFonts w:ascii="Times New Roman" w:hAnsi="Times New Roman" w:cs="Times New Roman"/>
        </w:rPr>
        <w:t>q</w:t>
      </w:r>
      <w:r w:rsidRPr="00021432">
        <w:rPr>
          <w:rFonts w:ascii="Times New Roman" w:hAnsi="Times New Roman" w:cs="Times New Roman"/>
        </w:rPr>
        <w:t xml:space="preserve">1). </w:t>
      </w:r>
      <w:r>
        <w:rPr>
          <w:rFonts w:ascii="Times New Roman" w:hAnsi="Times New Roman" w:cs="Times New Roman"/>
        </w:rPr>
        <w:t>The c</w:t>
      </w:r>
      <w:r w:rsidRPr="00021432">
        <w:rPr>
          <w:rFonts w:ascii="Times New Roman" w:hAnsi="Times New Roman" w:cs="Times New Roman"/>
        </w:rPr>
        <w:t xml:space="preserve">ircle and line </w:t>
      </w:r>
      <w:r>
        <w:rPr>
          <w:rFonts w:ascii="Times New Roman" w:hAnsi="Times New Roman" w:cs="Times New Roman"/>
        </w:rPr>
        <w:t>represent the</w:t>
      </w:r>
      <w:r w:rsidRPr="00021432">
        <w:rPr>
          <w:rFonts w:ascii="Times New Roman" w:hAnsi="Times New Roman" w:cs="Times New Roman"/>
        </w:rPr>
        <w:t xml:space="preserve"> mean and standard deviation</w:t>
      </w:r>
      <w:r>
        <w:rPr>
          <w:rFonts w:ascii="Times New Roman" w:hAnsi="Times New Roman" w:cs="Times New Roman"/>
        </w:rPr>
        <w:t>, respectively</w:t>
      </w:r>
      <w:r w:rsidRPr="00021432">
        <w:rPr>
          <w:rFonts w:ascii="Times New Roman" w:hAnsi="Times New Roman" w:cs="Times New Roman"/>
        </w:rPr>
        <w:t>.</w:t>
      </w:r>
    </w:p>
    <w:p w14:paraId="1FB9E657" w14:textId="77777777" w:rsidR="00BF0126" w:rsidRPr="000329B4" w:rsidRDefault="00BF0126" w:rsidP="00BF0126">
      <w:pPr>
        <w:pStyle w:val="Heading-Secondary"/>
        <w:ind w:left="0"/>
        <w:rPr>
          <w:b/>
          <w:bCs w:val="0"/>
        </w:rPr>
      </w:pPr>
      <w:r w:rsidRPr="000329B4">
        <w:rPr>
          <w:b/>
          <w:bCs w:val="0"/>
        </w:rPr>
        <w:t>3.</w:t>
      </w:r>
      <w:r>
        <w:rPr>
          <w:b/>
          <w:bCs w:val="0"/>
        </w:rPr>
        <w:t>4</w:t>
      </w:r>
      <w:r w:rsidRPr="000329B4">
        <w:rPr>
          <w:b/>
          <w:bCs w:val="0"/>
        </w:rPr>
        <w:t xml:space="preserve">. Satellite-based </w:t>
      </w:r>
      <w:r>
        <w:rPr>
          <w:b/>
          <w:bCs w:val="0"/>
        </w:rPr>
        <w:t>S</w:t>
      </w:r>
      <w:r w:rsidRPr="000329B4">
        <w:rPr>
          <w:b/>
          <w:bCs w:val="0"/>
        </w:rPr>
        <w:t xml:space="preserve">ocioeconomic </w:t>
      </w:r>
      <w:r>
        <w:rPr>
          <w:b/>
          <w:bCs w:val="0"/>
        </w:rPr>
        <w:t>A</w:t>
      </w:r>
      <w:r w:rsidRPr="000329B4">
        <w:rPr>
          <w:b/>
          <w:bCs w:val="0"/>
        </w:rPr>
        <w:t xml:space="preserve">nalysis of </w:t>
      </w:r>
      <w:r>
        <w:rPr>
          <w:b/>
          <w:bCs w:val="0"/>
        </w:rPr>
        <w:t>G</w:t>
      </w:r>
      <w:r w:rsidRPr="000329B4">
        <w:rPr>
          <w:b/>
          <w:bCs w:val="0"/>
        </w:rPr>
        <w:t xml:space="preserve">lobal </w:t>
      </w:r>
      <w:r>
        <w:rPr>
          <w:b/>
          <w:bCs w:val="0"/>
        </w:rPr>
        <w:t>C</w:t>
      </w:r>
      <w:r w:rsidRPr="000329B4">
        <w:rPr>
          <w:b/>
          <w:bCs w:val="0"/>
        </w:rPr>
        <w:t>ities’ CO</w:t>
      </w:r>
      <w:r w:rsidRPr="000329B4">
        <w:rPr>
          <w:b/>
          <w:bCs w:val="0"/>
          <w:vertAlign w:val="subscript"/>
        </w:rPr>
        <w:t>2</w:t>
      </w:r>
      <w:r w:rsidRPr="000329B4">
        <w:rPr>
          <w:b/>
          <w:bCs w:val="0"/>
        </w:rPr>
        <w:t xml:space="preserve"> emissions</w:t>
      </w:r>
    </w:p>
    <w:p w14:paraId="39C65F61" w14:textId="77777777" w:rsidR="00BF0126" w:rsidRDefault="00BF0126" w:rsidP="00BF0126">
      <w:pPr>
        <w:pStyle w:val="Body"/>
        <w:spacing w:before="120"/>
        <w:jc w:val="both"/>
        <w:rPr>
          <w:rFonts w:ascii="Times New Roman" w:hAnsi="Times New Roman" w:cs="Times New Roman"/>
          <w:color w:val="000000" w:themeColor="text1"/>
        </w:rPr>
      </w:pPr>
      <w:r w:rsidRPr="00021432">
        <w:rPr>
          <w:rFonts w:ascii="Times New Roman" w:hAnsi="Times New Roman" w:cs="Times New Roman"/>
          <w:color w:val="000000" w:themeColor="text1"/>
        </w:rPr>
        <w:t xml:space="preserve">Given the large </w:t>
      </w:r>
      <w:r>
        <w:rPr>
          <w:rFonts w:ascii="Times New Roman" w:hAnsi="Times New Roman" w:cs="Times New Roman"/>
          <w:color w:val="000000" w:themeColor="text1"/>
        </w:rPr>
        <w:t>population range</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across the 54 global</w:t>
      </w:r>
      <w:r w:rsidRPr="00021432">
        <w:rPr>
          <w:rFonts w:ascii="Times New Roman" w:hAnsi="Times New Roman" w:cs="Times New Roman"/>
          <w:color w:val="000000" w:themeColor="text1"/>
        </w:rPr>
        <w:t xml:space="preserve"> cities</w:t>
      </w:r>
      <w:r>
        <w:rPr>
          <w:rFonts w:ascii="Times New Roman" w:hAnsi="Times New Roman" w:cs="Times New Roman"/>
          <w:color w:val="000000" w:themeColor="text1"/>
        </w:rPr>
        <w:t xml:space="preserve"> </w:t>
      </w:r>
      <w:r w:rsidRPr="00021432">
        <w:rPr>
          <w:rFonts w:ascii="Times New Roman" w:hAnsi="Times New Roman" w:cs="Times New Roman"/>
        </w:rPr>
        <w:t>—</w:t>
      </w:r>
      <w:r w:rsidRPr="00021432">
        <w:rPr>
          <w:rFonts w:ascii="Times New Roman" w:hAnsi="Times New Roman" w:cs="Times New Roman"/>
          <w:color w:val="000000" w:themeColor="text1"/>
        </w:rPr>
        <w:t xml:space="preserve">from </w:t>
      </w:r>
      <w:r>
        <w:rPr>
          <w:rFonts w:ascii="Times New Roman" w:hAnsi="Times New Roman" w:cs="Times New Roman"/>
          <w:color w:val="000000" w:themeColor="text1"/>
        </w:rPr>
        <w:t>1.9</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million</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in</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Portland, USA </w:t>
      </w:r>
      <w:r w:rsidRPr="00021432">
        <w:rPr>
          <w:rFonts w:ascii="Times New Roman" w:hAnsi="Times New Roman" w:cs="Times New Roman"/>
          <w:color w:val="000000" w:themeColor="text1"/>
        </w:rPr>
        <w:t xml:space="preserve">to 29.6 </w:t>
      </w:r>
      <w:r>
        <w:rPr>
          <w:rFonts w:ascii="Times New Roman" w:hAnsi="Times New Roman" w:cs="Times New Roman"/>
          <w:color w:val="000000" w:themeColor="text1"/>
        </w:rPr>
        <w:t>million</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in</w:t>
      </w:r>
      <w:r w:rsidRPr="00021432">
        <w:rPr>
          <w:rFonts w:ascii="Times New Roman" w:hAnsi="Times New Roman" w:cs="Times New Roman"/>
          <w:color w:val="000000" w:themeColor="text1"/>
        </w:rPr>
        <w:t xml:space="preserve"> Dhaka</w:t>
      </w:r>
      <w:r>
        <w:rPr>
          <w:rFonts w:ascii="Times New Roman" w:hAnsi="Times New Roman" w:cs="Times New Roman"/>
          <w:color w:val="000000" w:themeColor="text1"/>
        </w:rPr>
        <w:t>, Bangladesh</w:t>
      </w:r>
      <w:r w:rsidRPr="00021432">
        <w:rPr>
          <w:rFonts w:ascii="Times New Roman" w:hAnsi="Times New Roman" w:cs="Times New Roman"/>
        </w:rPr>
        <w:t>—</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a</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more policy-relevant</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comparison of urban </w:t>
      </w:r>
      <w:r w:rsidRPr="00021432">
        <w:rPr>
          <w:rFonts w:ascii="Times New Roman" w:hAnsi="Times New Roman" w:cs="Times New Roman"/>
          <w:color w:val="000000" w:themeColor="text1"/>
        </w:rPr>
        <w:t>emissions</w:t>
      </w:r>
      <w:r>
        <w:rPr>
          <w:rFonts w:ascii="Times New Roman" w:hAnsi="Times New Roman" w:cs="Times New Roman"/>
          <w:color w:val="000000" w:themeColor="text1"/>
        </w:rPr>
        <w:t xml:space="preserve"> can be achieved using the Kaya Identity,</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which accounts for both</w:t>
      </w:r>
      <w:r w:rsidRPr="00021432">
        <w:rPr>
          <w:rFonts w:ascii="Times New Roman" w:hAnsi="Times New Roman" w:cs="Times New Roman"/>
          <w:color w:val="000000" w:themeColor="text1"/>
        </w:rPr>
        <w:t xml:space="preserve"> population and GDP.</w:t>
      </w:r>
      <w:r>
        <w:rPr>
          <w:rFonts w:ascii="Times New Roman" w:hAnsi="Times New Roman" w:cs="Times New Roman"/>
          <w:color w:val="000000" w:themeColor="text1"/>
        </w:rPr>
        <w:t xml:space="preserve"> Previous</w:t>
      </w:r>
      <w:r w:rsidRPr="00021432">
        <w:rPr>
          <w:rFonts w:ascii="Times New Roman" w:hAnsi="Times New Roman" w:cs="Times New Roman"/>
          <w:color w:val="000000" w:themeColor="text1"/>
        </w:rPr>
        <w:t xml:space="preserve"> studies</w:t>
      </w:r>
      <w:r>
        <w:rPr>
          <w:rFonts w:ascii="Times New Roman" w:hAnsi="Times New Roman" w:cs="Times New Roman"/>
          <w:color w:val="000000" w:themeColor="text1"/>
        </w:rPr>
        <w:t xml:space="preserve"> applying the Kaya Identity</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have focused on</w:t>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w:t>
      </w:r>
      <w:r w:rsidRPr="00021432">
        <w:rPr>
          <w:rFonts w:ascii="Times New Roman" w:hAnsi="Times New Roman" w:cs="Times New Roman"/>
          <w:color w:val="000000" w:themeColor="text1"/>
        </w:rPr>
        <w:t xml:space="preserve">single country </w:t>
      </w:r>
      <w:r w:rsidRPr="00021432">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{"citationID":"TmEIJ1ea","properties":{"formattedCitation":"(Dogan &amp; Turkekul, 2016; Gudipudi et al., 2016; Katircio\\uc0\\u287{}lu &amp; Katircio\\uc0\\u287{}lu, 2018; Ribeiro et al., 2019; Shahbaz et al., 2016)","plainCitation":"(Dogan &amp; Turkekul, 2016; Gudipudi et al., 2016; Katircioğlu &amp; Katircioğlu, 2018; Ribeiro et al., 2019; Shahbaz et al., 2016)","noteIndex":0},"citationItems":[{"id":669,"uris":["http://zotero.org/users/12959951/items/PJ3YFXFI"],"itemData":{"id":669,"type":"article-journal","abstract":"This study aims to investigate the relationship between carbon dioxide (CO2) emissions, energy consumption, real output (GDP), the square of real output (GDP2), trade openness, urbanization, and financial development in the USA for the period 1960–2010. The bounds testing for cointegration indicates that the analyzed variables are cointegrated. In the long run, energy consumption and urbanization increase environmental degradation while financial development has no effect on it, and trade leads to environmental improvements. In addition, this study does not support the validity of the environmental Kuznets curve (EKC) hypothesis for the USA because real output leads to environmental improvements while GDP2 increases the levels of gas emissions. The results from the Granger causality test show that there is bidirectional causality between CO2 and GDP, CO2 and energy consumption, CO2 and urbanization, GDP and urbanization, and GDP and trade openness while no causality is determined between CO2 and trade openness, and gas emissions and financial development. In addition, we have enough evidence to support one-way causality running from GDP to energy consumption, from financial development to output, and from urbanization to financial development. In light of the long-run estimates and the Granger causality analysis, the US government should take into account the importance of trade openness, urbanization, and financial development in controlling for the levels of GDP and pollution. Moreover, it should be noted that the development of efficient energy policies likely contributes to lower CO2 emissions without harming real output.","container-title":"Environmental Science and Pollution Research","DOI":"10.1007/s11356-015-5323-8","ISSN":"1614-7499","issue":"2","journalAbbreviation":"Environmental Science and Pollution Research","page":"1203-1213","title":"CO2 emissions, real output, energy consumption, trade, urbanization and financial development: testing the EKC hypothesis for the USA","volume":"23","author":[{"family":"Dogan","given":"Eyup"},{"family":"Turkekul","given":"Berna"}],"issued":{"date-parts":[["2016",1,1]]}}},{"id":677,"uris":["http://zotero.org/users/12959951/items/CX7PAD8J"],"itemData":{"id":677,"type":"article-journal","abstract":"Cities play a vital role in the global climate change mitigation agenda. City population density is one of the key factors that influence urban energy consumption and the subsequent GHG emissions. However, previous research on the relationship between population density and GHG emissions led to contradictory results due to urban/rural definition conundrum and the varying methodologies for estimating GHG emissions. This work addresses these ambiguities by employing the City Clustering Algorithm (CCA) and utilizing the gridded CO2 emissions data. Our results, derived from the analysis of all inhabited areas in the US, show a sub-linear relationship between population density and the total emissions (i.e. the sum of on-road and building emissions) on a per capita basis. Accordingly, we find that doubling the population density would entail a reduction in the total CO2 emissions in buildings and on-road sectors typically by at least 42%. Moreover, we find that population density exerts a higher influence on on-road emissions than buildings emissions. From an energy consumption point of view, our results suggest that on-going urban sprawl will lead to an increase in on-road energy consumption in cities and therefore stresses the importance of developing adequate local policy measures to limit urban sprawl.","container-title":"Energy Policy","DOI":"https://doi.org/10.1016/j.enpol.2016.01.015","ISSN":"0301-4215","page":"352-361","title":"City density and CO2 efficiency","volume":"91","author":[{"family":"Gudipudi","given":"Ramana"},{"family":"Fluschnik","given":"Till"},{"family":"Ros","given":"Anselmo García Cantú"},{"family":"Walther","given":"Carsten"},{"family":"Kropp","given":"Jürgen P."}],"issued":{"date-parts":[["2016"]]}}},{"id":668,"uris":["http://zotero.org/users/12959951/items/FFY7RYM9"],"itemData":{"id":668,"type":"article-journal","container-title":"Applied Economics Letters","DOI":"10.1080/13504851.2017.1361004","issue":"11","note":"publisher: Routledge\n_eprint: https://doi.org/10.1080/13504851.2017.1361004","page":"741-746","title":"Testing the role of urban development in the conventional Environmental Kuznets Curve: evidence from Turkey","volume":"25","author":[{"family":"Katircioğlu","given":"Setareh"},{"family":"Katircioğlu","given":"Salih"}],"issued":{"date-parts":[["2018"]]}}},{"id":673,"uris":["http://zotero.org/users/12959951/items/6FD72WCL"],"itemData":{"id":673,"type":"article-journal","abstract":"The question of whether urbanization contributes to increasing carbon dioxide emissions has been mainly investigated via scaling relationships with population or population density. However, these approaches overlook the correlations between population and area, and ignore possible interactions between these quantities. Here, we propose a generalized framework that simultaneously considers the effects of population and area along with possible interactions between these urban metrics. Our results significantly improve the description of emissions and reveal the coupled role between population and density on emissions. These models show that variations in emissions associated with proportionate changes in population or density may not only depend on the magnitude of these changes but also on the initial values of these quantities. For US areas, the larger the city, the higher is the impact of changing its population or density on its emissions; but population changes always have a greater effect on emissions than population density.","container-title":"Nature Communications","DOI":"10.1038/s41467-019-11184-y","ISSN":"2041-1723","issue":"1","journalAbbreviation":"Nature Communications","page":"3204","title":"Effects of changing population or density on urban carbon dioxide emissions","volume":"10","author":[{"family":"Ribeiro","given":"Haroldo V."},{"family":"Rybski","given":"Diego"},{"family":"Kropp","given":"Jürgen P."}],"issued":{"date-parts":[["2019",7,19]]}}},{"id":667,"uris":["http://zotero.org/users/12959951/items/47M8REV7"],"itemData":{"id":667,"type":"article-journal","abstract":"We investigate the impact of urbanization on CO2 emissions by applying the Stochastic Impacts by Regression on Population, Affluence and Technology (STIRPAT) in the case of Malaysia over the period of 1970Q1–2011Q4. Empirically, after testing the integrating properties of the variables using the unit root test, we applied the Bayer–Hanck combined cointegration approach to examine the cointegration relationship between the variables. Further, we tested the robustness of the long-run relationship in the presence of structural breaks using ARDL bounds testing approach. The causal relationship between the variables is investigated by applying the VECM Granger causality test. Our results validate the existence of cointegration in the presence of structural breaks. The empirical results exposed that economic growth is a major contributor to CO2 emissions. Besides, energy consumption raises emissions intensity and capital stock boosts energy consumption. Trade openness leads affluence and hence increases CO2 emissions. More importantly, we find that the relationship between urbanization and CO2 emissions is U-shaped i.e. urbanization initially reduces CO2 emissions, but after a threshold level, it increases CO2 emissions. The causality analysis suggests that the urbanization Granger causes CO2 emissions.","container-title":"Renewable and Sustainable Energy Reviews","DOI":"https://doi.org/10.1016/j.rser.2015.12.096","ISSN":"1364-0321","page":"83-93","title":"How urbanization affects CO2 emissions in Malaysia? The application of STIRPAT model","volume":"57","author":[{"family":"Shahbaz","given":"Muhammad"},{"family":"Loganathan","given":"Nanthakumar"},{"family":"Muzaffar","given":"Ahmed Taneem"},{"family":"Ahmed","given":"Khalid"},{"family":"Jabran","given":"Muhammad Ali"}],"issued":{"date-parts":[["2016"]]}}}],"schema":"https://github.com/citation-style-language/schema/raw/master/csl-citation.json"} </w:instrText>
      </w:r>
      <w:r w:rsidRPr="00021432">
        <w:rPr>
          <w:rFonts w:ascii="Times New Roman" w:hAnsi="Times New Roman" w:cs="Times New Roman"/>
          <w:color w:val="000000" w:themeColor="text1"/>
        </w:rPr>
        <w:fldChar w:fldCharType="separate"/>
      </w:r>
      <w:r w:rsidRPr="00036F51">
        <w:rPr>
          <w:rFonts w:ascii="Times New Roman" w:hAnsi="Times New Roman" w:cs="Times New Roman"/>
        </w:rPr>
        <w:t>(Dogan &amp; Turkekul, 2016; Gudipudi et al., 2016; Katircioğlu &amp; Katircioğlu, 2018; Ribeiro et al., 2019; Shahbaz et al., 2016)</w:t>
      </w:r>
      <w:r w:rsidRPr="00021432">
        <w:rPr>
          <w:rFonts w:ascii="Times New Roman" w:hAnsi="Times New Roman" w:cs="Times New Roman"/>
          <w:color w:val="000000" w:themeColor="text1"/>
        </w:rPr>
        <w:fldChar w:fldCharType="end"/>
      </w:r>
      <w:r w:rsidRPr="00021432">
        <w:rPr>
          <w:rFonts w:ascii="Times New Roman" w:hAnsi="Times New Roman" w:cs="Times New Roman"/>
          <w:color w:val="000000" w:themeColor="text1"/>
        </w:rPr>
        <w:t xml:space="preserve"> or a region </w:t>
      </w:r>
      <w:r w:rsidRPr="00021432">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{"citationID":"KHYOdNPy","properties":{"formattedCitation":"(Al-mulali et al., 2013; Gudipudi et al., 2019; Salahuddin et al., 2019)","plainCitation":"(Al-mulali et al., 2013; Gudipudi et al., 2019; Salahuddin et al., 2019)","noteIndex":0},"citationItems":[{"id":678,"uris":["http://zotero.org/users/12959951/items/B4CCN9NA"],"itemData":{"id":678,"type":"article-journal","abstract":"This study explored the relationship between urbanization, energy consumption, and CO2 emission in the MENA countries. The panel model was utilized taking the period 1980–2009 into consideration. Pedroni cointegration test results showed that urbanization, energy consumption and CO2 emission were cointegrated. The dynamic OLS results also showed that there was a long run bi-directional positive relationship between urbanization, energy consumption, and CO2 emission. However, the significance of the long run relationship between urbanization, energy consumption, and CO2 emission varied across the countries based on their level of income and development. Moreover, long and short run bi-directional causal relationships were found between the variables based on the Granger causality test results. From the results of this study it is important for the urban planners and policy makers in the MENA countries to slow the rapid increase in urbanization. The level of energy consumption and CO2 emission in the MENA countries increased more than double. Thus slowing down the urbanization level can help reduce the level of pollution and energy consumption. In addition, the increased energy efficiency, implementation of energy savings projects, energy conservation, and energy infrastructure outsourcing reduce the level of pollution produced by urban areas.","container-title":"Renewable and Sustainable Energy Reviews","DOI":"https://doi.org/10.1016/j.rser.2013.02.041","ISSN":"1364-0321","page":"107-112","title":"Exploring the relationship between urbanization, energy consumption, and CO2 emission in MENA countries","volume":"23","author":[{"family":"Al-mulali","given":"Usama"},{"family":"Fereidouni","given":"Hassan Gholipour"},{"family":"Lee","given":"Janice Y. M."},{"family":"Sab","given":"Che Normee Binti Che"}],"issued":{"date-parts":[["2013"]]}}},{"id":680,"uris":["http://zotero.org/users/12959951/items/6RXVUMBH"],"itemData":{"id":680,"type":"article-journal","abstract":"Urban areas play an unprecedented role in potentially mitigating climate change and supporting sustainable development. In light of the rapid urbanisation in many parts on the globe, it is crucial to understand the relationship between settlement size and CO2 emission efficiency of cities. Recent literature on urban scaling properties of emissions as a function of population size has led to contradictory results and more importantly, lacked an in-depth investigation of the essential factors and causes explaining such scaling properties. Therefore, in analogy to the well-established Kaya Identity, we develop a relation combining the involved exponents. We demonstrate that application of this Urban Kaya Relation will enable a comprehensive understanding about the intrinsic factors determining emission efficiencies in large cities by applying it to a global dataset of 61 cities. Contrary to traditional urban scaling studies which use Ordinary Least Squares (OLS) regression, we show that the Reduced Major Axis (RMA) is necessary when complex relations among scaling exponents are to be investigated. RMA is given by the geometric mean of the two OLS slopes obtained by interchanging the dependent and independent variable. We discuss the potential of the Urban Kaya Relation in mainstreaming local actions for climate change mitigation.","container-title":"Applied Energy","DOI":"https://doi.org/10.1016/j.apenergy.2018.11.054","ISSN":"0306-2619","page":"155-162","title":"The efficient, the intensive, and the productive: Insights from urban Kaya scaling","volume":"236","author":[{"family":"Gudipudi","given":"Ramana"},{"family":"Rybski","given":"Diego"},{"family":"Lüdeke","given":"Matthias K. B."},{"family":"Zhou","given":"Bin"},{"family":"Liu","given":"Zhu"},{"family":"Kropp","given":"Jürgen P."}],"issued":{"date-parts":[["2019"]]}}},{"id":679,"uris":["http://zotero.org/users/12959951/items/SZUNEIV5"],"itemData":{"id":679,"type":"article-journal","abstract":"Ecological modernization theories suggest that it is hard to determine a priori the environmental effects of urbanization, while neoliberal doctrine advocates a positive role of globalization in developing economies especially in terms of reducing poverty and inequality. Yet, the environmental effect of globalization is not unanimous. This study employs second-generation panel regression techniques that account for heterogeneous slope coefficients and cross-sectional dependence to estimate the impacts that urbanization and globalization have on CO2 emissions for a panel of 44 Sub-Saharan Africa (SSA) countries for the period 1984–2016. Also, a causality test that considers both these issues is performed. The estimated coefficient of urbanization is positive, statistically significant, and highly consistent across different estimation techniques. The magnitude of the coefficient and level of significance are different in different econometric estimations. In most specifications, the estimated coefficient on the globalization variable is statistically insignificant. Urbanization is found to cause emissions. The environmental implications of these results are discussed with a set of policy recommendations for an environmentally better SSA region.","container-title":"Environmental Science and Pollution Research","DOI":"10.1007/s11356-018-3790-4","ISSN":"1614-7499","issue":"3","journalAbbreviation":"Environmental Science and Pollution Research","page":"2699-2709","title":"The effects of urbanization and globalization on CO2 emissions: evidence from the Sub-Saharan Africa (SSA) countries","volume":"26","author":[{"family":"Salahuddin","given":"Mohammad"},{"family":"Ali","given":"Md. Idris"},{"family":"Vink","given":"Nick"},{"family":"Gow","given":"Jeff"}],"issued":{"date-parts":[["2019",1,1]]}}}],"schema":"https://github.com/citation-style-language/schema/raw/master/csl-citation.json"} </w:instrText>
      </w:r>
      <w:r w:rsidRPr="00021432">
        <w:rPr>
          <w:rFonts w:ascii="Times New Roman" w:hAnsi="Times New Roman" w:cs="Times New Roman"/>
          <w:color w:val="000000" w:themeColor="text1"/>
        </w:rPr>
        <w:fldChar w:fldCharType="separate"/>
      </w:r>
      <w:r>
        <w:rPr>
          <w:rFonts w:ascii="Times New Roman" w:hAnsi="Times New Roman" w:cs="Times New Roman"/>
        </w:rPr>
        <w:t>(Al-mulali et al., 2013; Gudipudi et al., 2019; Salahuddin et al., 2019)</w:t>
      </w:r>
      <w:r w:rsidRPr="00021432">
        <w:rPr>
          <w:rFonts w:ascii="Times New Roman" w:hAnsi="Times New Roman" w:cs="Times New Roman"/>
          <w:color w:val="000000" w:themeColor="text1"/>
        </w:rPr>
        <w:fldChar w:fldCharType="end"/>
      </w:r>
      <w:r w:rsidRPr="00021432">
        <w:rPr>
          <w:rFonts w:ascii="Times New Roman" w:hAnsi="Times New Roman" w:cs="Times New Roman"/>
          <w:color w:val="000000" w:themeColor="text1"/>
        </w:rPr>
        <w:t>, limited by the availability of spatiotemporally consistent bottom-up emission inventories.</w:t>
      </w:r>
      <w:r>
        <w:rPr>
          <w:rFonts w:ascii="Times New Roman" w:hAnsi="Times New Roman" w:cs="Times New Roman"/>
          <w:color w:val="000000" w:themeColor="text1"/>
        </w:rPr>
        <w:t xml:space="preserve"> In this study,</w:t>
      </w:r>
      <w:r w:rsidRPr="00021432">
        <w:rPr>
          <w:rFonts w:ascii="Times New Roman" w:hAnsi="Times New Roman" w:cs="Times New Roman"/>
          <w:color w:val="000000" w:themeColor="text1"/>
        </w:rPr>
        <w:t xml:space="preserve"> we </w:t>
      </w:r>
      <w:r>
        <w:rPr>
          <w:rFonts w:ascii="Times New Roman" w:hAnsi="Times New Roman" w:cs="Times New Roman"/>
          <w:color w:val="000000" w:themeColor="text1"/>
        </w:rPr>
        <w:t xml:space="preserve">apply a modified Kaya Identity to decompose </w:t>
      </w:r>
      <w:r w:rsidRPr="00021432">
        <w:rPr>
          <w:rFonts w:ascii="Times New Roman" w:hAnsi="Times New Roman" w:cs="Times New Roman"/>
          <w:color w:val="000000" w:themeColor="text1"/>
        </w:rPr>
        <w:t xml:space="preserve">our satellite-based emission estimates </w:t>
      </w:r>
      <w:r>
        <w:rPr>
          <w:rFonts w:ascii="Times New Roman" w:hAnsi="Times New Roman" w:cs="Times New Roman"/>
          <w:color w:val="000000" w:themeColor="text1"/>
        </w:rPr>
        <w:t>for the</w:t>
      </w:r>
      <w:r w:rsidRPr="00021432">
        <w:rPr>
          <w:rFonts w:ascii="Times New Roman" w:hAnsi="Times New Roman" w:cs="Times New Roman"/>
          <w:color w:val="000000" w:themeColor="text1"/>
        </w:rPr>
        <w:t xml:space="preserve"> 5</w:t>
      </w:r>
      <w:r>
        <w:rPr>
          <w:rFonts w:ascii="Times New Roman" w:hAnsi="Times New Roman" w:cs="Times New Roman"/>
          <w:color w:val="000000" w:themeColor="text1"/>
        </w:rPr>
        <w:t>4</w:t>
      </w:r>
      <w:r w:rsidRPr="00021432">
        <w:rPr>
          <w:rFonts w:ascii="Times New Roman" w:hAnsi="Times New Roman" w:cs="Times New Roman"/>
          <w:color w:val="000000" w:themeColor="text1"/>
        </w:rPr>
        <w:t xml:space="preserve"> C40 cities</w:t>
      </w:r>
      <w:r>
        <w:rPr>
          <w:rFonts w:ascii="Times New Roman" w:hAnsi="Times New Roman" w:cs="Times New Roman"/>
          <w:color w:val="000000" w:themeColor="text1"/>
        </w:rPr>
        <w:t>:</w:t>
      </w:r>
      <w:r w:rsidRPr="00021432">
        <w:rPr>
          <w:rFonts w:ascii="Times New Roman" w:hAnsi="Times New Roman" w:cs="Times New Roman"/>
          <w:color w:val="000000" w:themeColor="text1"/>
        </w:rPr>
        <w:t xml:space="preserve"> 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 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/GDP × GDP/P</w:t>
      </w:r>
      <w:r>
        <w:rPr>
          <w:rFonts w:ascii="Times New Roman" w:hAnsi="Times New Roman" w:cs="Times New Roman"/>
          <w:color w:val="000000" w:themeColor="text1"/>
        </w:rPr>
        <w:t>opulation</w:t>
      </w:r>
      <w:r w:rsidRPr="00021432">
        <w:rPr>
          <w:rFonts w:ascii="Times New Roman" w:hAnsi="Times New Roman" w:cs="Times New Roman"/>
          <w:color w:val="000000" w:themeColor="text1"/>
        </w:rPr>
        <w:t xml:space="preserve"> × </w:t>
      </w:r>
      <w:r>
        <w:rPr>
          <w:rFonts w:ascii="Times New Roman" w:hAnsi="Times New Roman" w:cs="Times New Roman"/>
          <w:color w:val="000000" w:themeColor="text1"/>
        </w:rPr>
        <w:t xml:space="preserve">Population </w:t>
      </w:r>
      <w:r w:rsidRPr="00021432">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{"citationID":"TpwZHBTP","properties":{"formattedCitation":"(Kaya &amp; Yokobori, 1997)","plainCitation":"(Kaya &amp; Yokobori, 1997)","noteIndex":0},"citationItems":[{"id":653,"uris":["http://zotero.org/users/12959951/items/WUSBBWWU"],"itemData":{"id":653,"type":"book","publisher":"United Nations University Press Tokyo","title":"Environment, energy, and economy: strategies for sustainability","volume":"4","author":[{"family":"Kaya","given":"Yoichi"},{"family":"Yokobori","given":"Keiichi"}],"issued":{"date-parts":[["1997"]]}}}],"schema":"https://github.com/citation-style-language/schema/raw/master/csl-citation.json"} </w:instrText>
      </w:r>
      <w:r w:rsidRPr="00021432">
        <w:rPr>
          <w:rFonts w:ascii="Times New Roman" w:hAnsi="Times New Roman" w:cs="Times New Roman"/>
          <w:color w:val="000000" w:themeColor="text1"/>
        </w:rPr>
        <w:fldChar w:fldCharType="separate"/>
      </w:r>
      <w:r>
        <w:rPr>
          <w:rFonts w:ascii="Times New Roman" w:hAnsi="Times New Roman" w:cs="Times New Roman"/>
        </w:rPr>
        <w:t>(Kaya &amp; Yokobori, 1997)</w:t>
      </w:r>
      <w:r w:rsidRPr="00021432">
        <w:rPr>
          <w:rFonts w:ascii="Times New Roman" w:hAnsi="Times New Roman" w:cs="Times New Roman"/>
          <w:color w:val="000000" w:themeColor="text1"/>
        </w:rPr>
        <w:fldChar w:fldCharType="end"/>
      </w:r>
      <w:r w:rsidRPr="00021432">
        <w:rPr>
          <w:rFonts w:ascii="Times New Roman" w:hAnsi="Times New Roman" w:cs="Times New Roman"/>
          <w:color w:val="000000" w:themeColor="text1"/>
        </w:rPr>
        <w:t>.</w:t>
      </w:r>
    </w:p>
    <w:p w14:paraId="0A45D748"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noProof/>
          <w:color w:val="000000" w:themeColor="text1"/>
          <w14:textOutline w14:w="0" w14:cap="rnd" w14:cmpd="sng" w14:algn="ctr">
            <w14:noFill/>
            <w14:prstDash w14:val="solid"/>
            <w14:bevel/>
          </w14:textOutline>
        </w:rPr>
        <w:lastRenderedPageBreak/>
        <w:drawing>
          <wp:inline distT="0" distB="0" distL="0" distR="0" wp14:anchorId="6A7E7AC8" wp14:editId="1139446B">
            <wp:extent cx="5943600" cy="5339080"/>
            <wp:effectExtent l="0" t="0" r="0" b="0"/>
            <wp:docPr id="957454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4476" name="Picture 957454476"/>
                    <pic:cNvPicPr/>
                  </pic:nvPicPr>
                  <pic:blipFill>
                    <a:blip r:embed="rId12"/>
                    <a:stretch>
                      <a:fillRect/>
                    </a:stretch>
                  </pic:blipFill>
                  <pic:spPr>
                    <a:xfrm>
                      <a:off x="0" y="0"/>
                      <a:ext cx="5943600" cy="5339080"/>
                    </a:xfrm>
                    <a:prstGeom prst="rect">
                      <a:avLst/>
                    </a:prstGeom>
                  </pic:spPr>
                </pic:pic>
              </a:graphicData>
            </a:graphic>
          </wp:inline>
        </w:drawing>
      </w:r>
    </w:p>
    <w:p w14:paraId="3460A885" w14:textId="77777777" w:rsidR="00BF0126" w:rsidRPr="000D24AB" w:rsidRDefault="00BF0126" w:rsidP="00BF0126">
      <w:pPr>
        <w:pStyle w:val="Body"/>
        <w:spacing w:before="120"/>
        <w:jc w:val="both"/>
        <w:rPr>
          <w:rFonts w:ascii="Times New Roman" w:hAnsi="Times New Roman" w:cs="Times New Roman"/>
        </w:rPr>
      </w:pPr>
      <w:r>
        <w:rPr>
          <w:rFonts w:ascii="Times New Roman" w:hAnsi="Times New Roman" w:cs="Times New Roman"/>
          <w:b/>
          <w:bCs/>
        </w:rPr>
        <w:t>Figure</w:t>
      </w:r>
      <w:r w:rsidRPr="00021432">
        <w:rPr>
          <w:rFonts w:ascii="Times New Roman" w:hAnsi="Times New Roman" w:cs="Times New Roman"/>
          <w:b/>
          <w:bCs/>
        </w:rPr>
        <w:t xml:space="preserve"> </w:t>
      </w:r>
      <w:r>
        <w:rPr>
          <w:rFonts w:ascii="Times New Roman" w:hAnsi="Times New Roman" w:cs="Times New Roman"/>
          <w:b/>
          <w:bCs/>
        </w:rPr>
        <w:t>5</w:t>
      </w:r>
      <w:r w:rsidRPr="00021432">
        <w:rPr>
          <w:rFonts w:ascii="Times New Roman" w:hAnsi="Times New Roman" w:cs="Times New Roman"/>
          <w:b/>
          <w:bCs/>
        </w:rPr>
        <w:t>.</w:t>
      </w:r>
      <w:r w:rsidRPr="00021432">
        <w:rPr>
          <w:rFonts w:ascii="Times New Roman" w:hAnsi="Times New Roman" w:cs="Times New Roman"/>
        </w:rPr>
        <w:t xml:space="preserve"> Satellite-based Kaya</w:t>
      </w:r>
      <w:r>
        <w:rPr>
          <w:rFonts w:ascii="Times New Roman" w:hAnsi="Times New Roman" w:cs="Times New Roman"/>
        </w:rPr>
        <w:t xml:space="preserve"> I</w:t>
      </w:r>
      <w:r w:rsidRPr="00021432">
        <w:rPr>
          <w:rFonts w:ascii="Times New Roman" w:hAnsi="Times New Roman" w:cs="Times New Roman"/>
        </w:rPr>
        <w:t>dentity analysis</w:t>
      </w:r>
      <w:r>
        <w:rPr>
          <w:rFonts w:ascii="Times New Roman" w:hAnsi="Times New Roman" w:cs="Times New Roman"/>
        </w:rPr>
        <w:t xml:space="preserve"> for (A) 54 C40 cities and (B) those cities grouped into seven global regions. (A) Satellite-based </w:t>
      </w:r>
      <w:r w:rsidRPr="00021432">
        <w:rPr>
          <w:rFonts w:ascii="Times New Roman" w:hAnsi="Times New Roman" w:cs="Times New Roman"/>
        </w:rPr>
        <w:t>CO</w:t>
      </w:r>
      <w:r w:rsidRPr="00021432">
        <w:rPr>
          <w:rFonts w:ascii="Times New Roman" w:hAnsi="Times New Roman" w:cs="Times New Roman"/>
          <w:vertAlign w:val="subscript"/>
        </w:rPr>
        <w:t>2</w:t>
      </w:r>
      <w:r w:rsidRPr="00021432">
        <w:rPr>
          <w:rFonts w:ascii="Times New Roman" w:hAnsi="Times New Roman" w:cs="Times New Roman"/>
        </w:rPr>
        <w:t xml:space="preserve"> emissions</w:t>
      </w:r>
      <w:r>
        <w:rPr>
          <w:rFonts w:ascii="Times New Roman" w:hAnsi="Times New Roman" w:cs="Times New Roman"/>
        </w:rPr>
        <w:t xml:space="preserve"> for individual cities </w:t>
      </w:r>
      <w:r w:rsidRPr="00021432">
        <w:rPr>
          <w:rFonts w:ascii="Times New Roman" w:hAnsi="Times New Roman" w:cs="Times New Roman"/>
        </w:rPr>
        <w:t>are plotted against three components of the Kaya Identity: 1) CO</w:t>
      </w:r>
      <w:r w:rsidRPr="00021432">
        <w:rPr>
          <w:rFonts w:ascii="Times New Roman" w:hAnsi="Times New Roman" w:cs="Times New Roman"/>
          <w:vertAlign w:val="subscript"/>
        </w:rPr>
        <w:t>2</w:t>
      </w:r>
      <w:r w:rsidRPr="00021432">
        <w:rPr>
          <w:rFonts w:ascii="Times New Roman" w:hAnsi="Times New Roman" w:cs="Times New Roman"/>
        </w:rPr>
        <w:t xml:space="preserve"> Emissions per GDP, 2) GDP per</w:t>
      </w:r>
      <w:r>
        <w:rPr>
          <w:rFonts w:ascii="Times New Roman" w:hAnsi="Times New Roman" w:cs="Times New Roman"/>
        </w:rPr>
        <w:t xml:space="preserve"> </w:t>
      </w:r>
      <w:r w:rsidRPr="00021432">
        <w:rPr>
          <w:rFonts w:ascii="Times New Roman" w:hAnsi="Times New Roman" w:cs="Times New Roman"/>
        </w:rPr>
        <w:t xml:space="preserve">capita, and 3) </w:t>
      </w:r>
      <w:r>
        <w:rPr>
          <w:rFonts w:ascii="Times New Roman" w:hAnsi="Times New Roman" w:cs="Times New Roman"/>
        </w:rPr>
        <w:t>p</w:t>
      </w:r>
      <w:r w:rsidRPr="00021432">
        <w:rPr>
          <w:rFonts w:ascii="Times New Roman" w:hAnsi="Times New Roman" w:cs="Times New Roman"/>
        </w:rPr>
        <w:t>opulation</w:t>
      </w:r>
      <w:r>
        <w:rPr>
          <w:rFonts w:ascii="Times New Roman" w:hAnsi="Times New Roman" w:cs="Times New Roman"/>
        </w:rPr>
        <w:t xml:space="preserve">. The colored line shows a non-linear least squares fit to the function  </w:t>
      </w:r>
      <m:oMath>
        <m:r>
          <w:rPr>
            <w:rFonts w:ascii="Cambria Math" w:hAnsi="Cambria Math" w:cs="Times New Roman"/>
          </w:rPr>
          <m:t>y=k/x</m:t>
        </m:r>
      </m:oMath>
      <w:r>
        <w:rPr>
          <w:rFonts w:ascii="Times New Roman" w:hAnsi="Times New Roman" w:cs="Times New Roman"/>
        </w:rPr>
        <w:t xml:space="preserve"> (</w:t>
      </w:r>
      <m:oMath>
        <m:r>
          <w:rPr>
            <w:rFonts w:ascii="Cambria Math" w:hAnsi="Cambria Math" w:cs="Times New Roman"/>
          </w:rPr>
          <m:t>k</m:t>
        </m:r>
      </m:oMath>
      <w:r>
        <w:rPr>
          <w:rFonts w:ascii="Times New Roman" w:hAnsi="Times New Roman" w:cs="Times New Roman"/>
        </w:rPr>
        <w:t>: CO</w:t>
      </w:r>
      <w:r w:rsidRPr="004D7F88">
        <w:rPr>
          <w:rFonts w:ascii="Times New Roman" w:hAnsi="Times New Roman" w:cs="Times New Roman"/>
          <w:vertAlign w:val="subscript"/>
        </w:rPr>
        <w:t>2</w:t>
      </w:r>
      <w:r>
        <w:rPr>
          <w:rFonts w:ascii="Times New Roman" w:hAnsi="Times New Roman" w:cs="Times New Roman"/>
        </w:rPr>
        <w:t xml:space="preserve"> emissions per-capita) for population bins of 5, 10, and 20 million. (B) Regional satellite-based estimates (black triangle and error bars, the mean and the standard deviation) are compared with bottom-up based estimates (green and orange circles).</w:t>
      </w:r>
    </w:p>
    <w:p w14:paraId="7B2DB51A"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Our analysis of satellite-based urban CO</w:t>
      </w:r>
      <w:r w:rsidRPr="00C51F33">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reveals an </w:t>
      </w:r>
      <w:r w:rsidRPr="00021432">
        <w:rPr>
          <w:rFonts w:ascii="Times New Roman" w:hAnsi="Times New Roman" w:cs="Times New Roman"/>
          <w:color w:val="000000" w:themeColor="text1"/>
        </w:rPr>
        <w:t>inverse relationship between 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emissions per </w:t>
      </w:r>
      <w:r>
        <w:rPr>
          <w:rFonts w:ascii="Times New Roman" w:hAnsi="Times New Roman" w:cs="Times New Roman"/>
          <w:color w:val="000000" w:themeColor="text1"/>
        </w:rPr>
        <w:t xml:space="preserve">unit of </w:t>
      </w:r>
      <w:r w:rsidRPr="00021432">
        <w:rPr>
          <w:rFonts w:ascii="Times New Roman" w:hAnsi="Times New Roman" w:cs="Times New Roman"/>
          <w:color w:val="000000" w:themeColor="text1"/>
        </w:rPr>
        <w:t xml:space="preserve">GDP (i.e., </w:t>
      </w:r>
      <w:r>
        <w:rPr>
          <w:rFonts w:ascii="Times New Roman" w:hAnsi="Times New Roman" w:cs="Times New Roman"/>
          <w:color w:val="000000" w:themeColor="text1"/>
        </w:rPr>
        <w:t xml:space="preserve">the </w:t>
      </w:r>
      <w:r w:rsidRPr="00021432">
        <w:rPr>
          <w:rFonts w:ascii="Times New Roman" w:hAnsi="Times New Roman" w:cs="Times New Roman"/>
          <w:color w:val="000000" w:themeColor="text1"/>
        </w:rPr>
        <w:t>carbo</w:t>
      </w:r>
      <w:r>
        <w:rPr>
          <w:rFonts w:ascii="Times New Roman" w:hAnsi="Times New Roman" w:cs="Times New Roman"/>
          <w:color w:val="000000" w:themeColor="text1"/>
        </w:rPr>
        <w:t>n</w:t>
      </w:r>
      <w:r w:rsidRPr="00021432">
        <w:rPr>
          <w:rFonts w:ascii="Times New Roman" w:hAnsi="Times New Roman" w:cs="Times New Roman"/>
          <w:color w:val="000000" w:themeColor="text1"/>
        </w:rPr>
        <w:t xml:space="preserve"> intensity of </w:t>
      </w:r>
      <w:r>
        <w:rPr>
          <w:rFonts w:ascii="Times New Roman" w:hAnsi="Times New Roman" w:cs="Times New Roman"/>
          <w:color w:val="000000" w:themeColor="text1"/>
        </w:rPr>
        <w:t>a</w:t>
      </w:r>
      <w:r w:rsidRPr="00021432">
        <w:rPr>
          <w:rFonts w:ascii="Times New Roman" w:hAnsi="Times New Roman" w:cs="Times New Roman"/>
          <w:color w:val="000000" w:themeColor="text1"/>
        </w:rPr>
        <w:t xml:space="preserve"> cit</w:t>
      </w:r>
      <w:r>
        <w:rPr>
          <w:rFonts w:ascii="Times New Roman" w:hAnsi="Times New Roman" w:cs="Times New Roman"/>
          <w:color w:val="000000" w:themeColor="text1"/>
        </w:rPr>
        <w:t>y</w:t>
      </w:r>
      <w:r w:rsidRPr="00021432">
        <w:rPr>
          <w:rFonts w:ascii="Times New Roman" w:hAnsi="Times New Roman" w:cs="Times New Roman"/>
          <w:color w:val="000000" w:themeColor="text1"/>
        </w:rPr>
        <w:t>’</w:t>
      </w:r>
      <w:r>
        <w:rPr>
          <w:rFonts w:ascii="Times New Roman" w:hAnsi="Times New Roman" w:cs="Times New Roman"/>
          <w:color w:val="000000" w:themeColor="text1"/>
        </w:rPr>
        <w:t>s</w:t>
      </w:r>
      <w:r w:rsidRPr="00021432">
        <w:rPr>
          <w:rFonts w:ascii="Times New Roman" w:hAnsi="Times New Roman" w:cs="Times New Roman"/>
          <w:color w:val="000000" w:themeColor="text1"/>
        </w:rPr>
        <w:t xml:space="preserve"> economy) and GDP per capita (i.e., </w:t>
      </w:r>
      <w:r>
        <w:rPr>
          <w:rFonts w:ascii="Times New Roman" w:hAnsi="Times New Roman" w:cs="Times New Roman"/>
          <w:color w:val="000000" w:themeColor="text1"/>
        </w:rPr>
        <w:t xml:space="preserve">economic </w:t>
      </w:r>
      <w:r w:rsidRPr="00021432">
        <w:rPr>
          <w:rFonts w:ascii="Times New Roman" w:hAnsi="Times New Roman" w:cs="Times New Roman"/>
          <w:color w:val="000000" w:themeColor="text1"/>
        </w:rPr>
        <w:t>output per person)</w:t>
      </w:r>
      <w:r>
        <w:rPr>
          <w:rFonts w:ascii="Times New Roman" w:hAnsi="Times New Roman" w:cs="Times New Roman"/>
          <w:color w:val="000000" w:themeColor="text1"/>
        </w:rPr>
        <w:t xml:space="preserve">, indicating that high-income cities tend to have less carbon-intensive economies. A notable example is San Francisco, USA (positioned in the lower right corner of Figure 5A), where the economy is largely service-based (e.g., IT, Finance, Education), following a decline in the manufacturing sector since the 1980s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{"citationID":"LXsIoQvC","properties":{"formattedCitation":"(Hoerter &amp; Wiseman, 1988)","plainCitation":"(Hoerter &amp; Wiseman, 1988)","noteIndex":0},"citationItems":[{"id":1984,"uris":["http://zotero.org/users/12959951/items/TRBF659S"],"itemData":{"id":1984,"type":"article-journal","abstract":"This paper describes metropolitan development in the San Francisco Bay Area in the style of E. M. Hoover and R. G. Vernon's classic 1950's study of the New York metropolitan area,Anatomy of a Metropolis. The analysis concentrates on trends in microelectronics manufacturing as the region's export base, new developments in the business service sector, the competition between San Francisco's downtown office sector and peripheral locations for office employment, and the changing character of the Bay Area households. Factors identified as important for forecasting development in the Bay Area to the end of the century include the competitive strategy of Silicon Valley manufacturers, the evolution of land-use controls in San Francisco and the suburban communities, and the probability of redevelopment in Oakland.","container-title":"The Annals of Regional Science","DOI":"10.1007/BF01283650","ISSN":"1432-0592","issue":"3","journalAbbreviation":"The Annals of Regional Science","page":"11-33","title":"Metropolitan development in the San Francisco Bay Area","volume":"22","author":[{"family":"Hoerter","given":"Darrell"},{"family":"Wiseman","given":"Michael"}],"issued":{"date-parts":[["1988",11,1]]}}}],"schema":"https://github.com/citation-style-language/schema/raw/master/csl-citation.json"}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(Hoerter &amp; Wiseman, 1988)</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In contrast, Durban and Cape Town, both in South Africa, (upper left corner of Figure 5A) consists of larger industrial sectors. Durban is home to the largest container port in Africa, while the port of Cape </w:t>
      </w:r>
      <w:r>
        <w:rPr>
          <w:rFonts w:ascii="Times New Roman" w:hAnsi="Times New Roman" w:cs="Times New Roman"/>
          <w:color w:val="000000" w:themeColor="text1"/>
        </w:rPr>
        <w:lastRenderedPageBreak/>
        <w:t xml:space="preserve">Town is the second busiest port in South Africa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{"citationID":"qvdkblmT","properties":{"formattedCitation":"(Naicker &amp; Allopi, 2015)","plainCitation":"(Naicker &amp; Allopi, 2015)","noteIndex":0},"citationItems":[{"id":1988,"uris":["http://zotero.org/users/12959951/items/JAQ585N6"],"itemData":{"id":1988,"type":"article-journal","container-title":"International Journal of Constructive Research in Civil Engineering","DOI":"https://www.arcjournals.org/international-journal-of-constructive-research-in-civil-engineering/volume-1-issue-2/5","title":"The Need for Expansion of the Durban Container Terminal","URL":"https://www.arcjournals.org/international-journal-of-constructive-research-in-civil-engineering/volume-1-issue-2/5","volume":"1(2) : 33-38","author":[{"family":"Naicker","given":"Rowen"},{"family":"Allopi","given":"Dhiren"}],"accessed":{"date-parts":[["2024",7,22]]},"issued":{"date-parts":[["2015"]]}}}],"schema":"https://github.com/citation-style-language/schema/raw/master/csl-citation.json"}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(Naicker &amp; Allopi, 2015)</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According to Durban’s GPC emission inventory, the industry sector accounts for 70% of the city’s total GHG emissions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{"citationID":"DY8itivG","properties":{"formattedCitation":"(C40 Cities, 2022)","plainCitation":"(C40 Cities, 2022)","noteIndex":0},"citationItems":[{"id":1991,"uris":["http://zotero.org/users/12959951/items/MY66WNKF"],"itemData":{"id":1991,"type":"report","title":"Benefits of Urban Climate Action | C40 Cities Technical Assistance Report: Durban","URL":"https://www.c40.org/wp-content/uploads/2022/02/Durban-–-Regulating-Industrial-Emissions.pdf","author":[{"family":"C40 Cities","given":""}],"accessed":{"date-parts":[["2024",7,22]]},"issued":{"date-parts":[["2022"]]}},"label":"page"}],"schema":"https://github.com/citation-style-language/schema/raw/master/csl-citation.json"}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(C40 Cities, 2022)</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with the sugar industry being the province’s largest employer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{"citationID":"zivoYMx0","properties":{"formattedCitation":"(Rambakus et al., 2020)","plainCitation":"(Rambakus et al., 2020)","noteIndex":0},"citationItems":[{"id":1997,"uris":["http://zotero.org/users/12959951/items/NDI7MJH4"],"itemData":{"id":1997,"type":"article-journal","container-title":"Cogent Business &amp; Management","DOI":"10.1080/23311975.2020.1736848","ISSN":"null","issue":"1","journalAbbreviation":"Cogent Business &amp; Management","note":"publisher: Cogent OA","page":"1736848","title":"Evaluating the extent of intrapreneurship in a sugar producing company in KwaZulu-Natal, South Africa","volume":"7","author":[{"family":"Rambakus","given":"Zyven"},{"family":"Hoque","given":"Muhammad"},{"family":"Gerwel Proches","given":"Cecile N."}],"editor":[{"family":"Wanasika","given":"Isaac"}],"issued":{"date-parts":[["2020",1,1]]}}}],"schema":"https://github.com/citation-style-language/schema/raw/master/csl-citation.json"}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(Rambakus et al., 2020)</w:t>
      </w:r>
      <w:r>
        <w:rPr>
          <w:rFonts w:ascii="Times New Roman" w:hAnsi="Times New Roman" w:cs="Times New Roman"/>
          <w:color w:val="000000" w:themeColor="text1"/>
        </w:rPr>
        <w:fldChar w:fldCharType="end"/>
      </w:r>
      <w:r>
        <w:rPr>
          <w:rFonts w:ascii="Times New Roman" w:hAnsi="Times New Roman" w:cs="Times New Roman"/>
          <w:color w:val="000000" w:themeColor="text1"/>
        </w:rPr>
        <w:t>. Additionally, household fuel burning, particularly in low-income settlement area, have been identified as a significant contributor to local air pollution and co-emitted CO</w:t>
      </w:r>
      <w:r w:rsidRPr="003339E7">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{"citationID":"cnQOJnKw","properties":{"formattedCitation":"(Baborska-Narozny et al., 2020; Buthelezi et al., 2019; City of Cape Town, 2024)","plainCitation":"(Baborska-Narozny et al., 2020; Buthelezi et al., 2019; City of Cape Town, 2024)","noteIndex":0},"citationItems":[{"id":3762,"uris":["http://zotero.org/users/12959951/items/M5Z82PQX"],"itemData":{"id":3762,"type":"article-journal","abstract":"Of all the European Union’s member states, Poland has the most acute ambient air pollution problem. An urgent transition from solid-fuel heating (e.g. coal and wood) in the housing sector is required to improve air quality in the country. National regulations still allow the sale of solid fuels for heating, but some municipalities impose local resolutions with binding deadlines for solid-fuel bans. A real-world study covering 422 apartments in heritage tenements in Wrocław is presented. A link between domestic solid-fuel usage and tenure type is identified: solid fuels prevail in social housing. The transition to other forms of heating will adversely affect the inhabitants already vulnerable to fuel poverty. Solid fuel proves to be the least preferred heating option and is linked to substandard living conditions. Fuel poverty vulnerability for low-income households is established based on cost analysis for different heating options, thermal retrofit strategies, internal temperatures and apartment sizes. The results indicate that climate injustice is likely to occur for the poorest inhabitants due to their inability to afford increased costs. Policy implications to address this injustice are needed to ensure the transition from solid-fuel heating will avoid new vulnerabilities. Policy relevanceDomestic solid-fuel combustion for heating purposes is linked to poor air quality in urban areas in Poland. Heritage tenements are the most technically deprived building stock and their inhabitants are already vulnerable to fuel poverty. To improve air quality and respond to climate change, solid fuels need to be substituted with less polluting but more expensive heating options. Potential climate injustice (harm) is likely to occur if the poorest inhabitants cannot afford to heat their homes due to a ban on solid fuels. The change of heating needs to be combined with additional support (thermal retrofit and appropriate pricing of alternative fuels). Air quality-driven polices focused on solid-fuel eradication should not ignore fuel poverty already experienced mainly by social housing residents using expensive electric heating on a standard tariff. Fuel poverty has a gender aspect related to the gender pay gap that needs addressing.","container-title":"Buildings and Cities","DOI":"10.5334/bc.23","title":"Climate justice: air quality and transitions from solid fuel heating","author":[{"family":"Baborska-Narozny","given":"Magdalena"},{"family":"Szulgowska-Zgrzywa","given":"Malgorzata"},{"family":"Mokrzecka","given":"Martyna"},{"family":"Chmielewska","given":"Agnieszka"},{"family":"Fidorow-Kaprawy","given":"Natalia"},{"family":"Stefanowicz","given":"Ewelina"},{"family":"Piechurski","given":"Krzysztof"},{"family":"Laska","given":"Marta"}],"issued":{"date-parts":[["2020",5]]}}},{"id":3761,"uris":["http://zotero.org/users/12959951/items/DY2LXNDR"],"itemData":{"id":3761,"type":"article-journal","abstract":"In low-income communities, non-electric fuel sources are typically the main cause of Household Air Pollution (HAP). In Umlazi, a South African coastal, informal settlement, households use electric- and non-electric (coal, wood, gas, paraffin) energy sources for cooking and heating. The study aimed to determine whether respiratory ill health status varied by fuel type use. Using a questionnaire, respondents reported on a range of socio-demographic characteristics, dwelling type, energy use for cooking and heating as well as respiratory health symptoms. Multivariate Poisson regression was used to obtain the adjusted Odds Ratios (ORs) for the effects of electric and non-electric energy sources on prevalence of respiratory infections considering potential confounding factors. Among the 245 households that participated, Upper Respiratory Tract Infections (URTI, n = 27) were prevalent in respondents who used non-electric sources compared to electric sources for heating and cooking. There were statistically significant effects of non-electric sources for heating (adjusted OR = 3.6, 95% CI (confidence interval): 1.2–10.1, p &lt; 0.05) and cooking (adjusted OR = 2.9, 95% CI: 1.1–7.9, p &lt; 0.05) on prevalence of URTIs. There was a statistically significant effect of electric sources for heating (adjusted OR = 2.7, 95% CI: 1.1–6.4, p &lt; 0.05) on prevalence of Lower Respiratory Tract Infections (LRTIs) but no evidence for relations between non-electric sources for heating and LRTIs, and electric or non-electric fuel use type for cooking and LRTIs. Energy switching, mixing or stacking could be common in these households that likely made use of multiple energy sources during a typical month depending on access to and availability of electricity, funds to pay for the energy source as well as other socio-economic or cultural factors. The importance of behaviour and social determinants of health in relation to HAP is emphasized.","container-title":"International Journal of Environmental Research and Public Health","DOI":"10.3390/ijerph16040550","ISSN":"1660-4601","issue":"4","title":"Household Fuel Use for Heating and Cooking and Respiratory Health in a Low-Income, South African Coastal Community","URL":"https://www.mdpi.com/1660-4601/16/4/550","volume":"16","author":[{"family":"Buthelezi","given":"Sikhumbuzo Archibald"},{"family":"Kapwata","given":"Thandi"},{"family":"Wernecke","given":"Bianca"},{"family":"Webster","given":"Candice"},{"family":"Mathee","given":"Angela"},{"family":"Wright","given":"Caradee Yael"}],"issued":{"date-parts":[["2019"]]}}},{"id":3760,"uris":["http://zotero.org/users/12959951/items/38HBJTT2"],"itemData":{"id":3760,"type":"article-journal","container-title":"2024","title":"AIR QUALITY MANAGEMENT PLAN 2024","URL":"https://resource.capetown.gov.za/documentcentre/Documents/City%20strategies,%20plans%20and%20frameworks/Air_Quality_Management_Plan_2024.pdf","author":[{"family":"City of Cape Town","given":""}],"accessed":{"date-parts":[["2025",3,7]]},"issued":{"date-parts":[["2024"]]}}}],"schema":"https://github.com/citation-style-language/schema/raw/master/csl-citation.json"}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(Baborska-Narozny et al., 2020; Buthelezi et al., 2019; City of Cape Town, 2024)</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p>
    <w:p w14:paraId="2389AEE4"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A similar inverse relationship ―the decoupling of CO</w:t>
      </w:r>
      <w:r w:rsidRPr="00C76E2A">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from economic growth― is observed when cities are grouped into global regions. Three regions ―North America, Europe, East and Southeast Asia &amp; Oceania― are positioned in the lower right corner in Figure 5B, representing high-output, low-carbon-intensity economies. In contrast, Africa is positioned in the upper left corner in Figure 5B, indicating low-</w:t>
      </w:r>
      <w:r w:rsidRPr="00021432">
        <w:rPr>
          <w:rFonts w:ascii="Times New Roman" w:hAnsi="Times New Roman" w:cs="Times New Roman"/>
          <w:color w:val="000000" w:themeColor="text1"/>
        </w:rPr>
        <w:t>output</w:t>
      </w:r>
      <w:r>
        <w:rPr>
          <w:rFonts w:ascii="Times New Roman" w:hAnsi="Times New Roman" w:cs="Times New Roman"/>
          <w:color w:val="000000" w:themeColor="text1"/>
        </w:rPr>
        <w:t>, high-</w:t>
      </w:r>
      <w:r w:rsidRPr="00021432">
        <w:rPr>
          <w:rFonts w:ascii="Times New Roman" w:hAnsi="Times New Roman" w:cs="Times New Roman"/>
          <w:color w:val="000000" w:themeColor="text1"/>
        </w:rPr>
        <w:t>carbon</w:t>
      </w:r>
      <w:r>
        <w:rPr>
          <w:rFonts w:ascii="Times New Roman" w:hAnsi="Times New Roman" w:cs="Times New Roman"/>
          <w:color w:val="000000" w:themeColor="text1"/>
        </w:rPr>
        <w:t>-</w:t>
      </w:r>
      <w:r w:rsidRPr="00021432">
        <w:rPr>
          <w:rFonts w:ascii="Times New Roman" w:hAnsi="Times New Roman" w:cs="Times New Roman"/>
          <w:color w:val="000000" w:themeColor="text1"/>
        </w:rPr>
        <w:t xml:space="preserve">intensity </w:t>
      </w:r>
      <w:r>
        <w:rPr>
          <w:rFonts w:ascii="Times New Roman" w:hAnsi="Times New Roman" w:cs="Times New Roman"/>
          <w:color w:val="000000" w:themeColor="text1"/>
        </w:rPr>
        <w:t xml:space="preserve">economy. Notably, despite having higher GDP per capita, Central East Asia shows higher carbon intensity than Latin America. Colored lines in Figure 5B indicate the same analysis conducted using two bottom-up emission inventories. Regionally, bottom-up estimates tend to be larger (smaller) than satellite-based estimates for cities in Central East Asia and South &amp; West Asia (Africa, East and Southeast Asia &amp; Oceania, Europe, and North America). However, on a global scale, bottom-up emission inventories show similar inverse relationships to those observed in satellite-based estimates. </w:t>
      </w:r>
    </w:p>
    <w:p w14:paraId="740731D3" w14:textId="77777777" w:rsidR="00BF0126" w:rsidRPr="00572820"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Additionally, our analysis shows that satellite-based per-capita CO</w:t>
      </w:r>
      <w:r w:rsidRPr="0055174A">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decrease as urban population size increases― an inverse relationship illustrated by the colored lines in Figure 5A. This trend has been previously reported in bottom-up emission studies and OCO-2 based analysis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{"citationID":"MFEsXIT6","properties":{"formattedCitation":"(Gately et al., 2015; Luqman et al., 2023; Ribeiro et al., 2019; Wilmot et al., 2024; Wu et al., 2020)","plainCitation":"(Gately et al., 2015; Luqman et al., 2023; Ribeiro et al., 2019; Wilmot et al., 2024; Wu et al., 2020)","noteIndex":0},"citationItems":[{"id":2001,"uris":["http://zotero.org/users/12959951/items/QJBARJGC"],"itemData":{"id":2001,"type":"article-journal","abstract":"We use roadway-level traffic data to construct a 33-year, high-resolution inventory of annual on-road CO2 emissions for the United States that differs markedly from other emissions estimates. We find a highly nonlinear relationship between population density and emissions, and identify large biases in regional estimates of CO2 from inventories that rely on population as a linear predictor of vehicle activity. Geographic differences in the density?emissions relationship suggest that ?smart growth? policies to increase urban residential densities will have significantly different effects on emissions depending on local conditions, and may be most effective at low densities. Our results highlight the importance of cities as sources of CO2 and the need for improved fine-scale inventories for monitoring and reporting of emissions. Emissions of CO2 from road vehicles were 1.57 billion metric tons in 2012, accounting for 28% of US fossil fuel CO2 emissions, but the spatial distributions of these emissions are highly uncertain. We develop a new emissions inventory, the Database of Road Transportation Emissions (DARTE), which estimates CO2 emitted by US road transport at a resolution of 1 km annually for 1980?2012. DARTE reveals that urban areas are responsible for 80% of on-road emissions growth since 1980 and for 63% of total 2012 emissions. We observe nonlinearities between CO2 emissions and population density at broad spatial/temporal scales, with total on-road CO2 increasing nonlinearly with population density, rapidly up to 1,650 persons per square kilometer and slowly thereafter. Per capita emissions decline as density rises, but at markedly varying rates depending on existing densities. We make use of DARTE?s bottom-up construction to highlight the biases associated with the common practice of using population as a linear proxy for disaggregating national- or state-scale emissions. Comparing DARTE with existing downscaled inventories, we find biases of 100% or more in the spatial distribution of urban and rural emissions, largely driven by mismatches between inventory downscaling proxies and the actual spatial patterns of vehicle activity at urban scales. Given cities? dual importance as sources of CO2 and an emerging nexus of climate mitigation initiatives, high-resolution estimates such as DARTE are critical both for accurately quantifying surface carbon fluxes and for verifying the effectiveness of emissions mitigation efforts at urban scales.","container-title":"Proceedings of the National Academy of Sciences","DOI":"10.1073/pnas.1421723112","issue":"16","journalAbbreviation":"Proceedings of the National Academy of Sciences","note":"publisher: Proceedings of the National Academy of Sciences","page":"4999-5004","title":"Cities, traffic, and CO2: A multidecadal assessment of trends, drivers, and scaling relationships","volume":"112","author":[{"family":"Gately","given":"Conor K."},{"family":"Hutyra","given":"Lucy R."},{"family":"Sue Wing","given":"Ian"}],"issued":{"date-parts":[["2015",4,21]]}},"label":"page"},{"id":648,"uris":["http://zotero.org/users/12959951/items/SCTZYBEC"],"itemData":{"id":648,"type":"article-journal","abstract":"We use a globally consistent, time-resolved data set of CO2 emission proxies to quantify urban CO2 emissions in 91 cities. We decompose emission trends into contributions from changes in urban extent, population density and per capita emission. We find that urban CO2 emissions are increasing everywhere but that the dominant contributors differ according to development level. A cluster analysis of factors shows that developing countries were dominated by cities with the rapid area and per capita CO2 emissions increases. Cities in the developed world, by contrast, show slow area and per capita CO2 emissions growth. China is an important intermediate case with rapid urban area growth combined with slower per capita CO2 emissions growth. Urban per capita emissions are often lower than their national average for many developed countries, suggesting that urbanisation may reduce overall emissions. However, trends in per capita urban emissions are higher than their national equivalent almost everywhere, suggesting that urbanisation will become a more serious problem in the future. An important exception is China, whose per capita urban emissions are growing more slowly than the national value. We also see a negative correlation between trends in population density and per capita CO2 emissions, highlighting a strong role for densification as a tool to reduce CO2 emissions.","container-title":"npj Urban Sustainability","DOI":"10.1038/s42949-023-00084-2","ISSN":"2661-8001","issue":"1","journalAbbreviation":"npj Urban Sustainability","page":"6","title":"On the impact of urbanisation on CO2 emissions","volume":"3","author":[{"family":"Luqman","given":"Muhammad"},{"family":"Rayner","given":"Peter J."},{"family":"Gurney","given":"Kevin R."}],"issued":{"date-parts":[["2023",2,16]]}}},{"id":673,"uris":["http://zotero.org/users/12959951/items/6FD72WCL"],"itemData":{"id":673,"type":"article-journal","abstract":"The question of whether urbanization contributes to increasing carbon dioxide emissions has been mainly investigated via scaling relationships with population or population density. However, these approaches overlook the correlations between population and area, and ignore possible interactions between these quantities. Here, we propose a generalized framework that simultaneously considers the effects of population and area along with possible interactions between these urban metrics. Our results significantly improve the description of emissions and reveal the coupled role between population and density on emissions. These models show that variations in emissions associated with proportionate changes in population or density may not only depend on the magnitude of these changes but also on the initial values of these quantities. For US areas, the larger the city, the higher is the impact of changing its population or density on its emissions; but population changes always have a greater effect on emissions than population density.","container-title":"Nature Communications","DOI":"10.1038/s41467-019-11184-y","ISSN":"2041-1723","issue":"1","journalAbbreviation":"Nature Communications","page":"3204","title":"Effects of changing population or density on urban carbon dioxide emissions","volume":"10","author":[{"family":"Ribeiro","given":"Haroldo V."},{"family":"Rybski","given":"Diego"},{"family":"Kropp","given":"Jürgen P."}],"issued":{"date-parts":[["2019",7,19]]}},"label":"page"},{"id":1951,"uris":["http://zotero.org/users/12959951/items/4CW6XEL5"],"itemData":{"id":1951,"type":"article-journal","abstract":"Over the past decade, 1000s of cities have pledged reductions in carbon dioxide emissions. However, tracking progress toward these pledges has largely relied exclusively on activity-based, self-reported emissions inventories, which often underestimate emissions due to incomplete accounting. Furthermore, the lack of a consistent framework that may be deployed broadly, across political boundaries, hampers understanding of changes in both city-scale emissions and the global summation of urban emissions mitigation actions, with insight being particularly limited for cities within the global south. Given the pressing need for rapid decarbonization, development of a consistent framework that tracks progress toward city-scale emissions reduction targets, while providing actionable information for policy makers, will be critical. Here, we combine satellite-based observations of atmospheric carbon dioxide and an atmospheric mo</w:instrText>
      </w:r>
      <w:r>
        <w:rPr>
          <w:rFonts w:ascii="Times New Roman" w:hAnsi="Times New Roman" w:cs="Times New Roman" w:hint="eastAsia"/>
          <w:color w:val="000000" w:themeColor="text1"/>
        </w:rPr>
        <w:instrText xml:space="preserve">del to present an atmospherically-based framework for monitoring changes in urban emissions and related intensity metrics. Application of this framework to 77 cities captures </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16% of global carbon dioxide emissions, similar in magnitude to the total direct emissions of the United States or Europe, and demonstrates the framework</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 xml:space="preserve">s ability to track changes in emissions via satellite-observation. COVID-19 lockdowns correspond to an average </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21% reduction in emissions across urban systems over March</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May of 20</w:instrText>
      </w:r>
      <w:r>
        <w:rPr>
          <w:rFonts w:ascii="Times New Roman" w:hAnsi="Times New Roman" w:cs="Times New Roman"/>
          <w:color w:val="000000" w:themeColor="text1"/>
        </w:rPr>
        <w:instrText>20 relative to non-lockdown years. Urban scaling analyses suggest that per capita energy savings drive decreases in emissions per capita as population density increases, while local affluence and economic development correspond to increasing emissions. Results highlight the potential for a global atmospherically-based monitoring framework to complement activity-based inventories and provide actionable information regarding interactions between city-scale emissions and local policy actions.","container-title":"Environmental Research Letters","DOI":"10.1088/1748-9326/ad6017","issue":"8","note":"publisher: IOP Publishing","page":"084029","title":"Toward a satellite-based monitoring system for urban CO2 emissions in support of global collective climate mitigation actions","volume":"19","author":[{"family":"Wilmot","given":"Taylor Y."},{"family":"Lin","given":"John C."},{"family":"Wu","given":"Dien"},{"family":"Oda","given":"Tomohiro"},{"family":"Kort","given":"Eric A."}],"issued":{"date-parts":[["2024",7]]}}}</w:instrText>
      </w:r>
      <w:r>
        <w:rPr>
          <w:rFonts w:ascii="Times New Roman" w:hAnsi="Times New Roman" w:cs="Times New Roman" w:hint="eastAsia"/>
          <w:color w:val="000000" w:themeColor="text1"/>
        </w:rPr>
        <w:instrText xml:space="preserve">,{"id":627,"uris":["http://zotero.org/users/12959951/items/EBXK88YI"],"itemData":{"id":627,"type":"article-journal","abstract":"Urban areas are currently responsible for </w:instrText>
      </w:r>
      <w:r>
        <w:rPr>
          <w:rFonts w:ascii="Times New Roman" w:hAnsi="Times New Roman" w:cs="Times New Roman" w:hint="eastAsia"/>
          <w:color w:val="000000" w:themeColor="text1"/>
        </w:rPr>
        <w:instrText>∼</w:instrText>
      </w:r>
      <w:r>
        <w:rPr>
          <w:rFonts w:ascii="Times New Roman" w:hAnsi="Times New Roman" w:cs="Times New Roman" w:hint="eastAsia"/>
          <w:color w:val="000000" w:themeColor="text1"/>
        </w:rPr>
        <w:instrText>70% of the global energy-related carbon dioxide (CO2) emissions, and rapid ongoing g</w:instrText>
      </w:r>
      <w:r>
        <w:rPr>
          <w:rFonts w:ascii="Times New Roman" w:hAnsi="Times New Roman" w:cs="Times New Roman"/>
          <w:color w:val="000000" w:themeColor="text1"/>
        </w:rPr>
        <w:instrText xml:space="preserve">lobal urbanization is increasing the number and size of cities. Thus, understanding city-scale CO2 emissions and how they vary between cities with different urban densities is a critical task. While the relationship between CO2 emissions and population density has been explored widely in prior studies, their conclusions were sensitive to inconsistent definitions of urban boundaries and the reliance upon CO2 emission inventories that implicitly assumed population relationships. Here we provide the first independent estimates of direct per capita CO2 emissions (Epc) from spaceborne atmospheric CO2 measurements from the Orbiting Carbon Observatory-2 (OCO-2) for a total 20 cities across multiple continents. The analysis accounts for the influence of meteorology on the satellite observations with an atmospheric model. The resultant upwind source region sampled by the satellite serves as an objective urban extent for aggregating emissions and population densities. Thus, we are able to detect emission ‘hotspots’ on a per capita basis from a few cities, subject to sampling restrictions from OCO-2. Our results suggest that Epc declines as population densities increase, albeit the decrease in Epc is partially limited by the positive correlation between Epc and per capita gross domestic product. As additional CO2-observing satellites are launched in the coming years, our space-based approach to understanding CO2 emissions from cities has significant potential in tracking and evaluating the future trajectory of urban growth and informing the effects of carbon reduction plans.","container-title":"Environmental Research Letters","DOI":"10.1088/1748-9326/ab68eb","issue":"3","note":"publisher: IOP Publishing","page":"035004","title":"Space-based quantification of per capita CO2 emissions from cities","volume":"15","author":[{"family":"Wu","given":"Dien"},{"family":"Lin","given":"John C."},{"family":"Oda","given":"Tomohiro"},{"family":"Kort","given":"Eric A."}],"issued":{"date-parts":[["2020",2]]}},"label":"page","suppress-author":true,"prefix":"Wu et al., "}],"schema":"https://github.com/citation-style-language/schema/raw/master/csl-citation.json"}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(Gately et al., 2015; Luqman et al., 2023; Ribeiro et al., 2019; Wilmot et al., 2024; Wu et al., 2020)</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For example, studies have reported that transportation energy consumption decrease exponentially with increasing urban population density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{"citationID":"oOV40Gpn","properties":{"formattedCitation":"(Gately et al., 2015; Newman &amp; Kenworthy, 1989)","plainCitation":"(Gately et al., 2015; Newman &amp; Kenworthy, 1989)","noteIndex":0},"citationItems":[{"id":2001,"uris":["http://zotero.org/users/12959951/items/QJBARJGC"],"itemData":{"id":2001,"type":"article-journal","abstract":"We use roadway-level traffic data to construct a 33-year, high-resolution inventory of annual on-road CO2 emissions for the United States that differs markedly from other emissions estimates. We find a highly nonlinear relationship between population density and emissions, and identify large biases in regional estimates of CO2 from inventories that rely on population as a linear predictor of vehicle activity. Geographic differences in the density?emissions relationship suggest that ?smart growth? policies to increase urban residential densities will have significantly different effects on emissions depending on local conditions, and may be most effective at low densities. Our results highlight the importance of cities as sources of CO2 and the need for improved fine-scale inventories for monitoring and reporting of emissions. Emissions of CO2 from road vehicles were 1.57 billion metric tons in 2012, accounting for 28% of US fossil fuel CO2 emissions, but the spatial distributions of these emissions are highly uncertain. We develop a new emissions inventory, the Database of Road Transportation Emissions (DARTE), which estimates CO2 emitted by US road transport at a resolution of 1 km annually for 1980?2012. DARTE reveals that urban areas are responsible for 80% of on-road emissions growth since 1980 and for 63% of total 2012 emissions. We observe nonlinearities between CO2 emissions and population density at broad spatial/temporal scales, with total on-road CO2 increasing nonlinearly with population density, rapidly up to 1,650 persons per square kilometer and slowly thereafter. Per capita emissions decline as density rises, but at markedly varying rates depending on existing densities. We make use of DARTE?s bottom-up construction to highlight the biases associated with the common practice of using population as a linear proxy for disaggregating national- or state-scale emissions. Comparing DARTE with existing downscaled inventories, we find biases of 100% or more in the spatial distribution of urban and rural emissions, largely driven by mismatches between inventory downscaling proxies and the actual spatial patterns of vehicle activity at urban scales. Given cities? dual importance as sources of CO2 and an emerging nexus of climate mitigation initiatives, high-resolution estimates such as DARTE are critical both for accurately quantifying surface carbon fluxes and for verifying the effectiveness of emissions mitigation efforts at urban scales.","container-title":"Proceedings of the National Academy of Sciences","DOI":"10.1073/pnas.1421723112","issue":"16","journalAbbreviation":"Proceedings of the National Academy of Sciences","note":"publisher: Proceedings of the National Academy of Sciences","page":"4999-5004","title":"Cities, traffic, and CO2: A multidecadal assessment of trends, drivers, and scaling relationships","volume":"112","author":[{"family":"Gately","given":"Conor K."},{"family":"Hutyra","given":"Lucy R."},{"family":"Sue Wing","given":"Ian"}],"issued":{"date-parts":[["2015",4,21]]}}},{"id":2005,"uris":["http://zotero.org/users/12959951/items/7H5QBLDM"],"itemData":{"id":2005,"type":"book","archive":"WorldCat","event-place":"Aldershot, Hants., England","ISBN":"0-566-07040-5","language":"English","note":"section: xvii, 388 pages : illustrations ; 31 cm","publisher":"Gower Technical","publisher-place":"Aldershot, Hants., England","title":"Cities and automobile dependence : a sourcebook","author":[{"family":"Newman","given":"Peter","suffix":"1945-"},{"family":"Kenworthy","given":"Jeffrey R.","suffix":"1955-"}],"issued":{"date-parts":[["1989"]]}}}],"schema":"https://github.com/citation-style-language/schema/raw/master/csl-citation.json"}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(Gately et al., 2015; Newman &amp; Kenworthy, 1989)</w: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F246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Our-satellite based estimates find that per-capita CO</w:t>
      </w:r>
      <w:r w:rsidRPr="004C3A58">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for cities with population size under 5 million average 7.7 tCO</w:t>
      </w:r>
      <w:r w:rsidRPr="001A5016">
        <w:rPr>
          <w:rFonts w:ascii="Times New Roman" w:hAnsi="Times New Roman" w:cs="Times New Roman"/>
          <w:color w:val="000000" w:themeColor="text1"/>
          <w:vertAlign w:val="subscript"/>
        </w:rPr>
        <w:t>2</w:t>
      </w:r>
      <w:r>
        <w:rPr>
          <w:rFonts w:ascii="Times New Roman" w:hAnsi="Times New Roman" w:cs="Times New Roman"/>
          <w:color w:val="000000" w:themeColor="text1"/>
        </w:rPr>
        <w:t>. This declines to 5.2 tCO</w:t>
      </w:r>
      <w:r w:rsidRPr="00C46A88">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021432">
        <w:rPr>
          <w:rFonts w:ascii="Times New Roman" w:hAnsi="Times New Roman" w:cs="Times New Roman"/>
          <w:color w:val="000000" w:themeColor="text1"/>
        </w:rPr>
        <w:t>−</w:t>
      </w:r>
      <w:r>
        <w:rPr>
          <w:rFonts w:ascii="Times New Roman" w:hAnsi="Times New Roman" w:cs="Times New Roman"/>
          <w:color w:val="000000" w:themeColor="text1"/>
        </w:rPr>
        <w:t>33%) for cities with population between 5 million and 10 million, 2.3 tCO</w:t>
      </w:r>
      <w:r w:rsidRPr="00C46A88">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021432">
        <w:rPr>
          <w:rFonts w:ascii="Times New Roman" w:hAnsi="Times New Roman" w:cs="Times New Roman"/>
          <w:color w:val="000000" w:themeColor="text1"/>
        </w:rPr>
        <w:t>−</w:t>
      </w:r>
      <w:r>
        <w:rPr>
          <w:rFonts w:ascii="Times New Roman" w:hAnsi="Times New Roman" w:cs="Times New Roman"/>
          <w:color w:val="000000" w:themeColor="text1"/>
        </w:rPr>
        <w:t>70%) for cities between 10 million and 20 million, and 1.8 tCO</w:t>
      </w:r>
      <w:r w:rsidRPr="00C46A88">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021432">
        <w:rPr>
          <w:rFonts w:ascii="Times New Roman" w:hAnsi="Times New Roman" w:cs="Times New Roman"/>
          <w:color w:val="000000" w:themeColor="text1"/>
        </w:rPr>
        <w:t>−</w:t>
      </w:r>
      <w:r>
        <w:rPr>
          <w:rFonts w:ascii="Times New Roman" w:hAnsi="Times New Roman" w:cs="Times New Roman"/>
          <w:color w:val="000000" w:themeColor="text1"/>
        </w:rPr>
        <w:t>77%) for cities exceeding 20 million residents.</w:t>
      </w:r>
    </w:p>
    <w:p w14:paraId="530F530D" w14:textId="77777777" w:rsidR="00BF0126" w:rsidRDefault="00BF0126" w:rsidP="00BF0126">
      <w:pPr>
        <w:pStyle w:val="Heading-Main"/>
      </w:pPr>
      <w:r>
        <w:t>4</w:t>
      </w:r>
      <w:r w:rsidRPr="00472ADD">
        <w:t xml:space="preserve"> </w:t>
      </w:r>
      <w:r>
        <w:t>Discussion</w:t>
      </w:r>
    </w:p>
    <w:p w14:paraId="0DF20D0A" w14:textId="77777777" w:rsidR="00BF0126" w:rsidRPr="00AF0405" w:rsidRDefault="00BF0126" w:rsidP="00BF0126">
      <w:pPr>
        <w:pStyle w:val="Heading-Secondary"/>
        <w:ind w:left="0"/>
        <w:rPr>
          <w:b/>
          <w:bCs w:val="0"/>
        </w:rPr>
      </w:pPr>
      <w:r w:rsidRPr="00AF0405">
        <w:rPr>
          <w:b/>
          <w:bCs w:val="0"/>
        </w:rPr>
        <w:t>4.1. Source Sector Attribution from Space</w:t>
      </w:r>
    </w:p>
    <w:p w14:paraId="19EB0104" w14:textId="77777777" w:rsidR="00BF0126" w:rsidRDefault="00BF0126" w:rsidP="00BF0126">
      <w:pPr>
        <w:pStyle w:val="Body"/>
        <w:spacing w:before="120"/>
        <w:jc w:val="both"/>
        <w:rPr>
          <w:rFonts w:ascii="Times New Roman" w:hAnsi="Times New Roman" w:cs="Times New Roman"/>
          <w:color w:val="000000" w:themeColor="text1"/>
        </w:rPr>
      </w:pPr>
      <w:r w:rsidRPr="0043305B">
        <w:rPr>
          <w:rFonts w:ascii="Times New Roman" w:hAnsi="Times New Roman" w:cs="Times New Roman"/>
          <w:color w:val="000000" w:themeColor="text1"/>
        </w:rPr>
        <w:t xml:space="preserve">The major limitation of the CSF approach presented in this study is its inability to attribute emissions to specific source sectors. Our satellite-based emission estimates agree within &lt; </w:t>
      </w:r>
      <w:r>
        <w:rPr>
          <w:rFonts w:ascii="Times New Roman" w:hAnsi="Times New Roman" w:cs="Times New Roman"/>
          <w:color w:val="000000" w:themeColor="text1"/>
        </w:rPr>
        <w:t>7</w:t>
      </w:r>
      <w:r w:rsidRPr="0043305B">
        <w:rPr>
          <w:rFonts w:ascii="Times New Roman" w:hAnsi="Times New Roman" w:cs="Times New Roman"/>
          <w:color w:val="000000" w:themeColor="text1"/>
        </w:rPr>
        <w:t>% to either EDGAR’s total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emissions or ODIAC’s fossil fuel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emissions at </w:t>
      </w:r>
      <w:r>
        <w:rPr>
          <w:rFonts w:ascii="Times New Roman" w:hAnsi="Times New Roman" w:cs="Times New Roman"/>
          <w:color w:val="000000" w:themeColor="text1"/>
        </w:rPr>
        <w:t xml:space="preserve">the </w:t>
      </w:r>
      <w:r w:rsidRPr="0043305B">
        <w:rPr>
          <w:rFonts w:ascii="Times New Roman" w:hAnsi="Times New Roman" w:cs="Times New Roman"/>
          <w:color w:val="000000" w:themeColor="text1"/>
        </w:rPr>
        <w:t xml:space="preserve">global scale (Figure </w:t>
      </w:r>
      <w:r>
        <w:rPr>
          <w:rFonts w:ascii="Times New Roman" w:hAnsi="Times New Roman" w:cs="Times New Roman"/>
          <w:color w:val="000000" w:themeColor="text1"/>
        </w:rPr>
        <w:t>3</w:t>
      </w:r>
      <w:r w:rsidRPr="0043305B">
        <w:rPr>
          <w:rFonts w:ascii="Times New Roman" w:hAnsi="Times New Roman" w:cs="Times New Roman"/>
          <w:color w:val="000000" w:themeColor="text1"/>
        </w:rPr>
        <w:t xml:space="preserve">). </w:t>
      </w:r>
      <w:r>
        <w:rPr>
          <w:rFonts w:ascii="Times New Roman" w:hAnsi="Times New Roman" w:cs="Times New Roman"/>
          <w:color w:val="000000" w:themeColor="text1"/>
        </w:rPr>
        <w:t>However</w:t>
      </w:r>
      <w:r w:rsidRPr="0043305B">
        <w:rPr>
          <w:rFonts w:ascii="Times New Roman" w:hAnsi="Times New Roman" w:cs="Times New Roman"/>
          <w:color w:val="000000" w:themeColor="text1"/>
        </w:rPr>
        <w:t>, EDGAR’s urban fossil fuel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emissions </w:t>
      </w:r>
      <w:r>
        <w:rPr>
          <w:rFonts w:ascii="Times New Roman" w:hAnsi="Times New Roman" w:cs="Times New Roman"/>
          <w:color w:val="000000" w:themeColor="text1"/>
        </w:rPr>
        <w:t>tend to be</w:t>
      </w:r>
      <w:r w:rsidRPr="0043305B">
        <w:rPr>
          <w:rFonts w:ascii="Times New Roman" w:hAnsi="Times New Roman" w:cs="Times New Roman"/>
          <w:color w:val="000000" w:themeColor="text1"/>
        </w:rPr>
        <w:t xml:space="preserve"> too low (</w:t>
      </w:r>
      <w:r>
        <w:rPr>
          <w:rFonts w:ascii="Times New Roman" w:hAnsi="Times New Roman" w:cs="Times New Roman"/>
          <w:color w:val="000000" w:themeColor="text1"/>
        </w:rPr>
        <w:t xml:space="preserve">MPE = </w:t>
      </w:r>
      <w:r w:rsidRPr="0043305B">
        <w:rPr>
          <w:rFonts w:ascii="Times New Roman" w:hAnsi="Times New Roman" w:cs="Times New Roman"/>
          <w:color w:val="000000" w:themeColor="text1"/>
        </w:rPr>
        <w:t>−2</w:t>
      </w:r>
      <w:r>
        <w:rPr>
          <w:rFonts w:ascii="Times New Roman" w:hAnsi="Times New Roman" w:cs="Times New Roman"/>
          <w:color w:val="000000" w:themeColor="text1"/>
        </w:rPr>
        <w:t>5</w:t>
      </w:r>
      <w:r w:rsidRPr="0043305B">
        <w:rPr>
          <w:rFonts w:ascii="Times New Roman" w:hAnsi="Times New Roman" w:cs="Times New Roman"/>
          <w:color w:val="000000" w:themeColor="text1"/>
        </w:rPr>
        <w:t>%) and ODIAC’s urban total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emissions </w:t>
      </w:r>
      <w:r>
        <w:rPr>
          <w:rFonts w:ascii="Times New Roman" w:hAnsi="Times New Roman" w:cs="Times New Roman"/>
          <w:color w:val="000000" w:themeColor="text1"/>
        </w:rPr>
        <w:t>tend to be</w:t>
      </w:r>
      <w:r w:rsidRPr="0043305B">
        <w:rPr>
          <w:rFonts w:ascii="Times New Roman" w:hAnsi="Times New Roman" w:cs="Times New Roman"/>
          <w:color w:val="000000" w:themeColor="text1"/>
        </w:rPr>
        <w:t xml:space="preserve"> too high (</w:t>
      </w:r>
      <w:r>
        <w:rPr>
          <w:rFonts w:ascii="Times New Roman" w:hAnsi="Times New Roman" w:cs="Times New Roman"/>
          <w:color w:val="000000" w:themeColor="text1"/>
        </w:rPr>
        <w:t>MPE = 19</w:t>
      </w:r>
      <w:r w:rsidRPr="0043305B">
        <w:rPr>
          <w:rFonts w:ascii="Times New Roman" w:hAnsi="Times New Roman" w:cs="Times New Roman"/>
          <w:color w:val="000000" w:themeColor="text1"/>
        </w:rPr>
        <w:t xml:space="preserve">%) compared to our satellite-based estimates (Figure </w:t>
      </w:r>
      <w:r>
        <w:rPr>
          <w:rFonts w:ascii="Times New Roman" w:hAnsi="Times New Roman" w:cs="Times New Roman"/>
          <w:color w:val="000000" w:themeColor="text1"/>
        </w:rPr>
        <w:t>4</w:t>
      </w:r>
      <w:r w:rsidRPr="0043305B">
        <w:rPr>
          <w:rFonts w:ascii="Times New Roman" w:hAnsi="Times New Roman" w:cs="Times New Roman"/>
          <w:color w:val="000000" w:themeColor="text1"/>
        </w:rPr>
        <w:t xml:space="preserve">). Two </w:t>
      </w:r>
      <w:r>
        <w:rPr>
          <w:rFonts w:ascii="Times New Roman" w:hAnsi="Times New Roman" w:cs="Times New Roman"/>
          <w:color w:val="000000" w:themeColor="text1"/>
        </w:rPr>
        <w:t xml:space="preserve">bounding </w:t>
      </w:r>
      <w:r w:rsidRPr="0043305B">
        <w:rPr>
          <w:rFonts w:ascii="Times New Roman" w:hAnsi="Times New Roman" w:cs="Times New Roman"/>
          <w:color w:val="000000" w:themeColor="text1"/>
        </w:rPr>
        <w:t xml:space="preserve">hypotheses </w:t>
      </w:r>
      <w:r>
        <w:rPr>
          <w:rFonts w:ascii="Times New Roman" w:hAnsi="Times New Roman" w:cs="Times New Roman"/>
          <w:color w:val="000000" w:themeColor="text1"/>
        </w:rPr>
        <w:t>to</w:t>
      </w:r>
      <w:r w:rsidRPr="0043305B">
        <w:rPr>
          <w:rFonts w:ascii="Times New Roman" w:hAnsi="Times New Roman" w:cs="Times New Roman"/>
          <w:color w:val="000000" w:themeColor="text1"/>
        </w:rPr>
        <w:t xml:space="preserve"> explain the discrepancy</w:t>
      </w:r>
      <w:r>
        <w:rPr>
          <w:rFonts w:ascii="Times New Roman" w:hAnsi="Times New Roman" w:cs="Times New Roman"/>
          <w:color w:val="000000" w:themeColor="text1"/>
        </w:rPr>
        <w:t xml:space="preserve"> are</w:t>
      </w:r>
      <w:r w:rsidRPr="0043305B">
        <w:rPr>
          <w:rFonts w:ascii="Times New Roman" w:hAnsi="Times New Roman" w:cs="Times New Roman"/>
          <w:color w:val="000000" w:themeColor="text1"/>
        </w:rPr>
        <w:t xml:space="preserve"> 1) EDGAR’s fossil fuel and biofuel emission estimates are accurate and well-captured by our satellite-based approach, while ODIAC overestimates fossil fuel emissions, 2) ODIAC accurately estimates fossil fuel emissions, and our satellite-based method captures the fossil fuel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signal only: i.e.,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plume distinguished using TROPOMI NO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measurements and HYSPLIT trajectories only </w:t>
      </w:r>
      <w:r>
        <w:rPr>
          <w:rFonts w:ascii="Times New Roman" w:hAnsi="Times New Roman" w:cs="Times New Roman"/>
          <w:color w:val="000000" w:themeColor="text1"/>
        </w:rPr>
        <w:t>reflect the</w:t>
      </w:r>
      <w:r w:rsidRPr="0043305B">
        <w:rPr>
          <w:rFonts w:ascii="Times New Roman" w:hAnsi="Times New Roman" w:cs="Times New Roman"/>
          <w:color w:val="000000" w:themeColor="text1"/>
        </w:rPr>
        <w:t xml:space="preserve"> fossil fuel signal</w:t>
      </w:r>
      <w:r>
        <w:rPr>
          <w:rFonts w:ascii="Times New Roman" w:hAnsi="Times New Roman" w:cs="Times New Roman"/>
          <w:color w:val="000000" w:themeColor="text1"/>
        </w:rPr>
        <w:t xml:space="preserve"> </w:t>
      </w:r>
      <w:r w:rsidRPr="0043305B">
        <w:rPr>
          <w:rFonts w:ascii="Times New Roman" w:hAnsi="Times New Roman" w:cs="Times New Roman"/>
          <w:color w:val="000000" w:themeColor="text1"/>
        </w:rPr>
        <w:t xml:space="preserve">due to the lack of spatial variability in </w:t>
      </w:r>
      <w:r>
        <w:rPr>
          <w:rFonts w:ascii="Times New Roman" w:hAnsi="Times New Roman" w:cs="Times New Roman"/>
          <w:color w:val="000000" w:themeColor="text1"/>
        </w:rPr>
        <w:t>X</w:t>
      </w:r>
      <w:r w:rsidRPr="0043305B">
        <w:rPr>
          <w:rFonts w:ascii="Times New Roman" w:hAnsi="Times New Roman" w:cs="Times New Roman"/>
          <w:color w:val="000000" w:themeColor="text1"/>
        </w:rPr>
        <w:t>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w:t>
      </w:r>
      <w:r>
        <w:rPr>
          <w:rFonts w:ascii="Times New Roman" w:hAnsi="Times New Roman" w:cs="Times New Roman"/>
          <w:color w:val="000000" w:themeColor="text1"/>
        </w:rPr>
        <w:t>or NO</w:t>
      </w:r>
      <w:r w:rsidRPr="00804297">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w:t>
      </w:r>
      <w:r w:rsidRPr="0043305B">
        <w:rPr>
          <w:rFonts w:ascii="Times New Roman" w:hAnsi="Times New Roman" w:cs="Times New Roman"/>
          <w:color w:val="000000" w:themeColor="text1"/>
        </w:rPr>
        <w:t>from biofuel combustions</w:t>
      </w:r>
      <w:r w:rsidRPr="00036FEE">
        <w:rPr>
          <w:rFonts w:ascii="Times New Roman" w:hAnsi="Times New Roman" w:cs="Times New Roman"/>
          <w:color w:val="000000" w:themeColor="text1"/>
        </w:rPr>
        <w:t>―</w:t>
      </w:r>
      <w:r>
        <w:rPr>
          <w:rFonts w:ascii="Times New Roman" w:hAnsi="Times New Roman" w:cs="Times New Roman"/>
          <w:color w:val="000000" w:themeColor="text1"/>
        </w:rPr>
        <w:t xml:space="preserve"> a limitation of using XCO</w:t>
      </w:r>
      <w:r w:rsidRPr="00466325">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and NO</w:t>
      </w:r>
      <w:r w:rsidRPr="00466325">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together</w:t>
      </w:r>
      <w:r w:rsidRPr="0043305B">
        <w:rPr>
          <w:rFonts w:ascii="Times New Roman" w:hAnsi="Times New Roman" w:cs="Times New Roman"/>
          <w:color w:val="000000" w:themeColor="text1"/>
        </w:rPr>
        <w:t>. In this second scenario, EDGAR underestimates fossil-fuel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emissions for global cities. The “true” state likely falls</w:t>
      </w:r>
      <w:r>
        <w:rPr>
          <w:rFonts w:ascii="Times New Roman" w:hAnsi="Times New Roman" w:cs="Times New Roman"/>
          <w:color w:val="000000" w:themeColor="text1"/>
        </w:rPr>
        <w:t xml:space="preserve"> </w:t>
      </w:r>
      <w:r w:rsidRPr="0043305B">
        <w:rPr>
          <w:rFonts w:ascii="Times New Roman" w:hAnsi="Times New Roman" w:cs="Times New Roman"/>
          <w:color w:val="000000" w:themeColor="text1"/>
        </w:rPr>
        <w:t>between the</w:t>
      </w:r>
      <w:r>
        <w:rPr>
          <w:rFonts w:ascii="Times New Roman" w:hAnsi="Times New Roman" w:cs="Times New Roman"/>
          <w:color w:val="000000" w:themeColor="text1"/>
        </w:rPr>
        <w:t>se</w:t>
      </w:r>
      <w:r w:rsidRPr="0043305B">
        <w:rPr>
          <w:rFonts w:ascii="Times New Roman" w:hAnsi="Times New Roman" w:cs="Times New Roman"/>
          <w:color w:val="000000" w:themeColor="text1"/>
        </w:rPr>
        <w:t xml:space="preserve"> two </w:t>
      </w:r>
      <w:r>
        <w:rPr>
          <w:rFonts w:ascii="Times New Roman" w:hAnsi="Times New Roman" w:cs="Times New Roman"/>
          <w:color w:val="000000" w:themeColor="text1"/>
        </w:rPr>
        <w:t>bounding</w:t>
      </w:r>
      <w:r w:rsidRPr="0043305B">
        <w:rPr>
          <w:rFonts w:ascii="Times New Roman" w:hAnsi="Times New Roman" w:cs="Times New Roman"/>
          <w:color w:val="000000" w:themeColor="text1"/>
        </w:rPr>
        <w:t xml:space="preserve"> hypotheses, where our satellite method captures fossil fuel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signal </w:t>
      </w:r>
      <w:r w:rsidRPr="0043305B">
        <w:rPr>
          <w:rFonts w:ascii="Times New Roman" w:hAnsi="Times New Roman" w:cs="Times New Roman"/>
          <w:color w:val="000000" w:themeColor="text1"/>
        </w:rPr>
        <w:lastRenderedPageBreak/>
        <w:t>and parts of the biofuel CO</w:t>
      </w:r>
      <w:r w:rsidRPr="0043305B">
        <w:rPr>
          <w:rFonts w:ascii="Times New Roman" w:hAnsi="Times New Roman" w:cs="Times New Roman"/>
          <w:color w:val="000000" w:themeColor="text1"/>
          <w:vertAlign w:val="subscript"/>
        </w:rPr>
        <w:t>2</w:t>
      </w:r>
      <w:r w:rsidRPr="0043305B">
        <w:rPr>
          <w:rFonts w:ascii="Times New Roman" w:hAnsi="Times New Roman" w:cs="Times New Roman"/>
          <w:color w:val="000000" w:themeColor="text1"/>
        </w:rPr>
        <w:t xml:space="preserve"> signal, and both EDGAR and ODIAC possess errors in their fossil fuel (and </w:t>
      </w:r>
      <w:r>
        <w:rPr>
          <w:rFonts w:ascii="Times New Roman" w:hAnsi="Times New Roman" w:cs="Times New Roman"/>
          <w:color w:val="000000" w:themeColor="text1"/>
        </w:rPr>
        <w:t xml:space="preserve">also </w:t>
      </w:r>
      <w:r w:rsidRPr="0043305B">
        <w:rPr>
          <w:rFonts w:ascii="Times New Roman" w:hAnsi="Times New Roman" w:cs="Times New Roman"/>
          <w:color w:val="000000" w:themeColor="text1"/>
        </w:rPr>
        <w:t xml:space="preserve">biofuel for EDGAR) emission estimates. According to EDGAR, cities in North America, Europe, and Central East Asia are less sensitive to these hypotheses </w:t>
      </w:r>
      <w:r>
        <w:rPr>
          <w:rFonts w:ascii="Times New Roman" w:hAnsi="Times New Roman" w:cs="Times New Roman"/>
          <w:color w:val="000000" w:themeColor="text1"/>
        </w:rPr>
        <w:t>since</w:t>
      </w:r>
      <w:r w:rsidRPr="0043305B">
        <w:rPr>
          <w:rFonts w:ascii="Times New Roman" w:hAnsi="Times New Roman" w:cs="Times New Roman"/>
          <w:color w:val="000000" w:themeColor="text1"/>
        </w:rPr>
        <w:t xml:space="preserve"> </w:t>
      </w:r>
      <w:r>
        <w:rPr>
          <w:rFonts w:ascii="Times New Roman" w:hAnsi="Times New Roman" w:cs="Times New Roman"/>
          <w:color w:val="000000" w:themeColor="text1"/>
        </w:rPr>
        <w:t>biofuel contributions are relatively small</w:t>
      </w:r>
      <w:r w:rsidRPr="0043305B">
        <w:rPr>
          <w:rFonts w:ascii="Times New Roman" w:hAnsi="Times New Roman" w:cs="Times New Roman"/>
          <w:color w:val="000000" w:themeColor="text1"/>
        </w:rPr>
        <w:t xml:space="preserve"> (&lt; 15%).</w:t>
      </w:r>
      <w:r>
        <w:rPr>
          <w:rFonts w:ascii="Times New Roman" w:hAnsi="Times New Roman" w:cs="Times New Roman"/>
          <w:color w:val="000000" w:themeColor="text1"/>
        </w:rPr>
        <w:t xml:space="preserve"> In contrast, biofuel emissions account for a larger share (~37%) of total emissions for c</w:t>
      </w:r>
      <w:r w:rsidRPr="0043305B">
        <w:rPr>
          <w:rFonts w:ascii="Times New Roman" w:hAnsi="Times New Roman" w:cs="Times New Roman"/>
          <w:color w:val="000000" w:themeColor="text1"/>
        </w:rPr>
        <w:t>ities in Latin America and Africa</w:t>
      </w:r>
      <w:r>
        <w:rPr>
          <w:rFonts w:ascii="Times New Roman" w:hAnsi="Times New Roman" w:cs="Times New Roman"/>
          <w:color w:val="000000" w:themeColor="text1"/>
        </w:rPr>
        <w:t>, making these regions more sensitive to the hypotheses.</w:t>
      </w:r>
    </w:p>
    <w:p w14:paraId="6792BBC2"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To better distinguish fossil fuel and biofuel CO</w:t>
      </w:r>
      <w:r w:rsidRPr="000B42AB">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surrounding urban areas, future efforts should</w:t>
      </w:r>
      <w:r w:rsidRPr="00021432">
        <w:rPr>
          <w:rFonts w:ascii="Times New Roman" w:hAnsi="Times New Roman" w:cs="Times New Roman"/>
          <w:color w:val="000000" w:themeColor="text1"/>
        </w:rPr>
        <w:t xml:space="preserve"> incorpora</w:t>
      </w:r>
      <w:r>
        <w:rPr>
          <w:rFonts w:ascii="Times New Roman" w:hAnsi="Times New Roman" w:cs="Times New Roman"/>
          <w:color w:val="000000" w:themeColor="text1"/>
        </w:rPr>
        <w:t>te</w:t>
      </w:r>
      <w:r w:rsidRPr="00021432">
        <w:rPr>
          <w:rFonts w:ascii="Times New Roman" w:hAnsi="Times New Roman" w:cs="Times New Roman"/>
          <w:color w:val="000000" w:themeColor="text1"/>
        </w:rPr>
        <w:t xml:space="preserve"> atmospheric observations of other trace gases, such as </w:t>
      </w:r>
      <w:r>
        <w:rPr>
          <w:rFonts w:ascii="Times New Roman" w:hAnsi="Times New Roman" w:cs="Times New Roman"/>
          <w:color w:val="000000" w:themeColor="text1"/>
        </w:rPr>
        <w:t>c</w:t>
      </w:r>
      <w:r w:rsidRPr="00021432">
        <w:rPr>
          <w:rFonts w:ascii="Times New Roman" w:hAnsi="Times New Roman" w:cs="Times New Roman"/>
          <w:color w:val="000000" w:themeColor="text1"/>
        </w:rPr>
        <w:t xml:space="preserve">arbon monoxide (CO), </w:t>
      </w:r>
      <w:r>
        <w:rPr>
          <w:rFonts w:ascii="Times New Roman" w:hAnsi="Times New Roman" w:cs="Times New Roman"/>
          <w:color w:val="000000" w:themeColor="text1"/>
        </w:rPr>
        <w:t>b</w:t>
      </w:r>
      <w:r w:rsidRPr="00021432">
        <w:rPr>
          <w:rFonts w:ascii="Times New Roman" w:hAnsi="Times New Roman" w:cs="Times New Roman"/>
          <w:color w:val="000000" w:themeColor="text1"/>
        </w:rPr>
        <w:t xml:space="preserve">lack </w:t>
      </w:r>
      <w:r>
        <w:rPr>
          <w:rFonts w:ascii="Times New Roman" w:hAnsi="Times New Roman" w:cs="Times New Roman"/>
          <w:color w:val="000000" w:themeColor="text1"/>
        </w:rPr>
        <w:t>c</w:t>
      </w:r>
      <w:r w:rsidRPr="00021432">
        <w:rPr>
          <w:rFonts w:ascii="Times New Roman" w:hAnsi="Times New Roman" w:cs="Times New Roman"/>
          <w:color w:val="000000" w:themeColor="text1"/>
        </w:rPr>
        <w:t xml:space="preserve">arbon (BC), or </w:t>
      </w:r>
      <w:r>
        <w:rPr>
          <w:rFonts w:ascii="Times New Roman" w:hAnsi="Times New Roman" w:cs="Times New Roman"/>
          <w:color w:val="000000" w:themeColor="text1"/>
        </w:rPr>
        <w:t>p</w:t>
      </w:r>
      <w:r w:rsidRPr="00021432">
        <w:rPr>
          <w:rFonts w:ascii="Times New Roman" w:hAnsi="Times New Roman" w:cs="Times New Roman"/>
          <w:color w:val="000000" w:themeColor="text1"/>
        </w:rPr>
        <w:t xml:space="preserve">rimary organic aerosols (POA) as an indicator of biomass burning </w:t>
      </w:r>
      <w:r w:rsidRPr="00021432">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{"citationID":"fezS9IX5","properties":{"formattedCitation":"(Andreae, 2019)","plainCitation":"(Andreae, 2019)","noteIndex":0},"citationItems":[{"id":691,"uris":["http://zotero.org/users/12959951/items/UXIJAVBQ"],"itemData":{"id":691,"type":"article-journal","container-title":"Atmospheric Chemistry and Physics","DOI":"10.5194/acp-19-8523-2019","issue":"13","page":"8523–8546","title":"Emission of trace gases and aerosols from biomass burning – an updated assessment","volume":"19","author":[{"family":"Andreae","given":"M. O."}],"issued":{"date-parts":[["2019"]]}}}],"schema":"https://github.com/citation-style-language/schema/raw/master/csl-citation.json"} </w:instrText>
      </w:r>
      <w:r w:rsidRPr="00021432">
        <w:rPr>
          <w:rFonts w:ascii="Times New Roman" w:hAnsi="Times New Roman" w:cs="Times New Roman"/>
          <w:color w:val="000000" w:themeColor="text1"/>
        </w:rPr>
        <w:fldChar w:fldCharType="separate"/>
      </w:r>
      <w:r>
        <w:rPr>
          <w:rFonts w:ascii="Times New Roman" w:hAnsi="Times New Roman" w:cs="Times New Roman"/>
        </w:rPr>
        <w:t>(Andreae, 2019)</w:t>
      </w:r>
      <w:r w:rsidRPr="00021432">
        <w:rPr>
          <w:rFonts w:ascii="Times New Roman" w:hAnsi="Times New Roman" w:cs="Times New Roman"/>
          <w:color w:val="000000" w:themeColor="text1"/>
        </w:rPr>
        <w:fldChar w:fldCharType="end"/>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targeted cities, </w:t>
      </w:r>
      <w:r>
        <w:rPr>
          <w:rFonts w:ascii="Times New Roman" w:hAnsi="Times New Roman" w:cs="Times New Roman"/>
        </w:rPr>
        <w:t>analyzing satellite observations via</w:t>
      </w:r>
      <w:r w:rsidRPr="003F37A5">
        <w:rPr>
          <w:rFonts w:ascii="Times New Roman" w:hAnsi="Times New Roman" w:cs="Times New Roman"/>
        </w:rPr>
        <w:t xml:space="preserve"> </w:t>
      </w:r>
      <w:r>
        <w:rPr>
          <w:rFonts w:ascii="Times New Roman" w:hAnsi="Times New Roman" w:cs="Times New Roman"/>
        </w:rPr>
        <w:t xml:space="preserve">a </w:t>
      </w:r>
      <w:r w:rsidRPr="003F37A5">
        <w:rPr>
          <w:rFonts w:ascii="Times New Roman" w:hAnsi="Times New Roman" w:cs="Times New Roman"/>
        </w:rPr>
        <w:t>Bayesian inversion and high-resolution transport modeling</w:t>
      </w:r>
      <w:r>
        <w:rPr>
          <w:rFonts w:ascii="Times New Roman" w:hAnsi="Times New Roman" w:cs="Times New Roman"/>
        </w:rPr>
        <w:t xml:space="preserve"> can help refine our understanding of urban CO</w:t>
      </w:r>
      <w:r w:rsidRPr="0058635E">
        <w:rPr>
          <w:rFonts w:ascii="Times New Roman" w:hAnsi="Times New Roman" w:cs="Times New Roman"/>
          <w:vertAlign w:val="subscript"/>
        </w:rPr>
        <w:t>2</w:t>
      </w:r>
      <w:r>
        <w:rPr>
          <w:rFonts w:ascii="Times New Roman" w:hAnsi="Times New Roman" w:cs="Times New Roman"/>
        </w:rPr>
        <w:t xml:space="preserve"> sources </w:t>
      </w:r>
      <w:r>
        <w:rPr>
          <w:rFonts w:ascii="Times New Roman" w:hAnsi="Times New Roman" w:cs="Times New Roman"/>
        </w:rPr>
        <w:fldChar w:fldCharType="begin"/>
      </w:r>
      <w:r>
        <w:rPr>
          <w:rFonts w:ascii="Times New Roman" w:hAnsi="Times New Roman" w:cs="Times New Roman"/>
        </w:rPr>
        <w:instrText xml:space="preserve"> ADDIN ZOTERO_ITEM CSL_CITATION {"citationID":"pIzlb4iP","properties":{"formattedCitation":"(Hedelius et al., 2018; Roten et al., 2023; Wu et al., 2022; Ye et al., 2020)","plainCitation":"(Hedelius et al., 2018; Roten et al., 2023; Wu et al., 2022; Ye et al., 2020)","noteIndex":0},"citationItems":[{"id":798,"uris":["http://zotero.org/users/12959951/items/HAMJ6R8G"],"itemData":{"id":798,"type":"article-journal","container-title":"Atmospheric Chemistry and Physics","DOI":"10.5194/acp-18-16271-2018","issue":"22","page":"16271–16291","title":"Southern California megacity \\chemCO_2, \\chemCH_4, and CO flux estimates using ground- and space-based remote sensing and a Lagrangian model","volume":"18","author":[{"family":"Hedelius","given":"J. K."},{"family":"Liu","given":"J."},{"family":"Oda","given":"T."},{"family":"Maksyutov","given":"S."},{"family":"Roehl","given":"C. M."},{"family":"Iraci","given":"L. T."},{"family":"Podolske","given":"J. R."},{"family":"Hillyard","given":"P. W."},{"family":"Liang","given":"J."},{"family":"Gurney","given":"K. R."},{"family":"Wunch","given":"D."},{"family":"Wennberg","given":"P. O."}],"issued":{"date-parts":[["2018"]]}}},{"id":554,"uris":["http://zotero.org/users/12959951/items/XGV5R8V3"],"itemData":{"id":554,"type":"article-journal","abstract":"Abstract The concentration of carbon dioxide (CO2) in Earth's atmosphere is increasing due to human activities and the resulting effects on the global climate system have initiated several policy-driven approaches to reduce emissions of this greenhouse gas. Quantifying the effectiveness of such policies requires both bottom-up and top-down approaches to estimate CO2 emissions. This work investigates, for the first time, the potential of using Snapshot Area Map observations from NASA's OCO-3 instrument to disaggregate sector-specific emissions from instrument observations. Optimized sector-specific timeseries were produced using Bayesian inversion techniques and compared to proxy activity data from transportation, commercial maritime, and industrial sectors in the Los Angeles Basin. Results demonstrate that dense space-based observations of atmospheric CO2 are capable of disentangling sector-specific CO2 fluxes, paving the way for accurate monitoring of the effects of carbon-reduction policies and operational carbon monitoring systems.","container-title":"Geophysical Research Letters","DOI":"https://doi.org/10.1029/2023GL104376","issue":"21","note":"_eprint: https://agupubs.onlinelibrary.wiley.com/doi/pdf/10.1029/2023GL104376","page":"e2023GL104376","title":"Constraining Sector-Specific CO2 Fluxes Using Space-Based XCO2 Observations Over the Los Angeles Basin","volume":"50","author":[{"family":"Roten","given":"Dustin"},{"family":"Lin","given":"John C."},{"family":"Das","given":"Saswati"},{"family":"Kort","given":"Eric A."}],"issued":{"date-parts":[["2023"]]}}},{"id":507,"uris":["http://zotero.org/users/12959951/items/IKK9F4ZU"],"itemData":{"id":507,"type":"article-journal","container-title":"Atmospheric Chemistry and Physics","DOI":"10</w:instrText>
      </w:r>
      <w:r>
        <w:rPr>
          <w:rFonts w:ascii="Times New Roman" w:hAnsi="Times New Roman" w:cs="Times New Roman" w:hint="eastAsia"/>
        </w:rPr>
        <w:instrText>.5194/acp-22-14547-2022","issue":"22","page":"14547</w:instrText>
      </w:r>
      <w:r>
        <w:rPr>
          <w:rFonts w:ascii="Times New Roman" w:hAnsi="Times New Roman" w:cs="Times New Roman" w:hint="eastAsia"/>
        </w:rPr>
        <w:instrText>–</w:instrText>
      </w:r>
      <w:r>
        <w:rPr>
          <w:rFonts w:ascii="Times New Roman" w:hAnsi="Times New Roman" w:cs="Times New Roman" w:hint="eastAsia"/>
        </w:rPr>
        <w:instrText>14570","title":"Towards sector-based attribution using intra-city variations in satellite-based emission ratios between CO</w:instrText>
      </w:r>
      <w:r>
        <w:rPr>
          <w:rFonts w:ascii="Times New Roman" w:hAnsi="Times New Roman" w:cs="Times New Roman" w:hint="eastAsia"/>
        </w:rPr>
        <w:instrText>₂</w:instrText>
      </w:r>
      <w:r>
        <w:rPr>
          <w:rFonts w:ascii="Times New Roman" w:hAnsi="Times New Roman" w:cs="Times New Roman" w:hint="eastAsia"/>
        </w:rPr>
        <w:instrText xml:space="preserve"> and CO","volume":"22","author":[{"family":"Wu","given":"D."},{"family":"Liu","g</w:instrText>
      </w:r>
      <w:r>
        <w:rPr>
          <w:rFonts w:ascii="Times New Roman" w:hAnsi="Times New Roman" w:cs="Times New Roman"/>
        </w:rPr>
        <w:instrText xml:space="preserve">iven":"J."},{"family":"Wennberg","given":"P. O."},{"family":"Palmer","given":"P. I."},{"family":"Nelson","given":"R. R."},{"family":"Kiel","given":"M."},{"family":"Eldering","given":"A."}],"issued":{"date-parts":[["2022"]]}},"label":"page","suppress-author":true,"prefix":"Wu et al., "},{"id":540,"uris":["http://zotero.org/users/12959951/items/7CV3BI9Q"],"itemData":{"id":540,"type":"article-journal","abstract":"Abstract Satellite observations of the total column dry-air CO2 (XCO2) are expected to support the quantification and monitoring of fossil fuel CO2 (ffCO2) emissions from urban areas. We evaluate the utility of the Orbiting Carbon Observatory 2 (OCO-2) XCO2 retrievals to optimize whole-city emissions, using a Bayesian inversion system and high-resolution transport modeling. The uncertainties of constrained emissions related to transport model, satellite measurements, and local biospheric fluxes are quantified. For the first two uncertainty sources, we examine cities of different landscapes: “plume city” located in relatively flat terrain, represented by Riyadh and Cairo; and “basin city” located in basin terrain, represented by Los Angeles (LA). The retrieved scaling factors of emissions and their uncertainties show prominent variabilities from track to track, due to the varying meteorological conditions and relative locations of the tracks transecting plumes. To explore the performance of multiple tracks in retrieving emissions, pseudo data experiments are carried out. The estimated least numbers of tracks required to constrain the total emissions for Riyadh (&lt;10% uncertainty), Cairo (&lt;10%), and LA (&lt;5%) are 8, 5, and 7, respectively. Additionally, to evaluate the impact of biospheric fluxes on derivation of the ffXCO2 enhancements, we conduct simulations for Pearl River Delta metropolitan area. Significant fractions of local XCO2 enhancements associated with local biospheric XCO2 variations are shown, which potentially lead to biased estimates of ffCO2 emissions. We demonstrate that satellite measurements can be used to improve urban ffCO2 emissions with a sufficient amount of measurements and appropriate representations of the uncertainty components.","container-title":"Journal of Geophysical Research: Atmospheres","DOI":"https://doi.org/10.1029/2019JD030528","issue":"8","note":"_eprint: https://agupubs.onlinelibrary.wiley.com/doi/pdf/10.1029/2019JD030528","page":"e2019JD030528","title":"Constraining Fossil Fuel CO2 Emissions From Urban Area Using OCO-2 Observations of Total Column CO2","volume":"125","author":[{"family":"Ye","given":"Xinxin"},{"family":"Lauvaux","given":"Thomas"},{"family":"Kort","given":"Eric A."},{"family":"Oda","given":"Tomohiro"},{"family":"Feng","given":"Sha"},{"family":"Lin","given":"John C."},{"family":"Yang","given":"Emily G."},{"family":"Wu","given":"Dien"}],"issued":{"date-parts":[["2020"]]}},"label":"page"}],"schema":"https://github.com/citation-style-language/schema/raw/master/csl-citation.json"}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(Hedelius et al., 2018; Roten et al., 2023; Wu et al., 2022; Ye et al., 2020)</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color w:val="000000" w:themeColor="text1"/>
        </w:rPr>
        <w:t xml:space="preserve">For example, </w:t>
      </w:r>
      <w:r w:rsidRPr="00021432">
        <w:rPr>
          <w:rFonts w:ascii="Times New Roman" w:hAnsi="Times New Roman" w:cs="Times New Roman"/>
        </w:rPr>
        <w:t xml:space="preserve">Wu et al. </w:t>
      </w:r>
      <w:r w:rsidRPr="00021432">
        <w:rPr>
          <w:rFonts w:ascii="Times New Roman" w:hAnsi="Times New Roman" w:cs="Times New Roman"/>
        </w:rPr>
        <w:fldChar w:fldCharType="begin"/>
      </w:r>
      <w:r>
        <w:rPr>
          <w:rFonts w:ascii="Times New Roman" w:hAnsi="Times New Roman" w:cs="Times New Roman"/>
        </w:rPr>
        <w:instrText xml:space="preserve"> ADDIN ZOTERO_ITEM CSL_CITATION {"citationID":"ei3JT9p6","properties":{"formattedCitation":"(2022)","plainCitation":"(2022)","noteIndex":0},"citationItems":[{"id":507,"uris":["http://zotero.org/users/12959951/items/IKK9F4ZU"],"itemData":{"id":507,"type":"</w:instrText>
      </w:r>
      <w:r>
        <w:rPr>
          <w:rFonts w:ascii="Times New Roman" w:hAnsi="Times New Roman" w:cs="Times New Roman" w:hint="eastAsia"/>
        </w:rPr>
        <w:instrText>article-journal","container-title":"Atmospheric Chemistry and Physics","DOI":"10.5194/acp-22-14547-2022","issue":"22","page":"14547</w:instrText>
      </w:r>
      <w:r>
        <w:rPr>
          <w:rFonts w:ascii="Times New Roman" w:hAnsi="Times New Roman" w:cs="Times New Roman" w:hint="eastAsia"/>
        </w:rPr>
        <w:instrText>–</w:instrText>
      </w:r>
      <w:r>
        <w:rPr>
          <w:rFonts w:ascii="Times New Roman" w:hAnsi="Times New Roman" w:cs="Times New Roman" w:hint="eastAsia"/>
        </w:rPr>
        <w:instrText>14570","title":"Towards sector-based attribution using intra-city variations in satellite-based emission ratios between CO</w:instrText>
      </w:r>
      <w:r>
        <w:rPr>
          <w:rFonts w:ascii="Times New Roman" w:hAnsi="Times New Roman" w:cs="Times New Roman" w:hint="eastAsia"/>
        </w:rPr>
        <w:instrText>₂</w:instrText>
      </w:r>
      <w:r>
        <w:rPr>
          <w:rFonts w:ascii="Times New Roman" w:hAnsi="Times New Roman" w:cs="Times New Roman"/>
        </w:rPr>
        <w:instrText xml:space="preserve"> and CO","volume":"22","author":[{"family":"Wu","given":"D."},{"family":"Liu","given":"J."},{"family":"Wennberg","given":"P. O."},{"family":"Palmer","given":"P. I."},{"family":"Nelson","given":"R. R."},{"family":"Kiel","given":"M."},{"family":"Eldering","given":"A."}],"issued":{"date-parts":[["2022"]]}},"label":"page","suppress-author":true}],"schema":"https://github.com/citation-style-language/schema/raw/master/csl-citation.json"} </w:instrText>
      </w:r>
      <w:r w:rsidRPr="00021432">
        <w:rPr>
          <w:rFonts w:ascii="Times New Roman" w:hAnsi="Times New Roman" w:cs="Times New Roman"/>
        </w:rPr>
        <w:fldChar w:fldCharType="separate"/>
      </w:r>
      <w:r>
        <w:rPr>
          <w:rFonts w:ascii="Times New Roman" w:hAnsi="Times New Roman" w:cs="Times New Roman"/>
        </w:rPr>
        <w:t>(2022)</w:t>
      </w:r>
      <w:r w:rsidRPr="00021432">
        <w:rPr>
          <w:rFonts w:ascii="Times New Roman" w:hAnsi="Times New Roman" w:cs="Times New Roman"/>
        </w:rPr>
        <w:fldChar w:fldCharType="end"/>
      </w:r>
      <w:r w:rsidRPr="00021432">
        <w:rPr>
          <w:rFonts w:ascii="Times New Roman" w:hAnsi="Times New Roman" w:cs="Times New Roman"/>
        </w:rPr>
        <w:t xml:space="preserve"> estimated combustion efficienc</w:t>
      </w:r>
      <w:r>
        <w:rPr>
          <w:rFonts w:ascii="Times New Roman" w:hAnsi="Times New Roman" w:cs="Times New Roman"/>
        </w:rPr>
        <w:t>ies</w:t>
      </w:r>
      <w:r w:rsidRPr="00021432">
        <w:rPr>
          <w:rFonts w:ascii="Times New Roman" w:hAnsi="Times New Roman" w:cs="Times New Roman"/>
        </w:rPr>
        <w:t xml:space="preserve"> (i.e., CO-to-CO</w:t>
      </w:r>
      <w:r w:rsidRPr="00021432">
        <w:rPr>
          <w:rFonts w:ascii="Times New Roman" w:hAnsi="Times New Roman" w:cs="Times New Roman"/>
          <w:vertAlign w:val="subscript"/>
        </w:rPr>
        <w:t>2</w:t>
      </w:r>
      <w:r w:rsidRPr="00021432">
        <w:rPr>
          <w:rFonts w:ascii="Times New Roman" w:hAnsi="Times New Roman" w:cs="Times New Roman"/>
        </w:rPr>
        <w:t xml:space="preserve"> ratio) at sub-city scales for Baotou, Zibo, Shanghai, and L</w:t>
      </w:r>
      <w:r>
        <w:rPr>
          <w:rFonts w:ascii="Times New Roman" w:hAnsi="Times New Roman" w:cs="Times New Roman"/>
        </w:rPr>
        <w:t xml:space="preserve">os </w:t>
      </w:r>
      <w:r w:rsidRPr="00021432">
        <w:rPr>
          <w:rFonts w:ascii="Times New Roman" w:hAnsi="Times New Roman" w:cs="Times New Roman"/>
        </w:rPr>
        <w:t>A</w:t>
      </w:r>
      <w:r>
        <w:rPr>
          <w:rFonts w:ascii="Times New Roman" w:hAnsi="Times New Roman" w:cs="Times New Roman"/>
        </w:rPr>
        <w:t>ngeles</w:t>
      </w:r>
      <w:r w:rsidRPr="00021432">
        <w:rPr>
          <w:rFonts w:ascii="Times New Roman" w:hAnsi="Times New Roman" w:cs="Times New Roman"/>
        </w:rPr>
        <w:t xml:space="preserve"> using</w:t>
      </w:r>
      <w:r>
        <w:rPr>
          <w:rFonts w:ascii="Times New Roman" w:hAnsi="Times New Roman" w:cs="Times New Roman"/>
        </w:rPr>
        <w:t xml:space="preserve"> the</w:t>
      </w:r>
      <w:r w:rsidRPr="00021432">
        <w:rPr>
          <w:rFonts w:ascii="Times New Roman" w:hAnsi="Times New Roman" w:cs="Times New Roman"/>
        </w:rPr>
        <w:t xml:space="preserve"> </w:t>
      </w:r>
      <w:r>
        <w:rPr>
          <w:rFonts w:ascii="Times New Roman" w:hAnsi="Times New Roman" w:cs="Times New Roman"/>
        </w:rPr>
        <w:t xml:space="preserve">X-STILT, </w:t>
      </w:r>
      <w:r w:rsidRPr="00021432">
        <w:rPr>
          <w:rFonts w:ascii="Times New Roman" w:hAnsi="Times New Roman" w:cs="Times New Roman"/>
        </w:rPr>
        <w:t>OCO-3 XCO</w:t>
      </w:r>
      <w:r w:rsidRPr="00021432">
        <w:rPr>
          <w:rFonts w:ascii="Times New Roman" w:hAnsi="Times New Roman" w:cs="Times New Roman"/>
          <w:vertAlign w:val="subscript"/>
        </w:rPr>
        <w:t>2</w:t>
      </w:r>
      <w:r w:rsidRPr="00021432">
        <w:rPr>
          <w:rFonts w:ascii="Times New Roman" w:hAnsi="Times New Roman" w:cs="Times New Roman"/>
        </w:rPr>
        <w:t>, and TROPOMI CO data.</w:t>
      </w:r>
      <w:r>
        <w:rPr>
          <w:rFonts w:ascii="Times New Roman" w:hAnsi="Times New Roman" w:cs="Times New Roman"/>
        </w:rPr>
        <w:t xml:space="preserve"> </w:t>
      </w:r>
      <w:r w:rsidRPr="00021432">
        <w:rPr>
          <w:rFonts w:ascii="Times New Roman" w:hAnsi="Times New Roman" w:cs="Times New Roman"/>
          <w:color w:val="000000" w:themeColor="text1"/>
        </w:rPr>
        <w:t xml:space="preserve">Roten et al. </w:t>
      </w:r>
      <w:r w:rsidRPr="00021432">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{"citationID":"U1VLBA1E","properties":{"formattedCitation":"(2023)","plainCitation":"(2023)","noteIndex":0},"citationItems":[{"id":554,"uris":["http://zotero.org/users/12959951/items/XGV5R8V3"],"itemData":{"id":554,"type":"article-journal","abstract":"Abstract The concentration of carbon dioxide (CO2) in Earth's atmosphere is increasing due to human activities and the resulting effects on the global climate system have initiated several policy-driven approaches to reduce emissions of this greenhouse gas. Quantifying the effectiveness of such policies requires both bottom-up and top-down approaches to estimate CO2 emissions. This work investigates, for the first time, the potential of using Snapshot Area Map observations from NASA's OCO-3 instrument to disaggregate sector-specific emissions from instrument observations. Optimized sector-specific timeseries were produced using Bayesian inversion techniques and compared to proxy activity data from transportation, commercial maritime, and industrial sectors in the Los Angeles Basin. Results demonstrate that dense space-based observations of atmospheric CO2 are capable of disentangling sector-specific CO2 fluxes, paving the way for accurate monitoring of the effects of carbon-reduction policies and operational carbon monitoring systems.","container-title":"Geophysical Research Letters","DOI":"https://doi.org/10.1029/2023GL104376","issue":"21","note":"_eprint: https://agupubs.onlinelibrary.wiley.com/doi/pdf/10.1029/2023GL104376","page":"e2023GL104376","title":"Constraining Sector-Specific CO2 Fluxes Using Space-Based XCO2 Observations Over the Los Angeles Basin","volume":"50","author":[{"family":"Roten","given":"Dustin"},{"family":"Lin","given":"John C."},{"family":"Das","given":"Saswati"},{"family":"Kort","given":"Eric A."}],"issued":{"date-parts":[["2023"]]}},"label":"page","suppress-author":true}],"schema":"https://github.com/citation-style-language/schema/raw/master/csl-citation.json"} </w:instrText>
      </w:r>
      <w:r w:rsidRPr="00021432">
        <w:rPr>
          <w:rFonts w:ascii="Times New Roman" w:hAnsi="Times New Roman" w:cs="Times New Roman"/>
          <w:color w:val="000000" w:themeColor="text1"/>
        </w:rPr>
        <w:fldChar w:fldCharType="separate"/>
      </w:r>
      <w:r>
        <w:rPr>
          <w:rFonts w:ascii="Times New Roman" w:hAnsi="Times New Roman" w:cs="Times New Roman"/>
        </w:rPr>
        <w:t>(2023)</w:t>
      </w:r>
      <w:r w:rsidRPr="00021432">
        <w:rPr>
          <w:rFonts w:ascii="Times New Roman" w:hAnsi="Times New Roman" w:cs="Times New Roman"/>
          <w:color w:val="000000" w:themeColor="text1"/>
        </w:rPr>
        <w:fldChar w:fldCharType="end"/>
      </w:r>
      <w:r w:rsidRPr="0002143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demonstrated the potential </w:t>
      </w:r>
      <w:r w:rsidRPr="00021432">
        <w:rPr>
          <w:rFonts w:ascii="Times New Roman" w:hAnsi="Times New Roman" w:cs="Times New Roman"/>
          <w:color w:val="000000" w:themeColor="text1"/>
        </w:rPr>
        <w:t>to constrain sector-specific 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emissions from Los Angeles by interpreting OCO-3 SAMs with </w:t>
      </w:r>
      <w:r>
        <w:rPr>
          <w:rFonts w:ascii="Times New Roman" w:hAnsi="Times New Roman" w:cs="Times New Roman"/>
          <w:color w:val="000000" w:themeColor="text1"/>
        </w:rPr>
        <w:t xml:space="preserve">a </w:t>
      </w:r>
      <w:r w:rsidRPr="00021432">
        <w:rPr>
          <w:rFonts w:ascii="Times New Roman" w:hAnsi="Times New Roman" w:cs="Times New Roman"/>
          <w:color w:val="000000" w:themeColor="text1"/>
        </w:rPr>
        <w:t>Bayesian inversion</w:t>
      </w:r>
      <w:r>
        <w:rPr>
          <w:rFonts w:ascii="Times New Roman" w:hAnsi="Times New Roman" w:cs="Times New Roman"/>
          <w:color w:val="000000" w:themeColor="text1"/>
        </w:rPr>
        <w:t xml:space="preserve"> technique</w:t>
      </w:r>
      <w:r w:rsidRPr="00021432">
        <w:rPr>
          <w:rFonts w:ascii="Times New Roman" w:hAnsi="Times New Roman" w:cs="Times New Roman"/>
          <w:color w:val="000000" w:themeColor="text1"/>
        </w:rPr>
        <w:t>, sector-specific a priori CO</w:t>
      </w:r>
      <w:r w:rsidRPr="00021432">
        <w:rPr>
          <w:rFonts w:ascii="Times New Roman" w:hAnsi="Times New Roman" w:cs="Times New Roman"/>
          <w:color w:val="000000" w:themeColor="text1"/>
          <w:vertAlign w:val="subscript"/>
        </w:rPr>
        <w:t>2</w:t>
      </w:r>
      <w:r w:rsidRPr="00021432">
        <w:rPr>
          <w:rFonts w:ascii="Times New Roman" w:hAnsi="Times New Roman" w:cs="Times New Roman"/>
          <w:color w:val="000000" w:themeColor="text1"/>
        </w:rPr>
        <w:t xml:space="preserve"> flux map (VULC</w:t>
      </w:r>
      <w:r>
        <w:rPr>
          <w:rFonts w:ascii="Times New Roman" w:hAnsi="Times New Roman" w:cs="Times New Roman"/>
          <w:color w:val="000000" w:themeColor="text1"/>
        </w:rPr>
        <w:t>A</w:t>
      </w:r>
      <w:r w:rsidRPr="00021432">
        <w:rPr>
          <w:rFonts w:ascii="Times New Roman" w:hAnsi="Times New Roman" w:cs="Times New Roman"/>
          <w:color w:val="000000" w:themeColor="text1"/>
        </w:rPr>
        <w:t xml:space="preserve">N), X-STILT, and 3-km </w:t>
      </w:r>
      <w:r>
        <w:rPr>
          <w:rFonts w:ascii="Times New Roman" w:hAnsi="Times New Roman" w:cs="Times New Roman"/>
          <w:color w:val="000000" w:themeColor="text1"/>
        </w:rPr>
        <w:t xml:space="preserve">resolution </w:t>
      </w:r>
      <w:r w:rsidRPr="00021432">
        <w:rPr>
          <w:rFonts w:ascii="Times New Roman" w:hAnsi="Times New Roman" w:cs="Times New Roman"/>
          <w:color w:val="000000" w:themeColor="text1"/>
        </w:rPr>
        <w:t xml:space="preserve">meteorological data. </w:t>
      </w:r>
    </w:p>
    <w:p w14:paraId="033A025B"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Moving forward, a collective effort is needed to catalogue and integrate various urban emission datasets―including satellite-derived emission datasets at the global scale (this study), high-resolution inversion modeling for targeted cities, gridded emission datasets (i.e., EDGAR and ODIAC), and local emissions inventory (e.g., GPC)― to support global cities in achieving their net-zero pledges efficiently and effectively.</w:t>
      </w:r>
    </w:p>
    <w:p w14:paraId="637920B8" w14:textId="77777777" w:rsidR="00BF0126" w:rsidRPr="00B07074" w:rsidRDefault="00BF0126" w:rsidP="00BF0126">
      <w:pPr>
        <w:pStyle w:val="Heading-Secondary"/>
        <w:ind w:left="0"/>
        <w:rPr>
          <w:b/>
          <w:bCs w:val="0"/>
        </w:rPr>
      </w:pPr>
      <w:r w:rsidRPr="00B07074">
        <w:rPr>
          <w:b/>
          <w:bCs w:val="0"/>
        </w:rPr>
        <w:t>4.2. In-boundary vs. Out-of-boundary Emissions</w:t>
      </w:r>
    </w:p>
    <w:p w14:paraId="38E90D83"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Satellite-based CO</w:t>
      </w:r>
      <w:r w:rsidRPr="00536987">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 estimates cover emissions within a city’ geographical domain, commonly referred to as Scope 1 emissions. In contrast, the GPC emissions inventory―the standard emission tracking method for C40 Cities― also covers emissions occurring outside of the city’s geographical domain (Scope 2+3). Such out-of-boundary emissions include grid-supplied energy consumption (Scope 2) and out-of-boundary waste &amp; water emissions (Scope 3). To enable a direct comparison between satellite-based emission datasets and GPC inventories, a translation between Scope 1 and Scope 1+2+3 is necessary. Since satellite sensors cannot track out-of-boundary emissions (e.g., grid-supplied energy), a more practical approach is to scale down GPC inventories (Scope 1+2+3) to Scope 1 emissions.</w:t>
      </w:r>
    </w:p>
    <w:p w14:paraId="5FB81CD3"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color w:val="000000" w:themeColor="text1"/>
        </w:rPr>
        <w:t>Figure 6 shows the percentage of Scope 1 CO</w:t>
      </w:r>
      <w:r w:rsidRPr="00923768">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emissions relative to total GHG emissions (seven GHGs across Scope 1+2+3) reported by C40 cities. On average, Latin American cities have the highest Scope 1 CO</w:t>
      </w:r>
      <w:r w:rsidRPr="00BF4BB3">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percentage (78%), followed by North America (72%), Europe (62%), South &amp; West Asia (</w:t>
      </w:r>
      <w:r w:rsidRPr="00021432">
        <w:rPr>
          <w:rFonts w:ascii="Times New Roman" w:eastAsia="Times New Roman" w:hAnsi="Times New Roman" w:cs="Times New Roman"/>
        </w:rPr>
        <w:t>annual CO</w:t>
      </w:r>
      <w:r w:rsidRPr="00021432">
        <w:rPr>
          <w:rFonts w:ascii="Times New Roman" w:eastAsia="Times New Roman" w:hAnsi="Times New Roman" w:cs="Times New Roman"/>
          <w:vertAlign w:val="subscript"/>
        </w:rPr>
        <w:t>2</w:t>
      </w:r>
      <w:r w:rsidRPr="00021432">
        <w:rPr>
          <w:rFonts w:ascii="Times New Roman" w:eastAsia="Times New Roman" w:hAnsi="Times New Roman" w:cs="Times New Roman"/>
        </w:rPr>
        <w:t xml:space="preserve"> emissions</w:t>
      </w:r>
      <w:r>
        <w:rPr>
          <w:rFonts w:ascii="Times New Roman" w:hAnsi="Times New Roman" w:cs="Times New Roman"/>
          <w:color w:val="000000" w:themeColor="text1"/>
        </w:rPr>
        <w:t xml:space="preserve"> %), Africa (48%), East, Southeast Asia &amp; Oceania (32%), with a global mean of 61%. This suggests that about two-thirds of cities’ total GHG emissions occur within their boundaries and can be monitored using CO</w:t>
      </w:r>
      <w:r w:rsidRPr="005427CC">
        <w:rPr>
          <w:rFonts w:ascii="Times New Roman" w:hAnsi="Times New Roman" w:cs="Times New Roman"/>
          <w:color w:val="000000" w:themeColor="text1"/>
          <w:vertAlign w:val="subscript"/>
        </w:rPr>
        <w:t>2</w:t>
      </w:r>
      <w:r>
        <w:rPr>
          <w:rFonts w:ascii="Times New Roman" w:hAnsi="Times New Roman" w:cs="Times New Roman"/>
          <w:color w:val="000000" w:themeColor="text1"/>
        </w:rPr>
        <w:t>-observing satellite instruments. Additionally, future study can use satellite-based Scope 1 CO</w:t>
      </w:r>
      <w:r w:rsidRPr="003A22D2">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emission datasets to assess the air quality co-benefits of urban climate actions, as CO</w:t>
      </w:r>
      <w:r w:rsidRPr="00A65FDE">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is emitted concurrently with other air pollutants, such as NO</w:t>
      </w:r>
      <w:r w:rsidRPr="000A330B">
        <w:rPr>
          <w:rFonts w:ascii="Times New Roman" w:hAnsi="Times New Roman" w:cs="Times New Roman"/>
          <w:color w:val="000000" w:themeColor="text1"/>
          <w:vertAlign w:val="subscript"/>
        </w:rPr>
        <w:t>x</w:t>
      </w:r>
      <w:r>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{"citationID":"nmqP6PYF","properties":{"formattedCitation":"(Kleiman et al., 2022; West et al., 2013)","plainCitation":"(Kleiman et al., 2022; West et al., 2013)","noteIndex":0},"citationItems":[{"id":1298,"uris":["http://zotero.org/users/12959951/items/PIQS89ED"],"itemData":{"id":1298,"type":"article-journal","abstract":"Cities emit the majority of greenhouse gas emissions globally and are increasingly committing to aggressive mitigation actions. Cities are also experiencing poor—and in some cases worsening—air quality, contributing to large disease burdens for adults and children. Integrated planning frameworks can help cities leverage and prioritize measures that achieve climate, air quality, and health benefits simultaneously. We developed and applied an integrated climate action planning process that includes air quality, utilizing Pathways-AQ, a new assessment tool, in six pilot cities: Accra, Ghana; Addis Ababa, Ethiopia; Buenos Aires, Argentina; the metropolitan area of Guadalajara, Mexico; Johannesburg, South Africa; and Lima, Peru. Implementing the “ambitious” greenhouse gas reduction scenarios in these cities' climate action plans would reduce in-city contributions to fine particulate matter (PM&lt;sub&gt;2.5&lt;/sub&gt;) concentrations and would avoid 230–1,040 annual premature deaths per city, by 2050. This new integrated climate action planning process revealed the importance of (i) geographic scales of analysis, (ii) data integration across climate and air quality, (iii) local civic engagement, and (iv) nuanced health messaging. Rapidly scaling up and applying this integrated approach can broaden the group of municipal stakeholders involved in climate-related planning goals, potentially leading to greater ambition by integrating climate, air pollution, and health objectives.","container-title":"Frontiers in Sustainable Cities","DOI":"10.3389/frsc.2022.934672","ISSN":"2624-9634","title":"Enhanced Integration of Health, Climate, and Air Quality Management Planning at the Urban Scale","URL":"https://www.frontiersin.org/articles/10.3389/frsc.2022.934672","volume":"4","author":[{"family":"Kleiman","given":"Gary"},{"family":"Anenberg","given":"Susan C."},{"family":"Chafe","given":"Zoe A."},{"family":"Appiah","given":"Desmond C."},{"family":"Assefa","given":"Tibebu"},{"family":"Bizberg","given":"Andrea"},{"family":"Coombes","given":"Toby"},{"family":"Cuestas","given":"Doroti"},{"family":"Henze","given":"Daven K."},{"family":"Kessler","given":"Alexander"},{"family":"Kheirbek","given":"Iyad"},{"family":"Kinney","given":"Patrick"},{"family":"Mahlatji","given":"Musa"},{"family":"Marshall","given":"Julian D."},{"family":"Naidoo","given":"Seneca"},{"family":"Potwana","given":"Nwabisa"},{"family":"Rodriguez","given":"Adriana"},{"family":"Tessum","given":"Christopher W."},{"family":"Thomas","given":"Culley"}],"issued":{"date-parts":[["2022"]]}}},{"id":1304,"uris":["http://zotero.org/users/12959951/items/2D7XLYUT"],"itemData":{"id":1304,"type":"article-journal","abstract":"Mitigation of greenhouse gas emissions often reduces co-emitted air pollutants, with advantages for human health. Avoided mortality from air pollution, a co-benefit of CO2 abatement, is estimated under global climate change mitigation scenarios to be in the range of US$50–US$380 per tonne of CO2. This exceeds the projected mitigation costs for 2030 and 2050, and is within the lower range of costs expected in 2100.","container-title":"Nature Climate Change","DOI":"10.1038/nclimate2009","ISSN":"1758-6798","issue":"10","journalAbbreviation":"Nature Climate Change","page":"885-889","title":"Co-benefits of mitigating global greenhouse gas emissions for future air quality and human health","volume":"3","author":[{"family":"West","given":"J. Jason"},{"family":"Smith","given":"Steven J."},{"family":"Silva","given":"Raquel A."},{"family":"Naik","given":"Vaishali"},{"family":"Zhang","given":"Yuqiang"},{"family":"Adelman","given":"Zachariah"},{"family":"Fry","given":"Meridith M."},{"family":"Anenberg","given":"Susan"},{"family":"Horowitz","given":"Larry W."},{"family":"Lamarque","given":"Jean-Francois"}],"issued":{"date-parts":[["2013",10,1]]}}}],"schema":"https://github.com/citation-style-language/schema/raw/master/csl-citation.json"}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rPr>
        <w:t>(Kleiman et al., 2022; West et al., 2013)</w: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3536BA5F" w14:textId="77777777" w:rsidR="00BF0126" w:rsidRDefault="00BF0126" w:rsidP="00BF0126">
      <w:pPr>
        <w:pStyle w:val="Body"/>
        <w:spacing w:before="120"/>
        <w:jc w:val="both"/>
        <w:rPr>
          <w:rFonts w:ascii="Times New Roman" w:hAnsi="Times New Roman" w:cs="Times New Roman"/>
          <w:color w:val="000000" w:themeColor="text1"/>
        </w:rPr>
      </w:pPr>
      <w:r>
        <w:rPr>
          <w:rFonts w:ascii="Times New Roman" w:hAnsi="Times New Roman" w:cs="Times New Roman"/>
          <w:noProof/>
          <w:color w:val="000000" w:themeColor="text1"/>
          <w14:textOutline w14:w="0" w14:cap="rnd" w14:cmpd="sng" w14:algn="ctr">
            <w14:noFill/>
            <w14:prstDash w14:val="solid"/>
            <w14:bevel/>
          </w14:textOutline>
        </w:rPr>
        <w:lastRenderedPageBreak/>
        <w:drawing>
          <wp:inline distT="0" distB="0" distL="0" distR="0" wp14:anchorId="5D0276B7" wp14:editId="42912D03">
            <wp:extent cx="5943600" cy="2966085"/>
            <wp:effectExtent l="0" t="0" r="0" b="5715"/>
            <wp:docPr id="479490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90392" name="Picture 479490392"/>
                    <pic:cNvPicPr/>
                  </pic:nvPicPr>
                  <pic:blipFill>
                    <a:blip r:embed="rId13"/>
                    <a:stretch>
                      <a:fillRect/>
                    </a:stretch>
                  </pic:blipFill>
                  <pic:spPr>
                    <a:xfrm>
                      <a:off x="0" y="0"/>
                      <a:ext cx="5943600" cy="2966085"/>
                    </a:xfrm>
                    <a:prstGeom prst="rect">
                      <a:avLst/>
                    </a:prstGeom>
                  </pic:spPr>
                </pic:pic>
              </a:graphicData>
            </a:graphic>
          </wp:inline>
        </w:drawing>
      </w:r>
    </w:p>
    <w:p w14:paraId="0F98A1AF" w14:textId="77777777" w:rsidR="00BF0126" w:rsidRPr="00472ADD" w:rsidRDefault="00BF0126" w:rsidP="00BF0126">
      <w:pPr>
        <w:pStyle w:val="Body"/>
        <w:spacing w:before="120"/>
        <w:jc w:val="both"/>
        <w:rPr>
          <w:rFonts w:ascii="Times New Roman" w:hAnsi="Times New Roman" w:cs="Times New Roman"/>
        </w:rPr>
      </w:pPr>
      <w:r>
        <w:rPr>
          <w:rFonts w:ascii="Times New Roman" w:hAnsi="Times New Roman" w:cs="Times New Roman"/>
          <w:b/>
          <w:bCs/>
        </w:rPr>
        <w:t>Figure</w:t>
      </w:r>
      <w:r w:rsidRPr="00021432">
        <w:rPr>
          <w:rFonts w:ascii="Times New Roman" w:hAnsi="Times New Roman" w:cs="Times New Roman"/>
          <w:b/>
          <w:bCs/>
        </w:rPr>
        <w:t xml:space="preserve"> </w:t>
      </w:r>
      <w:r>
        <w:rPr>
          <w:rFonts w:ascii="Times New Roman" w:hAnsi="Times New Roman" w:cs="Times New Roman"/>
          <w:b/>
          <w:bCs/>
        </w:rPr>
        <w:t>6</w:t>
      </w:r>
      <w:r w:rsidRPr="00021432">
        <w:rPr>
          <w:rFonts w:ascii="Times New Roman" w:hAnsi="Times New Roman" w:cs="Times New Roman"/>
          <w:b/>
          <w:bCs/>
        </w:rPr>
        <w:t xml:space="preserve">. </w:t>
      </w:r>
      <w:r>
        <w:rPr>
          <w:rFonts w:ascii="Times New Roman" w:hAnsi="Times New Roman" w:cs="Times New Roman"/>
        </w:rPr>
        <w:t>The percentage of urban GHG emissions that can be monitored using satellite for 54</w:t>
      </w:r>
      <w:r w:rsidRPr="00021432">
        <w:rPr>
          <w:rFonts w:ascii="Times New Roman" w:hAnsi="Times New Roman" w:cs="Times New Roman"/>
        </w:rPr>
        <w:t xml:space="preserve"> C40 cities. </w:t>
      </w:r>
      <w:r>
        <w:rPr>
          <w:rFonts w:ascii="Times New Roman" w:hAnsi="Times New Roman" w:cs="Times New Roman"/>
        </w:rPr>
        <w:t>The c</w:t>
      </w:r>
      <w:r w:rsidRPr="00021432">
        <w:rPr>
          <w:rFonts w:ascii="Times New Roman" w:hAnsi="Times New Roman" w:cs="Times New Roman"/>
        </w:rPr>
        <w:t xml:space="preserve">olor scale shows the percentage of </w:t>
      </w:r>
      <w:r>
        <w:rPr>
          <w:rFonts w:ascii="Times New Roman" w:hAnsi="Times New Roman" w:cs="Times New Roman"/>
        </w:rPr>
        <w:t>S</w:t>
      </w:r>
      <w:r w:rsidRPr="00021432">
        <w:rPr>
          <w:rFonts w:ascii="Times New Roman" w:hAnsi="Times New Roman" w:cs="Times New Roman"/>
        </w:rPr>
        <w:t>cope</w:t>
      </w:r>
      <w:r>
        <w:rPr>
          <w:rFonts w:ascii="Times New Roman" w:hAnsi="Times New Roman" w:cs="Times New Roman"/>
        </w:rPr>
        <w:t xml:space="preserve"> </w:t>
      </w:r>
      <w:r w:rsidRPr="00021432">
        <w:rPr>
          <w:rFonts w:ascii="Times New Roman" w:hAnsi="Times New Roman" w:cs="Times New Roman"/>
        </w:rPr>
        <w:t xml:space="preserve">1 </w:t>
      </w:r>
      <w:r>
        <w:rPr>
          <w:rFonts w:ascii="Times New Roman" w:hAnsi="Times New Roman" w:cs="Times New Roman"/>
        </w:rPr>
        <w:t xml:space="preserve">(i.e., territorial) </w:t>
      </w:r>
      <w:r w:rsidRPr="00021432">
        <w:rPr>
          <w:rFonts w:ascii="Times New Roman" w:hAnsi="Times New Roman" w:cs="Times New Roman"/>
        </w:rPr>
        <w:t>CO</w:t>
      </w:r>
      <w:r w:rsidRPr="00021432">
        <w:rPr>
          <w:rFonts w:ascii="Times New Roman" w:hAnsi="Times New Roman" w:cs="Times New Roman"/>
          <w:vertAlign w:val="subscript"/>
        </w:rPr>
        <w:t>2</w:t>
      </w:r>
      <w:r w:rsidRPr="00021432">
        <w:rPr>
          <w:rFonts w:ascii="Times New Roman" w:hAnsi="Times New Roman" w:cs="Times New Roman"/>
        </w:rPr>
        <w:t xml:space="preserve"> emissions of the total </w:t>
      </w:r>
      <w:r>
        <w:rPr>
          <w:rFonts w:ascii="Times New Roman" w:hAnsi="Times New Roman" w:cs="Times New Roman"/>
        </w:rPr>
        <w:t xml:space="preserve">GHG </w:t>
      </w:r>
      <w:r w:rsidRPr="00021432">
        <w:rPr>
          <w:rFonts w:ascii="Times New Roman" w:hAnsi="Times New Roman" w:cs="Times New Roman"/>
        </w:rPr>
        <w:t>emissions (</w:t>
      </w:r>
      <w:r>
        <w:rPr>
          <w:rFonts w:ascii="Times New Roman" w:hAnsi="Times New Roman" w:cs="Times New Roman"/>
        </w:rPr>
        <w:t xml:space="preserve">All </w:t>
      </w:r>
      <w:r w:rsidRPr="00021432">
        <w:rPr>
          <w:rFonts w:ascii="Times New Roman" w:hAnsi="Times New Roman" w:cs="Times New Roman"/>
        </w:rPr>
        <w:t>GHGs</w:t>
      </w:r>
      <w:r>
        <w:rPr>
          <w:rFonts w:ascii="Times New Roman" w:hAnsi="Times New Roman" w:cs="Times New Roman"/>
        </w:rPr>
        <w:t>, Scope 1+2+3</w:t>
      </w:r>
      <w:r w:rsidRPr="00021432">
        <w:rPr>
          <w:rFonts w:ascii="Times New Roman" w:hAnsi="Times New Roman" w:cs="Times New Roman"/>
        </w:rPr>
        <w:t xml:space="preserve">) according to </w:t>
      </w:r>
      <w:r>
        <w:rPr>
          <w:rFonts w:ascii="Times New Roman" w:hAnsi="Times New Roman" w:cs="Times New Roman"/>
        </w:rPr>
        <w:t>self-reported inventories (GPC).</w:t>
      </w:r>
      <w:r w:rsidRPr="00021432">
        <w:rPr>
          <w:rFonts w:ascii="Times New Roman" w:hAnsi="Times New Roman" w:cs="Times New Roman"/>
        </w:rPr>
        <w:t xml:space="preserve"> </w:t>
      </w:r>
      <w:r>
        <w:rPr>
          <w:rFonts w:ascii="Times New Roman" w:hAnsi="Times New Roman" w:cs="Times New Roman"/>
        </w:rPr>
        <w:t>The white</w:t>
      </w:r>
      <w:r w:rsidRPr="00021432">
        <w:rPr>
          <w:rFonts w:ascii="Times New Roman" w:hAnsi="Times New Roman" w:cs="Times New Roman"/>
        </w:rPr>
        <w:t xml:space="preserve"> </w:t>
      </w:r>
      <w:r>
        <w:rPr>
          <w:rFonts w:ascii="Times New Roman" w:hAnsi="Times New Roman" w:cs="Times New Roman"/>
        </w:rPr>
        <w:t>circles</w:t>
      </w:r>
      <w:r w:rsidRPr="00021432">
        <w:rPr>
          <w:rFonts w:ascii="Times New Roman" w:hAnsi="Times New Roman" w:cs="Times New Roman"/>
        </w:rPr>
        <w:t xml:space="preserve"> </w:t>
      </w:r>
      <w:r>
        <w:rPr>
          <w:rFonts w:ascii="Times New Roman" w:hAnsi="Times New Roman" w:cs="Times New Roman"/>
        </w:rPr>
        <w:t xml:space="preserve">are </w:t>
      </w:r>
      <w:r w:rsidRPr="00021432">
        <w:rPr>
          <w:rFonts w:ascii="Times New Roman" w:hAnsi="Times New Roman" w:cs="Times New Roman"/>
        </w:rPr>
        <w:t xml:space="preserve">where the </w:t>
      </w:r>
      <w:r>
        <w:rPr>
          <w:rFonts w:ascii="Times New Roman" w:hAnsi="Times New Roman" w:cs="Times New Roman"/>
        </w:rPr>
        <w:t>GPC</w:t>
      </w:r>
      <w:r w:rsidRPr="00021432">
        <w:rPr>
          <w:rFonts w:ascii="Times New Roman" w:hAnsi="Times New Roman" w:cs="Times New Roman"/>
        </w:rPr>
        <w:t xml:space="preserve"> inventory</w:t>
      </w:r>
      <w:r>
        <w:rPr>
          <w:rFonts w:ascii="Times New Roman" w:hAnsi="Times New Roman" w:cs="Times New Roman"/>
        </w:rPr>
        <w:t xml:space="preserve"> </w:t>
      </w:r>
      <w:r w:rsidRPr="00021432">
        <w:rPr>
          <w:rFonts w:ascii="Times New Roman" w:hAnsi="Times New Roman" w:cs="Times New Roman"/>
        </w:rPr>
        <w:t xml:space="preserve">is </w:t>
      </w:r>
      <w:r>
        <w:rPr>
          <w:rFonts w:ascii="Times New Roman" w:hAnsi="Times New Roman" w:cs="Times New Roman"/>
        </w:rPr>
        <w:t xml:space="preserve">not </w:t>
      </w:r>
      <w:r w:rsidRPr="00021432">
        <w:rPr>
          <w:rFonts w:ascii="Times New Roman" w:hAnsi="Times New Roman" w:cs="Times New Roman"/>
        </w:rPr>
        <w:t>available.</w:t>
      </w:r>
    </w:p>
    <w:p w14:paraId="6D7F81E0" w14:textId="77777777" w:rsidR="00BF0126" w:rsidRPr="00472ADD" w:rsidRDefault="00BF0126" w:rsidP="00BF0126">
      <w:pPr>
        <w:pStyle w:val="Heading-Main"/>
      </w:pPr>
      <w:r>
        <w:t>4</w:t>
      </w:r>
      <w:r w:rsidRPr="00472ADD">
        <w:t xml:space="preserve"> Conclusions</w:t>
      </w:r>
    </w:p>
    <w:p w14:paraId="4FA65D45" w14:textId="77777777" w:rsidR="00BF0126" w:rsidRDefault="00BF0126" w:rsidP="00BF0126">
      <w:pPr>
        <w:pStyle w:val="Note"/>
        <w:spacing w:before="120" w:after="0"/>
        <w:jc w:val="both"/>
        <w:rPr>
          <w:color w:val="000000" w:themeColor="text1"/>
          <w:sz w:val="24"/>
          <w:szCs w:val="24"/>
        </w:rPr>
      </w:pPr>
      <w:r>
        <w:rPr>
          <w:color w:val="000000" w:themeColor="text1"/>
          <w:sz w:val="24"/>
          <w:szCs w:val="24"/>
        </w:rPr>
        <w:t>In this study, we presented a computationally-efficient cross-sectional flux (CSF) approach for estimating CO</w:t>
      </w:r>
      <w:r w:rsidRPr="0061514F">
        <w:rPr>
          <w:color w:val="000000" w:themeColor="text1"/>
          <w:sz w:val="24"/>
          <w:szCs w:val="24"/>
          <w:vertAlign w:val="subscript"/>
        </w:rPr>
        <w:t>2</w:t>
      </w:r>
      <w:r>
        <w:rPr>
          <w:color w:val="000000" w:themeColor="text1"/>
          <w:sz w:val="24"/>
          <w:szCs w:val="24"/>
        </w:rPr>
        <w:t xml:space="preserve"> emissions across 54 global cities using OCO-3 SAMs measurement data. We showed that the accuracy of the CSF approach can be enhanced by incorporating TROPOMI NO</w:t>
      </w:r>
      <w:r w:rsidRPr="00C164C8">
        <w:rPr>
          <w:color w:val="000000" w:themeColor="text1"/>
          <w:sz w:val="24"/>
          <w:szCs w:val="24"/>
          <w:vertAlign w:val="subscript"/>
        </w:rPr>
        <w:t>2</w:t>
      </w:r>
      <w:r>
        <w:rPr>
          <w:color w:val="000000" w:themeColor="text1"/>
          <w:sz w:val="24"/>
          <w:szCs w:val="24"/>
        </w:rPr>
        <w:t xml:space="preserve"> and HYSPLIT trajectory in the urban plume detection process. </w:t>
      </w:r>
    </w:p>
    <w:p w14:paraId="3C54F350" w14:textId="77777777" w:rsidR="00BF0126" w:rsidRDefault="00BF0126" w:rsidP="00BF0126">
      <w:pPr>
        <w:pStyle w:val="Note"/>
        <w:spacing w:before="120" w:after="0"/>
        <w:jc w:val="both"/>
        <w:rPr>
          <w:color w:val="000000" w:themeColor="text1"/>
          <w:sz w:val="24"/>
          <w:szCs w:val="24"/>
        </w:rPr>
      </w:pPr>
      <w:r>
        <w:rPr>
          <w:color w:val="000000" w:themeColor="text1"/>
          <w:sz w:val="24"/>
          <w:szCs w:val="24"/>
        </w:rPr>
        <w:t>By comparing our satellite-based emissions estimates with two of the most widely used bottom-up datasets ―EDGAR and ODIAC― we found that: 1) bottom-up datasets show relatively good agreement with the satellite-based estimates on a global scale (within 7%), and 2) this agreement is largely due to regional discrepancies of opposite signs that cancel each other out. We find that bottom-up datasets tend to overestimate CO</w:t>
      </w:r>
      <w:r w:rsidRPr="00D45E02">
        <w:rPr>
          <w:color w:val="000000" w:themeColor="text1"/>
          <w:sz w:val="24"/>
          <w:szCs w:val="24"/>
          <w:vertAlign w:val="subscript"/>
        </w:rPr>
        <w:t>2</w:t>
      </w:r>
      <w:r>
        <w:rPr>
          <w:color w:val="000000" w:themeColor="text1"/>
          <w:sz w:val="24"/>
          <w:szCs w:val="24"/>
        </w:rPr>
        <w:t xml:space="preserve"> emissions for cities in Central East Asia and South and West Asia, while underestimating for cities in Africa, East and Southeast Asia &amp; Oceania, Europe, and North America. These findings suggest that satellite-based emission estimates can help identify regions with larger discrepancies, such as cities in Africa and South and West Asia, for region-specific improvements to bottom-up datasets.</w:t>
      </w:r>
    </w:p>
    <w:p w14:paraId="22071656" w14:textId="77777777" w:rsidR="00BF0126" w:rsidRDefault="00BF0126" w:rsidP="00BF0126">
      <w:pPr>
        <w:pStyle w:val="Note"/>
        <w:spacing w:before="120" w:after="0"/>
        <w:jc w:val="both"/>
        <w:rPr>
          <w:color w:val="000000" w:themeColor="text1"/>
          <w:sz w:val="24"/>
          <w:szCs w:val="24"/>
        </w:rPr>
      </w:pPr>
      <w:r>
        <w:rPr>
          <w:color w:val="000000" w:themeColor="text1"/>
          <w:sz w:val="24"/>
          <w:szCs w:val="24"/>
        </w:rPr>
        <w:t>Moreover, the application of the Kaya Identity reveals socioeconomic patterns in global cities’ CO</w:t>
      </w:r>
      <w:r w:rsidRPr="00C93B6C">
        <w:rPr>
          <w:color w:val="000000" w:themeColor="text1"/>
          <w:sz w:val="24"/>
          <w:szCs w:val="24"/>
          <w:vertAlign w:val="subscript"/>
        </w:rPr>
        <w:t>2</w:t>
      </w:r>
      <w:r>
        <w:rPr>
          <w:color w:val="000000" w:themeColor="text1"/>
          <w:sz w:val="24"/>
          <w:szCs w:val="24"/>
        </w:rPr>
        <w:t xml:space="preserve"> emissions. Our satellite-based analysis highlights the decoupling of economic growth and carbon-intensive sectors across global cities. Also, the satellite analysis captured that per capita CO</w:t>
      </w:r>
      <w:r w:rsidRPr="006B5188">
        <w:rPr>
          <w:color w:val="000000" w:themeColor="text1"/>
          <w:sz w:val="24"/>
          <w:szCs w:val="24"/>
          <w:vertAlign w:val="subscript"/>
        </w:rPr>
        <w:t>2</w:t>
      </w:r>
      <w:r>
        <w:rPr>
          <w:color w:val="000000" w:themeColor="text1"/>
          <w:sz w:val="24"/>
          <w:szCs w:val="24"/>
        </w:rPr>
        <w:t xml:space="preserve"> emissions tend to decrease as a city’s population size grows. </w:t>
      </w:r>
    </w:p>
    <w:p w14:paraId="04F0A5A8" w14:textId="77777777" w:rsidR="00BF0126" w:rsidRDefault="00BF0126" w:rsidP="00BF0126">
      <w:pPr>
        <w:pStyle w:val="Note"/>
        <w:spacing w:before="120" w:after="0"/>
        <w:jc w:val="both"/>
        <w:rPr>
          <w:color w:val="000000" w:themeColor="text1"/>
          <w:sz w:val="24"/>
          <w:szCs w:val="24"/>
        </w:rPr>
      </w:pPr>
      <w:r>
        <w:rPr>
          <w:color w:val="000000" w:themeColor="text1"/>
          <w:sz w:val="24"/>
          <w:szCs w:val="24"/>
        </w:rPr>
        <w:t xml:space="preserve">While the CSF approach enables consistent and scalable emission estimation for a large number of cities, it lacks the ability to attribute source sector or track Scope 2 or 3 emissions. Therefore, it is crucial to integrate various emission datasets, including high-resolution inversion model estimates, local inventories, along with the bottom-up datasets and satellite-based estimates </w:t>
      </w:r>
      <w:r>
        <w:rPr>
          <w:color w:val="000000" w:themeColor="text1"/>
          <w:sz w:val="24"/>
          <w:szCs w:val="24"/>
        </w:rPr>
        <w:lastRenderedPageBreak/>
        <w:t>presented in this study, to more effectively support global cities in their emission mitigation efforts and achieve their net-zero goals.</w:t>
      </w:r>
    </w:p>
    <w:p w14:paraId="1F0FCB4A" w14:textId="77777777" w:rsidR="00BF0126" w:rsidRPr="00553070" w:rsidRDefault="00BF0126" w:rsidP="00BF0126">
      <w:pPr>
        <w:pStyle w:val="Note"/>
        <w:spacing w:before="120" w:after="0"/>
        <w:jc w:val="both"/>
        <w:rPr>
          <w:color w:val="FFFFFF" w:themeColor="background1"/>
          <w:sz w:val="24"/>
          <w:szCs w:val="24"/>
        </w:rPr>
      </w:pPr>
      <w:r w:rsidRPr="00553070">
        <w:rPr>
          <w:color w:val="FFFFFF" w:themeColor="background1"/>
          <w:sz w:val="24"/>
          <w:szCs w:val="24"/>
        </w:rPr>
        <w:fldChar w:fldCharType="begin"/>
      </w:r>
      <w:r w:rsidRPr="00553070">
        <w:rPr>
          <w:color w:val="FFFFFF" w:themeColor="background1"/>
          <w:sz w:val="24"/>
          <w:szCs w:val="24"/>
        </w:rPr>
        <w:instrText xml:space="preserve"> ADDIN ZOTERO_ITEM CSL_CITATION {"citationID":"9A2rtqMl","properties":{"formattedCitation":"(2020)","plainCitation":"(2020)","noteIndex":0},"citationItems":[{"id":24,"uris":["http://zotero.org/users/12959951/items/WNGB99JF"],"itemData":{"id":24,"type":"article-journal","abstract":"Abstract To study emissions of CO2 in the Baltimore, MD-Washington, D.C. (Balt-Wash) area, an aircraft campaign was conducted in February 2015, as part of the Fluxes of Atmospheric Greenhouse-Gases in Maryland (FLAGG-MD) project. During the campaign, elevated mole fractions of CO2 were observed downwind of the urban center and local power plants. Upwind flight data and Hybrid Single Particle Lagrangian Integrated Trajectory (HYSPLIT) model analyses help account for the impact of emissions outside the Balt-Wash area. The accuracy, precision, and sensitivity of CO2 emissions estimates based on the mass balance approach were assessed for both power plants and cities. Our estimates of CO2 emissions from two local power plants agree well with their Continuous Emissions Monitoring Systems (CEMS) records. For the 16 power plant plumes captured by the aircraft, the mean percentage difference of CO2 emissions was ?0.3%. For the Balt-Wash area as a whole, the 1? CO2 emission rate uncertainty for any individual aircraft-based mass balance approach experiment was ±38%. Treating the mass balance experiments, which were repeated seven times within 9 days, as individual quantifications of the Balt-Wash CO2 emissions, the estimation uncertainty was ±16% (standard error of the mean at 95% CL). Our aircraft-based estimate was compared to various bottom-up fossil fuel CO2 (FFCO2) emission inventories. Based on the FLAGG-MD aircraft observations, we estimate 1.9 ± 0.3 MtC of FFCO2 from the Balt-Wash area during the month of February 2015. The mean estimate of FFCO2 from the four bottom-up models was 2.2 ± 0.3 MtC.","container-title":"Journal of Geophysical Research: Atmospheres","DOI":"10.1029/2019JD032004","ISSN":"2169-897X","issue":"9","journalAbbreviation":"Journal of Geophysical Research: Atmospheres","license":"All rights reserved","note":"publisher: John Wiley &amp; Sons, Ltd","page":"e2019JD032004","title":"Fluxes of Atmospheric Greenhouse-Gases in Maryland (FLAGG-MD): Emissions of Carbon Dioxide in the Baltimore, MD-Washington, D.C. Area","volume":"125","author":[{"family":"Ahn","given":"D. Y."},{"family":"Hansford","given":"J. R."},{"family":"Howe","given":"S. T."},{"family":"Ren","given":"X. R."},{"family":"Salawitch","given":"R. J."},{"family":"Zeng","given":"N."},{"family":"Cohen","given":"M. D."},{"family":"Stunder","given":"B."},{"family":"Salmon","given":"O. E."},{"family":"Shepson","given":"P. B."},{"family":"Gurney","given":"K. R."},{"family":"Oda","given":"T."},{"family":"Lopez-Coto","given":"I."},{"family":"Whetstone","given":"J."},{"family":"Dickerson","given":"R. R."}],"issued":{"date-parts":[["2020",5,16]]}},"label":"page","suppress-author":true}],"schema":"https://github.com/citation-style-language/schema/raw/master/csl-citation.json"} </w:instrText>
      </w:r>
      <w:r w:rsidRPr="00553070">
        <w:rPr>
          <w:color w:val="FFFFFF" w:themeColor="background1"/>
          <w:sz w:val="24"/>
          <w:szCs w:val="24"/>
        </w:rPr>
        <w:fldChar w:fldCharType="separate"/>
      </w:r>
      <w:r w:rsidRPr="00553070">
        <w:rPr>
          <w:noProof/>
          <w:color w:val="FFFFFF" w:themeColor="background1"/>
          <w:sz w:val="24"/>
          <w:szCs w:val="24"/>
        </w:rPr>
        <w:t>(2020)</w:t>
      </w:r>
      <w:r w:rsidRPr="00553070">
        <w:rPr>
          <w:color w:val="FFFFFF" w:themeColor="background1"/>
          <w:sz w:val="24"/>
          <w:szCs w:val="24"/>
        </w:rPr>
        <w:fldChar w:fldCharType="end"/>
      </w:r>
    </w:p>
    <w:p w14:paraId="3BF6A4A2" w14:textId="77777777" w:rsidR="00BF0126" w:rsidRPr="00553070" w:rsidRDefault="00BF0126" w:rsidP="00BF0126">
      <w:pPr>
        <w:shd w:val="clear" w:color="auto" w:fill="FEFEFE"/>
        <w:rPr>
          <w:rFonts w:eastAsia="Aptos"/>
          <w:color w:val="262626"/>
          <w:sz w:val="24"/>
          <w:szCs w:val="24"/>
          <w14:ligatures w14:val="standardContextual"/>
        </w:rPr>
      </w:pPr>
      <w:r w:rsidRPr="00553070">
        <w:rPr>
          <w:rFonts w:eastAsia="Times New Roman"/>
          <w:b/>
          <w:bCs/>
          <w:color w:val="262626"/>
          <w:sz w:val="24"/>
          <w:szCs w:val="24"/>
        </w:rPr>
        <w:t>Acknowledgments</w:t>
      </w:r>
    </w:p>
    <w:p w14:paraId="0016B106" w14:textId="77777777" w:rsidR="00BF0126" w:rsidRPr="00553070" w:rsidRDefault="00BF0126" w:rsidP="00BF0126">
      <w:pPr>
        <w:pStyle w:val="Referencesandnotes"/>
        <w:ind w:left="0" w:firstLine="0"/>
        <w:jc w:val="both"/>
      </w:pPr>
      <w:r w:rsidRPr="00553070">
        <w:rPr>
          <w:bCs/>
        </w:rPr>
        <w:t>We thank C40 Cities for providing their cities’ geographical boundary shapefiles that allowed us to compute satellite-based urban CO</w:t>
      </w:r>
      <w:r w:rsidRPr="00553070">
        <w:rPr>
          <w:bCs/>
          <w:vertAlign w:val="subscript"/>
        </w:rPr>
        <w:t>2</w:t>
      </w:r>
      <w:r w:rsidRPr="00553070">
        <w:rPr>
          <w:bCs/>
        </w:rPr>
        <w:t xml:space="preserve"> emissions.</w:t>
      </w:r>
      <w:r w:rsidRPr="00553070">
        <w:rPr>
          <w:b/>
          <w:bCs/>
        </w:rPr>
        <w:t xml:space="preserve"> </w:t>
      </w:r>
      <w:r w:rsidRPr="00553070">
        <w:t>The authors appreciate the helpful comments provided by Victoria Gonsior and Stephen Davis at C40 Cities, Bryan Duncan at NASA GSFC, and Argyro Kavvada at the U.S. Greenhouse Gas Center. This work was funded by NASA Health and Air Quality Applied Sciences Team grant 80NSSC21K0511, Wellcome Trust grant 216075/Z/19/Z, NASA OCO-3 project and NASA Carbon Monitoring System (CMS 2023) program. Part of the work was carried out at the Jet Propulsion Laboratory, California Institute of Technology, under a contract with the National Aeronautics and Space Administration (80NM0018D0004).</w:t>
      </w:r>
    </w:p>
    <w:p w14:paraId="0191E250" w14:textId="77777777" w:rsidR="00BF0126" w:rsidRPr="00553070" w:rsidRDefault="00BF0126" w:rsidP="00BF0126">
      <w:pPr>
        <w:pStyle w:val="Referencesandnotes"/>
        <w:ind w:left="0" w:firstLine="0"/>
        <w:jc w:val="both"/>
      </w:pPr>
      <w:r w:rsidRPr="00553070">
        <w:rPr>
          <w:b/>
          <w:bCs/>
          <w:color w:val="262626"/>
        </w:rPr>
        <w:t>Data Availability Statement</w:t>
      </w:r>
    </w:p>
    <w:p w14:paraId="54A3D434" w14:textId="77777777" w:rsidR="00BF0126" w:rsidRPr="00553070" w:rsidRDefault="00BF0126" w:rsidP="00BF0126">
      <w:pPr>
        <w:shd w:val="clear" w:color="auto" w:fill="FFFFFF"/>
        <w:spacing w:after="120"/>
        <w:jc w:val="both"/>
        <w:rPr>
          <w:sz w:val="24"/>
          <w:szCs w:val="24"/>
        </w:rPr>
      </w:pPr>
      <w:r w:rsidRPr="00553070">
        <w:rPr>
          <w:sz w:val="24"/>
          <w:szCs w:val="24"/>
        </w:rPr>
        <w:t>OCO-3 Level 2 bias corrected XCO</w:t>
      </w:r>
      <w:r w:rsidRPr="00553070">
        <w:rPr>
          <w:sz w:val="24"/>
          <w:szCs w:val="24"/>
          <w:vertAlign w:val="subscript"/>
        </w:rPr>
        <w:t>2</w:t>
      </w:r>
      <w:r w:rsidRPr="00553070">
        <w:rPr>
          <w:sz w:val="24"/>
          <w:szCs w:val="24"/>
        </w:rPr>
        <w:t xml:space="preserve"> data files (OCO3_L2_Lite_FP v10.4r) for the C40/SAMs cities are downloaded from the NASA's Goddard Earth Sciences Data and Information Services Center (GES DISC) website. TROPOMI L2 NO</w:t>
      </w:r>
      <w:r w:rsidRPr="00553070">
        <w:rPr>
          <w:sz w:val="24"/>
          <w:szCs w:val="24"/>
          <w:vertAlign w:val="subscript"/>
        </w:rPr>
        <w:t>2</w:t>
      </w:r>
      <w:r w:rsidRPr="00553070">
        <w:rPr>
          <w:sz w:val="24"/>
          <w:szCs w:val="24"/>
        </w:rPr>
        <w:t xml:space="preserve"> data (S5P_OFFL_L2_NO2) are downloaded using the OData interface of the Data Hub (DHuSget v0.3.8). CDS (Copernicus Data Service) API was used to automatically retrieve a spatiotemporal subset data of ERA5 for OCO3/TROPOMI overpasses over C40 cities. The C40 GHG Dashboard data (versions 03.2021, 02.2022, and 05.2022) are obtained from the</w:t>
      </w:r>
      <w:r w:rsidRPr="00553070">
        <w:rPr>
          <w:i/>
          <w:iCs/>
          <w:sz w:val="24"/>
          <w:szCs w:val="24"/>
        </w:rPr>
        <w:t xml:space="preserve"> C40 Greenhouse Gas Emissions Interactive Dashboard</w:t>
      </w:r>
      <w:r w:rsidRPr="00553070">
        <w:rPr>
          <w:sz w:val="24"/>
          <w:szCs w:val="24"/>
        </w:rPr>
        <w:t xml:space="preserve"> webpage. We obtained geographical boundary shapefiles via communication with C40, and the shapefiles in a public repository (Data S1). Annual sector-specific EDGARv8.0 are obtained from the JRC EDGAR website (</w:t>
      </w:r>
      <w:hyperlink r:id="rId14" w:history="1">
        <w:r w:rsidRPr="00553070">
          <w:rPr>
            <w:rStyle w:val="Hyperlink"/>
            <w:sz w:val="24"/>
            <w:szCs w:val="24"/>
          </w:rPr>
          <w:t>https://edgar.jrc.ec.europa.eu/dataset_ghg80</w:t>
        </w:r>
      </w:hyperlink>
      <w:r w:rsidRPr="00553070">
        <w:rPr>
          <w:sz w:val="24"/>
          <w:szCs w:val="24"/>
        </w:rPr>
        <w:t>). The version of the ODIAC data product (ODIAC2023) is available from the Global Environmental Database website hosted by the Center for Global Environmental Research (CGER), National Institute for Environmental Studies (NIES), Japan (</w:t>
      </w:r>
      <w:hyperlink r:id="rId15" w:history="1">
        <w:r w:rsidRPr="00553070">
          <w:rPr>
            <w:rStyle w:val="Hyperlink"/>
            <w:sz w:val="24"/>
            <w:szCs w:val="24"/>
          </w:rPr>
          <w:t>http://db.cger.nies.go.jp/dataset/ODIAC/</w:t>
        </w:r>
      </w:hyperlink>
      <w:r w:rsidRPr="00553070">
        <w:rPr>
          <w:sz w:val="24"/>
          <w:szCs w:val="24"/>
        </w:rPr>
        <w:t xml:space="preserve">). </w:t>
      </w:r>
      <w:r w:rsidRPr="00553070">
        <w:rPr>
          <w:rFonts w:eastAsia="Times New Roman"/>
          <w:sz w:val="24"/>
          <w:szCs w:val="24"/>
        </w:rPr>
        <w:t>The GHS-SMOD is publicly available for download from the open Global Human Settlement Layer (GHSL) data tools (</w:t>
      </w:r>
      <w:hyperlink r:id="rId16" w:history="1">
        <w:r w:rsidRPr="00553070">
          <w:rPr>
            <w:rStyle w:val="Hyperlink"/>
            <w:rFonts w:eastAsia="Times New Roman"/>
            <w:sz w:val="24"/>
            <w:szCs w:val="24"/>
          </w:rPr>
          <w:t>https://human-settlement.emergency.copernicus.eu/index.php</w:t>
        </w:r>
      </w:hyperlink>
      <w:r w:rsidRPr="00553070">
        <w:rPr>
          <w:rFonts w:eastAsia="Times New Roman"/>
          <w:sz w:val="24"/>
          <w:szCs w:val="24"/>
        </w:rPr>
        <w:t>). The shapefiles of administrative boundaries for the C40 cities are provided as supplemental data.</w:t>
      </w:r>
    </w:p>
    <w:p w14:paraId="2C10BEC7" w14:textId="77777777" w:rsidR="00BF0126" w:rsidRPr="00850691" w:rsidRDefault="00BF0126" w:rsidP="00BF0126">
      <w:pPr>
        <w:shd w:val="clear" w:color="auto" w:fill="FFFFFF"/>
        <w:spacing w:line="480" w:lineRule="auto"/>
        <w:rPr>
          <w:rFonts w:asciiTheme="minorHAnsi" w:eastAsia="Times New Roman" w:hAnsiTheme="minorHAnsi" w:cstheme="minorHAnsi"/>
          <w:sz w:val="24"/>
          <w:szCs w:val="24"/>
        </w:rPr>
      </w:pPr>
      <w:r w:rsidRPr="00850691">
        <w:rPr>
          <w:rFonts w:asciiTheme="minorHAnsi" w:eastAsia="Times New Roman" w:hAnsiTheme="minorHAnsi" w:cstheme="minorHAnsi"/>
          <w:b/>
          <w:bCs/>
          <w:color w:val="262626"/>
          <w:sz w:val="24"/>
          <w:szCs w:val="24"/>
        </w:rPr>
        <w:t>References</w:t>
      </w:r>
    </w:p>
    <w:p w14:paraId="1973B189" w14:textId="77777777" w:rsidR="00BF0126" w:rsidRPr="009A763F" w:rsidRDefault="00BF0126" w:rsidP="00BF0126">
      <w:pPr>
        <w:pStyle w:val="Bibliography"/>
      </w:pPr>
      <w:r>
        <w:rPr>
          <w:rFonts w:asciiTheme="minorHAnsi" w:eastAsia="Times New Roman" w:hAnsiTheme="minorHAnsi" w:cstheme="minorHAnsi"/>
          <w:color w:val="262626"/>
          <w:sz w:val="24"/>
          <w:szCs w:val="24"/>
        </w:rPr>
        <w:fldChar w:fldCharType="begin"/>
      </w:r>
      <w:r>
        <w:rPr>
          <w:rFonts w:asciiTheme="minorHAnsi" w:eastAsia="Times New Roman" w:hAnsiTheme="minorHAnsi" w:cstheme="minorHAnsi"/>
          <w:color w:val="262626"/>
          <w:sz w:val="24"/>
          <w:szCs w:val="24"/>
        </w:rPr>
        <w:instrText xml:space="preserve"> ADDIN ZOTERO_BIBL {"uncited":[],"omitted":[],"custom":[]} CSL_BIBLIOGRAPHY </w:instrText>
      </w:r>
      <w:r>
        <w:rPr>
          <w:rFonts w:asciiTheme="minorHAnsi" w:eastAsia="Times New Roman" w:hAnsiTheme="minorHAnsi" w:cstheme="minorHAnsi"/>
          <w:color w:val="262626"/>
          <w:sz w:val="24"/>
          <w:szCs w:val="24"/>
        </w:rPr>
        <w:fldChar w:fldCharType="separate"/>
      </w:r>
      <w:r w:rsidRPr="009A763F">
        <w:t xml:space="preserve">Ahn, D. Y., Hansford, J. R., Howe, S. T., Ren, X. R., Salawitch, R. J., Zeng, N., et al. (2020). Fluxes of Atmospheric Greenhouse-Gases in Maryland (FLAGG-MD): Emissions of Carbon Dioxide in the Baltimore, MD-Washington, D.C. Area. </w:t>
      </w:r>
      <w:r w:rsidRPr="009A763F">
        <w:rPr>
          <w:i/>
          <w:iCs/>
        </w:rPr>
        <w:t>Journal of Geophysical Research: Atmospheres</w:t>
      </w:r>
      <w:r w:rsidRPr="009A763F">
        <w:t xml:space="preserve">, </w:t>
      </w:r>
      <w:r w:rsidRPr="009A763F">
        <w:rPr>
          <w:i/>
          <w:iCs/>
        </w:rPr>
        <w:t>125</w:t>
      </w:r>
      <w:r w:rsidRPr="009A763F">
        <w:t>(9), e2019JD032004. https://doi.org/10.1029/2019JD032004</w:t>
      </w:r>
    </w:p>
    <w:p w14:paraId="066E9510" w14:textId="77777777" w:rsidR="00BF0126" w:rsidRPr="009A763F" w:rsidRDefault="00BF0126" w:rsidP="00BF0126">
      <w:pPr>
        <w:pStyle w:val="Bibliography"/>
      </w:pPr>
      <w:r w:rsidRPr="009A763F">
        <w:t xml:space="preserve">Ahn, D. Y., Goldberg, D. L., Coombes, T., Kleiman, G., &amp; Anenberg, S. C. (2023). CO2 emissions from C40 cities: citywide emission inventories and comparisons with global gridded emission datasets. </w:t>
      </w:r>
      <w:r w:rsidRPr="009A763F">
        <w:rPr>
          <w:i/>
          <w:iCs/>
        </w:rPr>
        <w:t>Environmental Research Letters</w:t>
      </w:r>
      <w:r w:rsidRPr="009A763F">
        <w:t xml:space="preserve">, </w:t>
      </w:r>
      <w:r w:rsidRPr="009A763F">
        <w:rPr>
          <w:i/>
          <w:iCs/>
        </w:rPr>
        <w:t>18</w:t>
      </w:r>
      <w:r w:rsidRPr="009A763F">
        <w:t>(3), 034032. https://doi.org/10.1088/1748-9326/acbb91</w:t>
      </w:r>
    </w:p>
    <w:p w14:paraId="5B593471" w14:textId="77777777" w:rsidR="00BF0126" w:rsidRPr="009A763F" w:rsidRDefault="00BF0126" w:rsidP="00BF0126">
      <w:pPr>
        <w:pStyle w:val="Bibliography"/>
      </w:pPr>
      <w:r w:rsidRPr="009A763F">
        <w:lastRenderedPageBreak/>
        <w:t xml:space="preserve">Al-mulali, U., Fereidouni, H. G., Lee, J. Y. M., &amp; Sab, C. N. B. C. (2013). Exploring the relationship between urbanization, energy consumption, and CO2 emission in MENA countries. </w:t>
      </w:r>
      <w:r w:rsidRPr="009A763F">
        <w:rPr>
          <w:i/>
          <w:iCs/>
        </w:rPr>
        <w:t>Renewable and Sustainable Energy Reviews</w:t>
      </w:r>
      <w:r w:rsidRPr="009A763F">
        <w:t xml:space="preserve">, </w:t>
      </w:r>
      <w:r w:rsidRPr="009A763F">
        <w:rPr>
          <w:i/>
          <w:iCs/>
        </w:rPr>
        <w:t>23</w:t>
      </w:r>
      <w:r w:rsidRPr="009A763F">
        <w:t>, 107–112. https://doi.org/10.1016/j.rser.2013.02.041</w:t>
      </w:r>
    </w:p>
    <w:p w14:paraId="083DC4A5" w14:textId="77777777" w:rsidR="00BF0126" w:rsidRPr="009A763F" w:rsidRDefault="00BF0126" w:rsidP="00BF0126">
      <w:pPr>
        <w:pStyle w:val="Bibliography"/>
      </w:pPr>
      <w:r w:rsidRPr="009A763F">
        <w:t xml:space="preserve">Andreae, M. O. (2019). Emission of trace gases and aerosols from biomass burning – an updated assessment. </w:t>
      </w:r>
      <w:r w:rsidRPr="009A763F">
        <w:rPr>
          <w:i/>
          <w:iCs/>
        </w:rPr>
        <w:t>Atmospheric Chemistry and Physics</w:t>
      </w:r>
      <w:r w:rsidRPr="009A763F">
        <w:t xml:space="preserve">, </w:t>
      </w:r>
      <w:r w:rsidRPr="009A763F">
        <w:rPr>
          <w:i/>
          <w:iCs/>
        </w:rPr>
        <w:t>19</w:t>
      </w:r>
      <w:r w:rsidRPr="009A763F">
        <w:t>(13), 8523–8546. https://doi.org/10.5194/acp-19-8523-2019</w:t>
      </w:r>
    </w:p>
    <w:p w14:paraId="44ADAF81" w14:textId="77777777" w:rsidR="00BF0126" w:rsidRPr="009A763F" w:rsidRDefault="00BF0126" w:rsidP="00BF0126">
      <w:pPr>
        <w:pStyle w:val="Bibliography"/>
      </w:pPr>
      <w:r w:rsidRPr="009A763F">
        <w:t xml:space="preserve">Baborska-Narozny, M., Szulgowska-Zgrzywa, M., Mokrzecka, M., Chmielewska, A., Fidorow-Kaprawy, N., Stefanowicz, E., et al. (2020). Climate justice: air quality and transitions from solid fuel heating. </w:t>
      </w:r>
      <w:r w:rsidRPr="009A763F">
        <w:rPr>
          <w:i/>
          <w:iCs/>
        </w:rPr>
        <w:t>Buildings and Cities</w:t>
      </w:r>
      <w:r w:rsidRPr="009A763F">
        <w:t>. https://doi.org/10.5334/bc.23</w:t>
      </w:r>
    </w:p>
    <w:p w14:paraId="5632BF3B" w14:textId="77777777" w:rsidR="00BF0126" w:rsidRPr="009A763F" w:rsidRDefault="00BF0126" w:rsidP="00BF0126">
      <w:pPr>
        <w:pStyle w:val="Bibliography"/>
      </w:pPr>
      <w:r w:rsidRPr="009A763F">
        <w:t xml:space="preserve">Buthelezi, S. A., Kapwata, T., Wernecke, B., Webster, C., Mathee, A., &amp; Wright, C. Y. (2019). Household Fuel Use for Heating and Cooking and Respiratory Health in a Low-Income, South African Coastal Community. </w:t>
      </w:r>
      <w:r w:rsidRPr="009A763F">
        <w:rPr>
          <w:i/>
          <w:iCs/>
        </w:rPr>
        <w:t>International Journal of Environmental Research and Public Health</w:t>
      </w:r>
      <w:r w:rsidRPr="009A763F">
        <w:t xml:space="preserve">, </w:t>
      </w:r>
      <w:r w:rsidRPr="009A763F">
        <w:rPr>
          <w:i/>
          <w:iCs/>
        </w:rPr>
        <w:t>16</w:t>
      </w:r>
      <w:r w:rsidRPr="009A763F">
        <w:t>(4). https://doi.org/10.3390/ijerph16040550</w:t>
      </w:r>
    </w:p>
    <w:p w14:paraId="73DF0C54" w14:textId="77777777" w:rsidR="00BF0126" w:rsidRPr="009A763F" w:rsidRDefault="00BF0126" w:rsidP="00BF0126">
      <w:pPr>
        <w:pStyle w:val="Bibliography"/>
      </w:pPr>
      <w:r w:rsidRPr="009A763F">
        <w:t xml:space="preserve">Byrne, B., Baker, D. F., Basu, S., Bertolacci, M., Bowman, K. W., Carroll, D., et al. (2023). National CO₂ budgets (2015–2020) inferred from atmospheric CO₂ observations in support of the global stocktake. </w:t>
      </w:r>
      <w:r w:rsidRPr="009A763F">
        <w:rPr>
          <w:i/>
          <w:iCs/>
        </w:rPr>
        <w:t>Earth System Science Data</w:t>
      </w:r>
      <w:r w:rsidRPr="009A763F">
        <w:t xml:space="preserve">, </w:t>
      </w:r>
      <w:r w:rsidRPr="009A763F">
        <w:rPr>
          <w:i/>
          <w:iCs/>
        </w:rPr>
        <w:t>15</w:t>
      </w:r>
      <w:r w:rsidRPr="009A763F">
        <w:t>(2), 963–1004. https://doi.org/10.5194/essd-15-963-2023</w:t>
      </w:r>
    </w:p>
    <w:p w14:paraId="4EE8E0CF" w14:textId="77777777" w:rsidR="00BF0126" w:rsidRPr="009A763F" w:rsidRDefault="00BF0126" w:rsidP="00BF0126">
      <w:pPr>
        <w:pStyle w:val="Bibliography"/>
      </w:pPr>
      <w:r w:rsidRPr="009A763F">
        <w:t xml:space="preserve">C40. (2023). </w:t>
      </w:r>
      <w:r w:rsidRPr="009A763F">
        <w:rPr>
          <w:i/>
          <w:iCs/>
        </w:rPr>
        <w:t>C40 Annual Report 2022</w:t>
      </w:r>
      <w:r w:rsidRPr="009A763F">
        <w:t>. C40. Retrieved from https://www.c40.org/wp-content/uploads/2023/03/C40-Cities-Annual-Report-2022_Published-Online-31-Mar-2023.pdf</w:t>
      </w:r>
    </w:p>
    <w:p w14:paraId="57054D6C" w14:textId="77777777" w:rsidR="00BF0126" w:rsidRPr="009A763F" w:rsidRDefault="00BF0126" w:rsidP="00BF0126">
      <w:pPr>
        <w:pStyle w:val="Bibliography"/>
      </w:pPr>
      <w:r w:rsidRPr="009A763F">
        <w:t xml:space="preserve">C40 Cities. (2022). </w:t>
      </w:r>
      <w:r w:rsidRPr="009A763F">
        <w:rPr>
          <w:i/>
          <w:iCs/>
        </w:rPr>
        <w:t>Benefits of Urban Climate Action | C40 Cities Technical Assistance Report: Durban</w:t>
      </w:r>
      <w:r w:rsidRPr="009A763F">
        <w:t>. Retrieved from https://www.c40.org/wp-content/uploads/2022/02/Durban-–-Regulating-Industrial-Emissions.pdf</w:t>
      </w:r>
    </w:p>
    <w:p w14:paraId="01781B7A" w14:textId="77777777" w:rsidR="00BF0126" w:rsidRPr="009A763F" w:rsidRDefault="00BF0126" w:rsidP="00BF0126">
      <w:pPr>
        <w:pStyle w:val="Bibliography"/>
      </w:pPr>
      <w:r w:rsidRPr="009A763F">
        <w:t>Center for International Earth Science Information Network - CIESIN - Columbia University. (2018). Gridded Population of the World, Version 4 (GPWv4): Land and Water Area, Revision 11 [Data set]. Palisades, New York: NASA Socioeconomic Data and Applications Center (SEDAC). Retrieved from https://doi.org/10.7927/H4Z60M4Z</w:t>
      </w:r>
    </w:p>
    <w:p w14:paraId="77C2D8BB" w14:textId="77777777" w:rsidR="00BF0126" w:rsidRPr="009A763F" w:rsidRDefault="00BF0126" w:rsidP="00BF0126">
      <w:pPr>
        <w:pStyle w:val="Bibliography"/>
      </w:pPr>
      <w:r w:rsidRPr="009A763F">
        <w:t>Chatterjee, A., Gierach, M. M., Sutton, A. J., Feely, R. A., Crisp, D., Eldering, A., et al. (2017). Influence of El Nino on atmospheric CO</w:t>
      </w:r>
      <w:r w:rsidRPr="009A763F">
        <w:rPr>
          <w:vertAlign w:val="subscript"/>
        </w:rPr>
        <w:t>2</w:t>
      </w:r>
      <w:r w:rsidRPr="009A763F">
        <w:t xml:space="preserve"> over the tropical Pacific Ocean: Findings from NASA’s OCO-2 mission. </w:t>
      </w:r>
      <w:r w:rsidRPr="009A763F">
        <w:rPr>
          <w:i/>
          <w:iCs/>
        </w:rPr>
        <w:t>Science</w:t>
      </w:r>
      <w:r w:rsidRPr="009A763F">
        <w:t xml:space="preserve">, </w:t>
      </w:r>
      <w:r w:rsidRPr="009A763F">
        <w:rPr>
          <w:i/>
          <w:iCs/>
        </w:rPr>
        <w:t>358</w:t>
      </w:r>
      <w:r w:rsidRPr="009A763F">
        <w:t>(6360), eaam5776. https://doi.org/10.1126/science.aam5776</w:t>
      </w:r>
    </w:p>
    <w:p w14:paraId="09016DBB" w14:textId="77777777" w:rsidR="00BF0126" w:rsidRPr="009A763F" w:rsidRDefault="00BF0126" w:rsidP="00BF0126">
      <w:pPr>
        <w:pStyle w:val="Bibliography"/>
      </w:pPr>
      <w:r w:rsidRPr="009A763F">
        <w:lastRenderedPageBreak/>
        <w:t xml:space="preserve">City of Cape Town. (2024). AIR QUALITY MANAGEMENT PLAN 2024. </w:t>
      </w:r>
      <w:r w:rsidRPr="009A763F">
        <w:rPr>
          <w:i/>
          <w:iCs/>
        </w:rPr>
        <w:t>2024</w:t>
      </w:r>
      <w:r w:rsidRPr="009A763F">
        <w:t>. Retrieved from https://resource.capetown.gov.za/documentcentre/Documents/City%20strategies,%20plans%20and%20frameworks/Air_Quality_Management_Plan_2024.pdf</w:t>
      </w:r>
    </w:p>
    <w:p w14:paraId="16DB5E40" w14:textId="77777777" w:rsidR="00BF0126" w:rsidRPr="009A763F" w:rsidRDefault="00BF0126" w:rsidP="00BF0126">
      <w:pPr>
        <w:pStyle w:val="Bibliography"/>
      </w:pPr>
      <w:r w:rsidRPr="009A763F">
        <w:t xml:space="preserve">Climate TRACE. (2024). </w:t>
      </w:r>
      <w:r w:rsidRPr="009A763F">
        <w:rPr>
          <w:i/>
          <w:iCs/>
        </w:rPr>
        <w:t>Climate TRACE data reveal high-impact opportunities for cutting greenhouse gas emissions</w:t>
      </w:r>
      <w:r w:rsidRPr="009A763F">
        <w:t>. Retrieved from https://climatetrace.org/news/climate-trace-data-reveal-high-impact-opportunities-for</w:t>
      </w:r>
    </w:p>
    <w:p w14:paraId="78BB8361" w14:textId="77777777" w:rsidR="00BF0126" w:rsidRPr="009A763F" w:rsidRDefault="00BF0126" w:rsidP="00BF0126">
      <w:pPr>
        <w:pStyle w:val="Bibliography"/>
      </w:pPr>
      <w:r w:rsidRPr="009A763F">
        <w:t xml:space="preserve">Commission, E. &amp; Eurostat. (2021). </w:t>
      </w:r>
      <w:r w:rsidRPr="009A763F">
        <w:rPr>
          <w:i/>
          <w:iCs/>
        </w:rPr>
        <w:t>Applying the degree of urbanisation – A methodological manual to define cities, towns and rural areas for international comparisons – 2021 edition</w:t>
      </w:r>
      <w:r w:rsidRPr="009A763F">
        <w:t>. Publications Office of the European Union. https://doi.org/doi/10.2785/706535</w:t>
      </w:r>
    </w:p>
    <w:p w14:paraId="4CAC210A" w14:textId="77777777" w:rsidR="00BF0126" w:rsidRPr="009A763F" w:rsidRDefault="00BF0126" w:rsidP="00BF0126">
      <w:pPr>
        <w:pStyle w:val="Bibliography"/>
      </w:pPr>
      <w:r w:rsidRPr="009A763F">
        <w:t xml:space="preserve">Crippa, M., Guizzardi, D., Pisoni, E., Solazzo, E., Guion, A., Muntean, M., et al. (2021). Global anthropogenic emissions in urban areas: patterns, trends, and challenges. </w:t>
      </w:r>
      <w:r w:rsidRPr="009A763F">
        <w:rPr>
          <w:i/>
          <w:iCs/>
        </w:rPr>
        <w:t>Environmental Research Letters</w:t>
      </w:r>
      <w:r w:rsidRPr="009A763F">
        <w:t xml:space="preserve">, </w:t>
      </w:r>
      <w:r w:rsidRPr="009A763F">
        <w:rPr>
          <w:i/>
          <w:iCs/>
        </w:rPr>
        <w:t>16</w:t>
      </w:r>
      <w:r w:rsidRPr="009A763F">
        <w:t>(7), 074033. https://doi.org/10.1088/1748-9326/ac00e2</w:t>
      </w:r>
    </w:p>
    <w:p w14:paraId="027C5FC4" w14:textId="77777777" w:rsidR="00BF0126" w:rsidRPr="009A763F" w:rsidRDefault="00BF0126" w:rsidP="00BF0126">
      <w:pPr>
        <w:pStyle w:val="Bibliography"/>
      </w:pPr>
      <w:r w:rsidRPr="009A763F">
        <w:t xml:space="preserve">Dogan, E., &amp; Turkekul, B. (2016). CO2 emissions, real output, energy consumption, trade, urbanization and financial development: testing the EKC hypothesis for the USA. </w:t>
      </w:r>
      <w:r w:rsidRPr="009A763F">
        <w:rPr>
          <w:i/>
          <w:iCs/>
        </w:rPr>
        <w:t>Environmental Science and Pollution Research</w:t>
      </w:r>
      <w:r w:rsidRPr="009A763F">
        <w:t xml:space="preserve">, </w:t>
      </w:r>
      <w:r w:rsidRPr="009A763F">
        <w:rPr>
          <w:i/>
          <w:iCs/>
        </w:rPr>
        <w:t>23</w:t>
      </w:r>
      <w:r w:rsidRPr="009A763F">
        <w:t>(2), 1203–1213. https://doi.org/10.1007/s11356-015-5323-8</w:t>
      </w:r>
    </w:p>
    <w:p w14:paraId="7872A197" w14:textId="77777777" w:rsidR="00BF0126" w:rsidRPr="009A763F" w:rsidRDefault="00BF0126" w:rsidP="00BF0126">
      <w:pPr>
        <w:pStyle w:val="Bibliography"/>
      </w:pPr>
      <w:r w:rsidRPr="009A763F">
        <w:t xml:space="preserve">Eldering, A., Taylor, T. E., O’Dell, C. W., &amp; Pavlick, R. (2019). The OCO-3 mission: measurement objectives and expected performance based on 1 year of simulated data. </w:t>
      </w:r>
      <w:r w:rsidRPr="009A763F">
        <w:rPr>
          <w:i/>
          <w:iCs/>
        </w:rPr>
        <w:t>Atmospheric Measurement Techniques</w:t>
      </w:r>
      <w:r w:rsidRPr="009A763F">
        <w:t xml:space="preserve">, </w:t>
      </w:r>
      <w:r w:rsidRPr="009A763F">
        <w:rPr>
          <w:i/>
          <w:iCs/>
        </w:rPr>
        <w:t>12</w:t>
      </w:r>
      <w:r w:rsidRPr="009A763F">
        <w:t>(4), 2341–2370. https://doi.org/10.5194/amt-12-2341-2019</w:t>
      </w:r>
    </w:p>
    <w:p w14:paraId="60AE1152" w14:textId="77777777" w:rsidR="00BF0126" w:rsidRPr="009A763F" w:rsidRDefault="00BF0126" w:rsidP="00BF0126">
      <w:pPr>
        <w:pStyle w:val="Bibliography"/>
      </w:pPr>
      <w:r w:rsidRPr="009A763F">
        <w:t xml:space="preserve">European Commission, Joint Research Centre, Crippa, M., Guizzardi, D., Schaaf, E., Monforti-Ferrario, F., et al. (2023). </w:t>
      </w:r>
      <w:r w:rsidRPr="009A763F">
        <w:rPr>
          <w:i/>
          <w:iCs/>
        </w:rPr>
        <w:t>GHG emissions of all world countries – 2023</w:t>
      </w:r>
      <w:r w:rsidRPr="009A763F">
        <w:t>. Publications Office of the European Union. https://doi.org/10.2760/953322</w:t>
      </w:r>
    </w:p>
    <w:p w14:paraId="10DB641D" w14:textId="77777777" w:rsidR="00BF0126" w:rsidRPr="009A763F" w:rsidRDefault="00BF0126" w:rsidP="00BF0126">
      <w:pPr>
        <w:pStyle w:val="Bibliography"/>
      </w:pPr>
      <w:r w:rsidRPr="009A763F">
        <w:t xml:space="preserve">Feng, S., Jiang, F., Wang, H., Liu, Y., He, W., Wang, H., et al. (2024). China’s Fossil Fuel CO2 Emissions Estimated Using Surface Observations of Coemitted NO2. </w:t>
      </w:r>
      <w:r w:rsidRPr="009A763F">
        <w:rPr>
          <w:i/>
          <w:iCs/>
        </w:rPr>
        <w:t>Environmental Science &amp; Technology</w:t>
      </w:r>
      <w:r w:rsidRPr="009A763F">
        <w:t xml:space="preserve">, </w:t>
      </w:r>
      <w:r w:rsidRPr="009A763F">
        <w:rPr>
          <w:i/>
          <w:iCs/>
        </w:rPr>
        <w:t>58</w:t>
      </w:r>
      <w:r w:rsidRPr="009A763F">
        <w:t>(19), 8299–8312. https://doi.org/10.1021/acs.est.3c07756</w:t>
      </w:r>
    </w:p>
    <w:p w14:paraId="4B9C6089" w14:textId="77777777" w:rsidR="00BF0126" w:rsidRPr="009A763F" w:rsidRDefault="00BF0126" w:rsidP="00BF0126">
      <w:pPr>
        <w:pStyle w:val="Bibliography"/>
      </w:pPr>
      <w:r w:rsidRPr="009A763F">
        <w:t xml:space="preserve">Friedlingstein, P., O’Sullivan, M., Jones, M. W., Andrew, R. M., Hauck, J., Landschützer, P., et al. (2024). Global Carbon Budget 2024. </w:t>
      </w:r>
      <w:r w:rsidRPr="009A763F">
        <w:rPr>
          <w:i/>
          <w:iCs/>
        </w:rPr>
        <w:t>Earth System Science Data Discussions</w:t>
      </w:r>
      <w:r w:rsidRPr="009A763F">
        <w:t xml:space="preserve">, </w:t>
      </w:r>
      <w:r w:rsidRPr="009A763F">
        <w:rPr>
          <w:i/>
          <w:iCs/>
        </w:rPr>
        <w:t>2024</w:t>
      </w:r>
      <w:r w:rsidRPr="009A763F">
        <w:t>, 1–133. https://doi.org/10.5194/essd-2024-519</w:t>
      </w:r>
    </w:p>
    <w:p w14:paraId="493043DB" w14:textId="77777777" w:rsidR="00BF0126" w:rsidRPr="009A763F" w:rsidRDefault="00BF0126" w:rsidP="00BF0126">
      <w:pPr>
        <w:pStyle w:val="Bibliography"/>
      </w:pPr>
      <w:r w:rsidRPr="009A763F">
        <w:lastRenderedPageBreak/>
        <w:t xml:space="preserve">Fuentes Andrade, B., Buchwitz, M., Reuter, M., Bovensmann, H., Richter, A., Boesch, H., &amp; Burrows, J. P. (2024). A method for estimating localized CO₂ emissions from co-located satellite XCO₂ and NO₂ images. </w:t>
      </w:r>
      <w:r w:rsidRPr="009A763F">
        <w:rPr>
          <w:i/>
          <w:iCs/>
        </w:rPr>
        <w:t>Atmospheric Measurement Techniques</w:t>
      </w:r>
      <w:r w:rsidRPr="009A763F">
        <w:t xml:space="preserve">, </w:t>
      </w:r>
      <w:r w:rsidRPr="009A763F">
        <w:rPr>
          <w:i/>
          <w:iCs/>
        </w:rPr>
        <w:t>17</w:t>
      </w:r>
      <w:r w:rsidRPr="009A763F">
        <w:t>(3), 1145–1173. https://doi.org/10.5194/amt-17-1145-2024</w:t>
      </w:r>
    </w:p>
    <w:p w14:paraId="5BA80B76" w14:textId="77777777" w:rsidR="00BF0126" w:rsidRPr="009A763F" w:rsidRDefault="00BF0126" w:rsidP="00BF0126">
      <w:pPr>
        <w:pStyle w:val="Bibliography"/>
      </w:pPr>
      <w:r w:rsidRPr="009A763F">
        <w:t xml:space="preserve">Gately, C. K., Hutyra, L. R., &amp; Sue Wing, I. (2015). Cities, traffic, and CO2: A multidecadal assessment of trends, drivers, and scaling relationships. </w:t>
      </w:r>
      <w:r w:rsidRPr="009A763F">
        <w:rPr>
          <w:i/>
          <w:iCs/>
        </w:rPr>
        <w:t>Proceedings of the National Academy of Sciences</w:t>
      </w:r>
      <w:r w:rsidRPr="009A763F">
        <w:t xml:space="preserve">, </w:t>
      </w:r>
      <w:r w:rsidRPr="009A763F">
        <w:rPr>
          <w:i/>
          <w:iCs/>
        </w:rPr>
        <w:t>112</w:t>
      </w:r>
      <w:r w:rsidRPr="009A763F">
        <w:t>(16), 4999–5004. https://doi.org/10.1073/pnas.1421723112</w:t>
      </w:r>
    </w:p>
    <w:p w14:paraId="58CCA514" w14:textId="77777777" w:rsidR="00BF0126" w:rsidRPr="009A763F" w:rsidRDefault="00BF0126" w:rsidP="00BF0126">
      <w:pPr>
        <w:pStyle w:val="Bibliography"/>
      </w:pPr>
      <w:r w:rsidRPr="009A763F">
        <w:t xml:space="preserve">Goldberg, D. L., Lu, Z., Oda, T., Lamsal, L. N., Liu, F., Griffin, D., et al. (2019). Exploiting OMI NO2 satellite observations to infer fossil-fuel CO2 emissions from U.S. megacities. </w:t>
      </w:r>
      <w:r w:rsidRPr="009A763F">
        <w:rPr>
          <w:i/>
          <w:iCs/>
        </w:rPr>
        <w:t>Science of The Total Environment</w:t>
      </w:r>
      <w:r w:rsidRPr="009A763F">
        <w:t xml:space="preserve">, </w:t>
      </w:r>
      <w:r w:rsidRPr="009A763F">
        <w:rPr>
          <w:i/>
          <w:iCs/>
        </w:rPr>
        <w:t>695</w:t>
      </w:r>
      <w:r w:rsidRPr="009A763F">
        <w:t>, 133805. https://doi.org/10.1016/j.scitotenv.2019.133805</w:t>
      </w:r>
    </w:p>
    <w:p w14:paraId="3DE5C9BB" w14:textId="77777777" w:rsidR="00BF0126" w:rsidRPr="009A763F" w:rsidRDefault="00BF0126" w:rsidP="00BF0126">
      <w:pPr>
        <w:pStyle w:val="Bibliography"/>
      </w:pPr>
      <w:r w:rsidRPr="009A763F">
        <w:t xml:space="preserve">Gudipudi, R., Fluschnik, T., Ros, A. G. C., Walther, C., &amp; Kropp, J. P. (2016). City density and CO2 efficiency. </w:t>
      </w:r>
      <w:r w:rsidRPr="009A763F">
        <w:rPr>
          <w:i/>
          <w:iCs/>
        </w:rPr>
        <w:t>Energy Policy</w:t>
      </w:r>
      <w:r w:rsidRPr="009A763F">
        <w:t xml:space="preserve">, </w:t>
      </w:r>
      <w:r w:rsidRPr="009A763F">
        <w:rPr>
          <w:i/>
          <w:iCs/>
        </w:rPr>
        <w:t>91</w:t>
      </w:r>
      <w:r w:rsidRPr="009A763F">
        <w:t>, 352–361. https://doi.org/10.1016/j.enpol.2016.01.015</w:t>
      </w:r>
    </w:p>
    <w:p w14:paraId="3378E021" w14:textId="77777777" w:rsidR="00BF0126" w:rsidRPr="009A763F" w:rsidRDefault="00BF0126" w:rsidP="00BF0126">
      <w:pPr>
        <w:pStyle w:val="Bibliography"/>
      </w:pPr>
      <w:r w:rsidRPr="009A763F">
        <w:t xml:space="preserve">Gudipudi, R., Rybski, D., Lüdeke, M. K. B., Zhou, B., Liu, Z., &amp; Kropp, J. P. (2019). The efficient, the intensive, and the productive: Insights from urban Kaya scaling. </w:t>
      </w:r>
      <w:r w:rsidRPr="009A763F">
        <w:rPr>
          <w:i/>
          <w:iCs/>
        </w:rPr>
        <w:t>Applied Energy</w:t>
      </w:r>
      <w:r w:rsidRPr="009A763F">
        <w:t xml:space="preserve">, </w:t>
      </w:r>
      <w:r w:rsidRPr="009A763F">
        <w:rPr>
          <w:i/>
          <w:iCs/>
        </w:rPr>
        <w:t>236</w:t>
      </w:r>
      <w:r w:rsidRPr="009A763F">
        <w:t>, 155–162. https://doi.org/10.1016/j.apenergy.2018.11.054</w:t>
      </w:r>
    </w:p>
    <w:p w14:paraId="3F3B199F" w14:textId="77777777" w:rsidR="00BF0126" w:rsidRPr="009A763F" w:rsidRDefault="00BF0126" w:rsidP="00BF0126">
      <w:pPr>
        <w:pStyle w:val="Bibliography"/>
      </w:pPr>
      <w:r w:rsidRPr="009A763F">
        <w:t xml:space="preserve">Gurney, K. R., Liang, J., Roest, G., Song, Y., Mueller, K., &amp; Lauvaux, T. (2021). Under-reporting of greenhouse gas emissions in U.S. cities. </w:t>
      </w:r>
      <w:r w:rsidRPr="009A763F">
        <w:rPr>
          <w:i/>
          <w:iCs/>
        </w:rPr>
        <w:t>Nature Communications</w:t>
      </w:r>
      <w:r w:rsidRPr="009A763F">
        <w:t xml:space="preserve">, </w:t>
      </w:r>
      <w:r w:rsidRPr="009A763F">
        <w:rPr>
          <w:i/>
          <w:iCs/>
        </w:rPr>
        <w:t>12</w:t>
      </w:r>
      <w:r w:rsidRPr="009A763F">
        <w:t>(1), 553. https://doi.org/10.1038/s41467-020-20871-0</w:t>
      </w:r>
    </w:p>
    <w:p w14:paraId="5952B51D" w14:textId="77777777" w:rsidR="00BF0126" w:rsidRPr="009A763F" w:rsidRDefault="00BF0126" w:rsidP="00BF0126">
      <w:pPr>
        <w:pStyle w:val="Bibliography"/>
      </w:pPr>
      <w:r w:rsidRPr="009A763F">
        <w:t xml:space="preserve">Hedelius, J. K., Liu, J., Oda, T., Maksyutov, S., Roehl, C. M., Iraci, L. T., et al. (2018). Southern California megacity \chemCO_2, \chemCH_4, and CO flux estimates using ground- and space-based remote sensing and a Lagrangian model. </w:t>
      </w:r>
      <w:r w:rsidRPr="009A763F">
        <w:rPr>
          <w:i/>
          <w:iCs/>
        </w:rPr>
        <w:t>Atmospheric Chemistry and Physics</w:t>
      </w:r>
      <w:r w:rsidRPr="009A763F">
        <w:t xml:space="preserve">, </w:t>
      </w:r>
      <w:r w:rsidRPr="009A763F">
        <w:rPr>
          <w:i/>
          <w:iCs/>
        </w:rPr>
        <w:t>18</w:t>
      </w:r>
      <w:r w:rsidRPr="009A763F">
        <w:t>(22), 16271–16291. https://doi.org/10.5194/acp-18-16271-2018</w:t>
      </w:r>
    </w:p>
    <w:p w14:paraId="54FAF6E5" w14:textId="77777777" w:rsidR="00BF0126" w:rsidRPr="009A763F" w:rsidRDefault="00BF0126" w:rsidP="00BF0126">
      <w:pPr>
        <w:pStyle w:val="Bibliography"/>
      </w:pPr>
      <w:r w:rsidRPr="009A763F">
        <w:t xml:space="preserve">Hersbach, H., Bell, B., Berrisford, P., Hirahara, S., Horányi, A., Muñoz-Sabater, J., et al. (2020). The ERA5 global reanalysis. </w:t>
      </w:r>
      <w:r w:rsidRPr="009A763F">
        <w:rPr>
          <w:i/>
          <w:iCs/>
        </w:rPr>
        <w:t>Quarterly Journal of the Royal Meteorological Society</w:t>
      </w:r>
      <w:r w:rsidRPr="009A763F">
        <w:t xml:space="preserve">, </w:t>
      </w:r>
      <w:r w:rsidRPr="009A763F">
        <w:rPr>
          <w:i/>
          <w:iCs/>
        </w:rPr>
        <w:t>146</w:t>
      </w:r>
      <w:r w:rsidRPr="009A763F">
        <w:t>(730), 1999–2049. https://doi.org/10.1002/qj.3803</w:t>
      </w:r>
    </w:p>
    <w:p w14:paraId="3ADE9578" w14:textId="77777777" w:rsidR="00BF0126" w:rsidRPr="009A763F" w:rsidRDefault="00BF0126" w:rsidP="00BF0126">
      <w:pPr>
        <w:pStyle w:val="Bibliography"/>
      </w:pPr>
      <w:r w:rsidRPr="009A763F">
        <w:t xml:space="preserve">Hoerter, D., &amp; Wiseman, M. (1988). Metropolitan development in the San Francisco Bay Area. </w:t>
      </w:r>
      <w:r w:rsidRPr="009A763F">
        <w:rPr>
          <w:i/>
          <w:iCs/>
        </w:rPr>
        <w:t>The Annals of Regional Science</w:t>
      </w:r>
      <w:r w:rsidRPr="009A763F">
        <w:t xml:space="preserve">, </w:t>
      </w:r>
      <w:r w:rsidRPr="009A763F">
        <w:rPr>
          <w:i/>
          <w:iCs/>
        </w:rPr>
        <w:t>22</w:t>
      </w:r>
      <w:r w:rsidRPr="009A763F">
        <w:t>(3), 11–33. https://doi.org/10.1007/BF01283650</w:t>
      </w:r>
    </w:p>
    <w:p w14:paraId="0818F41D" w14:textId="77777777" w:rsidR="00BF0126" w:rsidRPr="009A763F" w:rsidRDefault="00BF0126" w:rsidP="00BF0126">
      <w:pPr>
        <w:pStyle w:val="Bibliography"/>
      </w:pPr>
      <w:r w:rsidRPr="009A763F">
        <w:t xml:space="preserve">Katircioğlu, S., &amp; Katircioğlu, S. (2018). Testing the role of urban development in the conventional Environmental Kuznets Curve: evidence from Turkey. </w:t>
      </w:r>
      <w:r w:rsidRPr="009A763F">
        <w:rPr>
          <w:i/>
          <w:iCs/>
        </w:rPr>
        <w:t>Applied Economics Letters</w:t>
      </w:r>
      <w:r w:rsidRPr="009A763F">
        <w:t xml:space="preserve">, </w:t>
      </w:r>
      <w:r w:rsidRPr="009A763F">
        <w:rPr>
          <w:i/>
          <w:iCs/>
        </w:rPr>
        <w:t>25</w:t>
      </w:r>
      <w:r w:rsidRPr="009A763F">
        <w:t>(11), 741–746. https://doi.org/10.1080/13504851.2017.1361004</w:t>
      </w:r>
    </w:p>
    <w:p w14:paraId="4059B601" w14:textId="77777777" w:rsidR="00BF0126" w:rsidRPr="009A763F" w:rsidRDefault="00BF0126" w:rsidP="00BF0126">
      <w:pPr>
        <w:pStyle w:val="Bibliography"/>
      </w:pPr>
      <w:r w:rsidRPr="009A763F">
        <w:lastRenderedPageBreak/>
        <w:t xml:space="preserve">Kaya, Y., &amp; Yokobori, K. (1997). </w:t>
      </w:r>
      <w:r w:rsidRPr="009A763F">
        <w:rPr>
          <w:i/>
          <w:iCs/>
        </w:rPr>
        <w:t>Environment, energy, and economy: strategies for sustainability</w:t>
      </w:r>
      <w:r w:rsidRPr="009A763F">
        <w:t xml:space="preserve"> (Vol. 4). United Nations University Press Tokyo.</w:t>
      </w:r>
    </w:p>
    <w:p w14:paraId="4CA82A6A" w14:textId="77777777" w:rsidR="00BF0126" w:rsidRPr="009A763F" w:rsidRDefault="00BF0126" w:rsidP="00BF0126">
      <w:pPr>
        <w:pStyle w:val="Bibliography"/>
      </w:pPr>
      <w:r w:rsidRPr="009A763F">
        <w:t xml:space="preserve">Kiel, M., Eldering, A., Roten, D. D., Lin, J. C., Feng, S., Lei, R., et al. (2021). Urban-focused satellite CO2 observations from the Orbiting Carbon Observatory-3: A first look at the Los Angeles megacity. </w:t>
      </w:r>
      <w:r w:rsidRPr="009A763F">
        <w:rPr>
          <w:i/>
          <w:iCs/>
        </w:rPr>
        <w:t>Remote Sensing of Environment</w:t>
      </w:r>
      <w:r w:rsidRPr="009A763F">
        <w:t xml:space="preserve">, </w:t>
      </w:r>
      <w:r w:rsidRPr="009A763F">
        <w:rPr>
          <w:i/>
          <w:iCs/>
        </w:rPr>
        <w:t>258</w:t>
      </w:r>
      <w:r w:rsidRPr="009A763F">
        <w:t>, 112314. https://doi.org/10.1016/j.rse.2021.112314</w:t>
      </w:r>
    </w:p>
    <w:p w14:paraId="6A700D7B" w14:textId="77777777" w:rsidR="00BF0126" w:rsidRPr="009A763F" w:rsidRDefault="00BF0126" w:rsidP="00BF0126">
      <w:pPr>
        <w:pStyle w:val="Bibliography"/>
      </w:pPr>
      <w:r w:rsidRPr="009A763F">
        <w:t xml:space="preserve">Kleiman, G., Anenberg, S. C., Chafe, Z. A., Appiah, D. C., Assefa, T., Bizberg, A., et al. (2022). Enhanced Integration of Health, Climate, and Air Quality Management Planning at the Urban Scale. </w:t>
      </w:r>
      <w:r w:rsidRPr="009A763F">
        <w:rPr>
          <w:i/>
          <w:iCs/>
        </w:rPr>
        <w:t>Frontiers in Sustainable Cities</w:t>
      </w:r>
      <w:r w:rsidRPr="009A763F">
        <w:t xml:space="preserve">, </w:t>
      </w:r>
      <w:r w:rsidRPr="009A763F">
        <w:rPr>
          <w:i/>
          <w:iCs/>
        </w:rPr>
        <w:t>4</w:t>
      </w:r>
      <w:r w:rsidRPr="009A763F">
        <w:t>. https://doi.org/10.3389/frsc.2022.934672</w:t>
      </w:r>
    </w:p>
    <w:p w14:paraId="67C213E1" w14:textId="77777777" w:rsidR="00BF0126" w:rsidRPr="009A763F" w:rsidRDefault="00BF0126" w:rsidP="00BF0126">
      <w:pPr>
        <w:pStyle w:val="Bibliography"/>
      </w:pPr>
      <w:r w:rsidRPr="009A763F">
        <w:t xml:space="preserve">Kort, E. A., Frankenberg, C., Miller, C. E., &amp; Oda, T. (2012). Space-based observations of megacity carbon dioxide. </w:t>
      </w:r>
      <w:r w:rsidRPr="009A763F">
        <w:rPr>
          <w:i/>
          <w:iCs/>
        </w:rPr>
        <w:t>Geophysical Research Letters</w:t>
      </w:r>
      <w:r w:rsidRPr="009A763F">
        <w:t xml:space="preserve">, </w:t>
      </w:r>
      <w:r w:rsidRPr="009A763F">
        <w:rPr>
          <w:i/>
          <w:iCs/>
        </w:rPr>
        <w:t>39</w:t>
      </w:r>
      <w:r w:rsidRPr="009A763F">
        <w:t>(17). https://doi.org/10.1029/2012GL052738</w:t>
      </w:r>
    </w:p>
    <w:p w14:paraId="1B8183AB" w14:textId="77777777" w:rsidR="00BF0126" w:rsidRPr="009A763F" w:rsidRDefault="00BF0126" w:rsidP="00BF0126">
      <w:pPr>
        <w:pStyle w:val="Bibliography"/>
      </w:pPr>
      <w:r w:rsidRPr="009A763F">
        <w:t xml:space="preserve">Lei, R., Feng, S., Xu, Y., Tran, S., Ramonet, M., Grutter, M., et al. (2022). Reconciliation of asynchronous satellite-based NO2 and XCO2 enhancements with mesoscale modeling over two urban landscapes. </w:t>
      </w:r>
      <w:r w:rsidRPr="009A763F">
        <w:rPr>
          <w:i/>
          <w:iCs/>
        </w:rPr>
        <w:t>Remote Sensing of Environment</w:t>
      </w:r>
      <w:r w:rsidRPr="009A763F">
        <w:t xml:space="preserve">, </w:t>
      </w:r>
      <w:r w:rsidRPr="009A763F">
        <w:rPr>
          <w:i/>
          <w:iCs/>
        </w:rPr>
        <w:t>281</w:t>
      </w:r>
      <w:r w:rsidRPr="009A763F">
        <w:t>, 113241. https://doi.org/10.1016/j.rse.2022.113241</w:t>
      </w:r>
    </w:p>
    <w:p w14:paraId="52A5044C" w14:textId="77777777" w:rsidR="00BF0126" w:rsidRPr="009A763F" w:rsidRDefault="00BF0126" w:rsidP="00BF0126">
      <w:pPr>
        <w:pStyle w:val="Bibliography"/>
      </w:pPr>
      <w:r w:rsidRPr="009A763F">
        <w:t xml:space="preserve">Liu, F., Duncan, B. N., Krotkov, N. A., Lamsal, L. N., Beirle, S., Griffin, D., et al. (2020). A methodology to constrain carbon dioxide emissions from coal-fired power plants using satellite observations of co-emitted nitrogen dioxide. </w:t>
      </w:r>
      <w:r w:rsidRPr="009A763F">
        <w:rPr>
          <w:i/>
          <w:iCs/>
        </w:rPr>
        <w:t>Atmospheric Chemistry and Physics</w:t>
      </w:r>
      <w:r w:rsidRPr="009A763F">
        <w:t xml:space="preserve">, </w:t>
      </w:r>
      <w:r w:rsidRPr="009A763F">
        <w:rPr>
          <w:i/>
          <w:iCs/>
        </w:rPr>
        <w:t>20</w:t>
      </w:r>
      <w:r w:rsidRPr="009A763F">
        <w:t>(1), 99–116. https://doi.org/10.5194/acp-20-99-2020</w:t>
      </w:r>
    </w:p>
    <w:p w14:paraId="1FA2B4E6" w14:textId="77777777" w:rsidR="00BF0126" w:rsidRPr="009A763F" w:rsidRDefault="00BF0126" w:rsidP="00BF0126">
      <w:pPr>
        <w:pStyle w:val="Bibliography"/>
      </w:pPr>
      <w:r w:rsidRPr="009A763F">
        <w:t xml:space="preserve">Liu, J., Bowman, K. W., Schimel, D. S., Parazoo, N. C., Jiang, Z., Lee, M., et al. (2017). Contrasting carbon cycle responses of the tropical continents to the 2015–2016 El Niño. </w:t>
      </w:r>
      <w:r w:rsidRPr="009A763F">
        <w:rPr>
          <w:i/>
          <w:iCs/>
        </w:rPr>
        <w:t>Science</w:t>
      </w:r>
      <w:r w:rsidRPr="009A763F">
        <w:t xml:space="preserve">, </w:t>
      </w:r>
      <w:r w:rsidRPr="009A763F">
        <w:rPr>
          <w:i/>
          <w:iCs/>
        </w:rPr>
        <w:t>358</w:t>
      </w:r>
      <w:r w:rsidRPr="009A763F">
        <w:t>(6360), eaam5690. https://doi.org/10.1126/science.aam5690</w:t>
      </w:r>
    </w:p>
    <w:p w14:paraId="40029480" w14:textId="77777777" w:rsidR="00BF0126" w:rsidRPr="009A763F" w:rsidRDefault="00BF0126" w:rsidP="00BF0126">
      <w:pPr>
        <w:pStyle w:val="Bibliography"/>
      </w:pPr>
      <w:r w:rsidRPr="009A763F">
        <w:t xml:space="preserve">Liu, Z., Guan, D., Wei, W., Davis, S. J., Ciais, P., Bai, J., et al. (2015). Reduced carbon emission estimates from fossil fuel combustion and cement production in China. </w:t>
      </w:r>
      <w:r w:rsidRPr="009A763F">
        <w:rPr>
          <w:i/>
          <w:iCs/>
        </w:rPr>
        <w:t>Nature</w:t>
      </w:r>
      <w:r w:rsidRPr="009A763F">
        <w:t xml:space="preserve">, </w:t>
      </w:r>
      <w:r w:rsidRPr="009A763F">
        <w:rPr>
          <w:i/>
          <w:iCs/>
        </w:rPr>
        <w:t>524</w:t>
      </w:r>
      <w:r w:rsidRPr="009A763F">
        <w:t>(7565), 335–338. https://doi.org/10.1038/nature14677</w:t>
      </w:r>
    </w:p>
    <w:p w14:paraId="3E07CE23" w14:textId="77777777" w:rsidR="00BF0126" w:rsidRPr="009A763F" w:rsidRDefault="00BF0126" w:rsidP="00BF0126">
      <w:pPr>
        <w:pStyle w:val="Bibliography"/>
      </w:pPr>
      <w:r w:rsidRPr="009A763F">
        <w:t xml:space="preserve">Luqman, M., Rayner, P. J., &amp; Gurney, K. R. (2023). On the impact of urbanisation on CO2 emissions. </w:t>
      </w:r>
      <w:r w:rsidRPr="009A763F">
        <w:rPr>
          <w:i/>
          <w:iCs/>
        </w:rPr>
        <w:t>Npj Urban Sustainability</w:t>
      </w:r>
      <w:r w:rsidRPr="009A763F">
        <w:t xml:space="preserve">, </w:t>
      </w:r>
      <w:r w:rsidRPr="009A763F">
        <w:rPr>
          <w:i/>
          <w:iCs/>
        </w:rPr>
        <w:t>3</w:t>
      </w:r>
      <w:r w:rsidRPr="009A763F">
        <w:t>(1), 6. https://doi.org/10.1038/s42949-023-00084-2</w:t>
      </w:r>
    </w:p>
    <w:p w14:paraId="4C7BF42C" w14:textId="77777777" w:rsidR="00BF0126" w:rsidRPr="009A763F" w:rsidRDefault="00BF0126" w:rsidP="00BF0126">
      <w:pPr>
        <w:pStyle w:val="Bibliography"/>
      </w:pPr>
      <w:r w:rsidRPr="009A763F">
        <w:t xml:space="preserve">Lwasa, S., Seto, K., Bai, X., Blanco, H., Gurney, K., Kılkış, Ş., et al. (2022). Urban systems and other settlements. In IPCC, 2022: Climate Change 2022: Mitigation of Climate Change. Contribution of Working Group III to the Sixth Assessment Report of the Intergovernmental Panel on Climate Change[P.R. Shukla, J. Skea, R. </w:t>
      </w:r>
      <w:r w:rsidRPr="009A763F">
        <w:lastRenderedPageBreak/>
        <w:t xml:space="preserve">Slade, A. Al Khourdajie, R. van Diemen, D. McCollum, M. Pathak, S. Some, P. Vyas, R. Fradera, M. Belkacemi, A. Hasija, G. Lisboa, S. Luz, J. Malley, (eds.)]. </w:t>
      </w:r>
      <w:r w:rsidRPr="009A763F">
        <w:rPr>
          <w:i/>
          <w:iCs/>
        </w:rPr>
        <w:t>Cambridge University Press, Cambridge, UK and New York, NY, USA</w:t>
      </w:r>
      <w:r w:rsidRPr="009A763F">
        <w:t>, 861–952. https://doi.org/10.1017/9781009157926.010</w:t>
      </w:r>
    </w:p>
    <w:p w14:paraId="4A53258F" w14:textId="77777777" w:rsidR="00BF0126" w:rsidRPr="009A763F" w:rsidRDefault="00BF0126" w:rsidP="00BF0126">
      <w:pPr>
        <w:pStyle w:val="Bibliography"/>
      </w:pPr>
      <w:r w:rsidRPr="009A763F">
        <w:t xml:space="preserve">Naicker, R., &amp; Allopi, D. (2015). The Need for Expansion of the Durban Container Terminal. </w:t>
      </w:r>
      <w:r w:rsidRPr="009A763F">
        <w:rPr>
          <w:i/>
          <w:iCs/>
        </w:rPr>
        <w:t>International Journal of Constructive Research in Civil Engineering</w:t>
      </w:r>
      <w:r w:rsidRPr="009A763F">
        <w:t xml:space="preserve">, </w:t>
      </w:r>
      <w:r w:rsidRPr="009A763F">
        <w:rPr>
          <w:i/>
          <w:iCs/>
        </w:rPr>
        <w:t>1(2) : 33-38</w:t>
      </w:r>
      <w:r w:rsidRPr="009A763F">
        <w:t>. https://www.arcjournals.org/international-journal-of-constructive-research-in-civil-engineering/volume-1-issue-2/5</w:t>
      </w:r>
    </w:p>
    <w:p w14:paraId="72D4B62A" w14:textId="77777777" w:rsidR="00BF0126" w:rsidRPr="009A763F" w:rsidRDefault="00BF0126" w:rsidP="00BF0126">
      <w:pPr>
        <w:pStyle w:val="Bibliography"/>
      </w:pPr>
      <w:r w:rsidRPr="009A763F">
        <w:t xml:space="preserve">Nassar, R., Napier-Linton, L., Gurney, K. R., Andres, R. J., Oda, T., Vogel, F. R., &amp; Deng, F. (2013). Improving the temporal and spatial distribution of CO2 emissions from global fossil fuel emission data sets. </w:t>
      </w:r>
      <w:r w:rsidRPr="009A763F">
        <w:rPr>
          <w:i/>
          <w:iCs/>
        </w:rPr>
        <w:t>Journal of Geophysical Research: Atmospheres</w:t>
      </w:r>
      <w:r w:rsidRPr="009A763F">
        <w:t xml:space="preserve">, </w:t>
      </w:r>
      <w:r w:rsidRPr="009A763F">
        <w:rPr>
          <w:i/>
          <w:iCs/>
        </w:rPr>
        <w:t>118</w:t>
      </w:r>
      <w:r w:rsidRPr="009A763F">
        <w:t>(2), 917–933. https://doi.org/10.1029/2012JD018196</w:t>
      </w:r>
    </w:p>
    <w:p w14:paraId="655D5394" w14:textId="77777777" w:rsidR="00BF0126" w:rsidRPr="009A763F" w:rsidRDefault="00BF0126" w:rsidP="00BF0126">
      <w:pPr>
        <w:pStyle w:val="Bibliography"/>
      </w:pPr>
      <w:r w:rsidRPr="009A763F">
        <w:t xml:space="preserve">Newman, P., 1945-, &amp; Kenworthy, J. R., 1955-. (1989). </w:t>
      </w:r>
      <w:r w:rsidRPr="009A763F">
        <w:rPr>
          <w:i/>
          <w:iCs/>
        </w:rPr>
        <w:t>Cities and automobile dependence : a sourcebook</w:t>
      </w:r>
      <w:r w:rsidRPr="009A763F">
        <w:t>. Aldershot, Hants., England: Gower Technical.</w:t>
      </w:r>
    </w:p>
    <w:p w14:paraId="485C4B60" w14:textId="77777777" w:rsidR="00BF0126" w:rsidRPr="009A763F" w:rsidRDefault="00BF0126" w:rsidP="00BF0126">
      <w:pPr>
        <w:pStyle w:val="Bibliography"/>
      </w:pPr>
      <w:r w:rsidRPr="009A763F">
        <w:t xml:space="preserve">Oda, T., Maksyutov, S., &amp; Andres, R. J. (2018). The Open-source Data Inventory for Anthropogenic CO₂, version 2016 (ODIAC2016): a global monthly fossil fuel CO₂ gridded emissions data product for tracer transport simulations and surface flux inversions. </w:t>
      </w:r>
      <w:r w:rsidRPr="009A763F">
        <w:rPr>
          <w:i/>
          <w:iCs/>
        </w:rPr>
        <w:t>Earth System Science Data</w:t>
      </w:r>
      <w:r w:rsidRPr="009A763F">
        <w:t xml:space="preserve">, </w:t>
      </w:r>
      <w:r w:rsidRPr="009A763F">
        <w:rPr>
          <w:i/>
          <w:iCs/>
        </w:rPr>
        <w:t>10</w:t>
      </w:r>
      <w:r w:rsidRPr="009A763F">
        <w:t>(1), 87–107. https://doi.org/10.5194/essd-10-87-2018</w:t>
      </w:r>
    </w:p>
    <w:p w14:paraId="17C49052" w14:textId="77777777" w:rsidR="00BF0126" w:rsidRPr="009A763F" w:rsidRDefault="00BF0126" w:rsidP="00BF0126">
      <w:pPr>
        <w:pStyle w:val="Bibliography"/>
      </w:pPr>
      <w:r w:rsidRPr="009A763F">
        <w:t xml:space="preserve">Oda, Tomohiro, &amp; Maksyutov, S. (2015). ODIAC Fossil Fuel CO2 Emissions Dataset (ODIAC2022). </w:t>
      </w:r>
      <w:r w:rsidRPr="009A763F">
        <w:rPr>
          <w:i/>
          <w:iCs/>
        </w:rPr>
        <w:t>Center for Global Environmental Research, National Institute for Environmental Studies</w:t>
      </w:r>
      <w:r w:rsidRPr="009A763F">
        <w:t>. https://doi.org/10.17595/20170411.001</w:t>
      </w:r>
    </w:p>
    <w:p w14:paraId="6AE16996" w14:textId="77777777" w:rsidR="00BF0126" w:rsidRPr="009A763F" w:rsidRDefault="00BF0126" w:rsidP="00BF0126">
      <w:pPr>
        <w:pStyle w:val="Bibliography"/>
      </w:pPr>
      <w:r w:rsidRPr="009A763F">
        <w:t xml:space="preserve">Rambakus, Z., Hoque, M., &amp; Gerwel Proches, C. N. (2020). Evaluating the extent of intrapreneurship in a sugar producing company in KwaZulu-Natal, South Africa. </w:t>
      </w:r>
      <w:r w:rsidRPr="009A763F">
        <w:rPr>
          <w:i/>
          <w:iCs/>
        </w:rPr>
        <w:t>Cogent Business &amp; Management</w:t>
      </w:r>
      <w:r w:rsidRPr="009A763F">
        <w:t xml:space="preserve">, </w:t>
      </w:r>
      <w:r w:rsidRPr="009A763F">
        <w:rPr>
          <w:i/>
          <w:iCs/>
        </w:rPr>
        <w:t>7</w:t>
      </w:r>
      <w:r w:rsidRPr="009A763F">
        <w:t>(1), 1736848. https://doi.org/10.1080/23311975.2020.1736848</w:t>
      </w:r>
    </w:p>
    <w:p w14:paraId="649C8A7D" w14:textId="77777777" w:rsidR="00BF0126" w:rsidRPr="009A763F" w:rsidRDefault="00BF0126" w:rsidP="00BF0126">
      <w:pPr>
        <w:pStyle w:val="Bibliography"/>
      </w:pPr>
      <w:r w:rsidRPr="009A763F">
        <w:t xml:space="preserve">Reuter, M., Buchwitz, M., Schneising, O., Krautwurst, S., O’Dell, C. W., Richter, A., et al. (2019). Towards monitoring localized CO2 emissions from space: co-located regional CO2 and NO2 enhancements observed by the OCO-2 and S5P satellites. </w:t>
      </w:r>
      <w:r w:rsidRPr="009A763F">
        <w:rPr>
          <w:i/>
          <w:iCs/>
        </w:rPr>
        <w:t>Atmospheric Chemistry and Physics</w:t>
      </w:r>
      <w:r w:rsidRPr="009A763F">
        <w:t xml:space="preserve">, </w:t>
      </w:r>
      <w:r w:rsidRPr="009A763F">
        <w:rPr>
          <w:i/>
          <w:iCs/>
        </w:rPr>
        <w:t>19</w:t>
      </w:r>
      <w:r w:rsidRPr="009A763F">
        <w:t>(14), 9371–9383. https://doi.org/10.5194/acp-19-9371-2019</w:t>
      </w:r>
    </w:p>
    <w:p w14:paraId="6479C5EF" w14:textId="77777777" w:rsidR="00BF0126" w:rsidRPr="009A763F" w:rsidRDefault="00BF0126" w:rsidP="00BF0126">
      <w:pPr>
        <w:pStyle w:val="Bibliography"/>
      </w:pPr>
      <w:r w:rsidRPr="009A763F">
        <w:t xml:space="preserve">Ribeiro, H. V., Rybski, D., &amp; Kropp, J. P. (2019). Effects of changing population or density on urban carbon dioxide emissions. </w:t>
      </w:r>
      <w:r w:rsidRPr="009A763F">
        <w:rPr>
          <w:i/>
          <w:iCs/>
        </w:rPr>
        <w:t>Nature Communications</w:t>
      </w:r>
      <w:r w:rsidRPr="009A763F">
        <w:t xml:space="preserve">, </w:t>
      </w:r>
      <w:r w:rsidRPr="009A763F">
        <w:rPr>
          <w:i/>
          <w:iCs/>
        </w:rPr>
        <w:t>10</w:t>
      </w:r>
      <w:r w:rsidRPr="009A763F">
        <w:t>(1), 3204. https://doi.org/10.1038/s41467-019-11184-y</w:t>
      </w:r>
    </w:p>
    <w:p w14:paraId="2EAB4A93" w14:textId="77777777" w:rsidR="00BF0126" w:rsidRPr="009A763F" w:rsidRDefault="00BF0126" w:rsidP="00BF0126">
      <w:pPr>
        <w:pStyle w:val="Bibliography"/>
      </w:pPr>
      <w:r w:rsidRPr="009A763F">
        <w:lastRenderedPageBreak/>
        <w:t xml:space="preserve">Roberts, M., &amp; Mukim, M. (2023). </w:t>
      </w:r>
      <w:r w:rsidRPr="009A763F">
        <w:rPr>
          <w:i/>
          <w:iCs/>
        </w:rPr>
        <w:t>Thriving: Making Cities Green, Resilient, and Inclusive in a Changing Climate</w:t>
      </w:r>
      <w:r w:rsidRPr="009A763F">
        <w:t>. World Bank Publications.</w:t>
      </w:r>
    </w:p>
    <w:p w14:paraId="7C58C0B1" w14:textId="77777777" w:rsidR="00BF0126" w:rsidRPr="009A763F" w:rsidRDefault="00BF0126" w:rsidP="00BF0126">
      <w:pPr>
        <w:pStyle w:val="Bibliography"/>
      </w:pPr>
      <w:r w:rsidRPr="009A763F">
        <w:t xml:space="preserve">Roten, D., Lin, J. C., Das, S., &amp; Kort, E. A. (2023). Constraining Sector-Specific CO2 Fluxes Using Space-Based XCO2 Observations Over the Los Angeles Basin. </w:t>
      </w:r>
      <w:r w:rsidRPr="009A763F">
        <w:rPr>
          <w:i/>
          <w:iCs/>
        </w:rPr>
        <w:t>Geophysical Research Letters</w:t>
      </w:r>
      <w:r w:rsidRPr="009A763F">
        <w:t xml:space="preserve">, </w:t>
      </w:r>
      <w:r w:rsidRPr="009A763F">
        <w:rPr>
          <w:i/>
          <w:iCs/>
        </w:rPr>
        <w:t>50</w:t>
      </w:r>
      <w:r w:rsidRPr="009A763F">
        <w:t>(21), e2023GL104376. https://doi.org/10.1029/2023GL104376</w:t>
      </w:r>
    </w:p>
    <w:p w14:paraId="73E53797" w14:textId="77777777" w:rsidR="00BF0126" w:rsidRPr="009A763F" w:rsidRDefault="00BF0126" w:rsidP="00BF0126">
      <w:pPr>
        <w:pStyle w:val="Bibliography"/>
      </w:pPr>
      <w:r w:rsidRPr="009A763F">
        <w:t xml:space="preserve">Salahuddin, M., Ali, Md. I., Vink, N., &amp; Gow, J. (2019). The effects of urbanization and globalization on CO2 emissions: evidence from the Sub-Saharan Africa (SSA) countries. </w:t>
      </w:r>
      <w:r w:rsidRPr="009A763F">
        <w:rPr>
          <w:i/>
          <w:iCs/>
        </w:rPr>
        <w:t>Environmental Science and Pollution Research</w:t>
      </w:r>
      <w:r w:rsidRPr="009A763F">
        <w:t xml:space="preserve">, </w:t>
      </w:r>
      <w:r w:rsidRPr="009A763F">
        <w:rPr>
          <w:i/>
          <w:iCs/>
        </w:rPr>
        <w:t>26</w:t>
      </w:r>
      <w:r w:rsidRPr="009A763F">
        <w:t>(3), 2699–2709. https://doi.org/10.1007/s11356-018-3790-4</w:t>
      </w:r>
    </w:p>
    <w:p w14:paraId="3B928E46" w14:textId="77777777" w:rsidR="00BF0126" w:rsidRPr="009A763F" w:rsidRDefault="00BF0126" w:rsidP="00BF0126">
      <w:pPr>
        <w:pStyle w:val="Bibliography"/>
      </w:pPr>
      <w:r w:rsidRPr="009A763F">
        <w:t xml:space="preserve">Schiavina, M., Melchiorri, M., &amp; Pesaresi, M. (2023). GHS-SMOD R2023A - GHS settlement layers, application of the Degree of Urbanisation methodology (stage I) to GHS-POP R2023A and GHS-BUILT-S R2023A, multitemporal (1975-2030). </w:t>
      </w:r>
      <w:r w:rsidRPr="009A763F">
        <w:rPr>
          <w:i/>
          <w:iCs/>
        </w:rPr>
        <w:t>European Commission, Joint Research Centre (JRC)</w:t>
      </w:r>
      <w:r w:rsidRPr="009A763F">
        <w:t>. https://doi.org/10.2905/A0DF7A6F-49DE-46EA-9BDE-563437A6E2BA</w:t>
      </w:r>
    </w:p>
    <w:p w14:paraId="0068D4FF" w14:textId="77777777" w:rsidR="00BF0126" w:rsidRPr="009A763F" w:rsidRDefault="00BF0126" w:rsidP="00BF0126">
      <w:pPr>
        <w:pStyle w:val="Bibliography"/>
      </w:pPr>
      <w:r w:rsidRPr="009A763F">
        <w:t xml:space="preserve">Seto, K. C., Dhakal, S., Bigio, A., Blanco, H., Carlo Delgado, G., Dewar, D., et al. (2014). </w:t>
      </w:r>
      <w:r w:rsidRPr="009A763F">
        <w:rPr>
          <w:i/>
          <w:iCs/>
        </w:rPr>
        <w:t>Human settlements, infrastructure, and spatial planning</w:t>
      </w:r>
      <w:r w:rsidRPr="009A763F">
        <w:t>.</w:t>
      </w:r>
    </w:p>
    <w:p w14:paraId="50BFEBA4" w14:textId="77777777" w:rsidR="00BF0126" w:rsidRPr="009A763F" w:rsidRDefault="00BF0126" w:rsidP="00BF0126">
      <w:pPr>
        <w:pStyle w:val="Bibliography"/>
      </w:pPr>
      <w:r w:rsidRPr="009A763F">
        <w:t xml:space="preserve">Shahbaz, M., Loganathan, N., Muzaffar, A. T., Ahmed, K., &amp; Jabran, M. A. (2016). How urbanization affects CO2 emissions in Malaysia? The application of STIRPAT model. </w:t>
      </w:r>
      <w:r w:rsidRPr="009A763F">
        <w:rPr>
          <w:i/>
          <w:iCs/>
        </w:rPr>
        <w:t>Renewable and Sustainable Energy Reviews</w:t>
      </w:r>
      <w:r w:rsidRPr="009A763F">
        <w:t xml:space="preserve">, </w:t>
      </w:r>
      <w:r w:rsidRPr="009A763F">
        <w:rPr>
          <w:i/>
          <w:iCs/>
        </w:rPr>
        <w:t>57</w:t>
      </w:r>
      <w:r w:rsidRPr="009A763F">
        <w:t>, 83–93. https://doi.org/10.1016/j.rser.2015.12.096</w:t>
      </w:r>
    </w:p>
    <w:p w14:paraId="6DBFC479" w14:textId="77777777" w:rsidR="00BF0126" w:rsidRPr="009A763F" w:rsidRDefault="00BF0126" w:rsidP="00BF0126">
      <w:pPr>
        <w:pStyle w:val="Bibliography"/>
      </w:pPr>
      <w:r w:rsidRPr="009A763F">
        <w:t xml:space="preserve">Solazzo, E., Crippa, M., Guizzardi, D., Muntean, M., Choulga, M., &amp; Janssens-Maenhout, G. (2021). Uncertainties in the Emissions Database for Global Atmospheric Research (EDGAR) emission inventory of greenhouse gases. </w:t>
      </w:r>
      <w:r w:rsidRPr="009A763F">
        <w:rPr>
          <w:i/>
          <w:iCs/>
        </w:rPr>
        <w:t>Atmospheric Chemistry and Physics</w:t>
      </w:r>
      <w:r w:rsidRPr="009A763F">
        <w:t xml:space="preserve">, </w:t>
      </w:r>
      <w:r w:rsidRPr="009A763F">
        <w:rPr>
          <w:i/>
          <w:iCs/>
        </w:rPr>
        <w:t>21</w:t>
      </w:r>
      <w:r w:rsidRPr="009A763F">
        <w:t>(7), 5655–5683. https://doi.org/10.5194/acp-21-5655-2021</w:t>
      </w:r>
    </w:p>
    <w:p w14:paraId="70E152A3" w14:textId="77777777" w:rsidR="00BF0126" w:rsidRPr="009A763F" w:rsidRDefault="00BF0126" w:rsidP="00BF0126">
      <w:pPr>
        <w:pStyle w:val="Bibliography"/>
      </w:pPr>
      <w:r w:rsidRPr="009A763F">
        <w:t xml:space="preserve">Stein, A. F., Draxler, R. R., Rolph, G. D., Stunder, B. J. B., Cohen, M. D., &amp; Ngan, F. (2015). NOAA’s HYSPLIT Atmospheric Transport and Dispersion Modeling System. </w:t>
      </w:r>
      <w:r w:rsidRPr="009A763F">
        <w:rPr>
          <w:i/>
          <w:iCs/>
        </w:rPr>
        <w:t>Bulletin of the American Meteorological Society</w:t>
      </w:r>
      <w:r w:rsidRPr="009A763F">
        <w:t xml:space="preserve">, </w:t>
      </w:r>
      <w:r w:rsidRPr="009A763F">
        <w:rPr>
          <w:i/>
          <w:iCs/>
        </w:rPr>
        <w:t>96</w:t>
      </w:r>
      <w:r w:rsidRPr="009A763F">
        <w:t>(12), 2059–2077. https://doi.org/10.1175/BAMS-D-14-00110.1</w:t>
      </w:r>
    </w:p>
    <w:p w14:paraId="0F2C1AA6" w14:textId="77777777" w:rsidR="00BF0126" w:rsidRPr="009A763F" w:rsidRDefault="00BF0126" w:rsidP="00BF0126">
      <w:pPr>
        <w:pStyle w:val="Bibliography"/>
      </w:pPr>
      <w:r w:rsidRPr="009A763F">
        <w:t xml:space="preserve">Sun, Y., Frankenberg, C., Wood, J. D., Schimel, D. S., Jung, M., Guanter, L., et al. (2017). OCO-2 advances photosynthesis observation from space via solar-induced chlorophyll fluorescence. </w:t>
      </w:r>
      <w:r w:rsidRPr="009A763F">
        <w:rPr>
          <w:i/>
          <w:iCs/>
        </w:rPr>
        <w:t>Science</w:t>
      </w:r>
      <w:r w:rsidRPr="009A763F">
        <w:t xml:space="preserve">, </w:t>
      </w:r>
      <w:r w:rsidRPr="009A763F">
        <w:rPr>
          <w:i/>
          <w:iCs/>
        </w:rPr>
        <w:t>358</w:t>
      </w:r>
      <w:r w:rsidRPr="009A763F">
        <w:t>(6360), eaam5747. https://doi.org/10.1126/science.aam5747</w:t>
      </w:r>
    </w:p>
    <w:p w14:paraId="2A070748" w14:textId="77777777" w:rsidR="00BF0126" w:rsidRPr="009A763F" w:rsidRDefault="00BF0126" w:rsidP="00BF0126">
      <w:pPr>
        <w:pStyle w:val="Bibliography"/>
      </w:pPr>
      <w:r w:rsidRPr="009A763F">
        <w:t xml:space="preserve">Taylor, T. E., O’Dell, C. W., Baker, D., Bruegge, C., Chang, A., Chapsky, L., et al. (2023). Evaluating the consistency between OCO-2 and OCO-3 XCO₂ estimates derived from the NASA ACOS version 10 </w:t>
      </w:r>
      <w:r w:rsidRPr="009A763F">
        <w:lastRenderedPageBreak/>
        <w:t xml:space="preserve">retrieval algorithm. </w:t>
      </w:r>
      <w:r w:rsidRPr="009A763F">
        <w:rPr>
          <w:i/>
          <w:iCs/>
        </w:rPr>
        <w:t>Atmospheric Measurement Techniques</w:t>
      </w:r>
      <w:r w:rsidRPr="009A763F">
        <w:t xml:space="preserve">, </w:t>
      </w:r>
      <w:r w:rsidRPr="009A763F">
        <w:rPr>
          <w:i/>
          <w:iCs/>
        </w:rPr>
        <w:t>16</w:t>
      </w:r>
      <w:r w:rsidRPr="009A763F">
        <w:t>(12), 3173–3209. https://doi.org/10.5194/amt-16-3173-2023</w:t>
      </w:r>
    </w:p>
    <w:p w14:paraId="6AAF18BD" w14:textId="77777777" w:rsidR="00BF0126" w:rsidRPr="009A763F" w:rsidRDefault="00BF0126" w:rsidP="00BF0126">
      <w:pPr>
        <w:pStyle w:val="Bibliography"/>
      </w:pPr>
      <w:r w:rsidRPr="009A763F">
        <w:t>UNFCCC. (2023). Race to Zero 2023 Progress Report. Retrieved from https://racetozero.unfccc.int/system/race-to-zero/</w:t>
      </w:r>
    </w:p>
    <w:p w14:paraId="5A5504B8" w14:textId="77777777" w:rsidR="00BF0126" w:rsidRPr="009A763F" w:rsidRDefault="00BF0126" w:rsidP="00BF0126">
      <w:pPr>
        <w:pStyle w:val="Bibliography"/>
      </w:pPr>
      <w:r w:rsidRPr="009A763F">
        <w:t xml:space="preserve">West, J. J., Smith, S. J., Silva, R. A., Naik, V., Zhang, Y., Adelman, Z., et al. (2013). Co-benefits of mitigating global greenhouse gas emissions for future air quality and human health. </w:t>
      </w:r>
      <w:r w:rsidRPr="009A763F">
        <w:rPr>
          <w:i/>
          <w:iCs/>
        </w:rPr>
        <w:t>Nature Climate Change</w:t>
      </w:r>
      <w:r w:rsidRPr="009A763F">
        <w:t xml:space="preserve">, </w:t>
      </w:r>
      <w:r w:rsidRPr="009A763F">
        <w:rPr>
          <w:i/>
          <w:iCs/>
        </w:rPr>
        <w:t>3</w:t>
      </w:r>
      <w:r w:rsidRPr="009A763F">
        <w:t>(10), 885–889. https://doi.org/10.1038/nclimate2009</w:t>
      </w:r>
    </w:p>
    <w:p w14:paraId="0AA2DC91" w14:textId="77777777" w:rsidR="00BF0126" w:rsidRPr="009A763F" w:rsidRDefault="00BF0126" w:rsidP="00BF0126">
      <w:pPr>
        <w:pStyle w:val="Bibliography"/>
      </w:pPr>
      <w:r w:rsidRPr="009A763F">
        <w:t xml:space="preserve">Wilmot, T. Y., Lin, J. C., Wu, D., Oda, T., &amp; Kort, E. A. (2024). Toward a satellite-based monitoring system for urban CO2 emissions in support of global collective climate mitigation actions. </w:t>
      </w:r>
      <w:r w:rsidRPr="009A763F">
        <w:rPr>
          <w:i/>
          <w:iCs/>
        </w:rPr>
        <w:t>Environmental Research Letters</w:t>
      </w:r>
      <w:r w:rsidRPr="009A763F">
        <w:t xml:space="preserve">, </w:t>
      </w:r>
      <w:r w:rsidRPr="009A763F">
        <w:rPr>
          <w:i/>
          <w:iCs/>
        </w:rPr>
        <w:t>19</w:t>
      </w:r>
      <w:r w:rsidRPr="009A763F">
        <w:t>(8), 084029. https://doi.org/10.1088/1748-9326/ad6017</w:t>
      </w:r>
    </w:p>
    <w:p w14:paraId="24F4525C" w14:textId="77777777" w:rsidR="00BF0126" w:rsidRPr="009A763F" w:rsidRDefault="00BF0126" w:rsidP="00BF0126">
      <w:pPr>
        <w:pStyle w:val="Bibliography"/>
      </w:pPr>
      <w:r w:rsidRPr="009A763F">
        <w:t>WRI, C40 Cities, &amp; ICLEI. (2014). Global protocol for community-scale greenhouse gas emission inventories: an accounting and reporting standard for cities. Retrieved from www. ghgprotocol.org/sites/default/files/ghgp/standards/GHGP_ GPC_0.pdf</w:t>
      </w:r>
    </w:p>
    <w:p w14:paraId="4C08694A" w14:textId="77777777" w:rsidR="00BF0126" w:rsidRPr="009A763F" w:rsidRDefault="00BF0126" w:rsidP="00BF0126">
      <w:pPr>
        <w:pStyle w:val="Bibliography"/>
      </w:pPr>
      <w:r w:rsidRPr="009A763F">
        <w:t xml:space="preserve">Wu, D., Lin, J. C., Fasoli, B., Oda, T., Ye, X., Lauvaux, T., et al. (2018). A Lagrangian approach towards extracting signals of urban \chemCO_2 emissions from satellite observations of atmospheric column \chemCO_2 (\chemXCO_2): X-Stochastic Time-Inverted Lagrangian Transport model (“X-STILT v1”). </w:t>
      </w:r>
      <w:r w:rsidRPr="009A763F">
        <w:rPr>
          <w:i/>
          <w:iCs/>
        </w:rPr>
        <w:t>Geoscientific Model Development</w:t>
      </w:r>
      <w:r w:rsidRPr="009A763F">
        <w:t xml:space="preserve">, </w:t>
      </w:r>
      <w:r w:rsidRPr="009A763F">
        <w:rPr>
          <w:i/>
          <w:iCs/>
        </w:rPr>
        <w:t>11</w:t>
      </w:r>
      <w:r w:rsidRPr="009A763F">
        <w:t>(12), 4843–4871. https://doi.org/10.5194/gmd-11-4843-2018</w:t>
      </w:r>
    </w:p>
    <w:p w14:paraId="79BC1BDD" w14:textId="77777777" w:rsidR="00BF0126" w:rsidRPr="009A763F" w:rsidRDefault="00BF0126" w:rsidP="00BF0126">
      <w:pPr>
        <w:pStyle w:val="Bibliography"/>
      </w:pPr>
      <w:r w:rsidRPr="009A763F">
        <w:t xml:space="preserve">Wu, D., Liu, J., Wennberg, P. O., Palmer, P. I., Nelson, R. R., Kiel, M., &amp; Eldering, A. (2022). Towards sector-based attribution using intra-city variations in satellite-based emission ratios between CO₂ and CO. </w:t>
      </w:r>
      <w:r w:rsidRPr="009A763F">
        <w:rPr>
          <w:i/>
          <w:iCs/>
        </w:rPr>
        <w:t>Atmospheric Chemistry and Physics</w:t>
      </w:r>
      <w:r w:rsidRPr="009A763F">
        <w:t xml:space="preserve">, </w:t>
      </w:r>
      <w:r w:rsidRPr="009A763F">
        <w:rPr>
          <w:i/>
          <w:iCs/>
        </w:rPr>
        <w:t>22</w:t>
      </w:r>
      <w:r w:rsidRPr="009A763F">
        <w:t>(22), 14547–14570. https://doi.org/10.5194/acp-22-14547-2022</w:t>
      </w:r>
    </w:p>
    <w:p w14:paraId="4085E146" w14:textId="77777777" w:rsidR="00BF0126" w:rsidRPr="009A763F" w:rsidRDefault="00BF0126" w:rsidP="00BF0126">
      <w:pPr>
        <w:pStyle w:val="Bibliography"/>
      </w:pPr>
      <w:r w:rsidRPr="009A763F">
        <w:t xml:space="preserve">Wu, Dien, Lin, J. C., Oda, T., &amp; Kort, E. A. (2020). Space-based quantification of per capita CO2 emissions from cities. </w:t>
      </w:r>
      <w:r w:rsidRPr="009A763F">
        <w:rPr>
          <w:i/>
          <w:iCs/>
        </w:rPr>
        <w:t>Environmental Research Letters</w:t>
      </w:r>
      <w:r w:rsidRPr="009A763F">
        <w:t xml:space="preserve">, </w:t>
      </w:r>
      <w:r w:rsidRPr="009A763F">
        <w:rPr>
          <w:i/>
          <w:iCs/>
        </w:rPr>
        <w:t>15</w:t>
      </w:r>
      <w:r w:rsidRPr="009A763F">
        <w:t>(3), 035004. https://doi.org/10.1088/1748-9326/ab68eb</w:t>
      </w:r>
    </w:p>
    <w:p w14:paraId="6B201B29" w14:textId="77777777" w:rsidR="00BF0126" w:rsidRPr="009A763F" w:rsidRDefault="00BF0126" w:rsidP="00BF0126">
      <w:pPr>
        <w:pStyle w:val="Bibliography"/>
      </w:pPr>
      <w:r w:rsidRPr="009A763F">
        <w:t xml:space="preserve">Yang, E. G., Kort, E. A., Ott, L. E., Oda, T., &amp; Lin, J. C. (2023). Using Space-Based CO2 and NO2 Observations to Estimate Urban CO2 Emissions. </w:t>
      </w:r>
      <w:r w:rsidRPr="009A763F">
        <w:rPr>
          <w:i/>
          <w:iCs/>
        </w:rPr>
        <w:t>Journal of Geophysical Research: Atmospheres</w:t>
      </w:r>
      <w:r w:rsidRPr="009A763F">
        <w:t xml:space="preserve">, </w:t>
      </w:r>
      <w:r w:rsidRPr="009A763F">
        <w:rPr>
          <w:i/>
          <w:iCs/>
        </w:rPr>
        <w:t>128</w:t>
      </w:r>
      <w:r w:rsidRPr="009A763F">
        <w:t>(6), e2022JD037736. https://doi.org/10.1029/2022JD037736</w:t>
      </w:r>
    </w:p>
    <w:p w14:paraId="49BEE0D7" w14:textId="77777777" w:rsidR="00BF0126" w:rsidRPr="009A763F" w:rsidRDefault="00BF0126" w:rsidP="00BF0126">
      <w:pPr>
        <w:pStyle w:val="Bibliography"/>
      </w:pPr>
      <w:r w:rsidRPr="009A763F">
        <w:t xml:space="preserve">Ye, X., Lauvaux, T., Kort, E. A., Oda, T., Feng, S., Lin, J. C., et al. (2020). Constraining Fossil Fuel CO2 Emissions From Urban Area Using OCO-2 Observations of Total Column CO2. </w:t>
      </w:r>
      <w:r w:rsidRPr="009A763F">
        <w:rPr>
          <w:i/>
          <w:iCs/>
        </w:rPr>
        <w:t>Journal of Geophysical Research: Atmospheres</w:t>
      </w:r>
      <w:r w:rsidRPr="009A763F">
        <w:t xml:space="preserve">, </w:t>
      </w:r>
      <w:r w:rsidRPr="009A763F">
        <w:rPr>
          <w:i/>
          <w:iCs/>
        </w:rPr>
        <w:t>125</w:t>
      </w:r>
      <w:r w:rsidRPr="009A763F">
        <w:t>(8), e2019JD030528. https://doi.org/10.1029/2019JD030528</w:t>
      </w:r>
    </w:p>
    <w:p w14:paraId="3AC475FE" w14:textId="77777777" w:rsidR="00BF0126" w:rsidRPr="009A763F" w:rsidRDefault="00BF0126" w:rsidP="00BF0126">
      <w:pPr>
        <w:pStyle w:val="Bibliography"/>
      </w:pPr>
      <w:r w:rsidRPr="009A763F">
        <w:lastRenderedPageBreak/>
        <w:t xml:space="preserve">Zhang, D., Huang, X.-D., Zhong, J.-T., Guo, L.-F., Guo, S.-Y., Wang, D.-Y., et al. (2023). A representative CO2 emissions pathway for China toward carbon neutrality under the Paris Agreement’s 2 °C target. </w:t>
      </w:r>
      <w:r w:rsidRPr="009A763F">
        <w:rPr>
          <w:i/>
          <w:iCs/>
        </w:rPr>
        <w:t>Advances in Climate Change Research</w:t>
      </w:r>
      <w:r w:rsidRPr="009A763F">
        <w:t xml:space="preserve">, </w:t>
      </w:r>
      <w:r w:rsidRPr="009A763F">
        <w:rPr>
          <w:i/>
          <w:iCs/>
        </w:rPr>
        <w:t>14</w:t>
      </w:r>
      <w:r w:rsidRPr="009A763F">
        <w:t>(6), 941–951. https://doi.org/10.1016/j.accre.2023.11.004</w:t>
      </w:r>
    </w:p>
    <w:p w14:paraId="1DEF5B9B" w14:textId="77777777" w:rsidR="00BF0126" w:rsidRPr="009A763F" w:rsidRDefault="00BF0126" w:rsidP="00BF0126">
      <w:pPr>
        <w:pStyle w:val="Bibliography"/>
      </w:pPr>
      <w:r w:rsidRPr="009A763F">
        <w:t xml:space="preserve">Zheng, B., Chevallier, F., Ciais, P., Broquet, G., Wang, Y., Lian, J., &amp; Zhao, Y. (2020). Observing carbon dioxide emissions over China’s cities and industrial areas with the Orbiting Carbon Observatory-2. </w:t>
      </w:r>
      <w:r w:rsidRPr="009A763F">
        <w:rPr>
          <w:i/>
          <w:iCs/>
        </w:rPr>
        <w:t>Atmospheric Chemistry and Physics</w:t>
      </w:r>
      <w:r w:rsidRPr="009A763F">
        <w:t xml:space="preserve">, </w:t>
      </w:r>
      <w:r w:rsidRPr="009A763F">
        <w:rPr>
          <w:i/>
          <w:iCs/>
        </w:rPr>
        <w:t>20</w:t>
      </w:r>
      <w:r w:rsidRPr="009A763F">
        <w:t>(14), 8501–8510. https://doi.org/10.5194/acp-20-8501-2020</w:t>
      </w:r>
    </w:p>
    <w:p w14:paraId="32BF9FCB" w14:textId="029A03FB" w:rsidR="0099623C" w:rsidRDefault="00BF0126" w:rsidP="00BF0126">
      <w:r>
        <w:rPr>
          <w:rFonts w:asciiTheme="minorHAnsi" w:eastAsia="Times New Roman" w:hAnsiTheme="minorHAnsi" w:cstheme="minorHAnsi"/>
          <w:color w:val="262626"/>
          <w:sz w:val="24"/>
          <w:szCs w:val="24"/>
        </w:rPr>
        <w:fldChar w:fldCharType="end"/>
      </w:r>
    </w:p>
    <w:sectPr w:rsidR="009962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76134" w14:textId="77777777" w:rsidR="00BF0126" w:rsidRDefault="00BF0126" w:rsidP="00BF0126">
      <w:r>
        <w:separator/>
      </w:r>
    </w:p>
  </w:endnote>
  <w:endnote w:type="continuationSeparator" w:id="0">
    <w:p w14:paraId="5D6394B6" w14:textId="77777777" w:rsidR="00BF0126" w:rsidRDefault="00BF0126" w:rsidP="00BF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13879" w14:textId="77777777" w:rsidR="00BF0126" w:rsidRDefault="00BF0126" w:rsidP="00BF0126">
      <w:r>
        <w:separator/>
      </w:r>
    </w:p>
  </w:footnote>
  <w:footnote w:type="continuationSeparator" w:id="0">
    <w:p w14:paraId="14B8C9DE" w14:textId="77777777" w:rsidR="00BF0126" w:rsidRDefault="00BF0126" w:rsidP="00BF0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E06F45"/>
    <w:multiLevelType w:val="hybridMultilevel"/>
    <w:tmpl w:val="9CD2AF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5402D53"/>
    <w:multiLevelType w:val="multilevel"/>
    <w:tmpl w:val="20EEB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B61859"/>
    <w:multiLevelType w:val="multilevel"/>
    <w:tmpl w:val="8516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6B5617E1"/>
    <w:multiLevelType w:val="multilevel"/>
    <w:tmpl w:val="74A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46598895">
    <w:abstractNumId w:val="2"/>
  </w:num>
  <w:num w:numId="2" w16cid:durableId="906064874">
    <w:abstractNumId w:val="1"/>
  </w:num>
  <w:num w:numId="3" w16cid:durableId="124200908">
    <w:abstractNumId w:val="14"/>
  </w:num>
  <w:num w:numId="4" w16cid:durableId="983047291">
    <w:abstractNumId w:val="6"/>
  </w:num>
  <w:num w:numId="5" w16cid:durableId="1416437152">
    <w:abstractNumId w:val="7"/>
  </w:num>
  <w:num w:numId="6" w16cid:durableId="25494253">
    <w:abstractNumId w:val="10"/>
  </w:num>
  <w:num w:numId="7" w16cid:durableId="119541995">
    <w:abstractNumId w:val="12"/>
  </w:num>
  <w:num w:numId="8" w16cid:durableId="1958756824">
    <w:abstractNumId w:val="13"/>
  </w:num>
  <w:num w:numId="9" w16cid:durableId="928124450">
    <w:abstractNumId w:val="4"/>
  </w:num>
  <w:num w:numId="10" w16cid:durableId="1962152298">
    <w:abstractNumId w:val="8"/>
  </w:num>
  <w:num w:numId="11" w16cid:durableId="17976862">
    <w:abstractNumId w:val="5"/>
  </w:num>
  <w:num w:numId="12" w16cid:durableId="1237283164">
    <w:abstractNumId w:val="16"/>
  </w:num>
  <w:num w:numId="13" w16cid:durableId="439767255">
    <w:abstractNumId w:val="0"/>
  </w:num>
  <w:num w:numId="14" w16cid:durableId="1145467529">
    <w:abstractNumId w:val="15"/>
  </w:num>
  <w:num w:numId="15" w16cid:durableId="584530956">
    <w:abstractNumId w:val="11"/>
  </w:num>
  <w:num w:numId="16" w16cid:durableId="624502407">
    <w:abstractNumId w:val="3"/>
  </w:num>
  <w:num w:numId="17" w16cid:durableId="10818336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126"/>
    <w:rsid w:val="002D3C00"/>
    <w:rsid w:val="007E20A0"/>
    <w:rsid w:val="00831B37"/>
    <w:rsid w:val="0099623C"/>
    <w:rsid w:val="00BB6AF1"/>
    <w:rsid w:val="00BF01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4105DCA"/>
  <w15:chartTrackingRefBased/>
  <w15:docId w15:val="{FC5370CB-7122-0647-AF24-C3318E57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126"/>
    <w:pPr>
      <w:spacing w:after="0" w:line="240" w:lineRule="auto"/>
    </w:pPr>
    <w:rPr>
      <w:rFonts w:ascii="Times New Roman" w:eastAsia="Calibri" w:hAnsi="Times New Roman" w:cs="Times New Roman"/>
      <w:kern w:val="0"/>
      <w:sz w:val="20"/>
      <w:szCs w:val="20"/>
      <w:lang w:eastAsia="en-US"/>
      <w14:ligatures w14:val="none"/>
    </w:rPr>
  </w:style>
  <w:style w:type="paragraph" w:styleId="Heading1">
    <w:name w:val="heading 1"/>
    <w:basedOn w:val="Normal"/>
    <w:next w:val="Normal"/>
    <w:link w:val="Heading1Char"/>
    <w:uiPriority w:val="9"/>
    <w:qFormat/>
    <w:rsid w:val="00BF01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01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01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01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01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01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01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1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1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1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01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01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01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01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01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1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1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126"/>
    <w:rPr>
      <w:rFonts w:eastAsiaTheme="majorEastAsia" w:cstheme="majorBidi"/>
      <w:color w:val="272727" w:themeColor="text1" w:themeTint="D8"/>
    </w:rPr>
  </w:style>
  <w:style w:type="paragraph" w:styleId="Title">
    <w:name w:val="Title"/>
    <w:basedOn w:val="Normal"/>
    <w:next w:val="Normal"/>
    <w:link w:val="TitleChar"/>
    <w:uiPriority w:val="10"/>
    <w:qFormat/>
    <w:rsid w:val="00BF01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1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1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01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126"/>
    <w:pPr>
      <w:spacing w:before="160"/>
      <w:jc w:val="center"/>
    </w:pPr>
    <w:rPr>
      <w:i/>
      <w:iCs/>
      <w:color w:val="404040" w:themeColor="text1" w:themeTint="BF"/>
    </w:rPr>
  </w:style>
  <w:style w:type="character" w:customStyle="1" w:styleId="QuoteChar">
    <w:name w:val="Quote Char"/>
    <w:basedOn w:val="DefaultParagraphFont"/>
    <w:link w:val="Quote"/>
    <w:uiPriority w:val="29"/>
    <w:rsid w:val="00BF0126"/>
    <w:rPr>
      <w:i/>
      <w:iCs/>
      <w:color w:val="404040" w:themeColor="text1" w:themeTint="BF"/>
    </w:rPr>
  </w:style>
  <w:style w:type="paragraph" w:styleId="ListParagraph">
    <w:name w:val="List Paragraph"/>
    <w:basedOn w:val="Normal"/>
    <w:uiPriority w:val="34"/>
    <w:qFormat/>
    <w:rsid w:val="00BF0126"/>
    <w:pPr>
      <w:ind w:left="720"/>
      <w:contextualSpacing/>
    </w:pPr>
  </w:style>
  <w:style w:type="character" w:styleId="IntenseEmphasis">
    <w:name w:val="Intense Emphasis"/>
    <w:basedOn w:val="DefaultParagraphFont"/>
    <w:uiPriority w:val="21"/>
    <w:qFormat/>
    <w:rsid w:val="00BF0126"/>
    <w:rPr>
      <w:i/>
      <w:iCs/>
      <w:color w:val="0F4761" w:themeColor="accent1" w:themeShade="BF"/>
    </w:rPr>
  </w:style>
  <w:style w:type="paragraph" w:styleId="IntenseQuote">
    <w:name w:val="Intense Quote"/>
    <w:basedOn w:val="Normal"/>
    <w:next w:val="Normal"/>
    <w:link w:val="IntenseQuoteChar"/>
    <w:uiPriority w:val="30"/>
    <w:qFormat/>
    <w:rsid w:val="00BF01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0126"/>
    <w:rPr>
      <w:i/>
      <w:iCs/>
      <w:color w:val="0F4761" w:themeColor="accent1" w:themeShade="BF"/>
    </w:rPr>
  </w:style>
  <w:style w:type="character" w:styleId="IntenseReference">
    <w:name w:val="Intense Reference"/>
    <w:basedOn w:val="DefaultParagraphFont"/>
    <w:uiPriority w:val="32"/>
    <w:qFormat/>
    <w:rsid w:val="00BF0126"/>
    <w:rPr>
      <w:b/>
      <w:bCs/>
      <w:smallCaps/>
      <w:color w:val="0F4761" w:themeColor="accent1" w:themeShade="BF"/>
      <w:spacing w:val="5"/>
    </w:rPr>
  </w:style>
  <w:style w:type="paragraph" w:customStyle="1" w:styleId="Reference">
    <w:name w:val="Reference"/>
    <w:basedOn w:val="Normal"/>
    <w:rsid w:val="00BF0126"/>
    <w:pPr>
      <w:spacing w:before="120"/>
      <w:ind w:left="720" w:hanging="720"/>
    </w:pPr>
    <w:rPr>
      <w:rFonts w:eastAsia="Times New Roman"/>
      <w:sz w:val="24"/>
      <w:szCs w:val="24"/>
    </w:rPr>
  </w:style>
  <w:style w:type="paragraph" w:styleId="Header">
    <w:name w:val="header"/>
    <w:basedOn w:val="Normal"/>
    <w:link w:val="HeaderChar"/>
    <w:uiPriority w:val="99"/>
    <w:unhideWhenUsed/>
    <w:rsid w:val="00BF0126"/>
    <w:pPr>
      <w:tabs>
        <w:tab w:val="center" w:pos="4680"/>
        <w:tab w:val="right" w:pos="9360"/>
      </w:tabs>
    </w:pPr>
  </w:style>
  <w:style w:type="character" w:customStyle="1" w:styleId="HeaderChar">
    <w:name w:val="Header Char"/>
    <w:basedOn w:val="DefaultParagraphFont"/>
    <w:link w:val="Header"/>
    <w:uiPriority w:val="99"/>
    <w:rsid w:val="00BF0126"/>
    <w:rPr>
      <w:rFonts w:ascii="Times New Roman" w:eastAsia="Calibri" w:hAnsi="Times New Roman" w:cs="Times New Roman"/>
      <w:kern w:val="0"/>
      <w:sz w:val="20"/>
      <w:szCs w:val="20"/>
      <w:lang w:eastAsia="en-US"/>
      <w14:ligatures w14:val="none"/>
    </w:rPr>
  </w:style>
  <w:style w:type="paragraph" w:customStyle="1" w:styleId="Heading-Secondary">
    <w:name w:val="Heading-Secondary"/>
    <w:basedOn w:val="Heading-Main"/>
    <w:qFormat/>
    <w:rsid w:val="00BF0126"/>
    <w:pPr>
      <w:ind w:left="720"/>
    </w:pPr>
    <w:rPr>
      <w:b w:val="0"/>
    </w:rPr>
  </w:style>
  <w:style w:type="paragraph" w:customStyle="1" w:styleId="Authors">
    <w:name w:val="Authors"/>
    <w:basedOn w:val="Normal"/>
    <w:rsid w:val="00BF0126"/>
    <w:pPr>
      <w:spacing w:before="120" w:after="360"/>
    </w:pPr>
    <w:rPr>
      <w:rFonts w:eastAsia="Times New Roman"/>
      <w:b/>
      <w:sz w:val="24"/>
      <w:szCs w:val="24"/>
    </w:rPr>
  </w:style>
  <w:style w:type="paragraph" w:customStyle="1" w:styleId="Text">
    <w:name w:val="Text"/>
    <w:basedOn w:val="Normal"/>
    <w:rsid w:val="00BF0126"/>
    <w:pPr>
      <w:spacing w:before="120"/>
      <w:ind w:firstLine="720"/>
    </w:pPr>
    <w:rPr>
      <w:rFonts w:eastAsia="Times New Roman"/>
      <w:sz w:val="24"/>
      <w:szCs w:val="24"/>
    </w:rPr>
  </w:style>
  <w:style w:type="paragraph" w:customStyle="1" w:styleId="FigureorTableCaption">
    <w:name w:val="Figure or Table Caption"/>
    <w:basedOn w:val="Normal"/>
    <w:rsid w:val="00BF0126"/>
    <w:pPr>
      <w:keepNext/>
      <w:spacing w:before="240"/>
      <w:outlineLvl w:val="0"/>
    </w:pPr>
    <w:rPr>
      <w:rFonts w:eastAsia="Times New Roman"/>
      <w:kern w:val="28"/>
      <w:sz w:val="24"/>
      <w:szCs w:val="24"/>
    </w:rPr>
  </w:style>
  <w:style w:type="character" w:styleId="Hyperlink">
    <w:name w:val="Hyperlink"/>
    <w:uiPriority w:val="99"/>
    <w:rsid w:val="00BF0126"/>
    <w:rPr>
      <w:color w:val="0000FF"/>
      <w:u w:val="single"/>
    </w:rPr>
  </w:style>
  <w:style w:type="paragraph" w:customStyle="1" w:styleId="Heading-Main">
    <w:name w:val="Heading-Main"/>
    <w:basedOn w:val="Normal"/>
    <w:rsid w:val="00BF0126"/>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F0126"/>
    <w:pPr>
      <w:ind w:firstLine="0"/>
    </w:pPr>
  </w:style>
  <w:style w:type="paragraph" w:customStyle="1" w:styleId="KeyPoints">
    <w:name w:val="Key Points"/>
    <w:basedOn w:val="Normal"/>
    <w:rsid w:val="00BF0126"/>
    <w:pPr>
      <w:spacing w:before="120"/>
    </w:pPr>
    <w:rPr>
      <w:rFonts w:eastAsia="Times New Roman"/>
      <w:sz w:val="24"/>
      <w:szCs w:val="24"/>
    </w:rPr>
  </w:style>
  <w:style w:type="paragraph" w:customStyle="1" w:styleId="Abstract">
    <w:name w:val="Abstract"/>
    <w:basedOn w:val="Normal"/>
    <w:qFormat/>
    <w:rsid w:val="00BF0126"/>
    <w:pPr>
      <w:spacing w:before="120"/>
    </w:pPr>
    <w:rPr>
      <w:rFonts w:eastAsia="Times New Roman"/>
      <w:sz w:val="24"/>
      <w:szCs w:val="24"/>
    </w:rPr>
  </w:style>
  <w:style w:type="paragraph" w:customStyle="1" w:styleId="Note">
    <w:name w:val="Note"/>
    <w:basedOn w:val="Normal"/>
    <w:qFormat/>
    <w:rsid w:val="00BF0126"/>
    <w:pPr>
      <w:spacing w:before="240" w:after="240"/>
    </w:pPr>
    <w:rPr>
      <w:color w:val="00B0F0"/>
    </w:rPr>
  </w:style>
  <w:style w:type="paragraph" w:styleId="NormalWeb">
    <w:name w:val="Normal (Web)"/>
    <w:basedOn w:val="Normal"/>
    <w:uiPriority w:val="99"/>
    <w:semiHidden/>
    <w:unhideWhenUsed/>
    <w:rsid w:val="00BF0126"/>
    <w:rPr>
      <w:sz w:val="24"/>
      <w:szCs w:val="24"/>
    </w:rPr>
  </w:style>
  <w:style w:type="paragraph" w:styleId="Footer">
    <w:name w:val="footer"/>
    <w:basedOn w:val="Normal"/>
    <w:link w:val="FooterChar"/>
    <w:uiPriority w:val="99"/>
    <w:unhideWhenUsed/>
    <w:rsid w:val="00BF0126"/>
    <w:pPr>
      <w:tabs>
        <w:tab w:val="center" w:pos="4680"/>
        <w:tab w:val="right" w:pos="9360"/>
      </w:tabs>
    </w:pPr>
  </w:style>
  <w:style w:type="character" w:customStyle="1" w:styleId="FooterChar">
    <w:name w:val="Footer Char"/>
    <w:basedOn w:val="DefaultParagraphFont"/>
    <w:link w:val="Footer"/>
    <w:uiPriority w:val="99"/>
    <w:rsid w:val="00BF0126"/>
    <w:rPr>
      <w:rFonts w:ascii="Times New Roman" w:eastAsia="Calibri" w:hAnsi="Times New Roman" w:cs="Times New Roman"/>
      <w:kern w:val="0"/>
      <w:sz w:val="20"/>
      <w:szCs w:val="20"/>
      <w:lang w:eastAsia="en-US"/>
      <w14:ligatures w14:val="none"/>
    </w:rPr>
  </w:style>
  <w:style w:type="character" w:styleId="UnresolvedMention">
    <w:name w:val="Unresolved Mention"/>
    <w:basedOn w:val="DefaultParagraphFont"/>
    <w:uiPriority w:val="99"/>
    <w:rsid w:val="00BF0126"/>
    <w:rPr>
      <w:color w:val="808080"/>
      <w:shd w:val="clear" w:color="auto" w:fill="E6E6E6"/>
    </w:rPr>
  </w:style>
  <w:style w:type="paragraph" w:styleId="BalloonText">
    <w:name w:val="Balloon Text"/>
    <w:basedOn w:val="Normal"/>
    <w:link w:val="BalloonTextChar"/>
    <w:uiPriority w:val="99"/>
    <w:semiHidden/>
    <w:unhideWhenUsed/>
    <w:rsid w:val="00BF0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126"/>
    <w:rPr>
      <w:rFonts w:ascii="Segoe UI" w:eastAsia="Calibri" w:hAnsi="Segoe UI" w:cs="Segoe UI"/>
      <w:kern w:val="0"/>
      <w:sz w:val="18"/>
      <w:szCs w:val="18"/>
      <w:lang w:eastAsia="en-US"/>
      <w14:ligatures w14:val="none"/>
    </w:rPr>
  </w:style>
  <w:style w:type="character" w:styleId="Emphasis">
    <w:name w:val="Emphasis"/>
    <w:basedOn w:val="DefaultParagraphFont"/>
    <w:uiPriority w:val="20"/>
    <w:qFormat/>
    <w:rsid w:val="00BF0126"/>
    <w:rPr>
      <w:i/>
      <w:iCs/>
    </w:rPr>
  </w:style>
  <w:style w:type="character" w:styleId="FollowedHyperlink">
    <w:name w:val="FollowedHyperlink"/>
    <w:basedOn w:val="DefaultParagraphFont"/>
    <w:uiPriority w:val="99"/>
    <w:semiHidden/>
    <w:unhideWhenUsed/>
    <w:rsid w:val="00BF0126"/>
    <w:rPr>
      <w:color w:val="96607D" w:themeColor="followedHyperlink"/>
      <w:u w:val="single"/>
    </w:rPr>
  </w:style>
  <w:style w:type="character" w:styleId="LineNumber">
    <w:name w:val="line number"/>
    <w:basedOn w:val="DefaultParagraphFont"/>
    <w:uiPriority w:val="99"/>
    <w:semiHidden/>
    <w:unhideWhenUsed/>
    <w:rsid w:val="00BF0126"/>
  </w:style>
  <w:style w:type="paragraph" w:styleId="Revision">
    <w:name w:val="Revision"/>
    <w:hidden/>
    <w:uiPriority w:val="99"/>
    <w:semiHidden/>
    <w:rsid w:val="00BF0126"/>
    <w:pPr>
      <w:spacing w:after="0" w:line="240" w:lineRule="auto"/>
    </w:pPr>
    <w:rPr>
      <w:rFonts w:ascii="Times New Roman" w:eastAsia="Calibri" w:hAnsi="Times New Roman" w:cs="Times New Roman"/>
      <w:kern w:val="0"/>
      <w:sz w:val="20"/>
      <w:szCs w:val="20"/>
      <w:lang w:eastAsia="en-US"/>
      <w14:ligatures w14:val="none"/>
    </w:rPr>
  </w:style>
  <w:style w:type="paragraph" w:customStyle="1" w:styleId="AbstractSummary">
    <w:name w:val="Abstract/Summary"/>
    <w:basedOn w:val="Normal"/>
    <w:rsid w:val="00BF0126"/>
    <w:pPr>
      <w:spacing w:before="120"/>
    </w:pPr>
    <w:rPr>
      <w:rFonts w:eastAsia="Times New Roman"/>
      <w:sz w:val="24"/>
      <w:szCs w:val="24"/>
    </w:rPr>
  </w:style>
  <w:style w:type="paragraph" w:styleId="Bibliography">
    <w:name w:val="Bibliography"/>
    <w:basedOn w:val="Normal"/>
    <w:next w:val="Normal"/>
    <w:uiPriority w:val="37"/>
    <w:unhideWhenUsed/>
    <w:rsid w:val="00BF0126"/>
    <w:pPr>
      <w:spacing w:line="480" w:lineRule="auto"/>
      <w:ind w:left="720" w:hanging="720"/>
    </w:pPr>
  </w:style>
  <w:style w:type="paragraph" w:customStyle="1" w:styleId="Body">
    <w:name w:val="Body"/>
    <w:rsid w:val="00BF0126"/>
    <w:pPr>
      <w:pBdr>
        <w:top w:val="nil"/>
        <w:left w:val="nil"/>
        <w:bottom w:val="nil"/>
        <w:right w:val="nil"/>
        <w:between w:val="nil"/>
        <w:bar w:val="nil"/>
      </w:pBdr>
      <w:spacing w:after="0" w:line="240" w:lineRule="auto"/>
    </w:pPr>
    <w:rPr>
      <w:rFonts w:ascii="Calibri" w:eastAsia="Arial Unicode MS" w:hAnsi="Calibri" w:cs="Arial Unicode MS"/>
      <w:color w:val="000000"/>
      <w:kern w:val="0"/>
      <w:u w:color="000000"/>
      <w:bdr w:val="nil"/>
      <w14:textOutline w14:w="0" w14:cap="flat" w14:cmpd="sng" w14:algn="ctr">
        <w14:noFill/>
        <w14:prstDash w14:val="solid"/>
        <w14:bevel/>
      </w14:textOutline>
      <w14:ligatures w14:val="none"/>
    </w:rPr>
  </w:style>
  <w:style w:type="paragraph" w:customStyle="1" w:styleId="Referencesandnotes">
    <w:name w:val="References and notes"/>
    <w:basedOn w:val="Normal"/>
    <w:rsid w:val="00BF0126"/>
    <w:pPr>
      <w:spacing w:before="120"/>
      <w:ind w:left="720" w:hanging="720"/>
    </w:pPr>
    <w:rPr>
      <w:rFonts w:eastAsia="Times New Roman"/>
      <w:sz w:val="24"/>
      <w:szCs w:val="24"/>
    </w:rPr>
  </w:style>
  <w:style w:type="paragraph" w:customStyle="1" w:styleId="Acknowledgement">
    <w:name w:val="Acknowledgement"/>
    <w:basedOn w:val="Referencesandnotes"/>
    <w:rsid w:val="00BF0126"/>
  </w:style>
  <w:style w:type="paragraph" w:customStyle="1" w:styleId="SMcaption">
    <w:name w:val="SM caption"/>
    <w:basedOn w:val="Normal"/>
    <w:qFormat/>
    <w:rsid w:val="00BF0126"/>
    <w:rPr>
      <w:rFonts w:eastAsia="Batang"/>
      <w:sz w:val="24"/>
    </w:rPr>
  </w:style>
  <w:style w:type="paragraph" w:customStyle="1" w:styleId="gmail-msolistparagraph">
    <w:name w:val="gmail-msolistparagraph"/>
    <w:basedOn w:val="Normal"/>
    <w:rsid w:val="00BF0126"/>
    <w:pPr>
      <w:spacing w:before="100" w:beforeAutospacing="1" w:after="100" w:afterAutospacing="1"/>
    </w:pPr>
    <w:rPr>
      <w:rFonts w:eastAsia="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oyeon.ahn@nasa.gov"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uman-settlement.emergency.copernicus.eu/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db.cger.nies.go.jp/dataset/ODIAC/"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dgar.jrc.ec.europa.eu/dataset_ghg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34382</Words>
  <Characters>195979</Characters>
  <Application>Microsoft Office Word</Application>
  <DocSecurity>0</DocSecurity>
  <Lines>1633</Lines>
  <Paragraphs>459</Paragraphs>
  <ScaleCrop>false</ScaleCrop>
  <Company/>
  <LinksUpToDate>false</LinksUpToDate>
  <CharactersWithSpaces>229902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Ahn, Doyeon (GSFC-6140)[MORGAN STATE UNIV.]</dc:creator>
  <cp:keywords/>
  <dc:description/>
  <cp:lastModifiedBy>Ahn, Doyeon (GSFC-6140)[MORGAN STATE UNIV.]</cp:lastModifiedBy>
  <cp:revision>1</cp:revision>
  <dcterms:created xsi:type="dcterms:W3CDTF">2025-03-20T13:41:00Z</dcterms:created>
  <dcterms:modified xsi:type="dcterms:W3CDTF">2025-03-20T13:41:00Z</dcterms:modified>
</cp:coreProperties>
</file>