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739C" w14:textId="77777777" w:rsidR="00D27433" w:rsidRPr="00D27433" w:rsidRDefault="00D27433" w:rsidP="00D27433">
      <w:pPr>
        <w:spacing w:after="0" w:line="240" w:lineRule="auto"/>
        <w:jc w:val="center"/>
        <w:rPr>
          <w:rFonts w:ascii="Aptos" w:eastAsia="Times New Roman" w:hAnsi="Aptos" w:cs="Times New Roman"/>
          <w:color w:val="212121"/>
          <w:kern w:val="0"/>
          <w:sz w:val="20"/>
          <w:szCs w:val="20"/>
          <w14:ligatures w14:val="none"/>
        </w:rPr>
      </w:pPr>
      <w:r w:rsidRPr="00D27433">
        <w:rPr>
          <w:rFonts w:ascii="Aptos" w:eastAsia="Times New Roman" w:hAnsi="Aptos" w:cs="Times New Roman"/>
          <w:b/>
          <w:bCs/>
          <w:color w:val="212121"/>
          <w:kern w:val="0"/>
          <w14:ligatures w14:val="none"/>
        </w:rPr>
        <w:t xml:space="preserve">NASA’s </w:t>
      </w:r>
      <w:proofErr w:type="spellStart"/>
      <w:r w:rsidRPr="00D27433">
        <w:rPr>
          <w:rFonts w:ascii="Aptos" w:eastAsia="Times New Roman" w:hAnsi="Aptos" w:cs="Times New Roman"/>
          <w:b/>
          <w:bCs/>
          <w:color w:val="212121"/>
          <w:kern w:val="0"/>
          <w14:ligatures w14:val="none"/>
        </w:rPr>
        <w:t>Astropharmacy</w:t>
      </w:r>
      <w:proofErr w:type="spellEnd"/>
      <w:r w:rsidRPr="00D27433">
        <w:rPr>
          <w:rFonts w:ascii="Aptos" w:eastAsia="Times New Roman" w:hAnsi="Aptos" w:cs="Times New Roman"/>
          <w:b/>
          <w:bCs/>
          <w:color w:val="212121"/>
          <w:kern w:val="0"/>
          <w14:ligatures w14:val="none"/>
        </w:rPr>
        <w:t xml:space="preserve"> for Biomanufacturing of Peptide and Protein Pharmaceuticals in Space and in Other Austere Environments</w:t>
      </w:r>
    </w:p>
    <w:p w14:paraId="173FE364" w14:textId="77777777" w:rsidR="00D27433" w:rsidRPr="00D27433" w:rsidRDefault="00D27433" w:rsidP="00D27433">
      <w:pPr>
        <w:spacing w:after="0" w:line="240" w:lineRule="auto"/>
        <w:jc w:val="center"/>
        <w:rPr>
          <w:rFonts w:ascii="Aptos" w:eastAsia="Times New Roman" w:hAnsi="Aptos" w:cs="Times New Roman"/>
          <w:color w:val="212121"/>
          <w:kern w:val="0"/>
          <w:sz w:val="20"/>
          <w:szCs w:val="20"/>
          <w14:ligatures w14:val="none"/>
        </w:rPr>
      </w:pPr>
      <w:r w:rsidRPr="00D27433">
        <w:rPr>
          <w:rFonts w:ascii="Aptos" w:eastAsia="Times New Roman" w:hAnsi="Aptos" w:cs="Times New Roman"/>
          <w:b/>
          <w:bCs/>
          <w:color w:val="212121"/>
          <w:kern w:val="0"/>
          <w14:ligatures w14:val="none"/>
        </w:rPr>
        <w:t> </w:t>
      </w:r>
    </w:p>
    <w:p w14:paraId="09034441" w14:textId="15038319" w:rsidR="00D27433" w:rsidRPr="00D27433" w:rsidRDefault="00D27433" w:rsidP="00D27433">
      <w:pPr>
        <w:spacing w:after="0" w:line="240" w:lineRule="auto"/>
        <w:jc w:val="center"/>
        <w:rPr>
          <w:rFonts w:ascii="Aptos" w:eastAsia="Times New Roman" w:hAnsi="Aptos" w:cs="Times New Roman"/>
          <w:color w:val="212121"/>
          <w:kern w:val="0"/>
          <w:sz w:val="20"/>
          <w:szCs w:val="20"/>
          <w14:ligatures w14:val="none"/>
        </w:rPr>
      </w:pPr>
      <w:r w:rsidRPr="00D27433">
        <w:rPr>
          <w:rFonts w:ascii="Aptos" w:eastAsia="Times New Roman" w:hAnsi="Aptos" w:cs="Times New Roman"/>
          <w:color w:val="212121"/>
          <w:kern w:val="0"/>
          <w14:ligatures w14:val="none"/>
        </w:rPr>
        <w:t>Alina Kunitskaya</w:t>
      </w:r>
      <w:r w:rsidRPr="00D27433">
        <w:rPr>
          <w:rFonts w:ascii="Aptos" w:eastAsia="Times New Roman" w:hAnsi="Aptos" w:cs="Times New Roman"/>
          <w:color w:val="212121"/>
          <w:kern w:val="0"/>
          <w:vertAlign w:val="superscript"/>
          <w14:ligatures w14:val="none"/>
        </w:rPr>
        <w:t>1*</w:t>
      </w:r>
      <w:r w:rsidRPr="00D27433">
        <w:rPr>
          <w:rFonts w:ascii="Aptos" w:eastAsia="Times New Roman" w:hAnsi="Aptos" w:cs="Times New Roman"/>
          <w:color w:val="212121"/>
          <w:kern w:val="0"/>
          <w14:ligatures w14:val="none"/>
        </w:rPr>
        <w:t>, Ph.D., Jessica Snyder, Ph.D.</w:t>
      </w:r>
      <w:r>
        <w:rPr>
          <w:rFonts w:ascii="Aptos" w:eastAsia="Times New Roman" w:hAnsi="Aptos" w:cs="Times New Roman"/>
          <w:color w:val="212121"/>
          <w:kern w:val="0"/>
          <w:vertAlign w:val="superscript"/>
          <w14:ligatures w14:val="none"/>
        </w:rPr>
        <w:t>2</w:t>
      </w:r>
      <w:r w:rsidRPr="00D27433">
        <w:rPr>
          <w:rFonts w:ascii="Aptos" w:eastAsia="Times New Roman" w:hAnsi="Aptos" w:cs="Times New Roman"/>
          <w:color w:val="212121"/>
          <w:kern w:val="0"/>
          <w14:ligatures w14:val="none"/>
        </w:rPr>
        <w:t>, David J. Loftus, M.D., Ph.D.</w:t>
      </w:r>
      <w:r>
        <w:rPr>
          <w:rFonts w:ascii="Aptos" w:eastAsia="Times New Roman" w:hAnsi="Aptos" w:cs="Times New Roman"/>
          <w:color w:val="212121"/>
          <w:kern w:val="0"/>
          <w:vertAlign w:val="superscript"/>
          <w14:ligatures w14:val="none"/>
        </w:rPr>
        <w:t>3</w:t>
      </w:r>
      <w:r w:rsidRPr="00D27433">
        <w:rPr>
          <w:rFonts w:ascii="Aptos" w:eastAsia="Times New Roman" w:hAnsi="Aptos" w:cs="Times New Roman"/>
          <w:color w:val="212121"/>
          <w:kern w:val="0"/>
          <w14:ligatures w14:val="none"/>
        </w:rPr>
        <w:t>, Lynn J. Rothschild, Ph.D.</w:t>
      </w:r>
      <w:r>
        <w:rPr>
          <w:rFonts w:ascii="Aptos" w:eastAsia="Times New Roman" w:hAnsi="Aptos" w:cs="Times New Roman"/>
          <w:color w:val="212121"/>
          <w:kern w:val="0"/>
          <w:vertAlign w:val="superscript"/>
          <w14:ligatures w14:val="none"/>
        </w:rPr>
        <w:t>3</w:t>
      </w:r>
    </w:p>
    <w:p w14:paraId="5D5E2BAE" w14:textId="17FECA56" w:rsidR="00D27433" w:rsidRPr="00D27433" w:rsidRDefault="00D27433" w:rsidP="00D27433">
      <w:pPr>
        <w:spacing w:after="0" w:line="240" w:lineRule="auto"/>
        <w:jc w:val="center"/>
        <w:rPr>
          <w:rFonts w:ascii="Aptos" w:eastAsia="Times New Roman" w:hAnsi="Aptos" w:cs="Times New Roman"/>
          <w:color w:val="212121"/>
          <w:kern w:val="0"/>
          <w:sz w:val="20"/>
          <w:szCs w:val="20"/>
          <w14:ligatures w14:val="none"/>
        </w:rPr>
      </w:pPr>
      <w:r>
        <w:rPr>
          <w:rFonts w:ascii="Aptos" w:eastAsia="Times New Roman" w:hAnsi="Aptos" w:cs="Times New Roman"/>
          <w:color w:val="212121"/>
          <w:kern w:val="0"/>
          <w:vertAlign w:val="superscript"/>
          <w14:ligatures w14:val="none"/>
        </w:rPr>
        <w:t>1</w:t>
      </w:r>
      <w:r>
        <w:rPr>
          <w:rFonts w:ascii="Aptos" w:eastAsia="Times New Roman" w:hAnsi="Aptos" w:cs="Times New Roman"/>
          <w:color w:val="212121"/>
          <w:kern w:val="0"/>
          <w14:ligatures w14:val="none"/>
        </w:rPr>
        <w:t xml:space="preserve">NASA Postdoctoral Program, </w:t>
      </w:r>
      <w:r w:rsidRPr="00D27433">
        <w:rPr>
          <w:rFonts w:ascii="Aptos" w:eastAsia="Times New Roman" w:hAnsi="Aptos" w:cs="Times New Roman"/>
          <w:color w:val="212121"/>
          <w:kern w:val="0"/>
          <w:vertAlign w:val="superscript"/>
          <w14:ligatures w14:val="none"/>
        </w:rPr>
        <w:t>2</w:t>
      </w:r>
      <w:r w:rsidRPr="00D27433">
        <w:rPr>
          <w:rFonts w:ascii="Aptos" w:eastAsia="Times New Roman" w:hAnsi="Aptos" w:cs="Times New Roman"/>
          <w:color w:val="212121"/>
          <w:kern w:val="0"/>
          <w14:ligatures w14:val="none"/>
        </w:rPr>
        <w:t>Blue Marble Space Institute of Science, </w:t>
      </w:r>
      <w:r>
        <w:rPr>
          <w:rFonts w:ascii="Aptos" w:eastAsia="Times New Roman" w:hAnsi="Aptos" w:cs="Times New Roman"/>
          <w:color w:val="212121"/>
          <w:kern w:val="0"/>
          <w:vertAlign w:val="superscript"/>
          <w14:ligatures w14:val="none"/>
        </w:rPr>
        <w:t>3</w:t>
      </w:r>
      <w:r w:rsidRPr="00D27433">
        <w:rPr>
          <w:rFonts w:ascii="Aptos" w:eastAsia="Times New Roman" w:hAnsi="Aptos" w:cs="Times New Roman"/>
          <w:color w:val="212121"/>
          <w:kern w:val="0"/>
          <w14:ligatures w14:val="none"/>
        </w:rPr>
        <w:t>NASA Ames Research Center</w:t>
      </w:r>
    </w:p>
    <w:p w14:paraId="00BEA9A7" w14:textId="77777777" w:rsidR="00D27433" w:rsidRPr="00D27433" w:rsidRDefault="00D27433" w:rsidP="00D27433">
      <w:pPr>
        <w:spacing w:after="0" w:line="240" w:lineRule="auto"/>
        <w:jc w:val="center"/>
        <w:rPr>
          <w:rFonts w:ascii="Aptos" w:eastAsia="Times New Roman" w:hAnsi="Aptos" w:cs="Times New Roman"/>
          <w:color w:val="212121"/>
          <w:kern w:val="0"/>
          <w:sz w:val="20"/>
          <w:szCs w:val="20"/>
          <w14:ligatures w14:val="none"/>
        </w:rPr>
      </w:pPr>
      <w:r w:rsidRPr="00D27433">
        <w:rPr>
          <w:rFonts w:ascii="Aptos" w:eastAsia="Times New Roman" w:hAnsi="Aptos" w:cs="Times New Roman"/>
          <w:color w:val="212121"/>
          <w:kern w:val="0"/>
          <w:vertAlign w:val="superscript"/>
          <w14:ligatures w14:val="none"/>
        </w:rPr>
        <w:t>*</w:t>
      </w:r>
      <w:r w:rsidRPr="00D27433">
        <w:rPr>
          <w:rFonts w:ascii="Aptos" w:eastAsia="Times New Roman" w:hAnsi="Aptos" w:cs="Times New Roman"/>
          <w:color w:val="212121"/>
          <w:kern w:val="0"/>
          <w14:ligatures w14:val="none"/>
        </w:rPr>
        <w:t>Intended presenter</w:t>
      </w:r>
    </w:p>
    <w:p w14:paraId="2D7F0D50" w14:textId="77777777" w:rsidR="00D27433" w:rsidRPr="00D27433" w:rsidRDefault="00D27433" w:rsidP="00D27433">
      <w:pPr>
        <w:spacing w:after="0" w:line="240" w:lineRule="auto"/>
        <w:rPr>
          <w:rFonts w:ascii="Aptos" w:eastAsia="Times New Roman" w:hAnsi="Aptos" w:cs="Times New Roman"/>
          <w:color w:val="212121"/>
          <w:kern w:val="0"/>
          <w:sz w:val="20"/>
          <w:szCs w:val="20"/>
          <w14:ligatures w14:val="none"/>
        </w:rPr>
      </w:pPr>
      <w:r w:rsidRPr="00D27433">
        <w:rPr>
          <w:rFonts w:ascii="Aptos" w:eastAsia="Times New Roman" w:hAnsi="Aptos" w:cs="Times New Roman"/>
          <w:color w:val="212121"/>
          <w:kern w:val="0"/>
          <w14:ligatures w14:val="none"/>
        </w:rPr>
        <w:t> </w:t>
      </w:r>
    </w:p>
    <w:p w14:paraId="7E2E7EE4" w14:textId="77777777" w:rsidR="00D27433" w:rsidRPr="00D27433" w:rsidRDefault="00D27433" w:rsidP="00D27433">
      <w:pPr>
        <w:spacing w:after="0" w:line="240" w:lineRule="auto"/>
        <w:rPr>
          <w:rFonts w:ascii="Aptos" w:eastAsia="Times New Roman" w:hAnsi="Aptos" w:cs="Times New Roman"/>
          <w:color w:val="212121"/>
          <w:kern w:val="0"/>
          <w:sz w:val="20"/>
          <w:szCs w:val="20"/>
          <w14:ligatures w14:val="none"/>
        </w:rPr>
      </w:pPr>
      <w:r w:rsidRPr="00D27433">
        <w:rPr>
          <w:rFonts w:ascii="Aptos" w:eastAsia="Times New Roman" w:hAnsi="Aptos" w:cs="Times New Roman"/>
          <w:color w:val="212121"/>
          <w:kern w:val="0"/>
          <w14:ligatures w14:val="none"/>
        </w:rPr>
        <w:t>The </w:t>
      </w:r>
      <w:proofErr w:type="spellStart"/>
      <w:r w:rsidRPr="00D27433">
        <w:rPr>
          <w:rFonts w:ascii="Aptos" w:eastAsia="Times New Roman" w:hAnsi="Aptos" w:cs="Times New Roman"/>
          <w:i/>
          <w:iCs/>
          <w:color w:val="212121"/>
          <w:kern w:val="0"/>
          <w14:ligatures w14:val="none"/>
        </w:rPr>
        <w:t>Astropharmacy</w:t>
      </w:r>
      <w:proofErr w:type="spellEnd"/>
      <w:r w:rsidRPr="00D27433">
        <w:rPr>
          <w:rFonts w:ascii="Aptos" w:eastAsia="Times New Roman" w:hAnsi="Aptos" w:cs="Times New Roman"/>
          <w:i/>
          <w:iCs/>
          <w:color w:val="212121"/>
          <w:kern w:val="0"/>
          <w14:ligatures w14:val="none"/>
        </w:rPr>
        <w:t>,</w:t>
      </w:r>
      <w:r w:rsidRPr="00D27433">
        <w:rPr>
          <w:rFonts w:ascii="Aptos" w:eastAsia="Times New Roman" w:hAnsi="Aptos" w:cs="Times New Roman"/>
          <w:color w:val="212121"/>
          <w:kern w:val="0"/>
          <w14:ligatures w14:val="none"/>
        </w:rPr>
        <w:t xml:space="preserve"> under development at NASA Ames Research Center, is a compact, portable technology for small-scale manufacturing of biopharmaceuticals (peptide and protein drugs). This technology is designed for rapid, on-demand drug production in austere environments.  The </w:t>
      </w:r>
      <w:proofErr w:type="spellStart"/>
      <w:r w:rsidRPr="00D27433">
        <w:rPr>
          <w:rFonts w:ascii="Aptos" w:eastAsia="Times New Roman" w:hAnsi="Aptos" w:cs="Times New Roman"/>
          <w:color w:val="212121"/>
          <w:kern w:val="0"/>
          <w14:ligatures w14:val="none"/>
        </w:rPr>
        <w:t>Astropharmacy</w:t>
      </w:r>
      <w:proofErr w:type="spellEnd"/>
      <w:r w:rsidRPr="00D27433">
        <w:rPr>
          <w:rFonts w:ascii="Aptos" w:eastAsia="Times New Roman" w:hAnsi="Aptos" w:cs="Times New Roman"/>
          <w:color w:val="212121"/>
          <w:kern w:val="0"/>
          <w14:ligatures w14:val="none"/>
        </w:rPr>
        <w:t xml:space="preserve"> is a solution to the problem of short shelf-life for peptide/protein pharmaceuticals that NASA faces for extended duration missions to deep space, such as to the Moon and Mars.  The technology uses </w:t>
      </w:r>
      <w:r w:rsidRPr="00D27433">
        <w:rPr>
          <w:rFonts w:ascii="Aptos" w:eastAsia="Times New Roman" w:hAnsi="Aptos" w:cs="Times New Roman"/>
          <w:i/>
          <w:iCs/>
          <w:color w:val="212121"/>
          <w:kern w:val="0"/>
          <w14:ligatures w14:val="none"/>
        </w:rPr>
        <w:t>Bacillus subtilis,</w:t>
      </w:r>
      <w:r w:rsidRPr="00D27433">
        <w:rPr>
          <w:rFonts w:ascii="Aptos" w:eastAsia="Times New Roman" w:hAnsi="Aptos" w:cs="Times New Roman"/>
          <w:color w:val="212121"/>
          <w:kern w:val="0"/>
          <w14:ligatures w14:val="none"/>
        </w:rPr>
        <w:t> engineered to incorporate the genetic information needed to produce the desired peptide/protein drug.  </w:t>
      </w:r>
      <w:r w:rsidRPr="00D27433">
        <w:rPr>
          <w:rFonts w:ascii="Aptos" w:eastAsia="Times New Roman" w:hAnsi="Aptos" w:cs="Times New Roman"/>
          <w:i/>
          <w:iCs/>
          <w:color w:val="212121"/>
          <w:kern w:val="0"/>
          <w14:ligatures w14:val="none"/>
        </w:rPr>
        <w:t>B. subtilis</w:t>
      </w:r>
      <w:r w:rsidRPr="00D27433">
        <w:rPr>
          <w:rFonts w:ascii="Aptos" w:eastAsia="Times New Roman" w:hAnsi="Aptos" w:cs="Times New Roman"/>
          <w:color w:val="212121"/>
          <w:kern w:val="0"/>
          <w14:ligatures w14:val="none"/>
        </w:rPr>
        <w:t> is an attractive chassis organism for NASA applications because it can be sent into space in a dormant state—as a spore—making it highly resistant to heat, desiccation and radiation.  When a drug is needed, </w:t>
      </w:r>
      <w:r w:rsidRPr="00D27433">
        <w:rPr>
          <w:rFonts w:ascii="Aptos" w:eastAsia="Times New Roman" w:hAnsi="Aptos" w:cs="Times New Roman"/>
          <w:i/>
          <w:iCs/>
          <w:color w:val="212121"/>
          <w:kern w:val="0"/>
          <w14:ligatures w14:val="none"/>
        </w:rPr>
        <w:t>B. subtilis</w:t>
      </w:r>
      <w:r w:rsidRPr="00D27433">
        <w:rPr>
          <w:rFonts w:ascii="Aptos" w:eastAsia="Times New Roman" w:hAnsi="Aptos" w:cs="Times New Roman"/>
          <w:color w:val="212121"/>
          <w:kern w:val="0"/>
          <w14:ligatures w14:val="none"/>
        </w:rPr>
        <w:t xml:space="preserve"> spores engineered for the desired drug can be reactivated by the addition of culture medium and grown rapidly, producing a first dose in 24 hours or less.  The </w:t>
      </w:r>
      <w:proofErr w:type="spellStart"/>
      <w:r w:rsidRPr="00D27433">
        <w:rPr>
          <w:rFonts w:ascii="Aptos" w:eastAsia="Times New Roman" w:hAnsi="Aptos" w:cs="Times New Roman"/>
          <w:color w:val="212121"/>
          <w:kern w:val="0"/>
          <w14:ligatures w14:val="none"/>
        </w:rPr>
        <w:t>Astropharmacy</w:t>
      </w:r>
      <w:proofErr w:type="spellEnd"/>
      <w:r w:rsidRPr="00D27433">
        <w:rPr>
          <w:rFonts w:ascii="Aptos" w:eastAsia="Times New Roman" w:hAnsi="Aptos" w:cs="Times New Roman"/>
          <w:color w:val="212121"/>
          <w:kern w:val="0"/>
          <w14:ligatures w14:val="none"/>
        </w:rPr>
        <w:t xml:space="preserve"> system relies on novel microfluidic technology to support the reactivation and growth of </w:t>
      </w:r>
      <w:r w:rsidRPr="00D27433">
        <w:rPr>
          <w:rFonts w:ascii="Aptos" w:eastAsia="Times New Roman" w:hAnsi="Aptos" w:cs="Times New Roman"/>
          <w:i/>
          <w:iCs/>
          <w:color w:val="212121"/>
          <w:kern w:val="0"/>
          <w14:ligatures w14:val="none"/>
        </w:rPr>
        <w:t>B. subtilis</w:t>
      </w:r>
      <w:r w:rsidRPr="00D27433">
        <w:rPr>
          <w:rFonts w:ascii="Aptos" w:eastAsia="Times New Roman" w:hAnsi="Aptos" w:cs="Times New Roman"/>
          <w:color w:val="212121"/>
          <w:kern w:val="0"/>
          <w14:ligatures w14:val="none"/>
        </w:rPr>
        <w:t xml:space="preserve"> and includes provisions for novel drug purification methods based on the use affinity tags which allow for highly selective capture of the manufactured drug.  An alternative embodiment of the </w:t>
      </w:r>
      <w:proofErr w:type="spellStart"/>
      <w:r w:rsidRPr="00D27433">
        <w:rPr>
          <w:rFonts w:ascii="Aptos" w:eastAsia="Times New Roman" w:hAnsi="Aptos" w:cs="Times New Roman"/>
          <w:color w:val="212121"/>
          <w:kern w:val="0"/>
          <w14:ligatures w14:val="none"/>
        </w:rPr>
        <w:t>Astropharmacy</w:t>
      </w:r>
      <w:proofErr w:type="spellEnd"/>
      <w:r w:rsidRPr="00D27433">
        <w:rPr>
          <w:rFonts w:ascii="Aptos" w:eastAsia="Times New Roman" w:hAnsi="Aptos" w:cs="Times New Roman"/>
          <w:color w:val="212121"/>
          <w:kern w:val="0"/>
          <w14:ligatures w14:val="none"/>
        </w:rPr>
        <w:t xml:space="preserve"> uses cell-free peptide/protein synthesis technology, which relies on cell extracts to provide all the necessary machinery to produce the desired peptide or protein drug, without the need for an intact microbe or other chassis organism.  At present, the use of both </w:t>
      </w:r>
      <w:r w:rsidRPr="00D27433">
        <w:rPr>
          <w:rFonts w:ascii="Aptos" w:eastAsia="Times New Roman" w:hAnsi="Aptos" w:cs="Times New Roman"/>
          <w:i/>
          <w:iCs/>
          <w:color w:val="212121"/>
          <w:kern w:val="0"/>
          <w14:ligatures w14:val="none"/>
        </w:rPr>
        <w:t>B. subtilis</w:t>
      </w:r>
      <w:r w:rsidRPr="00D27433">
        <w:rPr>
          <w:rFonts w:ascii="Aptos" w:eastAsia="Times New Roman" w:hAnsi="Aptos" w:cs="Times New Roman"/>
          <w:color w:val="212121"/>
          <w:kern w:val="0"/>
          <w14:ligatures w14:val="none"/>
        </w:rPr>
        <w:t xml:space="preserve"> as a chassis organism and the use of cell-free systems for peptide/protein drug synthesis does not allow for post-translational modification, although methods for carrying out these modifications may be available </w:t>
      </w:r>
      <w:proofErr w:type="gramStart"/>
      <w:r w:rsidRPr="00D27433">
        <w:rPr>
          <w:rFonts w:ascii="Aptos" w:eastAsia="Times New Roman" w:hAnsi="Aptos" w:cs="Times New Roman"/>
          <w:color w:val="212121"/>
          <w:kern w:val="0"/>
          <w14:ligatures w14:val="none"/>
        </w:rPr>
        <w:t>in the near future</w:t>
      </w:r>
      <w:proofErr w:type="gramEnd"/>
      <w:r w:rsidRPr="00D27433">
        <w:rPr>
          <w:rFonts w:ascii="Aptos" w:eastAsia="Times New Roman" w:hAnsi="Aptos" w:cs="Times New Roman"/>
          <w:color w:val="212121"/>
          <w:kern w:val="0"/>
          <w14:ligatures w14:val="none"/>
        </w:rPr>
        <w:t>.  In many instances, however, the lack of post-translational modification capability is not problematic.  Many peptide and protein drugs produced in microbial systems (</w:t>
      </w:r>
      <w:r w:rsidRPr="00D27433">
        <w:rPr>
          <w:rFonts w:ascii="Aptos" w:eastAsia="Times New Roman" w:hAnsi="Aptos" w:cs="Times New Roman"/>
          <w:i/>
          <w:iCs/>
          <w:color w:val="212121"/>
          <w:kern w:val="0"/>
          <w14:ligatures w14:val="none"/>
        </w:rPr>
        <w:t>E. coli,</w:t>
      </w:r>
      <w:r w:rsidRPr="00D27433">
        <w:rPr>
          <w:rFonts w:ascii="Aptos" w:eastAsia="Times New Roman" w:hAnsi="Aptos" w:cs="Times New Roman"/>
          <w:color w:val="212121"/>
          <w:kern w:val="0"/>
          <w14:ligatures w14:val="none"/>
        </w:rPr>
        <w:t> commonly) have been shown to have adequate biological activity even in the absence of post-translational modification.  Pharmaceuticals of interest to NASA, such as </w:t>
      </w:r>
      <w:r w:rsidRPr="00D27433">
        <w:rPr>
          <w:rFonts w:ascii="Aptos" w:eastAsia="Times New Roman" w:hAnsi="Aptos" w:cs="Times New Roman"/>
          <w:i/>
          <w:iCs/>
          <w:color w:val="212121"/>
          <w:kern w:val="0"/>
          <w14:ligatures w14:val="none"/>
        </w:rPr>
        <w:t>Granulocyte Colony Stimulating Factor, Granulocyte-macrophage Colony Stimulating Factor</w:t>
      </w:r>
      <w:r w:rsidRPr="00D27433">
        <w:rPr>
          <w:rFonts w:ascii="Aptos" w:eastAsia="Times New Roman" w:hAnsi="Aptos" w:cs="Times New Roman"/>
          <w:color w:val="212121"/>
          <w:kern w:val="0"/>
          <w14:ligatures w14:val="none"/>
        </w:rPr>
        <w:t> and </w:t>
      </w:r>
      <w:r w:rsidRPr="00D27433">
        <w:rPr>
          <w:rFonts w:ascii="Aptos" w:eastAsia="Times New Roman" w:hAnsi="Aptos" w:cs="Times New Roman"/>
          <w:i/>
          <w:iCs/>
          <w:color w:val="212121"/>
          <w:kern w:val="0"/>
          <w14:ligatures w14:val="none"/>
        </w:rPr>
        <w:t>Teriparatide,</w:t>
      </w:r>
      <w:r w:rsidRPr="00D27433">
        <w:rPr>
          <w:rFonts w:ascii="Aptos" w:eastAsia="Times New Roman" w:hAnsi="Aptos" w:cs="Times New Roman"/>
          <w:color w:val="212121"/>
          <w:kern w:val="0"/>
          <w14:ligatures w14:val="none"/>
        </w:rPr>
        <w:t xml:space="preserve"> are currently being explored for production by the </w:t>
      </w:r>
      <w:proofErr w:type="spellStart"/>
      <w:r w:rsidRPr="00D27433">
        <w:rPr>
          <w:rFonts w:ascii="Aptos" w:eastAsia="Times New Roman" w:hAnsi="Aptos" w:cs="Times New Roman"/>
          <w:color w:val="212121"/>
          <w:kern w:val="0"/>
          <w14:ligatures w14:val="none"/>
        </w:rPr>
        <w:t>Astropharmacy</w:t>
      </w:r>
      <w:proofErr w:type="spellEnd"/>
      <w:r w:rsidRPr="00D27433">
        <w:rPr>
          <w:rFonts w:ascii="Aptos" w:eastAsia="Times New Roman" w:hAnsi="Aptos" w:cs="Times New Roman"/>
          <w:color w:val="212121"/>
          <w:kern w:val="0"/>
          <w14:ligatures w14:val="none"/>
        </w:rPr>
        <w:t>, with many additional peptide/protein drugs in the pipeline.</w:t>
      </w:r>
    </w:p>
    <w:p w14:paraId="67839FFE" w14:textId="77777777" w:rsidR="00C051AE" w:rsidRDefault="00C051AE"/>
    <w:sectPr w:rsidR="00C05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33"/>
    <w:rsid w:val="001947A6"/>
    <w:rsid w:val="006B3CE8"/>
    <w:rsid w:val="00C051AE"/>
    <w:rsid w:val="00D27433"/>
    <w:rsid w:val="00E35375"/>
    <w:rsid w:val="00F10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D1568"/>
  <w15:chartTrackingRefBased/>
  <w15:docId w15:val="{88835414-A353-1E4D-99D1-96346B3C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433"/>
    <w:rPr>
      <w:rFonts w:eastAsiaTheme="majorEastAsia" w:cstheme="majorBidi"/>
      <w:color w:val="272727" w:themeColor="text1" w:themeTint="D8"/>
    </w:rPr>
  </w:style>
  <w:style w:type="paragraph" w:styleId="Title">
    <w:name w:val="Title"/>
    <w:basedOn w:val="Normal"/>
    <w:next w:val="Normal"/>
    <w:link w:val="TitleChar"/>
    <w:uiPriority w:val="10"/>
    <w:qFormat/>
    <w:rsid w:val="00D27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433"/>
    <w:pPr>
      <w:spacing w:before="160"/>
      <w:jc w:val="center"/>
    </w:pPr>
    <w:rPr>
      <w:i/>
      <w:iCs/>
      <w:color w:val="404040" w:themeColor="text1" w:themeTint="BF"/>
    </w:rPr>
  </w:style>
  <w:style w:type="character" w:customStyle="1" w:styleId="QuoteChar">
    <w:name w:val="Quote Char"/>
    <w:basedOn w:val="DefaultParagraphFont"/>
    <w:link w:val="Quote"/>
    <w:uiPriority w:val="29"/>
    <w:rsid w:val="00D27433"/>
    <w:rPr>
      <w:i/>
      <w:iCs/>
      <w:color w:val="404040" w:themeColor="text1" w:themeTint="BF"/>
    </w:rPr>
  </w:style>
  <w:style w:type="paragraph" w:styleId="ListParagraph">
    <w:name w:val="List Paragraph"/>
    <w:basedOn w:val="Normal"/>
    <w:uiPriority w:val="34"/>
    <w:qFormat/>
    <w:rsid w:val="00D27433"/>
    <w:pPr>
      <w:ind w:left="720"/>
      <w:contextualSpacing/>
    </w:pPr>
  </w:style>
  <w:style w:type="character" w:styleId="IntenseEmphasis">
    <w:name w:val="Intense Emphasis"/>
    <w:basedOn w:val="DefaultParagraphFont"/>
    <w:uiPriority w:val="21"/>
    <w:qFormat/>
    <w:rsid w:val="00D27433"/>
    <w:rPr>
      <w:i/>
      <w:iCs/>
      <w:color w:val="0F4761" w:themeColor="accent1" w:themeShade="BF"/>
    </w:rPr>
  </w:style>
  <w:style w:type="paragraph" w:styleId="IntenseQuote">
    <w:name w:val="Intense Quote"/>
    <w:basedOn w:val="Normal"/>
    <w:next w:val="Normal"/>
    <w:link w:val="IntenseQuoteChar"/>
    <w:uiPriority w:val="30"/>
    <w:qFormat/>
    <w:rsid w:val="00D27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433"/>
    <w:rPr>
      <w:i/>
      <w:iCs/>
      <w:color w:val="0F4761" w:themeColor="accent1" w:themeShade="BF"/>
    </w:rPr>
  </w:style>
  <w:style w:type="character" w:styleId="IntenseReference">
    <w:name w:val="Intense Reference"/>
    <w:basedOn w:val="DefaultParagraphFont"/>
    <w:uiPriority w:val="32"/>
    <w:qFormat/>
    <w:rsid w:val="00D27433"/>
    <w:rPr>
      <w:b/>
      <w:bCs/>
      <w:smallCaps/>
      <w:color w:val="0F4761" w:themeColor="accent1" w:themeShade="BF"/>
      <w:spacing w:val="5"/>
    </w:rPr>
  </w:style>
  <w:style w:type="character" w:customStyle="1" w:styleId="apple-converted-space">
    <w:name w:val="apple-converted-space"/>
    <w:basedOn w:val="DefaultParagraphFont"/>
    <w:rsid w:val="00D27433"/>
  </w:style>
  <w:style w:type="character" w:customStyle="1" w:styleId="outlook-search-highlight">
    <w:name w:val="outlook-search-highlight"/>
    <w:basedOn w:val="DefaultParagraphFont"/>
    <w:rsid w:val="00D2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Kunitskaya, Alina (ARC-STT)[Oak Ridge Associated Universities]</dc:creator>
  <cp:keywords/>
  <dc:description/>
  <cp:lastModifiedBy>Kunitskaya, Alina (ARC-STT)[Oak Ridge Associated Universities]</cp:lastModifiedBy>
  <cp:revision>2</cp:revision>
  <dcterms:created xsi:type="dcterms:W3CDTF">2025-04-24T21:44:00Z</dcterms:created>
  <dcterms:modified xsi:type="dcterms:W3CDTF">2025-04-24T21:46:00Z</dcterms:modified>
</cp:coreProperties>
</file>