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B139" w14:textId="309018A4" w:rsidR="00F565BA" w:rsidRPr="005261F7" w:rsidRDefault="00861D2F" w:rsidP="00143CD2">
      <w:pPr>
        <w:pStyle w:val="Title"/>
        <w:rPr>
          <w:sz w:val="48"/>
          <w:szCs w:val="48"/>
        </w:rPr>
      </w:pPr>
      <w:bookmarkStart w:id="0" w:name="_Hlk197002840"/>
      <w:bookmarkEnd w:id="0"/>
      <w:r w:rsidRPr="005261F7">
        <w:rPr>
          <w:sz w:val="48"/>
          <w:szCs w:val="48"/>
        </w:rPr>
        <w:t>Guidelines for In-Space Cryogenic Propellant Transfer</w:t>
      </w:r>
      <w:r w:rsidR="000E4D0F">
        <w:rPr>
          <w:sz w:val="48"/>
          <w:szCs w:val="48"/>
        </w:rPr>
        <w:t xml:space="preserve"> (ISCPT)</w:t>
      </w:r>
    </w:p>
    <w:p w14:paraId="738A9076" w14:textId="48466BC0" w:rsidR="001549EA" w:rsidRPr="008365BB" w:rsidRDefault="001549EA" w:rsidP="001549EA">
      <w:pPr>
        <w:jc w:val="center"/>
        <w:rPr>
          <w:bCs/>
          <w:sz w:val="32"/>
          <w:szCs w:val="32"/>
        </w:rPr>
      </w:pPr>
      <w:r w:rsidRPr="008365BB">
        <w:rPr>
          <w:bCs/>
          <w:sz w:val="32"/>
          <w:szCs w:val="32"/>
        </w:rPr>
        <w:t>Thomas M. Perrin</w:t>
      </w:r>
      <w:r>
        <w:rPr>
          <w:bCs/>
          <w:sz w:val="32"/>
          <w:szCs w:val="32"/>
          <w:vertAlign w:val="superscript"/>
        </w:rPr>
        <w:t>1</w:t>
      </w:r>
    </w:p>
    <w:p w14:paraId="25D4EB11" w14:textId="77777777" w:rsidR="001549EA" w:rsidRDefault="001549EA" w:rsidP="001549EA">
      <w:pPr>
        <w:spacing w:after="240"/>
        <w:jc w:val="center"/>
        <w:rPr>
          <w:bCs/>
          <w:i/>
          <w:sz w:val="24"/>
          <w:szCs w:val="24"/>
        </w:rPr>
      </w:pPr>
      <w:r w:rsidRPr="008365BB">
        <w:rPr>
          <w:bCs/>
          <w:i/>
          <w:sz w:val="24"/>
          <w:szCs w:val="24"/>
        </w:rPr>
        <w:t>A</w:t>
      </w:r>
      <w:r>
        <w:rPr>
          <w:bCs/>
          <w:i/>
          <w:sz w:val="24"/>
          <w:szCs w:val="24"/>
        </w:rPr>
        <w:t>mentum Space Exploration Division, NASA/Marshall Space Flight Center, AL 35824</w:t>
      </w:r>
    </w:p>
    <w:p w14:paraId="72056F53" w14:textId="466BC08B" w:rsidR="00E925F8" w:rsidRPr="008365BB" w:rsidRDefault="00E925F8" w:rsidP="00F565BA">
      <w:pPr>
        <w:jc w:val="center"/>
        <w:rPr>
          <w:bCs/>
          <w:sz w:val="32"/>
          <w:szCs w:val="32"/>
        </w:rPr>
      </w:pPr>
      <w:r w:rsidRPr="008365BB">
        <w:rPr>
          <w:bCs/>
          <w:sz w:val="32"/>
          <w:szCs w:val="32"/>
        </w:rPr>
        <w:t xml:space="preserve">David </w:t>
      </w:r>
      <w:r w:rsidR="004E7B3B">
        <w:rPr>
          <w:bCs/>
          <w:sz w:val="32"/>
          <w:szCs w:val="32"/>
        </w:rPr>
        <w:t>E</w:t>
      </w:r>
      <w:r w:rsidRPr="008365BB">
        <w:rPr>
          <w:bCs/>
          <w:sz w:val="32"/>
          <w:szCs w:val="32"/>
        </w:rPr>
        <w:t>. Eddleman</w:t>
      </w:r>
      <w:r w:rsidR="0002495B" w:rsidRPr="0002495B">
        <w:rPr>
          <w:bCs/>
          <w:sz w:val="32"/>
          <w:szCs w:val="32"/>
          <w:vertAlign w:val="superscript"/>
        </w:rPr>
        <w:t>2</w:t>
      </w:r>
      <w:r w:rsidR="00084814" w:rsidRPr="008365BB">
        <w:rPr>
          <w:bCs/>
          <w:sz w:val="32"/>
          <w:szCs w:val="32"/>
          <w:vertAlign w:val="superscript"/>
        </w:rPr>
        <w:t xml:space="preserve"> </w:t>
      </w:r>
      <w:r w:rsidR="00084814" w:rsidRPr="008365BB">
        <w:rPr>
          <w:bCs/>
          <w:sz w:val="32"/>
          <w:szCs w:val="32"/>
        </w:rPr>
        <w:t xml:space="preserve">and </w:t>
      </w:r>
      <w:r w:rsidR="001549EA" w:rsidRPr="008365BB">
        <w:rPr>
          <w:bCs/>
          <w:sz w:val="32"/>
          <w:szCs w:val="32"/>
        </w:rPr>
        <w:t>Robert J. Kenny</w:t>
      </w:r>
      <w:r w:rsidR="001549EA">
        <w:rPr>
          <w:bCs/>
          <w:sz w:val="32"/>
          <w:szCs w:val="32"/>
          <w:vertAlign w:val="superscript"/>
        </w:rPr>
        <w:t>3</w:t>
      </w:r>
    </w:p>
    <w:p w14:paraId="4DB5ACB7" w14:textId="4C53D417" w:rsidR="00203F7F" w:rsidRPr="008365BB" w:rsidRDefault="00E925F8" w:rsidP="00F565BA">
      <w:pPr>
        <w:jc w:val="center"/>
        <w:rPr>
          <w:bCs/>
          <w:sz w:val="32"/>
          <w:szCs w:val="32"/>
        </w:rPr>
      </w:pPr>
      <w:r w:rsidRPr="008365BB">
        <w:rPr>
          <w:bCs/>
          <w:sz w:val="32"/>
          <w:szCs w:val="32"/>
        </w:rPr>
        <w:t>Jacob D. Keplinger</w:t>
      </w:r>
      <w:r w:rsidR="001549EA">
        <w:rPr>
          <w:bCs/>
          <w:sz w:val="32"/>
          <w:szCs w:val="32"/>
          <w:vertAlign w:val="superscript"/>
        </w:rPr>
        <w:t>4</w:t>
      </w:r>
      <w:r w:rsidR="00084814" w:rsidRPr="008365BB">
        <w:rPr>
          <w:bCs/>
          <w:sz w:val="32"/>
          <w:szCs w:val="32"/>
        </w:rPr>
        <w:t xml:space="preserve"> and</w:t>
      </w:r>
      <w:r w:rsidR="00203F7F" w:rsidRPr="008365BB">
        <w:rPr>
          <w:bCs/>
          <w:sz w:val="32"/>
          <w:szCs w:val="32"/>
        </w:rPr>
        <w:t xml:space="preserve"> Jonathan R. Stephens</w:t>
      </w:r>
      <w:r w:rsidR="001549EA">
        <w:rPr>
          <w:bCs/>
          <w:sz w:val="32"/>
          <w:szCs w:val="32"/>
          <w:vertAlign w:val="superscript"/>
        </w:rPr>
        <w:t>5</w:t>
      </w:r>
    </w:p>
    <w:p w14:paraId="5BFF6B5F" w14:textId="09A970B8" w:rsidR="00203F7F" w:rsidRPr="008365BB" w:rsidRDefault="00203F7F" w:rsidP="00F565BA">
      <w:pPr>
        <w:jc w:val="center"/>
        <w:rPr>
          <w:bCs/>
          <w:i/>
          <w:iCs/>
          <w:sz w:val="24"/>
          <w:szCs w:val="24"/>
        </w:rPr>
      </w:pPr>
      <w:r w:rsidRPr="008365BB">
        <w:rPr>
          <w:bCs/>
          <w:i/>
          <w:iCs/>
          <w:sz w:val="24"/>
          <w:szCs w:val="24"/>
        </w:rPr>
        <w:t xml:space="preserve">NASA/Marshall Space Flight Center, Huntsville, AL 35824 </w:t>
      </w:r>
    </w:p>
    <w:p w14:paraId="6AD88D7E" w14:textId="77777777" w:rsidR="00084814" w:rsidRPr="00837AA6" w:rsidRDefault="00084814" w:rsidP="001549EA">
      <w:pPr>
        <w:rPr>
          <w:b/>
          <w:i/>
          <w:iCs/>
        </w:rPr>
      </w:pPr>
    </w:p>
    <w:p w14:paraId="25DA16C3" w14:textId="73A9D215" w:rsidR="00084814" w:rsidRPr="008365BB" w:rsidRDefault="00084814" w:rsidP="00F565BA">
      <w:pPr>
        <w:jc w:val="center"/>
        <w:rPr>
          <w:bCs/>
          <w:i/>
          <w:iCs/>
          <w:sz w:val="24"/>
          <w:szCs w:val="24"/>
        </w:rPr>
      </w:pPr>
      <w:r w:rsidRPr="008365BB">
        <w:rPr>
          <w:bCs/>
          <w:i/>
          <w:iCs/>
          <w:sz w:val="24"/>
          <w:szCs w:val="24"/>
        </w:rPr>
        <w:t>and</w:t>
      </w:r>
    </w:p>
    <w:p w14:paraId="48FFD4A7" w14:textId="77777777" w:rsidR="00203F7F" w:rsidRPr="00837AA6" w:rsidRDefault="00203F7F" w:rsidP="00F565BA">
      <w:pPr>
        <w:jc w:val="center"/>
        <w:rPr>
          <w:b/>
        </w:rPr>
      </w:pPr>
    </w:p>
    <w:p w14:paraId="55DCF5D2" w14:textId="5A244E3F" w:rsidR="001549EA" w:rsidRPr="008365BB" w:rsidRDefault="001549EA" w:rsidP="001549EA">
      <w:pPr>
        <w:jc w:val="center"/>
        <w:rPr>
          <w:bCs/>
          <w:sz w:val="32"/>
          <w:szCs w:val="32"/>
        </w:rPr>
      </w:pPr>
      <w:bookmarkStart w:id="1" w:name="_Hlk98578141"/>
      <w:r w:rsidRPr="008365BB">
        <w:rPr>
          <w:bCs/>
          <w:sz w:val="32"/>
          <w:szCs w:val="32"/>
        </w:rPr>
        <w:t>Jason W. Hartwig</w:t>
      </w:r>
      <w:r>
        <w:rPr>
          <w:bCs/>
          <w:sz w:val="32"/>
          <w:szCs w:val="32"/>
          <w:vertAlign w:val="superscript"/>
        </w:rPr>
        <w:t>6</w:t>
      </w:r>
    </w:p>
    <w:p w14:paraId="18CF4E90" w14:textId="77777777" w:rsidR="001549EA" w:rsidRPr="008365BB" w:rsidRDefault="001549EA" w:rsidP="001549EA">
      <w:pPr>
        <w:jc w:val="center"/>
        <w:rPr>
          <w:bCs/>
          <w:i/>
          <w:iCs/>
          <w:sz w:val="24"/>
          <w:szCs w:val="24"/>
        </w:rPr>
      </w:pPr>
      <w:r w:rsidRPr="008365BB">
        <w:rPr>
          <w:bCs/>
          <w:i/>
          <w:iCs/>
          <w:sz w:val="24"/>
          <w:szCs w:val="24"/>
        </w:rPr>
        <w:t>NASA/Glenn Research Center, Cleveland, OH 44135</w:t>
      </w:r>
    </w:p>
    <w:p w14:paraId="5AAC10C6" w14:textId="77777777" w:rsidR="0028564F" w:rsidRDefault="0028564F" w:rsidP="00CE2F86">
      <w:pPr>
        <w:ind w:left="720" w:right="720" w:firstLine="450"/>
        <w:rPr>
          <w:b/>
        </w:rPr>
      </w:pPr>
    </w:p>
    <w:p w14:paraId="6B991B60" w14:textId="592443DE" w:rsidR="0028564F" w:rsidRPr="00B56E46" w:rsidRDefault="0028564F" w:rsidP="0028564F">
      <w:pPr>
        <w:ind w:left="720" w:right="720" w:firstLine="270"/>
        <w:rPr>
          <w:b/>
        </w:rPr>
      </w:pPr>
      <w:r w:rsidRPr="00B56E46">
        <w:rPr>
          <w:b/>
        </w:rPr>
        <w:t>The ability to perform in-space cryogenic propellant transfer is critical to the success of the Artemis campaign. The Human Lander System (HLS) for the Artemis Program includes two vehicles – the SpaceX “Starship” and the Blue Origin “Blue Moon Mark II”. The concept of operations for both spacecraft requires the transfer of cryogenic propellants in space</w:t>
      </w:r>
      <w:r w:rsidR="00A46C70">
        <w:rPr>
          <w:b/>
        </w:rPr>
        <w:t>.</w:t>
      </w:r>
    </w:p>
    <w:p w14:paraId="6BBC22B7" w14:textId="78D1D27F" w:rsidR="0028564F" w:rsidRPr="00B56E46" w:rsidRDefault="0028564F" w:rsidP="0028564F">
      <w:pPr>
        <w:ind w:left="720" w:right="720" w:firstLine="270"/>
        <w:rPr>
          <w:b/>
        </w:rPr>
      </w:pPr>
      <w:r w:rsidRPr="00B56E46">
        <w:rPr>
          <w:b/>
        </w:rPr>
        <w:t xml:space="preserve">The transfer of cryogenic propellants </w:t>
      </w:r>
      <w:r w:rsidR="00A46C70">
        <w:rPr>
          <w:b/>
        </w:rPr>
        <w:t>between independent spacecraft</w:t>
      </w:r>
      <w:r w:rsidRPr="00B56E46">
        <w:rPr>
          <w:b/>
        </w:rPr>
        <w:t xml:space="preserve"> has never been demonstrated. </w:t>
      </w:r>
      <w:r w:rsidR="00D732A2" w:rsidRPr="00D732A2">
        <w:rPr>
          <w:b/>
          <w:bCs/>
        </w:rPr>
        <w:t>But progress is being made. Under the provisions of a NASA Space Technology Missions Directorate (STMD) 2020 Tipping Point Contract, SpaceX demonstrated a tank-to-tank transfer of liquid oxygen during its March 2024 Starship flight.</w:t>
      </w:r>
    </w:p>
    <w:p w14:paraId="56C41FAF" w14:textId="02648827" w:rsidR="0028564F" w:rsidRPr="00A46C70" w:rsidRDefault="0028564F" w:rsidP="00A46C70">
      <w:pPr>
        <w:ind w:left="720" w:right="720" w:firstLine="270"/>
        <w:rPr>
          <w:bCs/>
        </w:rPr>
      </w:pPr>
      <w:r w:rsidRPr="00B56E46">
        <w:rPr>
          <w:b/>
        </w:rPr>
        <w:t>In 2024, the Cryogenic Fluid Management Portfolio Project Office (CFMPP) at NASA’s Marshall Space Flight Center tasked a group of engineers to write a high-level guidelines document for In-Space Cryogenic Propellant Transfer (ISCPT).</w:t>
      </w:r>
      <w:r w:rsidRPr="00D732A2">
        <w:rPr>
          <w:b/>
        </w:rPr>
        <w:t xml:space="preserve"> The document is not prescriptive in nature but is intended to assist </w:t>
      </w:r>
      <w:r w:rsidR="00D732A2" w:rsidRPr="00D732A2">
        <w:rPr>
          <w:b/>
        </w:rPr>
        <w:t xml:space="preserve">NASA and Commercial Projects in developing architectures and ConOps for systems under development. </w:t>
      </w:r>
      <w:r w:rsidRPr="00B56E46">
        <w:rPr>
          <w:b/>
        </w:rPr>
        <w:t>The document includes several different sections. First, the document “sets the stage” by making some initial assumptions. Then the document discusses procedures for settled propellant transfer, unsettled propellant transfer, cryocoupler construction, and safety considerations</w:t>
      </w:r>
      <w:r w:rsidRPr="009E4673">
        <w:rPr>
          <w:bCs/>
        </w:rPr>
        <w:t xml:space="preserve">.  </w:t>
      </w:r>
    </w:p>
    <w:p w14:paraId="1614F173" w14:textId="77777777" w:rsidR="00BC79FD" w:rsidRPr="00F565BA" w:rsidRDefault="00BC79FD" w:rsidP="00BC79FD">
      <w:pPr>
        <w:keepNext/>
        <w:numPr>
          <w:ilvl w:val="0"/>
          <w:numId w:val="2"/>
        </w:numPr>
        <w:tabs>
          <w:tab w:val="clear" w:pos="360"/>
          <w:tab w:val="num" w:pos="180"/>
          <w:tab w:val="num" w:pos="4770"/>
        </w:tabs>
        <w:spacing w:before="240" w:after="60"/>
        <w:ind w:left="180" w:hanging="180"/>
        <w:jc w:val="center"/>
        <w:outlineLvl w:val="0"/>
        <w:rPr>
          <w:b/>
          <w:kern w:val="32"/>
          <w:sz w:val="22"/>
        </w:rPr>
      </w:pPr>
      <w:r w:rsidRPr="00F565BA">
        <w:rPr>
          <w:b/>
          <w:kern w:val="32"/>
          <w:sz w:val="22"/>
        </w:rPr>
        <w:t>Nomenclature</w:t>
      </w:r>
    </w:p>
    <w:p w14:paraId="3C7F90A2" w14:textId="77777777" w:rsidR="00BC79FD" w:rsidRDefault="00BC79FD" w:rsidP="00BC79FD">
      <w:pPr>
        <w:widowControl w:val="0"/>
        <w:tabs>
          <w:tab w:val="left" w:pos="864"/>
          <w:tab w:val="left" w:pos="1152"/>
          <w:tab w:val="left" w:pos="2160"/>
        </w:tabs>
        <w:rPr>
          <w:i/>
        </w:rPr>
      </w:pPr>
    </w:p>
    <w:p w14:paraId="04DC781D" w14:textId="7B5C8F30" w:rsidR="00BC79FD" w:rsidRDefault="00BC79FD" w:rsidP="00BC79FD">
      <w:pPr>
        <w:widowControl w:val="0"/>
        <w:tabs>
          <w:tab w:val="left" w:pos="864"/>
          <w:tab w:val="left" w:pos="1152"/>
          <w:tab w:val="left" w:pos="2160"/>
        </w:tabs>
        <w:rPr>
          <w:i/>
        </w:rPr>
      </w:pPr>
      <w:r>
        <w:rPr>
          <w:i/>
        </w:rPr>
        <w:t>CHV</w:t>
      </w:r>
      <w:r>
        <w:rPr>
          <w:i/>
        </w:rPr>
        <w:tab/>
      </w:r>
      <w:r>
        <w:rPr>
          <w:i/>
        </w:rPr>
        <w:tab/>
        <w:t>Charge-Hold-Vent (a method for propellant tank chilldown)</w:t>
      </w:r>
    </w:p>
    <w:p w14:paraId="18F89B2C" w14:textId="3C00B64F" w:rsidR="00BC79FD" w:rsidRDefault="00BC79FD" w:rsidP="00BC79FD">
      <w:pPr>
        <w:widowControl w:val="0"/>
        <w:tabs>
          <w:tab w:val="left" w:pos="864"/>
          <w:tab w:val="left" w:pos="1152"/>
          <w:tab w:val="left" w:pos="2160"/>
        </w:tabs>
        <w:rPr>
          <w:i/>
        </w:rPr>
      </w:pPr>
      <w:r>
        <w:rPr>
          <w:i/>
        </w:rPr>
        <w:t>NVF</w:t>
      </w:r>
      <w:r>
        <w:rPr>
          <w:i/>
        </w:rPr>
        <w:tab/>
      </w:r>
      <w:r>
        <w:rPr>
          <w:i/>
        </w:rPr>
        <w:tab/>
        <w:t>No vent fill (filling a pre-chilled propellant tank without venting)</w:t>
      </w:r>
    </w:p>
    <w:p w14:paraId="1465A806" w14:textId="025EC51A" w:rsidR="00BC79FD" w:rsidRDefault="00BC79FD" w:rsidP="00BC79FD">
      <w:pPr>
        <w:widowControl w:val="0"/>
        <w:tabs>
          <w:tab w:val="left" w:pos="864"/>
          <w:tab w:val="left" w:pos="1152"/>
          <w:tab w:val="left" w:pos="2160"/>
        </w:tabs>
        <w:rPr>
          <w:i/>
        </w:rPr>
      </w:pPr>
      <w:r>
        <w:rPr>
          <w:i/>
        </w:rPr>
        <w:t>PMD</w:t>
      </w:r>
      <w:r>
        <w:rPr>
          <w:i/>
        </w:rPr>
        <w:tab/>
      </w:r>
      <w:r>
        <w:rPr>
          <w:i/>
        </w:rPr>
        <w:tab/>
        <w:t>Propellant management device</w:t>
      </w:r>
    </w:p>
    <w:p w14:paraId="21439A76" w14:textId="08BC261A" w:rsidR="00BC79FD" w:rsidRDefault="00BC79FD" w:rsidP="00BC79FD">
      <w:pPr>
        <w:widowControl w:val="0"/>
        <w:tabs>
          <w:tab w:val="left" w:pos="864"/>
          <w:tab w:val="left" w:pos="1152"/>
          <w:tab w:val="left" w:pos="2160"/>
        </w:tabs>
        <w:rPr>
          <w:i/>
        </w:rPr>
      </w:pPr>
      <w:r>
        <w:rPr>
          <w:i/>
        </w:rPr>
        <w:t>RCS</w:t>
      </w:r>
      <w:r>
        <w:rPr>
          <w:i/>
        </w:rPr>
        <w:tab/>
      </w:r>
      <w:r>
        <w:rPr>
          <w:i/>
        </w:rPr>
        <w:tab/>
        <w:t>Reaction Control System</w:t>
      </w:r>
    </w:p>
    <w:p w14:paraId="1AEBBB22" w14:textId="350E7B01" w:rsidR="00BC79FD" w:rsidRDefault="00BC79FD" w:rsidP="00BC79FD">
      <w:pPr>
        <w:widowControl w:val="0"/>
        <w:tabs>
          <w:tab w:val="left" w:pos="864"/>
          <w:tab w:val="left" w:pos="1152"/>
          <w:tab w:val="left" w:pos="2160"/>
        </w:tabs>
        <w:rPr>
          <w:i/>
        </w:rPr>
      </w:pPr>
      <w:r>
        <w:rPr>
          <w:i/>
        </w:rPr>
        <w:t>RFMG</w:t>
      </w:r>
      <w:r>
        <w:rPr>
          <w:i/>
        </w:rPr>
        <w:tab/>
      </w:r>
      <w:r>
        <w:rPr>
          <w:i/>
        </w:rPr>
        <w:tab/>
        <w:t>Radio Frequency Mass Gauging (a technique for unsettled mass gauging)</w:t>
      </w:r>
    </w:p>
    <w:p w14:paraId="21659F26" w14:textId="0791B1BF" w:rsidR="00A46C70" w:rsidRPr="00BC79FD" w:rsidRDefault="00BC79FD" w:rsidP="00BC79FD">
      <w:pPr>
        <w:widowControl w:val="0"/>
        <w:tabs>
          <w:tab w:val="left" w:pos="864"/>
          <w:tab w:val="left" w:pos="1152"/>
          <w:tab w:val="left" w:pos="2160"/>
        </w:tabs>
        <w:rPr>
          <w:i/>
        </w:rPr>
      </w:pPr>
      <w:r>
        <w:rPr>
          <w:i/>
        </w:rPr>
        <w:t>VC/NVF</w:t>
      </w:r>
      <w:r>
        <w:rPr>
          <w:i/>
        </w:rPr>
        <w:tab/>
      </w:r>
      <w:r>
        <w:rPr>
          <w:i/>
        </w:rPr>
        <w:tab/>
        <w:t>Vented Chill/No Vent Fill</w:t>
      </w:r>
    </w:p>
    <w:p w14:paraId="6EB787C3" w14:textId="77777777" w:rsidR="000E4D0F" w:rsidRPr="00B56E46" w:rsidRDefault="000E4D0F" w:rsidP="00344844">
      <w:pPr>
        <w:jc w:val="left"/>
        <w:rPr>
          <w:bCs/>
        </w:rPr>
      </w:pPr>
      <w:r w:rsidRPr="00B56E46">
        <w:rPr>
          <w:bCs/>
        </w:rPr>
        <w:t>_____________________</w:t>
      </w:r>
    </w:p>
    <w:p w14:paraId="01787354" w14:textId="3C9DEAC1" w:rsidR="001549EA" w:rsidRPr="00B56E46" w:rsidRDefault="001549EA" w:rsidP="001549EA">
      <w:pPr>
        <w:pStyle w:val="Default"/>
        <w:rPr>
          <w:bCs/>
          <w:sz w:val="20"/>
          <w:szCs w:val="20"/>
        </w:rPr>
      </w:pPr>
      <w:r>
        <w:rPr>
          <w:rStyle w:val="FootnoteReference"/>
          <w:bCs/>
          <w:szCs w:val="20"/>
        </w:rPr>
        <w:t>1</w:t>
      </w:r>
      <w:r w:rsidRPr="00B56E46">
        <w:rPr>
          <w:bCs/>
          <w:sz w:val="20"/>
          <w:szCs w:val="20"/>
        </w:rPr>
        <w:t xml:space="preserve"> Project Integration Engineer, Science &amp; Technology Office/ST23, NASA/MSFC, AIAA Senior Member.  </w:t>
      </w:r>
    </w:p>
    <w:p w14:paraId="317D2BE1" w14:textId="77777777" w:rsidR="001549EA" w:rsidRPr="00B56E46" w:rsidRDefault="001549EA" w:rsidP="001549EA">
      <w:pPr>
        <w:rPr>
          <w:bCs/>
        </w:rPr>
      </w:pPr>
      <w:r w:rsidRPr="00B56E46">
        <w:rPr>
          <w:rStyle w:val="FootnoteReference"/>
          <w:bCs/>
        </w:rPr>
        <w:t>2</w:t>
      </w:r>
      <w:r w:rsidRPr="00B56E46">
        <w:rPr>
          <w:bCs/>
        </w:rPr>
        <w:t xml:space="preserve"> Branch Manager, Propulsion Systems Department/ER14, NASA/MSFC</w:t>
      </w:r>
      <w:r>
        <w:rPr>
          <w:bCs/>
        </w:rPr>
        <w:t>, AIAA Member.</w:t>
      </w:r>
    </w:p>
    <w:p w14:paraId="11E047CB" w14:textId="2A0B8AD7" w:rsidR="000E4D0F" w:rsidRPr="00B56E46" w:rsidRDefault="001549EA" w:rsidP="00344844">
      <w:pPr>
        <w:rPr>
          <w:bCs/>
        </w:rPr>
      </w:pPr>
      <w:r>
        <w:rPr>
          <w:rStyle w:val="FootnoteReference"/>
          <w:bCs/>
        </w:rPr>
        <w:t>3</w:t>
      </w:r>
      <w:r w:rsidR="000E4D0F" w:rsidRPr="00B56E46">
        <w:rPr>
          <w:bCs/>
        </w:rPr>
        <w:t xml:space="preserve"> Project Manager, Science &amp; Technology Office/ST01, NASA/MSFC</w:t>
      </w:r>
      <w:r w:rsidR="00740A7F">
        <w:rPr>
          <w:bCs/>
        </w:rPr>
        <w:t>, AIAA Lifetime Member.</w:t>
      </w:r>
    </w:p>
    <w:p w14:paraId="761EA6E9" w14:textId="23C938FC" w:rsidR="000E4D0F" w:rsidRPr="00B56E46" w:rsidRDefault="001549EA" w:rsidP="00344844">
      <w:pPr>
        <w:rPr>
          <w:bCs/>
        </w:rPr>
      </w:pPr>
      <w:r w:rsidRPr="001549EA">
        <w:rPr>
          <w:bCs/>
          <w:vertAlign w:val="superscript"/>
        </w:rPr>
        <w:t>4</w:t>
      </w:r>
      <w:r w:rsidR="000E4D0F" w:rsidRPr="00B56E46">
        <w:rPr>
          <w:bCs/>
        </w:rPr>
        <w:t xml:space="preserve"> Safety &amp; Mission Assurance Engineer, Science &amp; Space Systems Assurance Branch/QD22, NASA</w:t>
      </w:r>
      <w:r w:rsidR="00BE4908">
        <w:rPr>
          <w:bCs/>
        </w:rPr>
        <w:t>/</w:t>
      </w:r>
      <w:r w:rsidR="000E4D0F" w:rsidRPr="00B56E46">
        <w:rPr>
          <w:bCs/>
        </w:rPr>
        <w:t>MSFC</w:t>
      </w:r>
    </w:p>
    <w:p w14:paraId="10F63BD9" w14:textId="6A4500A2" w:rsidR="000E4D0F" w:rsidRPr="00B56E46" w:rsidRDefault="001549EA" w:rsidP="00344844">
      <w:pPr>
        <w:rPr>
          <w:bCs/>
        </w:rPr>
      </w:pPr>
      <w:r>
        <w:rPr>
          <w:rStyle w:val="FootnoteReference"/>
          <w:bCs/>
        </w:rPr>
        <w:t>5</w:t>
      </w:r>
      <w:r w:rsidR="000E4D0F" w:rsidRPr="00B56E46">
        <w:rPr>
          <w:bCs/>
        </w:rPr>
        <w:t xml:space="preserve"> Mechanical Engineer, Propulsion Systems Department/ER64, NASA/MSFC</w:t>
      </w:r>
      <w:r w:rsidR="00AF68D8">
        <w:rPr>
          <w:bCs/>
        </w:rPr>
        <w:t>, AIAA Member.</w:t>
      </w:r>
    </w:p>
    <w:p w14:paraId="5162A968" w14:textId="5E76969B" w:rsidR="000E4D0F" w:rsidRPr="00B56E46" w:rsidRDefault="001549EA" w:rsidP="00344844">
      <w:pPr>
        <w:pStyle w:val="FootnoteText"/>
        <w:rPr>
          <w:bCs/>
        </w:rPr>
      </w:pPr>
      <w:r>
        <w:rPr>
          <w:rStyle w:val="FootnoteReference"/>
          <w:bCs/>
        </w:rPr>
        <w:t>6</w:t>
      </w:r>
      <w:r w:rsidR="000E4D0F" w:rsidRPr="00B56E46">
        <w:rPr>
          <w:bCs/>
        </w:rPr>
        <w:t xml:space="preserve"> Research Aerospace Engineer, Fluids &amp; Cryogenics Branch/LTF0, NASA/GRC</w:t>
      </w:r>
      <w:r w:rsidR="00C20219">
        <w:rPr>
          <w:bCs/>
        </w:rPr>
        <w:t>, AIAA Associate Fellow</w:t>
      </w:r>
      <w:r w:rsidR="00AF68D8">
        <w:rPr>
          <w:bCs/>
        </w:rPr>
        <w:t>.</w:t>
      </w:r>
    </w:p>
    <w:p w14:paraId="218DA19A" w14:textId="5775FA58" w:rsidR="00EA68B2" w:rsidRPr="00EA68B2" w:rsidRDefault="00EA68B2" w:rsidP="00EA68B2">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lastRenderedPageBreak/>
        <w:t>Introduction</w:t>
      </w:r>
    </w:p>
    <w:p w14:paraId="5048F74A" w14:textId="77777777" w:rsidR="00EA68B2" w:rsidRDefault="00EA68B2" w:rsidP="001F3E0B">
      <w:pPr>
        <w:ind w:firstLine="270"/>
        <w:rPr>
          <w:bCs/>
        </w:rPr>
      </w:pPr>
    </w:p>
    <w:p w14:paraId="6C26A06F" w14:textId="1A2F88AF" w:rsidR="000E4D0F" w:rsidRDefault="001F3E0B" w:rsidP="001F3E0B">
      <w:pPr>
        <w:ind w:firstLine="270"/>
        <w:rPr>
          <w:bCs/>
          <w:color w:val="FF0000"/>
        </w:rPr>
      </w:pPr>
      <w:r w:rsidRPr="00BB2C0D">
        <w:rPr>
          <w:bCs/>
        </w:rPr>
        <w:t>NASA’s Artemis Program is more complex than the Apollo Program of 50 years ago. While the Apollo Program relied on the mighty Saturn V rocket and very basic mission objectives, the Artemis Program has much more ambitious objectives and many more elements – a suite of precursor robotic missions, the Space Launch System (SLS) heavy rocket, the Orion crew capsule, a Gateway outpost that will orbit the Moon, and the Human Lander System (HLS) which will take astronauts back and forth from the Gateway outpost to the lunar surface.</w:t>
      </w:r>
      <w:r>
        <w:rPr>
          <w:b/>
        </w:rPr>
        <w:t xml:space="preserve"> </w:t>
      </w:r>
    </w:p>
    <w:p w14:paraId="6B2E1881" w14:textId="55E57807" w:rsidR="00347519" w:rsidRPr="00B56E46" w:rsidRDefault="00347519" w:rsidP="00502187">
      <w:pPr>
        <w:ind w:firstLine="270"/>
        <w:rPr>
          <w:bCs/>
        </w:rPr>
      </w:pPr>
      <w:r w:rsidRPr="00B56E46">
        <w:rPr>
          <w:bCs/>
        </w:rPr>
        <w:t>The Human Lander System (HLS) includes two vehicles – the SpaceX “Starship” spacecraft and the Blue Origin “Blue Moon Mk. II”. The concept of operations (</w:t>
      </w:r>
      <w:r w:rsidR="00F03FDA" w:rsidRPr="00B56E46">
        <w:rPr>
          <w:bCs/>
        </w:rPr>
        <w:t>ConOps</w:t>
      </w:r>
      <w:r w:rsidRPr="00B56E46">
        <w:rPr>
          <w:bCs/>
        </w:rPr>
        <w:t xml:space="preserve">) for both spacecraft requires the transfer of cryogenic propellants in space – liquid oxygen (LO2) and liquid methane (LCH4) for Starship and LO2 and liquid </w:t>
      </w:r>
      <w:r w:rsidR="006B52B6" w:rsidRPr="00B56E46">
        <w:rPr>
          <w:bCs/>
        </w:rPr>
        <w:t>h</w:t>
      </w:r>
      <w:r w:rsidRPr="00B56E46">
        <w:rPr>
          <w:bCs/>
        </w:rPr>
        <w:t>ydrogen (LH2) for the Blue Moon</w:t>
      </w:r>
      <w:r w:rsidR="006B52B6" w:rsidRPr="00B56E46">
        <w:rPr>
          <w:bCs/>
        </w:rPr>
        <w:t xml:space="preserve"> lander</w:t>
      </w:r>
      <w:r w:rsidRPr="00B56E46">
        <w:rPr>
          <w:bCs/>
        </w:rPr>
        <w:t>.</w:t>
      </w:r>
    </w:p>
    <w:p w14:paraId="4D20450D" w14:textId="01751247" w:rsidR="00347519" w:rsidRPr="00B56E46" w:rsidRDefault="00347519" w:rsidP="00502187">
      <w:pPr>
        <w:ind w:firstLine="270"/>
        <w:rPr>
          <w:bCs/>
        </w:rPr>
      </w:pPr>
      <w:r w:rsidRPr="00B56E46">
        <w:rPr>
          <w:bCs/>
        </w:rPr>
        <w:t>The storage and transfer of cryogenic propellants in space has never been demonstrated to any scale</w:t>
      </w:r>
      <w:r w:rsidR="00642B77" w:rsidRPr="00B56E46">
        <w:rPr>
          <w:bCs/>
        </w:rPr>
        <w:t xml:space="preserve">, and no one has ever transferred cryogenic propellants between two spacecraft. </w:t>
      </w:r>
      <w:r w:rsidR="00D732A2">
        <w:t>But progress is being made. Under the provisions of a NASA Space Technology Missions Directorate (STMD) 2020 Tipping Point Contract, SpaceX demonstrated a tank-to-tank transfer of liquid oxygen during its March 2024 Starship flight</w:t>
      </w:r>
      <w:r w:rsidR="00D732A2">
        <w:rPr>
          <w:b/>
          <w:bCs/>
        </w:rPr>
        <w:t>.</w:t>
      </w:r>
      <w:r w:rsidR="00D732A2" w:rsidRPr="00B56E46">
        <w:rPr>
          <w:bCs/>
        </w:rPr>
        <w:t xml:space="preserve"> </w:t>
      </w:r>
      <w:r w:rsidRPr="00B56E46">
        <w:rPr>
          <w:bCs/>
        </w:rPr>
        <w:t>(The Apollo-era command module</w:t>
      </w:r>
      <w:r w:rsidR="006B52B6" w:rsidRPr="00B56E46">
        <w:rPr>
          <w:bCs/>
        </w:rPr>
        <w:t>, service module,</w:t>
      </w:r>
      <w:r w:rsidRPr="00B56E46">
        <w:rPr>
          <w:bCs/>
        </w:rPr>
        <w:t xml:space="preserve"> and lunar lander used non-cryo</w:t>
      </w:r>
      <w:r w:rsidR="006B52B6" w:rsidRPr="00B56E46">
        <w:rPr>
          <w:bCs/>
        </w:rPr>
        <w:t xml:space="preserve">genic hypergolic </w:t>
      </w:r>
      <w:r w:rsidRPr="00B56E46">
        <w:rPr>
          <w:bCs/>
        </w:rPr>
        <w:t>hydrazine</w:t>
      </w:r>
      <w:r w:rsidR="00642B77" w:rsidRPr="00B56E46">
        <w:rPr>
          <w:bCs/>
        </w:rPr>
        <w:t xml:space="preserve"> and did not perform propellant transfers</w:t>
      </w:r>
      <w:r w:rsidRPr="00B56E46">
        <w:rPr>
          <w:bCs/>
        </w:rPr>
        <w:t>.</w:t>
      </w:r>
      <w:r w:rsidR="00642B77" w:rsidRPr="00B56E46">
        <w:rPr>
          <w:bCs/>
        </w:rPr>
        <w:t>)</w:t>
      </w:r>
      <w:r w:rsidR="00015A88" w:rsidRPr="00B56E46">
        <w:rPr>
          <w:bCs/>
        </w:rPr>
        <w:t xml:space="preserve">  </w:t>
      </w:r>
    </w:p>
    <w:p w14:paraId="4D341E1C" w14:textId="2690A16C" w:rsidR="00875A25" w:rsidRPr="00B56E46" w:rsidRDefault="00F22E74" w:rsidP="00502187">
      <w:pPr>
        <w:ind w:firstLine="270"/>
        <w:rPr>
          <w:bCs/>
        </w:rPr>
      </w:pPr>
      <w:r w:rsidRPr="00B56E46">
        <w:rPr>
          <w:bCs/>
        </w:rPr>
        <w:t xml:space="preserve">The </w:t>
      </w:r>
      <w:r w:rsidR="00F03FDA" w:rsidRPr="00B56E46">
        <w:rPr>
          <w:bCs/>
        </w:rPr>
        <w:t>ConOps</w:t>
      </w:r>
      <w:r w:rsidRPr="00B56E46">
        <w:rPr>
          <w:bCs/>
        </w:rPr>
        <w:t xml:space="preserve"> </w:t>
      </w:r>
      <w:r w:rsidR="006C0AD6" w:rsidRPr="00B56E46">
        <w:rPr>
          <w:bCs/>
        </w:rPr>
        <w:t>for</w:t>
      </w:r>
      <w:r w:rsidRPr="00B56E46">
        <w:rPr>
          <w:bCs/>
        </w:rPr>
        <w:t xml:space="preserve"> the two HLS landers has given greater visibility to the ongoing research by NASA into the storage and transfer of cryogenic propellants. This research is managed by the Cryogenic Fluid Management Portfolio Project Office (CFMPP) located at NASA’s Marshall Space Flight Center </w:t>
      </w:r>
      <w:r w:rsidR="006C0AD6" w:rsidRPr="00B56E46">
        <w:rPr>
          <w:bCs/>
        </w:rPr>
        <w:t xml:space="preserve">(MSFC) </w:t>
      </w:r>
      <w:r w:rsidRPr="00B56E46">
        <w:rPr>
          <w:bCs/>
        </w:rPr>
        <w:t>in Huntsville, Alabama, with research ongoing at Marshall Space Flight Center,</w:t>
      </w:r>
      <w:r w:rsidR="006C0AD6" w:rsidRPr="00B56E46">
        <w:rPr>
          <w:bCs/>
        </w:rPr>
        <w:t xml:space="preserve"> </w:t>
      </w:r>
      <w:r w:rsidRPr="00B56E46">
        <w:rPr>
          <w:bCs/>
        </w:rPr>
        <w:t xml:space="preserve">NASA’s Glenn Research Center </w:t>
      </w:r>
      <w:r w:rsidR="006C0AD6" w:rsidRPr="00B56E46">
        <w:rPr>
          <w:bCs/>
        </w:rPr>
        <w:t xml:space="preserve">(GRC) </w:t>
      </w:r>
      <w:r w:rsidRPr="00B56E46">
        <w:rPr>
          <w:bCs/>
        </w:rPr>
        <w:t>in Cleveland, Ohio,</w:t>
      </w:r>
      <w:r w:rsidR="00A205EC" w:rsidRPr="00B56E46">
        <w:rPr>
          <w:bCs/>
        </w:rPr>
        <w:t xml:space="preserve"> </w:t>
      </w:r>
      <w:r w:rsidRPr="00B56E46">
        <w:rPr>
          <w:bCs/>
        </w:rPr>
        <w:t>and numerous other locations around the United States.</w:t>
      </w:r>
    </w:p>
    <w:p w14:paraId="6FA61418" w14:textId="068FA2D1" w:rsidR="0093718C" w:rsidRPr="00B56E46" w:rsidRDefault="00A24616" w:rsidP="00502187">
      <w:pPr>
        <w:ind w:firstLine="270"/>
        <w:jc w:val="left"/>
        <w:rPr>
          <w:bCs/>
        </w:rPr>
      </w:pPr>
      <w:r w:rsidRPr="00B56E46">
        <w:rPr>
          <w:bCs/>
        </w:rPr>
        <w:t xml:space="preserve">The CFMPP oversees work in four “portfolios” – CFM technologies, CFM subsystems, CFM demonstrations (including flight demonstrations), and CFM modeling. Each portfolio </w:t>
      </w:r>
      <w:r w:rsidR="0093718C" w:rsidRPr="00B56E46">
        <w:rPr>
          <w:bCs/>
        </w:rPr>
        <w:t xml:space="preserve">includes several “activities” – separate research efforts, each with its own funding, management, </w:t>
      </w:r>
      <w:r w:rsidR="00270174" w:rsidRPr="00B56E46">
        <w:rPr>
          <w:bCs/>
        </w:rPr>
        <w:t xml:space="preserve">and </w:t>
      </w:r>
      <w:r w:rsidR="0093718C" w:rsidRPr="00B56E46">
        <w:rPr>
          <w:bCs/>
        </w:rPr>
        <w:t>schedule.</w:t>
      </w:r>
    </w:p>
    <w:p w14:paraId="1BDFA93C" w14:textId="2A97E2A2" w:rsidR="00E93A1A" w:rsidRDefault="0093718C" w:rsidP="00502187">
      <w:pPr>
        <w:ind w:firstLine="270"/>
        <w:rPr>
          <w:bCs/>
        </w:rPr>
      </w:pPr>
      <w:r w:rsidRPr="00B56E46">
        <w:rPr>
          <w:bCs/>
        </w:rPr>
        <w:t xml:space="preserve">Over the last calendar year, the CFMPP tasked a group of engineers to write a high-level document </w:t>
      </w:r>
      <w:r w:rsidR="006B35FB">
        <w:rPr>
          <w:bCs/>
        </w:rPr>
        <w:t xml:space="preserve">CFM-DOC-008 </w:t>
      </w:r>
      <w:r w:rsidR="006B35FB" w:rsidRPr="006B35FB">
        <w:rPr>
          <w:bCs/>
          <w:i/>
          <w:iCs/>
        </w:rPr>
        <w:t xml:space="preserve">Guidelines </w:t>
      </w:r>
      <w:r w:rsidRPr="006B35FB">
        <w:rPr>
          <w:bCs/>
          <w:i/>
          <w:iCs/>
        </w:rPr>
        <w:t>for In-Space Cryogenic Propellant Transfer (ISCPT).</w:t>
      </w:r>
      <w:r w:rsidRPr="00B56E46">
        <w:rPr>
          <w:bCs/>
        </w:rPr>
        <w:t xml:space="preserve"> The document is not prescriptive in nature but is intended to assist </w:t>
      </w:r>
      <w:r w:rsidR="00D732A2">
        <w:t>NASA and Commercial Projects in developing architectures and ConOps for systems under development.</w:t>
      </w:r>
      <w:r w:rsidR="00D732A2">
        <w:rPr>
          <w:b/>
          <w:bCs/>
        </w:rPr>
        <w:t xml:space="preserve"> </w:t>
      </w:r>
      <w:r w:rsidR="00B658DB" w:rsidRPr="00B56E46">
        <w:rPr>
          <w:bCs/>
        </w:rPr>
        <w:t>The document includes several different sections.</w:t>
      </w:r>
      <w:r w:rsidR="00944979" w:rsidRPr="00B56E46">
        <w:rPr>
          <w:bCs/>
        </w:rPr>
        <w:t xml:space="preserve"> The organization of the document is shown in Fig. 1. </w:t>
      </w:r>
      <w:r w:rsidR="00B658DB" w:rsidRPr="00B56E46">
        <w:rPr>
          <w:bCs/>
        </w:rPr>
        <w:t xml:space="preserve"> First, the document “sets the stage” by making some initial assumptions – among them that two spacecraft (termed the “propellant supplier spacecraft” and the “propellant receiving spacecraft”) are docked together, and the act of docking the two spacecraft accomplishes the mating of cryogenic </w:t>
      </w:r>
      <w:r w:rsidR="00E47A23" w:rsidRPr="00B56E46">
        <w:rPr>
          <w:bCs/>
        </w:rPr>
        <w:t xml:space="preserve">fluid </w:t>
      </w:r>
      <w:r w:rsidR="00B658DB" w:rsidRPr="00B56E46">
        <w:rPr>
          <w:bCs/>
        </w:rPr>
        <w:t>coupling devices (termed “cryocouplers”).</w:t>
      </w:r>
      <w:r w:rsidR="00E47A23" w:rsidRPr="00B56E46">
        <w:rPr>
          <w:bCs/>
        </w:rPr>
        <w:t xml:space="preserve"> Then the document discusses procedures for settled propellant transfer, unsettled propellant transfer, cryocoupler construction, and safety.</w:t>
      </w:r>
    </w:p>
    <w:p w14:paraId="5CA559AF" w14:textId="77777777" w:rsidR="00E93A1A" w:rsidRDefault="00E93A1A" w:rsidP="00EA68B2">
      <w:pPr>
        <w:ind w:firstLine="450"/>
        <w:rPr>
          <w:bCs/>
        </w:rPr>
      </w:pPr>
    </w:p>
    <w:p w14:paraId="48BF6BCF" w14:textId="1BF5C614" w:rsidR="00E93A1A" w:rsidRPr="00837AA6" w:rsidRDefault="00470DC5" w:rsidP="00470DC5">
      <w:pPr>
        <w:ind w:left="288" w:right="720" w:firstLine="288"/>
        <w:jc w:val="center"/>
        <w:rPr>
          <w:b/>
        </w:rPr>
      </w:pPr>
      <w:r>
        <w:rPr>
          <w:b/>
          <w:noProof/>
        </w:rPr>
        <w:drawing>
          <wp:inline distT="0" distB="0" distL="0" distR="0" wp14:anchorId="3DFDB45D" wp14:editId="5576AEAE">
            <wp:extent cx="4024258" cy="2779776"/>
            <wp:effectExtent l="0" t="0" r="0" b="1905"/>
            <wp:docPr id="114213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544" cy="2785500"/>
                    </a:xfrm>
                    <a:prstGeom prst="rect">
                      <a:avLst/>
                    </a:prstGeom>
                    <a:noFill/>
                  </pic:spPr>
                </pic:pic>
              </a:graphicData>
            </a:graphic>
          </wp:inline>
        </w:drawing>
      </w:r>
    </w:p>
    <w:p w14:paraId="7297CEF8" w14:textId="77777777" w:rsidR="00E93A1A" w:rsidRPr="00837AA6" w:rsidRDefault="00E93A1A" w:rsidP="00E93A1A">
      <w:pPr>
        <w:jc w:val="left"/>
        <w:rPr>
          <w:b/>
        </w:rPr>
      </w:pPr>
    </w:p>
    <w:p w14:paraId="44EBFA14" w14:textId="77777777" w:rsidR="00E93A1A" w:rsidRDefault="00E93A1A" w:rsidP="00E93A1A">
      <w:pPr>
        <w:jc w:val="center"/>
        <w:rPr>
          <w:b/>
        </w:rPr>
      </w:pPr>
      <w:r w:rsidRPr="00837AA6">
        <w:rPr>
          <w:b/>
        </w:rPr>
        <w:t>Figure 1.  ISCPT Document Organization.</w:t>
      </w:r>
    </w:p>
    <w:p w14:paraId="3AA56BD1" w14:textId="04D370C9" w:rsidR="00EA68B2" w:rsidRPr="00EA68B2" w:rsidRDefault="00EA68B2" w:rsidP="00EA68B2">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lastRenderedPageBreak/>
        <w:t>Settled Propellant Transfer</w:t>
      </w:r>
    </w:p>
    <w:bookmarkEnd w:id="1"/>
    <w:p w14:paraId="4ADEB888" w14:textId="77777777" w:rsidR="00800141" w:rsidRDefault="00800141" w:rsidP="00BC45BD">
      <w:pPr>
        <w:ind w:firstLine="450"/>
        <w:rPr>
          <w:bCs/>
        </w:rPr>
      </w:pPr>
    </w:p>
    <w:p w14:paraId="44EDDF4D" w14:textId="77777777" w:rsidR="00995A7D" w:rsidRDefault="00982923" w:rsidP="00502187">
      <w:pPr>
        <w:ind w:firstLine="270"/>
      </w:pPr>
      <w:r w:rsidRPr="00B56E46">
        <w:rPr>
          <w:bCs/>
        </w:rPr>
        <w:t>Settled Propellant Transfer is a simplified operation relative to unsettled transfer in that the position of the propellant within the tank is known.</w:t>
      </w:r>
      <w:r w:rsidR="00974737" w:rsidRPr="00B56E46">
        <w:rPr>
          <w:bCs/>
        </w:rPr>
        <w:t xml:space="preserve"> </w:t>
      </w:r>
      <w:r w:rsidRPr="00B56E46">
        <w:rPr>
          <w:bCs/>
        </w:rPr>
        <w:t xml:space="preserve">Propellant </w:t>
      </w:r>
      <w:r w:rsidR="00974737" w:rsidRPr="00B56E46">
        <w:rPr>
          <w:bCs/>
        </w:rPr>
        <w:t>a</w:t>
      </w:r>
      <w:r w:rsidRPr="00B56E46">
        <w:rPr>
          <w:bCs/>
        </w:rPr>
        <w:t xml:space="preserve">cquisition, </w:t>
      </w:r>
      <w:r w:rsidR="00974737" w:rsidRPr="00B56E46">
        <w:rPr>
          <w:bCs/>
        </w:rPr>
        <w:t>t</w:t>
      </w:r>
      <w:r w:rsidRPr="00B56E46">
        <w:rPr>
          <w:bCs/>
        </w:rPr>
        <w:t xml:space="preserve">ank </w:t>
      </w:r>
      <w:r w:rsidR="00974737" w:rsidRPr="00B56E46">
        <w:rPr>
          <w:bCs/>
        </w:rPr>
        <w:t>p</w:t>
      </w:r>
      <w:r w:rsidRPr="00B56E46">
        <w:rPr>
          <w:bCs/>
        </w:rPr>
        <w:t xml:space="preserve">ressurization, and </w:t>
      </w:r>
      <w:r w:rsidR="00974737" w:rsidRPr="00B56E46">
        <w:rPr>
          <w:bCs/>
        </w:rPr>
        <w:t>m</w:t>
      </w:r>
      <w:r w:rsidRPr="00B56E46">
        <w:rPr>
          <w:bCs/>
        </w:rPr>
        <w:t xml:space="preserve">ass </w:t>
      </w:r>
      <w:r w:rsidR="00974737" w:rsidRPr="00B56E46">
        <w:rPr>
          <w:bCs/>
        </w:rPr>
        <w:t>g</w:t>
      </w:r>
      <w:r w:rsidRPr="00B56E46">
        <w:rPr>
          <w:bCs/>
        </w:rPr>
        <w:t>auging can all be accomplished with more conventional methods.</w:t>
      </w:r>
      <w:r w:rsidR="00015A88" w:rsidRPr="00B56E46">
        <w:rPr>
          <w:bCs/>
        </w:rPr>
        <w:t xml:space="preserve"> </w:t>
      </w:r>
      <w:r w:rsidR="00995A7D" w:rsidRPr="001008A5">
        <w:t xml:space="preserve">Trades </w:t>
      </w:r>
      <w:r w:rsidR="00995A7D">
        <w:t>should</w:t>
      </w:r>
      <w:r w:rsidR="00995A7D" w:rsidRPr="001008A5">
        <w:t xml:space="preserve"> be conducted to include mass, risk, feasibility, complexity, and cost when determining whether or not to settle prior to a transfer operation for a given application.</w:t>
      </w:r>
    </w:p>
    <w:p w14:paraId="493C6BEB" w14:textId="39351831" w:rsidR="00EA68B2" w:rsidRDefault="00982923" w:rsidP="00502187">
      <w:pPr>
        <w:ind w:firstLine="270"/>
        <w:rPr>
          <w:bCs/>
        </w:rPr>
      </w:pPr>
      <w:r w:rsidRPr="00B56E46">
        <w:rPr>
          <w:bCs/>
        </w:rPr>
        <w:t>If a settled propellant transfer is planned, then micro-acceleration(s) of the docked space vehicles to settle propellants prior to initiating transfer operations is needed. Micro-accelerations may also be needed during transfer operations to maintain settled conditions.</w:t>
      </w:r>
      <w:r w:rsidR="00974737" w:rsidRPr="00B56E46">
        <w:rPr>
          <w:bCs/>
        </w:rPr>
        <w:t xml:space="preserve"> </w:t>
      </w:r>
      <w:r w:rsidRPr="00B56E46">
        <w:rPr>
          <w:bCs/>
        </w:rPr>
        <w:t>Settling can be accomplished via RCS, Settling Motors, or Propulsive Venting, all of which require propellant (mass).</w:t>
      </w:r>
      <w:r w:rsidR="00974737" w:rsidRPr="00B56E46">
        <w:rPr>
          <w:bCs/>
        </w:rPr>
        <w:t xml:space="preserve"> </w:t>
      </w:r>
      <w:r w:rsidRPr="00B56E46">
        <w:rPr>
          <w:bCs/>
        </w:rPr>
        <w:t>Steps in settled prop transfer are described in Fig. 2.</w:t>
      </w:r>
      <w:r w:rsidR="00015A88" w:rsidRPr="00B56E46">
        <w:rPr>
          <w:bCs/>
        </w:rPr>
        <w:t xml:space="preserve">  </w:t>
      </w:r>
      <w:r w:rsidR="00435964">
        <w:rPr>
          <w:bCs/>
        </w:rPr>
        <w:t>Numbers within the blocks of the figure correspond to sections within the document.</w:t>
      </w:r>
    </w:p>
    <w:p w14:paraId="06E0E228" w14:textId="77777777" w:rsidR="00435964" w:rsidRDefault="00435964" w:rsidP="00EA68B2">
      <w:pPr>
        <w:ind w:firstLine="450"/>
        <w:rPr>
          <w:bCs/>
          <w:color w:val="FF0000"/>
        </w:rPr>
      </w:pPr>
    </w:p>
    <w:p w14:paraId="18CF8659" w14:textId="77777777" w:rsidR="00435964" w:rsidRDefault="00435964" w:rsidP="00EA68B2">
      <w:pPr>
        <w:ind w:firstLine="450"/>
        <w:rPr>
          <w:bCs/>
          <w:color w:val="FF0000"/>
        </w:rPr>
      </w:pPr>
    </w:p>
    <w:p w14:paraId="6E1A50D9" w14:textId="75C37C53" w:rsidR="00435964" w:rsidRDefault="00435964" w:rsidP="00435964">
      <w:pPr>
        <w:jc w:val="center"/>
        <w:rPr>
          <w:b/>
          <w:color w:val="000000"/>
        </w:rPr>
      </w:pPr>
      <w:r>
        <w:rPr>
          <w:b/>
          <w:noProof/>
          <w:color w:val="000000"/>
        </w:rPr>
        <w:drawing>
          <wp:inline distT="0" distB="0" distL="0" distR="0" wp14:anchorId="6F4BBF66" wp14:editId="05852B0D">
            <wp:extent cx="4950460" cy="5810250"/>
            <wp:effectExtent l="0" t="0" r="0" b="0"/>
            <wp:docPr id="1087946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0460" cy="5810250"/>
                    </a:xfrm>
                    <a:prstGeom prst="rect">
                      <a:avLst/>
                    </a:prstGeom>
                    <a:noFill/>
                  </pic:spPr>
                </pic:pic>
              </a:graphicData>
            </a:graphic>
          </wp:inline>
        </w:drawing>
      </w:r>
    </w:p>
    <w:p w14:paraId="029C781E" w14:textId="77777777" w:rsidR="00435964" w:rsidRPr="00721A3E" w:rsidRDefault="00435964" w:rsidP="00435964">
      <w:pPr>
        <w:jc w:val="center"/>
        <w:rPr>
          <w:b/>
          <w:color w:val="000000"/>
        </w:rPr>
      </w:pPr>
    </w:p>
    <w:p w14:paraId="47B8BDF0" w14:textId="77777777" w:rsidR="00435964" w:rsidRDefault="00435964" w:rsidP="00435964">
      <w:pPr>
        <w:pStyle w:val="ISCPTTxt"/>
        <w:jc w:val="center"/>
        <w:rPr>
          <w:b/>
          <w:bCs/>
          <w:sz w:val="20"/>
          <w:szCs w:val="20"/>
        </w:rPr>
      </w:pPr>
      <w:r w:rsidRPr="00A138D2">
        <w:rPr>
          <w:b/>
          <w:bCs/>
          <w:sz w:val="20"/>
          <w:szCs w:val="20"/>
        </w:rPr>
        <w:t>Figure 2.  Steps in Settled Propellant Transfer.</w:t>
      </w:r>
    </w:p>
    <w:p w14:paraId="11011C74" w14:textId="537D3FC9" w:rsidR="00EA68B2" w:rsidRPr="00EA68B2" w:rsidRDefault="00EA68B2" w:rsidP="00EA68B2">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lastRenderedPageBreak/>
        <w:t>Unsettled Propellant Transfer</w:t>
      </w:r>
    </w:p>
    <w:p w14:paraId="66C32579" w14:textId="3A505093" w:rsidR="00800141" w:rsidRDefault="00800141" w:rsidP="00BC45BD">
      <w:pPr>
        <w:ind w:firstLine="450"/>
        <w:rPr>
          <w:bCs/>
        </w:rPr>
      </w:pPr>
    </w:p>
    <w:p w14:paraId="196ED6A0" w14:textId="53C75133" w:rsidR="00982923" w:rsidRPr="00B56E46" w:rsidRDefault="00982923" w:rsidP="00502187">
      <w:pPr>
        <w:ind w:firstLine="270"/>
        <w:rPr>
          <w:bCs/>
        </w:rPr>
      </w:pPr>
      <w:r w:rsidRPr="00B56E46">
        <w:rPr>
          <w:bCs/>
        </w:rPr>
        <w:t>Unsettled prop transfer is more difficult than settled prop transfer</w:t>
      </w:r>
      <w:r w:rsidR="00974737" w:rsidRPr="00B56E46">
        <w:rPr>
          <w:bCs/>
        </w:rPr>
        <w:t xml:space="preserve">. </w:t>
      </w:r>
      <w:r w:rsidRPr="00B56E46">
        <w:rPr>
          <w:bCs/>
        </w:rPr>
        <w:t xml:space="preserve">In a microgravity environment where the fluid inside the tank </w:t>
      </w:r>
      <w:r w:rsidR="00974737" w:rsidRPr="00B56E46">
        <w:rPr>
          <w:bCs/>
        </w:rPr>
        <w:t>is</w:t>
      </w:r>
      <w:r w:rsidRPr="00B56E46">
        <w:rPr>
          <w:bCs/>
        </w:rPr>
        <w:t xml:space="preserve"> in an unsettled condition, one of the m</w:t>
      </w:r>
      <w:r w:rsidRPr="00BB0F95">
        <w:rPr>
          <w:bCs/>
        </w:rPr>
        <w:t>ain risks is venting liquid overboard</w:t>
      </w:r>
      <w:r w:rsidR="00BB0F95" w:rsidRPr="00BB0F95">
        <w:rPr>
          <w:bCs/>
        </w:rPr>
        <w:t xml:space="preserve"> </w:t>
      </w:r>
      <w:r w:rsidR="00BB0F95" w:rsidRPr="00BB0F95">
        <w:t>and inability to maintain liquid at the outlet port via liquid acquisition systems</w:t>
      </w:r>
      <w:r w:rsidRPr="00BB0F95">
        <w:rPr>
          <w:bCs/>
        </w:rPr>
        <w:t>.</w:t>
      </w:r>
      <w:r w:rsidR="00C95585" w:rsidRPr="00BB0F95">
        <w:rPr>
          <w:bCs/>
        </w:rPr>
        <w:t xml:space="preserve"> </w:t>
      </w:r>
      <w:r w:rsidR="00C95585" w:rsidRPr="00B56E46">
        <w:rPr>
          <w:bCs/>
        </w:rPr>
        <w:t>This is due to the unsettled nature of the fluid in the tank as well as the positive pressure gradient across the receiving tank vent valve.</w:t>
      </w:r>
      <w:r w:rsidR="00015A88" w:rsidRPr="00B56E46">
        <w:rPr>
          <w:bCs/>
        </w:rPr>
        <w:t xml:space="preserve">  </w:t>
      </w:r>
    </w:p>
    <w:p w14:paraId="79D7EEE0" w14:textId="328254C4" w:rsidR="00982923" w:rsidRPr="00B56E46" w:rsidRDefault="00C95585" w:rsidP="00502187">
      <w:pPr>
        <w:ind w:firstLine="270"/>
        <w:rPr>
          <w:bCs/>
        </w:rPr>
      </w:pPr>
      <w:r w:rsidRPr="00B56E46">
        <w:rPr>
          <w:bCs/>
        </w:rPr>
        <w:t xml:space="preserve">The easiest way to achieve a successful fill is to prechill the receiving system below </w:t>
      </w:r>
      <w:r w:rsidR="00974737" w:rsidRPr="00B56E46">
        <w:rPr>
          <w:bCs/>
        </w:rPr>
        <w:t>a</w:t>
      </w:r>
      <w:r w:rsidRPr="00B56E46">
        <w:rPr>
          <w:bCs/>
        </w:rPr>
        <w:t xml:space="preserve"> “target” temperature, defined as the maximum wall temperature that permits a continuous non-vented fill. Th</w:t>
      </w:r>
      <w:r w:rsidR="00BB0F95">
        <w:rPr>
          <w:bCs/>
        </w:rPr>
        <w:t>is</w:t>
      </w:r>
      <w:r w:rsidRPr="00B56E46">
        <w:rPr>
          <w:bCs/>
        </w:rPr>
        <w:t xml:space="preserve"> can be determined experimentally and predicted using analytical or numerical techniques based on the thermal energy stored in the receiving tank.</w:t>
      </w:r>
      <w:r w:rsidR="00015A88" w:rsidRPr="00B56E46">
        <w:rPr>
          <w:bCs/>
        </w:rPr>
        <w:t xml:space="preserve">  </w:t>
      </w:r>
    </w:p>
    <w:p w14:paraId="619D1070" w14:textId="35874767" w:rsidR="00EA68B2" w:rsidRDefault="00C95585" w:rsidP="00502187">
      <w:pPr>
        <w:pStyle w:val="ISCPTTxt"/>
        <w:spacing w:after="0" w:line="240" w:lineRule="auto"/>
        <w:ind w:firstLine="270"/>
        <w:jc w:val="both"/>
        <w:rPr>
          <w:rFonts w:cs="Times New Roman"/>
          <w:bCs/>
          <w:sz w:val="20"/>
          <w:szCs w:val="20"/>
        </w:rPr>
      </w:pPr>
      <w:r w:rsidRPr="00B56E46">
        <w:rPr>
          <w:rFonts w:cs="Times New Roman"/>
          <w:bCs/>
          <w:sz w:val="20"/>
          <w:szCs w:val="20"/>
        </w:rPr>
        <w:t>Unsettled prop transfer described in Fig. 3. While the steps appear to be sequential, much depends on the initial state of the receiving propellant tank and transfer line. Chilldown of the receiving tank and the transfer line might occur simultaneously</w:t>
      </w:r>
      <w:r w:rsidR="00800141">
        <w:rPr>
          <w:rFonts w:cs="Times New Roman"/>
          <w:bCs/>
          <w:sz w:val="20"/>
          <w:szCs w:val="20"/>
        </w:rPr>
        <w:t xml:space="preserve">. </w:t>
      </w:r>
      <w:r w:rsidRPr="00B56E46">
        <w:rPr>
          <w:rFonts w:cs="Times New Roman"/>
          <w:bCs/>
          <w:sz w:val="20"/>
          <w:szCs w:val="20"/>
        </w:rPr>
        <w:t>Mass gauging might be needed continuously for both the supply tank and the receiving tank.</w:t>
      </w:r>
    </w:p>
    <w:p w14:paraId="1B2517F3" w14:textId="21CB1250" w:rsidR="005E7C08" w:rsidRDefault="005E7C08" w:rsidP="00502187">
      <w:pPr>
        <w:pStyle w:val="ISCPTTxt"/>
        <w:spacing w:after="0" w:line="240" w:lineRule="auto"/>
        <w:ind w:firstLine="270"/>
        <w:jc w:val="both"/>
        <w:rPr>
          <w:rFonts w:cs="Times New Roman"/>
          <w:bCs/>
          <w:sz w:val="20"/>
          <w:szCs w:val="20"/>
        </w:rPr>
      </w:pPr>
      <w:r>
        <w:rPr>
          <w:b/>
          <w:bCs/>
          <w:noProof/>
          <w:sz w:val="20"/>
          <w:szCs w:val="20"/>
        </w:rPr>
        <w:drawing>
          <wp:anchor distT="0" distB="0" distL="114300" distR="114300" simplePos="0" relativeHeight="251659264" behindDoc="1" locked="0" layoutInCell="1" allowOverlap="1" wp14:anchorId="2FC7B497" wp14:editId="291A3C28">
            <wp:simplePos x="0" y="0"/>
            <wp:positionH relativeFrom="margin">
              <wp:posOffset>669290</wp:posOffset>
            </wp:positionH>
            <wp:positionV relativeFrom="paragraph">
              <wp:posOffset>239055</wp:posOffset>
            </wp:positionV>
            <wp:extent cx="4826635" cy="5635625"/>
            <wp:effectExtent l="0" t="0" r="0" b="0"/>
            <wp:wrapTopAndBottom/>
            <wp:docPr id="119456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635" cy="5635625"/>
                    </a:xfrm>
                    <a:prstGeom prst="rect">
                      <a:avLst/>
                    </a:prstGeom>
                    <a:noFill/>
                  </pic:spPr>
                </pic:pic>
              </a:graphicData>
            </a:graphic>
            <wp14:sizeRelH relativeFrom="margin">
              <wp14:pctWidth>0</wp14:pctWidth>
            </wp14:sizeRelH>
            <wp14:sizeRelV relativeFrom="margin">
              <wp14:pctHeight>0</wp14:pctHeight>
            </wp14:sizeRelV>
          </wp:anchor>
        </w:drawing>
      </w:r>
    </w:p>
    <w:p w14:paraId="2F9B31DB" w14:textId="6E3F36D1" w:rsidR="005E7C08" w:rsidRDefault="005E7C08" w:rsidP="00502187">
      <w:pPr>
        <w:pStyle w:val="ISCPTTxt"/>
        <w:spacing w:after="0" w:line="240" w:lineRule="auto"/>
        <w:ind w:firstLine="270"/>
        <w:jc w:val="both"/>
        <w:rPr>
          <w:rFonts w:cs="Times New Roman"/>
          <w:bCs/>
          <w:sz w:val="20"/>
          <w:szCs w:val="20"/>
        </w:rPr>
      </w:pPr>
    </w:p>
    <w:p w14:paraId="43D6B831" w14:textId="4959247A" w:rsidR="00800141" w:rsidRDefault="00800141">
      <w:pPr>
        <w:jc w:val="left"/>
        <w:rPr>
          <w:bCs/>
        </w:rPr>
      </w:pPr>
    </w:p>
    <w:p w14:paraId="363BB836" w14:textId="5A198635" w:rsidR="00800141" w:rsidRPr="00A138D2" w:rsidRDefault="00800141" w:rsidP="00800141">
      <w:pPr>
        <w:pStyle w:val="ISCPTTxt"/>
        <w:jc w:val="center"/>
        <w:rPr>
          <w:b/>
          <w:bCs/>
          <w:sz w:val="20"/>
          <w:szCs w:val="20"/>
        </w:rPr>
      </w:pPr>
      <w:r w:rsidRPr="00A138D2">
        <w:rPr>
          <w:b/>
          <w:bCs/>
          <w:sz w:val="20"/>
          <w:szCs w:val="20"/>
        </w:rPr>
        <w:t>Figure 3.  Steps in Unsettled Propellant Transfer.</w:t>
      </w:r>
    </w:p>
    <w:p w14:paraId="0B8C8D6E" w14:textId="33B34249" w:rsidR="00FB76E8" w:rsidRPr="00FB76E8" w:rsidRDefault="00EA68B2" w:rsidP="00FB76E8">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lastRenderedPageBreak/>
        <w:t>Cryocoupler Construction</w:t>
      </w:r>
    </w:p>
    <w:p w14:paraId="41B602C3" w14:textId="77777777" w:rsidR="00FB76E8" w:rsidRDefault="00FB76E8" w:rsidP="00BC45BD">
      <w:pPr>
        <w:ind w:firstLine="450"/>
        <w:rPr>
          <w:bCs/>
        </w:rPr>
      </w:pPr>
    </w:p>
    <w:p w14:paraId="0205A173" w14:textId="416D7FD4" w:rsidR="000E15B8" w:rsidRPr="00B56E46" w:rsidRDefault="000E15B8" w:rsidP="00502187">
      <w:pPr>
        <w:ind w:firstLine="270"/>
        <w:rPr>
          <w:bCs/>
        </w:rPr>
      </w:pPr>
      <w:r w:rsidRPr="00B56E46">
        <w:rPr>
          <w:bCs/>
        </w:rPr>
        <w:t>All cryocouplers fall into one of two categories: actively controlled or passively controlled, and they may be completely active, completely passive, or a combination where one half is actively controlled and the other is passive. A cryocoupler may be a unidirectional or bi-directional flow mechanism designed for operation at cryogenic temperatures, consisting of a male and female half. When joined, the cryocoupler allows for the safe transfer of propellant or oxidizer from one spacecraft to another.</w:t>
      </w:r>
      <w:r w:rsidR="00015A88" w:rsidRPr="00B56E46">
        <w:rPr>
          <w:bCs/>
        </w:rPr>
        <w:t xml:space="preserve">  </w:t>
      </w:r>
    </w:p>
    <w:p w14:paraId="6835B4C7" w14:textId="72120FE6" w:rsidR="00235A9B" w:rsidRPr="00B56E46" w:rsidRDefault="00235A9B" w:rsidP="00502187">
      <w:pPr>
        <w:ind w:firstLine="270"/>
        <w:rPr>
          <w:bCs/>
        </w:rPr>
      </w:pPr>
      <w:r w:rsidRPr="00B56E46">
        <w:rPr>
          <w:bCs/>
        </w:rPr>
        <w:t>Propellant transfer operations and vehicle architecture requirements will influence the cryocoupler design.</w:t>
      </w:r>
      <w:r w:rsidR="003133A0" w:rsidRPr="00B56E46">
        <w:rPr>
          <w:bCs/>
        </w:rPr>
        <w:t xml:space="preserve"> System requirements for positive indication of mate or demate and initiation or completion of propellant transfer may drive requirements for position indicators or interstitial purges. Leak detection capability may be required for health monitoring.</w:t>
      </w:r>
      <w:r w:rsidR="00015A88" w:rsidRPr="00B56E46">
        <w:rPr>
          <w:bCs/>
        </w:rPr>
        <w:t xml:space="preserve"> </w:t>
      </w:r>
    </w:p>
    <w:p w14:paraId="3EFAB4D7" w14:textId="0138544E" w:rsidR="000E15B8" w:rsidRPr="00B56E46" w:rsidRDefault="000E15B8" w:rsidP="00502187">
      <w:pPr>
        <w:ind w:firstLine="270"/>
        <w:rPr>
          <w:bCs/>
        </w:rPr>
      </w:pPr>
      <w:r w:rsidRPr="00B56E46">
        <w:rPr>
          <w:bCs/>
        </w:rPr>
        <w:t>All cryocouplers should undergo qualification testing to confirm their ability to endure environments and meet performance requirements with margin.</w:t>
      </w:r>
      <w:r w:rsidR="00974737" w:rsidRPr="00B56E46">
        <w:rPr>
          <w:bCs/>
        </w:rPr>
        <w:t xml:space="preserve"> </w:t>
      </w:r>
      <w:r w:rsidRPr="00B56E46">
        <w:rPr>
          <w:bCs/>
        </w:rPr>
        <w:t>Qualification programs should incorporate tests aimed at verifying design compliance to performance requirements, typically consisting of burst, lifecycle, leakage, operation in thermal or vibrations environments, and flow capacity in both fill and drain directions. Testing should be performed with the expected working fluid to assess soft good friction and sealing performance at the operating temperature.</w:t>
      </w:r>
      <w:r w:rsidR="00015A88" w:rsidRPr="00B56E46">
        <w:rPr>
          <w:bCs/>
        </w:rPr>
        <w:t xml:space="preserve"> </w:t>
      </w:r>
    </w:p>
    <w:p w14:paraId="4B003B6D" w14:textId="4AF58AC4" w:rsidR="000E15B8" w:rsidRPr="00B56E46" w:rsidRDefault="000E15B8" w:rsidP="00502187">
      <w:pPr>
        <w:ind w:firstLine="270"/>
        <w:rPr>
          <w:bCs/>
        </w:rPr>
      </w:pPr>
      <w:r w:rsidRPr="00B56E46">
        <w:rPr>
          <w:bCs/>
        </w:rPr>
        <w:t>Performance requirements typical of those for components found on rockets will apply to cryocouplers. The pressure and temperature ranges that the cryocoupler could experience should be defined by the system.</w:t>
      </w:r>
      <w:r w:rsidR="00015A88" w:rsidRPr="00B56E46">
        <w:rPr>
          <w:bCs/>
        </w:rPr>
        <w:t xml:space="preserve"> </w:t>
      </w:r>
    </w:p>
    <w:p w14:paraId="54EA5E35" w14:textId="77777777" w:rsidR="005B5B80" w:rsidRDefault="000E15B8" w:rsidP="00502187">
      <w:pPr>
        <w:ind w:firstLine="270"/>
        <w:rPr>
          <w:bCs/>
        </w:rPr>
      </w:pPr>
      <w:r w:rsidRPr="00B56E46">
        <w:rPr>
          <w:bCs/>
        </w:rPr>
        <w:t>Each cryocoupler component and soft goods must undergo a comprehensive material compatibility assessment to evaluate the effects of propellants, including issues like hydrogen embrittlement and oxygen impact hazards. General compatibility with the transferred propellant must also be verified.</w:t>
      </w:r>
      <w:r w:rsidR="00015A88" w:rsidRPr="00B56E46">
        <w:rPr>
          <w:bCs/>
        </w:rPr>
        <w:t xml:space="preserve"> </w:t>
      </w:r>
      <w:r w:rsidR="00FB76E8">
        <w:rPr>
          <w:bCs/>
        </w:rPr>
        <w:t>A computer aided design (CAD) rendering of a cryocoupler is shown in Fig. 4 below</w:t>
      </w:r>
      <w:r w:rsidR="005B5B80">
        <w:rPr>
          <w:bCs/>
        </w:rPr>
        <w:t xml:space="preserve">: </w:t>
      </w:r>
    </w:p>
    <w:p w14:paraId="6148E7ED" w14:textId="77777777" w:rsidR="005B5B80" w:rsidRDefault="005B5B80" w:rsidP="005B5B80">
      <w:pPr>
        <w:ind w:firstLine="450"/>
        <w:rPr>
          <w:bCs/>
        </w:rPr>
      </w:pPr>
    </w:p>
    <w:p w14:paraId="263BEC71" w14:textId="3E2D0C98" w:rsidR="00FB76E8" w:rsidRDefault="005B5B80" w:rsidP="00D76E7E">
      <w:pPr>
        <w:jc w:val="center"/>
        <w:rPr>
          <w:bCs/>
        </w:rPr>
      </w:pPr>
      <w:r>
        <w:rPr>
          <w:bCs/>
          <w:noProof/>
        </w:rPr>
        <w:drawing>
          <wp:inline distT="0" distB="0" distL="0" distR="0" wp14:anchorId="197EB55D" wp14:editId="2805027C">
            <wp:extent cx="4770084" cy="4274289"/>
            <wp:effectExtent l="0" t="0" r="0" b="0"/>
            <wp:docPr id="1774645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9183" cy="4309324"/>
                    </a:xfrm>
                    <a:prstGeom prst="rect">
                      <a:avLst/>
                    </a:prstGeom>
                    <a:noFill/>
                  </pic:spPr>
                </pic:pic>
              </a:graphicData>
            </a:graphic>
          </wp:inline>
        </w:drawing>
      </w:r>
    </w:p>
    <w:p w14:paraId="535CF260" w14:textId="77777777" w:rsidR="00D76E7E" w:rsidRDefault="00D76E7E" w:rsidP="00D76E7E">
      <w:pPr>
        <w:pStyle w:val="ISCPTTxt"/>
        <w:spacing w:after="0"/>
        <w:jc w:val="center"/>
        <w:rPr>
          <w:b/>
          <w:bCs/>
          <w:sz w:val="20"/>
          <w:szCs w:val="20"/>
        </w:rPr>
      </w:pPr>
    </w:p>
    <w:p w14:paraId="3685F5AD" w14:textId="033A5BED" w:rsidR="00FB76E8" w:rsidRPr="001920C1" w:rsidRDefault="00D76E7E" w:rsidP="001920C1">
      <w:pPr>
        <w:pStyle w:val="ISCPTTxt"/>
        <w:jc w:val="center"/>
        <w:rPr>
          <w:b/>
          <w:bCs/>
          <w:sz w:val="20"/>
          <w:szCs w:val="20"/>
        </w:rPr>
      </w:pPr>
      <w:r w:rsidRPr="00A138D2">
        <w:rPr>
          <w:b/>
          <w:bCs/>
          <w:sz w:val="20"/>
          <w:szCs w:val="20"/>
        </w:rPr>
        <w:t xml:space="preserve">Figure </w:t>
      </w:r>
      <w:r>
        <w:rPr>
          <w:b/>
          <w:bCs/>
          <w:sz w:val="20"/>
          <w:szCs w:val="20"/>
        </w:rPr>
        <w:t>4.  CAD rendering of a cryocoupler</w:t>
      </w:r>
      <w:r w:rsidRPr="00A138D2">
        <w:rPr>
          <w:b/>
          <w:bCs/>
          <w:sz w:val="20"/>
          <w:szCs w:val="20"/>
        </w:rPr>
        <w:t>.</w:t>
      </w:r>
    </w:p>
    <w:p w14:paraId="6998891F" w14:textId="11E1DD5C" w:rsidR="00EA68B2" w:rsidRPr="00EA68B2" w:rsidRDefault="00EA68B2" w:rsidP="00EA68B2">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lastRenderedPageBreak/>
        <w:t>Safety Considerations</w:t>
      </w:r>
    </w:p>
    <w:p w14:paraId="6AE91E45" w14:textId="77777777" w:rsidR="00FB76E8" w:rsidRDefault="00FB76E8" w:rsidP="00BC45BD">
      <w:pPr>
        <w:ind w:firstLine="450"/>
        <w:rPr>
          <w:bCs/>
        </w:rPr>
      </w:pPr>
    </w:p>
    <w:p w14:paraId="5128A6C4" w14:textId="6A6CCC5E" w:rsidR="00E638C1" w:rsidRPr="00B56E46" w:rsidRDefault="00E638C1" w:rsidP="00502187">
      <w:pPr>
        <w:ind w:firstLine="270"/>
        <w:rPr>
          <w:bCs/>
        </w:rPr>
      </w:pPr>
      <w:r w:rsidRPr="00B56E46">
        <w:rPr>
          <w:bCs/>
        </w:rPr>
        <w:t>Safety is paramount</w:t>
      </w:r>
      <w:r w:rsidR="0029310C" w:rsidRPr="00B56E46">
        <w:rPr>
          <w:bCs/>
        </w:rPr>
        <w:t xml:space="preserve"> when working with cryogenic propellants</w:t>
      </w:r>
      <w:r w:rsidRPr="00B56E46">
        <w:rPr>
          <w:bCs/>
        </w:rPr>
        <w:t>.</w:t>
      </w:r>
      <w:r w:rsidR="0029310C" w:rsidRPr="00B56E46">
        <w:rPr>
          <w:bCs/>
        </w:rPr>
        <w:t xml:space="preserve"> Planning for in-space cryogenic propellant transfer must include hazard identification and mitigation.</w:t>
      </w:r>
      <w:r w:rsidR="00605DB9" w:rsidRPr="00B56E46">
        <w:rPr>
          <w:bCs/>
        </w:rPr>
        <w:t xml:space="preserve"> </w:t>
      </w:r>
      <w:r w:rsidR="00875A25" w:rsidRPr="00B56E46">
        <w:rPr>
          <w:bCs/>
        </w:rPr>
        <w:t>Some p</w:t>
      </w:r>
      <w:r w:rsidRPr="00B56E46">
        <w:rPr>
          <w:bCs/>
        </w:rPr>
        <w:t>otential hazards include:</w:t>
      </w:r>
      <w:r w:rsidR="00015A88" w:rsidRPr="00B56E46">
        <w:rPr>
          <w:bCs/>
        </w:rPr>
        <w:t xml:space="preserve"> </w:t>
      </w:r>
    </w:p>
    <w:p w14:paraId="58F79395" w14:textId="25D23873" w:rsidR="00D03BA5" w:rsidRPr="00B56E46" w:rsidRDefault="00837AA6" w:rsidP="00502187">
      <w:pPr>
        <w:ind w:firstLine="270"/>
        <w:rPr>
          <w:bCs/>
          <w:color w:val="FF0000"/>
        </w:rPr>
      </w:pPr>
      <w:r w:rsidRPr="00B56E46">
        <w:rPr>
          <w:bCs/>
          <w:i/>
          <w:iCs/>
        </w:rPr>
        <w:t>Propellant leakage.</w:t>
      </w:r>
      <w:r w:rsidRPr="00B56E46">
        <w:rPr>
          <w:bCs/>
        </w:rPr>
        <w:t xml:space="preserve"> Cryogenic propellant, particularly liquid hydrogen, is prone to leakage due to the tight tolerances required to maintain a seal in connecting interfaces.  The propellant transfer lines will likely be the most susceptible to propellant leakage. </w:t>
      </w:r>
    </w:p>
    <w:p w14:paraId="614CAA2A" w14:textId="660C37FA" w:rsidR="00837AA6" w:rsidRPr="00B56E46" w:rsidRDefault="00837AA6" w:rsidP="003B26B9">
      <w:pPr>
        <w:ind w:firstLine="274"/>
        <w:rPr>
          <w:bCs/>
        </w:rPr>
      </w:pPr>
      <w:r w:rsidRPr="00B56E46">
        <w:rPr>
          <w:bCs/>
          <w:i/>
          <w:iCs/>
        </w:rPr>
        <w:t>Uncontained Propellant or Propellant Vapors</w:t>
      </w:r>
      <w:r w:rsidRPr="00B56E46">
        <w:rPr>
          <w:bCs/>
        </w:rPr>
        <w:t xml:space="preserve">. ISCPT operations could result in a release of propellant vapor through intended (venting) or unintended (leakage) events.  If these vapors are trapped in or concentrated near the vehicle, they may increase the risk of fire or explosion. </w:t>
      </w:r>
      <w:r w:rsidR="00015A88" w:rsidRPr="00B56E46">
        <w:rPr>
          <w:bCs/>
        </w:rPr>
        <w:t xml:space="preserve"> </w:t>
      </w:r>
    </w:p>
    <w:p w14:paraId="06A5D313" w14:textId="5556210B" w:rsidR="00837AA6" w:rsidRPr="00B56E46" w:rsidRDefault="00837AA6" w:rsidP="003B26B9">
      <w:pPr>
        <w:ind w:firstLine="274"/>
        <w:rPr>
          <w:bCs/>
        </w:rPr>
      </w:pPr>
      <w:r w:rsidRPr="00B56E46">
        <w:rPr>
          <w:bCs/>
          <w:i/>
          <w:iCs/>
        </w:rPr>
        <w:t>Electrostatic discharge.</w:t>
      </w:r>
      <w:r w:rsidRPr="00B56E46">
        <w:rPr>
          <w:bCs/>
        </w:rPr>
        <w:t xml:space="preserve"> Electrostatic discharge is a known hazard for docking spacecraft, and all currently conceivable methods of ISCPT will involve some form of docking.  Electrostatic discharge can damage vital components, including electrical components, and could initiate combustion or explosion in energetic materials, such as propellant</w:t>
      </w:r>
      <w:r w:rsidRPr="00B56E46">
        <w:rPr>
          <w:bCs/>
          <w:color w:val="FF0000"/>
        </w:rPr>
        <w:t xml:space="preserve">. </w:t>
      </w:r>
    </w:p>
    <w:p w14:paraId="338A8A87" w14:textId="0B28C9BC" w:rsidR="00837AA6" w:rsidRPr="00B56E46" w:rsidRDefault="00837AA6" w:rsidP="00502187">
      <w:pPr>
        <w:ind w:firstLine="270"/>
        <w:rPr>
          <w:bCs/>
        </w:rPr>
      </w:pPr>
      <w:r w:rsidRPr="00B56E46">
        <w:rPr>
          <w:bCs/>
          <w:i/>
          <w:iCs/>
        </w:rPr>
        <w:t>Foreign object debris (FOD).</w:t>
      </w:r>
      <w:r w:rsidRPr="00B56E46">
        <w:rPr>
          <w:bCs/>
        </w:rPr>
        <w:t xml:space="preserve"> Debris may be trapped in the system during manufacture or integration or generated through other vehicle operations.  Significant debris can pose hazards by damaging vehicle hardware, interfering with instrument function, forming blockages in fluid lines or valves, or posing an ignition risk (especially in liquid oxygen environments).</w:t>
      </w:r>
      <w:r w:rsidR="00015A88" w:rsidRPr="00B56E46">
        <w:rPr>
          <w:bCs/>
        </w:rPr>
        <w:t xml:space="preserve">  </w:t>
      </w:r>
    </w:p>
    <w:p w14:paraId="1B3FB41F" w14:textId="3626B8F1" w:rsidR="00837AA6" w:rsidRDefault="00837AA6" w:rsidP="00502187">
      <w:pPr>
        <w:ind w:firstLine="270"/>
        <w:rPr>
          <w:bCs/>
        </w:rPr>
      </w:pPr>
      <w:r w:rsidRPr="00B56E46">
        <w:rPr>
          <w:bCs/>
          <w:i/>
          <w:iCs/>
        </w:rPr>
        <w:t>Unintended propulsive venting.</w:t>
      </w:r>
      <w:r w:rsidRPr="00B56E46">
        <w:rPr>
          <w:bCs/>
        </w:rPr>
        <w:t xml:space="preserve"> Venting propellant tanks can place unwanted accelerations on the spacecraft. This should be considered in the design and orientation of vents and when planning transfer operations.</w:t>
      </w:r>
      <w:r w:rsidR="00015A88" w:rsidRPr="00B56E46">
        <w:rPr>
          <w:bCs/>
        </w:rPr>
        <w:t xml:space="preserve"> </w:t>
      </w:r>
    </w:p>
    <w:p w14:paraId="71D0B6DF" w14:textId="77777777" w:rsidR="003B26B9" w:rsidRPr="003B26B9" w:rsidRDefault="003B26B9" w:rsidP="003B26B9">
      <w:pPr>
        <w:pStyle w:val="xiscpttxt"/>
        <w:spacing w:after="0" w:line="240" w:lineRule="auto"/>
        <w:ind w:firstLine="274"/>
        <w:rPr>
          <w:sz w:val="20"/>
          <w:szCs w:val="20"/>
        </w:rPr>
      </w:pPr>
      <w:r w:rsidRPr="003B26B9">
        <w:rPr>
          <w:bCs/>
          <w:i/>
          <w:iCs/>
          <w:sz w:val="20"/>
          <w:szCs w:val="20"/>
        </w:rPr>
        <w:t>Changes in flight dynamics.</w:t>
      </w:r>
      <w:r w:rsidRPr="003B26B9">
        <w:rPr>
          <w:bCs/>
          <w:sz w:val="20"/>
          <w:szCs w:val="20"/>
        </w:rPr>
        <w:t xml:space="preserve"> </w:t>
      </w:r>
      <w:r w:rsidRPr="003B26B9">
        <w:rPr>
          <w:sz w:val="20"/>
          <w:szCs w:val="20"/>
        </w:rPr>
        <w:t>After docking, the supply spacecraft and the receiving spacecraft become one “ body”. The transfer of a significant mass and volume of propellant from one location in the body to another could cause the body to roll or otherwise become unstable. The design and concept of operations for spacecraft engaging in cryogenic propellant transfer should consider the impact of changes in flight dynamics to prevent the exceedance of spacecraft design margins or established mission parameters.</w:t>
      </w:r>
    </w:p>
    <w:p w14:paraId="122B5DE8" w14:textId="77777777" w:rsidR="00EA68B2" w:rsidRDefault="00EA68B2" w:rsidP="003B26B9">
      <w:pPr>
        <w:rPr>
          <w:bCs/>
          <w:color w:val="FF0000"/>
        </w:rPr>
      </w:pPr>
    </w:p>
    <w:p w14:paraId="32C1596F" w14:textId="3D59F6BA" w:rsidR="00EA68B2" w:rsidRPr="00F565BA" w:rsidRDefault="00EA68B2" w:rsidP="00EA68B2">
      <w:pPr>
        <w:keepNext/>
        <w:numPr>
          <w:ilvl w:val="0"/>
          <w:numId w:val="2"/>
        </w:numPr>
        <w:tabs>
          <w:tab w:val="clear" w:pos="360"/>
          <w:tab w:val="num" w:pos="180"/>
          <w:tab w:val="num" w:pos="4770"/>
        </w:tabs>
        <w:spacing w:before="240" w:after="60"/>
        <w:ind w:left="180" w:hanging="180"/>
        <w:jc w:val="center"/>
        <w:outlineLvl w:val="0"/>
        <w:rPr>
          <w:b/>
          <w:kern w:val="32"/>
          <w:sz w:val="22"/>
        </w:rPr>
      </w:pPr>
      <w:r>
        <w:rPr>
          <w:b/>
          <w:kern w:val="32"/>
          <w:sz w:val="22"/>
        </w:rPr>
        <w:t>Summary</w:t>
      </w:r>
    </w:p>
    <w:p w14:paraId="34706580" w14:textId="77777777" w:rsidR="00EA68B2" w:rsidRPr="00B56E46" w:rsidRDefault="00EA68B2" w:rsidP="00BC45BD">
      <w:pPr>
        <w:ind w:firstLine="450"/>
        <w:rPr>
          <w:bCs/>
        </w:rPr>
      </w:pPr>
    </w:p>
    <w:p w14:paraId="6B14D529" w14:textId="02E0EAA3" w:rsidR="00A24616" w:rsidRPr="00DC1B8B" w:rsidRDefault="0084293B" w:rsidP="00E83423">
      <w:pPr>
        <w:ind w:firstLine="270"/>
        <w:rPr>
          <w:bCs/>
        </w:rPr>
      </w:pPr>
      <w:r w:rsidRPr="00B56E46">
        <w:rPr>
          <w:bCs/>
        </w:rPr>
        <w:t>The a</w:t>
      </w:r>
      <w:r w:rsidR="00837AA6" w:rsidRPr="00B56E46">
        <w:rPr>
          <w:bCs/>
        </w:rPr>
        <w:t xml:space="preserve">bility to perform </w:t>
      </w:r>
      <w:r w:rsidRPr="00B56E46">
        <w:rPr>
          <w:bCs/>
        </w:rPr>
        <w:t>in-space cryogenic propellant transfer</w:t>
      </w:r>
      <w:r w:rsidR="00837AA6" w:rsidRPr="00B56E46">
        <w:rPr>
          <w:bCs/>
        </w:rPr>
        <w:t xml:space="preserve"> is critical to the </w:t>
      </w:r>
      <w:r w:rsidRPr="00B56E46">
        <w:rPr>
          <w:bCs/>
        </w:rPr>
        <w:t xml:space="preserve">success of the </w:t>
      </w:r>
      <w:r w:rsidR="00837AA6" w:rsidRPr="00B56E46">
        <w:rPr>
          <w:bCs/>
        </w:rPr>
        <w:t>Artemis Program.</w:t>
      </w:r>
      <w:r w:rsidRPr="00B56E46">
        <w:rPr>
          <w:bCs/>
        </w:rPr>
        <w:t xml:space="preserve"> </w:t>
      </w:r>
      <w:r w:rsidR="00AC006D" w:rsidRPr="00AC006D">
        <w:rPr>
          <w:bCs/>
        </w:rPr>
        <w:t xml:space="preserve">In 2024, NASA ranked cryogenic propellant transfer </w:t>
      </w:r>
      <w:r w:rsidR="00326B6D">
        <w:rPr>
          <w:bCs/>
        </w:rPr>
        <w:t xml:space="preserve">number </w:t>
      </w:r>
      <w:r w:rsidR="00AC006D" w:rsidRPr="00AC006D">
        <w:rPr>
          <w:bCs/>
        </w:rPr>
        <w:t>21 of 187 technology shortfalls within the agency.</w:t>
      </w:r>
      <w:r w:rsidR="00E83423">
        <w:rPr>
          <w:bCs/>
        </w:rPr>
        <w:t xml:space="preserve"> </w:t>
      </w:r>
      <w:r w:rsidRPr="00B56E46">
        <w:rPr>
          <w:bCs/>
        </w:rPr>
        <w:t xml:space="preserve">The document described in this </w:t>
      </w:r>
      <w:r w:rsidR="005D6A60">
        <w:rPr>
          <w:bCs/>
        </w:rPr>
        <w:t>paper</w:t>
      </w:r>
      <w:r w:rsidRPr="00B56E46">
        <w:rPr>
          <w:bCs/>
        </w:rPr>
        <w:t xml:space="preserve"> </w:t>
      </w:r>
      <w:r w:rsidR="00837AA6" w:rsidRPr="00B56E46">
        <w:rPr>
          <w:bCs/>
        </w:rPr>
        <w:t xml:space="preserve">has been written </w:t>
      </w:r>
      <w:r w:rsidRPr="00B56E46">
        <w:rPr>
          <w:bCs/>
        </w:rPr>
        <w:t xml:space="preserve">to provide </w:t>
      </w:r>
      <w:r w:rsidR="00837AA6" w:rsidRPr="00B56E46">
        <w:rPr>
          <w:bCs/>
        </w:rPr>
        <w:t xml:space="preserve">high-level guidelines to assist aerospace engineers in developing </w:t>
      </w:r>
      <w:r w:rsidR="00F03FDA" w:rsidRPr="00B56E46">
        <w:rPr>
          <w:bCs/>
        </w:rPr>
        <w:t>ConOps</w:t>
      </w:r>
      <w:r w:rsidR="00837AA6" w:rsidRPr="00B56E46">
        <w:rPr>
          <w:bCs/>
        </w:rPr>
        <w:t xml:space="preserve"> for </w:t>
      </w:r>
      <w:r w:rsidR="00E83423">
        <w:rPr>
          <w:bCs/>
        </w:rPr>
        <w:t xml:space="preserve">cryogenic propellant transfer for </w:t>
      </w:r>
      <w:r w:rsidR="00837AA6" w:rsidRPr="00B56E46">
        <w:rPr>
          <w:bCs/>
        </w:rPr>
        <w:t>systems under development</w:t>
      </w:r>
      <w:r w:rsidR="00837AA6" w:rsidRPr="00DC1B8B">
        <w:rPr>
          <w:bCs/>
        </w:rPr>
        <w:t>.</w:t>
      </w:r>
      <w:r w:rsidRPr="00DC1B8B">
        <w:rPr>
          <w:bCs/>
        </w:rPr>
        <w:t xml:space="preserve"> </w:t>
      </w:r>
    </w:p>
    <w:p w14:paraId="7E94ADE4" w14:textId="77777777" w:rsidR="000A09F5" w:rsidRDefault="000A09F5" w:rsidP="000A09F5">
      <w:pPr>
        <w:ind w:left="720"/>
        <w:rPr>
          <w:b/>
        </w:rPr>
      </w:pPr>
    </w:p>
    <w:p w14:paraId="1323960E" w14:textId="3384536C" w:rsidR="00B412C5" w:rsidRPr="002F39DB" w:rsidRDefault="00B412C5" w:rsidP="002F39DB">
      <w:pPr>
        <w:jc w:val="left"/>
        <w:rPr>
          <w:b/>
        </w:rPr>
      </w:pPr>
    </w:p>
    <w:sectPr w:rsidR="00B412C5" w:rsidRPr="002F39DB" w:rsidSect="00594FA6">
      <w:headerReference w:type="default" r:id="rId12"/>
      <w:footerReference w:type="even" r:id="rId13"/>
      <w:footerReference w:type="default" r:id="rId14"/>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E9CC" w14:textId="77777777" w:rsidR="00774BA9" w:rsidRDefault="00774BA9">
      <w:r>
        <w:separator/>
      </w:r>
    </w:p>
  </w:endnote>
  <w:endnote w:type="continuationSeparator" w:id="0">
    <w:p w14:paraId="0D40F62B" w14:textId="77777777" w:rsidR="00774BA9" w:rsidRDefault="0077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B1E6" w14:textId="77777777" w:rsidR="00B636E4" w:rsidRDefault="00B63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FB1E7" w14:textId="77777777" w:rsidR="00B636E4" w:rsidRDefault="00B6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38BFB1E8" w14:textId="77777777" w:rsidR="000C353C" w:rsidRDefault="000C353C">
        <w:pPr>
          <w:pStyle w:val="Footer"/>
          <w:jc w:val="center"/>
        </w:pPr>
        <w:r>
          <w:fldChar w:fldCharType="begin"/>
        </w:r>
        <w:r>
          <w:instrText xml:space="preserve"> PAGE   \* MERGEFORMAT </w:instrText>
        </w:r>
        <w:r>
          <w:fldChar w:fldCharType="separate"/>
        </w:r>
        <w:r w:rsidR="00A25100">
          <w:rPr>
            <w:noProof/>
          </w:rPr>
          <w:t>1</w:t>
        </w:r>
        <w:r>
          <w:rPr>
            <w:noProof/>
          </w:rPr>
          <w:fldChar w:fldCharType="end"/>
        </w:r>
      </w:p>
    </w:sdtContent>
  </w:sdt>
  <w:p w14:paraId="38BFB1E9" w14:textId="77777777" w:rsidR="000C353C" w:rsidRDefault="000C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4898" w14:textId="77777777" w:rsidR="00774BA9" w:rsidRDefault="00774BA9">
      <w:r>
        <w:separator/>
      </w:r>
    </w:p>
  </w:footnote>
  <w:footnote w:type="continuationSeparator" w:id="0">
    <w:p w14:paraId="0E867AA7" w14:textId="77777777" w:rsidR="00774BA9" w:rsidRDefault="0077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DC4A" w14:textId="63D8AEB2" w:rsidR="00C31001" w:rsidRDefault="00ED099F" w:rsidP="00C31001">
    <w:pPr>
      <w:pStyle w:val="Header"/>
      <w:tabs>
        <w:tab w:val="clear" w:pos="4320"/>
        <w:tab w:val="clear" w:pos="8640"/>
        <w:tab w:val="center" w:pos="4680"/>
        <w:tab w:val="right" w:pos="9360"/>
      </w:tabs>
    </w:pPr>
    <w:r>
      <w:tab/>
    </w:r>
    <w:r>
      <w:tab/>
      <w:t>AIAA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172"/>
    <w:multiLevelType w:val="hybridMultilevel"/>
    <w:tmpl w:val="C2D4DF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C3E84"/>
    <w:multiLevelType w:val="hybridMultilevel"/>
    <w:tmpl w:val="093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D0F3052"/>
    <w:multiLevelType w:val="hybridMultilevel"/>
    <w:tmpl w:val="0A00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32DF4"/>
    <w:multiLevelType w:val="hybridMultilevel"/>
    <w:tmpl w:val="2DCC4640"/>
    <w:lvl w:ilvl="0" w:tplc="6CFC70AA">
      <w:start w:val="1"/>
      <w:numFmt w:val="decimal"/>
      <w:lvlText w:val="[%1]"/>
      <w:lvlJc w:val="left"/>
      <w:pPr>
        <w:ind w:left="1008" w:hanging="360"/>
      </w:pPr>
      <w:rPr>
        <w:rFonts w:ascii="Times New Roman" w:hAnsi="Times New Roman" w:hint="default"/>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7317306"/>
    <w:multiLevelType w:val="hybridMultilevel"/>
    <w:tmpl w:val="8EA4CA72"/>
    <w:lvl w:ilvl="0" w:tplc="6CFC70AA">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9"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26EED"/>
    <w:multiLevelType w:val="hybridMultilevel"/>
    <w:tmpl w:val="B198A010"/>
    <w:lvl w:ilvl="0" w:tplc="5C2C785A">
      <w:start w:val="1"/>
      <w:numFmt w:val="decimal"/>
      <w:lvlText w:val="%1)"/>
      <w:lvlJc w:val="left"/>
      <w:pPr>
        <w:ind w:left="1354" w:hanging="360"/>
      </w:pPr>
      <w:rPr>
        <w:rFonts w:hint="default"/>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5"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A57A0D"/>
    <w:multiLevelType w:val="hybridMultilevel"/>
    <w:tmpl w:val="3CC47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53AB1B9B"/>
    <w:multiLevelType w:val="hybridMultilevel"/>
    <w:tmpl w:val="4CEEA662"/>
    <w:lvl w:ilvl="0" w:tplc="F628DF0C">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C58D5"/>
    <w:multiLevelType w:val="hybridMultilevel"/>
    <w:tmpl w:val="67F8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2"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4"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5B1F63"/>
    <w:multiLevelType w:val="hybridMultilevel"/>
    <w:tmpl w:val="8E26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7"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755D4CD8"/>
    <w:multiLevelType w:val="hybridMultilevel"/>
    <w:tmpl w:val="55A4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0" w15:restartNumberingAfterBreak="0">
    <w:nsid w:val="7AA9082C"/>
    <w:multiLevelType w:val="hybridMultilevel"/>
    <w:tmpl w:val="6FF6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808866482">
    <w:abstractNumId w:val="11"/>
  </w:num>
  <w:num w:numId="2" w16cid:durableId="113604204">
    <w:abstractNumId w:val="12"/>
  </w:num>
  <w:num w:numId="3" w16cid:durableId="1768231303">
    <w:abstractNumId w:val="5"/>
  </w:num>
  <w:num w:numId="4" w16cid:durableId="1345131408">
    <w:abstractNumId w:val="24"/>
  </w:num>
  <w:num w:numId="5" w16cid:durableId="1663654499">
    <w:abstractNumId w:val="5"/>
    <w:lvlOverride w:ilvl="0">
      <w:startOverride w:val="1"/>
    </w:lvlOverride>
  </w:num>
  <w:num w:numId="6" w16cid:durableId="1794128323">
    <w:abstractNumId w:val="15"/>
  </w:num>
  <w:num w:numId="7" w16cid:durableId="382410086">
    <w:abstractNumId w:val="20"/>
  </w:num>
  <w:num w:numId="8" w16cid:durableId="928469671">
    <w:abstractNumId w:val="23"/>
  </w:num>
  <w:num w:numId="9" w16cid:durableId="1159081613">
    <w:abstractNumId w:val="27"/>
  </w:num>
  <w:num w:numId="10" w16cid:durableId="1720129668">
    <w:abstractNumId w:val="17"/>
  </w:num>
  <w:num w:numId="11" w16cid:durableId="1028020511">
    <w:abstractNumId w:val="29"/>
  </w:num>
  <w:num w:numId="12" w16cid:durableId="2111393481">
    <w:abstractNumId w:val="3"/>
  </w:num>
  <w:num w:numId="13" w16cid:durableId="2031638205">
    <w:abstractNumId w:val="9"/>
  </w:num>
  <w:num w:numId="14" w16cid:durableId="451554335">
    <w:abstractNumId w:val="32"/>
  </w:num>
  <w:num w:numId="15" w16cid:durableId="1496146035">
    <w:abstractNumId w:val="10"/>
  </w:num>
  <w:num w:numId="16" w16cid:durableId="1137799408">
    <w:abstractNumId w:val="33"/>
  </w:num>
  <w:num w:numId="17" w16cid:durableId="1755085419">
    <w:abstractNumId w:val="1"/>
  </w:num>
  <w:num w:numId="18" w16cid:durableId="1571766474">
    <w:abstractNumId w:val="5"/>
    <w:lvlOverride w:ilvl="0">
      <w:startOverride w:val="1"/>
    </w:lvlOverride>
  </w:num>
  <w:num w:numId="19" w16cid:durableId="1449198433">
    <w:abstractNumId w:val="5"/>
    <w:lvlOverride w:ilvl="0">
      <w:startOverride w:val="1"/>
    </w:lvlOverride>
  </w:num>
  <w:num w:numId="20" w16cid:durableId="2019769660">
    <w:abstractNumId w:val="5"/>
  </w:num>
  <w:num w:numId="21" w16cid:durableId="1444769614">
    <w:abstractNumId w:val="5"/>
    <w:lvlOverride w:ilvl="0">
      <w:startOverride w:val="1"/>
    </w:lvlOverride>
  </w:num>
  <w:num w:numId="22" w16cid:durableId="483622611">
    <w:abstractNumId w:val="26"/>
  </w:num>
  <w:num w:numId="23" w16cid:durableId="1852335412">
    <w:abstractNumId w:val="8"/>
  </w:num>
  <w:num w:numId="24" w16cid:durableId="172690358">
    <w:abstractNumId w:val="22"/>
  </w:num>
  <w:num w:numId="25" w16cid:durableId="1332101563">
    <w:abstractNumId w:val="21"/>
  </w:num>
  <w:num w:numId="26" w16cid:durableId="1442607270">
    <w:abstractNumId w:val="13"/>
  </w:num>
  <w:num w:numId="27" w16cid:durableId="435098345">
    <w:abstractNumId w:val="31"/>
  </w:num>
  <w:num w:numId="28" w16cid:durableId="527449677">
    <w:abstractNumId w:val="7"/>
  </w:num>
  <w:num w:numId="29" w16cid:durableId="1307315081">
    <w:abstractNumId w:val="0"/>
  </w:num>
  <w:num w:numId="30" w16cid:durableId="1413503780">
    <w:abstractNumId w:val="6"/>
  </w:num>
  <w:num w:numId="31" w16cid:durableId="1165320844">
    <w:abstractNumId w:val="18"/>
  </w:num>
  <w:num w:numId="32" w16cid:durableId="2124571920">
    <w:abstractNumId w:val="14"/>
  </w:num>
  <w:num w:numId="33" w16cid:durableId="602493670">
    <w:abstractNumId w:val="25"/>
  </w:num>
  <w:num w:numId="34" w16cid:durableId="1283653680">
    <w:abstractNumId w:val="19"/>
  </w:num>
  <w:num w:numId="35" w16cid:durableId="1287201593">
    <w:abstractNumId w:val="28"/>
  </w:num>
  <w:num w:numId="36" w16cid:durableId="1487478101">
    <w:abstractNumId w:val="30"/>
  </w:num>
  <w:num w:numId="37" w16cid:durableId="2099787654">
    <w:abstractNumId w:val="16"/>
  </w:num>
  <w:num w:numId="38" w16cid:durableId="1354920997">
    <w:abstractNumId w:val="4"/>
  </w:num>
  <w:num w:numId="39" w16cid:durableId="184323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B"/>
    <w:rsid w:val="000068CC"/>
    <w:rsid w:val="00007726"/>
    <w:rsid w:val="00011826"/>
    <w:rsid w:val="00015A88"/>
    <w:rsid w:val="00016296"/>
    <w:rsid w:val="00023250"/>
    <w:rsid w:val="000240E4"/>
    <w:rsid w:val="00024843"/>
    <w:rsid w:val="0002495B"/>
    <w:rsid w:val="0003458B"/>
    <w:rsid w:val="00044818"/>
    <w:rsid w:val="000469F7"/>
    <w:rsid w:val="00057A37"/>
    <w:rsid w:val="00060335"/>
    <w:rsid w:val="00065254"/>
    <w:rsid w:val="00071338"/>
    <w:rsid w:val="00082135"/>
    <w:rsid w:val="00082252"/>
    <w:rsid w:val="000837F5"/>
    <w:rsid w:val="00084814"/>
    <w:rsid w:val="00086AAF"/>
    <w:rsid w:val="00092FA2"/>
    <w:rsid w:val="000948E2"/>
    <w:rsid w:val="00094B0F"/>
    <w:rsid w:val="00094FF1"/>
    <w:rsid w:val="00095111"/>
    <w:rsid w:val="000A09F5"/>
    <w:rsid w:val="000A2BBF"/>
    <w:rsid w:val="000A32CD"/>
    <w:rsid w:val="000A6786"/>
    <w:rsid w:val="000A7B6E"/>
    <w:rsid w:val="000B6189"/>
    <w:rsid w:val="000C0FC0"/>
    <w:rsid w:val="000C295D"/>
    <w:rsid w:val="000C353C"/>
    <w:rsid w:val="000C7813"/>
    <w:rsid w:val="000D6C87"/>
    <w:rsid w:val="000D754E"/>
    <w:rsid w:val="000E15B8"/>
    <w:rsid w:val="000E3B3F"/>
    <w:rsid w:val="000E4D0F"/>
    <w:rsid w:val="000E7B82"/>
    <w:rsid w:val="000F2801"/>
    <w:rsid w:val="000F3AC0"/>
    <w:rsid w:val="000F7B54"/>
    <w:rsid w:val="0010128E"/>
    <w:rsid w:val="001045D9"/>
    <w:rsid w:val="001063E0"/>
    <w:rsid w:val="00116CE7"/>
    <w:rsid w:val="00121ADD"/>
    <w:rsid w:val="001230FB"/>
    <w:rsid w:val="001401DA"/>
    <w:rsid w:val="00143CD2"/>
    <w:rsid w:val="001549EA"/>
    <w:rsid w:val="0015658B"/>
    <w:rsid w:val="00170CE2"/>
    <w:rsid w:val="0018127F"/>
    <w:rsid w:val="00183937"/>
    <w:rsid w:val="001912DD"/>
    <w:rsid w:val="00191942"/>
    <w:rsid w:val="001920C1"/>
    <w:rsid w:val="001C6452"/>
    <w:rsid w:val="001C66F6"/>
    <w:rsid w:val="001D2A61"/>
    <w:rsid w:val="001D364F"/>
    <w:rsid w:val="001D6DFF"/>
    <w:rsid w:val="001E4991"/>
    <w:rsid w:val="001E6014"/>
    <w:rsid w:val="001F03FE"/>
    <w:rsid w:val="001F074F"/>
    <w:rsid w:val="001F0E7F"/>
    <w:rsid w:val="001F3D51"/>
    <w:rsid w:val="001F3E0B"/>
    <w:rsid w:val="001F56D5"/>
    <w:rsid w:val="00203F7F"/>
    <w:rsid w:val="002103F3"/>
    <w:rsid w:val="0021216D"/>
    <w:rsid w:val="002121E3"/>
    <w:rsid w:val="002142E5"/>
    <w:rsid w:val="002155A8"/>
    <w:rsid w:val="0021563F"/>
    <w:rsid w:val="00223D1F"/>
    <w:rsid w:val="00224C00"/>
    <w:rsid w:val="00235A9B"/>
    <w:rsid w:val="002362F9"/>
    <w:rsid w:val="00240879"/>
    <w:rsid w:val="002550ED"/>
    <w:rsid w:val="00256B2F"/>
    <w:rsid w:val="00262D58"/>
    <w:rsid w:val="00265CA2"/>
    <w:rsid w:val="00267C12"/>
    <w:rsid w:val="00270174"/>
    <w:rsid w:val="00270344"/>
    <w:rsid w:val="00271007"/>
    <w:rsid w:val="00276AFB"/>
    <w:rsid w:val="00276FA4"/>
    <w:rsid w:val="002773B5"/>
    <w:rsid w:val="0028564F"/>
    <w:rsid w:val="0029228A"/>
    <w:rsid w:val="0029310C"/>
    <w:rsid w:val="00293986"/>
    <w:rsid w:val="00294B2F"/>
    <w:rsid w:val="002A1A8F"/>
    <w:rsid w:val="002A278B"/>
    <w:rsid w:val="002A2CC1"/>
    <w:rsid w:val="002A7F3B"/>
    <w:rsid w:val="002B4B45"/>
    <w:rsid w:val="002C0CD6"/>
    <w:rsid w:val="002C5247"/>
    <w:rsid w:val="002D146E"/>
    <w:rsid w:val="002D33F7"/>
    <w:rsid w:val="002D3944"/>
    <w:rsid w:val="002D5979"/>
    <w:rsid w:val="002D7C48"/>
    <w:rsid w:val="002E6F41"/>
    <w:rsid w:val="002F0274"/>
    <w:rsid w:val="002F39DB"/>
    <w:rsid w:val="002F54F8"/>
    <w:rsid w:val="002F6CC6"/>
    <w:rsid w:val="00301701"/>
    <w:rsid w:val="0030445F"/>
    <w:rsid w:val="003125C8"/>
    <w:rsid w:val="003133A0"/>
    <w:rsid w:val="003204C9"/>
    <w:rsid w:val="00326B6D"/>
    <w:rsid w:val="00333ED6"/>
    <w:rsid w:val="00335C10"/>
    <w:rsid w:val="00335ECB"/>
    <w:rsid w:val="00337C12"/>
    <w:rsid w:val="00343E05"/>
    <w:rsid w:val="00344844"/>
    <w:rsid w:val="00347519"/>
    <w:rsid w:val="00354078"/>
    <w:rsid w:val="003543DB"/>
    <w:rsid w:val="00355EFA"/>
    <w:rsid w:val="00355FC0"/>
    <w:rsid w:val="00356D7E"/>
    <w:rsid w:val="00360519"/>
    <w:rsid w:val="003757F0"/>
    <w:rsid w:val="00385C02"/>
    <w:rsid w:val="00397B90"/>
    <w:rsid w:val="003A3AAD"/>
    <w:rsid w:val="003B26B9"/>
    <w:rsid w:val="003B5B5C"/>
    <w:rsid w:val="003C01D6"/>
    <w:rsid w:val="003C0A3B"/>
    <w:rsid w:val="003C2CDC"/>
    <w:rsid w:val="003C60AD"/>
    <w:rsid w:val="003C7F0D"/>
    <w:rsid w:val="003D437B"/>
    <w:rsid w:val="003E1F4A"/>
    <w:rsid w:val="003E6D7F"/>
    <w:rsid w:val="003F167B"/>
    <w:rsid w:val="003F54C3"/>
    <w:rsid w:val="003F574B"/>
    <w:rsid w:val="003F678D"/>
    <w:rsid w:val="00403168"/>
    <w:rsid w:val="00403A5D"/>
    <w:rsid w:val="00406BDD"/>
    <w:rsid w:val="00413BAC"/>
    <w:rsid w:val="00420006"/>
    <w:rsid w:val="00427E16"/>
    <w:rsid w:val="00431620"/>
    <w:rsid w:val="00433AE7"/>
    <w:rsid w:val="00435964"/>
    <w:rsid w:val="00442A9C"/>
    <w:rsid w:val="0044604D"/>
    <w:rsid w:val="004475D7"/>
    <w:rsid w:val="00453FD0"/>
    <w:rsid w:val="00470DC5"/>
    <w:rsid w:val="00474E6D"/>
    <w:rsid w:val="00475ED5"/>
    <w:rsid w:val="0048661A"/>
    <w:rsid w:val="00490BF1"/>
    <w:rsid w:val="00493A6F"/>
    <w:rsid w:val="00495B76"/>
    <w:rsid w:val="004A6F40"/>
    <w:rsid w:val="004C1C92"/>
    <w:rsid w:val="004C23C9"/>
    <w:rsid w:val="004C25CB"/>
    <w:rsid w:val="004C2685"/>
    <w:rsid w:val="004C33B0"/>
    <w:rsid w:val="004D25CC"/>
    <w:rsid w:val="004D7E71"/>
    <w:rsid w:val="004E0666"/>
    <w:rsid w:val="004E06E9"/>
    <w:rsid w:val="004E15B0"/>
    <w:rsid w:val="004E7B3B"/>
    <w:rsid w:val="00502187"/>
    <w:rsid w:val="0050622C"/>
    <w:rsid w:val="005119F8"/>
    <w:rsid w:val="00513B16"/>
    <w:rsid w:val="00514FCC"/>
    <w:rsid w:val="00515DA2"/>
    <w:rsid w:val="00516FDA"/>
    <w:rsid w:val="005261F7"/>
    <w:rsid w:val="00535292"/>
    <w:rsid w:val="0055113E"/>
    <w:rsid w:val="00555782"/>
    <w:rsid w:val="0055657E"/>
    <w:rsid w:val="00561820"/>
    <w:rsid w:val="00564950"/>
    <w:rsid w:val="005817AB"/>
    <w:rsid w:val="00586DBC"/>
    <w:rsid w:val="00591F85"/>
    <w:rsid w:val="00594FA6"/>
    <w:rsid w:val="005A571C"/>
    <w:rsid w:val="005B5B80"/>
    <w:rsid w:val="005B5BE2"/>
    <w:rsid w:val="005C34B2"/>
    <w:rsid w:val="005C6CDC"/>
    <w:rsid w:val="005D0104"/>
    <w:rsid w:val="005D046A"/>
    <w:rsid w:val="005D4575"/>
    <w:rsid w:val="005D4EBB"/>
    <w:rsid w:val="005D576B"/>
    <w:rsid w:val="005D6A60"/>
    <w:rsid w:val="005D7D17"/>
    <w:rsid w:val="005E64BE"/>
    <w:rsid w:val="005E7C08"/>
    <w:rsid w:val="005F13F4"/>
    <w:rsid w:val="005F6D69"/>
    <w:rsid w:val="00600B57"/>
    <w:rsid w:val="0060300A"/>
    <w:rsid w:val="006042E9"/>
    <w:rsid w:val="00605DB9"/>
    <w:rsid w:val="00610561"/>
    <w:rsid w:val="00611C9D"/>
    <w:rsid w:val="0061205C"/>
    <w:rsid w:val="0061506C"/>
    <w:rsid w:val="006170CA"/>
    <w:rsid w:val="00622226"/>
    <w:rsid w:val="006252A4"/>
    <w:rsid w:val="006267A9"/>
    <w:rsid w:val="00630B8F"/>
    <w:rsid w:val="00635C7A"/>
    <w:rsid w:val="00642899"/>
    <w:rsid w:val="00642B77"/>
    <w:rsid w:val="00643F9E"/>
    <w:rsid w:val="00646CCC"/>
    <w:rsid w:val="00647819"/>
    <w:rsid w:val="00654F41"/>
    <w:rsid w:val="00656E11"/>
    <w:rsid w:val="006711AD"/>
    <w:rsid w:val="00683108"/>
    <w:rsid w:val="00693A1F"/>
    <w:rsid w:val="00694A32"/>
    <w:rsid w:val="006951BA"/>
    <w:rsid w:val="00695C90"/>
    <w:rsid w:val="006A0A6B"/>
    <w:rsid w:val="006A121F"/>
    <w:rsid w:val="006B35FB"/>
    <w:rsid w:val="006B42CE"/>
    <w:rsid w:val="006B52B6"/>
    <w:rsid w:val="006C0AD6"/>
    <w:rsid w:val="006C5004"/>
    <w:rsid w:val="006C7A27"/>
    <w:rsid w:val="006D046E"/>
    <w:rsid w:val="006E47D9"/>
    <w:rsid w:val="006F5907"/>
    <w:rsid w:val="00702BAE"/>
    <w:rsid w:val="0070339A"/>
    <w:rsid w:val="00712CB5"/>
    <w:rsid w:val="00720947"/>
    <w:rsid w:val="00721A3E"/>
    <w:rsid w:val="007235DC"/>
    <w:rsid w:val="00724777"/>
    <w:rsid w:val="00727F41"/>
    <w:rsid w:val="007378C6"/>
    <w:rsid w:val="00740A7F"/>
    <w:rsid w:val="0074265B"/>
    <w:rsid w:val="00743D48"/>
    <w:rsid w:val="00744542"/>
    <w:rsid w:val="00745160"/>
    <w:rsid w:val="00746C69"/>
    <w:rsid w:val="007477F3"/>
    <w:rsid w:val="00750B8B"/>
    <w:rsid w:val="00750E35"/>
    <w:rsid w:val="00750ED5"/>
    <w:rsid w:val="00755648"/>
    <w:rsid w:val="007626CF"/>
    <w:rsid w:val="0077218F"/>
    <w:rsid w:val="00772382"/>
    <w:rsid w:val="00774BA9"/>
    <w:rsid w:val="00780BC0"/>
    <w:rsid w:val="0078151D"/>
    <w:rsid w:val="0078368E"/>
    <w:rsid w:val="00790C1A"/>
    <w:rsid w:val="00795FE9"/>
    <w:rsid w:val="007A169B"/>
    <w:rsid w:val="007A60DE"/>
    <w:rsid w:val="007A68DB"/>
    <w:rsid w:val="007A6F72"/>
    <w:rsid w:val="007A7E1D"/>
    <w:rsid w:val="007B6661"/>
    <w:rsid w:val="007C0A27"/>
    <w:rsid w:val="007C5B35"/>
    <w:rsid w:val="007C6D04"/>
    <w:rsid w:val="007C7CC3"/>
    <w:rsid w:val="007D3602"/>
    <w:rsid w:val="007D64ED"/>
    <w:rsid w:val="007E5E74"/>
    <w:rsid w:val="007E7DFE"/>
    <w:rsid w:val="007F0842"/>
    <w:rsid w:val="007F1685"/>
    <w:rsid w:val="007F7477"/>
    <w:rsid w:val="00800141"/>
    <w:rsid w:val="00800B6E"/>
    <w:rsid w:val="00803A61"/>
    <w:rsid w:val="0080568A"/>
    <w:rsid w:val="008105EF"/>
    <w:rsid w:val="00815EA1"/>
    <w:rsid w:val="008231FD"/>
    <w:rsid w:val="00826133"/>
    <w:rsid w:val="00826986"/>
    <w:rsid w:val="00835AF5"/>
    <w:rsid w:val="00835D2C"/>
    <w:rsid w:val="008365BB"/>
    <w:rsid w:val="00836FE2"/>
    <w:rsid w:val="00837AA6"/>
    <w:rsid w:val="0084293B"/>
    <w:rsid w:val="00852A36"/>
    <w:rsid w:val="00855C7B"/>
    <w:rsid w:val="00856FA3"/>
    <w:rsid w:val="00861D2F"/>
    <w:rsid w:val="00865BAA"/>
    <w:rsid w:val="0086727D"/>
    <w:rsid w:val="00875A25"/>
    <w:rsid w:val="00883359"/>
    <w:rsid w:val="0088368A"/>
    <w:rsid w:val="008857A6"/>
    <w:rsid w:val="0088762E"/>
    <w:rsid w:val="008878C8"/>
    <w:rsid w:val="0089193D"/>
    <w:rsid w:val="008A061B"/>
    <w:rsid w:val="008B52BE"/>
    <w:rsid w:val="008B72A1"/>
    <w:rsid w:val="008C2CD2"/>
    <w:rsid w:val="008C5B8F"/>
    <w:rsid w:val="008C7D55"/>
    <w:rsid w:val="008C7D7F"/>
    <w:rsid w:val="008D058E"/>
    <w:rsid w:val="008D0787"/>
    <w:rsid w:val="008E1750"/>
    <w:rsid w:val="008E60A8"/>
    <w:rsid w:val="008E6790"/>
    <w:rsid w:val="008F4DC5"/>
    <w:rsid w:val="008F5C75"/>
    <w:rsid w:val="00902D95"/>
    <w:rsid w:val="00906D5A"/>
    <w:rsid w:val="0092421F"/>
    <w:rsid w:val="00931ACE"/>
    <w:rsid w:val="0093201E"/>
    <w:rsid w:val="0093718C"/>
    <w:rsid w:val="009372D6"/>
    <w:rsid w:val="0094306D"/>
    <w:rsid w:val="00944979"/>
    <w:rsid w:val="00945045"/>
    <w:rsid w:val="00946D55"/>
    <w:rsid w:val="009546EA"/>
    <w:rsid w:val="00954902"/>
    <w:rsid w:val="0095490A"/>
    <w:rsid w:val="00954BE1"/>
    <w:rsid w:val="0095602A"/>
    <w:rsid w:val="009657FA"/>
    <w:rsid w:val="00966F73"/>
    <w:rsid w:val="00971D62"/>
    <w:rsid w:val="00974737"/>
    <w:rsid w:val="00980B0C"/>
    <w:rsid w:val="00981523"/>
    <w:rsid w:val="00982923"/>
    <w:rsid w:val="009830C8"/>
    <w:rsid w:val="009849A1"/>
    <w:rsid w:val="00995A7D"/>
    <w:rsid w:val="00996709"/>
    <w:rsid w:val="009A3712"/>
    <w:rsid w:val="009A676F"/>
    <w:rsid w:val="009A6C0D"/>
    <w:rsid w:val="009B14C0"/>
    <w:rsid w:val="009C6FA8"/>
    <w:rsid w:val="009D3FB4"/>
    <w:rsid w:val="009E0D9B"/>
    <w:rsid w:val="009E62E1"/>
    <w:rsid w:val="009E7BE0"/>
    <w:rsid w:val="009F2C85"/>
    <w:rsid w:val="009F5456"/>
    <w:rsid w:val="00A049D8"/>
    <w:rsid w:val="00A058F8"/>
    <w:rsid w:val="00A06453"/>
    <w:rsid w:val="00A07DD1"/>
    <w:rsid w:val="00A10340"/>
    <w:rsid w:val="00A138D2"/>
    <w:rsid w:val="00A1533D"/>
    <w:rsid w:val="00A15E02"/>
    <w:rsid w:val="00A15FA7"/>
    <w:rsid w:val="00A16C1B"/>
    <w:rsid w:val="00A205EC"/>
    <w:rsid w:val="00A2181B"/>
    <w:rsid w:val="00A21EA4"/>
    <w:rsid w:val="00A22E84"/>
    <w:rsid w:val="00A24616"/>
    <w:rsid w:val="00A25100"/>
    <w:rsid w:val="00A25929"/>
    <w:rsid w:val="00A2650D"/>
    <w:rsid w:val="00A34112"/>
    <w:rsid w:val="00A370B9"/>
    <w:rsid w:val="00A43A1E"/>
    <w:rsid w:val="00A44C29"/>
    <w:rsid w:val="00A4506C"/>
    <w:rsid w:val="00A46C70"/>
    <w:rsid w:val="00A477FE"/>
    <w:rsid w:val="00A533E5"/>
    <w:rsid w:val="00A53E4D"/>
    <w:rsid w:val="00A53FF9"/>
    <w:rsid w:val="00A55395"/>
    <w:rsid w:val="00A61C93"/>
    <w:rsid w:val="00A6273C"/>
    <w:rsid w:val="00A71665"/>
    <w:rsid w:val="00A8470A"/>
    <w:rsid w:val="00A91A9A"/>
    <w:rsid w:val="00AA1576"/>
    <w:rsid w:val="00AA1C43"/>
    <w:rsid w:val="00AA1E95"/>
    <w:rsid w:val="00AA77E8"/>
    <w:rsid w:val="00AB0466"/>
    <w:rsid w:val="00AB1710"/>
    <w:rsid w:val="00AC006D"/>
    <w:rsid w:val="00AC0624"/>
    <w:rsid w:val="00AC0958"/>
    <w:rsid w:val="00AC54F6"/>
    <w:rsid w:val="00AD17CD"/>
    <w:rsid w:val="00AD5FC5"/>
    <w:rsid w:val="00AE1536"/>
    <w:rsid w:val="00AE28F2"/>
    <w:rsid w:val="00AE6E5D"/>
    <w:rsid w:val="00AF1AE6"/>
    <w:rsid w:val="00AF1B6C"/>
    <w:rsid w:val="00AF2723"/>
    <w:rsid w:val="00AF3DDB"/>
    <w:rsid w:val="00AF68D8"/>
    <w:rsid w:val="00B01B84"/>
    <w:rsid w:val="00B031EA"/>
    <w:rsid w:val="00B12F37"/>
    <w:rsid w:val="00B131FC"/>
    <w:rsid w:val="00B14455"/>
    <w:rsid w:val="00B17472"/>
    <w:rsid w:val="00B17C62"/>
    <w:rsid w:val="00B200A8"/>
    <w:rsid w:val="00B279C5"/>
    <w:rsid w:val="00B31F97"/>
    <w:rsid w:val="00B32719"/>
    <w:rsid w:val="00B37F27"/>
    <w:rsid w:val="00B4049D"/>
    <w:rsid w:val="00B407BC"/>
    <w:rsid w:val="00B412C5"/>
    <w:rsid w:val="00B42216"/>
    <w:rsid w:val="00B43CC2"/>
    <w:rsid w:val="00B56E46"/>
    <w:rsid w:val="00B5770F"/>
    <w:rsid w:val="00B6228B"/>
    <w:rsid w:val="00B636E4"/>
    <w:rsid w:val="00B6396F"/>
    <w:rsid w:val="00B64830"/>
    <w:rsid w:val="00B658DB"/>
    <w:rsid w:val="00B77555"/>
    <w:rsid w:val="00B77AFD"/>
    <w:rsid w:val="00B77D8F"/>
    <w:rsid w:val="00B81D12"/>
    <w:rsid w:val="00B86BEB"/>
    <w:rsid w:val="00B906D9"/>
    <w:rsid w:val="00B91874"/>
    <w:rsid w:val="00B92135"/>
    <w:rsid w:val="00B928E3"/>
    <w:rsid w:val="00B97C3A"/>
    <w:rsid w:val="00BA361A"/>
    <w:rsid w:val="00BA536E"/>
    <w:rsid w:val="00BA605E"/>
    <w:rsid w:val="00BA6636"/>
    <w:rsid w:val="00BA7C67"/>
    <w:rsid w:val="00BB0F95"/>
    <w:rsid w:val="00BC213C"/>
    <w:rsid w:val="00BC45BD"/>
    <w:rsid w:val="00BC7058"/>
    <w:rsid w:val="00BC79FD"/>
    <w:rsid w:val="00BD489E"/>
    <w:rsid w:val="00BE082D"/>
    <w:rsid w:val="00BE4908"/>
    <w:rsid w:val="00BE66D2"/>
    <w:rsid w:val="00BF0329"/>
    <w:rsid w:val="00BF25DE"/>
    <w:rsid w:val="00BF4DC0"/>
    <w:rsid w:val="00BF7719"/>
    <w:rsid w:val="00C05933"/>
    <w:rsid w:val="00C06A96"/>
    <w:rsid w:val="00C11C48"/>
    <w:rsid w:val="00C168CC"/>
    <w:rsid w:val="00C20219"/>
    <w:rsid w:val="00C23793"/>
    <w:rsid w:val="00C267CE"/>
    <w:rsid w:val="00C26ABE"/>
    <w:rsid w:val="00C274B7"/>
    <w:rsid w:val="00C275D2"/>
    <w:rsid w:val="00C3010A"/>
    <w:rsid w:val="00C31001"/>
    <w:rsid w:val="00C37985"/>
    <w:rsid w:val="00C42827"/>
    <w:rsid w:val="00C51C36"/>
    <w:rsid w:val="00C616EA"/>
    <w:rsid w:val="00C643D6"/>
    <w:rsid w:val="00C656C6"/>
    <w:rsid w:val="00C70362"/>
    <w:rsid w:val="00C71CE7"/>
    <w:rsid w:val="00C723B9"/>
    <w:rsid w:val="00C81A5C"/>
    <w:rsid w:val="00C82C10"/>
    <w:rsid w:val="00C8562D"/>
    <w:rsid w:val="00C86782"/>
    <w:rsid w:val="00C92D13"/>
    <w:rsid w:val="00C95585"/>
    <w:rsid w:val="00CA22FD"/>
    <w:rsid w:val="00CB17A2"/>
    <w:rsid w:val="00CB6417"/>
    <w:rsid w:val="00CC005C"/>
    <w:rsid w:val="00CD6E54"/>
    <w:rsid w:val="00CE0BE9"/>
    <w:rsid w:val="00CE2F86"/>
    <w:rsid w:val="00CE6D48"/>
    <w:rsid w:val="00CF46C1"/>
    <w:rsid w:val="00D03BA5"/>
    <w:rsid w:val="00D05C82"/>
    <w:rsid w:val="00D073C7"/>
    <w:rsid w:val="00D07AB9"/>
    <w:rsid w:val="00D1212F"/>
    <w:rsid w:val="00D16A9B"/>
    <w:rsid w:val="00D16AC7"/>
    <w:rsid w:val="00D17B1B"/>
    <w:rsid w:val="00D242D3"/>
    <w:rsid w:val="00D24FF5"/>
    <w:rsid w:val="00D3783D"/>
    <w:rsid w:val="00D41353"/>
    <w:rsid w:val="00D425CB"/>
    <w:rsid w:val="00D43B2E"/>
    <w:rsid w:val="00D506A1"/>
    <w:rsid w:val="00D524E4"/>
    <w:rsid w:val="00D634EE"/>
    <w:rsid w:val="00D64F27"/>
    <w:rsid w:val="00D6612B"/>
    <w:rsid w:val="00D70B5D"/>
    <w:rsid w:val="00D732A2"/>
    <w:rsid w:val="00D735D0"/>
    <w:rsid w:val="00D76253"/>
    <w:rsid w:val="00D76633"/>
    <w:rsid w:val="00D76E7E"/>
    <w:rsid w:val="00D81473"/>
    <w:rsid w:val="00D814E6"/>
    <w:rsid w:val="00D969A2"/>
    <w:rsid w:val="00DA3C08"/>
    <w:rsid w:val="00DA5EA8"/>
    <w:rsid w:val="00DA5FE4"/>
    <w:rsid w:val="00DC1B8B"/>
    <w:rsid w:val="00DC6782"/>
    <w:rsid w:val="00DD00FD"/>
    <w:rsid w:val="00DD0584"/>
    <w:rsid w:val="00DD0B90"/>
    <w:rsid w:val="00DD369B"/>
    <w:rsid w:val="00DD7D50"/>
    <w:rsid w:val="00DE0193"/>
    <w:rsid w:val="00DF5D9A"/>
    <w:rsid w:val="00E01E43"/>
    <w:rsid w:val="00E02225"/>
    <w:rsid w:val="00E044FE"/>
    <w:rsid w:val="00E0631F"/>
    <w:rsid w:val="00E110BF"/>
    <w:rsid w:val="00E11369"/>
    <w:rsid w:val="00E13ED7"/>
    <w:rsid w:val="00E177EE"/>
    <w:rsid w:val="00E23510"/>
    <w:rsid w:val="00E31AD3"/>
    <w:rsid w:val="00E3710A"/>
    <w:rsid w:val="00E37D54"/>
    <w:rsid w:val="00E47A23"/>
    <w:rsid w:val="00E51300"/>
    <w:rsid w:val="00E60677"/>
    <w:rsid w:val="00E638C1"/>
    <w:rsid w:val="00E63CB5"/>
    <w:rsid w:val="00E63EF6"/>
    <w:rsid w:val="00E72B45"/>
    <w:rsid w:val="00E76344"/>
    <w:rsid w:val="00E80E83"/>
    <w:rsid w:val="00E83423"/>
    <w:rsid w:val="00E83858"/>
    <w:rsid w:val="00E90221"/>
    <w:rsid w:val="00E925F8"/>
    <w:rsid w:val="00E93A1A"/>
    <w:rsid w:val="00E93B34"/>
    <w:rsid w:val="00E9422E"/>
    <w:rsid w:val="00E96F24"/>
    <w:rsid w:val="00EA68B2"/>
    <w:rsid w:val="00EB1693"/>
    <w:rsid w:val="00EB26F4"/>
    <w:rsid w:val="00EB5A33"/>
    <w:rsid w:val="00EB68C7"/>
    <w:rsid w:val="00EB7F5F"/>
    <w:rsid w:val="00EC2E42"/>
    <w:rsid w:val="00EC547E"/>
    <w:rsid w:val="00EC60ED"/>
    <w:rsid w:val="00EC7392"/>
    <w:rsid w:val="00ED0565"/>
    <w:rsid w:val="00ED099F"/>
    <w:rsid w:val="00ED0E7D"/>
    <w:rsid w:val="00ED5327"/>
    <w:rsid w:val="00ED621C"/>
    <w:rsid w:val="00EE2F3C"/>
    <w:rsid w:val="00EE7113"/>
    <w:rsid w:val="00EF1DB0"/>
    <w:rsid w:val="00EF6635"/>
    <w:rsid w:val="00EF67CE"/>
    <w:rsid w:val="00F020D7"/>
    <w:rsid w:val="00F02E4F"/>
    <w:rsid w:val="00F03A71"/>
    <w:rsid w:val="00F03FDA"/>
    <w:rsid w:val="00F12C08"/>
    <w:rsid w:val="00F22E74"/>
    <w:rsid w:val="00F31659"/>
    <w:rsid w:val="00F35C40"/>
    <w:rsid w:val="00F403F9"/>
    <w:rsid w:val="00F4074C"/>
    <w:rsid w:val="00F4760E"/>
    <w:rsid w:val="00F50571"/>
    <w:rsid w:val="00F565BA"/>
    <w:rsid w:val="00F602E9"/>
    <w:rsid w:val="00F61C22"/>
    <w:rsid w:val="00F7217D"/>
    <w:rsid w:val="00F7221B"/>
    <w:rsid w:val="00F93964"/>
    <w:rsid w:val="00F94E5E"/>
    <w:rsid w:val="00FA0B47"/>
    <w:rsid w:val="00FA120A"/>
    <w:rsid w:val="00FA389F"/>
    <w:rsid w:val="00FA536F"/>
    <w:rsid w:val="00FA5B8E"/>
    <w:rsid w:val="00FA629E"/>
    <w:rsid w:val="00FB0BCD"/>
    <w:rsid w:val="00FB0D33"/>
    <w:rsid w:val="00FB5327"/>
    <w:rsid w:val="00FB5646"/>
    <w:rsid w:val="00FB6CCD"/>
    <w:rsid w:val="00FB76E8"/>
    <w:rsid w:val="00FC40DE"/>
    <w:rsid w:val="00FC5B09"/>
    <w:rsid w:val="00FD0B7D"/>
    <w:rsid w:val="00FD18B7"/>
    <w:rsid w:val="00FD71C3"/>
    <w:rsid w:val="00FE02BD"/>
    <w:rsid w:val="00FE0832"/>
    <w:rsid w:val="00FE5878"/>
    <w:rsid w:val="00FE76F8"/>
    <w:rsid w:val="00FF0B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38BFB139"/>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 w:type="character" w:customStyle="1" w:styleId="ssens">
    <w:name w:val="ssens"/>
    <w:basedOn w:val="DefaultParagraphFont"/>
    <w:rsid w:val="000469F7"/>
    <w:rPr>
      <w:rFonts w:cs="Times New Roman"/>
    </w:rPr>
  </w:style>
  <w:style w:type="paragraph" w:styleId="NormalWeb">
    <w:name w:val="Normal (Web)"/>
    <w:basedOn w:val="Normal"/>
    <w:uiPriority w:val="99"/>
    <w:unhideWhenUsed/>
    <w:rsid w:val="00A43A1E"/>
    <w:pPr>
      <w:spacing w:before="100" w:beforeAutospacing="1" w:after="100" w:afterAutospacing="1"/>
      <w:jc w:val="left"/>
    </w:pPr>
    <w:rPr>
      <w:sz w:val="24"/>
      <w:szCs w:val="24"/>
    </w:rPr>
  </w:style>
  <w:style w:type="character" w:styleId="Emphasis">
    <w:name w:val="Emphasis"/>
    <w:uiPriority w:val="20"/>
    <w:qFormat/>
    <w:rsid w:val="00B31F97"/>
    <w:rPr>
      <w:i/>
      <w:iCs/>
    </w:rPr>
  </w:style>
  <w:style w:type="paragraph" w:customStyle="1" w:styleId="noformat">
    <w:name w:val="noformat"/>
    <w:basedOn w:val="Normal"/>
    <w:rsid w:val="00B31F97"/>
    <w:pPr>
      <w:jc w:val="left"/>
    </w:pPr>
    <w:rPr>
      <w:sz w:val="24"/>
      <w:szCs w:val="24"/>
    </w:rPr>
  </w:style>
  <w:style w:type="character" w:customStyle="1" w:styleId="noformat1">
    <w:name w:val="noformat1"/>
    <w:rsid w:val="00B31F97"/>
  </w:style>
  <w:style w:type="character" w:styleId="HTMLCite">
    <w:name w:val="HTML Cite"/>
    <w:basedOn w:val="DefaultParagraphFont"/>
    <w:uiPriority w:val="99"/>
    <w:semiHidden/>
    <w:unhideWhenUsed/>
    <w:rsid w:val="00AF2723"/>
    <w:rPr>
      <w:i/>
      <w:iCs/>
    </w:rPr>
  </w:style>
  <w:style w:type="character" w:customStyle="1" w:styleId="dyjrff">
    <w:name w:val="dyjrff"/>
    <w:basedOn w:val="DefaultParagraphFont"/>
    <w:rsid w:val="00AF2723"/>
  </w:style>
  <w:style w:type="character" w:styleId="Strong">
    <w:name w:val="Strong"/>
    <w:basedOn w:val="DefaultParagraphFont"/>
    <w:uiPriority w:val="22"/>
    <w:qFormat/>
    <w:rsid w:val="000F7B54"/>
    <w:rPr>
      <w:b/>
      <w:bCs/>
    </w:rPr>
  </w:style>
  <w:style w:type="paragraph" w:styleId="BodyTextIndent2">
    <w:name w:val="Body Text Indent 2"/>
    <w:basedOn w:val="Normal"/>
    <w:link w:val="BodyTextIndent2Char"/>
    <w:rsid w:val="00D03BA5"/>
    <w:pPr>
      <w:tabs>
        <w:tab w:val="center" w:pos="-2340"/>
        <w:tab w:val="left" w:pos="3240"/>
      </w:tabs>
      <w:ind w:left="1800" w:hanging="1800"/>
      <w:jc w:val="left"/>
    </w:pPr>
    <w:rPr>
      <w:sz w:val="22"/>
    </w:rPr>
  </w:style>
  <w:style w:type="character" w:customStyle="1" w:styleId="BodyTextIndent2Char">
    <w:name w:val="Body Text Indent 2 Char"/>
    <w:basedOn w:val="DefaultParagraphFont"/>
    <w:link w:val="BodyTextIndent2"/>
    <w:rsid w:val="00D03BA5"/>
    <w:rPr>
      <w:sz w:val="22"/>
    </w:rPr>
  </w:style>
  <w:style w:type="paragraph" w:customStyle="1" w:styleId="Default">
    <w:name w:val="Default"/>
    <w:rsid w:val="004C25CB"/>
    <w:pPr>
      <w:autoSpaceDE w:val="0"/>
      <w:autoSpaceDN w:val="0"/>
      <w:adjustRightInd w:val="0"/>
    </w:pPr>
    <w:rPr>
      <w:color w:val="000000"/>
      <w:sz w:val="24"/>
      <w:szCs w:val="24"/>
    </w:rPr>
  </w:style>
  <w:style w:type="paragraph" w:customStyle="1" w:styleId="ISCPTTxt">
    <w:name w:val="ISCPT Txt"/>
    <w:basedOn w:val="Normal"/>
    <w:qFormat/>
    <w:rsid w:val="00C95585"/>
    <w:pPr>
      <w:spacing w:after="240" w:line="320" w:lineRule="exact"/>
      <w:jc w:val="left"/>
    </w:pPr>
    <w:rPr>
      <w:rFonts w:eastAsiaTheme="minorHAnsi" w:cstheme="minorBidi"/>
      <w:sz w:val="24"/>
      <w:szCs w:val="24"/>
    </w:rPr>
  </w:style>
  <w:style w:type="paragraph" w:customStyle="1" w:styleId="xiscpttxt">
    <w:name w:val="x_iscpttxt"/>
    <w:basedOn w:val="Normal"/>
    <w:rsid w:val="003B26B9"/>
    <w:pPr>
      <w:spacing w:after="240" w:line="320" w:lineRule="atLeast"/>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1594">
      <w:bodyDiv w:val="1"/>
      <w:marLeft w:val="0"/>
      <w:marRight w:val="0"/>
      <w:marTop w:val="0"/>
      <w:marBottom w:val="0"/>
      <w:divBdr>
        <w:top w:val="none" w:sz="0" w:space="0" w:color="auto"/>
        <w:left w:val="none" w:sz="0" w:space="0" w:color="auto"/>
        <w:bottom w:val="none" w:sz="0" w:space="0" w:color="auto"/>
        <w:right w:val="none" w:sz="0" w:space="0" w:color="auto"/>
      </w:divBdr>
    </w:div>
    <w:div w:id="170798240">
      <w:bodyDiv w:val="1"/>
      <w:marLeft w:val="0"/>
      <w:marRight w:val="0"/>
      <w:marTop w:val="0"/>
      <w:marBottom w:val="0"/>
      <w:divBdr>
        <w:top w:val="none" w:sz="0" w:space="0" w:color="auto"/>
        <w:left w:val="none" w:sz="0" w:space="0" w:color="auto"/>
        <w:bottom w:val="none" w:sz="0" w:space="0" w:color="auto"/>
        <w:right w:val="none" w:sz="0" w:space="0" w:color="auto"/>
      </w:divBdr>
      <w:divsChild>
        <w:div w:id="1600602343">
          <w:marLeft w:val="0"/>
          <w:marRight w:val="0"/>
          <w:marTop w:val="0"/>
          <w:marBottom w:val="0"/>
          <w:divBdr>
            <w:top w:val="none" w:sz="0" w:space="0" w:color="auto"/>
            <w:left w:val="none" w:sz="0" w:space="0" w:color="auto"/>
            <w:bottom w:val="none" w:sz="0" w:space="0" w:color="auto"/>
            <w:right w:val="none" w:sz="0" w:space="0" w:color="auto"/>
          </w:divBdr>
          <w:divsChild>
            <w:div w:id="16808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839">
      <w:bodyDiv w:val="1"/>
      <w:marLeft w:val="0"/>
      <w:marRight w:val="0"/>
      <w:marTop w:val="0"/>
      <w:marBottom w:val="0"/>
      <w:divBdr>
        <w:top w:val="none" w:sz="0" w:space="0" w:color="auto"/>
        <w:left w:val="none" w:sz="0" w:space="0" w:color="auto"/>
        <w:bottom w:val="none" w:sz="0" w:space="0" w:color="auto"/>
        <w:right w:val="none" w:sz="0" w:space="0" w:color="auto"/>
      </w:divBdr>
      <w:divsChild>
        <w:div w:id="1657218651">
          <w:marLeft w:val="0"/>
          <w:marRight w:val="0"/>
          <w:marTop w:val="0"/>
          <w:marBottom w:val="0"/>
          <w:divBdr>
            <w:top w:val="none" w:sz="0" w:space="0" w:color="auto"/>
            <w:left w:val="none" w:sz="0" w:space="0" w:color="auto"/>
            <w:bottom w:val="none" w:sz="0" w:space="0" w:color="auto"/>
            <w:right w:val="none" w:sz="0" w:space="0" w:color="auto"/>
          </w:divBdr>
          <w:divsChild>
            <w:div w:id="15515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446002004">
      <w:bodyDiv w:val="1"/>
      <w:marLeft w:val="0"/>
      <w:marRight w:val="0"/>
      <w:marTop w:val="0"/>
      <w:marBottom w:val="0"/>
      <w:divBdr>
        <w:top w:val="none" w:sz="0" w:space="0" w:color="auto"/>
        <w:left w:val="none" w:sz="0" w:space="0" w:color="auto"/>
        <w:bottom w:val="none" w:sz="0" w:space="0" w:color="auto"/>
        <w:right w:val="none" w:sz="0" w:space="0" w:color="auto"/>
      </w:divBdr>
    </w:div>
    <w:div w:id="737439310">
      <w:bodyDiv w:val="1"/>
      <w:marLeft w:val="0"/>
      <w:marRight w:val="0"/>
      <w:marTop w:val="0"/>
      <w:marBottom w:val="0"/>
      <w:divBdr>
        <w:top w:val="none" w:sz="0" w:space="0" w:color="auto"/>
        <w:left w:val="none" w:sz="0" w:space="0" w:color="auto"/>
        <w:bottom w:val="none" w:sz="0" w:space="0" w:color="auto"/>
        <w:right w:val="none" w:sz="0" w:space="0" w:color="auto"/>
      </w:divBdr>
    </w:div>
    <w:div w:id="1267350163">
      <w:bodyDiv w:val="1"/>
      <w:marLeft w:val="0"/>
      <w:marRight w:val="0"/>
      <w:marTop w:val="0"/>
      <w:marBottom w:val="0"/>
      <w:divBdr>
        <w:top w:val="none" w:sz="0" w:space="0" w:color="auto"/>
        <w:left w:val="none" w:sz="0" w:space="0" w:color="auto"/>
        <w:bottom w:val="none" w:sz="0" w:space="0" w:color="auto"/>
        <w:right w:val="none" w:sz="0" w:space="0" w:color="auto"/>
      </w:divBdr>
    </w:div>
    <w:div w:id="1422290278">
      <w:bodyDiv w:val="1"/>
      <w:marLeft w:val="0"/>
      <w:marRight w:val="0"/>
      <w:marTop w:val="0"/>
      <w:marBottom w:val="0"/>
      <w:divBdr>
        <w:top w:val="none" w:sz="0" w:space="0" w:color="auto"/>
        <w:left w:val="none" w:sz="0" w:space="0" w:color="auto"/>
        <w:bottom w:val="none" w:sz="0" w:space="0" w:color="auto"/>
        <w:right w:val="none" w:sz="0" w:space="0" w:color="auto"/>
      </w:divBdr>
      <w:divsChild>
        <w:div w:id="1149323141">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C4225-1D45-4CD7-8E56-618FDF24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12832</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Perrin, Thomas M. (MSFC-ST23)[ESSCA]</cp:lastModifiedBy>
  <cp:revision>3</cp:revision>
  <cp:lastPrinted>2025-05-01T20:33:00Z</cp:lastPrinted>
  <dcterms:created xsi:type="dcterms:W3CDTF">2025-05-23T17:48:00Z</dcterms:created>
  <dcterms:modified xsi:type="dcterms:W3CDTF">2025-05-23T17:49:00Z</dcterms:modified>
  <cp:category/>
</cp:coreProperties>
</file>