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0712A0" w14:textId="77777777" w:rsidR="00814700" w:rsidRDefault="00814700"/>
    <w:p w14:paraId="780712A2" w14:textId="02F6D7C2" w:rsidR="00814700" w:rsidRDefault="006D0001">
      <w:pPr>
        <w:pStyle w:val="Ttulo"/>
        <w:rPr>
          <w:rFonts w:asciiTheme="minorHAnsi" w:hAnsiTheme="minorHAnsi" w:cstheme="minorHAnsi"/>
        </w:rPr>
      </w:pPr>
      <w:r>
        <w:rPr>
          <w:rFonts w:asciiTheme="minorHAnsi" w:hAnsiTheme="minorHAnsi" w:cstheme="minorHAnsi"/>
        </w:rPr>
        <w:t>Recent Lower Stratospheric Ozone Trends in CCMI-2022 models:</w:t>
      </w:r>
      <w:r>
        <w:t xml:space="preserve"> </w:t>
      </w:r>
      <w:r>
        <w:rPr>
          <w:rFonts w:asciiTheme="minorHAnsi" w:hAnsiTheme="minorHAnsi" w:cstheme="minorHAnsi"/>
        </w:rPr>
        <w:t xml:space="preserve">Role of Natural Variability and Transport  </w:t>
      </w:r>
    </w:p>
    <w:p w14:paraId="780712A3" w14:textId="7DEC3F9F" w:rsidR="00814700" w:rsidRDefault="006D0001">
      <w:pPr>
        <w:pStyle w:val="Authors"/>
        <w:rPr>
          <w:rFonts w:asciiTheme="minorHAnsi" w:hAnsiTheme="minorHAnsi" w:cstheme="minorHAnsi"/>
        </w:rPr>
      </w:pPr>
      <w:r w:rsidRPr="00BC58A8">
        <w:rPr>
          <w:rFonts w:asciiTheme="minorHAnsi" w:hAnsiTheme="minorHAnsi" w:cstheme="minorHAnsi"/>
        </w:rPr>
        <w:t>Samuel Benito-Barca</w:t>
      </w:r>
      <w:r w:rsidRPr="00BC58A8">
        <w:rPr>
          <w:rFonts w:asciiTheme="minorHAnsi" w:hAnsiTheme="minorHAnsi" w:cstheme="minorHAnsi"/>
          <w:vertAlign w:val="superscript"/>
        </w:rPr>
        <w:t>1</w:t>
      </w:r>
      <w:r w:rsidR="00A94CE0">
        <w:rPr>
          <w:rFonts w:asciiTheme="minorHAnsi" w:hAnsiTheme="minorHAnsi" w:cstheme="minorHAnsi"/>
          <w:vertAlign w:val="superscript"/>
        </w:rPr>
        <w:t>,</w:t>
      </w:r>
      <w:r w:rsidR="00540B2D">
        <w:rPr>
          <w:rFonts w:asciiTheme="minorHAnsi" w:hAnsiTheme="minorHAnsi" w:cstheme="minorHAnsi"/>
          <w:vertAlign w:val="superscript"/>
        </w:rPr>
        <w:t>2</w:t>
      </w:r>
      <w:r w:rsidRPr="00BC58A8">
        <w:rPr>
          <w:rFonts w:asciiTheme="minorHAnsi" w:hAnsiTheme="minorHAnsi" w:cstheme="minorHAnsi"/>
        </w:rPr>
        <w:t>, Marta Abalos</w:t>
      </w:r>
      <w:r w:rsidRPr="00BC58A8">
        <w:rPr>
          <w:rFonts w:asciiTheme="minorHAnsi" w:hAnsiTheme="minorHAnsi" w:cstheme="minorHAnsi"/>
          <w:vertAlign w:val="superscript"/>
        </w:rPr>
        <w:t>1</w:t>
      </w:r>
      <w:r w:rsidRPr="00BC58A8">
        <w:rPr>
          <w:rFonts w:asciiTheme="minorHAnsi" w:hAnsiTheme="minorHAnsi" w:cstheme="minorHAnsi"/>
        </w:rPr>
        <w:t>, Natalia Calvo</w:t>
      </w:r>
      <w:r w:rsidRPr="00BC58A8">
        <w:rPr>
          <w:rFonts w:asciiTheme="minorHAnsi" w:hAnsiTheme="minorHAnsi" w:cstheme="minorHAnsi"/>
          <w:vertAlign w:val="superscript"/>
        </w:rPr>
        <w:t>1</w:t>
      </w:r>
      <w:r w:rsidRPr="00BC58A8">
        <w:rPr>
          <w:rFonts w:asciiTheme="minorHAnsi" w:hAnsiTheme="minorHAnsi" w:cstheme="minorHAnsi"/>
        </w:rPr>
        <w:t>, Hella Garny</w:t>
      </w:r>
      <w:r w:rsidR="00540B2D">
        <w:rPr>
          <w:rFonts w:asciiTheme="minorHAnsi" w:hAnsiTheme="minorHAnsi" w:cstheme="minorHAnsi"/>
          <w:vertAlign w:val="superscript"/>
        </w:rPr>
        <w:t>3</w:t>
      </w:r>
      <w:r w:rsidRPr="00BC58A8">
        <w:rPr>
          <w:rFonts w:asciiTheme="minorHAnsi" w:hAnsiTheme="minorHAnsi" w:cstheme="minorHAnsi"/>
        </w:rPr>
        <w:t>, Thomas Birner</w:t>
      </w:r>
      <w:r w:rsidR="00540B2D">
        <w:rPr>
          <w:rFonts w:asciiTheme="minorHAnsi" w:hAnsiTheme="minorHAnsi" w:cstheme="minorHAnsi"/>
          <w:vertAlign w:val="superscript"/>
        </w:rPr>
        <w:t>4</w:t>
      </w:r>
      <w:r>
        <w:rPr>
          <w:rFonts w:asciiTheme="minorHAnsi" w:hAnsiTheme="minorHAnsi" w:cstheme="minorHAnsi"/>
        </w:rPr>
        <w:t>, Nathan Luke Abraham</w:t>
      </w:r>
      <w:r w:rsidR="00540B2D">
        <w:rPr>
          <w:rFonts w:asciiTheme="minorHAnsi" w:hAnsiTheme="minorHAnsi" w:cstheme="minorHAnsi"/>
          <w:vertAlign w:val="superscript"/>
        </w:rPr>
        <w:t>5</w:t>
      </w:r>
      <w:r w:rsidR="00F732A7">
        <w:rPr>
          <w:rFonts w:asciiTheme="minorHAnsi" w:hAnsiTheme="minorHAnsi" w:cstheme="minorHAnsi"/>
          <w:vertAlign w:val="superscript"/>
        </w:rPr>
        <w:t>,</w:t>
      </w:r>
      <w:r w:rsidR="00540B2D">
        <w:rPr>
          <w:rFonts w:asciiTheme="minorHAnsi" w:hAnsiTheme="minorHAnsi" w:cstheme="minorHAnsi"/>
          <w:vertAlign w:val="superscript"/>
        </w:rPr>
        <w:t>6</w:t>
      </w:r>
      <w:r>
        <w:rPr>
          <w:rFonts w:asciiTheme="minorHAnsi" w:hAnsiTheme="minorHAnsi" w:cstheme="minorHAnsi"/>
        </w:rPr>
        <w:t>, Hideharu Akiyoshi</w:t>
      </w:r>
      <w:r w:rsidR="00540B2D">
        <w:rPr>
          <w:rFonts w:asciiTheme="minorHAnsi" w:hAnsiTheme="minorHAnsi" w:cstheme="minorHAnsi"/>
          <w:vertAlign w:val="superscript"/>
        </w:rPr>
        <w:t>7</w:t>
      </w:r>
      <w:r>
        <w:rPr>
          <w:rFonts w:asciiTheme="minorHAnsi" w:hAnsiTheme="minorHAnsi" w:cstheme="minorHAnsi"/>
        </w:rPr>
        <w:t>, Fraser Dennison</w:t>
      </w:r>
      <w:r w:rsidR="00540B2D">
        <w:rPr>
          <w:rFonts w:asciiTheme="minorHAnsi" w:hAnsiTheme="minorHAnsi" w:cstheme="minorHAnsi"/>
          <w:vertAlign w:val="superscript"/>
        </w:rPr>
        <w:t>8</w:t>
      </w:r>
      <w:r w:rsidR="00F732A7">
        <w:rPr>
          <w:rFonts w:asciiTheme="minorHAnsi" w:hAnsiTheme="minorHAnsi" w:cstheme="minorHAnsi"/>
          <w:vertAlign w:val="superscript"/>
        </w:rPr>
        <w:t>,</w:t>
      </w:r>
      <w:r w:rsidR="00540B2D">
        <w:rPr>
          <w:rFonts w:asciiTheme="minorHAnsi" w:hAnsiTheme="minorHAnsi" w:cstheme="minorHAnsi"/>
          <w:vertAlign w:val="superscript"/>
        </w:rPr>
        <w:t>9</w:t>
      </w:r>
      <w:r>
        <w:rPr>
          <w:rFonts w:asciiTheme="minorHAnsi" w:hAnsiTheme="minorHAnsi" w:cstheme="minorHAnsi"/>
        </w:rPr>
        <w:t>, Patrick Jöckel</w:t>
      </w:r>
      <w:r w:rsidR="000F441C">
        <w:rPr>
          <w:rFonts w:asciiTheme="minorHAnsi" w:hAnsiTheme="minorHAnsi" w:cstheme="minorHAnsi"/>
          <w:vertAlign w:val="superscript"/>
        </w:rPr>
        <w:t>3</w:t>
      </w:r>
      <w:r>
        <w:rPr>
          <w:rFonts w:asciiTheme="minorHAnsi" w:hAnsiTheme="minorHAnsi" w:cstheme="minorHAnsi"/>
        </w:rPr>
        <w:t>,</w:t>
      </w:r>
      <w:r w:rsidR="005240F6" w:rsidRPr="005240F6">
        <w:rPr>
          <w:rFonts w:asciiTheme="minorHAnsi" w:hAnsiTheme="minorHAnsi" w:cstheme="minorHAnsi"/>
        </w:rPr>
        <w:t xml:space="preserve"> </w:t>
      </w:r>
      <w:r w:rsidR="00AF3F3F">
        <w:rPr>
          <w:rFonts w:asciiTheme="minorHAnsi" w:hAnsiTheme="minorHAnsi" w:cstheme="minorHAnsi"/>
        </w:rPr>
        <w:t>Bèatrice Josse</w:t>
      </w:r>
      <w:r w:rsidR="000F441C">
        <w:rPr>
          <w:rFonts w:asciiTheme="minorHAnsi" w:hAnsiTheme="minorHAnsi" w:cstheme="minorHAnsi"/>
          <w:vertAlign w:val="superscript"/>
        </w:rPr>
        <w:t>10</w:t>
      </w:r>
      <w:r w:rsidR="00AF3F3F">
        <w:rPr>
          <w:rFonts w:asciiTheme="minorHAnsi" w:hAnsiTheme="minorHAnsi" w:cstheme="minorHAnsi"/>
        </w:rPr>
        <w:t xml:space="preserve">, </w:t>
      </w:r>
      <w:r>
        <w:rPr>
          <w:rFonts w:asciiTheme="minorHAnsi" w:hAnsiTheme="minorHAnsi" w:cstheme="minorHAnsi"/>
        </w:rPr>
        <w:t>James Keeble</w:t>
      </w:r>
      <w:r w:rsidR="004E2A37">
        <w:rPr>
          <w:rFonts w:asciiTheme="minorHAnsi" w:hAnsiTheme="minorHAnsi" w:cstheme="minorHAnsi"/>
          <w:vertAlign w:val="superscript"/>
        </w:rPr>
        <w:t>1</w:t>
      </w:r>
      <w:r w:rsidR="000F441C">
        <w:rPr>
          <w:rFonts w:asciiTheme="minorHAnsi" w:hAnsiTheme="minorHAnsi" w:cstheme="minorHAnsi"/>
          <w:vertAlign w:val="superscript"/>
        </w:rPr>
        <w:t>1</w:t>
      </w:r>
      <w:r>
        <w:rPr>
          <w:rFonts w:asciiTheme="minorHAnsi" w:hAnsiTheme="minorHAnsi" w:cstheme="minorHAnsi"/>
        </w:rPr>
        <w:t>, Doug Kinnison</w:t>
      </w:r>
      <w:r w:rsidR="00F732A7">
        <w:rPr>
          <w:rFonts w:asciiTheme="minorHAnsi" w:hAnsiTheme="minorHAnsi" w:cstheme="minorHAnsi"/>
          <w:vertAlign w:val="superscript"/>
        </w:rPr>
        <w:t>1</w:t>
      </w:r>
      <w:r w:rsidR="000F441C">
        <w:rPr>
          <w:rFonts w:asciiTheme="minorHAnsi" w:hAnsiTheme="minorHAnsi" w:cstheme="minorHAnsi"/>
          <w:vertAlign w:val="superscript"/>
        </w:rPr>
        <w:t>2</w:t>
      </w:r>
      <w:r>
        <w:rPr>
          <w:rFonts w:asciiTheme="minorHAnsi" w:hAnsiTheme="minorHAnsi" w:cstheme="minorHAnsi"/>
        </w:rPr>
        <w:t xml:space="preserve">, </w:t>
      </w:r>
      <w:r w:rsidR="00943467">
        <w:rPr>
          <w:rFonts w:asciiTheme="minorHAnsi" w:hAnsiTheme="minorHAnsi" w:cstheme="minorHAnsi"/>
        </w:rPr>
        <w:t>Marion Marchand</w:t>
      </w:r>
      <w:r w:rsidR="00943467">
        <w:rPr>
          <w:rFonts w:asciiTheme="minorHAnsi" w:hAnsiTheme="minorHAnsi" w:cstheme="minorHAnsi"/>
          <w:vertAlign w:val="superscript"/>
        </w:rPr>
        <w:t>1</w:t>
      </w:r>
      <w:r w:rsidR="000F441C">
        <w:rPr>
          <w:rFonts w:asciiTheme="minorHAnsi" w:hAnsiTheme="minorHAnsi" w:cstheme="minorHAnsi"/>
          <w:vertAlign w:val="superscript"/>
        </w:rPr>
        <w:t>3</w:t>
      </w:r>
      <w:r w:rsidR="00943467">
        <w:rPr>
          <w:rFonts w:asciiTheme="minorHAnsi" w:hAnsiTheme="minorHAnsi" w:cstheme="minorHAnsi"/>
        </w:rPr>
        <w:t xml:space="preserve">, </w:t>
      </w:r>
      <w:r>
        <w:rPr>
          <w:rFonts w:asciiTheme="minorHAnsi" w:hAnsiTheme="minorHAnsi" w:cstheme="minorHAnsi"/>
        </w:rPr>
        <w:t>Olaf Morgenstern</w:t>
      </w:r>
      <w:r w:rsidR="00F732A7">
        <w:rPr>
          <w:rFonts w:asciiTheme="minorHAnsi" w:hAnsiTheme="minorHAnsi" w:cstheme="minorHAnsi"/>
          <w:vertAlign w:val="superscript"/>
        </w:rPr>
        <w:t>1</w:t>
      </w:r>
      <w:r w:rsidR="000F441C">
        <w:rPr>
          <w:rFonts w:asciiTheme="minorHAnsi" w:hAnsiTheme="minorHAnsi" w:cstheme="minorHAnsi"/>
          <w:vertAlign w:val="superscript"/>
        </w:rPr>
        <w:t>4</w:t>
      </w:r>
      <w:r w:rsidR="00F732A7">
        <w:rPr>
          <w:rFonts w:asciiTheme="minorHAnsi" w:hAnsiTheme="minorHAnsi" w:cstheme="minorHAnsi"/>
          <w:vertAlign w:val="superscript"/>
        </w:rPr>
        <w:t>,</w:t>
      </w:r>
      <w:proofErr w:type="gramStart"/>
      <w:r w:rsidR="00F732A7">
        <w:rPr>
          <w:rFonts w:asciiTheme="minorHAnsi" w:hAnsiTheme="minorHAnsi" w:cstheme="minorHAnsi"/>
          <w:vertAlign w:val="superscript"/>
        </w:rPr>
        <w:t>1</w:t>
      </w:r>
      <w:r w:rsidR="000F441C">
        <w:rPr>
          <w:rFonts w:asciiTheme="minorHAnsi" w:hAnsiTheme="minorHAnsi" w:cstheme="minorHAnsi"/>
          <w:vertAlign w:val="superscript"/>
        </w:rPr>
        <w:t>5</w:t>
      </w:r>
      <w:r w:rsidR="00F732A7">
        <w:rPr>
          <w:rFonts w:asciiTheme="minorHAnsi" w:hAnsiTheme="minorHAnsi" w:cstheme="minorHAnsi"/>
          <w:vertAlign w:val="superscript"/>
        </w:rPr>
        <w:t>,</w:t>
      </w:r>
      <w:r w:rsidR="00175027">
        <w:rPr>
          <w:rFonts w:asciiTheme="minorHAnsi" w:hAnsiTheme="minorHAnsi" w:cstheme="minorHAnsi"/>
          <w:vertAlign w:val="superscript"/>
        </w:rPr>
        <w:t>*</w:t>
      </w:r>
      <w:proofErr w:type="gramEnd"/>
      <w:r>
        <w:rPr>
          <w:rFonts w:asciiTheme="minorHAnsi" w:hAnsiTheme="minorHAnsi" w:cstheme="minorHAnsi"/>
        </w:rPr>
        <w:t>, David Plummer</w:t>
      </w:r>
      <w:r w:rsidR="00F732A7">
        <w:rPr>
          <w:rFonts w:asciiTheme="minorHAnsi" w:hAnsiTheme="minorHAnsi" w:cstheme="minorHAnsi"/>
          <w:vertAlign w:val="superscript"/>
        </w:rPr>
        <w:t>1</w:t>
      </w:r>
      <w:r w:rsidR="000F441C">
        <w:rPr>
          <w:rFonts w:asciiTheme="minorHAnsi" w:hAnsiTheme="minorHAnsi" w:cstheme="minorHAnsi"/>
          <w:vertAlign w:val="superscript"/>
        </w:rPr>
        <w:t>6</w:t>
      </w:r>
      <w:r>
        <w:rPr>
          <w:rFonts w:asciiTheme="minorHAnsi" w:hAnsiTheme="minorHAnsi" w:cstheme="minorHAnsi"/>
        </w:rPr>
        <w:t>, Eugene Rozanov</w:t>
      </w:r>
      <w:r w:rsidR="00F732A7">
        <w:rPr>
          <w:rFonts w:asciiTheme="minorHAnsi" w:hAnsiTheme="minorHAnsi" w:cstheme="minorHAnsi"/>
          <w:vertAlign w:val="superscript"/>
        </w:rPr>
        <w:t>1</w:t>
      </w:r>
      <w:r w:rsidR="000F441C">
        <w:rPr>
          <w:rFonts w:asciiTheme="minorHAnsi" w:hAnsiTheme="minorHAnsi" w:cstheme="minorHAnsi"/>
          <w:vertAlign w:val="superscript"/>
        </w:rPr>
        <w:t>7</w:t>
      </w:r>
      <w:r>
        <w:rPr>
          <w:rFonts w:asciiTheme="minorHAnsi" w:hAnsiTheme="minorHAnsi" w:cstheme="minorHAnsi"/>
        </w:rPr>
        <w:t>, Sarah Strode</w:t>
      </w:r>
      <w:r w:rsidR="00F732A7">
        <w:rPr>
          <w:rFonts w:asciiTheme="minorHAnsi" w:hAnsiTheme="minorHAnsi" w:cstheme="minorHAnsi"/>
          <w:vertAlign w:val="superscript"/>
        </w:rPr>
        <w:t>1</w:t>
      </w:r>
      <w:r w:rsidR="000F441C">
        <w:rPr>
          <w:rFonts w:asciiTheme="minorHAnsi" w:hAnsiTheme="minorHAnsi" w:cstheme="minorHAnsi"/>
          <w:vertAlign w:val="superscript"/>
        </w:rPr>
        <w:t>8</w:t>
      </w:r>
      <w:r w:rsidR="00F732A7">
        <w:rPr>
          <w:rFonts w:asciiTheme="minorHAnsi" w:hAnsiTheme="minorHAnsi" w:cstheme="minorHAnsi"/>
          <w:vertAlign w:val="superscript"/>
        </w:rPr>
        <w:t>,1</w:t>
      </w:r>
      <w:r w:rsidR="000F441C">
        <w:rPr>
          <w:rFonts w:asciiTheme="minorHAnsi" w:hAnsiTheme="minorHAnsi" w:cstheme="minorHAnsi"/>
          <w:vertAlign w:val="superscript"/>
        </w:rPr>
        <w:t>9</w:t>
      </w:r>
      <w:r>
        <w:rPr>
          <w:rFonts w:asciiTheme="minorHAnsi" w:hAnsiTheme="minorHAnsi" w:cstheme="minorHAnsi"/>
        </w:rPr>
        <w:t>, Timofei Sukhodolov</w:t>
      </w:r>
      <w:r w:rsidR="008E10E7">
        <w:rPr>
          <w:rFonts w:asciiTheme="minorHAnsi" w:hAnsiTheme="minorHAnsi" w:cstheme="minorHAnsi"/>
          <w:vertAlign w:val="superscript"/>
        </w:rPr>
        <w:t>1</w:t>
      </w:r>
      <w:r w:rsidR="000F441C">
        <w:rPr>
          <w:rFonts w:asciiTheme="minorHAnsi" w:hAnsiTheme="minorHAnsi" w:cstheme="minorHAnsi"/>
          <w:vertAlign w:val="superscript"/>
        </w:rPr>
        <w:t>7</w:t>
      </w:r>
      <w:r>
        <w:rPr>
          <w:rFonts w:asciiTheme="minorHAnsi" w:hAnsiTheme="minorHAnsi" w:cstheme="minorHAnsi"/>
        </w:rPr>
        <w:t>, Shingo Watanabe</w:t>
      </w:r>
      <w:r w:rsidR="000F441C">
        <w:rPr>
          <w:rFonts w:asciiTheme="minorHAnsi" w:hAnsiTheme="minorHAnsi" w:cstheme="minorHAnsi"/>
          <w:vertAlign w:val="superscript"/>
        </w:rPr>
        <w:t>20</w:t>
      </w:r>
      <w:r>
        <w:rPr>
          <w:rFonts w:asciiTheme="minorHAnsi" w:hAnsiTheme="minorHAnsi" w:cstheme="minorHAnsi"/>
        </w:rPr>
        <w:t xml:space="preserve"> and Yousuke Yamashita</w:t>
      </w:r>
      <w:r w:rsidR="000F441C">
        <w:rPr>
          <w:rFonts w:asciiTheme="minorHAnsi" w:hAnsiTheme="minorHAnsi" w:cstheme="minorHAnsi"/>
          <w:vertAlign w:val="superscript"/>
        </w:rPr>
        <w:t>7</w:t>
      </w:r>
      <w:r>
        <w:rPr>
          <w:rFonts w:asciiTheme="minorHAnsi" w:hAnsiTheme="minorHAnsi" w:cstheme="minorHAnsi"/>
        </w:rPr>
        <w:t>.</w:t>
      </w:r>
    </w:p>
    <w:p w14:paraId="780712A4" w14:textId="33DFECDD" w:rsidR="00814700" w:rsidRPr="00E92BD4" w:rsidRDefault="006D0001">
      <w:pPr>
        <w:pStyle w:val="Affiliation"/>
        <w:rPr>
          <w:rFonts w:asciiTheme="minorHAnsi" w:hAnsiTheme="minorHAnsi" w:cstheme="minorHAnsi"/>
          <w:sz w:val="22"/>
          <w:szCs w:val="22"/>
          <w:lang w:val="es-ES"/>
        </w:rPr>
      </w:pPr>
      <w:r w:rsidRPr="00E92BD4">
        <w:rPr>
          <w:rFonts w:asciiTheme="minorHAnsi" w:hAnsiTheme="minorHAnsi" w:cstheme="minorHAnsi"/>
          <w:sz w:val="22"/>
          <w:szCs w:val="22"/>
          <w:vertAlign w:val="superscript"/>
          <w:lang w:val="es-ES"/>
        </w:rPr>
        <w:t>1</w:t>
      </w:r>
      <w:r w:rsidRPr="00E92BD4">
        <w:rPr>
          <w:rFonts w:asciiTheme="minorHAnsi" w:hAnsiTheme="minorHAnsi" w:cstheme="minorHAnsi"/>
          <w:sz w:val="22"/>
          <w:szCs w:val="22"/>
          <w:lang w:val="es-ES"/>
        </w:rPr>
        <w:t xml:space="preserve"> </w:t>
      </w:r>
      <w:proofErr w:type="gramStart"/>
      <w:r w:rsidRPr="00E92BD4">
        <w:rPr>
          <w:rFonts w:asciiTheme="minorHAnsi" w:hAnsiTheme="minorHAnsi" w:cstheme="minorHAnsi"/>
          <w:sz w:val="22"/>
          <w:szCs w:val="22"/>
          <w:lang w:val="es-ES"/>
        </w:rPr>
        <w:t>Depart</w:t>
      </w:r>
      <w:r w:rsidR="00E92BD4">
        <w:rPr>
          <w:rFonts w:asciiTheme="minorHAnsi" w:hAnsiTheme="minorHAnsi" w:cstheme="minorHAnsi"/>
          <w:sz w:val="22"/>
          <w:szCs w:val="22"/>
          <w:lang w:val="es-ES"/>
        </w:rPr>
        <w:t>a</w:t>
      </w:r>
      <w:r w:rsidRPr="00E92BD4">
        <w:rPr>
          <w:rFonts w:asciiTheme="minorHAnsi" w:hAnsiTheme="minorHAnsi" w:cstheme="minorHAnsi"/>
          <w:sz w:val="22"/>
          <w:szCs w:val="22"/>
          <w:lang w:val="es-ES"/>
        </w:rPr>
        <w:t>ment</w:t>
      </w:r>
      <w:r w:rsidR="00E92BD4" w:rsidRPr="00E92BD4">
        <w:rPr>
          <w:rFonts w:asciiTheme="minorHAnsi" w:hAnsiTheme="minorHAnsi" w:cstheme="minorHAnsi"/>
          <w:sz w:val="22"/>
          <w:szCs w:val="22"/>
          <w:lang w:val="es-ES"/>
        </w:rPr>
        <w:t>o</w:t>
      </w:r>
      <w:proofErr w:type="gramEnd"/>
      <w:r w:rsidR="00E92BD4" w:rsidRPr="00E92BD4">
        <w:rPr>
          <w:rFonts w:asciiTheme="minorHAnsi" w:hAnsiTheme="minorHAnsi" w:cstheme="minorHAnsi"/>
          <w:sz w:val="22"/>
          <w:szCs w:val="22"/>
          <w:lang w:val="es-ES"/>
        </w:rPr>
        <w:t xml:space="preserve"> d</w:t>
      </w:r>
      <w:r w:rsidR="00E92BD4">
        <w:rPr>
          <w:rFonts w:asciiTheme="minorHAnsi" w:hAnsiTheme="minorHAnsi" w:cstheme="minorHAnsi"/>
          <w:sz w:val="22"/>
          <w:szCs w:val="22"/>
          <w:lang w:val="es-ES"/>
        </w:rPr>
        <w:t>e Física de la Tierra y Astrofísica</w:t>
      </w:r>
      <w:r w:rsidRPr="00E92BD4">
        <w:rPr>
          <w:rFonts w:asciiTheme="minorHAnsi" w:hAnsiTheme="minorHAnsi" w:cstheme="minorHAnsi"/>
          <w:sz w:val="22"/>
          <w:szCs w:val="22"/>
          <w:lang w:val="es-ES"/>
        </w:rPr>
        <w:t>, Universidad Complutense de Madrid, Madrid, Spain</w:t>
      </w:r>
    </w:p>
    <w:p w14:paraId="3D098A23" w14:textId="267C134B" w:rsidR="00E83B54" w:rsidRPr="00E83B54" w:rsidRDefault="00E83B54" w:rsidP="00E83B54">
      <w:pPr>
        <w:pStyle w:val="Affiliation"/>
        <w:rPr>
          <w:rFonts w:asciiTheme="minorHAnsi" w:hAnsiTheme="minorHAnsi" w:cstheme="minorHAnsi"/>
          <w:sz w:val="22"/>
          <w:szCs w:val="22"/>
          <w:lang w:val="es-ES"/>
        </w:rPr>
      </w:pPr>
      <w:r>
        <w:rPr>
          <w:rFonts w:asciiTheme="minorHAnsi" w:hAnsiTheme="minorHAnsi" w:cstheme="minorHAnsi"/>
          <w:sz w:val="22"/>
          <w:szCs w:val="22"/>
          <w:vertAlign w:val="superscript"/>
          <w:lang w:val="es-ES"/>
        </w:rPr>
        <w:t>2</w:t>
      </w:r>
      <w:r w:rsidRPr="00E83B54">
        <w:rPr>
          <w:rFonts w:asciiTheme="minorHAnsi" w:hAnsiTheme="minorHAnsi" w:cstheme="minorHAnsi"/>
          <w:sz w:val="22"/>
          <w:szCs w:val="22"/>
          <w:lang w:val="es-ES"/>
        </w:rPr>
        <w:t xml:space="preserve"> </w:t>
      </w:r>
      <w:proofErr w:type="gramStart"/>
      <w:r w:rsidRPr="00105E55">
        <w:rPr>
          <w:rFonts w:asciiTheme="minorHAnsi" w:hAnsiTheme="minorHAnsi" w:cstheme="minorHAnsi"/>
          <w:sz w:val="22"/>
          <w:szCs w:val="22"/>
          <w:lang w:val="es-ES"/>
        </w:rPr>
        <w:t>Instituto</w:t>
      </w:r>
      <w:proofErr w:type="gramEnd"/>
      <w:r w:rsidRPr="00105E55">
        <w:rPr>
          <w:rFonts w:asciiTheme="minorHAnsi" w:hAnsiTheme="minorHAnsi" w:cstheme="minorHAnsi"/>
          <w:sz w:val="22"/>
          <w:szCs w:val="22"/>
          <w:lang w:val="es-ES"/>
        </w:rPr>
        <w:t xml:space="preserve"> de Geociencias (IGEO), Consejo Superior de Investigaciones Científicas–Universidad Complutense de Madrid (CSIC–UCM), Madrid, Spain</w:t>
      </w:r>
    </w:p>
    <w:p w14:paraId="780712A5" w14:textId="0F02201C" w:rsidR="00814700" w:rsidRPr="0038361B" w:rsidRDefault="00E83B54">
      <w:pPr>
        <w:pStyle w:val="Affiliation"/>
        <w:rPr>
          <w:rFonts w:asciiTheme="minorHAnsi" w:hAnsiTheme="minorHAnsi" w:cstheme="minorHAnsi"/>
          <w:sz w:val="22"/>
          <w:szCs w:val="22"/>
          <w:lang w:val="de-DE"/>
        </w:rPr>
      </w:pPr>
      <w:r>
        <w:rPr>
          <w:rFonts w:asciiTheme="minorHAnsi" w:hAnsiTheme="minorHAnsi" w:cstheme="minorHAnsi"/>
          <w:sz w:val="22"/>
          <w:szCs w:val="22"/>
          <w:vertAlign w:val="superscript"/>
          <w:lang w:val="de-DE"/>
        </w:rPr>
        <w:t>3</w:t>
      </w:r>
      <w:r w:rsidR="006D0001" w:rsidRPr="0038361B">
        <w:rPr>
          <w:rFonts w:asciiTheme="minorHAnsi" w:hAnsiTheme="minorHAnsi" w:cstheme="minorHAnsi"/>
          <w:sz w:val="22"/>
          <w:szCs w:val="22"/>
          <w:vertAlign w:val="superscript"/>
          <w:lang w:val="de-DE"/>
        </w:rPr>
        <w:t xml:space="preserve"> </w:t>
      </w:r>
      <w:r w:rsidR="006D0001" w:rsidRPr="0038361B">
        <w:rPr>
          <w:rFonts w:asciiTheme="minorHAnsi" w:hAnsiTheme="minorHAnsi" w:cstheme="minorHAnsi"/>
          <w:sz w:val="22"/>
          <w:szCs w:val="22"/>
          <w:lang w:val="de-DE"/>
        </w:rPr>
        <w:t xml:space="preserve">Institut für Physik der Atmosphäre, Deutsches Zentrum für Luft- und Raumfahrt (DLR), Oberpfaffenhofen, Germany. </w:t>
      </w:r>
    </w:p>
    <w:p w14:paraId="780712A6" w14:textId="6950671C" w:rsidR="00814700" w:rsidRPr="0038361B" w:rsidRDefault="00E83B54">
      <w:pPr>
        <w:pStyle w:val="Affiliation"/>
        <w:rPr>
          <w:rFonts w:asciiTheme="minorHAnsi" w:hAnsiTheme="minorHAnsi" w:cstheme="minorHAnsi"/>
          <w:sz w:val="22"/>
          <w:szCs w:val="22"/>
          <w:lang w:val="de-DE"/>
        </w:rPr>
      </w:pPr>
      <w:r>
        <w:rPr>
          <w:rFonts w:asciiTheme="minorHAnsi" w:hAnsiTheme="minorHAnsi" w:cstheme="minorHAnsi"/>
          <w:sz w:val="22"/>
          <w:szCs w:val="22"/>
          <w:vertAlign w:val="superscript"/>
          <w:lang w:val="de-DE"/>
        </w:rPr>
        <w:t>4</w:t>
      </w:r>
      <w:r w:rsidR="006D0001" w:rsidRPr="0038361B">
        <w:rPr>
          <w:rFonts w:asciiTheme="minorHAnsi" w:hAnsiTheme="minorHAnsi" w:cstheme="minorHAnsi"/>
          <w:sz w:val="22"/>
          <w:szCs w:val="22"/>
          <w:vertAlign w:val="superscript"/>
          <w:lang w:val="de-DE"/>
        </w:rPr>
        <w:t xml:space="preserve"> </w:t>
      </w:r>
      <w:r w:rsidR="006D0001" w:rsidRPr="0038361B">
        <w:rPr>
          <w:rFonts w:asciiTheme="minorHAnsi" w:hAnsiTheme="minorHAnsi" w:cstheme="minorHAnsi"/>
          <w:sz w:val="22"/>
          <w:szCs w:val="22"/>
          <w:lang w:val="de-DE"/>
        </w:rPr>
        <w:t>Meteorologisches Institut, Ludwig-Maximilians-Universität München, Munich, Germany</w:t>
      </w:r>
    </w:p>
    <w:p w14:paraId="586C5938" w14:textId="64734908" w:rsidR="003F1DAD" w:rsidRPr="0038361B" w:rsidRDefault="00E83B54" w:rsidP="003F1DAD">
      <w:pPr>
        <w:pStyle w:val="Affiliation"/>
        <w:rPr>
          <w:rFonts w:asciiTheme="minorHAnsi" w:hAnsiTheme="minorHAnsi" w:cstheme="minorHAnsi"/>
          <w:sz w:val="22"/>
          <w:szCs w:val="22"/>
        </w:rPr>
      </w:pPr>
      <w:r>
        <w:rPr>
          <w:rFonts w:asciiTheme="minorHAnsi" w:hAnsiTheme="minorHAnsi" w:cstheme="minorHAnsi"/>
          <w:sz w:val="22"/>
          <w:szCs w:val="22"/>
          <w:vertAlign w:val="superscript"/>
        </w:rPr>
        <w:t>5</w:t>
      </w:r>
      <w:r w:rsidR="003F1DAD" w:rsidRPr="0038361B">
        <w:rPr>
          <w:rFonts w:asciiTheme="minorHAnsi" w:hAnsiTheme="minorHAnsi" w:cstheme="minorHAnsi"/>
          <w:sz w:val="22"/>
          <w:szCs w:val="22"/>
          <w:vertAlign w:val="superscript"/>
        </w:rPr>
        <w:t xml:space="preserve"> </w:t>
      </w:r>
      <w:r w:rsidR="00062009" w:rsidRPr="0038361B">
        <w:rPr>
          <w:rFonts w:asciiTheme="minorHAnsi" w:hAnsiTheme="minorHAnsi" w:cstheme="minorHAnsi"/>
          <w:sz w:val="22"/>
          <w:szCs w:val="22"/>
        </w:rPr>
        <w:t>National Centre for Atmospheric Science, University of Cambridge, Cambridge, United Kingdom</w:t>
      </w:r>
    </w:p>
    <w:p w14:paraId="37E73E7E" w14:textId="060BC0E0" w:rsidR="003F1DAD" w:rsidRPr="0038361B" w:rsidRDefault="00900489" w:rsidP="003F1DAD">
      <w:pPr>
        <w:pStyle w:val="Affiliation"/>
        <w:rPr>
          <w:rFonts w:asciiTheme="minorHAnsi" w:hAnsiTheme="minorHAnsi" w:cstheme="minorHAnsi"/>
          <w:sz w:val="22"/>
          <w:szCs w:val="22"/>
        </w:rPr>
      </w:pPr>
      <w:r>
        <w:rPr>
          <w:rFonts w:asciiTheme="minorHAnsi" w:hAnsiTheme="minorHAnsi" w:cstheme="minorHAnsi"/>
          <w:sz w:val="22"/>
          <w:szCs w:val="22"/>
          <w:vertAlign w:val="superscript"/>
        </w:rPr>
        <w:t>6</w:t>
      </w:r>
      <w:r w:rsidR="003F1DAD" w:rsidRPr="0038361B">
        <w:rPr>
          <w:rFonts w:asciiTheme="minorHAnsi" w:hAnsiTheme="minorHAnsi" w:cstheme="minorHAnsi"/>
          <w:sz w:val="22"/>
          <w:szCs w:val="22"/>
          <w:vertAlign w:val="superscript"/>
        </w:rPr>
        <w:t xml:space="preserve"> </w:t>
      </w:r>
      <w:r w:rsidR="00F35E78" w:rsidRPr="0038361B">
        <w:rPr>
          <w:rFonts w:asciiTheme="minorHAnsi" w:hAnsiTheme="minorHAnsi" w:cstheme="minorHAnsi"/>
          <w:sz w:val="22"/>
          <w:szCs w:val="22"/>
        </w:rPr>
        <w:t>Yusuf Hamied Department of Chemistry, University of Cambridge, Cambridge, United Kingdom</w:t>
      </w:r>
    </w:p>
    <w:p w14:paraId="6C10464C" w14:textId="4DC4465A" w:rsidR="003F1DAD" w:rsidRPr="0038361B" w:rsidRDefault="00900489" w:rsidP="003F1DAD">
      <w:pPr>
        <w:pStyle w:val="Affiliation"/>
        <w:rPr>
          <w:rFonts w:asciiTheme="minorHAnsi" w:hAnsiTheme="minorHAnsi" w:cstheme="minorHAnsi"/>
          <w:sz w:val="22"/>
          <w:szCs w:val="22"/>
        </w:rPr>
      </w:pPr>
      <w:r>
        <w:rPr>
          <w:rFonts w:asciiTheme="minorHAnsi" w:hAnsiTheme="minorHAnsi" w:cstheme="minorHAnsi"/>
          <w:sz w:val="22"/>
          <w:szCs w:val="22"/>
          <w:vertAlign w:val="superscript"/>
        </w:rPr>
        <w:t>7</w:t>
      </w:r>
      <w:r w:rsidR="003F1DAD" w:rsidRPr="0038361B">
        <w:rPr>
          <w:rFonts w:asciiTheme="minorHAnsi" w:hAnsiTheme="minorHAnsi" w:cstheme="minorHAnsi"/>
          <w:sz w:val="22"/>
          <w:szCs w:val="22"/>
          <w:vertAlign w:val="superscript"/>
        </w:rPr>
        <w:t xml:space="preserve"> </w:t>
      </w:r>
      <w:r w:rsidR="006C41B3" w:rsidRPr="0038361B">
        <w:rPr>
          <w:rFonts w:asciiTheme="minorHAnsi" w:hAnsiTheme="minorHAnsi" w:cstheme="minorHAnsi"/>
          <w:sz w:val="22"/>
          <w:szCs w:val="22"/>
        </w:rPr>
        <w:t xml:space="preserve">Earth System Division, National Institute for Environmental Studies, 16-2 </w:t>
      </w:r>
      <w:proofErr w:type="spellStart"/>
      <w:r w:rsidR="006C41B3" w:rsidRPr="0038361B">
        <w:rPr>
          <w:rFonts w:asciiTheme="minorHAnsi" w:hAnsiTheme="minorHAnsi" w:cstheme="minorHAnsi"/>
          <w:sz w:val="22"/>
          <w:szCs w:val="22"/>
        </w:rPr>
        <w:t>Onogawa</w:t>
      </w:r>
      <w:proofErr w:type="spellEnd"/>
      <w:r w:rsidR="006C41B3" w:rsidRPr="0038361B">
        <w:rPr>
          <w:rFonts w:asciiTheme="minorHAnsi" w:hAnsiTheme="minorHAnsi" w:cstheme="minorHAnsi"/>
          <w:sz w:val="22"/>
          <w:szCs w:val="22"/>
        </w:rPr>
        <w:t>, Tsukuba, Ibaraki, 305-8506, Japan</w:t>
      </w:r>
    </w:p>
    <w:p w14:paraId="63AC8659" w14:textId="2B24D2CB" w:rsidR="003F1DAD" w:rsidRPr="0038361B" w:rsidRDefault="00900489" w:rsidP="003F1DAD">
      <w:pPr>
        <w:pStyle w:val="Affiliation"/>
        <w:rPr>
          <w:rFonts w:asciiTheme="minorHAnsi" w:hAnsiTheme="minorHAnsi" w:cstheme="minorHAnsi"/>
          <w:sz w:val="22"/>
          <w:szCs w:val="22"/>
        </w:rPr>
      </w:pPr>
      <w:r>
        <w:rPr>
          <w:rFonts w:asciiTheme="minorHAnsi" w:hAnsiTheme="minorHAnsi" w:cstheme="minorHAnsi"/>
          <w:sz w:val="22"/>
          <w:szCs w:val="22"/>
          <w:vertAlign w:val="superscript"/>
        </w:rPr>
        <w:t>8</w:t>
      </w:r>
      <w:r w:rsidR="003F1DAD" w:rsidRPr="0038361B">
        <w:rPr>
          <w:rFonts w:asciiTheme="minorHAnsi" w:hAnsiTheme="minorHAnsi" w:cstheme="minorHAnsi"/>
          <w:sz w:val="22"/>
          <w:szCs w:val="22"/>
          <w:vertAlign w:val="superscript"/>
        </w:rPr>
        <w:t xml:space="preserve"> </w:t>
      </w:r>
      <w:r w:rsidR="008C18C1" w:rsidRPr="0038361B">
        <w:rPr>
          <w:rFonts w:asciiTheme="minorHAnsi" w:hAnsiTheme="minorHAnsi" w:cstheme="minorHAnsi"/>
          <w:sz w:val="22"/>
          <w:szCs w:val="22"/>
        </w:rPr>
        <w:t>CSIRO Environment, Aspendale, Vic</w:t>
      </w:r>
      <w:r w:rsidR="00AA6F90">
        <w:rPr>
          <w:rFonts w:asciiTheme="minorHAnsi" w:hAnsiTheme="minorHAnsi" w:cstheme="minorHAnsi"/>
          <w:sz w:val="22"/>
          <w:szCs w:val="22"/>
        </w:rPr>
        <w:t>to</w:t>
      </w:r>
      <w:r w:rsidR="008C18C1" w:rsidRPr="0038361B">
        <w:rPr>
          <w:rFonts w:asciiTheme="minorHAnsi" w:hAnsiTheme="minorHAnsi" w:cstheme="minorHAnsi"/>
          <w:sz w:val="22"/>
          <w:szCs w:val="22"/>
        </w:rPr>
        <w:t>ria, Australia</w:t>
      </w:r>
    </w:p>
    <w:p w14:paraId="613CFA97" w14:textId="40BA36EC" w:rsidR="003F1DAD" w:rsidRPr="0038361B" w:rsidRDefault="00900489" w:rsidP="003F1DAD">
      <w:pPr>
        <w:pStyle w:val="Affiliation"/>
        <w:rPr>
          <w:rFonts w:asciiTheme="minorHAnsi" w:hAnsiTheme="minorHAnsi" w:cstheme="minorHAnsi"/>
          <w:sz w:val="22"/>
          <w:szCs w:val="22"/>
        </w:rPr>
      </w:pPr>
      <w:r>
        <w:rPr>
          <w:rFonts w:asciiTheme="minorHAnsi" w:hAnsiTheme="minorHAnsi" w:cstheme="minorHAnsi"/>
          <w:sz w:val="22"/>
          <w:szCs w:val="22"/>
          <w:vertAlign w:val="superscript"/>
        </w:rPr>
        <w:t>9</w:t>
      </w:r>
      <w:r w:rsidR="003F1DAD" w:rsidRPr="0038361B">
        <w:rPr>
          <w:rFonts w:asciiTheme="minorHAnsi" w:hAnsiTheme="minorHAnsi" w:cstheme="minorHAnsi"/>
          <w:sz w:val="22"/>
          <w:szCs w:val="22"/>
          <w:vertAlign w:val="superscript"/>
        </w:rPr>
        <w:t xml:space="preserve"> </w:t>
      </w:r>
      <w:r w:rsidR="00006796" w:rsidRPr="0038361B">
        <w:rPr>
          <w:rFonts w:asciiTheme="minorHAnsi" w:hAnsiTheme="minorHAnsi" w:cstheme="minorHAnsi"/>
          <w:sz w:val="22"/>
          <w:szCs w:val="22"/>
        </w:rPr>
        <w:t>School of Geography, Earth and Atmospheric Sciences, University of Melbourne, Parkville, Victoria, Australia</w:t>
      </w:r>
    </w:p>
    <w:p w14:paraId="35BF69E1" w14:textId="4A79B66D" w:rsidR="00AF3F3F" w:rsidRPr="0038361B" w:rsidRDefault="00900489" w:rsidP="00AF3F3F">
      <w:pPr>
        <w:pStyle w:val="Affiliation"/>
        <w:rPr>
          <w:rFonts w:asciiTheme="minorHAnsi" w:hAnsiTheme="minorHAnsi" w:cstheme="minorHAnsi"/>
          <w:sz w:val="22"/>
          <w:szCs w:val="22"/>
        </w:rPr>
      </w:pPr>
      <w:r>
        <w:rPr>
          <w:rFonts w:asciiTheme="minorHAnsi" w:hAnsiTheme="minorHAnsi" w:cstheme="minorHAnsi"/>
          <w:sz w:val="22"/>
          <w:szCs w:val="22"/>
          <w:vertAlign w:val="superscript"/>
        </w:rPr>
        <w:t>10</w:t>
      </w:r>
      <w:r w:rsidR="00AF3F3F" w:rsidRPr="0038361B">
        <w:rPr>
          <w:rFonts w:asciiTheme="minorHAnsi" w:hAnsiTheme="minorHAnsi" w:cstheme="minorHAnsi"/>
          <w:sz w:val="22"/>
          <w:szCs w:val="22"/>
          <w:vertAlign w:val="superscript"/>
        </w:rPr>
        <w:t xml:space="preserve"> </w:t>
      </w:r>
      <w:r w:rsidR="00943467" w:rsidRPr="0038361B">
        <w:rPr>
          <w:rFonts w:asciiTheme="minorHAnsi" w:hAnsiTheme="minorHAnsi" w:cstheme="minorHAnsi"/>
          <w:sz w:val="22"/>
          <w:szCs w:val="22"/>
        </w:rPr>
        <w:t xml:space="preserve">CNRM, Université de Toulouse, </w:t>
      </w:r>
      <w:proofErr w:type="spellStart"/>
      <w:r w:rsidR="00943467" w:rsidRPr="0038361B">
        <w:rPr>
          <w:rFonts w:asciiTheme="minorHAnsi" w:hAnsiTheme="minorHAnsi" w:cstheme="minorHAnsi"/>
          <w:sz w:val="22"/>
          <w:szCs w:val="22"/>
        </w:rPr>
        <w:t>Météo</w:t>
      </w:r>
      <w:proofErr w:type="spellEnd"/>
      <w:r w:rsidR="00943467" w:rsidRPr="0038361B">
        <w:rPr>
          <w:rFonts w:asciiTheme="minorHAnsi" w:hAnsiTheme="minorHAnsi" w:cstheme="minorHAnsi"/>
          <w:sz w:val="22"/>
          <w:szCs w:val="22"/>
        </w:rPr>
        <w:t>-France, CNRS, Toulouse, France</w:t>
      </w:r>
    </w:p>
    <w:p w14:paraId="2C17E3C8" w14:textId="0B42816F" w:rsidR="003F1DAD" w:rsidRPr="0038361B" w:rsidRDefault="0038361B" w:rsidP="003F1DAD">
      <w:pPr>
        <w:pStyle w:val="Affiliation"/>
        <w:rPr>
          <w:rFonts w:asciiTheme="minorHAnsi" w:hAnsiTheme="minorHAnsi" w:cstheme="minorHAnsi"/>
          <w:sz w:val="22"/>
          <w:szCs w:val="22"/>
        </w:rPr>
      </w:pPr>
      <w:r>
        <w:rPr>
          <w:rFonts w:asciiTheme="minorHAnsi" w:hAnsiTheme="minorHAnsi" w:cstheme="minorHAnsi"/>
          <w:sz w:val="22"/>
          <w:szCs w:val="22"/>
          <w:vertAlign w:val="superscript"/>
        </w:rPr>
        <w:t>1</w:t>
      </w:r>
      <w:r w:rsidR="00900489">
        <w:rPr>
          <w:rFonts w:asciiTheme="minorHAnsi" w:hAnsiTheme="minorHAnsi" w:cstheme="minorHAnsi"/>
          <w:sz w:val="22"/>
          <w:szCs w:val="22"/>
          <w:vertAlign w:val="superscript"/>
        </w:rPr>
        <w:t>1</w:t>
      </w:r>
      <w:r w:rsidR="003F1DAD" w:rsidRPr="0038361B">
        <w:rPr>
          <w:rFonts w:asciiTheme="minorHAnsi" w:hAnsiTheme="minorHAnsi" w:cstheme="minorHAnsi"/>
          <w:sz w:val="22"/>
          <w:szCs w:val="22"/>
          <w:vertAlign w:val="superscript"/>
        </w:rPr>
        <w:t xml:space="preserve"> </w:t>
      </w:r>
      <w:r w:rsidR="00875A96" w:rsidRPr="0038361B">
        <w:rPr>
          <w:rFonts w:asciiTheme="minorHAnsi" w:hAnsiTheme="minorHAnsi" w:cstheme="minorHAnsi"/>
          <w:sz w:val="22"/>
          <w:szCs w:val="22"/>
        </w:rPr>
        <w:t>Lancaster Environment Centre, Lancaster University, Lancaster, United Kingdom</w:t>
      </w:r>
    </w:p>
    <w:p w14:paraId="444C4B00" w14:textId="18447050" w:rsidR="003F1DAD" w:rsidRPr="0038361B" w:rsidRDefault="00F35E78" w:rsidP="003F1DAD">
      <w:pPr>
        <w:pStyle w:val="Affiliation"/>
        <w:rPr>
          <w:rFonts w:asciiTheme="minorHAnsi" w:hAnsiTheme="minorHAnsi" w:cstheme="minorHAnsi"/>
          <w:sz w:val="22"/>
          <w:szCs w:val="22"/>
        </w:rPr>
      </w:pPr>
      <w:r w:rsidRPr="0038361B">
        <w:rPr>
          <w:rFonts w:asciiTheme="minorHAnsi" w:hAnsiTheme="minorHAnsi" w:cstheme="minorHAnsi"/>
          <w:sz w:val="22"/>
          <w:szCs w:val="22"/>
          <w:vertAlign w:val="superscript"/>
        </w:rPr>
        <w:t>1</w:t>
      </w:r>
      <w:r w:rsidR="00900489">
        <w:rPr>
          <w:rFonts w:asciiTheme="minorHAnsi" w:hAnsiTheme="minorHAnsi" w:cstheme="minorHAnsi"/>
          <w:sz w:val="22"/>
          <w:szCs w:val="22"/>
          <w:vertAlign w:val="superscript"/>
        </w:rPr>
        <w:t>2</w:t>
      </w:r>
      <w:r w:rsidR="003F1DAD" w:rsidRPr="0038361B">
        <w:rPr>
          <w:rFonts w:asciiTheme="minorHAnsi" w:hAnsiTheme="minorHAnsi" w:cstheme="minorHAnsi"/>
          <w:sz w:val="22"/>
          <w:szCs w:val="22"/>
          <w:vertAlign w:val="superscript"/>
        </w:rPr>
        <w:t xml:space="preserve"> </w:t>
      </w:r>
      <w:r w:rsidR="00E87F87" w:rsidRPr="0038361B">
        <w:rPr>
          <w:rFonts w:asciiTheme="minorHAnsi" w:hAnsiTheme="minorHAnsi" w:cstheme="minorHAnsi"/>
          <w:sz w:val="22"/>
          <w:szCs w:val="22"/>
        </w:rPr>
        <w:t>National Center for Atmospheric Research, Boulder, Colorado, USA</w:t>
      </w:r>
    </w:p>
    <w:p w14:paraId="54510203" w14:textId="38677CC2" w:rsidR="008D699D" w:rsidRPr="0038361B" w:rsidRDefault="008D699D" w:rsidP="008D699D">
      <w:pPr>
        <w:pStyle w:val="Affiliation"/>
        <w:rPr>
          <w:rFonts w:asciiTheme="minorHAnsi" w:hAnsiTheme="minorHAnsi" w:cstheme="minorHAnsi"/>
          <w:sz w:val="22"/>
          <w:szCs w:val="22"/>
        </w:rPr>
      </w:pPr>
      <w:r w:rsidRPr="0038361B">
        <w:rPr>
          <w:rFonts w:asciiTheme="minorHAnsi" w:hAnsiTheme="minorHAnsi" w:cstheme="minorHAnsi"/>
          <w:sz w:val="22"/>
          <w:szCs w:val="22"/>
          <w:vertAlign w:val="superscript"/>
        </w:rPr>
        <w:t>1</w:t>
      </w:r>
      <w:r w:rsidR="00900489">
        <w:rPr>
          <w:rFonts w:asciiTheme="minorHAnsi" w:hAnsiTheme="minorHAnsi" w:cstheme="minorHAnsi"/>
          <w:sz w:val="22"/>
          <w:szCs w:val="22"/>
          <w:vertAlign w:val="superscript"/>
        </w:rPr>
        <w:t>3</w:t>
      </w:r>
      <w:r w:rsidRPr="0038361B">
        <w:rPr>
          <w:rFonts w:asciiTheme="minorHAnsi" w:hAnsiTheme="minorHAnsi" w:cstheme="minorHAnsi"/>
          <w:sz w:val="22"/>
          <w:szCs w:val="22"/>
          <w:vertAlign w:val="superscript"/>
        </w:rPr>
        <w:t xml:space="preserve"> </w:t>
      </w:r>
      <w:r w:rsidR="0038361B" w:rsidRPr="0038361B">
        <w:rPr>
          <w:rFonts w:asciiTheme="minorHAnsi" w:hAnsiTheme="minorHAnsi" w:cstheme="minorHAnsi"/>
          <w:sz w:val="22"/>
          <w:szCs w:val="22"/>
        </w:rPr>
        <w:t xml:space="preserve">LATMOS, </w:t>
      </w:r>
      <w:proofErr w:type="spellStart"/>
      <w:r w:rsidR="0038361B" w:rsidRPr="0038361B">
        <w:rPr>
          <w:rFonts w:asciiTheme="minorHAnsi" w:hAnsiTheme="minorHAnsi" w:cstheme="minorHAnsi"/>
          <w:sz w:val="22"/>
          <w:szCs w:val="22"/>
        </w:rPr>
        <w:t>Institut</w:t>
      </w:r>
      <w:proofErr w:type="spellEnd"/>
      <w:r w:rsidR="0038361B" w:rsidRPr="0038361B">
        <w:rPr>
          <w:rFonts w:asciiTheme="minorHAnsi" w:hAnsiTheme="minorHAnsi" w:cstheme="minorHAnsi"/>
          <w:sz w:val="22"/>
          <w:szCs w:val="22"/>
        </w:rPr>
        <w:t xml:space="preserve"> Pierre-Simon Laplace, Sorbonne Université/CNRS/UVSQ, Paris, France</w:t>
      </w:r>
    </w:p>
    <w:p w14:paraId="3DE608CE" w14:textId="4DB73997" w:rsidR="003F1DAD" w:rsidRPr="0038361B" w:rsidRDefault="00F35E78" w:rsidP="003F1DAD">
      <w:pPr>
        <w:pStyle w:val="Affiliation"/>
        <w:rPr>
          <w:rFonts w:asciiTheme="minorHAnsi" w:hAnsiTheme="minorHAnsi" w:cstheme="minorHAnsi"/>
          <w:sz w:val="22"/>
          <w:szCs w:val="22"/>
        </w:rPr>
      </w:pPr>
      <w:r w:rsidRPr="0038361B">
        <w:rPr>
          <w:rFonts w:asciiTheme="minorHAnsi" w:hAnsiTheme="minorHAnsi" w:cstheme="minorHAnsi"/>
          <w:sz w:val="22"/>
          <w:szCs w:val="22"/>
          <w:vertAlign w:val="superscript"/>
        </w:rPr>
        <w:t>1</w:t>
      </w:r>
      <w:r w:rsidR="00900489">
        <w:rPr>
          <w:rFonts w:asciiTheme="minorHAnsi" w:hAnsiTheme="minorHAnsi" w:cstheme="minorHAnsi"/>
          <w:sz w:val="22"/>
          <w:szCs w:val="22"/>
          <w:vertAlign w:val="superscript"/>
        </w:rPr>
        <w:t>4</w:t>
      </w:r>
      <w:r w:rsidR="003F1DAD" w:rsidRPr="0038361B">
        <w:rPr>
          <w:rFonts w:asciiTheme="minorHAnsi" w:hAnsiTheme="minorHAnsi" w:cstheme="minorHAnsi"/>
          <w:sz w:val="22"/>
          <w:szCs w:val="22"/>
          <w:vertAlign w:val="superscript"/>
        </w:rPr>
        <w:t xml:space="preserve"> </w:t>
      </w:r>
      <w:r w:rsidR="00C21D9E" w:rsidRPr="0038361B">
        <w:rPr>
          <w:rFonts w:asciiTheme="minorHAnsi" w:hAnsiTheme="minorHAnsi" w:cstheme="minorHAnsi"/>
          <w:sz w:val="22"/>
          <w:szCs w:val="22"/>
        </w:rPr>
        <w:t>National Institute of Water and Atmospheric Research, Wellington, Aotearoa New Zealand</w:t>
      </w:r>
    </w:p>
    <w:p w14:paraId="7EFC0D88" w14:textId="077ED093" w:rsidR="003F1DAD" w:rsidRPr="0038361B" w:rsidRDefault="00F35E78" w:rsidP="003F1DAD">
      <w:pPr>
        <w:pStyle w:val="Affiliation"/>
        <w:rPr>
          <w:rFonts w:asciiTheme="minorHAnsi" w:hAnsiTheme="minorHAnsi" w:cstheme="minorHAnsi"/>
          <w:sz w:val="22"/>
          <w:szCs w:val="22"/>
        </w:rPr>
      </w:pPr>
      <w:r w:rsidRPr="0038361B">
        <w:rPr>
          <w:rFonts w:asciiTheme="minorHAnsi" w:hAnsiTheme="minorHAnsi" w:cstheme="minorHAnsi"/>
          <w:sz w:val="22"/>
          <w:szCs w:val="22"/>
          <w:vertAlign w:val="superscript"/>
        </w:rPr>
        <w:t>1</w:t>
      </w:r>
      <w:r w:rsidR="00900489">
        <w:rPr>
          <w:rFonts w:asciiTheme="minorHAnsi" w:hAnsiTheme="minorHAnsi" w:cstheme="minorHAnsi"/>
          <w:sz w:val="22"/>
          <w:szCs w:val="22"/>
          <w:vertAlign w:val="superscript"/>
        </w:rPr>
        <w:t>5</w:t>
      </w:r>
      <w:r w:rsidR="003F1DAD" w:rsidRPr="0038361B">
        <w:rPr>
          <w:rFonts w:asciiTheme="minorHAnsi" w:hAnsiTheme="minorHAnsi" w:cstheme="minorHAnsi"/>
          <w:sz w:val="22"/>
          <w:szCs w:val="22"/>
          <w:vertAlign w:val="superscript"/>
        </w:rPr>
        <w:t xml:space="preserve"> </w:t>
      </w:r>
      <w:r w:rsidR="005E316C" w:rsidRPr="0038361B">
        <w:rPr>
          <w:rFonts w:asciiTheme="minorHAnsi" w:hAnsiTheme="minorHAnsi" w:cstheme="minorHAnsi"/>
          <w:sz w:val="22"/>
          <w:szCs w:val="22"/>
        </w:rPr>
        <w:t>School of Physical and Chemical Sciences, Canterbury University, Christchurch, Aotearoa New Zealand</w:t>
      </w:r>
    </w:p>
    <w:p w14:paraId="7A1508AD" w14:textId="41C34A73" w:rsidR="003F1DAD" w:rsidRPr="0038361B" w:rsidRDefault="00F35E78" w:rsidP="003F1DAD">
      <w:pPr>
        <w:pStyle w:val="Affiliation"/>
        <w:rPr>
          <w:rFonts w:asciiTheme="minorHAnsi" w:hAnsiTheme="minorHAnsi" w:cstheme="minorHAnsi"/>
          <w:sz w:val="22"/>
          <w:szCs w:val="22"/>
        </w:rPr>
      </w:pPr>
      <w:r w:rsidRPr="0038361B">
        <w:rPr>
          <w:rFonts w:asciiTheme="minorHAnsi" w:hAnsiTheme="minorHAnsi" w:cstheme="minorHAnsi"/>
          <w:sz w:val="22"/>
          <w:szCs w:val="22"/>
          <w:vertAlign w:val="superscript"/>
        </w:rPr>
        <w:t>1</w:t>
      </w:r>
      <w:r w:rsidR="00900489">
        <w:rPr>
          <w:rFonts w:asciiTheme="minorHAnsi" w:hAnsiTheme="minorHAnsi" w:cstheme="minorHAnsi"/>
          <w:sz w:val="22"/>
          <w:szCs w:val="22"/>
          <w:vertAlign w:val="superscript"/>
        </w:rPr>
        <w:t>6</w:t>
      </w:r>
      <w:r w:rsidR="003F1DAD" w:rsidRPr="0038361B">
        <w:rPr>
          <w:rFonts w:asciiTheme="minorHAnsi" w:hAnsiTheme="minorHAnsi" w:cstheme="minorHAnsi"/>
          <w:sz w:val="22"/>
          <w:szCs w:val="22"/>
          <w:vertAlign w:val="superscript"/>
        </w:rPr>
        <w:t xml:space="preserve"> </w:t>
      </w:r>
      <w:r w:rsidR="000E4769" w:rsidRPr="0038361B">
        <w:rPr>
          <w:rFonts w:asciiTheme="minorHAnsi" w:hAnsiTheme="minorHAnsi" w:cstheme="minorHAnsi"/>
          <w:sz w:val="22"/>
          <w:szCs w:val="22"/>
        </w:rPr>
        <w:t>Climate Research Division, Environment and Climate Change Canada, Montreal, Canada</w:t>
      </w:r>
    </w:p>
    <w:p w14:paraId="7A38D32C" w14:textId="12905F51" w:rsidR="003F1DAD" w:rsidRPr="0038361B" w:rsidRDefault="00F35E78" w:rsidP="003F1DAD">
      <w:pPr>
        <w:pStyle w:val="Affiliation"/>
        <w:rPr>
          <w:rFonts w:asciiTheme="minorHAnsi" w:hAnsiTheme="minorHAnsi" w:cstheme="minorHAnsi"/>
          <w:sz w:val="22"/>
          <w:szCs w:val="22"/>
          <w:lang w:val="de-DE"/>
        </w:rPr>
      </w:pPr>
      <w:r w:rsidRPr="0038361B">
        <w:rPr>
          <w:rFonts w:asciiTheme="minorHAnsi" w:hAnsiTheme="minorHAnsi" w:cstheme="minorHAnsi"/>
          <w:sz w:val="22"/>
          <w:szCs w:val="22"/>
          <w:vertAlign w:val="superscript"/>
          <w:lang w:val="de-DE"/>
        </w:rPr>
        <w:t>1</w:t>
      </w:r>
      <w:r w:rsidR="00900489">
        <w:rPr>
          <w:rFonts w:asciiTheme="minorHAnsi" w:hAnsiTheme="minorHAnsi" w:cstheme="minorHAnsi"/>
          <w:sz w:val="22"/>
          <w:szCs w:val="22"/>
          <w:vertAlign w:val="superscript"/>
          <w:lang w:val="de-DE"/>
        </w:rPr>
        <w:t>7</w:t>
      </w:r>
      <w:r w:rsidR="003F1DAD" w:rsidRPr="0038361B">
        <w:rPr>
          <w:rFonts w:asciiTheme="minorHAnsi" w:hAnsiTheme="minorHAnsi" w:cstheme="minorHAnsi"/>
          <w:sz w:val="22"/>
          <w:szCs w:val="22"/>
          <w:vertAlign w:val="superscript"/>
          <w:lang w:val="de-DE"/>
        </w:rPr>
        <w:t xml:space="preserve"> </w:t>
      </w:r>
      <w:r w:rsidR="00E54D18" w:rsidRPr="0038361B">
        <w:rPr>
          <w:rFonts w:asciiTheme="minorHAnsi" w:hAnsiTheme="minorHAnsi" w:cstheme="minorHAnsi"/>
          <w:sz w:val="22"/>
          <w:szCs w:val="22"/>
          <w:lang w:val="de-DE"/>
        </w:rPr>
        <w:t>Physikalisch-Meteorologisches Observatorium Davos/World Radiation Center, Davos, Switzerland</w:t>
      </w:r>
    </w:p>
    <w:p w14:paraId="46F402BC" w14:textId="2627F6FB" w:rsidR="003F1DAD" w:rsidRPr="0038361B" w:rsidRDefault="00F35E78" w:rsidP="003F1DAD">
      <w:pPr>
        <w:pStyle w:val="Affiliation"/>
        <w:rPr>
          <w:rFonts w:asciiTheme="minorHAnsi" w:hAnsiTheme="minorHAnsi" w:cstheme="minorHAnsi"/>
          <w:sz w:val="22"/>
          <w:szCs w:val="22"/>
        </w:rPr>
      </w:pPr>
      <w:r w:rsidRPr="0038361B">
        <w:rPr>
          <w:rFonts w:asciiTheme="minorHAnsi" w:hAnsiTheme="minorHAnsi" w:cstheme="minorHAnsi"/>
          <w:sz w:val="22"/>
          <w:szCs w:val="22"/>
          <w:vertAlign w:val="superscript"/>
        </w:rPr>
        <w:t>1</w:t>
      </w:r>
      <w:r w:rsidR="00900489">
        <w:rPr>
          <w:rFonts w:asciiTheme="minorHAnsi" w:hAnsiTheme="minorHAnsi" w:cstheme="minorHAnsi"/>
          <w:sz w:val="22"/>
          <w:szCs w:val="22"/>
          <w:vertAlign w:val="superscript"/>
        </w:rPr>
        <w:t>8</w:t>
      </w:r>
      <w:r w:rsidR="003F1DAD" w:rsidRPr="0038361B">
        <w:rPr>
          <w:rFonts w:asciiTheme="minorHAnsi" w:hAnsiTheme="minorHAnsi" w:cstheme="minorHAnsi"/>
          <w:sz w:val="22"/>
          <w:szCs w:val="22"/>
          <w:vertAlign w:val="superscript"/>
        </w:rPr>
        <w:t xml:space="preserve"> </w:t>
      </w:r>
      <w:r w:rsidR="00E2126E" w:rsidRPr="0038361B">
        <w:rPr>
          <w:rFonts w:asciiTheme="minorHAnsi" w:hAnsiTheme="minorHAnsi" w:cstheme="minorHAnsi"/>
          <w:sz w:val="22"/>
          <w:szCs w:val="22"/>
        </w:rPr>
        <w:t>Atmospheric Chemistry and Dynamics Laboratory, NASA Goddard Space Flight Center (GSFC), Greenbelt, MD, USA</w:t>
      </w:r>
    </w:p>
    <w:p w14:paraId="2EB08F37" w14:textId="3459417A" w:rsidR="003F1DAD" w:rsidRPr="0038361B" w:rsidRDefault="00F35E78" w:rsidP="003F1DAD">
      <w:pPr>
        <w:pStyle w:val="Affiliation"/>
        <w:rPr>
          <w:rFonts w:asciiTheme="minorHAnsi" w:hAnsiTheme="minorHAnsi" w:cstheme="minorHAnsi"/>
          <w:sz w:val="22"/>
          <w:szCs w:val="22"/>
        </w:rPr>
      </w:pPr>
      <w:r w:rsidRPr="0038361B">
        <w:rPr>
          <w:rFonts w:asciiTheme="minorHAnsi" w:hAnsiTheme="minorHAnsi" w:cstheme="minorHAnsi"/>
          <w:sz w:val="22"/>
          <w:szCs w:val="22"/>
          <w:vertAlign w:val="superscript"/>
        </w:rPr>
        <w:t>1</w:t>
      </w:r>
      <w:r w:rsidR="00900489">
        <w:rPr>
          <w:rFonts w:asciiTheme="minorHAnsi" w:hAnsiTheme="minorHAnsi" w:cstheme="minorHAnsi"/>
          <w:sz w:val="22"/>
          <w:szCs w:val="22"/>
          <w:vertAlign w:val="superscript"/>
        </w:rPr>
        <w:t>9</w:t>
      </w:r>
      <w:r w:rsidR="003F1DAD" w:rsidRPr="0038361B">
        <w:rPr>
          <w:rFonts w:asciiTheme="minorHAnsi" w:hAnsiTheme="minorHAnsi" w:cstheme="minorHAnsi"/>
          <w:sz w:val="22"/>
          <w:szCs w:val="22"/>
          <w:vertAlign w:val="superscript"/>
        </w:rPr>
        <w:t xml:space="preserve"> </w:t>
      </w:r>
      <w:r w:rsidR="007440F5" w:rsidRPr="0038361B">
        <w:rPr>
          <w:rFonts w:asciiTheme="minorHAnsi" w:hAnsiTheme="minorHAnsi" w:cstheme="minorHAnsi"/>
          <w:sz w:val="22"/>
          <w:szCs w:val="22"/>
        </w:rPr>
        <w:t>GESTAR II, Morgan State University, Baltimore, MD, USA</w:t>
      </w:r>
    </w:p>
    <w:p w14:paraId="780712B2" w14:textId="711F2FC6" w:rsidR="00814700" w:rsidRPr="0038361B" w:rsidRDefault="00900489">
      <w:pPr>
        <w:pStyle w:val="Affiliation"/>
        <w:rPr>
          <w:rFonts w:asciiTheme="minorHAnsi" w:hAnsiTheme="minorHAnsi" w:cstheme="minorHAnsi"/>
          <w:sz w:val="22"/>
          <w:szCs w:val="22"/>
        </w:rPr>
      </w:pPr>
      <w:r>
        <w:rPr>
          <w:rFonts w:asciiTheme="minorHAnsi" w:hAnsiTheme="minorHAnsi" w:cstheme="minorHAnsi"/>
          <w:sz w:val="22"/>
          <w:szCs w:val="22"/>
          <w:vertAlign w:val="superscript"/>
        </w:rPr>
        <w:t>20</w:t>
      </w:r>
      <w:r w:rsidR="003F1DAD" w:rsidRPr="0038361B">
        <w:rPr>
          <w:rFonts w:asciiTheme="minorHAnsi" w:hAnsiTheme="minorHAnsi" w:cstheme="minorHAnsi"/>
          <w:sz w:val="22"/>
          <w:szCs w:val="22"/>
          <w:vertAlign w:val="superscript"/>
        </w:rPr>
        <w:t xml:space="preserve"> </w:t>
      </w:r>
      <w:r w:rsidR="00F51189" w:rsidRPr="0038361B">
        <w:rPr>
          <w:rFonts w:asciiTheme="minorHAnsi" w:hAnsiTheme="minorHAnsi" w:cstheme="minorHAnsi"/>
          <w:sz w:val="22"/>
          <w:szCs w:val="22"/>
        </w:rPr>
        <w:t>Research Center of Global Change (RIGC) and WPI-AIMEC, Japan Agency for Marine-Earth Science and Technology (JAMSTEC), Yokohama, Japan</w:t>
      </w:r>
    </w:p>
    <w:p w14:paraId="4E3971D7" w14:textId="3F27C435" w:rsidR="00175027" w:rsidRPr="00664981" w:rsidRDefault="00A94CE0">
      <w:pPr>
        <w:pStyle w:val="Affiliation"/>
        <w:rPr>
          <w:rFonts w:asciiTheme="minorHAnsi" w:hAnsiTheme="minorHAnsi" w:cstheme="minorHAnsi"/>
          <w:lang w:val="de-DE"/>
        </w:rPr>
      </w:pPr>
      <w:r w:rsidRPr="00E83B54">
        <w:rPr>
          <w:rFonts w:asciiTheme="minorHAnsi" w:hAnsiTheme="minorHAnsi" w:cstheme="minorHAnsi"/>
          <w:sz w:val="22"/>
          <w:szCs w:val="22"/>
          <w:vertAlign w:val="superscript"/>
          <w:lang w:val="de-DE"/>
        </w:rPr>
        <w:t xml:space="preserve">* </w:t>
      </w:r>
      <w:r w:rsidR="00175027" w:rsidRPr="0038361B">
        <w:rPr>
          <w:rFonts w:asciiTheme="minorHAnsi" w:hAnsiTheme="minorHAnsi" w:cstheme="minorHAnsi"/>
          <w:sz w:val="22"/>
          <w:szCs w:val="22"/>
          <w:vertAlign w:val="superscript"/>
          <w:lang w:val="de-DE"/>
        </w:rPr>
        <w:t xml:space="preserve"> </w:t>
      </w:r>
      <w:r w:rsidR="00664981" w:rsidRPr="0038361B">
        <w:rPr>
          <w:rFonts w:asciiTheme="minorHAnsi" w:hAnsiTheme="minorHAnsi" w:cstheme="minorHAnsi"/>
          <w:sz w:val="22"/>
          <w:szCs w:val="22"/>
          <w:lang w:val="de-DE"/>
        </w:rPr>
        <w:t xml:space="preserve">Now at: </w:t>
      </w:r>
      <w:r w:rsidR="00175027" w:rsidRPr="0038361B">
        <w:rPr>
          <w:rFonts w:asciiTheme="minorHAnsi" w:hAnsiTheme="minorHAnsi" w:cstheme="minorHAnsi"/>
          <w:sz w:val="22"/>
          <w:szCs w:val="22"/>
          <w:lang w:val="de-DE"/>
        </w:rPr>
        <w:t>Deutscher Wetterdienst, Offenbach, Germany</w:t>
      </w:r>
    </w:p>
    <w:p w14:paraId="780712B3" w14:textId="77777777" w:rsidR="00814700" w:rsidRPr="00C82FA3" w:rsidRDefault="006D0001">
      <w:pPr>
        <w:pStyle w:val="Affiliation"/>
        <w:rPr>
          <w:rFonts w:asciiTheme="minorHAnsi" w:hAnsiTheme="minorHAnsi" w:cstheme="minorHAnsi"/>
          <w:b/>
          <w:bCs/>
        </w:rPr>
      </w:pPr>
      <w:r w:rsidRPr="00C82FA3">
        <w:rPr>
          <w:rFonts w:asciiTheme="minorHAnsi" w:hAnsiTheme="minorHAnsi" w:cstheme="minorHAnsi"/>
          <w:b/>
          <w:bCs/>
        </w:rPr>
        <w:t>Corresponding author: Samuel Benito-Barca (</w:t>
      </w:r>
      <w:hyperlink r:id="rId8">
        <w:r w:rsidRPr="00C82FA3">
          <w:rPr>
            <w:rStyle w:val="Hipervnculo"/>
            <w:rFonts w:asciiTheme="minorHAnsi" w:hAnsiTheme="minorHAnsi" w:cstheme="minorHAnsi"/>
            <w:b/>
            <w:bCs/>
          </w:rPr>
          <w:t>samubeni@ucm.es)</w:t>
        </w:r>
      </w:hyperlink>
      <w:r w:rsidRPr="00C82FA3">
        <w:rPr>
          <w:rFonts w:asciiTheme="minorHAnsi" w:hAnsiTheme="minorHAnsi" w:cstheme="minorHAnsi"/>
          <w:b/>
          <w:bCs/>
        </w:rPr>
        <w:t xml:space="preserve"> </w:t>
      </w:r>
    </w:p>
    <w:p w14:paraId="780712B5" w14:textId="4A8F19D9" w:rsidR="00814700" w:rsidRDefault="006D0001">
      <w:pPr>
        <w:pStyle w:val="Heading-Main"/>
        <w:rPr>
          <w:rFonts w:asciiTheme="minorHAnsi" w:hAnsiTheme="minorHAnsi" w:cstheme="minorHAnsi"/>
        </w:rPr>
      </w:pPr>
      <w:r>
        <w:rPr>
          <w:rFonts w:asciiTheme="minorHAnsi" w:hAnsiTheme="minorHAnsi" w:cstheme="minorHAnsi"/>
        </w:rPr>
        <w:lastRenderedPageBreak/>
        <w:t>Key Points:</w:t>
      </w:r>
    </w:p>
    <w:p w14:paraId="231C4C8A" w14:textId="77777777" w:rsidR="00F35888" w:rsidRDefault="00F35888">
      <w:pPr>
        <w:pStyle w:val="KeyPoints"/>
        <w:numPr>
          <w:ilvl w:val="0"/>
          <w:numId w:val="1"/>
        </w:numPr>
        <w:rPr>
          <w:rFonts w:asciiTheme="minorHAnsi" w:hAnsiTheme="minorHAnsi" w:cstheme="minorHAnsi"/>
        </w:rPr>
      </w:pPr>
      <w:r w:rsidRPr="00F35888">
        <w:rPr>
          <w:rFonts w:asciiTheme="minorHAnsi" w:hAnsiTheme="minorHAnsi" w:cstheme="minorHAnsi"/>
        </w:rPr>
        <w:t>Chemistry-climate models with observed sea surface temperatures can capture the recent decline in mid-latitude lower stratospheric ozone</w:t>
      </w:r>
    </w:p>
    <w:p w14:paraId="30B00072" w14:textId="77777777" w:rsidR="00040AAF" w:rsidRDefault="00040AAF">
      <w:pPr>
        <w:pStyle w:val="KeyPoints"/>
        <w:numPr>
          <w:ilvl w:val="0"/>
          <w:numId w:val="1"/>
        </w:numPr>
        <w:rPr>
          <w:rFonts w:asciiTheme="minorHAnsi" w:hAnsiTheme="minorHAnsi" w:cstheme="minorHAnsi"/>
        </w:rPr>
      </w:pPr>
      <w:r w:rsidRPr="00040AAF">
        <w:rPr>
          <w:rFonts w:asciiTheme="minorHAnsi" w:hAnsiTheme="minorHAnsi" w:cstheme="minorHAnsi"/>
        </w:rPr>
        <w:t xml:space="preserve">Trends over 1998-2018 are due to internal variability and not a linear response to the main climate variability modes or external forcings </w:t>
      </w:r>
    </w:p>
    <w:p w14:paraId="780712BA" w14:textId="6E82F2F8" w:rsidR="00814700" w:rsidRDefault="006D0001">
      <w:pPr>
        <w:pStyle w:val="KeyPoints"/>
        <w:numPr>
          <w:ilvl w:val="0"/>
          <w:numId w:val="1"/>
        </w:numPr>
        <w:rPr>
          <w:rFonts w:asciiTheme="minorHAnsi" w:hAnsiTheme="minorHAnsi" w:cstheme="minorHAnsi"/>
        </w:rPr>
      </w:pPr>
      <w:r>
        <w:rPr>
          <w:rFonts w:asciiTheme="minorHAnsi" w:hAnsiTheme="minorHAnsi" w:cstheme="minorHAnsi"/>
        </w:rPr>
        <w:t xml:space="preserve">Large intermodel differences are due to different representation of ozone transport processes and their internal variability </w:t>
      </w:r>
      <w:r>
        <w:br w:type="page"/>
      </w:r>
    </w:p>
    <w:p w14:paraId="780712BB" w14:textId="7B74F983" w:rsidR="00814700" w:rsidRDefault="006D0001">
      <w:pPr>
        <w:pStyle w:val="Heading-Main"/>
        <w:rPr>
          <w:rFonts w:asciiTheme="minorHAnsi" w:hAnsiTheme="minorHAnsi" w:cstheme="minorHAnsi"/>
        </w:rPr>
      </w:pPr>
      <w:r>
        <w:rPr>
          <w:rFonts w:asciiTheme="minorHAnsi" w:hAnsiTheme="minorHAnsi" w:cstheme="minorHAnsi"/>
        </w:rPr>
        <w:lastRenderedPageBreak/>
        <w:t>Abstract</w:t>
      </w:r>
    </w:p>
    <w:p w14:paraId="45F1690A" w14:textId="1EFABA22" w:rsidR="00306C35" w:rsidRDefault="00306C35" w:rsidP="0007791F">
      <w:pPr>
        <w:pStyle w:val="TextoNormal"/>
        <w:rPr>
          <w:b/>
          <w:bCs/>
        </w:rPr>
      </w:pPr>
      <w:r w:rsidRPr="00306C35">
        <w:t xml:space="preserve">Lower stratospheric ozone between 60°S and 60°N has continued to decline since 1998, despite the reduction of ozone-depleting substances following the Montreal Protocol. Previous studies have shown that, while Chemistry Climate Models reproduce the negative ozone trend in the tropical lower stratosphere as a response to increased upwelling, they fail to capture the ozone decline in northern mid-latitudes. This study revisits recent lower stratospheric ozone trends over the period 1998-2018 using two types of simulations from the new Chemistry Climate Model Initiative 2022 (CCMI-2022): REF-D1, with observed sea surface temperatures, and REF-D2, with simulated ocean. The observed negative trend in mid-latitudes falls within the range of model trends, especially when considering simulations with observed boundary conditions. There is a large spread in the simulated mid-latitudes ozone trends, with some simulations showing positive and others negative trends. A multiple linear regression analysis shows that the spread in the trends is not explained by the different linear response to external forcings (solar cycle, global warming and ozone depleting substances) or to the main variability modes (El Niño Southern Oscillation and the Quasi-Biennial Oscillation) but is </w:t>
      </w:r>
      <w:r w:rsidR="006612F1">
        <w:t xml:space="preserve">instead </w:t>
      </w:r>
      <w:r w:rsidRPr="00306C35">
        <w:t xml:space="preserve">attributed to internal atmospheric variability. Moreover, the fact that some models show very different trends across members, while other models show similar trends in all members, suggests fundamental differences in the representation of the internal variability of ozone transport across models. Indeed, we report substantial inter-model differences in the ozone-transport connection on interannual </w:t>
      </w:r>
      <w:proofErr w:type="gramStart"/>
      <w:r w:rsidRPr="00306C35">
        <w:t>timescales</w:t>
      </w:r>
      <w:proofErr w:type="gramEnd"/>
      <w:r w:rsidRPr="00306C35">
        <w:t xml:space="preserve"> and we find that ozone trends are closely coupled to transport trends.</w:t>
      </w:r>
    </w:p>
    <w:p w14:paraId="35CB4479" w14:textId="50BB8BDC" w:rsidR="00881F8B" w:rsidRDefault="00881F8B" w:rsidP="00881F8B">
      <w:pPr>
        <w:pStyle w:val="Heading-Main"/>
        <w:rPr>
          <w:rFonts w:asciiTheme="minorHAnsi" w:hAnsiTheme="minorHAnsi" w:cstheme="minorHAnsi"/>
        </w:rPr>
      </w:pPr>
      <w:r>
        <w:rPr>
          <w:rFonts w:asciiTheme="minorHAnsi" w:hAnsiTheme="minorHAnsi" w:cstheme="minorHAnsi"/>
        </w:rPr>
        <w:t>Plain Language Summary</w:t>
      </w:r>
    </w:p>
    <w:p w14:paraId="615A163D" w14:textId="208737DD" w:rsidR="00881F8B" w:rsidRDefault="0007791F">
      <w:pPr>
        <w:pStyle w:val="TextoNormal"/>
      </w:pPr>
      <w:r w:rsidRPr="0007791F">
        <w:t xml:space="preserve">Stratospheric ozone is essential for life as it protects from harmful solar ultraviolet radiation. In the late 20th century, the anthropogenic emission of ozone depleting substances (ODS), especially chlorofluorocarbons (CFCs), </w:t>
      </w:r>
      <w:r w:rsidR="002E2686" w:rsidRPr="00E72761">
        <w:t xml:space="preserve">significantly reduced </w:t>
      </w:r>
      <w:r w:rsidRPr="0007791F">
        <w:t xml:space="preserve">the ozone layer, leading to the adoption in 1987 of the Montreal Protocol to </w:t>
      </w:r>
      <w:r w:rsidR="00C11B61">
        <w:t>regulate</w:t>
      </w:r>
      <w:r w:rsidR="00C11B61" w:rsidRPr="0007791F">
        <w:t xml:space="preserve"> </w:t>
      </w:r>
      <w:r w:rsidRPr="0007791F">
        <w:t xml:space="preserve">CFC </w:t>
      </w:r>
      <w:r w:rsidR="00C11B61" w:rsidRPr="00C11B61">
        <w:t>production and consumption</w:t>
      </w:r>
      <w:r w:rsidRPr="0007791F">
        <w:t>. However, in some regions</w:t>
      </w:r>
      <w:r w:rsidR="00587198">
        <w:t>,</w:t>
      </w:r>
      <w:r w:rsidRPr="0007791F">
        <w:t xml:space="preserve"> lower stratospheric ozone </w:t>
      </w:r>
      <w:proofErr w:type="gramStart"/>
      <w:r w:rsidRPr="0007791F">
        <w:t>have</w:t>
      </w:r>
      <w:proofErr w:type="gramEnd"/>
      <w:r w:rsidRPr="0007791F">
        <w:t xml:space="preserve"> continued to decline since 1998. In this work, we revisit ozone trends over 1998-2018 using state-of-the-art chemistry climate models. We find that chemistry climate models with observed sea surface temperatures </w:t>
      </w:r>
      <w:proofErr w:type="gramStart"/>
      <w:r w:rsidRPr="0007791F">
        <w:t>are able to</w:t>
      </w:r>
      <w:proofErr w:type="gramEnd"/>
      <w:r w:rsidRPr="0007791F">
        <w:t xml:space="preserve"> capture the recent decline in mid-latitude lower stratospheric ozone, but there are discrepancies between different models. These ozone trends are due to internal variability of the atmosphere rather than a linear response to the main climate variability modes (El Niño Southern Oscillation or the Quasi-Biennial Oscillation) or to external forcings (solar cycle, global warming and ODS). We show that stratospheric ozone trends are related to transport trends, and indeed the differences between models come from differences in the ozone transport and its inter-annual variability in each model. This highlights the need to better understand atmospheric transport processes </w:t>
      </w:r>
      <w:proofErr w:type="gramStart"/>
      <w:r w:rsidRPr="0007791F">
        <w:t>in order to</w:t>
      </w:r>
      <w:proofErr w:type="gramEnd"/>
      <w:r w:rsidRPr="0007791F">
        <w:t xml:space="preserve"> improve modelling of past and future ozone trends.</w:t>
      </w:r>
    </w:p>
    <w:p w14:paraId="780712BD" w14:textId="77777777" w:rsidR="00814700" w:rsidRDefault="006D0001">
      <w:pPr>
        <w:pStyle w:val="Heading-Main"/>
        <w:rPr>
          <w:rFonts w:asciiTheme="minorHAnsi" w:hAnsiTheme="minorHAnsi" w:cstheme="minorHAnsi"/>
        </w:rPr>
      </w:pPr>
      <w:r>
        <w:rPr>
          <w:rFonts w:asciiTheme="minorHAnsi" w:hAnsiTheme="minorHAnsi" w:cstheme="minorHAnsi"/>
        </w:rPr>
        <w:t>1 Introduction</w:t>
      </w:r>
    </w:p>
    <w:p w14:paraId="780712BE" w14:textId="74B991BF" w:rsidR="00814700" w:rsidRDefault="006D0001">
      <w:pPr>
        <w:pStyle w:val="TextoNormal"/>
      </w:pPr>
      <w:r>
        <w:t xml:space="preserve">Stratospheric ozone is a crucial component of the climate system, exerting a key role in the radiative budget and in protecting the Earth from harmful solar ultraviolet (UV) radiation. In the late 20th century, stratospheric ozone was drastically reduced due to anthropogenic emissions of ozone depleting substances (ODS), especially chlorofluorocarbons (CFC). This </w:t>
      </w:r>
      <w:r>
        <w:lastRenderedPageBreak/>
        <w:t>problem was tackled by the 1987 Montreal Protocol and subsequent amendments and, as a result, the concentration of ODS in the stratosphere has been declining since the mid-late 1990s</w:t>
      </w:r>
      <w:r w:rsidR="00C77053">
        <w:t xml:space="preserve"> </w:t>
      </w:r>
      <w:r w:rsidR="00C77053">
        <w:fldChar w:fldCharType="begin" w:fldLock="1"/>
      </w:r>
      <w:r w:rsidR="005B0304">
        <w:instrText>ADDIN CSL_CITATION {"citationItems":[{"id":"ITEM-1","itemData":{"DOI":"10.5194/acp-7-4537-2007","ISSN":"16807324","abstract":"Equivalent effective stratospheric chlorine (EESC) is a convenient parameter to quantify the effects of halogens (chlorine and bromine) on ozone depletion in the stratosphere. We show, discuss, and analyze a new formulation of EESC that now includes the effects of age-of-air dependent fractional release values and an age-of-air spectrum. This EESC can be more appropriately applied to various parts of the stratosphere because of this dependence on mean age-of-air. This new formulation provides quantitative estimates of EESC that can be directly related to inorganic chlorine and bromine throughout the stratosphere. In this paper, we first provide a detailed description of the EESC calculation. We then use this EESC formulation to estimate that human-produced ozone depleting substances will recover to 1980 levels in 2041 in the midlatitudes, and 2067 over Antarctica. These recovery dates are based upon the assumption that the international agreements for regulating ozone-depleting substances are adhered to. In addition to recovery dates, we also estimate the uncertainties and possible problems in the estimated times of recovery. The midlatitude recovery of 2041 has a 95% confidence uncertainty from 2028 to 2049, while the 2067 Antarctic recovery has a 95% confidence uncertainty from 2056 to 2078. The principal uncertainties are from the estimated mean age-of-air and fractional release values, and the assumption that these quantities are time independent. Using other model estimates of age decrease due to climate change, we estimate that midlatitude recovery may be significantly accelerated.","author":[{"dropping-particle":"","family":"Newman","given":"P. A.","non-dropping-particle":"","parse-names":false,"suffix":""},{"dropping-particle":"","family":"Daniel","given":"J. S.","non-dropping-particle":"","parse-names":false,"suffix":""},{"dropping-particle":"","family":"Waugh","given":"D. W.","non-dropping-particle":"","parse-names":false,"suffix":""},{"dropping-particle":"","family":"Nash","given":"E. R.","non-dropping-particle":"","parse-names":false,"suffix":""}],"container-title":"Atmospheric Chemistry and Physics","id":"ITEM-1","issue":"17","issued":{"date-parts":[["2007"]]},"page":"4537-4552","title":"A new formulation of equivalent effective stratospheric chlorine (EESC)","type":"article-journal","volume":"7"},"uris":["http://www.mendeley.com/documents/?uuid=a9491bfd-8392-4232-bf9f-bdfef478981b"]},{"id":"ITEM-2","itemData":{"ISBN":"978-9914-733-97-6","author":[{"dropping-particle":"","family":"WMO","given":"","non-dropping-particle":"","parse-names":false,"suffix":""}],"id":"ITEM-2","issued":{"date-parts":[["2022"]]},"publisher":"World Meteorological Organization","publisher-place":"Geneva, Switzerland","title":"Scientific Assessment of Ozone Depletion: Global Ozone Research and Monitoring Project -- GAW Report no. 278","type":"book"},"uris":["http://www.mendeley.com/documents/?uuid=f0f14e12-4ad3-434c-bfd0-5202ce9a0a84"]}],"mendeley":{"formattedCitation":"(Newman et al., 2007; WMO, 2022)","plainTextFormattedCitation":"(Newman et al., 2007; WMO, 2022)","previouslyFormattedCitation":"(Newman et al., 2007; WMO, 2022)"},"properties":{"noteIndex":0},"schema":"https://github.com/citation-style-language/schema/raw/master/csl-citation.json"}</w:instrText>
      </w:r>
      <w:r w:rsidR="00C77053">
        <w:fldChar w:fldCharType="separate"/>
      </w:r>
      <w:r w:rsidR="00C77053" w:rsidRPr="00C77053">
        <w:rPr>
          <w:noProof/>
        </w:rPr>
        <w:t>(Newman et al., 2007; WMO, 2022)</w:t>
      </w:r>
      <w:r w:rsidR="00C77053">
        <w:fldChar w:fldCharType="end"/>
      </w:r>
      <w:r>
        <w:t>. As a consequence, total stratospheric ozone is expected to recover to pre-1980 levels over the 21st century</w:t>
      </w:r>
      <w:r w:rsidR="005B0304">
        <w:t xml:space="preserve"> </w:t>
      </w:r>
      <w:r w:rsidR="005B0304">
        <w:fldChar w:fldCharType="begin" w:fldLock="1"/>
      </w:r>
      <w:r w:rsidR="005B0304">
        <w:instrText xml:space="preserve">ADDIN CSL_CITATION {"citationItems":[{"id":"ITEM-1","itemData":{"DOI":"10.1038/nature23681","ISSN":"14764687","PMID":"28905899","abstract":"As a result of the 1987 Montreal Protocol and its amendments, the atmospheric loading of anthropogenic ozone-depleting substances is decreasing. Accordingly, the stratospheric ozone layer is expected to recover. However, short data records and atmospheric variability confound the search for early signs of recovery, and climate change is masking ozone recovery from ozone-depleting substances in some regions and will increasingly affect the extent of recovery. Here we discuss the nature and timescales of ozone recovery, and explore the extent to which it can be currently detected in different atmospheric regions.","author":[{"dropping-particle":"","family":"Chipperfield","given":"Martyn P.","non-dropping-particle":"","parse-names":false,"suffix":""},{"dropping-particle":"","family":"Bekki","given":"Slimane","non-dropping-particle":"","parse-names":false,"suffix":""},{"dropping-particle":"","family":"Dhomse","given":"Sandip","non-dropping-particle":"","parse-names":false,"suffix":""},{"dropping-particle":"","family":"Harris","given":"Neil R.P.","non-dropping-particle":"","parse-names":false,"suffix":""},{"dropping-particle":"","family":"Hassler","given":"Birgit","non-dropping-particle":"","parse-names":false,"suffix":""},{"dropping-particle":"","family":"Hossaini","given":"Ryan","non-dropping-particle":"","parse-names":false,"suffix":""},{"dropping-particle":"","family":"Steinbrecht","given":"Wolfgang","non-dropping-particle":"","parse-names":false,"suffix":""},{"dropping-particle":"","family":"Thiéblemont","given":"Rémi","non-dropping-particle":"","parse-names":false,"suffix":""},{"dropping-particle":"","family":"Weber","given":"Mark","non-dropping-particle":"","parse-names":false,"suffix":""}],"container-title":"Nature","id":"ITEM-1","issue":"7671","issued":{"date-parts":[["2017"]]},"page":"211-218","publisher":"Nature Publishing Group","title":"Detecting recovery of the stratospheric ozone layer","type":"article-journal","volume":"549"},"uris":["http://www.mendeley.com/documents/?uuid=27ebb0a2-7501-4d6c-9f6e-5aa69ea7bc4a"]},{"id":"ITEM-2","itemData":{"DOI":"10.5194/acp-18-8409-2018","ISSN":"16807324","abstract":"We analyse simulations performed for the Chemistry-Climate Model Initiative (CCMI) to estimate the return dates of the stratospheric ozone layer from depletion caused by anthropogenic stratospheric chlorine and bromine. We consider a total of 155 simulations from 20 models, including a range of sensitivity studies which examine the impact of climate change on ozone recovery. For the control simulations (unconstrained by nudging towards analysed meteorology) there is a large spread (±20gDU in the global average) in the predictions of the absolute ozone column. Therefore, the model results need to be adjusted for biases against historical data. Also, the interannual variability in the model results need to be smoothed in order to provide a reasonably narrow estimate of the range of ozone return dates. Consistent with previous studies, but here for a Representative Concentration Pathway (RCP) of 6.0, these new CCMI simulations project that global total column ozone will return to 1980 values in 2049 (with a 1σ uncertainty of 2043-2055). At Southern Hemisphere mid-latitudes column ozone is projected to return to 1980 values in 2045 (2039-2050), and at Northern Hemisphere mid-latitudes in 2032 (2020-2044). In the polar regions, the return dates are 2060 (2055-2066) in the Antarctic in October and 2034 (2025-2043) in the Arctic in March. The earlier return dates in the Northern Hemisphere reflect the larger sensitivity to dynamical changes. Our estimates of return dates are later than those presented in the 2014 Ozone Assessment by approximately 5-17 years, depending on the region, with the previous best estimates often falling outside of our uncertainty range. In the tropics only around half the models predict a return of ozone to 1980 values, around 2040, while the other half do not reach the 1980 value. All models show a negative trend in tropical total column ozone towards the end of the 21st century. The CCMI models generally agree in their simulation of the time evolution of stratospheric chlorine and bromine, which are the main drivers of ozone loss and recovery. However, there are a few outliers which show that the multi-model mean results for ozone recovery are not as tightly constrained as possible. Throughout the stratosphere the spread of ozone return dates to 1980 values between models tends to correlate with the spread of the return of inorganic chlorine to 1980 values. In the upper stratosphere, greenhouse gas-induced cooling speeds up the retu…","author":[{"dropping-particle":"","family":"Dhomse","given":"Sandip S.","non-dropping-particle":"","parse-names":false,"suffix":""},{"dropping-particle":"","family":"Kinnison","given":"Douglas","non-dropping-particle":"","parse-names":false,"suffix":""},{"dropping-particle":"","family":"Chipperfield","given":"Martyn P.","non-dropping-particle":"","parse-names":false,"suffix":""},{"dropping-particle":"","family":"Salawitch","given":"Ross J.","non-dropping-particle":"","parse-names":false,"suffix":""},{"dropping-particle":"","family":"Cionni","given":"Irene","non-dropping-particle":"","parse-names":false,"suffix":""},{"dropping-particle":"","family":"Hegglin","given":"Michaela I.","non-dropping-particle":"","parse-names":false,"suffix":""},{"dropping-particle":"","family":"Abraham","given":"N. Luke","non-dropping-particle":"","parse-names":false,"suffix":""},{"dropping-particle":"","family":"Akiyoshi","given":"Hideharu","non-dropping-particle":"","parse-names":false,"suffix":""},{"dropping-particle":"","family":"Archibald","given":"Alex T.","non-dropping-particle":"","parse-names":false,"suffix":""},{"dropping-particle":"","family":"Bednarz","given":"Ewa M.","non-dropping-particle":"","parse-names":false,"suffix":""},{"dropping-particle":"","family":"Bekki","given":"Slimane","non-dropping-particle":"","parse-names":false,"suffix":""},{"dropping-particle":"","family":"Braesicke","given":"Peter","non-dropping-particle":"","parse-names":false,"suffix":""},{"dropping-particle":"","family":"Butchart","given":"Neal","non-dropping-particle":"","parse-names":false,"suffix":""},{"dropping-particle":"","family":"Dameris","given":"Martin","non-dropping-particle":"","parse-names":false,"suffix":""},{"dropping-particle":"","family":"Deushi","given":"Makoto","non-dropping-particle":"","parse-names":false,"suffix":""},{"dropping-particle":"","family":"Frith","given":"Stacey","non-dropping-particle":"","parse-names":false,"suffix":""},{"dropping-particle":"","family":"Hardiman","given":"Steven C.","non-dropping-particle":"","parse-names":false,"suffix":""},{"dropping-particle":"","family":"Hassler","given":"Birgit","non-dropping-particle":"","parse-names":false,"suffix":""},{"dropping-particle":"","family":"Horowitz","given":"Larry W.","non-dropping-particle":"","parse-names":false,"suffix":""},{"dropping-particle":"","family":"Hu","given":"Rong Ming","non-dropping-particle":"","parse-names":false,"suffix":""},{"dropping-particle":"","family":"Jöckel","given":"Patrick","non-dropping-particle":"","parse-names":false,"suffix":""},{"dropping-particle":"","family":"Josse","given":"Beatrice","non-dropping-particle":"","parse-names":false,"suffix":""},{"dropping-particle":"","family":"Kirner","given":"Oliver","non-dropping-particle":"","parse-names":false,"suffix":""},{"dropping-particle":"","family":"Kremser","given":"Stefanie","non-dropping-particle":"","parse-names":false,"suffix":""},{"dropping-particle":"","family":"Langematz","given":"Ulrike","non-dropping-particle":"","parse-names":false,"suffix":""},{"dropping-particle":"","family":"Lewis","given":"Jared","non-dropping-particle":"","parse-names":false,"suffix":""},{"dropping-particle":"","family":"Marchand","given":"Marion","non-dropping-particle":"","parse-names":false,"suffix":""},{"dropping-particle":"","family":"Lin","given":"Meiyun","non-dropping-particle":"","parse-names":false,"suffix":""},{"dropping-particle":"","family":"Mancini","given":"Eva","non-dropping-particle":"","parse-names":false,"suffix":""},{"dropping-particle":"","family":"Marécal","given":"Virginie","non-dropping-particle":"","parse-names":false,"suffix":""},{"dropping-particle":"","family":"Michou","given":"Martine","non-dropping-particle":"","parse-names":false,"suffix":""},{"dropping-particle":"","family":"Morgenstern","given":"Olaf","non-dropping-particle":"","parse-names":false,"suffix":""},{"dropping-particle":"","family":"O'Connor","given":"Fiona M.","non-dropping-particle":"","parse-names":false,"suffix":""},{"dropping-particle":"","family":"Oman","given":"Luke","non-dropping-particle":"","parse-names":false,"suffix":""},{"dropping-particle":"","family":"Pitari","given":"Giovanni","non-dropping-particle":"","parse-names":false,"suffix":""},{"dropping-particle":"","family":"Plummer","given":"David A.","non-dropping-particle":"","parse-names":false,"suffix":""},{"dropping-particle":"","family":"Pyle","given":"John A.","non-dropping-particle":"","parse-names":false,"suffix":""},{"dropping-particle":"","family":"Revell","given":"Laura E.","non-dropping-particle":"","parse-names":false,"suffix":""},{"dropping-particle":"","family":"Rozanov","given":"Eugene","non-dropping-particle":"","parse-names":false,"suffix":""},{"dropping-particle":"","family":"Schofield","given":"Robyn","non-dropping-particle":"","parse-names":false,"suffix":""},{"dropping-particle":"","family":"Stenke","given":"Andrea","non-dropping-particle":"","parse-names":false,"suffix":""},{"dropping-particle":"","family":"Stone","given":"Kane","non-dropping-particle":"","parse-names":false,"suffix":""},{"dropping-particle":"","family":"Sudo","given":"Kengo","non-dropping-particle":"","parse-names":false,"suffix":""},{"dropping-particle":"","family":"Tilmes","given":"Simone","non-dropping-particle":"","parse-names":false,"suffix":""},{"dropping-particle":"","family":"Visioni","given":"Daniele","non-dropping-particle":"","parse-names":false,"suffix":""},{"dropping-particle":"","family":"Yamashita","given":"Yousuke","non-dropping-particle":"","parse-names":false,"suffix":""},{"dropping-particle":"","family":"Zeng","given":"Guang","non-dropping-particle":"","parse-names":false,"suffix":""}],"container-title":"Atmospheric Chemistry and Physics","id":"ITEM-2","issue":"11","issued":{"date-parts":[["2018"]]},"page":"8409-8438","title":"Estimates of ozone return dates from Chemistry-Climate Model Initiative simulations","type":"article-journal","volume":"18"},"uris":["http://www.mendeley.com/documents/?uuid=1b92c4c2-af87-4cd3-9416-1cf1fcf13db7"]},{"id":"ITEM-3","itemData":{"DOI":"10.5194/acp-21-5015-2021","ISSN":"16807324","abstract":"Stratospheric ozone and water vapour are key components of the Earth system, and past and future changes to both have important impacts on global and regional climate. Here, we evaluate long-term changes in these species from the pre-industrial period (1850) to the end of the 21st century in Coupled Model Intercomparison Project phase 6 (CMIP6) models under a range of future emissions scenarios. There is good agreement between the CMIP multi-model mean and observations for total column ozone (TCO), although there is substantial variation between the individual CMIP6 models. For the CMIP6 multi-model mean, global mean TCO has increased from </w:instrText>
      </w:r>
      <w:r w:rsidR="005B0304">
        <w:rPr>
          <w:rFonts w:ascii="Cambria Math" w:hAnsi="Cambria Math" w:cs="Cambria Math"/>
        </w:rPr>
        <w:instrText>∼</w:instrText>
      </w:r>
      <w:r w:rsidR="005B0304">
        <w:instrText xml:space="preserve">300 DU in 1850 to </w:instrText>
      </w:r>
      <w:r w:rsidR="005B0304">
        <w:rPr>
          <w:rFonts w:ascii="Cambria Math" w:hAnsi="Cambria Math" w:cs="Cambria Math"/>
        </w:rPr>
        <w:instrText>∼</w:instrText>
      </w:r>
      <w:r w:rsidR="005B0304">
        <w:instrText xml:space="preserve"> 305 DU in 1960, before rapidly declining in the 1970s and 1980s following the use and emission of halogenated ozone-depleting substances (ODSs). TCO is projected to return to 1960s values by the middle of the 21st century under the SSP2-4.5, SSP3-7.0, SSP4-3.4, SSP4-6.0, and SSP5-8.5 scenarios, and under the SSP3-7.0 and SSP5-8.5 scenarios TCO values are projected to be </w:instrText>
      </w:r>
      <w:r w:rsidR="005B0304">
        <w:rPr>
          <w:rFonts w:ascii="Cambria Math" w:hAnsi="Cambria Math" w:cs="Cambria Math"/>
        </w:rPr>
        <w:instrText>∼</w:instrText>
      </w:r>
      <w:r w:rsidR="005B0304">
        <w:instrText xml:space="preserve"> 10 DU higher than the 1960s values by 2100. However, under the SSP1-1.9 and SSP1-1.6 scenarios, TCO is not projected to return to the 1960s values despite reductions in halogenated ODSs due to decreases in tropospheric ozone mixing ratios. This global pattern is similar to regional patterns, except in the tropics where TCO under most scenarios is not projected to return to 1960s values, either through reductions in tropospheric ozone under SSP1-1.9 and SSP1-2.6, or through reductions in lower stratospheric ozone resulting from an acceleration of the Brewer-Dobson circulation under other Shared Socioeconomic Pathways (SSPs). In contrast to TCO, there is poorer agreement between the CMIP6 multi-model mean and observed lower stratospheric water vapour mixing ratios, with the CMIP6 multi-model mean underestimating observed water vapour mixing ratios by </w:instrText>
      </w:r>
      <w:r w:rsidR="005B0304">
        <w:rPr>
          <w:rFonts w:ascii="Cambria Math" w:hAnsi="Cambria Math" w:cs="Cambria Math"/>
        </w:rPr>
        <w:instrText>∼</w:instrText>
      </w:r>
      <w:r w:rsidR="005B0304">
        <w:instrText xml:space="preserve"> 0.5 ppmv at 70 hPa. CMIP6 multi-model mean stratospheric water vapour mixing ratios in the tropical lower stratosphere have increased by </w:instrText>
      </w:r>
      <w:r w:rsidR="005B0304">
        <w:rPr>
          <w:rFonts w:ascii="Cambria Math" w:hAnsi="Cambria Math" w:cs="Cambria Math"/>
        </w:rPr>
        <w:instrText>∼</w:instrText>
      </w:r>
      <w:r w:rsidR="005B0304">
        <w:instrText xml:space="preserve"> 0.5 ppmv from the pre-industrial to the present-day period and are projected to increase further by the end of the 21st century. The largest increases (</w:instrText>
      </w:r>
      <w:r w:rsidR="005B0304">
        <w:rPr>
          <w:rFonts w:ascii="Cambria Math" w:hAnsi="Cambria Math" w:cs="Cambria Math"/>
        </w:rPr>
        <w:instrText>∼</w:instrText>
      </w:r>
      <w:r w:rsidR="005B0304">
        <w:instrText xml:space="preserve"> 2 ppmv) are simulated under the future scenarios with the highest assumed forcing pathway (e.g. SSP5-8.5). Tropical lower stratospheric water vapour, and to a lesser extent TCO, shows large variations following explosive volcanic eruptions.","author":[{"dropping-particle":"","family":"Keeble","given":"James","non-dropping-particle":"","parse-names":false,"suffix":""},{"dropping-particle":"","family":"Hassler","given":"Birgit","non-dropping-particle":"","parse-names":false,"suffix":""},{"dropping-particle":"","family":"Banerjee","given":"Antara","non-dropping-particle":"","parse-names":false,"suffix":""},{"dropping-particle":"","family":"Checa-Garcia","given":"Ramiro","non-dropping-particle":"","parse-names":false,"suffix":""},{"dropping-particle":"","family":"Chiodo","given":"Gabriel","non-dropping-particle":"","parse-names":false,"suffix":""},{"dropping-particle":"","family":"Davis","given":"Sean","non-dropping-particle":"","parse-names":false,"suffix":""},{"dropping-particle":"","family":"Eyring","given":"Veronika","non-dropping-particle":"","parse-names":false,"suffix":""},{"dropping-particle":"","family":"Griffiths","given":"Paul T.","non-dropping-particle":"","parse-names":false,"suffix":""},{"dropping-particle":"","family":"Morgenstern","given":"Olaf","non-dropping-particle":"","parse-names":false,"suffix":""},{"dropping-particle":"","family":"Nowack","given":"Peer","non-dropping-particle":"","parse-names":false,"suffix":""},{"dropping-particle":"","family":"Zeng","given":"Guang","non-dropping-particle":"","parse-names":false,"suffix":""},{"dropping-particle":"","family":"Zhang","given":"Jiankai","non-dropping-particle":"","parse-names":false,"suffix":""},{"dropping-particle":"","family":"Bodeker","given":"Greg","non-dropping-particle":"","parse-names":false,"suffix":""},{"dropping-particle":"","family":"Burrows","given":"Susannah","non-dropping-particle":"","parse-names":false,"suffix":""},{"dropping-particle":"","family":"Cameron-Smith","given":"Philip","non-dropping-particle":"","parse-names":false,"suffix":""},{"dropping-particle":"","family":"Cugnet","given":"David","non-dropping-particle":"","parse-names":false,"suffix":""},{"dropping-particle":"","family":"Danek","given":"Christopher","non-dropping-particle":"","parse-names":false,"suffix":""},{"dropping-particle":"","family":"Deushi","given":"Makoto","non-dropping-particle":"","parse-names":false,"suffix":""},{"dropping-particle":"","family":"Horowitz","given":"Larry W.","non-dropping-particle":"","parse-names":false,"suffix":""},{"dropping-particle":"","family":"Kubin","given":"Anne","non-dropping-particle":"","parse-names":false,"suffix":""},{"dropping-particle":"","family":"Li","given":"Lijuan","non-dropping-particle":"","parse-names":false,"suffix":""},{"dropping-particle":"","family":"Lohmann","given":"Gerrit","non-dropping-particle":"","parse-names":false,"suffix":""},{"dropping-particle":"","family":"Michou","given":"Martine","non-dropping-particle":"","parse-names":false,"suffix":""},{"dropping-particle":"","family":"Mills","given":"Michael J.","non-dropping-particle":"","parse-names":false,"suffix":""},{"dropping-particle":"","family":"Nabat","given":"Pierre","non-dropping-particle":"","parse-names":false,"suffix":""},{"dropping-particle":"","family":"Olivié","given":"Dirk","non-dropping-particle":"","parse-names":false,"suffix":""},{"dropping-particle":"","family":"Park","given":"Sungsu","non-dropping-particle":"","parse-names":false,"suffix":""},{"dropping-particle":"","family":"Seland","given":"Øyvind","non-dropping-particle":"","parse-names":false,"suffix":""},{"dropping-particle":"","family":"Stoll","given":"Jens","non-dropping-particle":"","parse-names":false,"suffix":""},{"dropping-particle":"","family":"Wieners","given":"Karl Hermann","non-dropping-particle":"","parse-names":false,"suffix":""},{"dropping-particle":"","family":"Wu","given":"Tongwen","non-dropping-particle":"","parse-names":false,"suffix":""}],"container-title":"Atmospheric Chemistry and Physics","id":"ITEM-3","issue":"6","issued":{"date-parts":[["2021"]]},"page":"5015-5061","title":"Evaluating stratospheric ozone and water vapour changes in CMIP6 models from 1850 to 2100","type":"article-journal","volume":"21"},"uris":["http://www.mendeley.com/documents/?uuid=1c8eb3d7-ff8b-4e6f-ae79-6686541d61fe"]},{"id":"ITEM-4","itemData":{"ISBN":"978-9914-733-97-6","author":[{"dropping-particle":"","family":"WMO","given":"","non-dropping-particle":"","parse-names":false,"suffix":""}],"id":"ITEM-4","issued":{"date-parts":[["2022"]]},"publisher":"World Meteorological Organization","publisher-place":"Geneva, Switzerland","title":"Scientific Assessment of Ozone Depletion: Global Ozone Research and Monitoring Project -- GAW Report no. 278","type":"book"},"uris":["http://www.mendeley.com/documents/?uuid=f0f14e12-4ad3-434c-bfd0-5202ce9a0a84"]}],"mendeley":{"formattedCitation":"(Chipperfield et al., 2017; Dhomse et al., 2018; Keeble et al., 2021; WMO, 2022)","plainTextFormattedCitation":"(Chipperfield et al., 2017; Dhomse et al., 2018; Keeble et al., 2021; WMO, 2022)","previouslyFormattedCitation":"(Chipperfield et al., 2017; Dhomse et al., 2018; Keeble et al., 2021; WMO, 2022)"},"properties":{"noteIndex":0},"schema":"https://github.com/citation-style-language/schema/raw/master/csl-citation.json"}</w:instrText>
      </w:r>
      <w:r w:rsidR="005B0304">
        <w:fldChar w:fldCharType="separate"/>
      </w:r>
      <w:r w:rsidR="005B0304" w:rsidRPr="005B0304">
        <w:rPr>
          <w:noProof/>
        </w:rPr>
        <w:t>(Chipperfield et al., 2017; Dhomse et al., 2018; Keeble et al., 2021; WMO, 2022)</w:t>
      </w:r>
      <w:r w:rsidR="005B0304">
        <w:fldChar w:fldCharType="end"/>
      </w:r>
      <w:r>
        <w:t xml:space="preserve">. </w:t>
      </w:r>
    </w:p>
    <w:p w14:paraId="780712BF" w14:textId="6D9B30FF" w:rsidR="00814700" w:rsidRDefault="006D0001">
      <w:pPr>
        <w:pStyle w:val="TextoNormal"/>
      </w:pPr>
      <w:r>
        <w:t xml:space="preserve">The recovery of </w:t>
      </w:r>
      <w:proofErr w:type="gramStart"/>
      <w:r>
        <w:t>ozone</w:t>
      </w:r>
      <w:proofErr w:type="gramEnd"/>
      <w:r>
        <w:t xml:space="preserve"> is not only affected by the decline of ODS concentrations, but also by the increase of greenhouse gases (GHG). The GHG-induced stratospheric cooling slows down temperature-dependent catalytic ozone loss reactions and thus increases ozone, especially in the upper stratosphere </w:t>
      </w:r>
      <w:r>
        <w:fldChar w:fldCharType="begin" w:fldLock="1"/>
      </w:r>
      <w:r w:rsidR="00731574">
        <w:instrText>ADDIN CSL_CITATION {"citationItems":[{"id":"ITEM-1","itemData":{"DOI":"10.1029/2010JD014362","ISSN":"01480227","abstract":"The evolution of stratospheric ozone from 1960 to 2100 is examined in simulations from 14 chemistry-climate models, driven by prescribed levels of halogens and greenhouse gases. There is general agreement among the models that total column ozone reached a minimum around year 2000 at all latitudes, projected to be followed by an increase over the first half of the 21st century. In the second half of the 21st century, ozone is projected to continue increasing, level off, or even decrease depending on the latitude. Separation into partial columns above and below 20 hPa reveals that these latitudinal differences are almost completely caused by differences in the model projections of ozone in the lower stratosphere. At all latitudes, upper stratospheric ozone increases throughout the 21st century and is projected to return to 1960 levels well before the end of the century, although there is a spread among models in the dates that ozone returns to specific historical values. We find decreasing halogens and declining upper atmospheric temperatures, driven by increasing greenhouse gases, contribute almost equally to increases in upper stratospheric ozone. In the tropical lower stratosphere, an increase in upwelling causes a steady decrease in ozone through the 21st century, and total column ozone does not return to 1960 levels in most of the models. In contrast, lower stratospheric and total column ozone in middle and high latitudes increases during the 21st century, returning to 1960 levels well before the end of the century in most models. Copyright 2010 by the American Geophysical Union.","author":[{"dropping-particle":"","family":"Oman","given":"L. D.","non-dropping-particle":"","parse-names":false,"suffix":""},{"dropping-particle":"","family":"Plummer","given":"D. A.","non-dropping-particle":"","parse-names":false,"suffix":""},{"dropping-particle":"","family":"Waugh","given":"D. W.","non-dropping-particle":"","parse-names":false,"suffix":""},{"dropping-particle":"","family":"Austin","given":"J.","non-dropping-particle":"","parse-names":false,"suffix":""},{"dropping-particle":"","family":"Scinocca","given":"J. F.","non-dropping-particle":"","parse-names":false,"suffix":""},{"dropping-particle":"","family":"Douglass","given":"A. R.","non-dropping-particle":"","parse-names":false,"suffix":""},{"dropping-particle":"","family":"Salawitch","given":"R. J.","non-dropping-particle":"","parse-names":false,"suffix":""},{"dropping-particle":"","family":"Canty","given":"T.","non-dropping-particle":"","parse-names":false,"suffix":""},{"dropping-particle":"","family":"Akiyoshi","given":"H.","non-dropping-particle":"","parse-names":false,"suffix":""},{"dropping-particle":"","family":"Bekki","given":"S.","non-dropping-particle":"","parse-names":false,"suffix":""},{"dropping-particle":"","family":"Braesicke","given":"P.","non-dropping-particle":"","parse-names":false,"suffix":""},{"dropping-particle":"","family":"Butchart","given":"N.","non-dropping-particle":"","parse-names":false,"suffix":""},{"dropping-particle":"","family":"Chipperfield","given":"M. P.","non-dropping-particle":"","parse-names":false,"suffix":""},{"dropping-particle":"","family":"Cugnet","given":"D.","non-dropping-particle":"","parse-names":false,"suffix":""},{"dropping-particle":"","family":"Dhomse","given":"S.","non-dropping-particle":"","parse-names":false,"suffix":""},{"dropping-particle":"","family":"Eyring","given":"V.","non-dropping-particle":"","parse-names":false,"suffix":""},{"dropping-particle":"","family":"Frith","given":"S.","non-dropping-particle":"","parse-names":false,"suffix":""},{"dropping-particle":"","family":"Hardiman","given":"S. C.","non-dropping-particle":"","parse-names":false,"suffix":""},{"dropping-particle":"","family":"Kinnison","given":"D. E.","non-dropping-particle":"","parse-names":false,"suffix":""},{"dropping-particle":"","family":"Lamarque","given":"J. F.","non-dropping-particle":"","parse-names":false,"suffix":""},{"dropping-particle":"","family":"Mancini","given":"E.","non-dropping-particle":"","parse-names":false,"suffix":""},{"dropping-particle":"","family":"Marchand","given":"M.","non-dropping-particle":"","parse-names":false,"suffix":""},{"dropping-particle":"","family":"Michou","given":"M.","non-dropping-particle":"","parse-names":false,"suffix":""},{"dropping-particle":"","family":"Morgenstern","given":"O.","non-dropping-particle":"","parse-names":false,"suffix":""},{"dropping-particle":"","family":"Nakamura","given":"T.","non-dropping-particle":"","parse-names":false,"suffix":""},{"dropping-particle":"","family":"Nielsen","given":"J. E.","non-dropping-particle":"","parse-names":false,"suffix":""},{"dropping-particle":"","family":"Olivié","given":"D.","non-dropping-particle":"","parse-names":false,"suffix":""},{"dropping-particle":"","family":"Pitari","given":"G.","non-dropping-particle":"","parse-names":false,"suffix":""},{"dropping-particle":"","family":"Pyle","given":"J.","non-dropping-particle":"","parse-names":false,"suffix":""},{"dropping-particle":"","family":"Rozanov","given":"E.","non-dropping-particle":"","parse-names":false,"suffix":""},{"dropping-particle":"","family":"Shepherd","given":"T. G.","non-dropping-particle":"","parse-names":false,"suffix":""},{"dropping-particle":"","family":"Shibata","given":"K.","non-dropping-particle":"","parse-names":false,"suffix":""},{"dropping-particle":"","family":"Stolarski","given":"R. S.","non-dropping-particle":"","parse-names":false,"suffix":""},{"dropping-particle":"","family":"Teyssèdre","given":"H.","non-dropping-particle":"","parse-names":false,"suffix":""},{"dropping-particle":"","family":"Tian","given":"W.","non-dropping-particle":"","parse-names":false,"suffix":""},{"dropping-particle":"","family":"Yamashita","given":"Y.","non-dropping-particle":"","parse-names":false,"suffix":""},{"dropping-particle":"","family":"Ziemke","given":"J. R.","non-dropping-particle":"","parse-names":false,"suffix":""}],"container-title":"Journal of Geophysical Research Atmospheres","id":"ITEM-1","issue":"24","issued":{"date-parts":[["2010"]]},"page":"1-21","title":"Multimodel assessment of the factors driving stratospheric ozone evolution over the 21st century","type":"article-journal","volume":"115"},"uris":["http://www.mendeley.com/documents/?uuid=3683339d-4135-4865-8d20-1b96dbc33751"]},{"id":"ITEM-2","itemData":{"DOI":"10.1126/science.240.4852.634","ISSN":"00368075","abstract":"The stratospheric concentration of trace gases released in the atmosphere as a result of human activities is increasing at a rate of 5 to 8 percent per year in the case of the chlorofluorocarbons (CFCs), 1 percent per year in the case of methane (CH4), and 0.25 percent per year in the case of nitrous oxide (N2O). The amount of carbon dioxide (CO2) is expected to double before the end of the 21st century. Even if the production of the CFCs remains limited according to the protocol for the protection of the ozone layer signed in September 1987 in Montreal, the abundance of active chlorine (2 parts per billion by volume in the early 1980s) is expected to reach 6 to 7 parts per billion by volume by 2050. The impact of these increases on stratospheric temperature and ozone was investigated with a two-dimensional numerical model. The model indudes interactive radiation, wave and mean flow dynamics, and 40 trace species. An increase in CFCs caused ozone depletion in the model, with the largest losses near the stratopause and, in the vertical mean, at high latitudes. Increased CO2 caused ozone amounts to increase through cooling, with the largest increases again near 45 kilometers and at high latitudes. This CO2-induced poleward increase reduced the CFC-induced poleward decrease. Poleward and downward ozone transport played a major role in determining the latitudinal variation in column ozone changes.","author":[{"dropping-particle":"","family":"Brasseur","given":"Guy","non-dropping-particle":"","parse-names":false,"suffix":""},{"dropping-particle":"","family":"Hitchman","given":"Mathew H.","non-dropping-particle":"","parse-names":false,"suffix":""}],"container-title":"Science","id":"ITEM-2","issue":"4852","issued":{"date-parts":[["1988"]]},"page":"634-637","title":"Stratospheric response to trace gas perturbations: Changes in ozone and temperature distributions","type":"article-journal","volume":"240"},"uris":["http://www.mendeley.com/documents/?uuid=57418620-ffa8-4d67-81e4-097255d10acf"]}],"mendeley":{"formattedCitation":"(Brasseur &amp; Hitchman, 1988; Oman et al., 2010)","plainTextFormattedCitation":"(Brasseur &amp; Hitchman, 1988; Oman et al., 2010)","previouslyFormattedCitation":"(Brasseur &amp; Hitchman, 1988; Oman et al., 2010)"},"properties":{"noteIndex":0},"schema":"https://github.com/citation-style-language/schema/raw/master/csl-citation.json"}</w:instrText>
      </w:r>
      <w:r>
        <w:fldChar w:fldCharType="separate"/>
      </w:r>
      <w:r>
        <w:rPr>
          <w:noProof/>
        </w:rPr>
        <w:t>(Brasseur &amp; Hitchman, 1988; Oman et al., 2010)</w:t>
      </w:r>
      <w:r>
        <w:fldChar w:fldCharType="end"/>
      </w:r>
      <w:r>
        <w:t xml:space="preserve">. Moreover, increasing anthropogenic GHG emissions accelerates the stratospheric residual circulation </w:t>
      </w:r>
      <w:r>
        <w:fldChar w:fldCharType="begin" w:fldLock="1"/>
      </w:r>
      <w:r>
        <w:instrText>ADDIN CSL_CITATION {"citationItems":[{"id":"ITEM-1","itemData":{"DOI":"10.1002/2013RG000448","ISSN":"19449208","abstract":"One of the more robust results of greenhouse gas-induced climate change to emerge from chemistry-climate and climate model projections in the last decade is, depending on the greenhouse gas scenario, an ∼2.0–3.2% per decade acceleration of the global mass circulation of tropospheric air through the stratosphere. This circulation is generally known as the Brewer-Dobson circulation and is characterized by tropospheric air rising into the stratosphere in the Tropics, moving poleward before descending in the middle and high latitudes. The circulation is, however, poorly constrained by observations, and many fundamental questions about it remain. In this review, historical developments in observations, theory, and models describing the Brewer-Dobson circulation are presented along with a reexamination of the basis of the current understanding of the Brewer-Dobson circulation and the mechanisms driving it and its response to climate change. Impacts of anthropogenically driven changes in the Brewer-Dobson circulation are also reviewed.","author":[{"dropping-particle":"","family":"Butchart","given":"Neal","non-dropping-particle":"","parse-names":false,"suffix":""}],"container-title":"Reviews of Geophysics","id":"ITEM-1","issue":"2","issued":{"date-parts":[["2014"]]},"page":"157-184","title":"The Brewer-Dobson circulation","type":"article-journal","volume":"52"},"uris":["http://www.mendeley.com/documents/?uuid=43a8ad04-c682-43a6-b5e3-ea9192925877"]},{"id":"ITEM-2","itemData":{"DOI":"10.5194/acp-21-13571-2021","ISSN":"16807324","abstract":"The Brewer-Dobson circulation (BDC) is a key feature of the stratosphere that models need to accurately represent in order to simulate surface climate variability and change adequately. For the first time, the Climate Model Intercomparison Project includes in its phase 6 (CMIP6) a set of diagnostics that allow for careful evaluation of the BDC. Here, the BDC is evaluated against observations and reanalyses using historical simulations. CMIP6 results confirm the well-known inconsistency in the sign of BDC trends between observations and models in the middle and upper stratosphere. Nevertheless, the large uncertainty in the observational trend estimates opens the door to compatibility. In particular, when accounting for the limited sampling of the observations, model and observational trend error bars overlap in 40g% of the simulations with available output. The increasing CO2 simulations feature an acceleration of the BDC but reveal a large spread in the middle-To-upper stratospheric trends, possibly related to the parameterized gravity wave forcing. The very close connection between the shallow branch of the residual circulation and surface temperature is highlighted, which is absent in the deep branch. The trends in mean age of air are shown to be more robust throughout the stratosphere than those in the residual circulation.","author":[{"dropping-particle":"","family":"Abalos","given":"Marta","non-dropping-particle":"","parse-names":false,"suffix":""},{"dropping-particle":"","family":"Calvo","given":"Natalia","non-dropping-particle":"","parse-names":false,"suffix":""},{"dropping-particle":"","family":"Benito-Barca","given":"Samuel","non-dropping-particle":"","parse-names":false,"suffix":""},{"dropping-particle":"","family":"Garny","given":"Hella","non-dropping-particle":"","parse-names":false,"suffix":""},{"dropping-particle":"","family":"Hardiman","given":"Steven C.","non-dropping-particle":"","parse-names":false,"suffix":""},{"dropping-particle":"","family":"Lin","given":"Pu","non-dropping-particle":"","parse-names":false,"suffix":""},{"dropping-particle":"","family":"Andrews","given":"Martin B.","non-dropping-particle":"","parse-names":false,"suffix":""},{"dropping-particle":"","family":"Butchart","given":"Neal","non-dropping-particle":"","parse-names":false,"suffix":""},{"dropping-particle":"","family":"Garcia","given":"Rolando","non-dropping-particle":"","parse-names":false,"suffix":""},{"dropping-particle":"","family":"Orbe","given":"Clara","non-dropping-particle":"","parse-names":false,"suffix":""},{"dropping-particle":"","family":"Saint-Martin","given":"David","non-dropping-particle":"","parse-names":false,"suffix":""},{"dropping-particle":"","family":"Watanabe","given":"Shingo","non-dropping-particle":"","parse-names":false,"suffix":""},{"dropping-particle":"","family":"Yoshida","given":"Kohei","non-dropping-particle":"","parse-names":false,"suffix":""}],"container-title":"Atmospheric Chemistry and Physics","id":"ITEM-2","issue":"17","issued":{"date-parts":[["2021"]]},"page":"13571-13591","title":"The Brewer-Dobson circulation in CMIP6","type":"article-journal","volume":"21"},"uris":["http://www.mendeley.com/documents/?uuid=a2086109-14c6-4e8d-86d9-94bd83b26ac3"]}],"mendeley":{"formattedCitation":"(Abalos et al., 2021; Butchart, 2014)","plainTextFormattedCitation":"(Abalos et al., 2021; Butchart, 2014)","previouslyFormattedCitation":"(Abalos et al., 2021; Butchart, 2014)"},"properties":{"noteIndex":0},"schema":"https://github.com/citation-style-language/schema/raw/master/csl-citation.json"}</w:instrText>
      </w:r>
      <w:r>
        <w:fldChar w:fldCharType="separate"/>
      </w:r>
      <w:r>
        <w:rPr>
          <w:noProof/>
        </w:rPr>
        <w:t>(Abalos et al., 2021; Butchart, 2014)</w:t>
      </w:r>
      <w:r>
        <w:fldChar w:fldCharType="end"/>
      </w:r>
      <w:r>
        <w:t>, enhancing ozone transport from the tropical lower stratosphere to higher latitudes. In addition to the dependence on ODS and GHGs, recent studies have reported a non-negligible future contribution of very short-lived halogens substances (VSLS) in the tropical lower stratosphere</w:t>
      </w:r>
      <w:r w:rsidR="003A0D1A">
        <w:t xml:space="preserve"> </w:t>
      </w:r>
      <w:r w:rsidR="00CC7076">
        <w:fldChar w:fldCharType="begin" w:fldLock="1"/>
      </w:r>
      <w:r w:rsidR="00595F6F">
        <w:instrText>ADDIN CSL_CITATION {"citationItems":[{"id":"ITEM-1","itemData":{"DOI":"10.1038/s41558-023-01671-y","ISSN":"17586798","abstract":"In contrast to the general stratospheric ozone recovery following international agreements, recent observations show an ongoing net ozone depletion in the tropical lower stratosphere (LS). This depletion is thought to be driven by dynamical transport accelerated by global warming, while chemical processes have been considered to be unimportant. Here we use a chemistry–climate model to demonstrate that halogenated ozone-depleting very short-lived substances (VSLS) chemistry may account for around a quarter of the observed tropical LS negative ozone trend in 1998–2018. VSLS sources include both natural and anthropogenic emissions. Future projections show the persistence of the currently unaccounted for contribution of VSLS to ozone loss throughout the twenty-first century in the tropical LS, the only region of the global stratosphere not projecting an ozone recovery by 2100. Our results show the need for mitigation strategies of anthropogenic VSLS emissions to preserve the present and future ozone layer in low latitudes.","author":[{"dropping-particle":"","family":"Villamayor","given":"Julián","non-dropping-particle":"","parse-names":false,"suffix":""},{"dropping-particle":"","family":"Iglesias-Suarez","given":"Fernando","non-dropping-particle":"","parse-names":false,"suffix":""},{"dropping-particle":"","family":"Cuevas","given":"Carlos A.","non-dropping-particle":"","parse-names":false,"suffix":""},{"dropping-particle":"","family":"Fernandez","given":"Rafael P.","non-dropping-particle":"","parse-names":false,"suffix":""},{"dropping-particle":"","family":"Li","given":"Qinyi","non-dropping-particle":"","parse-names":false,"suffix":""},{"dropping-particle":"","family":"Abalos","given":"Marta","non-dropping-particle":"","parse-names":false,"suffix":""},{"dropping-particle":"","family":"Hossaini","given":"Ryan","non-dropping-particle":"","parse-names":false,"suffix":""},{"dropping-particle":"","family":"Chipperfield","given":"Martyn P.","non-dropping-particle":"","parse-names":false,"suffix":""},{"dropping-particle":"","family":"Kinnison","given":"Douglas E.","non-dropping-particle":"","parse-names":false,"suffix":""},{"dropping-particle":"","family":"Tilmes","given":"Simone","non-dropping-particle":"","parse-names":false,"suffix":""},{"dropping-particle":"","family":"Lamarque","given":"Jean François","non-dropping-particle":"","parse-names":false,"suffix":""},{"dropping-particle":"","family":"Saiz-Lopez","given":"Alfonso","non-dropping-particle":"","parse-names":false,"suffix":""}],"container-title":"Nature Climate Change","id":"ITEM-1","issue":"6","issued":{"date-parts":[["2023"]]},"page":"554-560","publisher":"Springer US","title":"Very short-lived halogens amplify ozone depletion trends in the tropical lower stratosphere","type":"article-journal","volume":"13"},"uris":["http://www.mendeley.com/documents/?uuid=3fa23678-7149-4a56-8117-f1e502b7e679"]}],"mendeley":{"formattedCitation":"(Villamayor et al., 2023)","plainTextFormattedCitation":"(Villamayor et al., 2023)","previouslyFormattedCitation":"(Villamayor et al., 2023)"},"properties":{"noteIndex":0},"schema":"https://github.com/citation-style-language/schema/raw/master/csl-citation.json"}</w:instrText>
      </w:r>
      <w:r w:rsidR="00CC7076">
        <w:fldChar w:fldCharType="separate"/>
      </w:r>
      <w:r w:rsidR="00CC7076" w:rsidRPr="00CC7076">
        <w:rPr>
          <w:noProof/>
        </w:rPr>
        <w:t>(Villamayor et al., 2023)</w:t>
      </w:r>
      <w:r w:rsidR="00CC7076">
        <w:fldChar w:fldCharType="end"/>
      </w:r>
      <w:r w:rsidR="00CC7076">
        <w:t>.</w:t>
      </w:r>
      <w:r w:rsidR="003A0D1A">
        <w:t xml:space="preserve"> </w:t>
      </w:r>
    </w:p>
    <w:p w14:paraId="31FD40FD" w14:textId="76E80C3E" w:rsidR="00B87C1E" w:rsidRDefault="006D0001" w:rsidP="00897D4B">
      <w:pPr>
        <w:pStyle w:val="TextoNormal"/>
      </w:pPr>
      <w:r>
        <w:t xml:space="preserve">In recent years, motivated by the turnaround of the ODS concentration in the mid-90s, several studies have looked for signs of recovery of the ozone layer. Indeed, total column ozone (TCO) recovery over Antarctica has already been detected during austral spring </w:t>
      </w:r>
      <w:r>
        <w:fldChar w:fldCharType="begin" w:fldLock="1"/>
      </w:r>
      <w:r w:rsidR="00731574">
        <w:instrText>ADDIN CSL_CITATION {"citationItems":[{"id":"ITEM-1","itemData":{"DOI":"10.1126/science.aae0061","ISSN":"0036-8075","abstract":"The Antarctic ozone hole is finally showing signs of disappearing, nearly 30 years after the Montreal Protocol came into effect. The Montreal Protocol, an international treaty that phased out the production of many of the human-made compounds responsible for stratospheric ozone destruction, is widely considered to be the most important and successful international environmental agreement. For years, it has slowed the rate of stratospheric ozone depletion, and now there are signs that the ozone abundance over Antarctica has begun to increase. Solomon et al. present observational data and model results to illustrate the trends and diagnose their causes.","author":[{"dropping-particle":"","family":"Solomon","given":"Susan","non-dropping-particle":"","parse-names":false,"suffix":""},{"dropping-particle":"","family":"Ivy","given":"Diane J","non-dropping-particle":"","parse-names":false,"suffix":""},{"dropping-particle":"","family":"Kinnison","given":"Doug","non-dropping-particle":"","parse-names":false,"suffix":""},{"dropping-particle":"","family":"Mills","given":"Michael J","non-dropping-particle":"","parse-names":false,"suffix":""},{"dropping-particle":"","family":"Neely","given":"Ryan R.","non-dropping-particle":"","parse-names":false,"suffix":""},{"dropping-particle":"","family":"Schmidt","given":"Anja","non-dropping-particle":"","parse-names":false,"suffix":""}],"container-title":"Science","id":"ITEM-1","issue":"6296","issued":{"date-parts":[["2016","7","15"]]},"page":"269-274","title":"Emergence of healing in the Antarctic ozone layer","type":"article-journal","volume":"353"},"uris":["http://www.mendeley.com/documents/?uuid=752c3da0-36c3-473d-9c1e-ace45be25610"]},{"id":"ITEM-2","itemData":{"author":[{"dropping-particle":"","family":"Pazmiño","given":"Andrea","non-dropping-particle":"","parse-names":false,"suffix":""},{"dropping-particle":"","family":"Godin-beekmann","given":"Sophie","non-dropping-particle":"","parse-names":false,"suffix":""},{"dropping-particle":"","family":"Hauchecorne","given":"Alain","non-dropping-particle":"","parse-names":false,"suffix":""},{"dropping-particle":"","family":"Claud","given":"Chantal","non-dropping-particle":"","parse-names":false,"suffix":""},{"dropping-particle":"","family":"Khaykin","given":"Sergey","non-dropping-particle":"","parse-names":false,"suffix":""},{"dropping-particle":"","family":"Goutail","given":"Florence","non-dropping-particle":"","parse-names":false,"suffix":""},{"dropping-particle":"","family":"Wolfram","given":"Elian","non-dropping-particle":"","parse-names":false,"suffix":""},{"dropping-particle":"","family":"Salvador","given":"Jacobo","non-dropping-particle":"","parse-names":false,"suffix":""},{"dropping-particle":"","family":"Quel","given":"Eduardo","non-dropping-particle":"","parse-names":false,"suffix":""}],"id":"ITEM-2","issued":{"date-parts":[["2018"]]},"page":"7557-7572","title":"Multiple symptoms of total ozone recovery inside the Antarctic vortex during austral spring","type":"article-journal"},"uris":["http://www.mendeley.com/documents/?uuid=11f29eb9-e918-4de9-a31d-fd448502186d"]}],"mendeley":{"formattedCitation":"(Pazmiño et al., 2018; Solomon et al., 2016)","plainTextFormattedCitation":"(Pazmiño et al., 2018; Solomon et al., 2016)","previouslyFormattedCitation":"(Pazmiño et al., 2018; Solomon et al., 2016)"},"properties":{"noteIndex":0},"schema":"https://github.com/citation-style-language/schema/raw/master/csl-citation.json"}</w:instrText>
      </w:r>
      <w:r>
        <w:fldChar w:fldCharType="separate"/>
      </w:r>
      <w:r>
        <w:rPr>
          <w:noProof/>
        </w:rPr>
        <w:t>(Pazmiño et al., 2018; Solomon et al., 2016)</w:t>
      </w:r>
      <w:r>
        <w:fldChar w:fldCharType="end"/>
      </w:r>
      <w:r>
        <w:t xml:space="preserve"> and, very recently, </w:t>
      </w:r>
      <w:r>
        <w:fldChar w:fldCharType="begin" w:fldLock="1"/>
      </w:r>
      <w:r>
        <w:instrText>ADDIN CSL_CITATION {"citationItems":[{"id":"ITEM-1","itemData":{"DOI":"10.5194/acp-22-6843-2022","ISSN":"16807324","abstract":"We report on updated trends using different merged zonal mean total ozone datasets from satellite and ground-based observations for the period from 1979 to 2020. This work is an update of the trends reported in using the same datasets up to 2016. Merged datasets used in this study include NASA MOD v8.7 and NOAA Cohesive Data (COH) v8.6, both based on data from the series of Solar Backscatter Ultraviolet (SBUV), SBUV-2, and Ozone Mapping and Profiler Suite (OMPS) satellite instruments (1978-present), as well as the Global Ozone Monitoring Experiment (GOME)-type Total Ozone - Essential Climate Variable (GTO-ECV) and GOME-SCIAMACHY-GOME-2 (GSG) merged datasets (both 1995-present), mainly comprising satellite data from GOME, SCIAMACHY, OMI, GOME-2A, GOME-2B, and TROPOMI. The fifth dataset consists of the annual mean zonal mean data from ground-based measurements collected at the World Ozone and Ultraviolet Radiation Data Centre (WOUDC). Trends were determined by applying a multiple linear regression (MLR) to annual mean zonal mean data. The addition of 4 more years consolidated the fact that total ozone is indeed slowly recovering in both hemispheres as a result of phasing out ozone-depleting substances (ODSs) as mandated by the Montreal Protocol. The near-global (60ggS-60ggN) ODS-related ozone trend of the median of all datasets after 1995 was 0.4g±g0.2 (2σ)g%/decade, which is roughly a third of the decreasing rate of 1.5g±g0.6g%/decade from 1978 until 1995. The ratio of decline and increase is nearly identical to that of the EESC (equivalent effective stratospheric chlorine or stratospheric halogen) change rates before and after 1995, confirming the success of the Montreal Protocol. The observed total ozone time series are also in very good agreement with the median of 17 chemistry climate models from CCMI-1 (Chemistry-Climate Model Initiative Phase 1) with current ODS and GHG (greenhouse gas) scenarios (REF-C2 scenario). The positive ODS-related trends in the Northern Hemisphere (NH) after 1995 are only obtained with a sufficient number of terms in the MLR accounting properly for dynamical ozone changes (Brewer-Dobson circulation, Arctic Oscillation (AO), and Antarctic Oscillation (AAO)). A standard MLR (limited to solar, Quasi-Biennial Oscillation (QBO), volcanic, and El Niño-Southern Oscillation (ENSO)) leads to zero trends, showing that the small positive ODS-related trends have been balanced by negative trend contributions from atmospheric dynamics, …","author":[{"dropping-particle":"","family":"Weber","given":"Mark","non-dropping-particle":"","parse-names":false,"suffix":""},{"dropping-particle":"","family":"Arosio","given":"Carlo","non-dropping-particle":"","parse-names":false,"suffix":""},{"dropping-particle":"","family":"Coldewey-Egbers","given":"Melanie","non-dropping-particle":"","parse-names":false,"suffix":""},{"dropping-particle":"","family":"Fioletov","given":"Vitali E.","non-dropping-particle":"","parse-names":false,"suffix":""},{"dropping-particle":"","family":"Frith","given":"Stacey M.","non-dropping-particle":"","parse-names":false,"suffix":""},{"dropping-particle":"","family":"Wild","given":"Jeannette D.","non-dropping-particle":"","parse-names":false,"suffix":""},{"dropping-particle":"","family":"Tourpali","given":"Kleareti","non-dropping-particle":"","parse-names":false,"suffix":""},{"dropping-particle":"","family":"Burrows","given":"John P.","non-dropping-particle":"","parse-names":false,"suffix":""},{"dropping-particle":"","family":"Loyola","given":"Diego","non-dropping-particle":"","parse-names":false,"suffix":""}],"container-title":"Atmospheric Chemistry and Physics","id":"ITEM-1","issue":"10","issued":{"date-parts":[["2022"]]},"page":"6843-6859","title":"Global total ozone recovery trends attributed to ozone-depleting substance (ODS) changes derived from five merged ozone datasets","type":"article-journal","volume":"22"},"uris":["http://www.mendeley.com/documents/?uuid=f571f47f-475a-4541-88da-0b0799af6e65"]}],"mendeley":{"formattedCitation":"(Weber et al., 2022)","manualFormatting":"Weber et al. (2022)","plainTextFormattedCitation":"(Weber et al., 2022)","previouslyFormattedCitation":"(Weber et al., 2022)"},"properties":{"noteIndex":0},"schema":"https://github.com/citation-style-language/schema/raw/master/csl-citation.json"}</w:instrText>
      </w:r>
      <w:r>
        <w:fldChar w:fldCharType="separate"/>
      </w:r>
      <w:r>
        <w:rPr>
          <w:noProof/>
        </w:rPr>
        <w:t>Weber et al. (2022)</w:t>
      </w:r>
      <w:r>
        <w:fldChar w:fldCharType="end"/>
      </w:r>
      <w:r>
        <w:t xml:space="preserve"> showed that the near-global (60°N – 60°S) TCO trend is on the verge of a statistically significant increase. In contrast, TCO trends in northern mid-latitudes and tropics are not significant despite the increase of ozone in the troposphere </w:t>
      </w:r>
      <w:r>
        <w:fldChar w:fldCharType="begin" w:fldLock="1"/>
      </w:r>
      <w:r>
        <w:instrText>ADDIN CSL_CITATION {"citationItems":[{"id":"ITEM-1","itemData":{"DOI":"10.5194/acp-18-1379-2018","ISSN":"16807324","abstract":"Ozone forms in the Earth's atmosphere from the photodissociation of molecular oxygen, primarily in the tropical stratosphere. It is then transported to the extratropics by the Brewer-Dobson circulation (BDC), forming a protective \"ozone layer\" around the globe. Human emissions of halogen-containing ozone-depleting substances (hODSs) led to a decline in stratospheric ozone until they were banned by the Montreal Protocol, and since 1998 ozone in the upper stratosphere is rising again, likely the recovery from halogeninduced losses. Total column measurements of ozone between the Earth's surface and the top of the atmosphere indicate that the ozone layer has stopped declining across the globe, but no clear increase has been observed at latitudes between 60 S and 60 N outside the polar regions (60-90°). Here we report evidence from multiple satellite measurements that ozone in the lower stratosphere between 60° S and 60° N has indeed continued to decline since 1998. We find that, even though upper stratospheric ozone is recovering, the continuing downward trend in the lower stratosphere prevails, resulting in a downward trend in stratospheric column ozone between 60° S and 60° N. We find that total column ozone between 60° S and 60° N appears not to have decreased only because of increases in tropospheric column ozone that compensate for the stratospheric decreases. The reasons for the continued reduction of lower stratospheric ozone are not clear; models do not reproduce these trends, and thus the causes now urgently need to be established.","author":[{"dropping-particle":"","family":"Ball","given":"William T.","non-dropping-particle":"","parse-names":false,"suffix":""},{"dropping-particle":"","family":"Alsing","given":"Justin","non-dropping-particle":"","parse-names":false,"suffix":""},{"dropping-particle":"","family":"Mortlock","given":"Daniel J.","non-dropping-particle":"","parse-names":false,"suffix":""},{"dropping-particle":"","family":"Staehelin","given":"Johannes","non-dropping-particle":"","parse-names":false,"suffix":""},{"dropping-particle":"","family":"Haigh","given":"Joanna D.","non-dropping-particle":"","parse-names":false,"suffix":""},{"dropping-particle":"","family":"Peter","given":"Thomas","non-dropping-particle":"","parse-names":false,"suffix":""},{"dropping-particle":"","family":"Tummon","given":"Fiona","non-dropping-particle":"","parse-names":false,"suffix":""},{"dropping-particle":"","family":"Stübi","given":"Rene","non-dropping-particle":"","parse-names":false,"suffix":""},{"dropping-particle":"","family":"Stenke","given":"Andrea","non-dropping-particle":"","parse-names":false,"suffix":""},{"dropping-particle":"","family":"Anderson","given":"John","non-dropping-particle":"","parse-names":false,"suffix":""},{"dropping-particle":"","family":"Bourassa","given":"Adam","non-dropping-particle":"","parse-names":false,"suffix":""},{"dropping-particle":"","family":"Davis","given":"Sean M.","non-dropping-particle":"","parse-names":false,"suffix":""},{"dropping-particle":"","family":"Degenstein","given":"Doug","non-dropping-particle":"","parse-names":false,"suffix":""},{"dropping-particle":"","family":"Frith","given":"Stacey","non-dropping-particle":"","parse-names":false,"suffix":""},{"dropping-particle":"","family":"Froidevaux","given":"Lucien","non-dropping-particle":"","parse-names":false,"suffix":""},{"dropping-particle":"","family":"Roth","given":"Chris","non-dropping-particle":"","parse-names":false,"suffix":""},{"dropping-particle":"","family":"Sofieva","given":"Viktoria","non-dropping-particle":"","parse-names":false,"suffix":""},{"dropping-particle":"","family":"Wang","given":"Ray","non-dropping-particle":"","parse-names":false,"suffix":""},{"dropping-particle":"","family":"Wild","given":"Jeannette","non-dropping-particle":"","parse-names":false,"suffix":""},{"dropping-particle":"","family":"Yu","given":"Pengfei","non-dropping-particle":"","parse-names":false,"suffix":""},{"dropping-particle":"","family":"Ziemke","given":"Jerald R.","non-dropping-particle":"","parse-names":false,"suffix":""},{"dropping-particle":"V.","family":"Rozanov","given":"Eugene","non-dropping-particle":"","parse-names":false,"suffix":""}],"container-title":"Atmospheric Chemistry and Physics","id":"ITEM-1","issue":"2","issued":{"date-parts":[["2018"]]},"page":"1379-1394","title":"Evidence for a continuous decline in lower stratospheric ozone offsetting ozone layer recovery","type":"article-journal","volume":"18"},"uris":["http://www.mendeley.com/documents/?uuid=9113353a-99b1-4c75-b972-efdfd7481a81"]},{"id":"ITEM-2","itemData":{"DOI":"10.5194/acp-19-3257-2019","ISSN":"16807324","abstract":"Past studies have suggested that ozone in the troposphere has increased globally throughout much of the 20th century due to increases in anthropogenic emissions and transport. We show, by combining satellite measurements with a chemical transport model, that during the last four decades tropospheric ozone does indeed indicate increases that are global in nature, yet still highly regional. Satellite ozone measurements from Nimbus-7 and Earth Probe Total Ozone Mapping Spectrometer (TOMS) are merged with ozone measurements from the Aura Ozone Monitoring Instrument/Microwave Limb Sounder (OMI/MLS) to determine trends in tropospheric ozone for 1979-2016. Both TOMS (1979-2005) and OMI/MLS (2005-2016) depict large increases in tropospheric ozone from the Near East to India and East Asia and further eastward over the Pacific Ocean. The 38-year merged satellite record shows total net change over this region of about C6 to C7 Dobson units (DU) (i.e., ∼ 15 %-20%of average background ozone), with the largest increase (∼ 4 DU) occurring during the 2005- 2016 Aura period. The Global Modeling Initiative (GMI) chemical transport model with time-varying emissions is used to aid in the interpretation of tropospheric ozone trends for 1980-2016. The GMI simulation for the combined record also depicts the greatest increases of C6 to C7DU over India and East Asia, very similar to the satellite measurements. In regions of significant increases in tropospheric column ozone (TCO) the trends are a factor of 2-2.5 larger for the Aura record when compared to the earlier TOMS record; for India and East Asia the trends in TCO for both GMI and satellite measurements are ∼ +3DUdecade-1 or greater during 2005-2016 compared to about C1:2 to C1:4DUdecade-1 for 1979-2005. The GMI simulation and satellite data also reveal a tropospheric ozone increases in ∼ +4 to C5DU for the 38-year record over central Africa and the tropical Atlantic Ocean. Both the GMI simulation and satellitemeasured tropospheric ozone during the latter Aura time period show increases of ∼ +3DUdecade-1 over the N Atlantic and NE Pacific.","author":[{"dropping-particle":"","family":"Ziemke","given":"Jerry R.","non-dropping-particle":"","parse-names":false,"suffix":""},{"dropping-particle":"","family":"Oman","given":"Luke D.","non-dropping-particle":"","parse-names":false,"suffix":""},{"dropping-particle":"","family":"Strode","given":"Sarah A.","non-dropping-particle":"","parse-names":false,"suffix":""},{"dropping-particle":"","family":"Douglass","given":"Anne R.","non-dropping-particle":"","parse-names":false,"suffix":""},{"dropping-particle":"","family":"Olsen","given":"Mark A.","non-dropping-particle":"","parse-names":false,"suffix":""},{"dropping-particle":"","family":"McPeters","given":"Richard D.","non-dropping-particle":"","parse-names":false,"suffix":""},{"dropping-particle":"","family":"Bhartia","given":"Pawan K.","non-dropping-particle":"","parse-names":false,"suffix":""},{"dropping-particle":"","family":"Froidevaux","given":"Lucien","non-dropping-particle":"","parse-names":false,"suffix":""},{"dropping-particle":"","family":"Labow","given":"Gordon J.","non-dropping-particle":"","parse-names":false,"suffix":""},{"dropping-particle":"","family":"Witte","given":"Jacquie C.","non-dropping-particle":"","parse-names":false,"suffix":""},{"dropping-particle":"","family":"Thompson","given":"Anne M.","non-dropping-particle":"","parse-names":false,"suffix":""},{"dropping-particle":"","family":"Haffner","given":"David P.","non-dropping-particle":"","parse-names":false,"suffix":""},{"dropping-particle":"","family":"Kramarova","given":"Natalya A.","non-dropping-particle":"","parse-names":false,"suffix":""},{"dropping-particle":"","family":"Frith","given":"Stacey M.","non-dropping-particle":"","parse-names":false,"suffix":""},{"dropping-particle":"","family":"Huang","given":"Liang Kang","non-dropping-particle":"","parse-names":false,"suffix":""},{"dropping-particle":"","family":"Jaross","given":"Glen R.","non-dropping-particle":"","parse-names":false,"suffix":""},{"dropping-particle":"","family":"Seftor","given":"Colin J.","non-dropping-particle":"","parse-names":false,"suffix":""},{"dropping-particle":"","family":"Deland","given":"Mathew T.","non-dropping-particle":"","parse-names":false,"suffix":""},{"dropping-particle":"","family":"Taylor","given":"Steven L.","non-dropping-particle":"","parse-names":false,"suffix":""}],"container-title":"Atmospheric Chemistry and Physics","id":"ITEM-2","issue":"5","issued":{"date-parts":[["2019"]]},"page":"3257-3269","title":"Trends in global tropospheric ozone inferred from a composite record of TOMS/OMI/MLS/OMPS satellite measurements and the MERRA-2 GMI simulation","type":"article-journal","volume":"19"},"uris":["http://www.mendeley.com/documents/?uuid=62868d5a-b28e-44d4-a5a8-76cc04427180"]},{"id":"ITEM-3","itemData":{"DOI":"10.1126/sciadv.aba8272","ISSN":"23752548","PMID":"32937364","abstract":"Tropospheric ozone is an important greenhouse gas, is detrimental to human health and crop and ecosystem productivity, and controls the oxidizing capacity of the troposphere. Because of its high spatial and temporal variability and limited observations, quantifying net tropospheric ozone changes across the Northern Hemisphere on time scales of two decades had not been possible. Here, we show, using newly available observations from an extensive commercial aircraft monitoring network, that tropospheric ozone has increased above 11 regions of the Northern Hemisphere since the mid-1990s, consistent with the OMI/MLS satellite product. The net result of shifting anthropogenic ozone precursor emissions has led to an increase of ozone and its radiative forcing above all 11 study regions of the Northern Hemisphere, despite NOx emission reductions at midlatitudes.","author":[{"dropping-particle":"","family":"Gaudel","given":"Audrey","non-dropping-particle":"","parse-names":false,"suffix":""},{"dropping-particle":"","family":"Cooper","given":"Owen R.","non-dropping-particle":"","parse-names":false,"suffix":""},{"dropping-particle":"","family":"Chang","given":"Kai Lan","non-dropping-particle":"","parse-names":false,"suffix":""},{"dropping-particle":"","family":"Bourgeois","given":"Ilann","non-dropping-particle":"","parse-names":false,"suffix":""},{"dropping-particle":"","family":"Ziemke","given":"Jerry R.","non-dropping-particle":"","parse-names":false,"suffix":""},{"dropping-particle":"","family":"Strode","given":"Sarah A.","non-dropping-particle":"","parse-names":false,"suffix":""},{"dropping-particle":"","family":"Oman","given":"Luke D.","non-dropping-particle":"","parse-names":false,"suffix":""},{"dropping-particle":"","family":"Sellitto","given":"Pasquale","non-dropping-particle":"","parse-names":false,"suffix":""},{"dropping-particle":"","family":"Nédélec","given":"Philippe","non-dropping-particle":"","parse-names":false,"suffix":""},{"dropping-particle":"","family":"Blot","given":"Romain","non-dropping-particle":"","parse-names":false,"suffix":""},{"dropping-particle":"","family":"Thouret","given":"Valérie","non-dropping-particle":"","parse-names":false,"suffix":""},{"dropping-particle":"","family":"Granier","given":"Claire","non-dropping-particle":"","parse-names":false,"suffix":""}],"container-title":"Science Advances","id":"ITEM-3","issue":"34","issued":{"date-parts":[["2020"]]},"page":"1-11","title":"Aircraft observations since the 1990s reveal increases of tropospheric ozone at multiple locations across the Northern Hemisphere","type":"article-journal","volume":"6"},"uris":["http://www.mendeley.com/documents/?uuid=e808549a-7604-4a64-bbb6-e72f2d641312"]},{"id":"ITEM-4","itemData":{"DOI":"10.1029/2020GL089184","ISSN":"19448007","abstract":"We investigate the contributions of emission changes from 10 world regions, as well as the global methane concentration change, on the global tropospheric ozone burden change from 1980 to 2010. The modeled global tropospheric ozone burden has increased by 28.1 Tg, with 26.7% (7.5 Tg) of this change attributed to the global methane increase. Southeast Asia (5.6 Tg) and South Asia (4.0) contribute comparably to the global ozone burden change as East Asia (5.6), even though NOx emission increases in each region are less than one-third of those in East Asia, highlighting the greater sensitivity of global ozone to these regions. Emission decreases from North America, Europe, and Former Soviet Union have led to ozone burden decreases of 2.8, 1.0, and 0.3 Tg. The greater sensitivity of the global ozone burden to emission changes in tropical and subtropical regions emphasizes the importance of controlling emissions in these regions for global ozone.","author":[{"dropping-particle":"","family":"Zhang","given":"Yuqiang","non-dropping-particle":"","parse-names":false,"suffix":""},{"dropping-particle":"","family":"West","given":"J. Jason","non-dropping-particle":"","parse-names":false,"suffix":""},{"dropping-particle":"","family":"Emmons","given":"Louisa K.","non-dropping-particle":"","parse-names":false,"suffix":""},{"dropping-particle":"","family":"Flemming","given":"Johannes","non-dropping-particle":"","parse-names":false,"suffix":""},{"dropping-particle":"","family":"Jonson","given":"Jan Eiof","non-dropping-particle":"","parse-names":false,"suffix":""},{"dropping-particle":"","family":"Lund","given":"Marianne T.","non-dropping-particle":"","parse-names":false,"suffix":""},{"dropping-particle":"","family":"Sekiya","given":"Takashi","non-dropping-particle":"","parse-names":false,"suffix":""},{"dropping-particle":"","family":"Sudo","given":"Kengo","non-dropping-particle":"","parse-names":false,"suffix":""},{"dropping-particle":"","family":"Gaudel","given":"Audrey","non-dropping-particle":"","parse-names":false,"suffix":""},{"dropping-particle":"","family":"Chang","given":"Kai Lan","non-dropping-particle":"","parse-names":false,"suffix":""},{"dropping-particle":"","family":"Nédélec","given":"Philippe","non-dropping-particle":"","parse-names":false,"suffix":""},{"dropping-particle":"","family":"Thouret","given":"Valérie","non-dropping-particle":"","parse-names":false,"suffix":""}],"container-title":"Geophysical Research Letters","id":"ITEM-4","issue":"1","issued":{"date-parts":[["2021"]]},"page":"1-12","title":"Contributions of World Regions to the Global Tropospheric Ozone Burden Change From 1980 to 2010","type":"article-journal","volume":"48"},"uris":["http://www.mendeley.com/documents/?uuid=e55fa3cc-4e70-4a54-b0c8-9ef8c9535bbe"]}],"mendeley":{"formattedCitation":"(Ball et al., 2018; Gaudel et al., 2020; Zhang et al., 2021; Ziemke et al., 2019)","plainTextFormattedCitation":"(Ball et al., 2018; Gaudel et al., 2020; Zhang et al., 2021; Ziemke et al., 2019)","previouslyFormattedCitation":"(Ball et al., 2018; Gaudel et al., 2020; Zhang et al., 2021; Ziemke et al., 2019)"},"properties":{"noteIndex":0},"schema":"https://github.com/citation-style-language/schema/raw/master/csl-citation.json"}</w:instrText>
      </w:r>
      <w:r>
        <w:fldChar w:fldCharType="separate"/>
      </w:r>
      <w:r>
        <w:rPr>
          <w:noProof/>
        </w:rPr>
        <w:t>(Ball et al., 2018; Gaudel et al., 2020; Zhang et al., 2021; Ziemke et al., 2019)</w:t>
      </w:r>
      <w:r>
        <w:fldChar w:fldCharType="end"/>
      </w:r>
      <w:r>
        <w:t xml:space="preserve"> and upper stratosphere </w:t>
      </w:r>
      <w:r>
        <w:fldChar w:fldCharType="begin" w:fldLock="1"/>
      </w:r>
      <w:r>
        <w:instrText>ADDIN CSL_CITATION {"citationItems":[{"id":"ITEM-1","itemData":{"DOI":"10.5194/acp-17-10675-2017","ISSN":"16807324","abstract":"Ozone profile trends over the period 2000 to 2016 from several merged satellite ozone data sets and from ground-based data measured by four techniques at stations of the Network for the Detection of Atmospheric Composition Change indicate significant ozone increases in the upper stratosphere, between 35 and 48ĝ€km altitude (5 and 1ĝ€hPa). Near 2ĝ€hPa (42ĝ€km), ozone has been increasing by about 1.5ĝ€% per decade in the tropics (20°ĝ€S to 20°ĝ€N), and by 2 to 2.5ĝ€% per decade in the 35 to 60° latitude bands of both hemispheres. At levels below 35ĝ€km (5ĝ€hPa), 2000 to 2016 ozone trends are smaller and not statistically significant. The observed trend profiles are consistent with expectations from chemistry climate model simulations. This study confirms positive trends of upper stratospheric ozone already reported, e.g., in the WMO/UNEP Ozone Assessment 2014 or by Harris et al. (2015). Compared to those studies, three to four additional years of observations, updated and improved data sets with reduced drift, and the fact that nearly all individual data sets indicate ozone increase in the upper stratosphere, all give enhanced confidence. Uncertainties have been reduced, for example for the trend near 2ĝ€hPa in the 35 to 60° latitude bands from about ±5ĝ€% (2&lt;i&gt;σ&lt;/i&gt;) in Harris et al. (2015) to less than ±2ĝ€% (2&lt;i&gt;σ&lt;/i&gt;). Nevertheless, a thorough analysis of possible drifts and differences between various data sources is still required, as is a detailed attribution of the observed increases to declining ozone-depleting substances and to stratospheric cooling. Ongoing quality observations from multiple independent platforms are key for verifying that recovery of the ozone layer continues as expected.","author":[{"dropping-particle":"","family":"Steinbrecht","given":"Wolfgang","non-dropping-particle":"","parse-names":false,"suffix":""},{"dropping-particle":"","family":"Froidevaux","given":"Lucien","non-dropping-particle":"","parse-names":false,"suffix":""},{"dropping-particle":"","family":"Fuller","given":"Ryan","non-dropping-particle":"","parse-names":false,"suffix":""},{"dropping-particle":"","family":"Wang","given":"Ray","non-dropping-particle":"","parse-names":false,"suffix":""},{"dropping-particle":"","family":"Anderson","given":"John","non-dropping-particle":"","parse-names":false,"suffix":""},{"dropping-particle":"","family":"Roth","given":"Chris","non-dropping-particle":"","parse-names":false,"suffix":""},{"dropping-particle":"","family":"Bourassa","given":"Adam","non-dropping-particle":"","parse-names":false,"suffix":""},{"dropping-particle":"","family":"Degenstein","given":"Doug","non-dropping-particle":"","parse-names":false,"suffix":""},{"dropping-particle":"","family":"Damadeo","given":"Robert","non-dropping-particle":"","parse-names":false,"suffix":""},{"dropping-particle":"","family":"Zawodny","given":"Joe","non-dropping-particle":"","parse-names":false,"suffix":""},{"dropping-particle":"","family":"Frith","given":"Stacey","non-dropping-particle":"","parse-names":false,"suffix":""},{"dropping-particle":"","family":"McPeters","given":"Richard","non-dropping-particle":"","parse-names":false,"suffix":""},{"dropping-particle":"","family":"Bhartia","given":"Pawan","non-dropping-particle":"","parse-names":false,"suffix":""},{"dropping-particle":"","family":"Wild","given":"Jeannette","non-dropping-particle":"","parse-names":false,"suffix":""},{"dropping-particle":"","family":"Long","given":"Craig","non-dropping-particle":"","parse-names":false,"suffix":""},{"dropping-particle":"","family":"Davis","given":"Sean","non-dropping-particle":"","parse-names":false,"suffix":""},{"dropping-particle":"","family":"Rosenlof","given":"Karen","non-dropping-particle":"","parse-names":false,"suffix":""},{"dropping-particle":"","family":"Sofieva","given":"Viktoria","non-dropping-particle":"","parse-names":false,"suffix":""},{"dropping-particle":"","family":"Walker","given":"Kaley","non-dropping-particle":"","parse-names":false,"suffix":""},{"dropping-particle":"","family":"Rahpoe","given":"Nabiz","non-dropping-particle":"","parse-names":false,"suffix":""},{"dropping-particle":"","family":"Rozanov","given":"Alexei","non-dropping-particle":"","parse-names":false,"suffix":""},{"dropping-particle":"","family":"Weber","given":"Mark","non-dropping-particle":"","parse-names":false,"suffix":""},{"dropping-particle":"","family":"Laeng","given":"Alexandra","non-dropping-particle":"","parse-names":false,"suffix":""},{"dropping-particle":"","family":"Clarmann","given":"Thomas","non-dropping-particle":"Von","parse-names":false,"suffix":""},{"dropping-particle":"","family":"Stiller","given":"Gabriele","non-dropping-particle":"","parse-names":false,"suffix":""},{"dropping-particle":"","family":"Kramarova","given":"Natalya","non-dropping-particle":"","parse-names":false,"suffix":""},{"dropping-particle":"","family":"Godin-Beekmann","given":"Sophie","non-dropping-particle":"","parse-names":false,"suffix":""},{"dropping-particle":"","family":"Leblanc","given":"Thierry","non-dropping-particle":"","parse-names":false,"suffix":""},{"dropping-particle":"","family":"Querel","given":"Richard","non-dropping-particle":"","parse-names":false,"suffix":""},{"dropping-particle":"","family":"Swart","given":"Daan","non-dropping-particle":"","parse-names":false,"suffix":""},{"dropping-particle":"","family":"Boyd","given":"Ian","non-dropping-particle":"","parse-names":false,"suffix":""},{"dropping-particle":"","family":"Hocke","given":"Klemens","non-dropping-particle":"","parse-names":false,"suffix":""},{"dropping-particle":"","family":"Kämpfer","given":"Niklaus","non-dropping-particle":"","parse-names":false,"suffix":""},{"dropping-particle":"","family":"Maillard Barras","given":"Eliane","non-dropping-particle":"","parse-names":false,"suffix":""},{"dropping-particle":"","family":"Moreira","given":"Lorena","non-dropping-particle":"","parse-names":false,"suffix":""},{"dropping-particle":"","family":"Nedoluha","given":"Gerald","non-dropping-particle":"","parse-names":false,"suffix":""},{"dropping-particle":"","family":"Vigouroux","given":"Corinne","non-dropping-particle":"","parse-names":false,"suffix":""},{"dropping-particle":"","family":"Blumenstock","given":"Thomas","non-dropping-particle":"","parse-names":false,"suffix":""},{"dropping-particle":"","family":"Schneider","given":"Matthias","non-dropping-particle":"","parse-names":false,"suffix":""},{"dropping-particle":"","family":"García","given":"Omaira","non-dropping-particle":"","parse-names":false,"suffix":""},{"dropping-particle":"","family":"Jones","given":"Nicholas","non-dropping-particle":"","parse-names":false,"suffix":""},{"dropping-particle":"","family":"Mahieu","given":"Emmanuel","non-dropping-particle":"","parse-names":false,"suffix":""},{"dropping-particle":"","family":"Smale","given":"Dan","non-dropping-particle":"","parse-names":false,"suffix":""},{"dropping-particle":"","family":"Kotkamp","given":"Michael","non-dropping-particle":"","parse-names":false,"suffix":""},{"dropping-particle":"","family":"Robinson","given":"John","non-dropping-particle":"","parse-names":false,"suffix":""},{"dropping-particle":"","family":"Petropavlovskikh","given":"Irina","non-dropping-particle":"","parse-names":false,"suffix":""},{"dropping-particle":"","family":"Harris","given":"Neil","non-dropping-particle":"","parse-names":false,"suffix":""},{"dropping-particle":"","family":"Hassler","given":"Birgit","non-dropping-particle":"","parse-names":false,"suffix":""},{"dropping-particle":"","family":"Hubert","given":"Daan","non-dropping-particle":"","parse-names":false,"suffix":""},{"dropping-particle":"","family":"Tummon","given":"Fiona","non-dropping-particle":"","parse-names":false,"suffix":""}],"container-title":"Atmospheric Chemistry and Physics","id":"ITEM-1","issue":"17","issued":{"date-parts":[["2017"]]},"page":"10675-10690","title":"An update on ozone profile trends for the period 2000 to 2016","type":"article-journal","volume":"17"},"uris":["http://www.mendeley.com/documents/?uuid=157fbca5-bed3-4599-9af4-bcf891c84175"]},{"id":"ITEM-2","itemData":{"abstract":"This Report summarises the main results obtained during the first year of the LOTUS activity, which was targeted at providing timely inputs to the 2018 WMO/UNEP Ozone Assessment. This deadline defined the scope of this Report and focused the LOTUS activities primarily on changes in ozone levels in the middle and the upper stratosphere outside the polar regions as observed by merged satellite records. These studies were complemented by an analysis of ground-based data and recent model data provided by the CCMI (Morgenstern et al., 2017). The short timeline of this work necessitated leaving several pressing topics for the second phase of LOTUS, most notably: the significance of recent trends in the lower stratosphere, the attribution of trends to ODSs and GHGs using model data, and estimates of trends in the polar regions.","author":[{"dropping-particle":"","family":"Petropavlovskikh","given":"I","non-dropping-particle":"","parse-names":false,"suffix":""},{"dropping-particle":"","family":"Hubert","given":"D","non-dropping-particle":"","parse-names":false,"suffix":""},{"dropping-particle":"","family":"Damadeo","given":"R","non-dropping-particle":"","parse-names":false,"suffix":""},{"dropping-particle":"","family":"Hassler","given":"B","non-dropping-particle":"","parse-names":false,"suffix":""},{"dropping-particle":"","family":"Sofieva","given":"V","non-dropping-particle":"","parse-names":false,"suffix":""}],"container-title":"Sparc/Io3C/Gaw","id":"ITEM-2","issue":"9","issued":{"date-parts":[["2019"]]},"title":"SPARC/IO3C/GAW report on Long-term Ozone Trends and Uncertainties in the Stratosphere","type":"article-journal"},"uris":["http://www.mendeley.com/documents/?uuid=1964c0e0-bbd8-41b8-a6ea-71223d9f7527"]},{"id":"ITEM-3","itemData":{"DOI":"10.5194/acp-20-9737-2020","ISSN":"16807324","abstract":"The stratospheric ozone layer shields surface life from harmful ultraviolet radiation. Following the Montreal Protocol ban on long-lived ozone-depleting substances (ODSs), rapid depletion of total column ozone (TCO) ceased in the late 1990s, and ozone above 32 km is now clearly recovering. However, there is still no confirmation of TCO recovery, and evidence has emerged that ongoing quasiglobal (60° S-60° N) lower stratospheric ozone decreases may be responsible, dominated by low latitudes (30° S-30° N). Chemistry-climate models (CCMs) used to project future changes predict that lower stratospheric ozone will decrease in the tropics by 2100 but not at mid-latitudes (30-60°). Here, we show that CCMs display an ozone decline similar to that observed in the tropics over 1998-2016, likely driven by an increase in tropical upwelling. On the other hand, mid-latitude lower stratospheric ozone is observed to decrease, while CCMs that specify real-world historical meteorological fields instead show an increase up to present day. However, these cannot be used to simulate future changes; we demonstrate here that free-running CCMs used for projections also show increases. Despite opposing lower stratospheric ozone changes, which should induce opposite temperature trends, CCMs and observed temperature trends agree; we demonstrate that opposing model-observation stratospheric water vapour (SWV) trends, and their associated radiative effects, explain why temperature changes agree in spite of opposing ozone trends. We provide new evidence that the observed mid-latitude trends can be explained by enhanced mixing between the tropics and extratropics. We further show that the temperature trends are consistent with the observed mid-latitude ozone decrease. Together, our results suggest that large-scale circulation changes expected in the future from increased greenhouse gases (GHGs) may now already be underway but that most CCMs do not simulate mid-latitude ozone layer changes well. However, it is important to emphasise that the periods considered here are short, and internal variability that is both intrinsic to each CCM and different to observed historical variability is not well-characterised and can influence trend estimates. Nevertheless, the reason CCMs do not exhibit the observed changes needs to be identified to allow models to be improved in order to build confidence in future projections of the ozone layer.","author":[{"dropping-particle":"","family":"Ball","given":"William T.","non-dropping-particle":"","parse-names":false,"suffix":""},{"dropping-particle":"","family":"Chiodo","given":"Gabriel","non-dropping-particle":"","parse-names":false,"suffix":""},{"dropping-particle":"","family":"Abalos","given":"Marta","non-dropping-particle":"","parse-names":false,"suffix":""},{"dropping-particle":"","family":"Alsing","given":"Justin","non-dropping-particle":"","parse-names":false,"suffix":""},{"dropping-particle":"","family":"Stenke","given":"Andrea","non-dropping-particle":"","parse-names":false,"suffix":""}],"container-title":"Atmospheric Chemistry and Physics","id":"ITEM-3","issue":"16","issued":{"date-parts":[["2020"]]},"page":"9737-9752","title":"Inconsistencies between chemistry-climate models and observed lower stratospheric ozone trends since 1998","type":"article-journal","volume":"20"},"uris":["http://www.mendeley.com/documents/?uuid=346213e5-65bd-436f-8cce-d599ab85d8f5"]},{"id":"ITEM-4","itemData":{"DOI":"10.5194/acp-21-6811-2021","ISSN":"16807324","abstract":"Recent observations show a significant decrease in lower-stratospheric (LS) ozone concentrations in tropical and mid-latitude regions since 1998. By analysing 31 chemistry climate model (CCM) simulations performed for the Chemistry Climate Model Initiative (CCMI; Morgenstern et al., 2017), we find a large spread in the 1998 2018 trend patterns between different CCMs and between different realizations performed with the same CCM. The latter in particular indicates that natural variability strongly influences LS ozone trends. However none of the model simulations reproduce the observed ozone trend structure of coherent negative trends in the LS. In contrast to the observations, most models show an LS trend pattern with negative trends in the tropics (20 S 20 N) and positive trends in the northern mid-latitudes (30 50 N) or vice versa. To investigate the influence of natural variability on recent LS ozone trends, we analyse the sensitivity of observational trends and the models trend probability distributions for varying periods with start dates from 1995 to 2001 and end dates from 2013 to 2019. Generally, modelled and observed LS trends remain robust for these different periods; however observational data show a change towards weaker mid-latitude trends for certain periods, likely forced by natural variability. Moreover we show that in the tropics the observed trends agree well with the models trend distribution, whereas in the mid-latitudes the observational trend is typically an extreme value of the models distribution. We further investigate the LS ozone trends for extended periods reaching into the future and find that all models develop a positive ozone trend at mid-latitudes, and the trends converge to constant values by the period that spans 1998 2060. Inter-model correlations between ozone trends and transport-circulation trends confirm the dominant role of greenhouse gas (GHG)-driven tropical upwelling enhancement on the tropical LS ozone decrease. Mid-latitude ozone, on the other hand, appears to be influenced by multiple competing factors: an enhancement in the shallow branch decreases ozone, while an enhancement in the deep branch increases ozone, and, furthermore, mixing plays a role here too. Sensitivity simulations with fixed forcing of GHGs or ozonedepleting substances (ODSs) reveal that the GHG-driven increase in circulation strength does not lead to a net trend in LS mid-latitude column ozone. Rather, the positive ozone trends simulated …","author":[{"dropping-particle":"","family":"Dietmüller","given":"Simone","non-dropping-particle":"","parse-names":false,"suffix":""},{"dropping-particle":"","family":"Garny","given":"Hella","non-dropping-particle":"","parse-names":false,"suffix":""},{"dropping-particle":"","family":"Eichinger","given":"Roland","non-dropping-particle":"","parse-names":false,"suffix":""},{"dropping-particle":"","family":"T. Ball","given":"William","non-dropping-particle":"","parse-names":false,"suffix":""}],"container-title":"Atmospheric Chemistry and Physics","id":"ITEM-4","issue":"9","issued":{"date-parts":[["2021"]]},"page":"6811-6837","title":"Analysis of recent lower-stratospheric ozone trends in chemistry climate models","type":"article-journal","volume":"21"},"uris":["http://www.mendeley.com/documents/?uuid=ec470fca-7eb9-49d7-bc91-23f50bb0652a"]},{"id":"ITEM-5","itemData":{"DOI":"10.5194/acp-22-11657-2022","ISSN":"16807324","abstract":"This study presents an updated evaluation of stratospheric ozone profile trends in the 60°S-60°N latitude range over the 2000-2020 period using an updated version of the Long-term Ozone Trends and Uncertainties in the Stratosphere (LOTUS) regression model that was used to evaluate such trends up to 2016 for the last WMO Ozone Assessment (2018). In addition to the derivation of detailed trends as a function of latitude and vertical coordinates, the regressions are performed with the datasets averaged over broad latitude bands, i.e. 60-35°S, 20°S-20°N and 35-60°N. The same methodology as in the last assessment is applied to combine trends in these broad latitude bands in order to compare the results with the previous studies. Longitudinally resolved merged satellite records are also considered in order to provide a better comparison with trends retrieved from ground-based records, e.g. lidar, ozonesondes, Umkehr, microwave and Fourier transform infrared (FTIR) spectrometers at selected stations where long-term time series are available. The study includes a comparison with trends derived from the REF-C2 simulations of the Chemistry Climate Model Initiative (CCMI-1). This work confirms past results showing an ozone increase in the upper stratosphere, which is now significant in the three broad latitude bands. The increase is largest in the Northern and Southern Hemisphere midlatitudes, with ∼2.2 ± 0.7 % per decade at ∼2.1 hPa and ∼2.1 ± 0.6 % per decade at ∼3.2 hPa respectively compared to ∼1.6 ± 0.6 % per decade at ∼2.6 hPa in the tropics. New trend signals have emerged from the records, such as a significant decrease in ozone in the tropics around 35 hPa and a non-significant increase in ozone in the southern midlatitudes at about 20 hPa. Non-significant negative ozone trends are derived in the lowermost stratosphere, with the most pronounced trends in the tropics. While a very good agreement is obtained between trends from merged satellite records and the CCMI-1 REF-C2 simulation in the upper stratosphere, observed negative trends in the lower stratosphere are not reproduced by models at southern and, in particular, at northern midlatitudes, where models report an ozone increase. However, the lower-stratospheric trend uncertainties are quite large, for both measured and modelled trends. Finally, 2000-2020 stratospheric ozone trends derived from the ground-based and longitudinally resolved satellite records are in reasonable agreement over the European A…","author":[{"dropping-particle":"","family":"Godin-Beekmann","given":"Sophie","non-dropping-particle":"","parse-names":false,"suffix":""},{"dropping-particle":"","family":"Azouz","given":"Niramson","non-dropping-particle":"","parse-names":false,"suffix":""},{"dropping-particle":"","family":"Sofieva","given":"Viktoria F.","non-dropping-particle":"","parse-names":false,"suffix":""},{"dropping-particle":"","family":"Hubert","given":"Daan","non-dropping-particle":"","parse-names":false,"suffix":""},{"dropping-particle":"","family":"Petropavlovskikh","given":"Irina","non-dropping-particle":"","parse-names":false,"suffix":""},{"dropping-particle":"","family":"Effertz","given":"Peter","non-dropping-particle":"","parse-names":false,"suffix":""},{"dropping-particle":"","family":"Ancellet","given":"Gérard","non-dropping-particle":"","parse-names":false,"suffix":""},{"dropping-particle":"","family":"Degenstein","given":"Doug A.","non-dropping-particle":"","parse-names":false,"suffix":""},{"dropping-particle":"","family":"Zawada","given":"Daniel","non-dropping-particle":"","parse-names":false,"suffix":""},{"dropping-particle":"","family":"Froidevaux","given":"Lucien","non-dropping-particle":"","parse-names":false,"suffix":""},{"dropping-particle":"","family":"Frith","given":"Stacey","non-dropping-particle":"","parse-names":false,"suffix":""},{"dropping-particle":"","family":"Wild","given":"Jeannette","non-dropping-particle":"","parse-names":false,"suffix":""},{"dropping-particle":"","family":"Davis","given":"Sean","non-dropping-particle":"","parse-names":false,"suffix":""},{"dropping-particle":"","family":"Steinbrecht","given":"Wolfgang","non-dropping-particle":"","parse-names":false,"suffix":""},{"dropping-particle":"","family":"Leblanc","given":"Thierry","non-dropping-particle":"","parse-names":false,"suffix":""},{"dropping-particle":"","family":"Querel","given":"Richard","non-dropping-particle":"","parse-names":false,"suffix":""},{"dropping-particle":"","family":"Tourpali","given":"Kleareti","non-dropping-particle":"","parse-names":false,"suffix":""},{"dropping-particle":"","family":"Damadeo","given":"Robert","non-dropping-particle":"","parse-names":false,"suffix":""},{"dropping-particle":"","family":"Maillard Barras","given":"Eliane","non-dropping-particle":"","parse-names":false,"suffix":""},{"dropping-particle":"","family":"Stübi","given":"René","non-dropping-particle":"","parse-names":false,"suffix":""},{"dropping-particle":"","family":"Vigouroux","given":"Corinne","non-dropping-particle":"","parse-names":false,"suffix":""},{"dropping-particle":"","family":"Arosio","given":"Carlo","non-dropping-particle":"","parse-names":false,"suffix":""},{"dropping-particle":"","family":"Nedoluha","given":"Gerald","non-dropping-particle":"","parse-names":false,"suffix":""},{"dropping-particle":"","family":"Boyd","given":"Ian","non-dropping-particle":"","parse-names":false,"suffix":""},{</w:instrText>
      </w:r>
      <w:r w:rsidRPr="00E532EB">
        <w:rPr>
          <w:lang w:val="de-DE"/>
        </w:rPr>
        <w:instrText>"dropping-particle":"","family":"Malderen","given":"Roeland","non-dropping-particle":"Van","parse-names":false,"suffix":""},{"dropping-particle":"","family":"Mahieu","given":"Emmanuel","non-dropping-particle":"","parse-names":false,"suffix":""},{"dropping-particle":"","family":"Smale","given":"Dan","non-dropping-particle":"","parse-names":false,"suffix":""},{"dropping-particle":"","family":"Sussmann","given":"Ralf","non-dropping-particle":"","parse-names":false,"suffix":""}],"container-title":"Atmospheric Chemistry and Physics","id":"ITEM-5","issue":"17","issued":{"date-parts":[["2022"]]},"page":"11657-11673","title":"Updated trends of the stratospheric ozone vertical distribution in the 60°S-60°N latitude range based on the LOTUS regression model","type":"article-journal","volume":"22"},"uris":["http://www.mendeley.com/documents/?uuid=c98edd9b-77c7-4ba1-8706-3ca116073912"]}],"mendeley":{"formattedCitation":"(Ball et al., 2020; Dietmüller et al., 2021; Godin-Beekmann et al., 2022; Petropavlovskikh et al., 2019; Steinbrecht et al., 2017)","plainTextFormattedCitation":"(Ball et al., 2020; Dietmüller et al., 2021; Godin-Beekmann et al., 2022; Petropavlovskikh et al., 2019; Steinbrecht et al., 2017)","previouslyFormattedCitation":"(Ball et al., 2020; Dietmüller et al., 2021; Godin-Beekmann et al., 2022; Petropavlovskikh et al., 2019; Steinbrecht et al., 2017)"},"properties":{"noteIndex":0},"schema":"https://github.com/citation-style-language/schema/raw/master/csl-citation.json"}</w:instrText>
      </w:r>
      <w:r>
        <w:fldChar w:fldCharType="separate"/>
      </w:r>
      <w:r>
        <w:rPr>
          <w:noProof/>
          <w:lang w:val="de-DE"/>
        </w:rPr>
        <w:t>(Ball et al., 2020; Dietmüller et al., 2021; Godin-Beekmann et al., 2022; Petropavlovskikh et al., 2019; Steinbrecht et al., 2017)</w:t>
      </w:r>
      <w:r>
        <w:fldChar w:fldCharType="end"/>
      </w:r>
      <w:r>
        <w:rPr>
          <w:lang w:val="de-DE"/>
        </w:rPr>
        <w:t xml:space="preserve">. </w:t>
      </w:r>
      <w:r>
        <w:t xml:space="preserve">These increases have to be offset by changes in the lower and middle stratosphere, and indeed, there is evidence that ozone in the lower stratosphere has continued to decline since 1998, although the statistical significance of these trends depends on the methodology and data source used in each study </w:t>
      </w:r>
      <w:r>
        <w:fldChar w:fldCharType="begin" w:fldLock="1"/>
      </w:r>
      <w:r>
        <w:instrText>ADDIN CSL_CITATION {"citationItems":[{"id":"ITEM-1","itemData":{"DOI":"10.5194/acp-18-1379-2018","ISSN":"16807324","abstract":"Ozone forms in the Earth's atmosphere from the photodissociation of molecular oxygen, primarily in the tropical stratosphere. It is then transported to the extratropics by the Brewer-Dobson circulation (BDC), forming a protective \"ozone layer\" around the globe. Human emissions of halogen-containing ozone-depleting substances (hODSs) led to a decline in stratospheric ozone until they were banned by the Montreal Protocol, and since 1998 ozone in the upper stratosphere is rising again, likely the recovery from halogeninduced losses. Total column measurements of ozone between the Earth's surface and the top of the atmosphere indicate that the ozone layer has stopped declining across the globe, but no clear increase has been observed at latitudes between 60 S and 60 N outside the polar regions (60-90°). Here we report evidence from multiple satellite measurements that ozone in the lower stratosphere between 60° S and 60° N has indeed continued to decline since 1998. We find that, even though upper stratospheric ozone is recovering, the continuing downward trend in the lower stratosphere prevails, resulting in a downward trend in stratospheric column ozone between 60° S and 60° N. We find that total column ozone between 60° S and 60° N appears not to have decreased only because of increases in tropospheric column ozone that compensate for the stratospheric decreases. The reasons for the continued reduction of lower stratospheric ozone are not clear; models do not reproduce these trends, and thus the causes now urgently need to be established.","author":[{"dropping-particle":"","family":"Ball","given":"William T.","non-dropping-particle":"","parse-names":false,"suffix":""},{"dropping-particle":"","family":"Alsing","given":"Justin","non-dropping-particle":"","parse-names":false,"suffix":""},{"dropping-particle":"","family":"Mortlock","given":"Daniel J.","non-dropping-particle":"","parse-names":false,"suffix":""},{"dropping-particle":"","family":"Staehelin","given":"Johannes","non-dropping-particle":"","parse-names":false,"suffix":""},{"dropping-particle":"","family":"Haigh","given":"Joanna D.","non-dropping-particle":"","parse-names":false,"suffix":""},{"dropping-particle":"","family":"Peter","given":"Thomas","non-dropping-particle":"","parse-names":false,"suffix":""},{"dropping-particle":"","family":"Tummon","given":"Fiona","non-dropping-particle":"","parse-names":false,"suffix":""},{"dropping-particle":"","family":"Stübi","given":"Rene","non-dropping-particle":"","parse-names":false,"suffix":""},{"dropping-particle":"","family":"Stenke","given":"Andrea","non-dropping-particle":"","parse-names":false,"suffix":""},{"dropping-particle":"","family":"Anderson","given":"John","non-dropping-particle":"","parse-names":false,"suffix":""},{"dropping-particle":"","family":"Bourassa","given":"Adam","non-dropping-particle":"","parse-names":false,"suffix":""},{"dropping-particle":"","family":"Davis","given":"Sean M.","non-dropping-particle":"","parse-names":false,"suffix":""},{"dropping-particle":"","family":"Degenstein","given":"Doug","non-dropping-particle":"","parse-names":false,"suffix":""},{"dropping-particle":"","family":"Frith","given":"Stacey","non-dropping-particle":"","parse-names":false,"suffix":""},{"dropping-particle":"","family":"Froidevaux","given":"Lucien","non-dropping-particle":"","parse-names":false,"suffix":""},{"dropping-particle":"","family":"Roth","given":"Chris","non-dropping-particle":"","parse-names":false,"suffix":""},{"dropping-particle":"","family":"Sofieva","given":"Viktoria","non-dropping-particle":"","parse-names":false,"suffix":""},{"dropping-particle":"","family":"Wang","given":"Ray","non-dropping-particle":"","parse-names":false,"suffix":""},{"dropping-particle":"","family":"Wild","given":"Jeannette","non-dropping-particle":"","parse-names":false,"suffix":""},{"dropping-particle":"","family":"Yu","given":"Pengfei","non-dropping-particle":"","parse-names":false,"suffix":""},{"dropping-particle":"","family":"Ziemke","given":"Jerald R.","non-dropping-particle":"","parse-names":false,"suffix":""},{"dropping-particle":"V.","family":"Rozanov","given":"Eugene","non-dropping-particle":"","parse-names":false,"suffix":""}],"container-title":"Atmospheric Chemistry and Physics","id":"ITEM-1","issue":"2","issued":{"date-parts":[["2018"]]},"page":"1379-1394","title":"Evidence for a continuous decline in lower stratospheric ozone offsetting ozone layer recovery","type":"article-journal","volume":"18"},"uris":["http://www.mendeley.com/documents/?uuid=9113353a-99b1-4c75-b972-efdfd7481a81"]},{"id":"ITEM-2","itemData":{"DOI":"10.5194/acp-19-12731-2019","ISSN":"16807324","abstract":"The Montreal Protocol, and its subsequent amendments, has successfully prevented catastrophic losses of stratospheric ozone, and signs of recovery are now evident. Nevertheless, recent work has suggested that ozone in the lower stratosphere (&lt; 24 km) continued to decline over the 1998-2016 period, offsetting recovery at higher altitudes and preventing a statistically significant increase in quasi-global (60°S-60°N) total column ozone. In 2017, a large lower stratospheric ozone resurgence over less than 12 months was estimated (using a chemistry transport model; CTM) to have offset the long-term decline in the quasi-global integrated lower stratospheric ozone column. Here, we extend the analysis of space-based ozone observations to December 2018 using the BASICSG ozone composite. We find that the observed 2017 resurgence was only around half that modelled by the CTM, was of comparable magnitude to other strong interannual changes in the past, and was restricted to Southern Hemisphere (SH) midlatitudes (60-30° S). In the SH midlatitude lower stratosphere, the data suggest that by the end of 2018 ozone is still likely lower than in 1998 (probability 80 %). In contrast, tropical and Northern Hemisphere (NH) ozone continue to display ongoing decreases, exceeding 90 % probability. Robust tropical (&gt;95 %, 30°S-30°N) decreases dominate the quasi-global integrated decrease (99 % probability); the integrated tropical stratospheric column (1-100 hPa, 30°S-30°N) displays a significant overall ozone decrease, with 95 % probability. These decreases do not reveal an inefficacy of the Montreal Protocol; rather, they suggest that other effects are at work, mainly dynamical variability on long or short timescales, counteracting the positive effects of the Montreal Protocol on stratospheric ozone recovery. We demonstrate that large interannual midlatitude (30-60°) variations, such as the 2017 resurgence, are driven by non-linear quasi-biennial oscillation (QBO) phase-dependent seasonal variability. However, this variability is not represented in current regression analyses. To understand if observed lower stratospheric ozone decreases are a transient or long-term phenomenon, progress needs to be made in accounting for this dynamically driven variability.","author":[{"dropping-particle":"","family":"Ball","given":"William T.","non-dropping-particle":"","parse-names":false,"suffix":""},{"dropping-particle":"","family":"Alsing","given":"Justin","non-dropping-particle":"","parse-names":false,"suffix":""},{"dropping-particle":"","family":"Staehelin","given":"Johannes","non-dropping-particle":"","parse-names":false,"suffix":""},{"dropping-particle":"","family":"Davis","given":"Sean M.","non-dropping-particle":"","parse-names":false,"suffix":""},{"dropping-particle":"","family":"Froidevaux","given":"Lucien","non-dropping-particle":"","parse-names":false,"suffix":""},{"dropping-particle":"","family":"Peter","given":"Thomas","non-dropping-particle":"","parse-names":false,"suffix":""}],"container-title":"Atmospheric Chemistry and Physics","id":"ITEM-2","issue":"19","issued":{"date-parts":[["2019"]]},"page":"12731-12748","title":"Stratospheric ozone trends for 1985-2018: Sensitivity to recent large variability","type":"article-journal","volume":"19"},"uris":["http://www.mendeley.com/documents/?uuid=abe09cb4-dbb7-4bc7-b13b-3570ddd4dd68"]},{"id":"ITEM-3","itemData":{"DOI":"10.5194/acp-20-9737-2020","ISSN":"16807324","abstract":"The stratospheric ozone layer shields surface life from harmful ultraviolet radiation. Following the Montreal Protocol ban on long-lived ozone-depleting substances (ODSs), rapid depletion of total column ozone (TCO) ceased in the late 1990s, and ozone above 32 km is now clearly recovering. However, there is still no confirmation of TCO recovery, and evidence has emerged that ongoing quasiglobal (60° S-60° N) lower stratospheric ozone decreases may be responsible, dominated by low latitudes (30° S-30° N). Chemistry-climate models (CCMs) used to project future changes predict that lower stratospheric ozone will decrease in the tropics by 2100 but not at mid-latitudes (30-60°). Here, we show that CCMs display an ozone decline similar to that observed in the tropics over 1998-2016, likely driven by an increase in tropical upwelling. On the other hand, mid-latitude lower stratospheric ozone is observed to decrease, while CCMs that specify real-world historical meteorological fields instead show an increase up to present day. However, these cannot be used to simulate future changes; we demonstrate here that free-running CCMs used for projections also show increases. Despite opposing lower stratospheric ozone changes, which should induce opposite temperature trends, CCMs and observed temperature trends agree; we demonstrate that opposing model-observation stratospheric water vapour (SWV) trends, and their associated radiative effects, explain why temperature changes agree in spite of opposing ozone trends. We provide new evidence that the observed mid-latitude trends can be explained by enhanced mixing between the tropics and extratropics. We further show that the temperature trends are consistent with the observed mid-latitude ozone decrease. Together, our results suggest that large-scale circulation changes expected in the future from increased greenhouse gases (GHGs) may now already be underway but that most CCMs do not simulate mid-latitude ozone layer changes well. However, it is important to emphasise that the periods considered here are short, and internal variability that is both intrinsic to each CCM and different to observed historical variability is not well-characterised and can influence trend estimates. Nevertheless, the reason CCMs do not exhibit the observed changes needs to be identified to allow models to be improved in order to build confidence in future projections of the ozone layer.","author":[{"dropping-particle":"","family":"Ball","given":"William T.","non-dropping-particle":"","parse-names":false,"suffix":""},{"dropping-particle":"","family":"Chiodo","given":"Gabriel","non-dropping-particle":"","parse-names":false,"suffix":""},{"dropping-particle":"","family":"Abalos","given":"Marta","non-dropping-particle":"","parse-names":false,"suffix":""},{"dropping-particle":"","family":"Alsing","given":"Justin","non-dropping-particle":"","parse-names":false,"suffix":""},{"dropping-particle":"","family":"Stenke","given":"Andrea","non-dropping-particle":"","parse-names":false,"suffix":""}],"container-title":"Atmospheric Chemistry and Physics","id":"ITEM-3","issue":"16","issued":{"date-parts":[["2020"]]},"page":"9737-9752","title":"Inconsistencies between chemistry-climate models and observed lower stratospheric ozone trends since 1998","type":"article-journal","volume":"20"},"uris":["http://www.mendeley.com/documents/?uuid=346213e5-65bd-436f-8cce-d599ab85d8f5"]},{"id":"ITEM-4","itemData":{"DOI":"10.1029/2018GL078071","ISSN":"19448007","abstract":"We use height-resolved and total column satellite observations and 3-D chemical transport model simulations to study stratospheric ozone variations during 1998–2017 as ozone-depleting substances decline. In 2017 extrapolar lower stratospheric ozone displayed a strong positive anomaly following much lower values in 2016. This points to large interannual variability rather than an ongoing downward trend, as reported recently by Ball et al. (2018, https://doi.org/10.5194/acp-18-1379-2018). The observed ozone variations are well captured by the chemical transport model throughout the stratosphere and are largely driven by meteorology. Model sensitivity experiments show that the contribution of past trends in short-lived chlorine species to the ozone changes is small. Similarly, the potential impact of modest trends in natural brominated short-lived species is small. These results confirm the important role that atmospheric dynamics plays in controlling ozone in the extrapolar lower stratosphere on multiannual time scales and the continued importance of monitoring ozone profiles as the stratosphere changes.","author":[{"dropping-particle":"","family":"Chipperfield","given":"Martyn P.","non-dropping-particle":"","parse-names":false,"suffix":""},{"dropping-particle":"","family":"Dhomse","given":"Sandip","non-dropping-particle":"","parse-names":false,"suffix":""},{"dropping-particle":"","family":"Hossaini","given":"Ryan","non-dropping-particle":"","parse-names":false,"suffix":""},{"dropping-particle":"","family":"Feng","given":"Wuhu","non-dropping-particle":"","parse-names":false,"suffix":""},{"dropping-particle":"","family":"Santee","given":"Michelle L.","non-dropping-particle":"","parse-names":false,"suffix":""},{"dropping-particle":"","family":"Weber","given":"Mark","non-dropping-particle":"","parse-names":false,"suffix":""},{"dropping-particle":"","family":"Burrows","given":"John P.","non-dropping-particle":"","parse-names":false,"suffix":""},{"dropping-particle":"","family":"Wild","given":"Jeanette D.","non-dropping-particle":"","parse-names":false,"suffix":""},{"dropping-particle":"","family":"Loyola","given":"Diego","non-dropping-particle":"","parse-names":false,"suffix":""},{"dropping-particle":"","family":"Coldewey-Egbers","given":"Melanie","non-dropping-particle":"","parse-names":false,"suffix":""}],"container-title":"Geophysical Research Letters","id":"ITEM-4","issue":"11","issued":{"date-parts":[["2018"]]},"page":"5718-5726","title":"On the Cause of Recent Variations in Lower Stratospheric Ozone","type":"article-journal","volume":"45"},"uris":["http://www.mendeley.com/documents/?uuid=720222de-0c68-4b92-8cec-49b259dbc828"]},{"id":"ITEM-5","itemData":{"DOI":"10.1029/2018GL077406","ISSN":"19448007","abstract":"The 1998–2016 ozone trends in the lower stratosphere are examined using the Modern-Era Retrospective Analysis for Research and Applications Version 2 (MERRA-2) and related National Aeronautics and Space Administration products. After removing biases resulting from step changes in the MERRA-2 ozone observations, a discernible negative trend of −1.67 ± 0.54 Dobson units per decade (DU/decade) is found in the 10-km layer above the tropopause between 20°N and 60°N. A weaker but statistically significant trend of −1.17 ± 0.33 DU/decade exists between 50°S and 20°S. In the Tropics, a positive trend is seen in a 5-km layer above the tropopause. Analysis of an idealized tracer in a model simulation constrained by MERRA-2 meteorological fields provides strong evidence that these trends are driven by enhanced isentropic transport between the tropical (20°S–20°N) and extratropical lower stratosphere in the past two decades. This is the first time that a reanalysis data set has been used to detect and attribute trends in lower stratospheric ozone.","author":[{"dropping-particle":"","family":"Wargan","given":"Krzysztof","non-dropping-particle":"","parse-names":false,"suffix":""},{"dropping-particle":"","family":"Orbe","given":"Clara","non-dropping-particle":"","parse-names":false,"suffix":""},{"dropping-particle":"","family":"Pawson","given":"Steven","non-dropping-particle":"","parse-names":false,"suffix":""},{"dropping-particle":"","family":"Ziemke","given":"Jerald R.","non-dropping-particle":"","parse-names":false,"suffix":""},{"dropping-particle":"","family":"Oman","given":"Luke D.","non-dropping-particle":"","parse-names":false,"suffix":""},{"dropping-particle":"","family":"Olsen","given":"Mark A.","non-dropping-particle":"","parse-names":false,"suffix":""},{"dropping-particle":"","family":"Coy","given":"Lawrence","non-dropping-particle":"","parse-names":false,"suffix":""},{"dropping-particle":"","family":"Emma Knowland","given":"K.","non-dropping-particle":"","parse-names":false,"suffix":""}],"container-title":"Geophysical Research Letters","id":"ITEM-5","issue":"10","issued":{"date-parts":[["2018"]]},"page":"5166-5176","title":"Recent Decline in Extratropical Lower Stratospheric Ozone Attributed to Circulation Changes","type":"article-journal","volume":"45"},"uris":["http://www.mendeley.com/documents/?uuid=4908da01-0d53-421f-a49f-1a203fd5993f"]},{"id":"ITEM-6","itemData":{"DOI":"10.1029/2019JD031631","ISSN":"21698996","abstract":"Previous studies have robustly identified a decrease since 1998 in lower stratospheric (LS) ozone in the Northern Hemisphere (NH). While this ozone decrease is qualitatively explained as resulting from changes in the large-scale circulation, there is not yet a quantitative mechanistic explanation of these changes. Here, we explore the drivers of recent ozone changes using two different configurations of the Goddard Earth Observing System (GEOS) general circulation model. The first configuration of GEOS includes a full chemistry module and is constrained with meteorological fields from the Modern-Era Retrospective Analysis for Research and Applications, Version 2 (MERRA-2). This configuration (M2GMI) is used to analyze an idealized tracer that covaries closely with ozone on interannual and decadal timescales, revealing that recent ozone decreases in the NH subtropics are associated with a poleward expansion of upwelling in the NH LS, with reduced (enhanced) downwelling over northern subtropics (midlatitudes). The second configuration of GEOS is a free-running version of the GEOS Chemistry Climate Model (CCM) that is used to perform a 10-member ensemble of free-running simulations. Comparisons of the two configurations reveal that, while the free-running model can produce negative ozone changes in the NH LS, the magnitude of these changes is significantly weaker, relative to both M2GMI and MERRA-2; moreover, these weaker ozone decreases are consistent with weaker simulated changes in the residual circulation. Finally, we examine the GEOS model results in the broader context of the hindcast simulations performed as part of Phase 1 of the Chemistry Climate Modeling Initiative. We show that the majority of the free-running simulations considered here also exhibit weaker long-term residual circulation changes, compared to reanalyses.","author":[{"dropping-particle":"","family":"Orbe","given":"Clara","non-dropping-particle":"","parse-names":false,"suffix":""},{"dropping-particle":"","family":"Wargan","given":"Krzysztof","non-dropping-particle":"","parse-names":false,"suffix":""},{"dropping-particle":"","family":"Pawson","given":"Steven","non-dropping-particle":"","parse-names":false,"suffix":""},{"dropping-particle":"","family":"Oman","given":"Luke D.","non-dropping-particle":"","parse-names":false,"suffix":""}],"container-title":"Journal of Geophysical Research: Atmospheres","id":"ITEM-6","issue":"9","issued":{"date-parts":[["2020"]]},"page":"1-23","title":"Mechanisms Linked to Recent Ozone Decreases in the Northern Hemisphere Lower Stratosphere","type":"article-journal","volume":"125"},"uris":["http://www.mendeley.com/documents/?uuid=d062102a-3e37-4f93-af82-68c91bd9dedb"]},{"id":"ITEM-7","itemData":{"DOI":"10.5194/acp-22-9553-2022","ISSN":"16807324","abstract":"After decades of depletion in the 20th century, near-global ozone now shows clear signs of recovery in the upper stratosphere. The ozone column, however, has remained largely constant since the turn of the century, mainly due to the evolution of lower stratospheric ozone. In the tropical lower stratosphere, ozone is expected to decrease as a consequence of enhanced upwelling driven by increasing greenhouse gas concentrations, and this is consistent with observations. There is recent evidence, however, that mid-latitude ozone continues to decrease as well, contrary to model predictions. These changes are likely related to dynamical variability, but the impact of changing circulation patterns on stratospheric ozone is not well understood. Here we use merged measurements from the Stratospheric Aerosol and Gas Experiment II (SAGE II), the Optical Spectrograph and InfraRed Imaging System (OSIRIS), and SAGE III on the International Space Station (SAGE III/ISS) to quantify ozone trends in the 2000-2021 period. We implement a sampling correction for the OSIRIS and SAGE III/ISS datasets and assess trend significance, taking into account the temporal differences with respect to Aura Microwave Limb Sounder data. We show that ozone has increased by 2-6 in the upper and 1-3 in the middle stratosphere since 2000, while lower stratospheric ozone has decreased by similar amounts. These decreases are significant in the tropics (&gt;95 confidence) but not necessarily at mid-latitudes (&gt;80 confidence). In the upper and middle stratosphere, changes since 2010 have pointed to hemispheric asymmetries in ozone recovery. Significant positive trends are present in the Southern Hemisphere, while ozone at northern mid-latitudes has remained largely unchanged in the last decade. These differences might be related to asymmetries and long-term variability in the Brewer-Dobson circulation. Circulation changes impact ozone in the lower stratosphere even more. In tropopause-relative coordinates, most of the negative trends in the tropics lose significance, highlighting the impacts of a warming troposphere and increasing tropopause altitudes.","author":[{"dropping-particle":"","family":"Bognar","given":"Kristof","non-dropping-particle":"","parse-names":false,"suffix":""},{"dropping-particle":"","family":"Tegtmeier","given":"Susann","non-dropping-particle":"","parse-names":false,"suffix":""},{"dropping-particle":"","family":"Bourassa","given":"Adam","non-dropping-particle":"","parse-names":false,"suffix":""},{"dropping-particle":"","family":"Roth","given":"Chris","non-dropping-particle":"","parse-names":false,"suffix":""},{"dropping-particle":"","family":"Warnock","given":"Taran","non-dropping-particle":"","parse-names":false,"suffix":""},{"dropping-particle":"","family":"Zawada","given":"Daniel","non-dropping-particle":"","parse-names":false,"suffix":""},{"dropping-particle":"","family":"Degenstein","given":"Doug","non-dropping-particle":"","parse-names":false,"suffix":""}],"container-title":"Atmospheric Chemistry and Physics","id":"ITEM-7","issue":"14","issued":{"date-parts":[["2022"]]},"page":"9553-9569","title":"Stratospheric ozone trends for 1984-2021 in the SAGE II-OSIRIS-SAGE III/ISS composite dataset","type":"article-journal","volume":"22"},"uris":["http://www.mendeley.com/documents/?uuid=d30fa216-72ab-4156-9b61-856bcde2f994"]},{"id":"ITEM-8","itemData":{"DOI":"10.5194/acp-22-11657-2022","ISSN":"16807324","abstract":"This study presents an updated evaluation of stratospheric ozone profile trends in the 60°S-60°N latitude range over the 2000-2020 period using an updated version of the Long-term Ozone Trends and Uncertainties in the Stratosphere (LOTUS) regression model that was used to evaluate such trends up to 2016 for the last WMO Ozone Assessment (2018). In addition to the derivation of detailed trends as a function of latitude and vertical coordinates, the regressions are performed with the datasets averaged over broad latitude bands, i.e. 60-35°S, 20°S-20°N and 35-60°N. The same methodology as in the last assessment is applied to combine trends in these broad latitude bands in order to compare the results with the previous studies. Longitudinally resolved merged satellite records are also considered in order to provide a better comparison with trends retrieved from ground-based records, e.g. lidar, ozonesondes, Umkehr, microwave and Fourier transform infrared (FTIR) spectrometers at selected stations where long-term time series are available. The study includes a comparison with trends derived from the REF-C2 simulations of the Chemistry Climate Model Initiative (CCMI-1). This work confirms past results showing an ozone increase in the upper stratosphere, which is now significant in the three broad latitude bands. The increase is largest in the Northern and Southern Hemisphere midlatitudes, with ∼2.2 ± 0.7 % per decade at ∼2.1 hPa and ∼2.1 ± 0.6 % per decade at ∼3.2 hPa respectively compared to ∼1.6 ± 0.6 % per decade at ∼2.6 hPa in the tropics. New trend signals have emerged from the records, such as a significant decrease in ozone in the tropics around 35 hPa and a non-significant increase in ozone in the southern midlatitudes at about 20 hPa. Non-significant negative ozone trends are derived in the lowermost stratosphere, with the most pronounced trends in the tropics. While a very good agreement is obtained between trends from merged satellite records and the CCMI-1 REF-C2 simulation in the upper stratosphere, observed negative trends in the lower stratosphere are not reproduced by models at southern and, in particular, at northern midlatitudes, where models report an ozone increase. However, the lower-stratospheric trend uncertainties are quite large, for both measured and modelled trends. Finally, 2000-2020 stratospheric ozone trends derived from the ground-based and longitudinally resolved satellite records are in reasonable agreement over the European A…","author":[{"dropping-particle":"","family":"Godin-Beekmann","given":"Sophie","non-dropping-particle":"","parse-names":false,"suffix":""},{"dropping-particle":"","family":"Azouz","given":"Niramson","non-dropping-particle":"","parse-names":false,"suffix":""},{"dropping-particle":"","family":"Sofieva","given":"Viktoria F.","non-dropping-particle":"","parse-names":false,"suffix":""},{"dropping-particle":"","family":"Hubert","given":"Daan","non-dropping-particle":"","parse-names":false,"suffix":""},{"dropping-particle":"","family":"Petropavlovskikh","given":"Irina","non-dropping-particle":"","parse-names":false,"suffix":""},{"dropping-particle":"","family":"Effertz","given":"Peter","non-dropping-particle":"","parse-names":false,"suffix":""},{"dropping-particle":"","family":"Ancellet","given":"Gérard","non-dropping-particle":"","parse-names":false,"suffix":""},{"dropping-particle":"","family":"Degenstein","given":"Doug A.","non-dropping-particle":"","parse-names":false,"suffix":""},{"dropping-particle":"","family":"Zawada","given":"Daniel","non-dropping-particle":"","parse-names":false,"suffix":""},{"dropping-particle":"","family":"Froidevaux","given":"Lucien","non-dropping-particle":"","parse-names":false,"suffix":""},{"dropping-particle":"","family":"Frith","given":"Stacey","non-dropping-particle":"","parse-names":false,"suffix":""},{"dropping-particle":"","family":"Wild","given":"Jeannette","non-dropping-particle":"","parse-names":false,"suffix":""},{"dropping-particle":"","family":"Davis","given":"Sean","non-dropping-particle":"","parse-names":false,"suffix":""},{"dropping-particle":"","family":"Steinbrecht","given":"Wolfgang","non-dropping-particle":"","parse-names":false,"suffix":""},{"dropping-particle":"","family":"Leblanc","given":"Thierry","non-dropping-particle":"","parse-names":false,"suffix":""},{"dropping-particle":"","family":"Querel","given":"Richard","non-dropping-particle":"","parse-names":false,"suffix":""},{"dropping-particle":"","family":"Tourpali","given":"Kleareti","non-dropping-particle":"","parse-names":false,"suffix":""},{"dropping-particle":"","family":"Damadeo","given":"Robert","non-dropping-particle":"","parse-names":false,"suffix":""},{"dropping-particle":"","family":"Maillard Barras","given":"Eliane","non-dropping-particle":"","parse-names":false,"suffix":""},{"dropping-particle":"","family":"Stübi","given":"René","non-dropping-particle":"","parse-names":false,"suffix":""},{"dropping-particle":"","family":"Vigouroux","given":"Corinne","non-dropping-particle":"","parse-names":false,"suffix":""},{"dropping-particle":"","family":"Arosio","given":"Carlo","non-dropping-particle":"","parse-names":false,"suffix":""},{"dropping-particle":"","family":"Nedoluha","given":"Gerald","non-dropping-particle":"","parse-names":false,"suffix":""},{"dropping-particle":"","family":"Boyd","given":"Ian","non-dropping-particle":"","parse-names":false,"suffix":""},{"dropping-particle":"","family":"Malderen","given":"Roeland","non-dropping-particle":"Van","parse-names":false,"suffix":""},{"dropping-particle":"","family":"Mahieu","given":"Emmanuel","non-dropping-particle":"","parse-names":false,"suffix":""},{"dropping-particle":"","family":"Smale","given":"Dan","non-dropping-particle":"","parse-names":false,"suffix":""},{"dropping-particle":"","family":"Sussmann","given":"Ralf","non-dropping-particle":"","parse-names":false,"suffix":""}],"container-title":"Atmospheric Chemistry and Physics","id":"ITEM-8","issue":"17","issued":{"date-parts":[["2022"]]},"page":"11657-11673","title":"Updated trends of the stratospheric ozone vertical distribution in the 60°S-60°N latitude range based on the LOTUS regression model","type":"article-journal","volume":"22"},"uris":["http://www.mendeley.com/documents/?uuid=c98edd9b-77c7-4ba1-8706-3ca116073912"]},{"id":"ITEM-9","itemData":{"DOI":"10.5194/acp-24-6413-2024","ISSN":"16807324","abstract":"This study presents an updated and homogenised ozone time series covering 34 years (1987-2020) of ozonesonde measurements at Lauder, New Zealand, and attributes vertically resolved ozone trends using a multiple linear regression (MLR) analysis and a chemistry-climate model (CCM). Homogenisation of the time series leads to a marked difference in ozone values before 1997, in which the ozone trends are predominantly negative from the surface to ~ 30 km, ranging from ~ -2 % per decade to -13 % per decade, maximising at around 12- 13 km, in contrast to the uncorrected time series which shows no clear trends for this period. For the post-2000 period, ozone at Lauder shows negative trends in the stratosphere, maximising just below 20 km (~ -5 % per decade) despite the fact that stratospheric chlorine and bromine from ozone-depleting substances (ODSs) have both been declining since 1997. However, the ozone trends change from negative for 1987-1999 to positive in the post-2000 period in the free troposphere The post-2000 ozone trends calculated from the ozonesonde measurements compare well with those derived from the co-located low-vertical-resolution Fourier-transform infrared spectroscopy (FTIR) ozone time series. The MLR analysis identifies that the increasing tropopause height, associated with CO2-driven dynamical changes, is the leading factor driving the continuous negative trend in lower-stratospheric ozone at Lauder over the whole observational period, whilst the ozone-depleting substances (ODSs) only contribute to the negative ozone trend in the lower stratosphere over the pre-1999 period. Meanwhile, stratospheric temperature changes contribute significantly to the negative ozone trend above 20 km over the post-2000 period. Furthermore, the chemistry-climate model (CCM) simulations that separate the effects of individual forcings show that the predominantly negative modelled trend in ozone for the 1987-1999 period is driven not only by ODSs but also by increases in greenhouse gases (GHGs), with large but opposing impacts from methane (positive) and CO2 (negative), respectively. Over the 2000-2020 period, the model results show that the CO2 increase is the dominant driver for the negative trend in the lower stratosphere, in agreement with the MLR analysis. Although the model underestimates the observed negative ozone trend in the lower stratosphere for both periods, it clearly shows that CO2-driven dynamical changes have played an increasingly important …","author":[{"dropping-particle":"","family":"Zeng","given":"Guang","non-dropping-particle":"","parse-names":false,"suffix":""},{"dropping-particle":"","family":"Querel","given":"Richard","non-dropping-particle":"","parse-names":false,"suffix":""},{"dropping-particle":"","family":"Shiona","given":"Hisako","non-dropping-particle":"","parse-names":false,"suffix":""},{"dropping-particle":"","family":"Poyraz","given":"Deniz","non-dropping-particle":"","parse-names":false,"suffix":""},{"dropping-particle":"","family":"Malderen","given":"Roeland","non-dropping-particle":"Van","parse-names":false,"suffix":""},{"dropping-particle":"","family":"Geddes","given":"Alex","non-dropping-particle":"","parse-names":false,"suffix":""},{"dropping-particle":"","family":"Smale","given":"Penny","non-dropping-particle":"","parse-names":false,"suffix":""},{"dropping-particle":"","family":"Smale","given":"Dan","non-dropping-particle":"","parse-names":false,"suffix":""},{"dropping-particle":"","family":"Robinson","given":"John","non-dropping-particle":"","parse-names":false,"suffix":""},{"dropping-particle":"","family":"Morgenstern","given":"Olaf","non-dropping-particle":"","parse-names":false,"suffix":""}],"container-title":"Atmospheric Chemistry and Physics","id":"ITEM-9","issue":"10","issued":{"date-parts":[["2024"]]},"page":"6413-6432","title":"Analysis of a newly homogenised ozonesonde dataset from Lauder, New Zealand","type":"article-journal","volume":"24"},"uris":["http://www.mendeley.com/documents/?uuid=ee3a6021-0a96-46fc-957a-1c1c12a7525a"]}],"mendeley":{"formattedCitation":"(Ball et al., 2018, 2019, 2020; Bognar et al., 2022; Chipperfield et al., 2018; Godin-Beekmann et al., 2022; Orbe et al., 2020; Wargan et al., 2018; Zeng et al., 2024)","plainTextFormattedCitation":"(Ball et al., 2018, 2019, 2020; Bognar et al., 2022; Chipperfield et al., 2018; Godin-Beekmann et al., 2022; Orbe et al., 2020; Wargan et al., 2018; Zeng et al., 2024)","previouslyFormattedCitation":"(Ball et al., 2018, 2019, 2020; Bognar et al., 2022; Chipperfield et al., 2018; Godin-Beekmann et al., 2022; Orbe et al., 2020; Wargan et al., 2018; Zeng et al., 2024)"},"properties":{"noteIndex":0},"schema":"https://github.com/citation-style-language/schema/raw/master/csl-citation.json"}</w:instrText>
      </w:r>
      <w:r>
        <w:fldChar w:fldCharType="separate"/>
      </w:r>
      <w:r>
        <w:rPr>
          <w:noProof/>
        </w:rPr>
        <w:t>(Ball et al., 2018, 2019, 2020; Bognar et al., 2022; Chipperfield et al., 2018; Godin-Beekmann et al., 2022; Orbe et al., 2020; Wargan et al., 2018; Zeng et al., 2024)</w:t>
      </w:r>
      <w:r>
        <w:fldChar w:fldCharType="end"/>
      </w:r>
      <w:r>
        <w:t>. In the tropics, negative ozone trends in the lower stratosphere are understood to be related to enhanced tropical upwelling due to climate change, which leads to ozone-poor air rising from the tropopause region where the ozone concentration is more than an order of magnitude lower</w:t>
      </w:r>
      <w:r w:rsidR="005B0304">
        <w:t xml:space="preserve"> </w:t>
      </w:r>
      <w:r w:rsidR="005B0304">
        <w:fldChar w:fldCharType="begin" w:fldLock="1"/>
      </w:r>
      <w:r w:rsidR="005B0304">
        <w:instrText>ADDIN CSL_CITATION {"citationItems":[{"id":"ITEM-1","itemData":{"DOI":"10.5194/acp-21-6811-2021","ISSN":"16807324","abstract":"Recent observations show a significant decrease in lower-stratospheric (LS) ozone concentrations in tropical and mid-latitude regions since 1998. By analysing 31 chemistry climate model (CCM) simulations performed for the Chemistry Climate Model Initiative (CCMI; Morgenstern et al., 2017), we find a large spread in the 1998 2018 trend patterns between different CCMs and between different realizations performed with the same CCM. The latter in particular indicates that natural variability strongly influences LS ozone trends. However none of the model simulations reproduce the observed ozone trend structure of coherent negative trends in the LS. In contrast to the observations, most models show an LS trend pattern with negative trends in the tropics (20 S 20 N) and positive trends in the northern mid-latitudes (30 50 N) or vice versa. To investigate the influence of natural variability on recent LS ozone trends, we analyse the sensitivity of observational trends and the models trend probability distributions for varying periods with start dates from 1995 to 2001 and end dates from 2013 to 2019. Generally, modelled and observed LS trends remain robust for these different periods; however observational data show a change towards weaker mid-latitude trends for certain periods, likely forced by natural variability. Moreover we show that in the tropics the observed trends agree well with the models trend distribution, whereas in the mid-latitudes the observational trend is typically an extreme value of the models distribution. We further investigate the LS ozone trends for extended periods reaching into the future and find that all models develop a positive ozone trend at mid-latitudes, and the trends converge to constant values by the period that spans 1998 2060. Inter-model correlations between ozone trends and transport-circulation trends confirm the dominant role of greenhouse gas (GHG)-driven tropical upwelling enhancement on the tropical LS ozone decrease. Mid-latitude ozone, on the other hand, appears to be influenced by multiple competing factors: an enhancement in the shallow branch decreases ozone, while an enhancement in the deep branch increases ozone, and, furthermore, mixing plays a role here too. Sensitivity simulations with fixed forcing of GHGs or ozonedepleting substances (ODSs) reveal that the GHG-driven increase in circulation strength does not lead to a net trend in LS mid-latitude column ozone. Rather, the positive ozone trends simulated …","author":[{"dropping-particle":"","family":"Dietmüller","given":"Simone","non-dropping-particle":"","parse-names":false,"suffix":""},{"dropping-particle":"","family":"Garny","given":"Hella","non-dropping-particle":"","parse-names":false,"suffix":""},{"dropping-particle":"","family":"Eichinger","given":"Roland","non-dropping-particle":"","parse-names":false,"suffix":""},{"dropping-particle":"","family":"T. Ball","given":"William","non-dropping-particle":"","parse-names":false,"suffix":""}],"container-title":"Atmospheric Chemistry and Physics","id":"ITEM-1","issue":"9","issued":{"date-parts":[["2021"]]},"page":"6811-6837","title":"Analysis of recent lower-stratospheric ozone trends in chemistry climate models","type":"article-journal","volume":"21"},"uris":["http://www.mendeley.com/documents/?uuid=ec470fca-7eb9-49d7-bc91-23f50bb0652a"]},{"id":"ITEM-2","itemData":{"ISBN":"978-9914-733-97-6","author":[{"dropping-particle":"","family":"WMO","given":"","non-dropping-particle":"","parse-names":false,"suffix":""}],"id":"ITEM-2","issued":{"date-parts":[["2022"]]},"publisher":"World Meteorological Organization","publisher-place":"Geneva, Switzerland","title":"Scientific Assessment of Ozone Depletion: Global Ozone Research and Monitoring Project -- GAW Report no. 278","type":"book"},"uris":["http://www.mendeley.com/documents/?uuid=f0f14e12-4ad3-434c-bfd0-5202ce9a0a84"]}],"mendeley":{"formattedCitation":"(Dietmüller et al., 2021; WMO, 2022)","plainTextFormattedCitation":"(Dietmüller et al., 2021; WMO, 2022)","previouslyFormattedCitation":"(Dietmüller et al., 2021; WMO, 2022)"},"properties":{"noteIndex":0},"schema":"https://github.com/citation-style-language/schema/raw/master/csl-citation.json"}</w:instrText>
      </w:r>
      <w:r w:rsidR="005B0304">
        <w:fldChar w:fldCharType="separate"/>
      </w:r>
      <w:r w:rsidR="005B0304" w:rsidRPr="005B0304">
        <w:rPr>
          <w:noProof/>
        </w:rPr>
        <w:t>(Dietmüller et al., 2021; WMO, 2022)</w:t>
      </w:r>
      <w:r w:rsidR="005B0304">
        <w:fldChar w:fldCharType="end"/>
      </w:r>
      <w:r>
        <w:t xml:space="preserve"> and the role of VSLS </w:t>
      </w:r>
      <w:r>
        <w:fldChar w:fldCharType="begin" w:fldLock="1"/>
      </w:r>
      <w:r>
        <w:instrText>ADDIN CSL_CITATION {"citationItems":[{"id":"ITEM-1","itemData":{"DOI":"10.1038/s41558-023-01671-y","ISSN":"17586798","abstract":"In contrast to the general stratospheric ozone recovery following international agreements, recent observations show an ongoing net ozone depletion in the tropical lower stratosphere (LS). This depletion is thought to be driven by dynamical transport accelerated by global warming, while chemical processes have been considered to be unimportant. Here we use a chemistry–climate model to demonstrate that halogenated ozone-depleting very short-lived substances (VSLS) chemistry may account for around a quarter of the observed tropical LS negative ozone trend in 1998–2018. VSLS sources include both natural and anthropogenic emissions. Future projections show the persistence of the currently unaccounted for contribution of VSLS to ozone loss throughout the twenty-first century in the tropical LS, the only region of the global stratosphere not projecting an ozone recovery by 2100. Our results show the need for mitigation strategies of anthropogenic VSLS emissions to preserve the present and future ozone layer in low latitudes.","author":[{"dropping-particle":"","family":"Villamayor","given":"Julián","non-dropping-particle":"","parse-names":false,"suffix":""},{"dropping-particle":"","family":"Iglesias-Suarez","given":"Fernando","non-dropping-particle":"","parse-names":false,"suffix":""},{"dropping-particle":"","family":"Cuevas","given":"Carlos A.","non-dropping-particle":"","parse-names":false,"suffix":""},{"dropping-particle":"","family":"Fernandez","given":"Rafael P.","non-dropping-particle":"","parse-names":false,"suffix":""},{"dropping-particle":"","family":"Li","given":"Qinyi","non-dropping-particle":"","parse-names":false,"suffix":""},{"dropping-particle":"","family":"Abalos","given":"Marta","non-dropping-particle":"","parse-names":false,"suffix":""},{"dropping-particle":"","family":"Hossaini","given":"Ryan","non-dropping-particle":"","parse-names":false,"suffix":""},{"dropping-particle":"","family":"Chipperfield","given":"Martyn P.","non-dropping-particle":"","parse-names":false,"suffix":""},{"dropping-particle":"","family":"Kinnison","given":"Douglas E.","non-dropping-particle":"","parse-names":false,"suffix":""},{"dropping-particle":"","family":"Tilmes","given":"Simone","non-dropping-particle":"","parse-names":false,"suffix":""},{"dropping-particle":"","family":"Lamarque","given":"Jean François","non-dropping-particle":"","parse-names":false,"suffix":""},{"dropping-particle":"","family":"Saiz-Lopez","given":"Alfonso","non-dropping-particle":"","parse-names":false,"suffix":""}],"container-title":"Nature Climate Change","id":"ITEM-1","issue":"6","issued":{"date-parts":[["2023"]]},"page":"554-560","publisher":"Springer US","title":"Very short-lived halogens amplify ozone depletion trends in the tropical lower stratosphere","type":"article-journal","volume":"13"},"uris":["http://www.mendeley.com/documents/?uuid=3fa23678-7149-4a56-8117-f1e502b7e679"]}],"mendeley":{"formattedCitation":"(Villamayor et al., 2023)","plainTextFormattedCitation":"(Villamayor et al., 2023)","previouslyFormattedCitation":"(Villamayor et al., 2023)"},"properties":{"noteIndex":0},"schema":"https://github.com/citation-style-language/schema/raw/master/csl-citation.json"}</w:instrText>
      </w:r>
      <w:r>
        <w:fldChar w:fldCharType="separate"/>
      </w:r>
      <w:r>
        <w:rPr>
          <w:noProof/>
        </w:rPr>
        <w:t>(Villamayor et al., 2023)</w:t>
      </w:r>
      <w:r>
        <w:fldChar w:fldCharType="end"/>
      </w:r>
      <w:r>
        <w:t xml:space="preserve">. However, negative ozone trends at mid-latitudes are not so easy to understand. In this region, vertical advection by the residual circulation tends to increase the ozone concentration, while horizontal mixing has the opposite effect </w:t>
      </w:r>
      <w:r>
        <w:fldChar w:fldCharType="begin" w:fldLock="1"/>
      </w:r>
      <w:r>
        <w:instrText>ADDIN CSL_CITATION {"citationItems":[{"id":"ITEM-1","itemData":{"DOI":"10.5194/acp-13-10591-2013","ISSN":"16807316","abstract":"The zonal mean transport of ozone and carbon monoxide (CO) near the tropical tropopause is investigated using the Whole-Atmosphere Community Climate Model version 4 (WACCM4). The variability in temperature, ozone and CO in the model shows good agreement with satellite and balloon observations. Modeled temperature and tracers exhibit large and closely coupled annual cycles in the tropical lower stratosphere, as in the observations. The thermodynamic and tracer budgets in the model are analyzed based on the Transformed Eulerian Mean (TEM) framework on log-pressure coordinates and also using the isentropic formulation. Results show that the coupled seasonal cycles are mainly forced by tropical upwelling over altitudes with large vertical tracer gradients, in agreement with previous observational studies. The model also allows explicit calculation of eddy transport terms, which make an important contribution to ozone tendencies in the tropical lower stratosphere. The character of the eddy fluxes changes with altitude. At higher levels (2 km above the cold point tropopause), isentropic eddy transport occurs during winter and spring in each hemisphere in the sub-tropics, associated with transient Rossby waves acting on strong background latitudinal gradients. At lower altitudes, close to the tropical tropopause, there is a maximum in horizontal eddy transport during boreal summer associated with the Asian monsoon anticyclone. Subseasonal variability in ozone and CO, tied to fluctuations in temperature, is primarily driven by transient tropical upwelling. In isentropic coordinates, the overall tracer budgets are similar to the log-pressure results, highlighting crossisentropic advection as the main term in the time-mean balance, with large seasonality above the tropopause. However, in isentropic coordinates the tracer variability is largely reduced on both seasonal and sub-seasonal timescales, because tracer fluctuations are highly correlated with temperature (as a response to upwelling). © Author(s) 2013. CC Attribution 3.0 License.","author":[{"dropping-particle":"","family":"Abalos","given":"Marta","non-dropping-particle":"","parse-names":false,"suffix":""},{"dropping-particle":"","family":"Randel","given":"W. J.","non-dropping-particle":"","parse-names":false,"suffix":""},{"dropping-particle":"","family":"Kinnison","given":"D. E.","non-dropping-particle":"","parse-names":false,"suffix":""},{"dropping-particle":"","family":"Serrano","given":"E.","non-dropping-particle":"","parse-names":false,"suffix":""}],"container-title":"Atmospheric Chemistry and Physics","id":"ITEM-1","issue":"21","issued":{"date-parts":[["2013"]]},"page":"10591-10607","title":"Quantifying tracer transport in the tropical lower stratosphere using WACCM","type":"article-journal","volume":"13"},"uris":["http://www.mendeley.com/documents/?uuid=390c2bb4-9522-412d-8bda-762a845c7c46"]}],"mendeley":{"formattedCitation":"(Abalos et al., 2013)","plainTextFormattedCitation":"(Abalos et al., 2013)","previouslyFormattedCitation":"(Abalos et al., 2013)"},"properties":{"noteIndex":0},"schema":"https://github.com/citation-style-language/schema/raw/master/csl-citation.json"}</w:instrText>
      </w:r>
      <w:r>
        <w:fldChar w:fldCharType="separate"/>
      </w:r>
      <w:r>
        <w:rPr>
          <w:noProof/>
        </w:rPr>
        <w:t>(Abalos et al., 2013)</w:t>
      </w:r>
      <w:r>
        <w:fldChar w:fldCharType="end"/>
      </w:r>
      <w:r>
        <w:t xml:space="preserve">. The expected enhanced downwelling, balancing the enhanced upwelling in the tropics, should lead to an increase in ozone in the mid-latitudes, which is not found in the observations. </w:t>
      </w:r>
    </w:p>
    <w:p w14:paraId="780712C1" w14:textId="23108471" w:rsidR="00814700" w:rsidRPr="005E5454" w:rsidRDefault="006D0001">
      <w:pPr>
        <w:pStyle w:val="TextoNormal"/>
        <w:rPr>
          <w:lang w:val="de-DE"/>
        </w:rPr>
      </w:pPr>
      <w:r>
        <w:t>Previous studies are often contradictory about the reasons for the observed negative ozone trends.</w:t>
      </w:r>
      <w:r w:rsidR="00B87C1E">
        <w:t xml:space="preserve"> </w:t>
      </w:r>
      <w:r>
        <w:t xml:space="preserve">By using a nine-member ensemble of free-running model simulations, </w:t>
      </w:r>
      <w:r>
        <w:fldChar w:fldCharType="begin" w:fldLock="1"/>
      </w:r>
      <w:r>
        <w:instrText>ADDIN CSL_CITATION {"citationItems":[{"id":"ITEM-1","itemData":{"DOI":"10.1029/2018GL077955","ISSN":"19448007","abstract":"As ozone depleting substances decline, stratospheric ozone is displaying signs of healing in the Antarctic lower stratosphere. Here we focus on higher altitudes and the global stratosphere. Two key processes that can influence ozone recovery are evaluated: dynamical variability and solar proton events (SPEs). A nine-member ensemble of free-running simulations indicates that dynamical variability dominates the relatively small ozone recovery signal over 1998–2016 in the subpolar lower stratosphere, particularly near the tropical tropopause. The absence of observed recovery there to date is therefore not unexpected. For the upper stratosphere, high latitudes (50–80°N/S) during autumn and winter show the largest recovery. Large halogen-induced odd oxygen loss there provides a fingerprint of seasonal sensitivity to chlorine trends. However, we show that SPEs also have a profound effect on ozone trends within this region since 2000. Thus, accounting for SPEs is important for detection of recovery in the upper stratosphere.","author":[{"dropping-particle":"","family":"Stone","given":"Kane A.","non-dropping-particle":"","parse-names":false,"suffix":""},{"dropping-particle":"","family":"Solomon","given":"Susan","non-dropping-particle":"","parse-names":false,"suffix":""},{"dropping-particle":"","family":"Kinnison","given":"Douglas E.","non-dropping-particle":"","parse-names":false,"suffix":""}],"container-title":"Geophysical Research Letters","id":"ITEM-1","issue":"10","issued":{"date-parts":[["2018"]]},"page":"5158-5165","title":"On the Identification of Ozone Recovery","type":"article-journal","volume":"45"},"uris":["http://www.mendeley.com/documents/?uuid=2a45cb7a-a1e5-4e88-bdc8-e87eaa7aca32"]}],"mendeley":{"formattedCitation":"(Stone et al., 2018)","manualFormatting":"Stone et al. (2018)","plainTextFormattedCitation":"(Stone et al., 2018)","previouslyFormattedCitation":"(Stone et al., 2018)"},"properties":{"noteIndex":0},"schema":"https://github.com/citation-style-language/schema/raw/master/csl-citation.json"}</w:instrText>
      </w:r>
      <w:r>
        <w:fldChar w:fldCharType="separate"/>
      </w:r>
      <w:r>
        <w:rPr>
          <w:noProof/>
        </w:rPr>
        <w:t>Stone et al. (2018)</w:t>
      </w:r>
      <w:r>
        <w:fldChar w:fldCharType="end"/>
      </w:r>
      <w:r>
        <w:t xml:space="preserve"> indicated that dynamical variability dominates the ozone changes in this region over 1998–2016. </w:t>
      </w:r>
      <w:r>
        <w:fldChar w:fldCharType="begin" w:fldLock="1"/>
      </w:r>
      <w:r>
        <w:instrText>ADDIN CSL_CITATION {"citationItems":[{"id":"ITEM-1","itemData":{"DOI":"10.1029/2018GL077406","ISSN":"19448007","abstract":"The 1998–2016 ozone trends in the lower stratosphere are examined using the Modern-Era Retrospective Analysis for Research and Applications Version 2 (MERRA-2) and related National Aeronautics and Space Administration products. After removing biases resulting from step changes in the MERRA-2 ozone observations, a discernible negative trend of −1.67 ± 0.54 Dobson units per decade (DU/decade) is found in the 10-km layer above the tropopause between 20°N and 60°N. A weaker but statistically significant trend of −1.17 ± 0.33 DU/decade exists between 50°S and 20°S. In the Tropics, a positive trend is seen in a 5-km layer above the tropopause. Analysis of an idealized tracer in a model simulation constrained by MERRA-2 meteorological fields provides strong evidence that these trends are driven by enhanced isentropic transport between the tropical (20°S–20°N) and extratropical lower stratosphere in the past two decades. This is the first time that a reanalysis data set has been used to detect and attribute trends in lower stratospheric ozone.","author":[{"dropping-particle":"","family":"Wargan","given":"Krzysztof","non-dropping-particle":"","parse-names":false,"suffix":""},{"dropping-particle":"","family":"Orbe","given":"Clara","non-dropping-particle":"","parse-names":false,"suffix":""},{"dropping-particle":"","family":"Pawson","given":"Steven","non-dropping-particle":"","parse-names":false,"suffix":""},{"dropping-particle":"","family":"Ziemke","given":"Jerald R.","non-dropping-particle":"","parse-names":false,"suffix":""},{"dropping-particle":"","family":"Oman","given":"Luke D.","non-dropping-particle":"","parse-names":false,"suffix":""},{"dropping-particle":"","family":"Olsen","given":"Mark A.","non-dropping-particle":"","parse-names":false,"suffix":""},{"dropping-particle":"","family":"Coy","given":"Lawrence","non-dropping-particle":"","parse-names":false,"suffix":""},{"dropping-particle":"","family":"Emma Knowland","given":"K.","non-dropping-particle":"","parse-names":false,"suffix":""}],"container-title":"Geophysical Research Letters","id":"ITEM-1","issue":"10","issued":{"date-parts":[["2018"]]},"page":"5166-5176","title":"Recent Decline in Extratropical Lower Stratospheric Ozone Attributed to Circulation Changes","type":"article-journal","volume":"45"},"uris":["http://www.mendeley.com/documents/?uuid=4908da01-0d53-421f-a49f-1a203fd5993f"]}],"mendeley":{"formattedCitation":"(Wargan et al., 2018)","manualFormatting":"Wargan et al. (2018)","plainTextFormattedCitation":"(Wargan et al., 2018)","previouslyFormattedCitation":"(Wargan et al., 2018)"},"properties":{"noteIndex":0},"schema":"https://github.com/citation-style-language/schema/raw/master/csl-citation.json"}</w:instrText>
      </w:r>
      <w:r>
        <w:fldChar w:fldCharType="separate"/>
      </w:r>
      <w:r>
        <w:rPr>
          <w:noProof/>
        </w:rPr>
        <w:t>Wargan et al. (2018)</w:t>
      </w:r>
      <w:r>
        <w:fldChar w:fldCharType="end"/>
      </w:r>
      <w:r>
        <w:t xml:space="preserve"> suggested, using MERRA-2 reanalysis, that the negative trend in the mid-latitude lower stratosphere could be due to increased mixing between the tropics and mid-latitudes. This idea was partially supported by Ball et al. (2020), who found that the CCMVal2 models with the highest mixing efficiency were also those simulating negative trends at mid-</w:t>
      </w:r>
      <w:r>
        <w:lastRenderedPageBreak/>
        <w:t xml:space="preserve">latitude and provided evidence that mixing across subtropics increased in the period 1998-2016. On the other hand, Orbe et al. (2020) found, using the GEOS general circulation </w:t>
      </w:r>
      <w:proofErr w:type="gramStart"/>
      <w:r>
        <w:t>model,  that</w:t>
      </w:r>
      <w:proofErr w:type="gramEnd"/>
      <w:r>
        <w:t xml:space="preserve"> the recent ozone changes in the lower stratosphere at northern subtropics and mid-latitudes are mainly driven by a poleward expansion of the shallow branch of the residual circulation.  Chipperfield et al. (2018), by extending the period one year to 1998-2017, did not find any robust trend and concluded that the previously reported trends in lower stratospheric (LS) </w:t>
      </w:r>
      <w:proofErr w:type="gramStart"/>
      <w:r>
        <w:t>ozone</w:t>
      </w:r>
      <w:proofErr w:type="gramEnd"/>
      <w:r>
        <w:t xml:space="preserve"> were the result of large natural variability rather than long-term changes. However, further studies have shown that</w:t>
      </w:r>
      <w:r w:rsidR="003D2BE0">
        <w:t>,</w:t>
      </w:r>
      <w:r>
        <w:t xml:space="preserve"> although natural variability plays an important role in the northern mid-latitudes LS ozone trends, the observed negative trend is robust even when changing the end points of the period by a few years </w:t>
      </w:r>
      <w:r>
        <w:fldChar w:fldCharType="begin" w:fldLock="1"/>
      </w:r>
      <w:r w:rsidR="00781F9F">
        <w:instrText xml:space="preserve">ADDIN CSL_CITATION {"citationItems":[{"id":"ITEM-1","itemData":{"DOI":"10.5194/acp-19-12731-2019","ISSN":"16807324","abstract":"The Montreal Protocol, and its subsequent amendments, has successfully prevented catastrophic losses of stratospheric ozone, and signs of recovery are now evident. Nevertheless, recent work has suggested that ozone in the lower stratosphere (&lt; 24 km) continued to decline over the 1998-2016 period, offsetting recovery at higher altitudes and preventing a statistically significant increase in quasi-global (60°S-60°N) total column ozone. In 2017, a large lower stratospheric ozone resurgence over less than 12 months was estimated (using a chemistry transport model; CTM) to have offset the long-term decline in the quasi-global integrated lower stratospheric ozone column. Here, we extend the analysis of space-based ozone observations to December 2018 using the BASICSG ozone composite. We find that the observed 2017 resurgence was only around half that modelled by the CTM, was of comparable magnitude to other strong interannual changes in the past, and was restricted to Southern Hemisphere (SH) midlatitudes (60-30° S). In the SH midlatitude lower stratosphere, the data suggest that by the end of 2018 ozone is still likely lower than in 1998 (probability 80 %). In contrast, tropical and Northern Hemisphere (NH) ozone continue to display ongoing decreases, exceeding 90 % probability. Robust tropical (&gt;95 %, 30°S-30°N) decreases dominate the quasi-global integrated decrease (99 % probability); the integrated tropical stratospheric column (1-100 hPa, 30°S-30°N) displays a significant overall ozone decrease, with 95 % probability. These decreases do not reveal an inefficacy of the Montreal Protocol; rather, they suggest that other effects are at work, mainly dynamical variability on long or short timescales, counteracting the positive effects of the Montreal Protocol on stratospheric ozone recovery. We demonstrate that large interannual midlatitude (30-60°) variations, such as the 2017 resurgence, are driven by non-linear quasi-biennial oscillation (QBO) phase-dependent seasonal variability. However, this variability is not represented in current regression analyses. To understand if observed lower stratospheric ozone decreases are a transient or long-term phenomenon, progress needs to be made in accounting for this dynamically driven variability.","author":[{"dropping-particle":"","family":"Ball","given":"William T.","non-dropping-particle":"","parse-names":false,"suffix":""},{"dropping-particle":"","family":"Alsing","given":"Justin","non-dropping-particle":"","parse-names":false,"suffix":""},{"dropping-particle":"","family":"Staehelin","given":"Johannes","non-dropping-particle":"","parse-names":false,"suffix":""},{"dropping-particle":"","family":"Davis","given":"Sean M.","non-dropping-particle":"","parse-names":false,"suffix":""},{"dropping-particle":"","family":"Froidevaux","given":"Lucien","non-dropping-particle":"","parse-names":false,"suffix":""},{"dropping-particle":"","family":"Peter","given":"Thomas","non-dropping-particle":"","parse-names":false,"suffix":""}],"container-title":"Atmospheric Chemistry and Physics","id":"ITEM-1","issue":"19","issued":{"date-parts":[["2019"]]},"page":"12731-12748","title":"Stratospheric ozone trends for 1985-2018: Sensitivity to recent large variability","type":"article-journal","volume":"19"},"uris":["http://www.mendeley.com/documents/?uuid=abe09cb4-dbb7-4bc7-b13b-3570ddd4dd68"]},{"id":"ITEM-2","itemData":{"DOI":"10.5194/acp-20-9737-2020","ISSN":"16807324","abstract":"The stratospheric ozone layer shields surface life from harmful ultraviolet radiation. Following the Montreal Protocol ban on long-lived ozone-depleting substances (ODSs), rapid depletion of total column ozone (TCO) ceased in the late 1990s, and ozone above 32 km is now clearly recovering. However, there is still no confirmation of TCO recovery, and evidence has emerged that ongoing quasiglobal (60° S-60° N) lower stratospheric ozone decreases may be responsible, dominated by low latitudes (30° S-30° N). Chemistry-climate models (CCMs) used to project future changes predict that lower stratospheric ozone will decrease in the tropics by 2100 but not at mid-latitudes (30-60°). Here, we show that CCMs display an ozone decline similar to that observed in the tropics over 1998-2016, likely driven by an increase in tropical upwelling. On the other hand, mid-latitude lower stratospheric ozone is observed to decrease, while CCMs that specify real-world historical meteorological fields instead show an increase up to present day. However, these cannot be used to simulate future changes; we demonstrate here that free-running CCMs used for projections also show increases. Despite opposing lower stratospheric ozone changes, which should induce opposite temperature trends, CCMs and observed temperature trends agree; we demonstrate that opposing model-observation stratospheric water vapour (SWV) trends, and their associated radiative effects, explain why temperature changes agree in spite of opposing ozone trends. We provide new evidence that the observed mid-latitude trends can be explained by enhanced mixing between the tropics and extratropics. We further show that the temperature trends are consistent with the observed mid-latitude ozone decrease. Together, our results suggest that large-scale circulation changes expected in the future from increased greenhouse gases (GHGs) may now already be underway but that most CCMs do not simulate mid-latitude ozone layer changes well. However, it is important to emphasise that the periods considered here are short, and internal variability that is both intrinsic to each CCM and different to observed historical variability is not well-characterised and can influence trend estimates. Nevertheless, the reason CCMs do not exhibit the observed changes needs to be identified to allow models to be improved in order to build confidence in future projections of the ozone layer.","author":[{"dropping-particle":"","family":"Ball","given":"William T.","non-dropping-particle":"","parse-names":false,"suffix":""},{"dropping-particle":"","family":"Chiodo","given":"Gabriel","non-dropping-particle":"","parse-names":false,"suffix":""},{"dropping-particle":"","family":"Abalos","given":"Marta","non-dropping-particle":"","parse-names":false,"suffix":""},{"dropping-particle":"","family":"Alsing","given":"Justin","non-dropping-particle":"","parse-names":false,"suffix":""},{"dropping-particle":"","family":"Stenke","given":"Andrea","non-dropping-particle":"","parse-names":false,"suffix":""}],"container-title":"Atmospheric Chemistry and Physics","id":"ITEM-2","issue":"16","issued":{"date-parts":[["2020"]]},"page":"9737-9752","title":"Inconsistencies between chemistry-climate models and observed lower stratospheric ozone trends since 1998","type":"article-journal","volume":"20"},"uris":["http://www.mendeley.com/documents/?uuid=346213e5-65bd-436f-8cce-d599ab85d8f5"]},{"id":"ITEM-3","itemData":{"DOI":"10.5194/acp-21-6811-2021","ISSN":"16807324","abstract":"Recent observations show a significant decrease in lower-stratospheric (LS) ozone concentrations in tropical and mid-latitude regions since 1998. By analysing 31 chemistry climate model (CCM) simulations performed for the Chemistry Climate Model Initiative (CCMI; Morgenstern et al., 2017), we find a large spread in the 1998 2018 trend patterns between different CCMs and between different realizations performed with the same CCM. The latter in particular indicates that natural variability strongly influences LS ozone trends. However none of the model simulations reproduce the observed ozone trend structure of coherent negative trends in the LS. In contrast to the observations, most models show an LS trend pattern with negative trends in the tropics (20 S 20 N) and positive trends in the northern mid-latitudes (30 50 N) or vice versa. To investigate the influence of natural variability on recent LS ozone trends, we analyse the sensitivity of observational trends and the models trend probability distributions for varying periods with start dates from 1995 to 2001 and end dates from 2013 to 2019. Generally, modelled and observed LS trends remain robust for these different periods; however observational data show a change towards weaker mid-latitude trends for certain periods, likely forced by natural variability. Moreover we show that in the tropics the observed trends agree well with the models trend distribution, whereas in the mid-latitudes the observational trend is typically an extreme value of the models distribution. We further investigate the LS ozone trends for extended periods reaching into the future and find that all models develop a positive ozone trend at mid-latitudes, and the trends converge to constant values by the period that spans 1998 2060. Inter-model correlations between ozone trends and transport-circulation trends confirm the dominant role of greenhouse gas (GHG)-driven tropical upwelling enhancement on the tropical LS ozone decrease. Mid-latitude ozone, on the other hand, appears to be influenced by multiple competing factors: an enhancement in the shallow branch decreases ozone, while an enhancement in the deep branch increases ozone, and, furthermore, mixing plays a role here too. Sensitivity simulations with fixed forcing of GHGs or ozonedepleting substances (ODSs) reveal that the GHG-driven increase in circulation strength does not lead to a net trend in LS mid-latitude column ozone. Rather, the positive ozone trends simulated …","author":[{"dropping-particle":"","family":"Dietmüller","given":"Simone","non-dropping-particle":"","parse-names":false,"suffix":""},{"dropping-particle":"","family":"Garny","given":"Hella","non-dropping-particle":"","parse-names":false,"suffix":""},{"dropping-particle":"","family":"Eichinger","given":"Roland","non-dropping-particle":"","parse-names":false,"suffix":""},{"dropping-particle":"","family":"T. Ball","given":"William","non-dropping-particle":"","parse-names":false,"suffix":""}],"container-title":"Atmospheric Chemistry and Physics","id":"ITEM-3","issue":"9","issued":{"date-parts":[["2021"]]},"page":"6811-6837","title":"Analysis of recent lower-stratospheric ozone trends in chemistry climate models","type":"article-journal","volume":"21"},"uris":["http://www.mendeley.com/documents/?uuid=ec470fca-7eb9-49d7-bc91-23f50bb0652a"]},{"id":"ITEM-4","itemData":{"DOI":"10.5194/acp-22-11657-2022","ISSN":"16807324","abstract":"This study presents an updated evaluation of stratospheric ozone profile trends in the 60°S-60°N latitude range over the 2000-2020 period using an updated version of the Long-term Ozone Trends and Uncertainties in the Stratosphere (LOTUS) regression model that was used to evaluate such trends up to 2016 for the last WMO Ozone Assessment (2018). In addition to the derivation of detailed trends as a function of latitude and vertical coordinates, the regressions are performed with the datasets averaged over broad latitude bands, i.e. 60-35°S, 20°S-20°N and 35-60°N. The same methodology as in the last assessment is applied to combine trends in these broad latitude bands in order to compare the results with the previous studies. Longitudinally resolved merged satellite records are also considered in order to provide a better comparison with trends retrieved from ground-based records, e.g. lidar, ozonesondes, Umkehr, microwave and Fourier transform infrared (FTIR) spectrometers at selected stations where long-term time series are available. The study includes a comparison with trends derived from the REF-C2 simulations of the Chemistry Climate Model Initiative (CCMI-1). This work confirms past results showing an ozone increase in the upper stratosphere, which is now significant in the three broad latitude bands. The increase is largest in the Northern and Southern Hemisphere midlatitudes, with </w:instrText>
      </w:r>
      <w:r w:rsidR="00781F9F">
        <w:rPr>
          <w:rFonts w:ascii="Cambria Math" w:hAnsi="Cambria Math" w:cs="Cambria Math"/>
        </w:rPr>
        <w:instrText>∼</w:instrText>
      </w:r>
      <w:r w:rsidR="00781F9F">
        <w:instrText xml:space="preserve">2.2 </w:instrText>
      </w:r>
      <w:r w:rsidR="00781F9F">
        <w:rPr>
          <w:rFonts w:ascii="Calibri" w:hAnsi="Calibri" w:cs="Calibri"/>
        </w:rPr>
        <w:instrText>±</w:instrText>
      </w:r>
      <w:r w:rsidR="00781F9F">
        <w:instrText xml:space="preserve"> 0.7 % per decade at </w:instrText>
      </w:r>
      <w:r w:rsidR="00781F9F">
        <w:rPr>
          <w:rFonts w:ascii="Cambria Math" w:hAnsi="Cambria Math" w:cs="Cambria Math"/>
        </w:rPr>
        <w:instrText>∼</w:instrText>
      </w:r>
      <w:r w:rsidR="00781F9F">
        <w:instrText xml:space="preserve">2.1 hPa and </w:instrText>
      </w:r>
      <w:r w:rsidR="00781F9F">
        <w:rPr>
          <w:rFonts w:ascii="Cambria Math" w:hAnsi="Cambria Math" w:cs="Cambria Math"/>
        </w:rPr>
        <w:instrText>∼</w:instrText>
      </w:r>
      <w:r w:rsidR="00781F9F">
        <w:instrText xml:space="preserve">2.1 </w:instrText>
      </w:r>
      <w:r w:rsidR="00781F9F">
        <w:rPr>
          <w:rFonts w:ascii="Calibri" w:hAnsi="Calibri" w:cs="Calibri"/>
        </w:rPr>
        <w:instrText>±</w:instrText>
      </w:r>
      <w:r w:rsidR="00781F9F">
        <w:instrText xml:space="preserve"> 0.6 % per decade at </w:instrText>
      </w:r>
      <w:r w:rsidR="00781F9F">
        <w:rPr>
          <w:rFonts w:ascii="Cambria Math" w:hAnsi="Cambria Math" w:cs="Cambria Math"/>
        </w:rPr>
        <w:instrText>∼</w:instrText>
      </w:r>
      <w:r w:rsidR="00781F9F">
        <w:instrText xml:space="preserve">3.2 hPa respectively compared to </w:instrText>
      </w:r>
      <w:r w:rsidR="00781F9F">
        <w:rPr>
          <w:rFonts w:ascii="Cambria Math" w:hAnsi="Cambria Math" w:cs="Cambria Math"/>
        </w:rPr>
        <w:instrText>∼</w:instrText>
      </w:r>
      <w:r w:rsidR="00781F9F">
        <w:instrText xml:space="preserve">1.6 </w:instrText>
      </w:r>
      <w:r w:rsidR="00781F9F">
        <w:rPr>
          <w:rFonts w:ascii="Calibri" w:hAnsi="Calibri" w:cs="Calibri"/>
        </w:rPr>
        <w:instrText>±</w:instrText>
      </w:r>
      <w:r w:rsidR="00781F9F">
        <w:instrText xml:space="preserve"> 0.6 % per decade at </w:instrText>
      </w:r>
      <w:r w:rsidR="00781F9F">
        <w:rPr>
          <w:rFonts w:ascii="Cambria Math" w:hAnsi="Cambria Math" w:cs="Cambria Math"/>
        </w:rPr>
        <w:instrText>∼</w:instrText>
      </w:r>
      <w:r w:rsidR="00781F9F">
        <w:instrText>2.6 hPa in the tropics. New trend signals have emerged from the records, such as a significant decrease in ozone in the tropics around 35 hPa and a non-significant increase in ozone in the southern midlatitudes at about 20 hPa. Non-significant negative ozone trends are derived in the lowermost stratosphere, with the most pronounced trends in the tropics. While a very good agreement is obtained between trends from merged satellite records and the CCMI-1 REF-C2 simulation in the upper stratosphere, observed negative trends in the lower stratosphere are not reproduced by models at southern and, in particular, at northern midlatitudes, where models report an ozone increase. However, the lower-stratospheric trend uncertainties are quite large, for both measured and modelled trends. Finally, 2000-2020 stratospheric ozone trends derived from the ground-based and longitudinally resolved satellite records are in reasonable agreement over the European A…","author":[{"dropping-particle":"","family":"Godin-Beekmann","given":"Sophie","non-dropping-particle":"","parse-names":false,"suffix":""},{"dropping-particle":"","family":"Azouz","given":"Niramson","non-dropping-particle":"","parse-names":false,"suffix":""},{"dropping-particle":"","family":"Sofieva","given":"Viktoria F.","non-dropping-particle":"","parse-names":false,"suffix":""},{"dropping-particle":"","family":"Hubert","given":"Daan","non-dropping-particle":"","parse-names":false,"suffix":""},{"dropping-particle":"","family":"Petropavlovskikh","given":"Irina","non-dropping-particle":"","parse-names":false,"suffix":""},{"dropping-particle":"","family":"Effertz","given":"Peter","non-dropping-particle":"","parse-names":false,"suffix":""},{"dropping-particle":"","family":"Ancellet","given":"Gérard","non-dropping-particle":"","parse-names":false,"suffix":""},{"dropping-particle":"","family":"Degenstein","given":"Doug A.","non-dropping-particle":"","parse-names":false,"suffix":""},{"dropping-particle":"","family":"Zawada","given":"Daniel","non-dropping-particle":"","parse-names":false,"suffix":""},{"dropping-particle":"","family":"Froidevaux","given":"Lucien","non-dropping-particle":"","parse-names":false,"suffix":""},{"dropping-particle":"","family":"Frith","given":"Stacey","non-dropping-particle":"","parse-names":false,"suffix":""},{"dropping-particle":"","family":"Wild","given":"Jeannette","non-dropping-particle":"","parse-names":false,"suffix":""},{"dropping-particle":"","family":"Davis","given":"Sean","non-dropping-particle":"","parse-names":false,"suffix":""},{"dropping-particle":"","family":"Steinbrecht","given":"Wolfgang","non-dropping-particle":"","parse-names":false,"suffix":""},{"dropping-particle":"","family":"Leblanc","given":"Thierry","non-dropping-particle":"","parse-names":false,"suffix":""},{"dropping-particle":"","family":"Querel","given":"Richard","non-dropping-particle":"","parse-names":false,"suffix":""},{"dropping-particle":"","family":"Tourpali","given":"Kleareti","non-dropping-particle":"","parse-names":false,"suffix":""},{"dropping-particle":"","family":"Damadeo","given":"Robert","non-dropping-particle":"","parse-names":false,"suffix":""},{"dropping-particle":"","family":"Maillard Barras","given":"Eliane","non-dropping-particle":"","parse-names":false,"suffix":""},{"dropping-particle":"","family":"Stübi","given":"René","non-dropping-particle":"","parse-names":false,"suffix":""},{"dropping-particle":"","family":"Vigouroux","given":"Corinne","non-dropping-particle":"","parse-names":false,"suffix":""},{"dropping-particle":"","family":"Arosio","given":"Carlo","non-dropping-particle":"","parse-names":false,"suffix":""},{"dropping-particle":"","family":"Nedoluha","given":"Gerald","non-dropping-particle</w:instrText>
      </w:r>
      <w:r w:rsidR="00781F9F" w:rsidRPr="005E5454">
        <w:rPr>
          <w:lang w:val="de-DE"/>
        </w:rPr>
        <w:instrText>":"","parse-names":false,"suffix":""},{"dropping-particle":"","family":"Boyd","given":"Ian","non-dropping-particle":"","parse-names":false,"suffix":""},{"dropping-particle":"","family":"Malderen","given":"Roeland","non-dropping-particle":"Van","parse-names":false,"suffix":""},{"dropping-particle":"","family":"Mahieu","given":"Emmanuel","non-dropping-particle":"","parse-names":false,"suffix":""},{"dropping-particle":"","family":"Smale","given":"Dan","non-dropping-particle":"","parse-names":false,"suffix":""},{"dropping-particle":"","family":"Sussmann","given":"Ralf","non-dropping-particle":"","parse-names":false,"suffix":""}],"container-title":"Atmospheric Chemistry and Physics","id":"ITEM-4","issue":"17","issued":{"date-parts":[["2022"]]},"page":"11657-11673","title":"Updated trends of the stratospheric ozone vertical distribution in the 60°S-60°N latitude range based on the LOTUS regression model","type":"article-journal","volume":"22"},"uris":["http://www.mendeley.com/documents/?uuid=c98edd9b-77c7-4ba1-8706-3ca116073912"]}],"mendeley":{"formattedCitation":"(Ball et al., 2019, 2020; Dietmüller et al., 2021; Godin-Beekmann et al., 2022)","plainTextFormattedCitation":"(Ball et al., 2019, 2020; Dietmüller et al., 2021; Godin-Beekmann et al., 2022)","previouslyFormattedCitation":"(Ball et al., 2019, 2020; Dietmüller et al., 2021; Godin-Beekmann et al., 2022)"},"properties":{"noteIndex":0},"schema":"https://github.com/citation-style-language/schema/raw/master/csl-citation.json"}</w:instrText>
      </w:r>
      <w:r>
        <w:fldChar w:fldCharType="separate"/>
      </w:r>
      <w:r w:rsidR="00731574" w:rsidRPr="005E5454">
        <w:rPr>
          <w:noProof/>
          <w:lang w:val="de-DE"/>
        </w:rPr>
        <w:t>(Ball et al., 2019, 2020; Dietmüller et al., 2021; Godin-Beekmann et al., 2022)</w:t>
      </w:r>
      <w:r>
        <w:fldChar w:fldCharType="end"/>
      </w:r>
      <w:r w:rsidRPr="005E5454">
        <w:rPr>
          <w:lang w:val="de-DE"/>
        </w:rPr>
        <w:t xml:space="preserve">. </w:t>
      </w:r>
    </w:p>
    <w:p w14:paraId="780712C2" w14:textId="108E2A19" w:rsidR="00814700" w:rsidRDefault="006D0001">
      <w:pPr>
        <w:pStyle w:val="TextoNormal"/>
      </w:pPr>
      <w:r>
        <w:t xml:space="preserve">Previous studies have applied a multi-model approach to investigate how well chemistry-climate models (CCMs) reproduce the observed trend patterns in the middle latitudes of the lower stratosphere. Ball et al. (2018) showed for the first time the inability of two CCM models </w:t>
      </w:r>
      <w:proofErr w:type="gramStart"/>
      <w:r>
        <w:t>run</w:t>
      </w:r>
      <w:proofErr w:type="gramEnd"/>
      <w:r>
        <w:t xml:space="preserve"> with specified dynamics to reproduce LS ozone trends. Following this, Ball et al. (2020) and </w:t>
      </w:r>
      <w:r w:rsidR="005C7BA8">
        <w:t xml:space="preserve">Dietmüller </w:t>
      </w:r>
      <w:r>
        <w:t xml:space="preserve">et al. (2021), by using CCMVal2 and CCMI-1 </w:t>
      </w:r>
      <w:proofErr w:type="gramStart"/>
      <w:r>
        <w:t>simulations  respectively</w:t>
      </w:r>
      <w:proofErr w:type="gramEnd"/>
      <w:r>
        <w:t xml:space="preserve">, concluded that these models were not able to reproduce the observed trend pattern in the lower stratosphere. Instead of a decrease, both sets of models simulated an increase in mid-latitudes. Both studies discussed different reasons to explain this disagreement, such as the </w:t>
      </w:r>
      <w:proofErr w:type="gramStart"/>
      <w:r>
        <w:t>mis-representation</w:t>
      </w:r>
      <w:proofErr w:type="gramEnd"/>
      <w:r>
        <w:t xml:space="preserve"> of ozone transport processes in the models, the </w:t>
      </w:r>
      <w:proofErr w:type="gramStart"/>
      <w:r>
        <w:t>mis-representation</w:t>
      </w:r>
      <w:proofErr w:type="gramEnd"/>
      <w:r>
        <w:t xml:space="preserve"> of ODS and GHG effect on LS ozone, or that natural variability is not well captured in these sets of models. To our knowledge, the actual reasons for the discrepancies in LS ozone trends between models and observations have not been identified to date. </w:t>
      </w:r>
    </w:p>
    <w:p w14:paraId="780712C3" w14:textId="5C6C612D" w:rsidR="00814700" w:rsidRDefault="006D0001">
      <w:pPr>
        <w:pStyle w:val="TextoNormal"/>
      </w:pPr>
      <w:r>
        <w:t>Importantly, the multimodel evaluations of recent ozone trends by Ball et al. (2020) and Dietm</w:t>
      </w:r>
      <w:r w:rsidR="005C7BA8">
        <w:t>ü</w:t>
      </w:r>
      <w:r>
        <w:t xml:space="preserve">ller et al. (2021) only used long-term simulations with sea surface temperatures (SST) simulated by a coupled climate model, as neither CCMVal2 nor CCMI-1 provided simulations with historical boundary conditions covering the observed period up to 2016 or later (CCMVal2 up to 2006 and CCMI-1 up to 2013). This raises the question whether the </w:t>
      </w:r>
      <w:proofErr w:type="gramStart"/>
      <w:r>
        <w:t>particular climate</w:t>
      </w:r>
      <w:proofErr w:type="gramEnd"/>
      <w:r>
        <w:t xml:space="preserve"> variability over the period of interest may have played a role </w:t>
      </w:r>
      <w:proofErr w:type="gramStart"/>
      <w:r>
        <w:t>in  the</w:t>
      </w:r>
      <w:proofErr w:type="gramEnd"/>
      <w:r>
        <w:t xml:space="preserve"> observed ozone trends. We therefore take advantage of the latest Chemistry Climate Model Initiative 2022 (CCMI-2022), which provides historical simulations with observed climate variability extending up to 2018, in addition to long-term simulations with modelled ocean. This allows us to revisit recent ozone trends in the new generation</w:t>
      </w:r>
      <w:r w:rsidR="002F7276">
        <w:t xml:space="preserve"> of </w:t>
      </w:r>
      <w:proofErr w:type="gramStart"/>
      <w:r w:rsidR="002F7276">
        <w:t>model</w:t>
      </w:r>
      <w:proofErr w:type="gramEnd"/>
      <w:r>
        <w:t xml:space="preserve"> and further study the impact of natural climate variability and transport on these trends by comparing simulations with and without observed natural variability.</w:t>
      </w:r>
    </w:p>
    <w:p w14:paraId="780712C4" w14:textId="48D8735C" w:rsidR="00814700" w:rsidRDefault="006D0001">
      <w:pPr>
        <w:pStyle w:val="TextoNormal"/>
      </w:pPr>
      <w:r>
        <w:t>The remainder of the paper is organized as follows: a brief description of the methodology, observational dataset and model simulations analyzed is presented in Sect</w:t>
      </w:r>
      <w:r w:rsidR="001A5E8F">
        <w:t>ion</w:t>
      </w:r>
      <w:r>
        <w:t xml:space="preserve"> 2. Section 3.1 provides a detailed assessment of ozone trends in CCMI-2022 models over the period 1998-2018, while Sect</w:t>
      </w:r>
      <w:r w:rsidR="001A5E8F">
        <w:t>ion</w:t>
      </w:r>
      <w:r>
        <w:t xml:space="preserve"> 3.2 and 3.3 analyze how ozone trends are affected by natural and forced variability and link them to changes in stratospheric ozone transport. Finally, Sect</w:t>
      </w:r>
      <w:r w:rsidR="001A5E8F">
        <w:t>ion</w:t>
      </w:r>
      <w:r>
        <w:t xml:space="preserve"> 4 discusses the main results and summarizes the conclusions of this study.</w:t>
      </w:r>
    </w:p>
    <w:p w14:paraId="780712C5" w14:textId="77777777" w:rsidR="00814700" w:rsidRDefault="006D0001">
      <w:pPr>
        <w:pStyle w:val="Heading-Main"/>
        <w:rPr>
          <w:rFonts w:asciiTheme="minorHAnsi" w:hAnsiTheme="minorHAnsi" w:cstheme="minorHAnsi"/>
        </w:rPr>
      </w:pPr>
      <w:r>
        <w:rPr>
          <w:rFonts w:asciiTheme="minorHAnsi" w:hAnsiTheme="minorHAnsi" w:cstheme="minorHAnsi"/>
        </w:rPr>
        <w:lastRenderedPageBreak/>
        <w:t>2 Data and Methods</w:t>
      </w:r>
    </w:p>
    <w:p w14:paraId="780712C6" w14:textId="77777777" w:rsidR="00814700" w:rsidRDefault="006D0001">
      <w:pPr>
        <w:pStyle w:val="Heading-Secondary"/>
        <w:rPr>
          <w:b/>
        </w:rPr>
      </w:pPr>
      <w:r>
        <w:rPr>
          <w:b/>
        </w:rPr>
        <w:t>2.1 Observations and reanalyses data</w:t>
      </w:r>
    </w:p>
    <w:p w14:paraId="780712C7" w14:textId="2245CD07" w:rsidR="00814700" w:rsidRDefault="006D0001">
      <w:pPr>
        <w:pStyle w:val="TextoNormal"/>
      </w:pPr>
      <w:r>
        <w:t xml:space="preserve">The </w:t>
      </w:r>
      <w:proofErr w:type="spellStart"/>
      <w:r>
        <w:t>BAyeSian</w:t>
      </w:r>
      <w:proofErr w:type="spellEnd"/>
      <w:r>
        <w:t xml:space="preserve"> Integrated and Consolidated (BASIC</w:t>
      </w:r>
      <w:r>
        <w:rPr>
          <w:vertAlign w:val="subscript"/>
        </w:rPr>
        <w:t>SG</w:t>
      </w:r>
      <w:r>
        <w:t xml:space="preserve">; </w:t>
      </w:r>
      <w:r>
        <w:fldChar w:fldCharType="begin" w:fldLock="1"/>
      </w:r>
      <w:r>
        <w:instrText>ADDIN CSL_CITATION {"citationItems":[{"id":"ITEM-1","itemData":{"DOI":"10.5194/acp-17-12269-2017","ISSN":"16807324","abstract":"Observations of stratospheric ozone from multiple instruments now span three decades; combining these into composite datasets allows long-term ozone trends to be estimated. Recently, several ozone composites have been published, but trends disagree by latitude and altitude, even between composites built upon the same instrument data. We confirm that the main causes of differences in decadal trend estimates lie in (i) steps in the composite time series when the instrument source data changes and (ii) artificial sub-decadal trends in the underlying instrument data. These artefacts introduce features that can alias with regressors in multiple linear regression (MLR) analysis; both can lead to inaccurate trend estimates. Here, we aim to remove these artefacts using Bayesian methods to infer the underlying ozone time series from a set of composites by building a joint-likelihood function using a Gaussian-mixture density to model outliers introduced by data artefacts, together with a data-driven prior on ozone variability that incorporates knowledge of problems during instrument operation. We apply this Bayesian self-calibration approach to stratospheric ozone in 10° bands from 60° S to 60° N and from 46 to 1 hPa (∼ 21-48 km) for 1985-2012. There are two main outcomes: (i) we independently identify and confirm many of the data problems previously identified, but which remain unaccounted for in existing composites; (ii) we construct an ozone composite, with uncertainties, that is free from most of these problems - we call this the BAyeSian Integrated and Consolidated (BASIC) composite. To analyse the new BASIC composite, we use dynamical linear modelling (DLM), which provides a more robust estimate of long-term changes through Bayesian inference than MLR. BASIC and DLM, together, provide a step forward in improving estimates of decadal trends. Our results indicate a significant recovery of ozone since 1998 in the upper stratosphere, of both northern and southern midlatitudes, in all four composites analysed, and particularly in the BASIC composite. The BASIC results also show no hemispheric difference in the recovery at midlatitudes, in contrast to an apparent feature that is present, but not consistent, in the four composites. Our overall conclusion is that it is possible to effectively combine different ozone composites and account for artefacts and drifts, and that this leads to a clear and significant result that upper stratospheric ozone levels have incre…","author":[{"dropping-particle":"","family":"Ball","given":"William T.","non-dropping-particle":"","parse-names":false,"suffix":""},{"dropping-particle":"","family":"Alsing","given":"Justin","non-dropping-particle":"","parse-names":false,"suffix":""},{"dropping-particle":"","family":"Mortlock","given":"Daniel J.","non-dropping-particle":"","parse-names":false,"suffix":""},{"dropping-particle":"V.","family":"Rozanov","given":"Eugene","non-dropping-particle":"","parse-names":false,"suffix":""},{"dropping-particle":"","family":"Tummon","given":"Fiona","non-dropping-particle":"","parse-names":false,"suffix":""},{"dropping-particle":"","family":"Haigh","given":"Joanna D.","non-dropping-particle":"","parse-names":false,"suffix":""}],"container-title":"Atmospheric Chemistry and Physics","id":"ITEM-1","issue":"20","issued":{"date-parts":[["2017"]]},"page":"12269-12302","title":"Reconciling differences in stratospheric ozone composites","type":"article-journal","volume":"17"},"uris":["http://www.mendeley.com/documents/?uuid=1d523d72-ebc3-4c3d-b601-613f6a7e2006"]},{"id":"ITEM-2","itemData":{"DOI":"10.5194/acp-18-1379-2018","ISSN":"16807324","abstract":"Ozone forms in the Earth's atmosphere from the photodissociation of molecular oxygen, primarily in the tropical stratosphere. It is then transported to the extratropics by the Brewer-Dobson circulation (BDC), forming a protective \"ozone layer\" around the globe. Human emissions of halogen-containing ozone-depleting substances (hODSs) led to a decline in stratospheric ozone until they were banned by the Montreal Protocol, and since 1998 ozone in the upper stratosphere is rising again, likely the recovery from halogeninduced losses. Total column measurements of ozone between the Earth's surface and the top of the atmosphere indicate that the ozone layer has stopped declining across the globe, but no clear increase has been observed at latitudes between 60 S and 60 N outside the polar regions (60-90°). Here we report evidence from multiple satellite measurements that ozone in the lower stratosphere between 60° S and 60° N has indeed continued to decline since 1998. We find that, even though upper stratospheric ozone is recovering, the continuing downward trend in the lower stratosphere prevails, resulting in a downward trend in stratospheric column ozone between 60° S and 60° N. We find that total column ozone between 60° S and 60° N appears not to have decreased only because of increases in tropospheric column ozone that compensate for the stratospheric decreases. The reasons for the continued reduction of lower stratospheric ozone are not clear; models do not reproduce these trends, and thus the causes now urgently need to be established.","author":[{"dropping-particle":"","family":"Ball","given":"William T.","non-dropping-particle":"","parse-names":false,"suffix":""},{"dropping-particle":"","family":"Alsing","given":"Justin","non-dropping-particle":"","parse-names":false,"suffix":""},{"dropping-particle":"","family":"Mortlock","given":"Daniel J.","non-dropping-particle":"","parse-names":false,"suffix":""},{"dropping-particle":"","family":"Staehelin","given":"Johannes","non-dropping-particle":"","parse-names":false,"suffix":""},{"dropping-particle":"","family":"Haigh","given":"Joanna D.","non-dropping-particle":"","parse-names":false,"suffix":""},{"dropping-particle":"","family":"Peter","given":"Thomas","non-dropping-particle":"","parse-names":false,"suffix":""},{"dropping-particle":"","family":"Tummon","given":"Fiona","non-dropping-particle":"","parse-names":false,"suffix":""},{"dropping-particle":"","family":"Stübi","given":"Rene","non-dropping-particle":"","parse-names":false,"suffix":""},{"dropping-particle":"","family":"Stenke","given":"Andrea","non-dropping-particle":"","parse-names":false,"suffix":""},{"dropping-particle":"","family":"Anderson","given":"John","non-dropping-particle":"","parse-names":false,"suffix":""},{"dropping-particle":"","family":"Bourassa","given":"Adam","non-dropping-particle":"","parse-names":false,"suffix":""},{"dropping-particle":"","family":"Davis","given":"Sean M.","non-dropping-particle":"","parse-names":false,"suffix":""},{"dropping-particle":"","family":"Degenstein","given":"Doug","non-dropping-particle":"","parse-names":false,"suffix":""},{"dropping-particle":"","family":"Frith","given":"Stacey","non-dropping-particle":"","parse-names":false,"suffix":""},{"dropping-particle":"","family":"Froidevaux","given":"Lucien","non-dropping-particle":"","parse-names":false,"suffix":""},{"dropping-particle":"","family":"Roth","given":"Chris","non-dropping-particle":"","parse-names":false,"suffix":""},{"dropping-particle":"","family":"Sofieva","given":"Viktoria","non-dropping-particle":"","parse-names":false,"suffix":""},{"dropping-particle":"","family":"Wang","given":"Ray","non-dropping-particle":"","parse-names":false,"suffix":""},{"dropping-particle":"","family":"Wild","given":"Jeannette","non-dropping-particle":"","parse-names":false,"suffix":""},{"dropping-particle":"","family":"Yu","given":"Pengfei","non-dropping-particle":"","parse-names":false,"suffix":""},{"dropping-particle":"","family":"Ziemke","given":"Jerald R.","non-dropping-particle":"","parse-names":false,"suffix":""},{"dropping-particle":"V.","family":"Rozanov","given":"Eugene","non-dropping-particle":"","parse-names":false,"suffix":""}],"container-title":"Atmospheric Chemistry and Physics","id":"ITEM-2","issue":"2","issued":{"date-parts":[["2018"]]},"page":"1379-1394","title":"Evidence for a continuous decline in lower stratospheric ozone offsetting ozone layer recovery","type":"article-journal","volume":"18"},"uris":["http://www.mendeley.com/documents/?uuid=9113353a-99b1-4c75-b972-efdfd7481a81"]}],"mendeley":{"formattedCitation":"(Ball et al., 2017, 2018)","manualFormatting":"Ball et al., 2017, 2018","plainTextFormattedCitation":"(Ball et al., 2017, 2018)","previouslyFormattedCitation":"(Ball et al., 2017, 2018)"},"properties":{"noteIndex":0},"schema":"https://github.com/citation-style-language/schema/raw/master/csl-citation.json"}</w:instrText>
      </w:r>
      <w:r>
        <w:fldChar w:fldCharType="separate"/>
      </w:r>
      <w:r>
        <w:rPr>
          <w:noProof/>
        </w:rPr>
        <w:t>Ball et al., 2017, 2018</w:t>
      </w:r>
      <w:r>
        <w:fldChar w:fldCharType="end"/>
      </w:r>
      <w:r>
        <w:t xml:space="preserve">) merged ozone dataset is used for ozone observations. This dataset merges the Stratospheric Water and </w:t>
      </w:r>
      <w:proofErr w:type="spellStart"/>
      <w:r>
        <w:t>OzOne</w:t>
      </w:r>
      <w:proofErr w:type="spellEnd"/>
      <w:r>
        <w:t xml:space="preserve"> Satellite Homogenized (SWOOSH) version 2.6 </w:t>
      </w:r>
      <w:r>
        <w:fldChar w:fldCharType="begin" w:fldLock="1"/>
      </w:r>
      <w:r>
        <w:instrText>ADDIN CSL_CITATION {"citationItems":[{"id":"ITEM-1","itemData":{"DOI":"10.5194/essd-8-461-2016","ISSN":"18663516","abstract":"In this paper, we describe the construction of the Stratospheric Water and Ozone Satellite Homogenized (SWOOSH) database, which includes vertically resolved ozone and water vapor data from a subset of the limb profiling satellite instruments operating since the 1980s. The primary SWOOSH products are zonal-mean monthly-mean time series of water vapor and ozone mixing ratio on pressure levels (12 levels per decade from 316 to 1 hPa). The SWOOSH pressure level products are provided on several independent zonal-mean grids (2.5, 5, and 10°), and additional products include two coarse 3-D griddings (30° long × 10° lat, 20° × 5°) as well as a zonal-mean isentropic product. SWOOSH includes both individual satellite source data as well as a merged data product. A key aspect of the merged product is that the source records are homogenized to account for inter-satellite biases and to minimize artificial jumps in the record. We describe the SWOOSH homogenization process, which involves adjusting the satellite data records to a \"reference\" satellite using coincident observations during time periods of instrument overlap. The reference satellite is chosen based on the best agreement with independent balloon-based sounding measurements, with the goal of producing a long-term data record that is both homogeneous (i.e., with minimal artificial jumps in time) and accurate (i.e., unbiased). This paper details the choice of reference measurements, homogenization, and gridding process involved in the construction of the combined SWOOSH product and also presents the ancillary information stored in SWOOSH that can be used in future studies of water vapor and ozone variability. Furthermore, a discussion of uncertainties in the combined SWOOSH record is presented, and examples of the SWOOSH record are provided to illustrate its use for studies of ozone and water vapor variability on interannual to decadal timescales. The version 2.5 SWOOSH data are publicly available at doi:10.7289/V5TD9VBX.","author":[{"dropping-particle":"","family":"Davis","given":"Sean M.","non-dropping-particle":"","parse-names":false,"suffix":""},{"dropping-particle":"","family":"Rosenlof","given":"Karen H.","non-dropping-particle":"","parse-names":false,"suffix":""},{"dropping-particle":"","family":"Hassler","given":"Birgit","non-dropping-particle":"","parse-names":false,"suffix":""},{"dropping-particle":"","family":"Hurst","given":"Dale F.","non-dropping-particle":"","parse-names":false,"suffix":""},{"dropping-particle":"","family":"Read","given":"William G.","non-dropping-particle":"","parse-names":false,"suffix":""},{"dropping-particle":"","family":"Vömel","given":"Holger","non-dropping-particle":"","parse-names":false,"suffix":""},{"dropping-particle":"","family":"Selkirk","given":"Henry","non-dropping-particle":"","parse-names":false,"suffix":""},{"dropping-particle":"","family":"Fujiwara","given":"Masatomo","non-dropping-particle":"","parse-names":false,"suffix":""},{"dropping-particle":"","family":"Damadeo","given":"Robert","non-dropping-particle":"","parse-names":false,"suffix":""}],"container-title":"Earth System Science Data","id":"ITEM-1","issue":"2","issued":{"date-parts":[["2016"]]},"page":"461-490","title":"The Stratospheric Water and Ozone Satellite Homogenized (SWOOSH) database: A long-term database for climate studies","type":"article-journal","volume":"8"},"uris":["http://www.mendeley.com/documents/?uuid=1fe846da-fab8-4736-8161-a221d0db2dc6"]}],"mendeley":{"formattedCitation":"(Davis et al., 2016)","plainTextFormattedCitation":"(Davis et al., 2016)","previouslyFormattedCitation":"(Davis et al., 2016)"},"properties":{"noteIndex":0},"schema":"https://github.com/citation-style-language/schema/raw/master/csl-citation.json"}</w:instrText>
      </w:r>
      <w:r>
        <w:fldChar w:fldCharType="separate"/>
      </w:r>
      <w:r>
        <w:rPr>
          <w:noProof/>
        </w:rPr>
        <w:t>(Davis et al., 2016)</w:t>
      </w:r>
      <w:r>
        <w:fldChar w:fldCharType="end"/>
      </w:r>
      <w:r>
        <w:t xml:space="preserve"> and the Global </w:t>
      </w:r>
      <w:proofErr w:type="spellStart"/>
      <w:r>
        <w:t>OZone</w:t>
      </w:r>
      <w:proofErr w:type="spellEnd"/>
      <w:r>
        <w:t xml:space="preserve"> Chemistry And Related trace gas Data records for the Stratosphere (GOZCARDS) version 2.20 </w:t>
      </w:r>
      <w:r>
        <w:fldChar w:fldCharType="begin" w:fldLock="1"/>
      </w:r>
      <w:r>
        <w:instrText>ADDIN CSL_CITATION {"citationItems":[{"id":"ITEM-1","itemData":{"DOI":"10.5194/acp-15-10471-2015","ISSN":"16807324","abstract":"We describe the publicly available data from the Global OZone Chemistry And Related trace gas Data records for the Stratosphere (GOZCARDS) project and provide some results, with a focus on hydrogen chloride (HCl), water vapor (H2O), and ozone (O3). This data set is a global long-term stratospheric Earth system data record, consisting of monthly zonal mean time series starting as early as 1979. The data records are based on high-quality measurements from several NASA satellite instruments and the Atmospheric Chemistry Experiment Fourier Transform Spectrometer (ACE-FTS) on SCISAT. We examine consistency aspects between the various data sets. To merge ozone records, the time series are debiased relative to SAGE II (Stratospheric Aerosol and Gas Experiments) values by calculating average offsets versus SAGE II during measurement overlap periods, whereas for other species the merging derives from an averaging procedure during overlap periods. The GOZCARDS files contain mixing ratios on a common pressure-latitude grid, as well as standard errors and other diagnostics; we also present estimates of systematic uncertainties in the merged products. Monthly mean temperatures for GOZCARDS were also produced, based directly on data from the Modern-Era Retrospective analysis for Research and Applications. The GOZCARDS HCl merged product comes from the Halogen Occultation Experiment (HALOE), ACE-FTS and lower-stratospheric Aura Microwave Limb Sounder (MLS) data. After a rapid rise in upper-stratospheric HCl in the early 1990s, the rate of decrease in this region for 1997-2010 was between 0.4 and 0.7 % yrg'1. On 6-8-year timescales, the rate of decrease peaked in 2004-2005 at about 1 % yrg'1, and it has since levelled off, at ∼ 0.5 % yrg'1. With a delay of 6-7 years, these changes roughly follow total surface chlorine, whose behavior versus time arises from inhomogeneous changes in the source gases. Since the late 1990s, HCl decreases in the lower stratosphere have occurred with pronounced latitudinal variability at rates sometimes exceeding 1-2 % yrg'1. Recent short-term tendencies of lower-stratospheric and column HCl vary substantially, with increases from 2005 to 2010 for northern midlatitudes and deep tropics, but decreases (increases) after 2011 at northern (southern) midlatitudes. For H2O, the GOZCARDS product covers both stratosphere and mesosphere, and the same instruments as for HCl are used, along with Upper Atmosphere Research Satellite (UARS) MLS stratosph…","author":[{"dropping-particle":"","family":"Froidevaux","given":"Lucien","non-dropping-particle":"","parse-names":false,"suffix":""},{"dropping-particle":"","family":"Anderson","given":"J.","non-dropping-particle":"","parse-names":false,"suffix":""},{"dropping-particle":"","family":"Wang","given":"H. J.","non-dropping-particle":"","parse-names":false,"suffix":""},{"dropping-particle":"","family":"Fuller","given":"R. A.","non-dropping-particle":"","parse-names":false,"suffix":""},{"dropping-particle":"","family":"Schwartz","given":"M. J.","non-dropping-particle":"","parse-names":false,"suffix":""},{"dropping-particle":"","family":"Santee","given":"M. L.","non-dropping-particle":"","parse-names":false,"suffix":""},{"dropping-particle":"","family":"Livesey","given":"N. J.","non-dropping-particle":"","parse-names":false,"suffix":""},{"dropping-particle":"","family":"Pumphrey","given":"H. C.","non-dropping-particle":"","parse-names":false,"suffix":""},{"dropping-particle":"","family":"Bernath","given":"P. F.","non-dropping-particle":"","parse-names":false,"suffix":""},{"dropping-particle":"","family":"Russell","given":"J. M.","non-dropping-particle":"","parse-names":false,"suffix":""},{"dropping-particle":"","family":"McCormick","given":"M. P.","non-dropping-particle":"","parse-names":false,"suffix":""}],"container-title":"Atmospheric Chemistry and Physics","id":"ITEM-1","issue":"18","issued":{"date-parts":[["2015"]]},"page":"10471-10507","title":"Global OZone Chemistry and Related trace gas Data records for the Stratosphere (GOZCARDS): Methodology and sample results with a focus on HCl, H2O, and O3","type":"article-journal","volume":"15"},"uris":["http://www.mendeley.com/documents/?uuid=defaf252-25d4-40ab-9871-7b97b3ae394c"]},{"id":"ITEM-2","itemData":{"DOI":"10.5194/acp-19-4783-2019","ISSN":"16807324","abstract":"We have analyzed near-global stratospheric data (and mesospheric data as well for H2O) in terms of absolute abundances, variability, and trends for O3, H2O, HCl, N2O, and HNO3, based on Aura Microwave Limb Sounder (MLS) data, as well as longer-term series from the Global OZone Chemistry And Related trace gas Data records for the Stratosphere (GOZCARDS). While we emphasize the evaluation of stratospheric models via data comparisons through 2014 to free-running (FR-WACCM) and specified dynamics (SDWACCM) versions of the Community Earth System Model version 1 (CESM1) Whole Atmosphere Community Climate Model (WACCM), we also highlight observed stratospheric changes, using the most recent data from MLS. Regarding highlights from the satellite data, we have used multiple linear regression to derive trends based on zonal mean time series from Aura MLS data alone, between 60° S and 60° N. In the upper stratosphere, MLS O3 shows increases over 2005-2018 at 0:1-0.3%yr-1 (depending on altitude and latitude) with 2 errors of 0:2%yr-1. For the lower stratosphere (LS), GOZCARDS O3 data for 1998- 2014 point to small decreases between 60° S and 60° N, but the trends are more positive if the starting year is 2005. Southern midlatitudes (30-60° S) exhibit near-zero or slightly positive LS trends for 1998-2018. The LS O3 trends based on 2005-2018 MLS data are most positive (0.1-0.2%yr-1) at these southern midlatitudes, although marginally statistically significant, in contrast to slightly negative or near-zero trends for 2005-2014. Given the high variability in LS O3, and the high sensitivity of trends to the choice of years used, especially for short periods, further studies are required for a robust longer-term LS trend result. For H2O, upper-stratospheric and mesospheric trends from GOZCARDS 1992-2010 data are near zero (within 0:2%yr-1) and significantly smaller than trends (within 0:4-0.7%yr-1) from MLS for 2005-2014 or 2005-2018. The latter short-term positive H2O trends are larger than expected from changes resulting from long-term increases in methane. We note that the very shallow solar flux maximum of solar cycle 24 has contributed to fairly large shortterm mesospheric and upper-stratospheric H2O trends since 2005. However, given known drifts in the MLS H2O time series, MLS H2O trend results, especially after 2010, should be viewed as upper limits. The MLS data also show regions and periods of small HCl increases in the lower stratosphere, within the context of …","author":[{"dropping-particle":"","family":"Froidevaux","given":"Lucien","non-dropping-particle":"","parse-names":false,"suffix":""},{"dropping-particle":"","family":"Kinnison","given":"Douglas E.","non-dropping-particle":"","parse-names":false,"suffix":""},{"dropping-particle":"","family":"Wang","given":"Ray","non-dropping-particle":"","parse-names":false,"suffix":""},{"dropping-particle":"","family":"Anderson","given":"John","non-dropping-particle":"","parse-names":false,"suffix":""},{"dropping-particle":"","family":"Fuller","given":"Ryan A.","non-dropping-particle":"","parse-names":false,"suffix":""}],"container-title":"Atmospheric Chemistry and Physics","id":"ITEM-2","issue":"7","issued":{"date-parts":[["2019"]]},"page":"4783-4821","title":"Evaluation of CESM1 (WACCM) free-running and specified dynamics atmospheric composition simulations using global multispecies satellite data records","type":"article-journal","volume":"19"},"uris":["http://www.mendeley.com/documents/?uuid=c580dbba-1b50-40a5-a948-7294e6b329d8"]}],"mendeley":{"formattedCitation":"(Froidevaux et al., 2015, 2019)","plainTextFormattedCitation":"(Froidevaux et al., 2015, 2019)","previouslyFormattedCitation":"(Froidevaux et al., 2015, 2019)"},"properties":{"noteIndex":0},"schema":"https://github.com/citation-style-language/schema/raw/master/csl-citation.json"}</w:instrText>
      </w:r>
      <w:r>
        <w:fldChar w:fldCharType="separate"/>
      </w:r>
      <w:r>
        <w:rPr>
          <w:noProof/>
        </w:rPr>
        <w:t>(Froidevaux et al., 2015, 2019)</w:t>
      </w:r>
      <w:r>
        <w:fldChar w:fldCharType="end"/>
      </w:r>
      <w:r>
        <w:t>. The BASIC</w:t>
      </w:r>
      <w:r>
        <w:rPr>
          <w:vertAlign w:val="subscript"/>
        </w:rPr>
        <w:t>SG</w:t>
      </w:r>
      <w:r>
        <w:t xml:space="preserve"> method uses information from both datasets to account for and reduce artifacts arising from merging data from different instruments. For our study, monthly mean zonal mean ozone data on pressure levels covering the period January 1985–December 2018 have been used. BASIC</w:t>
      </w:r>
      <w:r>
        <w:rPr>
          <w:vertAlign w:val="subscript"/>
        </w:rPr>
        <w:t>SG</w:t>
      </w:r>
      <w:r>
        <w:t xml:space="preserve"> covers the latitudinal range 60°S to 60°N, with a horizontal resolution of 10° latitude, and has 27 vertical levels between 1 and 147 hPa (13-48km), with a vertical resolution of 1.34km.</w:t>
      </w:r>
    </w:p>
    <w:p w14:paraId="780712C8" w14:textId="3EFCD5D6" w:rsidR="00814700" w:rsidRDefault="006D0001">
      <w:pPr>
        <w:pStyle w:val="TextoNormal"/>
      </w:pPr>
      <w:r>
        <w:t>For consistency with the SST dataset prescribed in the REF-D1 simulations (described in Sect</w:t>
      </w:r>
      <w:r w:rsidR="00921CB2">
        <w:t>ion</w:t>
      </w:r>
      <w:r>
        <w:t xml:space="preserve"> 2.2), we use monthly mean SST data at 1° longitude-latitude resolution from the H</w:t>
      </w:r>
      <w:r w:rsidR="00880D22">
        <w:t>a</w:t>
      </w:r>
      <w:r>
        <w:t xml:space="preserve">dISST dataset </w:t>
      </w:r>
      <w:r>
        <w:fldChar w:fldCharType="begin" w:fldLock="1"/>
      </w:r>
      <w:r>
        <w:instrText>ADDIN CSL_CITATION {"citationItems":[{"id":"ITEM-1","itemData":{"DOI":"10.1029/2002jd002670","ISSN":"01480227","abstract":"We present the Met Office Hadley Centre's sea ice and sea surface temperature (SST) data set, HadISST1, and the nighttime marine air temperature (NMAT) data set, HadMAT1. HadISST1 replaces the global sea ice and sea surface temperature (GISST) data sets and is a unique combination of monthly globally complete fields of SST and sea ice concentration on a 1° latitude-longitude grid from 1871. The companion HadMAT1 runs monthly from 1856 on a 5° latitude-longitude grid and incorporates new corrections for the effect on NMAT of increasing deck (and hence measurement) heights. HadISST1 and HadMAT1 temperatures are reconstructed using a two-stage reduced-space optimal interpolation procedure, followed by superposition of quality-improved gridded observations onto the reconstructions to restore local detail. The sea ice fields are made more homogeneous by compensating satellite microwave-based sea ice concentrations for the impact of surface melt effects on retrievals in the Arctic and for algorithm deficiencies in the Antarctic and by making the historical in situ concentrations consistent with the satellite data. SSTs near sea ice are estimated using statistical relationships between SST and sea ice concentration. HadISST1 compares well with other published analyses, capturing trends in global, hemispheric, and regional SST well, containing SST fields with more uniform variance through time and better month-to-month persistence than those in GISST. HadMAT1 is more consistent with SST and with collocated land surface air temperatures than previous NMAT data sets.","author":[{"dropping-particle":"","family":"Rayner","given":"N. A.","non-dropping-particle":"","parse-names":false,"suffix":""},{"dropping-particle":"","family":"Parker","given":"D. E.","non-dropping-particle":"","parse-names":false,"suffix":""},{"dropping-particle":"","family":"Horton","given":"E. B.","non-dropping-particle":"","parse-names":false,"suffix":""},{"dropping-particle":"","family":"Folland","given":"C. K.","non-dropping-particle":"","parse-names":false,"suffix":""},{"dropping-particle":"V.","family":"Alexander","given":"L.","non-dropping-particle":"","parse-names":false,"suffix":""},{"dropping-particle":"","family":"Rowell","given":"D. P.","non-dropping-particle":"","parse-names":false,"suffix":""},{"dropping-particle":"","family":"Kent","given":"E. C.","non-dropping-particle":"","parse-names":false,"suffix":""},{"dropping-particle":"","family":"Kaplan","given":"A.","non-dropping-particle":"","parse-names":false,"suffix":""}],"container-title":"Journal of Geophysical Research: Atmospheres","id":"ITEM-1","issue":"14","issued":{"date-parts":[["2003"]]},"title":"Global analyses of sea surface temperature, sea ice, and night marine air temperature since the late nineteenth century","type":"article-journal","volume":"108"},"uris":["http://www.mendeley.com/documents/?uuid=dba1133e-047d-4e35-a234-5eaf1741f641"]}],"mendeley":{"formattedCitation":"(Rayner et al., 2003)","plainTextFormattedCitation":"(Rayner et al., 2003)","previouslyFormattedCitation":"(Rayner et al., 2003)"},"properties":{"noteIndex":0},"schema":"https://github.com/citation-style-language/schema/raw/master/csl-citation.json"}</w:instrText>
      </w:r>
      <w:r>
        <w:fldChar w:fldCharType="separate"/>
      </w:r>
      <w:r>
        <w:rPr>
          <w:noProof/>
        </w:rPr>
        <w:t>(Rayner et al., 2003)</w:t>
      </w:r>
      <w:r>
        <w:fldChar w:fldCharType="end"/>
      </w:r>
      <w:r>
        <w:t xml:space="preserve"> for the period 1960-2018. For the same reason, we employ the SOLARIS-HEPPA solar flux dataset, also used to force the REF-D1 simulations. This dataset is consistent with the historical forcing dataset produced for CMIP6 </w:t>
      </w:r>
      <w:r>
        <w:fldChar w:fldCharType="begin" w:fldLock="1"/>
      </w:r>
      <w:r>
        <w:instrText>ADDIN CSL_CITATION {"citationItems":[{"id":"ITEM-1","itemData":{"DOI":"10.5194/gmd-10-2247-2017","ISSN":"19919603","abstract":"This paper describes the recommended solar forcing dataset for CMIP6 and highlights changes with respect to CMIP5. The solar forcing is provided for radiative properties, namely total solar irradiance (TSI), solar spectral irradiance (SSI), and the F10.7 index as well as particle forcing, including geomagnetic indices Ap and Kp, and ionization rates to account for effects of solar protons, electrons, and galactic cosmic rays. This is the first time that a recommendation for solar-driven particle forcing has been provided for a CMIP exercise. The solar forcing datasets are provided at daily and monthly resolution separately for the CMIP6 preindustrial control, historical (1850-2014), and future (2015-2300) simulations. For the preindustrial control simulation, both constant and time-varying solar forcing components are provided, with the latter including variability on 11-year and shorter timescales but no long-term changes. For the future, we provide a realistic scenario of what solar behavior could be, as well as an additional extreme Maunder-minimum-like sensitivity scenario. This paper describes the forcing datasets and also provides detailed recommendations as to their implementation in current climate models. For the historical simulations, the TSI and SSI time series are defined as the average of two solar irradiance models that are adapted to CMIP6 needs: an empirical one (NRLTSI2-NRLSSI2) and a semi-empirical one (SATIRE). A new and lower TSI value is recommended: the contemporary solar-cycle average is now 1361.0 W m-2. The slight negative trend in TSI over the three most recent solar cycles in the CMIP6 dataset leads to only a small global radiative forcing of -0.04 W m-2. In the 200-400 nm wavelength range, which is important for ozone photochemistry, the CMIP6 solar forcing dataset shows a larger solar-cycle variability contribution to TSI than in CMIP5 (50 % compared to 35 %). We compare the climatic effects of the CMIP6 solar forcing dataset to its CMIP5 predecessor by using time-slice experiments of two chemistry-climate models and a reference radiative transfer model. The differences in the long-term mean SSI in the CMIP6 dataset, compared to CMIP5, impact on climatological stratospheric conditions (lower shortwave heating rates of -0.35 K day-1 at the stratopause), cooler stratospheric temperatures (-1.5 K in the upper stratosphere), lower ozone abundances in the lower stratosphere (-3 %), and higher ozone abundances (+1.5 % in the uppe…","author":[{"dropping-particle":"","family":"Matthes","given":"Katja","non-dropping-particle":"","parse-names":false,"suffix":""},{"dropping-particle":"","family":"Funke","given":"Bernd","non-dropping-particle":"","parse-names":false,"suffix":""},{"dropping-particle":"","family":"Andersson","given":"Monika E.","non-dropping-particle":"","parse-names":false,"suffix":""},{"dropping-particle":"","family":"Barnard","given":"Luke","non-dropping-particle":"","parse-names":false,"suffix":""},{"dropping-particle":"","family":"Beer","given":"Jürg","non-dropping-particle":"","parse-names":false,"suffix":""},{"dropping-particle":"","family":"Charbonneau","given":"Paul","non-dropping-particle":"","parse-names":false,"suffix":""},{"dropping-particle":"","family":"Clilverd","given":"Mark A.","non-dropping-particle":"","parse-names":false,"suffix":""},{"dropping-particle":"","family":"Dudok De Wit","given":"Thierry","non-dropping-particle":"","parse-names":false,"suffix":""},{"dropping-particle":"","family":"Haberreiter","given":"Margit","non-dropping-particle":"","parse-names":false,"suffix":""},{"dropping-particle":"","family":"Hendry","given":"Aaron","non-dropping-particle":"","parse-names":false,"suffix":""},{"dropping-particle":"","family":"Jackman","given":"Charles H.","non-dropping-particle":"","parse-names":false,"suffix":""},{"dropping-particle":"","family":"Kretzschmar","given":"Matthieu","non-dropping-particle":"","parse-names":false,"suffix":""},{"dropping-particle":"","family":"Kruschke","given":"Tim","non-dropping-particle":"","parse-names":false,"suffix":""},{"dropping-particle":"","family":"Kunze","given":"Markus","non-dropping-particle":"","parse-names":false,"suffix":""},{"dropping-particle":"","family":"Langematz","given":"Ulrike","non-dropping-particle":"","parse-names":false,"suffix":""},{"dropping-particle":"","family":"Marsh","given":"Daniel R.","non-dropping-particle":"","parse-names":false,"suffix":""},{"dropping-particle":"","family":"Maycock","given":"Amanda C.","non-dropping-particle":"","parse-names":false,"suffix":""},{"dropping-particle":"","family":"Misios","given":"Stergios","non-dropping-particle":"","parse-names":false,"suffix":""},{"dropping-particle":"","family":"Rodger","given":"Craig J.","non-dropping-particle":"","parse-names":false,"suffix":""},{"dropping-particle":"","family":"Scaife","given":"Adam A.","non-dropping-particle":"","parse-names":false,"suffix":""},{"dropping-particle":"","family":"Seppälä","given":"Annika","non-dropping-particle":"","parse-names":false,"suffix":""},{"dropping-particle":"","family":"Shangguan","given":"Ming","non-dropping-particle":"","parse-names":false,"suffix":""},{"dropping-particle":"","family":"Sinnhuber","given":"Miriam","non-dropping-particle":"","parse-names":false,"suffix":""},{"dropping-particle":"","family":"Tourpali","given":"Kleareti","non-dropping-particle":"","parse-names":false,"suffix":""},{"dropping-particle":"","family":"Usoskin","given":"Ilya","non-dropping-particle":"","parse-names":false,"suffix":""},{"dropping-particle":"","family":"Kamp","given":"Max","non-dropping-particle":"Van De","parse-names":false,"suffix":""},{"dropping-particle":"","family":"Verronen","given":"Pekka T.","non-dropping-particle":"","parse-names":false,"suffix":""},{"dropping-particle":"","family":"Versick","given":"Stefan","non-dropping-particle":"","parse-names":false,"suffix":""}],"container-title":"Geoscientific Model Development","id":"ITEM-1","issue":"6","issued":{"date-parts":[["2017"]]},"page":"2247-2302","title":"Solar forcing for CMIP6 (v3.2)","type":"article-journal","volume":"10"},"uris":["http://www.mendeley.com/documents/?uuid=c92f4e27-e45c-4a34-a3ae-398f5121090d"]}],"mendeley":{"formattedCitation":"(Matthes et al., 2017)","plainTextFormattedCitation":"(Matthes et al., 2017)","previouslyFormattedCitation":"(Matthes et al., 2017)"},"properties":{"noteIndex":0},"schema":"https://github.com/citation-style-language/schema/raw/master/csl-citation.json"}</w:instrText>
      </w:r>
      <w:r>
        <w:fldChar w:fldCharType="separate"/>
      </w:r>
      <w:r>
        <w:rPr>
          <w:noProof/>
        </w:rPr>
        <w:t>(Matthes et al., 2017)</w:t>
      </w:r>
      <w:r>
        <w:fldChar w:fldCharType="end"/>
      </w:r>
      <w:r>
        <w:t xml:space="preserve">, but extended to the end of 2019 (More information can be found on https://solarisheppa.geomar.de/solarisheppa/ccmi2022). </w:t>
      </w:r>
      <w:r w:rsidR="00C0210D">
        <w:t>For surface temperature and zonal wind w</w:t>
      </w:r>
      <w:r>
        <w:t xml:space="preserve">e use monthly mean data from the ERA5 reanalysis </w:t>
      </w:r>
      <w:r>
        <w:fldChar w:fldCharType="begin" w:fldLock="1"/>
      </w:r>
      <w:r>
        <w:instrText>ADDIN CSL_CITATION {"citationItems":[{"id":"ITEM-1","itemData":{"DOI":"10.1002/qj.3803","ISSN":"1477870X","abstract":"Within the Copernicus Climate Change Service (C3S), ECMWF is producing the ERA5 reanalysis which, once completed, will embody a detailed record of the global atmosphere, land surface and ocean waves from 1950 onwards. This new reanalysis replaces the ERA-Interim reanalysis (spanning 1979 onwards) which was started in 2006. ERA5 is based on the Integrated Forecasting System (IFS) Cy41r2 which was operational in 2016. ERA5 thus benefits from a decade of developments in model physics, core dynamics and data assimilation. In addition to a significantly enhanced horizontal resolution of 31 km, compared to 80 km for ERA-Interim, ERA5 has hourly output throughout, and an uncertainty estimate from an ensemble (3-hourly at half the horizontal resolution). This paper describes the general set-up of ERA5, as well as a basic evaluation of characteristics and performance, with a focus on the dataset from 1979 onwards which is currently publicly available. Re-forecasts from ERA5 analyses show a gain of up to one day in skill with respect to ERA-Interim. Comparison with radiosonde and PILOT data prior to assimilation shows an improved fit for temperature, wind and humidity in the troposphere, but not the stratosphere. A comparison with independent buoy data shows a much improved fit for ocean wave height. The uncertainty estimate reflects the evolution of the observing systems used in ERA5. The enhanced temporal and spatial resolution allows for a detailed evolution of weather systems. For precipitation, global-mean correlation with monthly-mean GPCP data is increased from 67% to 77%. In general, low-frequency variability is found to be well represented and from 10 hPa downwards general patterns of anomalies in temperature match those from the ERA-Interim, MERRA-2 and JRA-55 reanalyses.","author":[{"dropping-particle":"","family":"Hersbach","given":"Hans","non-dropping-particle":"","parse-names":false,"suffix":""},{"dropping-particle":"","family":"Bell","given":"Bill","non-dropping-particle":"","parse-names":false,"suffix":""},{"dropping-particle":"","family":"Berrisford","given":"Paul","non-dropping-particle":"","parse-names":false,"suffix":""},{"dropping-particle":"","family":"Hirahara","given":"Shoji","non-dropping-particle":"","parse-names":false,"suffix":""},{"dropping-particle":"","family":"Horányi","given":"András","non-dropping-particle":"","parse-names":false,"suffix":""},{"dropping-particle":"","family":"Muñoz-Sabater","given":"Joaquín","non-dropping-particle":"","parse-names":false,"suffix":""},{"dropping-particle":"","family":"Nicolas","given":"Julien","non-dropping-particle":"","parse-names":false,"suffix":""},{"dropping-particle":"","family":"Peubey","given":"Carole","non-dropping-particle":"","parse-names":false,"suffix":""},{"dropping-particle":"","family":"Radu","given":"Raluca","non-dropping-particle":"","parse-names":false,"suffix":""},{"dropping-particle":"","family":"Schepers","given":"Dinand","non-dropping-particle":"","parse-names":false,"suffix":""},{"dropping-particle":"","family":"Simmons","given":"Adrian","non-dropping-particle":"","parse-names":false,"suffix":""},{"dropping-particle":"","family":"Soci","given":"Cornel","non-dropping-particle":"","parse-names":false,"suffix":""},{"dropping-particle":"","family":"Abdalla","given":"Saleh","non-dropping-particle":"","parse-names":false,"suffix":""},{"dropping-particle":"","family":"Abellan","given":"Xavier","non-dropping-particle":"","parse-names":false,"suffix":""},{"dropping-particle":"","family":"Balsamo","given":"Gianpaolo","non-dropping-particle":"","parse-names":false,"suffix":""},{"dropping-particle":"","family":"Bechtold","given":"Peter","non-dropping-particle":"","parse-names":false,"suffix":""},{"dropping-particle":"","family":"Biavati","given":"Gionata","non-dropping-particle":"","parse-names":false,"suffix":""},{"dropping-particle":"","family":"Bidlot","given":"Jean","non-dropping-particle":"","parse-names":false,"suffix":""},{"dropping-particle":"","family":"Bonavita","given":"Massimo","non-dropping-particle":"","parse-names":false,"suffix":""},{"dropping-particle":"","family":"Chiara","given":"Giovanna","non-dropping-particle":"De","parse-names":false,"suffix":""},{"dropping-particle":"","family":"Dahlgren","given":"Per","non-dropping-particle":"","parse-names":false,"suffix":""},{"dropping-particle":"","family":"Dee","given":"Dick","non-dropping-particle":"","parse-names":false,"suffix":""},{"dropping-particle":"","family":"Diamantakis","given":"Michail","non-dropping-particle":"","parse-names":false,"suffix":""},{"dropping-particle":"","family":"Dragani","given":"Rossana","non-dropping-particle":"","parse-names":false,"suffix":""},{"dropping-particle":"","family":"Flemming","given":"Johannes","non-dropping-particle":"","parse-names":false,"suffix":""},{"dropping-particle":"","family":"Forbes","given":"Richard","non-dropping-particle":"","parse-names":false,"suffix":""},{"dropping-particle":"","family":"Fuentes","given":"Manuel","non-dropping-particle":"","parse-names":false,"suffix":""},{"dropping-particle":"","family":"Geer","given":"Alan","non-dropping-particle":"","parse-names":false,"suffix":""},{"dropping-particle":"","family":"Haimberger","given":"Leo","non-dropping-particle":"","parse-names":false,"suffix":""},{"dropping-particle":"","family":"Healy","given":"Sean","non-dropping-particle":"","parse-names":false,"suffix":""},{"dropping-particle":"","family":"Hogan","given":"Robin J.","non-dropping-particle":"","parse-names":false,"suffix":""},{"dropping-particle":"","family":"Hólm","given":"Elías","non-dropping-particle":"","parse-names":false,"suffix":""},{"dropping-particle":"","family":"Janisková","given":"Marta","non-dropping-particle":"","parse-names":false,"suffix":""},{"dropping-particle":"","family":"Keeley","given":"Sarah","non-dropping-particle":"","parse-names":false,"suffix":""},{"dropping-particle":"","family":"Laloyaux","given":"Patrick","non-dropping-particle":"","parse-names":false,"suffix":""},{"dropping-particle":"","family":"Lopez","given":"Philippe","non-dropping-particle":"","parse-names":false,"suffix":""},{"dropping-particle":"","family":"Lupu","given":"Cristina","non-dropping-particle":"","parse-names":false,"suffix":""},{"dropping-particle":"","family":"Radnoti","given":"Gabor","non-dropping-particle":"","parse-names":false,"suffix":""},{"dropping-particle":"","family":"Rosnay","given":"Patricia","non-dropping-particle":"de","parse-names":false,"suffix":""},{"dropping-particle":"","family":"Rozum","given":"Iryna","non-dropping-particle":"","parse-names":false,"suffix":""},{"dropping-particle":"","family":"Vamborg","given":"Freja","non-dropping-particle":"","parse-names":false,"suffix":""},{"dropping-particle":"","family":"Villaume","given":"Sebastien","non-dropping-particle":"","parse-names":false,"suffix":""},{"dropping-particle":"","family":"Thépaut","given":"Jean Noël","non-dropping-particle":"","parse-names":false,"suffix":""}],"container-title":"Quarterly Journal of the Royal Meteorological Society","id":"ITEM-1","issue":"730","issued":{"date-parts":[["2020"]]},"page":"1999-2049","title":"The ERA5 global reanalysis","type":"article-journal","volume":"146"},"uris":["http://www.mendeley.com/documents/?uuid=939dd9cb-b213-40bb-be61-843d189cd4bf"]}],"mendeley":{"formattedCitation":"(Hersbach et al., 2020)","plainTextFormattedCitation":"(Hersbach et al., 2020)","previouslyFormattedCitation":"(Hersbach et al., 2020)"},"properties":{"noteIndex":0},"schema":"https://github.com/citation-style-language/schema/raw/master/csl-citation.json"}</w:instrText>
      </w:r>
      <w:r>
        <w:fldChar w:fldCharType="separate"/>
      </w:r>
      <w:r>
        <w:rPr>
          <w:noProof/>
        </w:rPr>
        <w:t>(Hersbach et al., 2020)</w:t>
      </w:r>
      <w:r>
        <w:fldChar w:fldCharType="end"/>
      </w:r>
      <w:r>
        <w:t>. In order to calculate the residual streamfunction</w:t>
      </w:r>
      <w:r w:rsidR="00F4081B">
        <w:t xml:space="preserve"> (</w:t>
      </w:r>
      <m:oMath>
        <m:sSup>
          <m:sSupPr>
            <m:ctrlPr>
              <w:rPr>
                <w:rFonts w:ascii="Cambria Math" w:hAnsi="Cambria Math"/>
              </w:rPr>
            </m:ctrlPr>
          </m:sSupPr>
          <m:e>
            <m:r>
              <w:rPr>
                <w:rFonts w:ascii="Cambria Math" w:hAnsi="Cambria Math"/>
              </w:rPr>
              <m:t>ψ</m:t>
            </m:r>
          </m:e>
          <m:sup>
            <m:r>
              <w:rPr>
                <w:rFonts w:ascii="Cambria Math" w:hAnsi="Cambria Math"/>
              </w:rPr>
              <m:t>*</m:t>
            </m:r>
          </m:sup>
        </m:sSup>
      </m:oMath>
      <w:r w:rsidR="00FF13F5">
        <w:t>)</w:t>
      </w:r>
      <w:r>
        <w:t xml:space="preserve"> we use daily mean data of the meridional component of the residual circulation (</w:t>
      </w:r>
      <m:oMath>
        <m:bar>
          <m:barPr>
            <m:pos m:val="top"/>
            <m:ctrlPr>
              <w:rPr>
                <w:rFonts w:ascii="Cambria Math" w:hAnsi="Cambria Math"/>
              </w:rPr>
            </m:ctrlPr>
          </m:barPr>
          <m:e>
            <m:sSup>
              <m:sSupPr>
                <m:ctrlPr>
                  <w:rPr>
                    <w:rFonts w:ascii="Cambria Math" w:hAnsi="Cambria Math"/>
                  </w:rPr>
                </m:ctrlPr>
              </m:sSupPr>
              <m:e>
                <m:r>
                  <w:rPr>
                    <w:rFonts w:ascii="Cambria Math" w:hAnsi="Cambria Math"/>
                  </w:rPr>
                  <m:t>v</m:t>
                </m:r>
              </m:e>
              <m:sup>
                <m:r>
                  <w:rPr>
                    <w:rFonts w:ascii="Cambria Math" w:hAnsi="Cambria Math"/>
                  </w:rPr>
                  <m:t>*</m:t>
                </m:r>
              </m:sup>
            </m:sSup>
          </m:e>
        </m:bar>
      </m:oMath>
      <w:r>
        <w:t xml:space="preserve">) derived from the ERA5 reanalysis </w:t>
      </w:r>
      <w:r>
        <w:fldChar w:fldCharType="begin" w:fldLock="1"/>
      </w:r>
      <w:r>
        <w:instrText>ADDIN CSL_CITATION {"citationItems":[{"id":"ITEM-1","itemData":{"DOI":"10.5281/zenodo.7081436","author":[{"dropping-particle":"","family":"Serva","given":"Federico","non-dropping-particle":"","parse-names":false,"suffix":""}],"id":"ITEM-1","issued":{"date-parts":[["2022"]]},"publisher":"Zenodo","title":"Transformed Eulerian mean data from the ERA5 reanalysis (daily means)","type":"article"},"uris":["http://www.mendeley.com/documents/?uuid=3fcf03c4-ab90-4417-8c36-85426be8c484"]}],"mendeley":{"formattedCitation":"(Serva, 2022)","plainTextFormattedCitation":"(Serva, 2022)","previouslyFormattedCitation":"(Serva, 2022)"},"properties":{"noteIndex":0},"schema":"https://github.com/citation-style-language/schema/raw/master/csl-citation.json"}</w:instrText>
      </w:r>
      <w:r>
        <w:fldChar w:fldCharType="separate"/>
      </w:r>
      <w:r>
        <w:rPr>
          <w:noProof/>
        </w:rPr>
        <w:t>(Serva, 2022)</w:t>
      </w:r>
      <w:r>
        <w:fldChar w:fldCharType="end"/>
      </w:r>
      <w:r>
        <w:t xml:space="preserve">. The </w:t>
      </w:r>
      <w:proofErr w:type="gramStart"/>
      <w:r>
        <w:t>streamfunction</w:t>
      </w:r>
      <w:proofErr w:type="gramEnd"/>
      <w:r>
        <w:t xml:space="preserve"> is obtained as:</w:t>
      </w:r>
    </w:p>
    <w:p w14:paraId="780712C9" w14:textId="149CD24C" w:rsidR="00814700" w:rsidRDefault="00000000">
      <w:pPr>
        <w:pStyle w:val="TextoNormal"/>
        <w:rPr>
          <w:rFonts w:ascii="Calibri" w:hAnsi="Calibri"/>
          <w:i/>
          <w:iCs/>
          <w:sz w:val="22"/>
          <w:szCs w:val="22"/>
        </w:rPr>
      </w:pPr>
      <m:oMath>
        <m:bar>
          <m:barPr>
            <m:pos m:val="top"/>
            <m:ctrlPr>
              <w:rPr>
                <w:rFonts w:ascii="Cambria Math" w:hAnsi="Cambria Math"/>
              </w:rPr>
            </m:ctrlPr>
          </m:barPr>
          <m:e>
            <m:sSup>
              <m:sSupPr>
                <m:ctrlPr>
                  <w:rPr>
                    <w:rFonts w:ascii="Cambria Math" w:hAnsi="Cambria Math"/>
                  </w:rPr>
                </m:ctrlPr>
              </m:sSupPr>
              <m:e>
                <m:r>
                  <w:rPr>
                    <w:rFonts w:ascii="Cambria Math" w:hAnsi="Cambria Math"/>
                  </w:rPr>
                  <m:t>ψ</m:t>
                </m:r>
              </m:e>
              <m:sup>
                <m:r>
                  <w:rPr>
                    <w:rFonts w:ascii="Cambria Math" w:hAnsi="Cambria Math"/>
                  </w:rPr>
                  <m:t>*</m:t>
                </m:r>
              </m:sup>
            </m:sSup>
          </m:e>
        </m:bar>
        <m:d>
          <m:dPr>
            <m:ctrlPr>
              <w:rPr>
                <w:rFonts w:ascii="Cambria Math" w:hAnsi="Cambria Math"/>
              </w:rPr>
            </m:ctrlPr>
          </m:dPr>
          <m:e>
            <m:r>
              <w:rPr>
                <w:rFonts w:ascii="Cambria Math" w:hAnsi="Cambria Math"/>
              </w:rPr>
              <m:t>φ,p</m:t>
            </m:r>
          </m:e>
        </m:d>
        <m:r>
          <w:rPr>
            <w:rFonts w:ascii="Cambria Math" w:hAnsi="Cambria Math"/>
          </w:rPr>
          <m:t>=</m:t>
        </m:r>
        <m:f>
          <m:fPr>
            <m:ctrlPr>
              <w:rPr>
                <w:rFonts w:ascii="Cambria Math" w:hAnsi="Cambria Math"/>
              </w:rPr>
            </m:ctrlPr>
          </m:fPr>
          <m:num>
            <m:r>
              <w:rPr>
                <w:rFonts w:ascii="Cambria Math" w:hAnsi="Cambria Math"/>
              </w:rPr>
              <m:t>-cos</m:t>
            </m:r>
            <m:d>
              <m:dPr>
                <m:ctrlPr>
                  <w:rPr>
                    <w:rFonts w:ascii="Cambria Math" w:hAnsi="Cambria Math"/>
                  </w:rPr>
                </m:ctrlPr>
              </m:dPr>
              <m:e>
                <m:r>
                  <w:rPr>
                    <w:rFonts w:ascii="Cambria Math" w:hAnsi="Cambria Math"/>
                  </w:rPr>
                  <m:t>φ</m:t>
                </m:r>
              </m:e>
            </m:d>
          </m:num>
          <m:den>
            <m:r>
              <w:rPr>
                <w:rFonts w:ascii="Cambria Math" w:hAnsi="Cambria Math"/>
              </w:rPr>
              <m:t>g</m:t>
            </m:r>
          </m:den>
        </m:f>
        <m:nary>
          <m:naryPr>
            <m:ctrlPr>
              <w:rPr>
                <w:rFonts w:ascii="Cambria Math" w:hAnsi="Cambria Math"/>
              </w:rPr>
            </m:ctrlPr>
          </m:naryPr>
          <m:sub>
            <m:r>
              <w:rPr>
                <w:rFonts w:ascii="Cambria Math" w:hAnsi="Cambria Math"/>
              </w:rPr>
              <m:t>p</m:t>
            </m:r>
          </m:sub>
          <m:sup>
            <m:r>
              <w:rPr>
                <w:rFonts w:ascii="Cambria Math" w:hAnsi="Cambria Math"/>
              </w:rPr>
              <m:t>0</m:t>
            </m:r>
          </m:sup>
          <m:e>
            <m:bar>
              <m:barPr>
                <m:pos m:val="top"/>
                <m:ctrlPr>
                  <w:rPr>
                    <w:rFonts w:ascii="Cambria Math" w:hAnsi="Cambria Math"/>
                  </w:rPr>
                </m:ctrlPr>
              </m:barPr>
              <m:e>
                <m:sSup>
                  <m:sSupPr>
                    <m:ctrlPr>
                      <w:rPr>
                        <w:rFonts w:ascii="Cambria Math" w:hAnsi="Cambria Math"/>
                      </w:rPr>
                    </m:ctrlPr>
                  </m:sSupPr>
                  <m:e>
                    <m:r>
                      <w:rPr>
                        <w:rFonts w:ascii="Cambria Math" w:hAnsi="Cambria Math"/>
                      </w:rPr>
                      <m:t>v</m:t>
                    </m:r>
                  </m:e>
                  <m:sup>
                    <m:r>
                      <w:rPr>
                        <w:rFonts w:ascii="Cambria Math" w:hAnsi="Cambria Math"/>
                      </w:rPr>
                      <m:t>*</m:t>
                    </m:r>
                  </m:sup>
                </m:sSup>
              </m:e>
            </m:bar>
            <m:r>
              <w:rPr>
                <w:rFonts w:ascii="Cambria Math" w:hAnsi="Cambria Math"/>
              </w:rPr>
              <m:t>ⅆ</m:t>
            </m:r>
            <m:sSup>
              <m:sSupPr>
                <m:ctrlPr>
                  <w:rPr>
                    <w:rFonts w:ascii="Cambria Math" w:hAnsi="Cambria Math"/>
                  </w:rPr>
                </m:ctrlPr>
              </m:sSupPr>
              <m:e>
                <m:r>
                  <w:rPr>
                    <w:rFonts w:ascii="Cambria Math" w:hAnsi="Cambria Math"/>
                  </w:rPr>
                  <m:t>p</m:t>
                </m:r>
              </m:e>
              <m:sup>
                <m:r>
                  <w:rPr>
                    <w:rFonts w:ascii="Cambria Math" w:hAnsi="Cambria Math"/>
                  </w:rPr>
                  <m:t>'</m:t>
                </m:r>
              </m:sup>
            </m:sSup>
          </m:e>
        </m:nary>
      </m:oMath>
      <w:r w:rsidR="006D0001">
        <w:rPr>
          <w:i/>
          <w:iCs/>
          <w:sz w:val="22"/>
          <w:szCs w:val="22"/>
        </w:rPr>
        <w:t xml:space="preserve">      </w:t>
      </w:r>
      <w:r w:rsidR="006D0001">
        <w:t>[1]</w:t>
      </w:r>
    </w:p>
    <w:p w14:paraId="780712CB" w14:textId="708F19D0" w:rsidR="00814700" w:rsidRDefault="006D0001">
      <w:pPr>
        <w:pStyle w:val="TextoNormal"/>
        <w:ind w:firstLine="0"/>
      </w:pPr>
      <w:r>
        <w:t xml:space="preserve">where p is pressure, </w:t>
      </w:r>
      <m:oMath>
        <m:r>
          <w:rPr>
            <w:rFonts w:ascii="Cambria Math" w:hAnsi="Cambria Math"/>
          </w:rPr>
          <m:t>φ</m:t>
        </m:r>
      </m:oMath>
      <w:r>
        <w:t xml:space="preserve"> is latitude, g the gravitational constant on Earth, and it is assumed that  </w:t>
      </w:r>
      <m:oMath>
        <m:bar>
          <m:barPr>
            <m:pos m:val="top"/>
            <m:ctrlPr>
              <w:rPr>
                <w:rFonts w:ascii="Cambria Math" w:hAnsi="Cambria Math"/>
              </w:rPr>
            </m:ctrlPr>
          </m:barPr>
          <m:e>
            <m:sSup>
              <m:sSupPr>
                <m:ctrlPr>
                  <w:rPr>
                    <w:rFonts w:ascii="Cambria Math" w:hAnsi="Cambria Math"/>
                  </w:rPr>
                </m:ctrlPr>
              </m:sSupPr>
              <m:e>
                <m:r>
                  <w:rPr>
                    <w:rFonts w:ascii="Cambria Math" w:hAnsi="Cambria Math"/>
                  </w:rPr>
                  <m:t>v</m:t>
                </m:r>
              </m:e>
              <m:sup>
                <m:r>
                  <w:rPr>
                    <w:rFonts w:ascii="Cambria Math" w:hAnsi="Cambria Math"/>
                  </w:rPr>
                  <m:t>*</m:t>
                </m:r>
              </m:sup>
            </m:sSup>
          </m:e>
        </m:bar>
      </m:oMath>
      <w:r>
        <w:t xml:space="preserve"> tends to zero as p→0.</w:t>
      </w:r>
    </w:p>
    <w:p w14:paraId="780712CD" w14:textId="77777777" w:rsidR="00814700" w:rsidRDefault="006D0001" w:rsidP="007B7C74">
      <w:pPr>
        <w:pStyle w:val="TextoNormal"/>
        <w:ind w:firstLine="0"/>
        <w:rPr>
          <w:b/>
        </w:rPr>
      </w:pPr>
      <w:r>
        <w:rPr>
          <w:b/>
        </w:rPr>
        <w:t>2.2 CCMI-2022 model simulations</w:t>
      </w:r>
    </w:p>
    <w:p w14:paraId="780712CE" w14:textId="4D5E2067" w:rsidR="00814700" w:rsidRDefault="006D0001">
      <w:pPr>
        <w:pStyle w:val="TextoNormal"/>
        <w:rPr>
          <w:color w:val="222222"/>
          <w:shd w:val="clear" w:color="auto" w:fill="FFFFFF"/>
        </w:rPr>
      </w:pPr>
      <w:r>
        <w:t>We analyze output from 12 CCM</w:t>
      </w:r>
      <w:r w:rsidR="00E84BCE">
        <w:t>s</w:t>
      </w:r>
      <w:r>
        <w:t xml:space="preserve"> participating in the Chemistry Climate Model Initiative 2022 (CCMI-2022, Plummer et al., 2021). All the models, together with the ensemble size of each model and data availability, are listed in Table 1. We consider two different experiments available in CCMI-2022: historical simulations (REF-D1) and future projection simulations (REF-D2).</w:t>
      </w:r>
    </w:p>
    <w:p w14:paraId="780712CF" w14:textId="1F98F6A9" w:rsidR="00814700" w:rsidRDefault="006D0001">
      <w:pPr>
        <w:pStyle w:val="TextoNormal"/>
      </w:pPr>
      <w:r>
        <w:rPr>
          <w:color w:val="222222"/>
          <w:shd w:val="clear" w:color="auto" w:fill="FFFFFF"/>
        </w:rPr>
        <w:t>T</w:t>
      </w:r>
      <w:r>
        <w:t xml:space="preserve">he REF-D1 historical hindcast simulations cover the period 1960–2018 and use forcings that closely follow the observed historical evolution. These simulations have prescribed monthly mean SST and </w:t>
      </w:r>
      <w:r w:rsidR="00447CD5">
        <w:t>s</w:t>
      </w:r>
      <w:r>
        <w:t xml:space="preserve">ea </w:t>
      </w:r>
      <w:r w:rsidR="00447CD5">
        <w:t>i</w:t>
      </w:r>
      <w:r>
        <w:t xml:space="preserve">ce </w:t>
      </w:r>
      <w:r w:rsidR="00447CD5">
        <w:t>c</w:t>
      </w:r>
      <w:r>
        <w:t>over (SIC) following the H</w:t>
      </w:r>
      <w:r w:rsidR="00880D22">
        <w:t>a</w:t>
      </w:r>
      <w:r>
        <w:t xml:space="preserve">dISST dataset </w:t>
      </w:r>
      <w:r>
        <w:fldChar w:fldCharType="begin" w:fldLock="1"/>
      </w:r>
      <w:r>
        <w:instrText>ADDIN CSL_CITATION {"citationItems":[{"id":"ITEM-1","itemData":{"DOI":"10.1029/2002jd002670","ISSN":"01480227","abstract":"We present the Met Office Hadley Centre's sea ice and sea surface temperature (SST) data set, HadISST1, and the nighttime marine air temperature (NMAT) data set, HadMAT1. HadISST1 replaces the global sea ice and sea surface temperature (GISST) data sets and is a unique combination of monthly globally complete fields of SST and sea ice concentration on a 1° latitude-longitude grid from 1871. The companion HadMAT1 runs monthly from 1856 on a 5° latitude-longitude grid and incorporates new corrections for the effect on NMAT of increasing deck (and hence measurement) heights. HadISST1 and HadMAT1 temperatures are reconstructed using a two-stage reduced-space optimal interpolation procedure, followed by superposition of quality-improved gridded observations onto the reconstructions to restore local detail. The sea ice fields are made more homogeneous by compensating satellite microwave-based sea ice concentrations for the impact of surface melt effects on retrievals in the Arctic and for algorithm deficiencies in the Antarctic and by making the historical in situ concentrations consistent with the satellite data. SSTs near sea ice are estimated using statistical relationships between SST and sea ice concentration. HadISST1 compares well with other published analyses, capturing trends in global, hemispheric, and regional SST well, containing SST fields with more uniform variance through time and better month-to-month persistence than those in GISST. HadMAT1 is more consistent with SST and with collocated land surface air temperatures than previous NMAT data sets.","author":[{"dropping-particle":"","family":"Rayner","given":"N. A.","non-dropping-particle":"","parse-names":false,"suffix":""},{"dropping-particle":"","family":"Parker","given":"D. E.","non-dropping-particle":"","parse-names":false,"suffix":""},{"dropping-particle":"","family":"Horton","given":"E. B.","non-dropping-particle":"","parse-names":false,"suffix":""},{"dropping-particle":"","family":"Folland","given":"C. K.","non-dropping-particle":"","parse-names":false,"suffix":""},{"dropping-particle":"V.","family":"Alexander","given":"L.","non-dropping-particle":"","parse-names":false,"suffix":""},{"dropping-particle":"","family":"Rowell","given":"D. P.","non-dropping-particle":"","parse-names":false,"suffix":""},{"dropping-particle":"","family":"Kent","given":"E. C.","non-dropping-particle":"","parse-names":false,"suffix":""},{"dropping-particle":"","family":"Kaplan","given":"A.","non-dropping-particle":"","parse-names":false,"suffix":""}],"container-title":"Journal of Geophysical Research: Atmospheres","id":"ITEM-1","issue":"14","issued":{"date-parts":[["2003"]]},"title":"Global analyses of sea surface temperature, sea ice, and night marine air temperature since the late nineteenth century","type":"article-journal","volume":"108"},"uris":["http://www.mendeley.com/documents/?uuid=dba1133e-047d-4e35-a234-5eaf1741f641"]}],"mendeley":{"formattedCitation":"(Rayner et al., 2003)","plainTextFormattedCitation":"(Rayner et al., 2003)","previouslyFormattedCitation":"(Rayner et al., 2003)"},"properties":{"noteIndex":0},"schema":"https://github.com/citation-style-language/schema/raw/master/csl-citation.json"}</w:instrText>
      </w:r>
      <w:r>
        <w:fldChar w:fldCharType="separate"/>
      </w:r>
      <w:r>
        <w:rPr>
          <w:noProof/>
        </w:rPr>
        <w:t>(Rayner et al., 2003)</w:t>
      </w:r>
      <w:r>
        <w:fldChar w:fldCharType="end"/>
      </w:r>
      <w:r>
        <w:t>. The</w:t>
      </w:r>
      <w:r w:rsidR="00345F93">
        <w:t xml:space="preserve"> </w:t>
      </w:r>
      <w:r w:rsidR="00345F93" w:rsidRPr="00345F93">
        <w:t>quasi-biennial oscillation</w:t>
      </w:r>
      <w:r>
        <w:t xml:space="preserve"> </w:t>
      </w:r>
      <w:r w:rsidR="00345F93">
        <w:t>(</w:t>
      </w:r>
      <w:r>
        <w:t>QBO</w:t>
      </w:r>
      <w:r w:rsidR="00345F93">
        <w:t>)</w:t>
      </w:r>
      <w:r>
        <w:t xml:space="preserve"> should be nudged in all models, regardless of whether they are capable of internally generating a QBO or not, to ensure correct synchrony with the observations</w:t>
      </w:r>
      <w:r w:rsidR="002335AD">
        <w:t xml:space="preserve"> </w:t>
      </w:r>
      <w:r w:rsidR="002335AD">
        <w:fldChar w:fldCharType="begin" w:fldLock="1"/>
      </w:r>
      <w:r w:rsidR="00047F18">
        <w:instrText>ADDIN CSL_CITATION {"citationItems":[{"id":"ITEM-1","itemData":{"author":[{"dropping-particle":"","family":"Plummer","given":"D","non-dropping-particle":"","parse-names":false,"suffix":""},{"dropping-particle":"","family":"Nagashima","given":"T","non-dropping-particle":"","parse-names":false,"suffix":""},{"dropping-particle":"","family":"Tilmes","given":"S","non-dropping-particle":"","parse-names":false,"suffix":""},{"dropping-particle":"","family":"Archibald","given":"A","non-dropping-particle":"","parse-names":false,"suffix":""},{"dropping-particle":"","family":"Chiodo","given":"G","non-dropping-particle":"","parse-names":false,"suffix":""},{"dropping-particle":"","family":"Fadnavis","given":"S","non-dropping-particle":"","parse-names":false,"suffix":""},{"dropping-particle":"","family":"et al.","given":"","non-dropping-particle":"","parse-names":false,"suffix":""}],"container-title":"SPARC Newsletter","id":"ITEM-1","issued":{"date-parts":[["2021"]]},"page":"22-30","title":"CCMI-2022: A new set of Chemistry-Climate Model Initiative (CCMI) community simulations to update the assessment of models and support upcoming Ozone Assessment activities","type":"article-journal","volume":"57"},"uris":["http://www.mendeley.com/documents/?uuid=5b5da364-759b-42df-81b9-15991e154366","http://www.mendeley.com/documents/?uuid=6f9e5d6b-0b47-4beb-b6e8-2bac2939a124"]}],"mendeley":{"formattedCitation":"(Plummer et al., 2021)","plainTextFormattedCitation":"(Plummer et al., 2021)","previouslyFormattedCitation":"(Plummer et al., 2021)"},"properties":{"noteIndex":0},"schema":"https://github.com/citation-style-language/schema/raw/master/csl-citation.json"}</w:instrText>
      </w:r>
      <w:r w:rsidR="002335AD">
        <w:fldChar w:fldCharType="separate"/>
      </w:r>
      <w:r w:rsidR="002335AD" w:rsidRPr="002335AD">
        <w:rPr>
          <w:noProof/>
        </w:rPr>
        <w:t>(Plummer et al., 2021)</w:t>
      </w:r>
      <w:r w:rsidR="002335AD">
        <w:fldChar w:fldCharType="end"/>
      </w:r>
      <w:r>
        <w:t xml:space="preserve">. However, further analysis of the QBO in the REF-D1 simulations reveals that </w:t>
      </w:r>
      <w:r w:rsidR="00804B8F" w:rsidRPr="00804B8F">
        <w:t>the QBO is not nudged</w:t>
      </w:r>
      <w:r w:rsidR="0095748C">
        <w:t>,</w:t>
      </w:r>
      <w:r w:rsidR="009F09B8">
        <w:t xml:space="preserve"> but internally generated</w:t>
      </w:r>
      <w:r w:rsidR="0095748C">
        <w:t>,</w:t>
      </w:r>
      <w:r w:rsidR="00804B8F" w:rsidRPr="00804B8F">
        <w:t xml:space="preserve"> in some models</w:t>
      </w:r>
      <w:r w:rsidR="00804B8F" w:rsidRPr="00804B8F" w:rsidDel="00804B8F">
        <w:t xml:space="preserve"> </w:t>
      </w:r>
      <w:r>
        <w:t xml:space="preserve">(i.e. ACCESS, CNRM-MOCAGE, </w:t>
      </w:r>
      <w:proofErr w:type="spellStart"/>
      <w:r w:rsidR="00D526C2">
        <w:t>LMDz</w:t>
      </w:r>
      <w:proofErr w:type="spellEnd"/>
      <w:r w:rsidR="00D526C2">
        <w:t>-REPROBUS</w:t>
      </w:r>
      <w:r>
        <w:t>, NIWA and UKESM1; not shown)</w:t>
      </w:r>
      <w:r w:rsidR="00F9024E">
        <w:t xml:space="preserve"> </w:t>
      </w:r>
      <w:r w:rsidR="00F9024E" w:rsidRPr="00F9024E">
        <w:t xml:space="preserve">and </w:t>
      </w:r>
      <w:r w:rsidR="008F39A6">
        <w:t xml:space="preserve">thus </w:t>
      </w:r>
      <w:r w:rsidR="00F9024E" w:rsidRPr="00F9024E">
        <w:t xml:space="preserve">the </w:t>
      </w:r>
      <w:r w:rsidR="00F9024E">
        <w:t xml:space="preserve">modelled </w:t>
      </w:r>
      <w:r w:rsidR="00F9024E" w:rsidRPr="00F9024E">
        <w:t xml:space="preserve">QBO phases </w:t>
      </w:r>
      <w:r w:rsidR="00F9024E" w:rsidRPr="00F9024E">
        <w:lastRenderedPageBreak/>
        <w:t>are not synchronized with the observations.</w:t>
      </w:r>
      <w:r>
        <w:t xml:space="preserve"> ODS follow the WMO-2018 baseline scenario</w:t>
      </w:r>
      <w:r w:rsidR="005F1262">
        <w:t xml:space="preserve"> </w:t>
      </w:r>
      <w:r w:rsidR="005F1262">
        <w:fldChar w:fldCharType="begin" w:fldLock="1"/>
      </w:r>
      <w:r w:rsidR="00443F93">
        <w:instrText>ADDIN CSL_CITATION {"citationItems":[{"id":"ITEM-1","itemData":{"author":[{"dropping-particle":"","family":"Plummer","given":"D","non-dropping-particle":"","parse-names":false,"suffix":""},{"dropping-particle":"","family":"Nagashima","given":"T","non-dropping-particle":"","parse-names":false,"suffix":""},{"dropping-particle":"","family":"Tilmes","given":"S","non-dropping-particle":"","parse-names":false,"suffix":""},{"dropping-particle":"","family":"Archibald","given":"A","non-dropping-particle":"","parse-names":false,"suffix":""},{"dropping-particle":"","family":"Chiodo","given":"G","non-dropping-particle":"","parse-names":false,"suffix":""},{"dropping-particle":"","family":"Fadnavis","given":"S","non-dropping-particle":"","parse-names":false,"suffix":""},{"dropping-particle":"","family":"et al.","given":"","non-dropping-particle":"","parse-names":false,"suffix":""}],"container-title":"SPARC Newsletter","id":"ITEM-1","issued":{"date-parts":[["2021"]]},"page":"22-30","title":"CCMI-2022: A new set of Chemistry-Climate Model Initiative (CCMI) community simulations to update the assessment of models and support upcoming Ozone Assessment activities","type":"article-journal","volume":"57"},"uris":["http://www.mendeley.com/documents/?uuid=6f9e5d6b-0b47-4beb-b6e8-2bac2939a124","http://www.mendeley.com/documents/?uuid=5b5da364-759b-42df-81b9-15991e154366"]},{"id":"ITEM-2","itemData":{"author":[{"dropping-particle":"","family":"Carpenter","given":"L J","non-dropping-particle":"","parse-names":false,"suffix":""},{"dropping-particle":"","family":"Daniel","given":"J S","non-dropping-particle":"","parse-names":false,"suffix":""},{"dropping-particle":"","family":"Fleming","given":"E L","non-dropping-particle":"","parse-names":false,"suffix":""},{"dropping-particle":"","family":"Hanaoka","given":"T","non-dropping-particle":"","parse-names":false,"suffix":""},{"dropping-particle":"","family":"Hu","given":"J","non-dropping-particle":"","parse-names":false,"suffix":""},{"dropping-particle":"","family":"Ravishankara","given":"A R","non-dropping-particle":"","parse-names":false,"suffix":""},{"dropping-particle":"","family":"Ross","given":"M N","non-dropping-particle":"","parse-names":false,"suffix":""},{"dropping-particle":"","family":"Tilmes","given":"S","non-dropping-particle":"","parse-names":false,"suffix":""},{"dropping-particle":"","family":"Wallington","given":"T J","non-dropping-particle":"","parse-names":false,"suffix":""},{"dropping-particle":"","family":"Wuebbles","given":"D J","non-dropping-particle":"","parse-names":false,"suffix":""}],"collection-title":"Global Ozone Research and Monitoring Project – Report No. 58","container-title":"Scientific Assessment of Ozone Depletion: 2018","id":"ITEM-2","issued":{"date-parts":[["2018"]]},"publisher":"World Meteorological Organization","publisher-place":"Geneva","title":"Scenarios and Information for Policymakers","type":"chapter"},"uris":["http://www.mendeley.com/documents/?uuid=d88505e8-3372-418c-a6c2-69720cb8ca43"]}],"mendeley":{"formattedCitation":"(Carpenter et al., 2018; Plummer et al., 2021)","plainTextFormattedCitation":"(Carpenter et al., 2018; Plummer et al., 2021)","previouslyFormattedCitation":"(Carpenter et al., 2018; Plummer et al., 2021)"},"properties":{"noteIndex":0},"schema":"https://github.com/citation-style-language/schema/raw/master/csl-citation.json"}</w:instrText>
      </w:r>
      <w:r w:rsidR="005F1262">
        <w:fldChar w:fldCharType="separate"/>
      </w:r>
      <w:r w:rsidR="00686A24" w:rsidRPr="00686A24">
        <w:rPr>
          <w:noProof/>
        </w:rPr>
        <w:t>(Carpenter et al., 2018; Plummer et al., 2021)</w:t>
      </w:r>
      <w:r w:rsidR="005F1262">
        <w:fldChar w:fldCharType="end"/>
      </w:r>
      <w:r>
        <w:t>. Long-lived GHG</w:t>
      </w:r>
      <w:r w:rsidR="00E92F34">
        <w:t xml:space="preserve"> a</w:t>
      </w:r>
      <w:r>
        <w:t xml:space="preserve">re specified following the historical CMIP6 database </w:t>
      </w:r>
      <w:r>
        <w:fldChar w:fldCharType="begin" w:fldLock="1"/>
      </w:r>
      <w:r>
        <w:instrText>ADDIN CSL_CITATION {"citationItems":[{"id":"ITEM-1","itemData":{"DOI":"10.5194/gmd-10-2057-2017","ISSN":"19919603","abstract":"Atmospheric greenhouse gas (GHG) concentrations are at unprecedented, record-high levels compared to the last 800 000 years. Those elevated GHG concentrations warm the planet and - partially offset by net cooling effects by aerosols - are largely responsible for the observed warming over the past 150 years. An accurate representation of GHG concentrations is hence important to understand and model recent climate change. So far, community efforts to create composite datasets of GHG concentrations with seasonal and latitudinal information have focused on marine boundary layer conditions and recent trends since the 1980s. Here, we provide consolidated datasets of historical atmospheric concentrations (mole fractions) of 43 GHGs to be used in the Climate Model Intercomparison Project - Phase 6 (CMIP6) experiments. The presented datasets are based on AGAGE and NOAA networks, firn and ice core data, and archived air data, and a large set of published studies. In contrast to previous intercomparisons, the new datasets are latitudinally resolved and include seasonality. We focus on the period 1850-2014 for historical CMIP6 runs, but data are also provided for the last 2000 years. We provide consolidated datasets in various spatiotemporal resolutions for carbon dioxide (CO2), methane (CH4) and nitrous oxide (N2O), as well as 40 other GHGs, namely 17 ozone-depleting substances, 11 hydrofluorocarbons (HFCs), 9 perfluorocarbons (PFCs), sulfur hexafluoride (SF6), nitrogen trifluoride (NF3) and sulfuryl fluoride (SO2F2). In addition, we provide three equivalence species that aggregate concentrations of GHGs other than CO2, CH4 and N2O, weighted by their radiative forcing efficiencies. For the year 1850, which is used for pre-industrial control runs, we estimate annual global-mean surface concentrations of CO2 at 284.3 ppm, CH4 at 808.2 ppb and N2O at 273.0 ppb. The data are available at https://esgf-node.llnl.gov/search/input4mips/ and www.climatecollege.unimelb.edu.au/cmip6. While the minimum CMIP6 recommendation is to use the global- and annual-mean time series, modelling groups can also choose our monthly and latitudinally resolved concentrations, which imply a stronger radiative forcing in the Northern Hemisphere winter (due to the latitudinal gradient and seasonality)..","author":[{"dropping-particle":"","family":"Meinshausen","given":"Malte","non-dropping-particle":"","parse-names":false,"suffix":""},{"dropping-particle":"","family":"Vogel","given":"Elisabeth","non-dropping-particle":"","parse-names":false,"suffix":""},{"dropping-particle":"","family":"Nauels","given":"Alexander","non-dropping-particle":"","parse-names":false,"suffix":""},{"dropping-particle":"","family":"Lorbacher","given":"Katja","non-dropping-particle":"","parse-names":false,"suffix":""},{"dropping-particle":"","family":"Meinshausen","given":"Nicolai","non-dropping-particle":"","parse-names":false,"suffix":""},{"dropping-particle":"","family":"Etheridge","given":"David M.","non-dropping-particle":"","parse-names":false,"suffix":""},{"dropping-particle":"","family":"Fraser","given":"Paul J.","non-dropping-particle":"","parse-names":false,"suffix":""},{"dropping-particle":"","family":"Montzka","given":"Stephen A.","non-dropping-particle":"","parse-names":false,"suffix":""},{"dropping-particle":"","family":"Rayner","given":"Peter J.","non-dropping-particle":"","parse-names":false,"suffix":""},{"dropping-particle":"","family":"Trudinger","given":"Cathy M.","non-dropping-particle":"","parse-names":false,"suffix":""},{"dropping-particle":"","family":"Krummel","given":"Paul B.","non-dropping-particle":"","parse-names":false,"suffix":""},{"dropping-particle":"","family":"Beyerle","given":"Urs","non-dropping-particle":"","parse-names":false,"suffix":""},{"dropping-particle":"","family":"Canadell","given":"Josep G.","non-dropping-particle":"","parse-names":false,"suffix":""},{"dropping-particle":"","family":"Daniel","given":"John S.","non-dropping-particle":"","parse-names":false,"suffix":""},{"dropping-particle":"","family":"Enting","given":"Ian G.","non-dropping-particle":"","parse-names":false,"suffix":""},{"dropping-particle":"","family":"Law","given":"Rachel M.","non-dropping-particle":"","parse-names":false,"suffix":""},{"dropping-particle":"","family":"Lunder","given":"Chris R.","non-dropping-particle":"","parse-names":false,"suffix":""},{"dropping-particle":"","family":"O'Doherty","given":"Simon","non-dropping-particle":"","parse-names":false,"suffix":""},{"dropping-particle":"","family":"Prinn","given":"Ron G.","non-dropping-particle":"","parse-names":false,"suffix":""},{"dropping-particle":"","family":"Reimann","given":"Stefan","non-dropping-particle":"","parse-names":false,"suffix":""},{"dropping-particle":"","family":"Rubino","given":"Mauro","non-dropping-particle":"","parse-names":false,"suffix":""},{"dropping-particle":"","family":"Velders","given":"Guus J.M.","non-dropping-particle":"","parse-names":false,"suffix":""},{"dropping-particle":"","family":"Vollmer","given":"Martin K.","non-dropping-particle":"","parse-names":false,"suffix":""},{"dropping-particle":"","family":"Wang","given":"Ray H.J.","non-dropping-particle":"","parse-names":false,"suffix":""},{"dropping-particle":"","family":"Weiss","given":"Ray","non-dropping-particle":"","parse-names":false,"suffix":""}],"container-title":"Geoscientific Model Development","id":"ITEM-1","issue":"5","issued":{"date-parts":[["2017"]]},"page":"2057-2116","title":"Historical greenhouse gas concentrations for climate modelling (CMIP6)","type":"article-journal","volume":"10"},"uris":["http://www.mendeley.com/documents/?uuid=860bd18c-18a6-475b-b0ff-8679cdd4278c"]}],"mendeley":{"formattedCitation":"(Meinshausen et al., 2017)","plainTextFormattedCitation":"(Meinshausen et al., 2017)","previouslyFormattedCitation":"(Meinshausen et al., 2017)"},"properties":{"noteIndex":0},"schema":"https://github.com/citation-style-language/schema/raw/master/csl-citation.json"}</w:instrText>
      </w:r>
      <w:r>
        <w:fldChar w:fldCharType="separate"/>
      </w:r>
      <w:r>
        <w:rPr>
          <w:noProof/>
        </w:rPr>
        <w:t>(Meinshausen et al., 2017)</w:t>
      </w:r>
      <w:r>
        <w:fldChar w:fldCharType="end"/>
      </w:r>
      <w:r>
        <w:t xml:space="preserve"> until 2014, while they follow SSP2-4.5 scenario from 2015 to 2018 </w:t>
      </w:r>
      <w:r>
        <w:fldChar w:fldCharType="begin" w:fldLock="1"/>
      </w:r>
      <w:r>
        <w:instrText>ADDIN CSL_CITATION {"citationItems":[{"id":"ITEM-1","itemData":{"DOI":"10.5194/gmd-13-3571-2020","ISSN":"19919603","abstract":"Anthropogenic increases in atmospheric greenhouse gas concentrations are the main driver of current and future climate change. The integrated assessment community has quantified anthropogenic emissions for the shared socioeconomic pathway (SSP) scenarios, each of which represents a different future socio-economic projection and political environment. Here, we provide the greenhouse gas concentrations for these SSP scenarios - using the reduced-complexity climate-carbon-cycle model MAGICC7.0.We extend historical, observationally based concentration data with SSP concentration projections from 2015 to 2500 for 43 greenhouse gases with monthly and latitudinal resolution. CO2 concentrations by 2100 range from 393 to 1135 ppm for the lowest (SSP1-1.9) and highest (SSP5-8.5) emission scenarios, respectively. We also provide the concentration extensions beyond 2100 based on assumptions regarding the trajectories of fossil fuels and land use change emissions, net negative emissions, and the fraction of non-CO 2 emissions. By 2150, CO2 concentrations in the lowest emission scenario are approximately 350 ppm and approximately plateau at that leveluntil 2500, whereas the highest fossil-fuel-driven scenario projects CO 2 concentrations of 1737 ppm and reaches concentrations beyond 2000 ppm by 2250. We estimate that the share of CO2 in the total radiative forcing contribution of all considered 43 long-lived greenhouse gases increases from 66% for the present day to roughly 68% to 85% by the time of maximum forcing in the 21st century. For this estimation, we updated simple radiative forcing parameterizations that reflect the Oslo Line-By-Line model results. In comparison to the representative concentration pathways (RCPs), the five main SSPs (SSP1-1.9, SSP1-2.6, SSP2-4.5, SSP3-7.0, and SSP5-8.5) are more evenly spaced and extend to lower 2100 radiative forcing and temperatures. Performing two pairs of six-member historical ensembles with CESM1.2.2, we estimate the effect on surface air temperatures of applying latitudinally and seasonally resolved GHG concentrations. We find that the ensemble differences in the March-April-May (MAM) season provide a regional warming in higher northern latitudes of up to 0.4K over the historical period, latitudinally averaged of about 0.1 K, which we estimate to be comparable to the upper bound (5% level) of natural variability. In comparison to the comparatively straight line of the last 2000 years, the greenhouse gas concentrations…","author":[{"dropping-particle":"","family":"Meinshausen","given":"Malte","non-dropping-particle":"","parse-names":false,"suffix":""},{"dropping-particle":"","family":"Nicholls","given":"Zebedee R.J.","non-dropping-particle":"","parse-names":false,"suffix":""},{"dropping-particle":"","family":"Lewis","given":"Jared","non-dropping-particle":"","parse-names":false,"suffix":""},{"dropping-particle":"","family":"Gidden","given":"Matthew J.","non-dropping-particle":"","parse-names":false,"suffix":""},{"dropping-particle":"","family":"Vogel","given":"Elisabeth","non-dropping-particle":"","parse-names":false,"suffix":""},{"dropping-particle":"","family":"Freund","given":"Mandy","non-dropping-particle":"","parse-names":false,"suffix":""},{"dropping-particle":"","family":"Beyerle","given":"Urs","non-dropping-particle":"","parse-names":false,"suffix":""},{"dropping-particle":"","family":"Gessner","given":"Claudia","non-dropping-particle":"","parse-names":false,"suffix":""},{"dropping-particle":"","family":"Nauels","given":"Alexander","non-dropping-particle":"","parse-names":false,"suffix":""},{"dropping-particle":"","family":"Bauer","given":"Nico","non-dropping-particle":"","parse-names":false,"suffix":""},{"dropping-particle":"","family":"Canadell","given":"Josep G.","non-dropping-particle":"","parse-names":false,"suffix":""},{"dropping-particle":"","family":"Daniel","given":"John S.","non-dropping-particle":"","parse-names":false,"suffix":""},{"dropping-particle":"","family":"John","given":"Andrew","non-dropping-particle":"","parse-names":false,"suffix":""},{"dropping-particle":"","family":"Krummel","given":"Paul B.","non-dropping-particle":"","parse-names":false,"suffix":""},{"dropping-particle":"","family":"Luderer","given":"Gunnar","non-dropping-particle":"","parse-names":false,"suffix":""},{"dropping-particle":"","family":"Meinshausen","given":"Nicolai","non-dropping-particle":"","parse-names":false,"suffix":""},{"dropping-particle":"","family":"Montzka","given":"Stephen A.","non-dropping-particle":"","parse-names":false,"suffix":""},{"dropping-particle":"","family":"Rayner","given":"Peter J.","non-dropping-particle":"","parse-names":false,"suffix":""},{"dropping-particle":"","family":"Reimann","given":"Stefan","non-dropping-particle":"","parse-names":false,"suffix":""},{"dropping-particle":"","family":"Smith","given":"Steven J.","non-dropping-particle":"","parse-names":false,"suffix":""},{"dropping-particle":"","family":"Berg","given":"Marten","non-dropping-particle":"Van Den","parse-names":false,"suffix":""},{"dropping-particle":"","family":"Velders","given":"Guus J.M.","non-dropping-particle":"","parse-names":false,"suffix":""},{"dropping-particle":"","family":"Vollmer","given":"Martin K.","non-dropping-particle":"","parse-names":false,"suffix":""},{"dropping-particle":"","family":"Wang","given":"Ray H.J.","non-dropping-particle":"","parse-names":false,"suffix":""}],"container-title":"Geoscientific Model Development","id":"ITEM-1","issue":"8","issued":{"date-parts":[["2020"]]},"page":"3571-3605","title":"The shared socio-economic pathway (SSP) greenhouse gas concentrations and their extensions to 2500","type":"article-journal","volume":"13"},"uris":["http://www.mendeley.com/documents/?uuid=d857feaa-95ca-4881-b013-9de4ede38f6a"]},{"id":"ITEM-2","itemData":{"DOI":"10.5194/gmd-9-3461-2016","ISSN":"19919603","abstract":"Projections of future climate change play a fundamental role in improving understanding of the climate system as well as characterizing societal risks and response options. The Scenario Model Intercomparison Project (ScenarioMIP) is the primary activity within Phase 6 of the Coupled Model Intercomparison Project (CMIP6) that will provide multi-model climate projections based on alternative scenarios of future emissions and land use changes produced with integrated assessment models. In this paper, we describe ScenarioMIP's objectives, experimental design, and its relation to other activities within CMIP6. The ScenarioMIP design is one component of a larger scenario process that aims to facilitate a wide range of integrated studies across the climate science, integrated assessment modeling, and impacts, adaptation, and vulnerability communities, and will form an important part of the evidence base in the forthcoming Intergovernmental Panel on Climate Change (IPCC) assessments. At the same time, it will provide the basis for investigating a number of targeted science and policy questions that are especially relevant to scenario-based analysis, including the role of specific forcings such as land use and aerosols, the effect of a peak and decline in forcing, the consequences of scenarios that limit warming to below 2 °C, the relative contributions to uncertainty from scenarios, climate models, and internal variability, and long-term climate system outcomes beyond the 21st century. To serve this wide range of scientific communities and address these questions, a design has been identified consisting of eight alternative 21st century scenarios plus one large initial condition ensemble and a set of long-term extensions, divided into two tiers defined by relative priority. Some of these scenarios will also provide a basis for variants planned to be run in other CMIP6-Endorsed MIPs to investigate questions related to specific forcings. Harmonized, spatially explicit emissions and land use scenarios generated with integrated assessment models will be provided to participating climate modeling groups by late 2016, with the climate model simulations run within the 2017-2018 time frame, and output from the climate model projections made available and analyses performed over the 2018-2020 period.","author":[{"dropping-particle":"","family":"O'Neill","given":"Brian C.","non-dropping-particle":"","parse-names":false,"suffix":""},{"dropping-particle":"","family":"Tebaldi","given":"Claudia","non-dropping-particle":"","parse-names":false,"suffix":""},{"dropping-particle":"","family":"Vuuren","given":"Detlef P.","non-dropping-particle":"Van","parse-names":false,"suffix":""},{"dropping-particle":"","family":"Eyring","given":"Veronika","non-dropping-particle":"","parse-names":false,"suffix":""},{"dropping-particle":"","family":"Friedlingstein","given":"Pierre","non-dropping-particle":"","parse-names":false,"suffix":""},{"dropping-particle":"","family":"Hurtt","given":"George","non-dropping-particle":"","parse-names":false,"suffix":""},{"dropping-particle":"","family":"Knutti","given":"Reto","non-dropping-particle":"","parse-names":false,"suffix":""},{"dropping-particle":"","family":"Kriegler","given":"Elmar","non-dropping-particle":"","parse-names":false,"suffix":""},{"dropping-particle":"","family":"Lamarque","given":"Jean Francois","non-dropping-particle":"","parse-names":false,"suffix":""},{"dropping-particle":"","family":"Lowe","given":"Jason","non-dropping-particle":"","parse-names":false,"suffix":""},{"dropping-particle":"","family":"Meehl","given":"Gerald A.","non-dropping-particle":"","parse-names":false,"suffix":""},{"dropping-particle":"","family":"Moss","given":"Richard","non-dropping-particle":"","parse-names":false,"suffix":""},{"dropping-particle":"","family":"Riahi","given":"Keywan","non-dropping-particle":"","parse-names":false,"suffix":""},{"dropping-particle":"","family":"Sanderson","given":"Benjamin M.","non-dropping-particle":"","parse-names":false,"suffix":""}],"container-title":"Geoscientific Model Development","id":"ITEM-2","issue":"9","issued":{"date-parts":[["2016"]]},"page":"3461-3482","title":"The Scenario Model Intercomparison Project (ScenarioMIP) for CMIP6","type":"article-journal","volume":"9"},"uris":["http://www.mendeley.com/documents/?uuid=05e143f3-a2d7-4b31-a307-f6ccdd8b78cd"]}],"mendeley":{"formattedCitation":"(Meinshausen et al., 2020; O’Neill et al., 2016)","plainTextFormattedCitation":"(Meinshausen et al., 2020; O’Neill et al., 2016)","previouslyFormattedCitation":"(Meinshausen et al., 2020; O’Neill et al., 2016)"},"properties":{"noteIndex":0},"schema":"https://github.com/citation-style-language/schema/raw/master/csl-citation.json"}</w:instrText>
      </w:r>
      <w:r>
        <w:fldChar w:fldCharType="separate"/>
      </w:r>
      <w:r>
        <w:rPr>
          <w:noProof/>
        </w:rPr>
        <w:t>(Meinshausen et al., 2020; O’Neill et al., 2016)</w:t>
      </w:r>
      <w:r>
        <w:fldChar w:fldCharType="end"/>
      </w:r>
      <w:r>
        <w:t xml:space="preserve">. </w:t>
      </w:r>
    </w:p>
    <w:p w14:paraId="780712D0" w14:textId="07F65F0E" w:rsidR="00814700" w:rsidRDefault="006D0001">
      <w:pPr>
        <w:pStyle w:val="TextoNormal"/>
      </w:pPr>
      <w:r>
        <w:t xml:space="preserve">Free-running simulations of the REF-D2 baseline projection span the period 1960-2100. They follow the SSP2-4.5 scenario of CMIP6 </w:t>
      </w:r>
      <w:r>
        <w:fldChar w:fldCharType="begin" w:fldLock="1"/>
      </w:r>
      <w:r>
        <w:instrText>ADDIN CSL_CITATION {"citationItems":[{"id":"ITEM-1","itemData":{"DOI":"10.5194/gmd-9-3461-2016","ISSN":"19919603","abstract":"Projections of future climate change play a fundamental role in improving understanding of the climate system as well as characterizing societal risks and response options. The Scenario Model Intercomparison Project (ScenarioMIP) is the primary activity within Phase 6 of the Coupled Model Intercomparison Project (CMIP6) that will provide multi-model climate projections based on alternative scenarios of future emissions and land use changes produced with integrated assessment models. In this paper, we describe ScenarioMIP's objectives, experimental design, and its relation to other activities within CMIP6. The ScenarioMIP design is one component of a larger scenario process that aims to facilitate a wide range of integrated studies across the climate science, integrated assessment modeling, and impacts, adaptation, and vulnerability communities, and will form an important part of the evidence base in the forthcoming Intergovernmental Panel on Climate Change (IPCC) assessments. At the same time, it will provide the basis for investigating a number of targeted science and policy questions that are especially relevant to scenario-based analysis, including the role of specific forcings such as land use and aerosols, the effect of a peak and decline in forcing, the consequences of scenarios that limit warming to below 2 °C, the relative contributions to uncertainty from scenarios, climate models, and internal variability, and long-term climate system outcomes beyond the 21st century. To serve this wide range of scientific communities and address these questions, a design has been identified consisting of eight alternative 21st century scenarios plus one large initial condition ensemble and a set of long-term extensions, divided into two tiers defined by relative priority. Some of these scenarios will also provide a basis for variants planned to be run in other CMIP6-Endorsed MIPs to investigate questions related to specific forcings. Harmonized, spatially explicit emissions and land use scenarios generated with integrated assessment models will be provided to participating climate modeling groups by late 2016, with the climate model simulations run within the 2017-2018 time frame, and output from the climate model projections made available and analyses performed over the 2018-2020 period.","author":[{"dropping-particle":"","family":"O'Neill","given":"Brian C.","non-dropping-particle":"","parse-names":false,"suffix":""},{"dropping-particle":"","family":"Tebaldi","given":"Claudia","non-dropping-particle":"","parse-names":false,"suffix":""},{"dropping-particle":"","family":"Vuuren","given":"Detlef P.","non-dropping-particle":"Van","parse-names":false,"suffix":""},{"dropping-particle":"","family":"Eyring","given":"Veronika","non-dropping-particle":"","parse-names":false,"suffix":""},{"dropping-particle":"","family":"Friedlingstein","given":"Pierre","non-dropping-particle":"","parse-names":false,"suffix":""},{"dropping-particle":"","family":"Hurtt","given":"George","non-dropping-particle":"","parse-names":false,"suffix":""},{"dropping-particle":"","family":"Knutti","given":"Reto","non-dropping-particle":"","parse-names":false,"suffix":""},{"dropping-particle":"","family":"Kriegler","given":"Elmar","non-dropping-particle":"","parse-names":false,"suffix":""},{"dropping-particle":"","family":"Lamarque","given":"Jean Francois","non-dropping-particle":"","parse-names":false,"suffix":""},{"dropping-particle":"","family":"Lowe","given":"Jason","non-dropping-particle":"","parse-names":false,"suffix":""},{"dropping-particle":"","family":"Meehl","given":"Gerald A.","non-dropping-particle":"","parse-names":false,"suffix":""},{"dropping-particle":"","family":"Moss","given":"Richard","non-dropping-particle":"","parse-names":false,"suffix":""},{"dropping-particle":"","family":"Riahi","given":"Keywan","non-dropping-particle":"","parse-names":false,"suffix":""},{"dropping-particle":"","family":"Sanderson","given":"Benjamin M.","non-dropping-particle":"","parse-names":false,"suffix":""}],"container-title":"Geoscientific Model Development","id":"ITEM-1","issue":"9","issued":{"date-parts":[["2016"]]},"page":"3461-3482","title":"The Scenario Model Intercomparison Project (ScenarioMIP) for CMIP6","type":"article-journal","volume":"9"},"uris":["http://www.mendeley.com/documents/?uuid=05e143f3-a2d7-4b31-a307-f6ccdd8b78cd"]},{"id":"ITEM-2","itemData":{"DOI":"10.5194/gmd-13-3571-2020","ISSN":"19919603","abstract":"Anthropogenic increases in atmospheric greenhouse gas concentrations are the main driver of current and future climate change. The integrated assessment community has quantified anthropogenic emissions for the shared socioeconomic pathway (SSP) scenarios, each of which represents a different future socio-economic projection and political environment. Here, we provide the greenhouse gas concentrations for these SSP scenarios - using the reduced-complexity climate-carbon-cycle model MAGICC7.0.We extend historical, observationally based concentration data with SSP concentration projections from 2015 to 2500 for 43 greenhouse gases with monthly and latitudinal resolution. CO2 concentrations by 2100 range from 393 to 1135 ppm for the lowest (SSP1-1.9) and highest (SSP5-8.5) emission scenarios, respectively. We also provide the concentration extensions beyond 2100 based on assumptions regarding the trajectories of fossil fuels and land use change emissions, net negative emissions, and the fraction of non-CO 2 emissions. By 2150, CO2 concentrations in the lowest emission scenario are approximately 350 ppm and approximately plateau at that leveluntil 2500, whereas the highest fossil-fuel-driven scenario projects CO 2 concentrations of 1737 ppm and reaches concentrations beyond 2000 ppm by 2250. We estimate that the share of CO2 in the total radiative forcing contribution of all considered 43 long-lived greenhouse gases increases from 66% for the present day to roughly 68% to 85% by the time of maximum forcing in the 21st century. For this estimation, we updated simple radiative forcing parameterizations that reflect the Oslo Line-By-Line model results. In comparison to the representative concentration pathways (RCPs), the five main SSPs (SSP1-1.9, SSP1-2.6, SSP2-4.5, SSP3-7.0, and SSP5-8.5) are more evenly spaced and extend to lower 2100 radiative forcing and temperatures. Performing two pairs of six-member historical ensembles with CESM1.2.2, we estimate the effect on surface air temperatures of applying latitudinally and seasonally resolved GHG concentrations. We find that the ensemble differences in the March-April-May (MAM) season provide a regional warming in higher northern latitudes of up to 0.4K over the historical period, latitudinally averaged of about 0.1 K, which we estimate to be comparable to the upper bound (5% level) of natural variability. In comparison to the comparatively straight line of the last 2000 years, the greenhouse gas concentrations…","author":[{"dropping-particle":"","family":"Meinshausen","given":"Malte","non-dropping-particle":"","parse-names":false,"suffix":""},{"dropping-particle":"","family":"Nicholls","given":"Zebedee R.J.","non-dropping-particle":"","parse-names":false,"suffix":""},{"dropping-particle":"","family":"Lewis","given":"Jared","non-dropping-particle":"","parse-names":false,"suffix":""},{"dropping-particle":"","family":"Gidden","given":"Matthew J.","non-dropping-particle":"","parse-names":false,"suffix":""},{"dropping-particle":"","family":"Vogel","given":"Elisabeth","non-dropping-particle":"","parse-names":false,"suffix":""},{"dropping-particle":"","family":"Freund","given":"Mandy","non-dropping-particle":"","parse-names":false,"suffix":""},{"dropping-particle":"","family":"Beyerle","given":"Urs","non-dropping-particle":"","parse-names":false,"suffix":""},{"dropping-particle":"","family":"Gessner","given":"Claudia","non-dropping-particle":"","parse-names":false,"suffix":""},{"dropping-particle":"","family":"Nauels","given":"Alexander","non-dropping-particle":"","parse-names":false,"suffix":""},{"dropping-particle":"","family":"Bauer","given":"Nico","non-dropping-particle":"","parse-names":false,"suffix":""},{"dropping-particle":"","family":"Canadell","given":"Josep G.","non-dropping-particle":"","parse-names":false,"suffix":""},{"dropping-particle":"","family":"Daniel","given":"John S.","non-dropping-particle":"","parse-names":false,"suffix":""},{"dropping-particle":"","family":"John","given":"Andrew","non-dropping-particle":"","parse-names":false,"suffix":""},{"dropping-particle":"","family":"Krummel","given":"Paul B.","non-dropping-particle":"","parse-names":false,"suffix":""},{"dropping-particle":"","family":"Luderer","given":"Gunnar","non-dropping-particle":"","parse-names":false,"suffix":""},{"dropping-particle":"","family":"Meinshausen","given":"Nicolai","non-dropping-particle":"","parse-names":false,"suffix":""},{"dropping-particle":"","family":"Montzka","given":"Stephen A.","non-dropping-particle":"","parse-names":false,"suffix":""},{"dropping-particle":"","family":"Rayner","given":"Peter J.","non-dropping-particle":"","parse-names":false,"suffix":""},{"dropping-particle":"","family":"Reimann","given":"Stefan","non-dropping-particle":"","parse-names":false,"suffix":""},{"dropping-particle":"","family":"Smith","given":"Steven J.","non-dropping-particle":"","parse-names":false,"suffix":""},{"dropping-particle":"","family":"Berg","given":"Marten","non-dropping-particle":"Van Den","parse-names":false,"suffix":""},{"dropping-particle":"","family":"Velders","given":"Guus J.M.","non-dropping-particle":"","parse-names":false,"suffix":""},{"dropping-particle":"","family":"Vollmer","given":"Martin K.","non-dropping-particle":"","parse-names":false,"suffix":""},{"dropping-particle":"","family":"Wang","given":"Ray H.J.","non-dropping-particle":"","parse-names":false,"suffix":""}],"container-title":"Geoscientific Model Development","id":"ITEM-2","issue":"8","issued":{"date-parts":[["2020"]]},"page":"3571-3605","title":"The shared socio-economic pathway (SSP) greenhouse gas concentrations and their extensions to 2500","type":"article-journal","volume":"13"},"uris":["http://www.mendeley.com/documents/?uuid=d857feaa-95ca-4881-b013-9de4ede38f6a"]}],"mendeley":{"formattedCitation":"(Meinshausen et al., 2020; O’Neill et al., 2016)","plainTextFormattedCitation":"(Meinshausen et al., 2020; O’Neill et al., 2016)","previouslyFormattedCitation":"(Meinshausen et al., 2020; O’Neill et al., 2016)"},"properties":{"noteIndex":0},"schema":"https://github.com/citation-style-language/schema/raw/master/csl-citation.json"}</w:instrText>
      </w:r>
      <w:r>
        <w:fldChar w:fldCharType="separate"/>
      </w:r>
      <w:r w:rsidR="00CC7076" w:rsidRPr="00CC7076">
        <w:rPr>
          <w:noProof/>
        </w:rPr>
        <w:t>(Meinshausen et al., 2020; O’Neill et al., 2016)</w:t>
      </w:r>
      <w:r>
        <w:fldChar w:fldCharType="end"/>
      </w:r>
      <w:r w:rsidR="00B93F00">
        <w:t xml:space="preserve"> </w:t>
      </w:r>
      <w:r>
        <w:t>and the WMO-2018 baseline scenario for ODS. Note that in REF-D2 simulations, each model uses different SST and SIC. Some models are fully coupled to a 3-D ocean model (ACCESS, CESM2-WACCM, MIROC-ES2H and SOCOL), while other models use prescribed SST and SIC provided by another simulation of a</w:t>
      </w:r>
      <w:r w:rsidR="009703B7">
        <w:t xml:space="preserve">n atmosphere-ocean </w:t>
      </w:r>
      <w:r w:rsidR="00727BFC">
        <w:t>coupled</w:t>
      </w:r>
      <w:r>
        <w:t xml:space="preserve"> model from the same institution (MIROC3.2, CMAM, </w:t>
      </w:r>
      <w:r w:rsidR="00975B99">
        <w:t>CNRM-MOCAGE</w:t>
      </w:r>
      <w:r>
        <w:t xml:space="preserve">) or by a different </w:t>
      </w:r>
      <w:r w:rsidR="00727BFC">
        <w:t xml:space="preserve">coupled </w:t>
      </w:r>
      <w:r>
        <w:t>model</w:t>
      </w:r>
      <w:r w:rsidR="0046280E">
        <w:t xml:space="preserve"> from another insti</w:t>
      </w:r>
      <w:r w:rsidR="00227616">
        <w:t>tution</w:t>
      </w:r>
      <w:r>
        <w:t xml:space="preserve"> from the CMIP6 archive (EMAC,</w:t>
      </w:r>
      <w:r w:rsidR="001E075D">
        <w:t xml:space="preserve"> </w:t>
      </w:r>
      <w:r>
        <w:t xml:space="preserve">NIWA). Regarding the model representation of the QBO, some models internally generate a QBO (ACCESS, GEOSCCM, </w:t>
      </w:r>
      <w:proofErr w:type="spellStart"/>
      <w:r w:rsidR="00CE0781">
        <w:t>LMDz</w:t>
      </w:r>
      <w:proofErr w:type="spellEnd"/>
      <w:r w:rsidR="00CE0781">
        <w:t>-REPROBUS</w:t>
      </w:r>
      <w:r w:rsidR="00A43B76">
        <w:t xml:space="preserve">, </w:t>
      </w:r>
      <w:r>
        <w:t>MIROC-ES2H,</w:t>
      </w:r>
      <w:r w:rsidR="00D526C2">
        <w:t xml:space="preserve"> </w:t>
      </w:r>
      <w:r>
        <w:t xml:space="preserve">NIWA) but other models nudge zonal winds in the QBO domain (MIROC3.2, CESM2-WACCM, CMAM, EMAC, SOCOL). </w:t>
      </w:r>
    </w:p>
    <w:p w14:paraId="780712D1" w14:textId="57CD9EA7" w:rsidR="00814700" w:rsidRDefault="006D0001">
      <w:pPr>
        <w:pStyle w:val="TextoNormal"/>
      </w:pPr>
      <w:r>
        <w:t>For comparison purposes, a set of REF-C2 long-term simulations from CCMI-1 is analyzed. The 1</w:t>
      </w:r>
      <w:r w:rsidR="00B97ABE">
        <w:t>5</w:t>
      </w:r>
      <w:r>
        <w:t xml:space="preserve"> CCMI–1 models used are (number in brackets indicates the ensemble size): ACCESS-CCM (2), CCSRNIES-MIROC3.2 (2),</w:t>
      </w:r>
      <w:r w:rsidR="00D721FD">
        <w:t xml:space="preserve"> CHASER-MIROC</w:t>
      </w:r>
      <w:r w:rsidR="006E7644">
        <w:t xml:space="preserve"> (1),</w:t>
      </w:r>
      <w:r>
        <w:t xml:space="preserve"> CMAM (1), EMAC-L47 (2), EMAC-L90 (1), GEOSCCM (1), HadGEM3-ES (1), MRI-ESM1 (1), NIWA-UKCA (</w:t>
      </w:r>
      <w:r w:rsidR="00D721FD">
        <w:t>5</w:t>
      </w:r>
      <w:r>
        <w:t xml:space="preserve">), SOCOL3 (1), ULAQ-CCM (3), UMSLIMCAT (1), UMUKCA-UCAM (2) and CESM1-WACCM (3). All the details of these simulations can be found in </w:t>
      </w:r>
      <w:r>
        <w:fldChar w:fldCharType="begin" w:fldLock="1"/>
      </w:r>
      <w:r w:rsidR="00781F9F">
        <w:instrText>ADDIN CSL_CITATION {"citationItems":[{"id":"ITEM-1","itemData":{"DOI":"10.5194/gmd-10-639-2017","ISSN":"19919603","abstract":"We present an overview of state-of-The-Art chemistryclimate and chemistry transport models that are used within phase 1 of the ChemistryClimate Model Initiative (CCMI-1). The CCMI aims to conduct a detailed evaluation of participating models using process-oriented diagnostics derived from observations in order to gain confidence in the models' projections of the stratospheric ozone layer, tropospheric composition, air quality, where applicable global climate change, and the interactions between them. Interpretation of these diagnostics requires detailed knowledge of the radiative, chemical, dynamical, and physical processes incorporated in the models. Also an understanding of the degree to which CCMI-1 recommendations for simulations have been followed is necessary to understand model responses to anthropogenic and natural forcing and also to explain intermodel differences. This becomes even more important given the ongoing development and the ever-growing complexity of these models. This paper also provides an overview of the available CCMI-1 simulations with the aim of informing CCMI data users.","author":[{"dropping-particle":"","family":"Morgenstern","given":"O.","non-dropping-particle":"","parse-names":false,"suffix":""},{"dropping-particle":"","family":"Hegglin","given":"Michaela","non-dropping-particle":"","parse-names":false,"suffix":""},{"dropping-particle":"","family":"Rozanov","given":"Eugene","non-dropping-particle":"","parse-names":false,"suffix":""},{"dropping-particle":"","family":"O'Connor","given":"Fiona","non-dropping-particle":"","parse-names":false,"suffix":""},{"dropping-particle":"","family":"Luke Abraham","given":"N.","non-dropping-particle":"","parse-names":false,"suffix":""},{"dropping-particle":"","family":"Akiyoshi","given":"Hideharu","non-dropping-particle":"","parse-names":false,"suffix":""},{"dropping-particle":"","family":"Archibald","given":"Alexander","non-dropping-particle":"","parse-names":false,"suffix":""},{"dropping-particle":"","family":"Bekki","given":"Slimane","non-dropping-particle":"","parse-names":false,"suffix":""},{"dropping-particle":"","family":"Butchart","given":"Neal","non-dropping-particle":"","parse-names":false,"suffix":""},{"dropping-particle":"","family":"Chipperfield","given":"Martyn","non-dropping-particle":"","parse-names":false,"suffix":""},{"dropping-particle":"","family":"Deushi","given":"Makoto","non-dropping-particle":"","parse-names":false,"suffix":""},{"dropping-particle":"","family":"Dhomse","given":"Sandip","non-dropping-particle":"","parse-names":false,"suffix":""},{"dropping-particle":"","family":"Garcia","given":"Rolando","non-dropping-particle":"","parse-names":false,"suffix":""},{"dropping-particle":"","family":"Hardiman","given":"Steven","non-dropping-particle":"","parse-names":false,"suffix":""},{"dropping-particle":"","family":"Horowitz","given":"Larry","non-dropping-particle":"","parse-names":false,"suffix":""},{"dropping-particle":"","family":"Jöckel","given":"Patrick","non-dropping-particle":"","parse-names":false,"suffix":""},{"dropping-particle":"","family":"Josse","given":"Beatrice","non-dropping-particle":"","parse-names":false,"suffix":""},{"dropping-particle":"","family":"Kinnison","given":"Douglas","non-dropping-particle":"","parse-names":false,"suffix":""},{"dropping-particle":"","family":"Lin","given":"Meiyun","non-dropping-particle":"","parse-names":false,"suffix":""},{"dropping-particle":"","family":"Mancini","given":"Eva","non-dropping-particle":"","parse-names":false,"suffix":""},{"dropping-particle":"","family":"Manyin","given":"Michael","non-dropping-particle":"","parse-names":false,"suffix":""},{"dropping-particle":"","family":"Marchand","given":"Marion","non-dropping-particle":"","parse-names":false,"suffix":""},{"dropping-particle":"","family":"Marécal","given":"Virginie","non-dropping-particle":"","parse-names":false,"suffix":""},{"dropping-particle":"","family":"Michou","given":"Martine","non-dropping-particle":"","parse-names":false,"suffix":""},{"dropping-particle":"","family":"Oman","given":"Luke","non-dropping-particle":"","parse-names":false,"suffix":""},{"dropping-particle":"","family":"Pitari","given":"Giovanni","non-dropping-particle":"","parse-names":false,"suffix":""},{"dropping-particle":"","family":"Plummer","given":"David","non-dropping-particle":"","parse-names":false,"suffix":""},{"dropping-particle":"","family":"Revell","given":"Laura","non-dropping-particle":"","parse-names":false,"suffix":""},{"dropping-particle":"","family":"Saint-Martin","given":"David","non-dropping-particle":"","parse-names":false,"suffix":""},{"dropping-particle":"","family":"Schofield","given":"Robyn","non-dropping-particle":"","parse-names":false,"suffix":""},{"dropping-particle":"","family":"Stenke","given":"Andrea","non-dropping-particle":"","parse-names":false,"suffix":""},{"dropping-particle":"","family":"Stone","given":"Kane","non-dropping-particle":"","parse-names":false,"suffix":""},{"dropping-particle":"","family":"Sudo","given":"Kengo","non-dropping-particle":"","parse-names":false,"suffix":""},{"dropping-particle":"","family":"Tanaka","given":"Taichu","non-dropping-particle":"","parse-names":false,"suffix":""},{"dropping-particle":"","family":"Tilmes","given":"Simone","non-dropping-particle":"","parse-names":false,"suffix":""},{"dropping-particle":"","family":"Yamashita","given":"Yousuke","non-dropping-particle":"","parse-names":false,"suffix":""},{"dropping-particle":"","family":"Yoshida","given":"Kohei","non-dropping-particle":"","parse-names":false,"suffix":""},{"dropping-particle":"","family":"Zeng","given":"Guang","non-dropping-particle":"","parse-names":false,"suffix":""}],"container-title":"Geoscientific Model Development","id":"ITEM-1","issue":"2","issued":{"date-parts":[["2017"]]},"page":"639-671","title":"Review of the global models used within phase 1 of the Chemistry-Climate Model Initiative (CCMI)","type":"article-journal","volume":"10"},"uris":["http://www.mendeley.com/documents/?uuid=54db7464-2381-4e16-8b45-4aa69635a5c5"]}],"mendeley":{"formattedCitation":"(Morgenstern et al., 2017)","manualFormatting":"Morgenstern et al., (2017","plainTextFormattedCitation":"(Morgenstern et al., 2017)","previouslyFormattedCitation":"(Morgenstern et al., 2017)"},"properties":{"noteIndex":0},"schema":"https://github.com/citation-style-language/schema/raw/master/csl-citation.json"}</w:instrText>
      </w:r>
      <w:r>
        <w:fldChar w:fldCharType="separate"/>
      </w:r>
      <w:r>
        <w:rPr>
          <w:noProof/>
        </w:rPr>
        <w:t xml:space="preserve">Morgenstern et al., </w:t>
      </w:r>
      <w:r w:rsidR="001A7F05">
        <w:rPr>
          <w:noProof/>
        </w:rPr>
        <w:t>(</w:t>
      </w:r>
      <w:r>
        <w:rPr>
          <w:noProof/>
        </w:rPr>
        <w:t>2017</w:t>
      </w:r>
      <w:r>
        <w:fldChar w:fldCharType="end"/>
      </w:r>
      <w:r w:rsidR="001A7F05">
        <w:t>)</w:t>
      </w:r>
      <w:r>
        <w:t>. They are analogous to the REF-D2 experiment but with the previous CCMI-1 baseline scenario RCP6.0 for long-lived GHG and WMO-2010 for ODS.</w:t>
      </w:r>
    </w:p>
    <w:p w14:paraId="780712D3" w14:textId="77777777" w:rsidR="00814700" w:rsidRDefault="00814700">
      <w:pPr>
        <w:jc w:val="both"/>
        <w:rPr>
          <w:b/>
          <w:bCs/>
        </w:rPr>
      </w:pPr>
    </w:p>
    <w:p w14:paraId="780712D4" w14:textId="77777777" w:rsidR="00814700" w:rsidRDefault="006D0001">
      <w:pPr>
        <w:pStyle w:val="PieFigura"/>
      </w:pPr>
      <w:r>
        <w:rPr>
          <w:b/>
          <w:bCs/>
        </w:rPr>
        <w:t xml:space="preserve">Table 1. </w:t>
      </w:r>
      <w:r>
        <w:t xml:space="preserve">List of the CCMI-2022 models used in this study. </w:t>
      </w:r>
    </w:p>
    <w:tbl>
      <w:tblPr>
        <w:tblStyle w:val="Tablaconcuadrcula"/>
        <w:tblW w:w="5000" w:type="pct"/>
        <w:tblInd w:w="108" w:type="dxa"/>
        <w:tblLayout w:type="fixed"/>
        <w:tblLook w:val="04A0" w:firstRow="1" w:lastRow="0" w:firstColumn="1" w:lastColumn="0" w:noHBand="0" w:noVBand="1"/>
      </w:tblPr>
      <w:tblGrid>
        <w:gridCol w:w="2019"/>
        <w:gridCol w:w="3656"/>
        <w:gridCol w:w="848"/>
        <w:gridCol w:w="848"/>
        <w:gridCol w:w="709"/>
        <w:gridCol w:w="709"/>
        <w:gridCol w:w="571"/>
      </w:tblGrid>
      <w:tr w:rsidR="00814700" w14:paraId="780712DB" w14:textId="77777777" w:rsidTr="005E5454">
        <w:trPr>
          <w:trHeight w:val="227"/>
        </w:trPr>
        <w:tc>
          <w:tcPr>
            <w:tcW w:w="2019" w:type="dxa"/>
            <w:vMerge w:val="restart"/>
            <w:tcBorders>
              <w:left w:val="nil"/>
              <w:right w:val="nil"/>
            </w:tcBorders>
            <w:vAlign w:val="center"/>
          </w:tcPr>
          <w:p w14:paraId="780712D5" w14:textId="77777777" w:rsidR="00814700" w:rsidRDefault="006D0001">
            <w:pPr>
              <w:widowControl w:val="0"/>
              <w:rPr>
                <w:rFonts w:asciiTheme="minorHAnsi" w:hAnsiTheme="minorHAnsi" w:cstheme="minorHAnsi"/>
                <w:sz w:val="18"/>
                <w:szCs w:val="18"/>
              </w:rPr>
            </w:pPr>
            <w:r>
              <w:rPr>
                <w:rFonts w:asciiTheme="minorHAnsi" w:eastAsia="Aptos" w:hAnsiTheme="minorHAnsi" w:cstheme="minorHAnsi"/>
                <w:kern w:val="2"/>
                <w:sz w:val="18"/>
                <w:szCs w:val="18"/>
              </w:rPr>
              <w:t>Model</w:t>
            </w:r>
          </w:p>
        </w:tc>
        <w:tc>
          <w:tcPr>
            <w:tcW w:w="3656" w:type="dxa"/>
            <w:vMerge w:val="restart"/>
            <w:tcBorders>
              <w:left w:val="nil"/>
              <w:right w:val="nil"/>
            </w:tcBorders>
            <w:vAlign w:val="center"/>
          </w:tcPr>
          <w:p w14:paraId="780712D6" w14:textId="77777777" w:rsidR="00814700" w:rsidRDefault="006D0001">
            <w:pPr>
              <w:widowControl w:val="0"/>
              <w:jc w:val="center"/>
              <w:rPr>
                <w:rFonts w:asciiTheme="minorHAnsi" w:hAnsiTheme="minorHAnsi" w:cstheme="minorHAnsi"/>
                <w:sz w:val="18"/>
                <w:szCs w:val="18"/>
              </w:rPr>
            </w:pPr>
            <w:r>
              <w:rPr>
                <w:rFonts w:asciiTheme="minorHAnsi" w:eastAsia="Aptos" w:hAnsiTheme="minorHAnsi" w:cstheme="minorHAnsi"/>
                <w:kern w:val="2"/>
                <w:sz w:val="18"/>
                <w:szCs w:val="18"/>
              </w:rPr>
              <w:t>Reference(s)</w:t>
            </w:r>
          </w:p>
        </w:tc>
        <w:tc>
          <w:tcPr>
            <w:tcW w:w="1696" w:type="dxa"/>
            <w:gridSpan w:val="2"/>
            <w:tcBorders>
              <w:left w:val="nil"/>
              <w:bottom w:val="nil"/>
              <w:right w:val="nil"/>
            </w:tcBorders>
            <w:vAlign w:val="center"/>
          </w:tcPr>
          <w:p w14:paraId="780712D7" w14:textId="77777777" w:rsidR="00814700" w:rsidRDefault="006D0001">
            <w:pPr>
              <w:widowControl w:val="0"/>
              <w:jc w:val="center"/>
              <w:rPr>
                <w:rFonts w:asciiTheme="minorHAnsi" w:hAnsiTheme="minorHAnsi" w:cstheme="minorHAnsi"/>
                <w:sz w:val="18"/>
                <w:szCs w:val="18"/>
              </w:rPr>
            </w:pPr>
            <w:r>
              <w:rPr>
                <w:rFonts w:asciiTheme="minorHAnsi" w:eastAsia="Aptos" w:hAnsiTheme="minorHAnsi" w:cstheme="minorHAnsi"/>
                <w:kern w:val="2"/>
                <w:sz w:val="18"/>
                <w:szCs w:val="18"/>
              </w:rPr>
              <w:t>Simulations</w:t>
            </w:r>
          </w:p>
        </w:tc>
        <w:tc>
          <w:tcPr>
            <w:tcW w:w="709" w:type="dxa"/>
            <w:vMerge w:val="restart"/>
            <w:tcBorders>
              <w:left w:val="nil"/>
              <w:right w:val="nil"/>
            </w:tcBorders>
            <w:vAlign w:val="center"/>
          </w:tcPr>
          <w:p w14:paraId="780712D8" w14:textId="77777777" w:rsidR="00814700" w:rsidRDefault="006D0001">
            <w:pPr>
              <w:widowControl w:val="0"/>
              <w:jc w:val="center"/>
              <w:rPr>
                <w:rFonts w:asciiTheme="minorHAnsi" w:hAnsiTheme="minorHAnsi" w:cstheme="minorHAnsi"/>
                <w:sz w:val="18"/>
                <w:szCs w:val="18"/>
              </w:rPr>
            </w:pPr>
            <w:r>
              <w:rPr>
                <w:rFonts w:asciiTheme="minorHAnsi" w:eastAsia="Aptos" w:hAnsiTheme="minorHAnsi" w:cstheme="minorHAnsi"/>
                <w:kern w:val="2"/>
                <w:sz w:val="18"/>
                <w:szCs w:val="18"/>
              </w:rPr>
              <w:t>O</w:t>
            </w:r>
            <w:r>
              <w:rPr>
                <w:rFonts w:asciiTheme="minorHAnsi" w:eastAsia="Aptos" w:hAnsiTheme="minorHAnsi" w:cstheme="minorHAnsi"/>
                <w:kern w:val="2"/>
                <w:sz w:val="18"/>
                <w:szCs w:val="18"/>
                <w:vertAlign w:val="subscript"/>
              </w:rPr>
              <w:t>3</w:t>
            </w:r>
            <w:r>
              <w:rPr>
                <w:rFonts w:asciiTheme="minorHAnsi" w:eastAsia="Aptos" w:hAnsiTheme="minorHAnsi" w:cstheme="minorHAnsi"/>
                <w:kern w:val="2"/>
                <w:sz w:val="18"/>
                <w:szCs w:val="18"/>
              </w:rPr>
              <w:t>, U, EESC</w:t>
            </w:r>
          </w:p>
        </w:tc>
        <w:tc>
          <w:tcPr>
            <w:tcW w:w="709" w:type="dxa"/>
            <w:vMerge w:val="restart"/>
            <w:tcBorders>
              <w:left w:val="nil"/>
              <w:right w:val="nil"/>
            </w:tcBorders>
            <w:vAlign w:val="center"/>
          </w:tcPr>
          <w:p w14:paraId="780712D9" w14:textId="77777777" w:rsidR="00814700" w:rsidRDefault="006D0001">
            <w:pPr>
              <w:widowControl w:val="0"/>
              <w:jc w:val="center"/>
              <w:rPr>
                <w:rFonts w:asciiTheme="minorHAnsi" w:hAnsiTheme="minorHAnsi" w:cstheme="minorHAnsi"/>
                <w:sz w:val="18"/>
                <w:szCs w:val="18"/>
              </w:rPr>
            </w:pPr>
            <w:r>
              <w:rPr>
                <w:rFonts w:asciiTheme="minorHAnsi" w:eastAsia="Aptos" w:hAnsiTheme="minorHAnsi" w:cstheme="minorHAnsi"/>
                <w:kern w:val="2"/>
                <w:sz w:val="18"/>
                <w:szCs w:val="18"/>
              </w:rPr>
              <w:t>TEM data</w:t>
            </w:r>
          </w:p>
        </w:tc>
        <w:tc>
          <w:tcPr>
            <w:tcW w:w="571" w:type="dxa"/>
            <w:vMerge w:val="restart"/>
            <w:tcBorders>
              <w:left w:val="nil"/>
              <w:right w:val="nil"/>
            </w:tcBorders>
            <w:vAlign w:val="center"/>
          </w:tcPr>
          <w:p w14:paraId="780712DA" w14:textId="77777777" w:rsidR="00814700" w:rsidRDefault="006D0001">
            <w:pPr>
              <w:widowControl w:val="0"/>
              <w:jc w:val="center"/>
              <w:rPr>
                <w:rFonts w:asciiTheme="minorHAnsi" w:hAnsiTheme="minorHAnsi" w:cstheme="minorHAnsi"/>
                <w:sz w:val="18"/>
                <w:szCs w:val="18"/>
              </w:rPr>
            </w:pPr>
            <w:r>
              <w:rPr>
                <w:rFonts w:asciiTheme="minorHAnsi" w:eastAsia="Aptos" w:hAnsiTheme="minorHAnsi" w:cstheme="minorHAnsi"/>
                <w:kern w:val="2"/>
                <w:sz w:val="18"/>
                <w:szCs w:val="18"/>
              </w:rPr>
              <w:t>AoA</w:t>
            </w:r>
          </w:p>
        </w:tc>
      </w:tr>
      <w:tr w:rsidR="00814700" w14:paraId="780712E3" w14:textId="77777777" w:rsidTr="005E5454">
        <w:trPr>
          <w:trHeight w:val="227"/>
        </w:trPr>
        <w:tc>
          <w:tcPr>
            <w:tcW w:w="2019" w:type="dxa"/>
            <w:vMerge/>
            <w:tcBorders>
              <w:top w:val="nil"/>
              <w:left w:val="nil"/>
              <w:right w:val="nil"/>
            </w:tcBorders>
            <w:vAlign w:val="center"/>
          </w:tcPr>
          <w:p w14:paraId="780712DC" w14:textId="77777777" w:rsidR="00814700" w:rsidRDefault="00814700">
            <w:pPr>
              <w:widowControl w:val="0"/>
              <w:rPr>
                <w:rFonts w:asciiTheme="minorHAnsi" w:hAnsiTheme="minorHAnsi" w:cstheme="minorHAnsi"/>
              </w:rPr>
            </w:pPr>
          </w:p>
        </w:tc>
        <w:tc>
          <w:tcPr>
            <w:tcW w:w="3656" w:type="dxa"/>
            <w:vMerge/>
            <w:tcBorders>
              <w:top w:val="nil"/>
              <w:left w:val="nil"/>
              <w:right w:val="nil"/>
            </w:tcBorders>
            <w:vAlign w:val="center"/>
          </w:tcPr>
          <w:p w14:paraId="780712DD" w14:textId="77777777" w:rsidR="00814700" w:rsidRDefault="00814700">
            <w:pPr>
              <w:widowControl w:val="0"/>
              <w:rPr>
                <w:rFonts w:asciiTheme="minorHAnsi" w:hAnsiTheme="minorHAnsi" w:cstheme="minorHAnsi"/>
              </w:rPr>
            </w:pPr>
          </w:p>
        </w:tc>
        <w:tc>
          <w:tcPr>
            <w:tcW w:w="848" w:type="dxa"/>
            <w:tcBorders>
              <w:top w:val="nil"/>
              <w:left w:val="nil"/>
              <w:right w:val="nil"/>
            </w:tcBorders>
            <w:vAlign w:val="center"/>
          </w:tcPr>
          <w:p w14:paraId="780712DE" w14:textId="77777777" w:rsidR="00814700" w:rsidRDefault="006D0001">
            <w:pPr>
              <w:widowControl w:val="0"/>
              <w:jc w:val="center"/>
              <w:rPr>
                <w:rFonts w:asciiTheme="minorHAnsi" w:hAnsiTheme="minorHAnsi" w:cstheme="minorHAnsi"/>
                <w:sz w:val="18"/>
                <w:szCs w:val="18"/>
              </w:rPr>
            </w:pPr>
            <w:r>
              <w:rPr>
                <w:rFonts w:asciiTheme="minorHAnsi" w:eastAsia="Aptos" w:hAnsiTheme="minorHAnsi" w:cstheme="minorHAnsi"/>
                <w:kern w:val="2"/>
                <w:sz w:val="18"/>
                <w:szCs w:val="18"/>
              </w:rPr>
              <w:t>REF-D1</w:t>
            </w:r>
          </w:p>
        </w:tc>
        <w:tc>
          <w:tcPr>
            <w:tcW w:w="848" w:type="dxa"/>
            <w:tcBorders>
              <w:top w:val="nil"/>
              <w:left w:val="nil"/>
              <w:right w:val="nil"/>
            </w:tcBorders>
            <w:vAlign w:val="center"/>
          </w:tcPr>
          <w:p w14:paraId="780712DF" w14:textId="77777777" w:rsidR="00814700" w:rsidRDefault="006D0001">
            <w:pPr>
              <w:widowControl w:val="0"/>
              <w:jc w:val="center"/>
              <w:rPr>
                <w:rFonts w:asciiTheme="minorHAnsi" w:hAnsiTheme="minorHAnsi" w:cstheme="minorHAnsi"/>
                <w:sz w:val="18"/>
                <w:szCs w:val="18"/>
              </w:rPr>
            </w:pPr>
            <w:r>
              <w:rPr>
                <w:rFonts w:asciiTheme="minorHAnsi" w:eastAsia="Aptos" w:hAnsiTheme="minorHAnsi" w:cstheme="minorHAnsi"/>
                <w:kern w:val="2"/>
                <w:sz w:val="18"/>
                <w:szCs w:val="18"/>
              </w:rPr>
              <w:t>REF-D2</w:t>
            </w:r>
          </w:p>
        </w:tc>
        <w:tc>
          <w:tcPr>
            <w:tcW w:w="709" w:type="dxa"/>
            <w:vMerge/>
            <w:tcBorders>
              <w:top w:val="nil"/>
              <w:left w:val="nil"/>
              <w:right w:val="nil"/>
            </w:tcBorders>
            <w:vAlign w:val="center"/>
          </w:tcPr>
          <w:p w14:paraId="780712E0" w14:textId="77777777" w:rsidR="00814700" w:rsidRDefault="00814700">
            <w:pPr>
              <w:widowControl w:val="0"/>
              <w:jc w:val="center"/>
              <w:rPr>
                <w:rFonts w:asciiTheme="minorHAnsi" w:hAnsiTheme="minorHAnsi" w:cstheme="minorHAnsi"/>
              </w:rPr>
            </w:pPr>
          </w:p>
        </w:tc>
        <w:tc>
          <w:tcPr>
            <w:tcW w:w="709" w:type="dxa"/>
            <w:vMerge/>
            <w:tcBorders>
              <w:top w:val="nil"/>
              <w:left w:val="nil"/>
              <w:right w:val="nil"/>
            </w:tcBorders>
            <w:vAlign w:val="center"/>
          </w:tcPr>
          <w:p w14:paraId="780712E1" w14:textId="77777777" w:rsidR="00814700" w:rsidRDefault="00814700">
            <w:pPr>
              <w:widowControl w:val="0"/>
              <w:jc w:val="center"/>
              <w:rPr>
                <w:rFonts w:asciiTheme="minorHAnsi" w:hAnsiTheme="minorHAnsi" w:cstheme="minorHAnsi"/>
              </w:rPr>
            </w:pPr>
          </w:p>
        </w:tc>
        <w:tc>
          <w:tcPr>
            <w:tcW w:w="571" w:type="dxa"/>
            <w:vMerge/>
            <w:tcBorders>
              <w:top w:val="nil"/>
              <w:left w:val="nil"/>
              <w:right w:val="nil"/>
            </w:tcBorders>
            <w:vAlign w:val="center"/>
          </w:tcPr>
          <w:p w14:paraId="780712E2" w14:textId="77777777" w:rsidR="00814700" w:rsidRDefault="00814700">
            <w:pPr>
              <w:widowControl w:val="0"/>
              <w:jc w:val="center"/>
              <w:rPr>
                <w:rFonts w:asciiTheme="minorHAnsi" w:hAnsiTheme="minorHAnsi" w:cstheme="minorHAnsi"/>
              </w:rPr>
            </w:pPr>
          </w:p>
        </w:tc>
      </w:tr>
      <w:tr w:rsidR="00814700" w14:paraId="780712EB" w14:textId="77777777" w:rsidTr="005E5454">
        <w:trPr>
          <w:trHeight w:val="283"/>
        </w:trPr>
        <w:tc>
          <w:tcPr>
            <w:tcW w:w="2019" w:type="dxa"/>
            <w:tcBorders>
              <w:left w:val="nil"/>
              <w:bottom w:val="nil"/>
              <w:right w:val="nil"/>
            </w:tcBorders>
            <w:vAlign w:val="center"/>
          </w:tcPr>
          <w:p w14:paraId="780712E4" w14:textId="77777777" w:rsidR="00814700" w:rsidRDefault="006D0001">
            <w:pPr>
              <w:widowControl w:val="0"/>
              <w:rPr>
                <w:rFonts w:asciiTheme="minorHAnsi" w:hAnsiTheme="minorHAnsi" w:cstheme="minorHAnsi"/>
                <w:sz w:val="18"/>
                <w:szCs w:val="18"/>
              </w:rPr>
            </w:pPr>
            <w:r>
              <w:rPr>
                <w:rFonts w:asciiTheme="minorHAnsi" w:eastAsia="Aptos" w:hAnsiTheme="minorHAnsi" w:cstheme="minorHAnsi"/>
                <w:kern w:val="2"/>
                <w:sz w:val="18"/>
                <w:szCs w:val="18"/>
              </w:rPr>
              <w:t>ACCESS-CM2-Chem</w:t>
            </w:r>
          </w:p>
        </w:tc>
        <w:tc>
          <w:tcPr>
            <w:tcW w:w="3656" w:type="dxa"/>
            <w:tcBorders>
              <w:left w:val="nil"/>
              <w:bottom w:val="nil"/>
              <w:right w:val="nil"/>
            </w:tcBorders>
            <w:vAlign w:val="center"/>
          </w:tcPr>
          <w:p w14:paraId="780712E5" w14:textId="49DA425D" w:rsidR="00814700" w:rsidRPr="001946F8" w:rsidRDefault="006D0001">
            <w:pPr>
              <w:widowControl w:val="0"/>
              <w:jc w:val="center"/>
              <w:rPr>
                <w:rFonts w:asciiTheme="minorHAnsi" w:hAnsiTheme="minorHAnsi" w:cstheme="minorHAnsi"/>
                <w:noProof/>
                <w:kern w:val="2"/>
                <w:sz w:val="18"/>
                <w:szCs w:val="18"/>
              </w:rPr>
            </w:pPr>
            <w:r w:rsidRPr="001946F8">
              <w:rPr>
                <w:rFonts w:asciiTheme="minorHAnsi" w:hAnsiTheme="minorHAnsi" w:cstheme="minorHAnsi"/>
                <w:noProof/>
                <w:kern w:val="2"/>
                <w:sz w:val="18"/>
                <w:szCs w:val="18"/>
              </w:rPr>
              <w:fldChar w:fldCharType="begin" w:fldLock="1"/>
            </w:r>
            <w:r w:rsidRPr="001946F8">
              <w:rPr>
                <w:rFonts w:asciiTheme="minorHAnsi" w:hAnsiTheme="minorHAnsi" w:cstheme="minorHAnsi"/>
                <w:noProof/>
                <w:kern w:val="2"/>
                <w:sz w:val="18"/>
                <w:szCs w:val="18"/>
              </w:rPr>
              <w:instrText>ADDIN CSL_CITATION {"citationItems":[{"id":"ITEM-1","itemData":{"DOI":"10.1071/es22015","abstract":"Chemistry–climate models are important tools for forecasting the evolution of climate. Of particular importance is the simulation of Antarctic ozone depletion due to its effect on the Southern Annular Mode (SAM). In this paper we evaluate the chemistry–climate model ACCESS-CM2-Chem. We find the simulation of stratospheric ozone by ACCESS-CM2-Chem to be significantly improved relative to its predecessor, and as good as the best of the contemporary chemistry–climate models – the ensemble of which displays considerable variation. We also find that the trend in summertime SAM is simulated well by ACCESS-CM2-Chem compared to the ERA5 reanalysis. Further, we show that this trend is more sensitive to changes in ozone depletion forcing in ACCESS-CM2-Chem than the equivalent model with prescribed ozone. However, a downside of the interactive chemistry of ACCESS-CM2-Chem, relative to the prescribed chemistry version, is an increase in the bias towards later vortex break-ups. Many recent studies have identified the important role of feedbacks between interactive ozone chemistry and climate. This phenomenon will be crucial to understand future projections where the recovery of stratospheric ozone will interact with increasing greenhouse gas driven warming. Based on the performance demonstrated here, ACCESS-CM2-Chem is a promising model with which to further this line of research, although the delay in the vortex break-up induced by the interactive chemistry is an issue that requires further work.","author":[{"dropping-particle":"","family":"Dennison","given":"Fraser","non-dropping-particle":"","parse-names":false,"suffix":""},{"dropping-particle":"","family":"Woodhouse","given":"Matthew T.","non-dropping-particle":"","parse-names":false,"suffix":""}],"container-title":"Journal of Southern Hemisphere Earth Systems Science","id":"ITEM-1","issue":"1","issued":{"date-parts":[["2023"]]},"page":"17-29","title":"ACCESS-CM2-Chem: evaluation of southern hemisphere ozone and its effect on the Southern Annular Mode","type":"article-journal","volume":"73"},"uris":["http://www.mendeley.com/documents/?uuid=4c1e11cd-9f4a-4f11-99f0-c1237556a24c"]}],"mendeley":{"formattedCitation":"(Dennison &amp; Woodhouse, 2023)","manualFormatting":"Dennison and Woodhouse, (2023)","plainTextFormattedCitation":"(Dennison &amp; Woodhouse, 2023)","previouslyFormattedCitation":"(Dennison &amp; Woodhouse, 2023)"},"properties":{"noteIndex":0},"schema":"https://github.com/citation-style-language/schema/raw/master/csl-citation.json"}</w:instrText>
            </w:r>
            <w:r w:rsidRPr="001946F8">
              <w:rPr>
                <w:rFonts w:asciiTheme="minorHAnsi" w:hAnsiTheme="minorHAnsi" w:cstheme="minorHAnsi"/>
                <w:noProof/>
                <w:kern w:val="2"/>
                <w:sz w:val="18"/>
                <w:szCs w:val="18"/>
              </w:rPr>
              <w:fldChar w:fldCharType="separate"/>
            </w:r>
            <w:r>
              <w:rPr>
                <w:rFonts w:asciiTheme="minorHAnsi" w:hAnsiTheme="minorHAnsi" w:cstheme="minorHAnsi"/>
                <w:noProof/>
                <w:kern w:val="2"/>
                <w:sz w:val="18"/>
                <w:szCs w:val="18"/>
              </w:rPr>
              <w:t>Dennison and Woodhouse, (2023)</w:t>
            </w:r>
            <w:r w:rsidRPr="001946F8">
              <w:rPr>
                <w:rFonts w:asciiTheme="minorHAnsi" w:hAnsiTheme="minorHAnsi" w:cstheme="minorHAnsi"/>
                <w:noProof/>
                <w:kern w:val="2"/>
                <w:sz w:val="18"/>
                <w:szCs w:val="18"/>
              </w:rPr>
              <w:fldChar w:fldCharType="end"/>
            </w:r>
          </w:p>
        </w:tc>
        <w:tc>
          <w:tcPr>
            <w:tcW w:w="848" w:type="dxa"/>
            <w:tcBorders>
              <w:left w:val="nil"/>
              <w:bottom w:val="nil"/>
              <w:right w:val="nil"/>
            </w:tcBorders>
            <w:vAlign w:val="center"/>
          </w:tcPr>
          <w:p w14:paraId="780712E6" w14:textId="77777777" w:rsidR="00814700" w:rsidRDefault="006D0001">
            <w:pPr>
              <w:widowControl w:val="0"/>
              <w:jc w:val="center"/>
              <w:rPr>
                <w:rFonts w:asciiTheme="minorHAnsi" w:hAnsiTheme="minorHAnsi" w:cstheme="minorHAnsi"/>
                <w:sz w:val="18"/>
                <w:szCs w:val="18"/>
              </w:rPr>
            </w:pPr>
            <w:r>
              <w:rPr>
                <w:rFonts w:asciiTheme="minorHAnsi" w:eastAsia="Aptos" w:hAnsiTheme="minorHAnsi" w:cstheme="minorHAnsi"/>
                <w:kern w:val="2"/>
                <w:sz w:val="18"/>
                <w:szCs w:val="18"/>
              </w:rPr>
              <w:t>3</w:t>
            </w:r>
          </w:p>
        </w:tc>
        <w:tc>
          <w:tcPr>
            <w:tcW w:w="848" w:type="dxa"/>
            <w:tcBorders>
              <w:left w:val="nil"/>
              <w:bottom w:val="nil"/>
              <w:right w:val="nil"/>
            </w:tcBorders>
            <w:vAlign w:val="center"/>
          </w:tcPr>
          <w:p w14:paraId="780712E7" w14:textId="77777777" w:rsidR="00814700" w:rsidRDefault="006D0001">
            <w:pPr>
              <w:widowControl w:val="0"/>
              <w:jc w:val="center"/>
              <w:rPr>
                <w:rFonts w:asciiTheme="minorHAnsi" w:hAnsiTheme="minorHAnsi" w:cstheme="minorHAnsi"/>
                <w:sz w:val="18"/>
                <w:szCs w:val="18"/>
              </w:rPr>
            </w:pPr>
            <w:r>
              <w:rPr>
                <w:rFonts w:asciiTheme="minorHAnsi" w:eastAsia="Aptos" w:hAnsiTheme="minorHAnsi" w:cstheme="minorHAnsi"/>
                <w:kern w:val="2"/>
                <w:sz w:val="18"/>
                <w:szCs w:val="18"/>
              </w:rPr>
              <w:t>1</w:t>
            </w:r>
          </w:p>
        </w:tc>
        <w:tc>
          <w:tcPr>
            <w:tcW w:w="709" w:type="dxa"/>
            <w:tcBorders>
              <w:left w:val="nil"/>
              <w:bottom w:val="nil"/>
              <w:right w:val="nil"/>
            </w:tcBorders>
            <w:vAlign w:val="center"/>
          </w:tcPr>
          <w:p w14:paraId="780712E8" w14:textId="77777777" w:rsidR="00814700" w:rsidRDefault="006D0001">
            <w:pPr>
              <w:widowControl w:val="0"/>
              <w:jc w:val="center"/>
              <w:rPr>
                <w:rFonts w:asciiTheme="minorHAnsi" w:hAnsiTheme="minorHAnsi" w:cstheme="minorHAnsi"/>
                <w:sz w:val="18"/>
                <w:szCs w:val="18"/>
              </w:rPr>
            </w:pPr>
            <w:r>
              <w:rPr>
                <w:rFonts w:ascii="Segoe UI Symbol" w:eastAsia="Aptos" w:hAnsi="Segoe UI Symbol" w:cs="Segoe UI Symbol"/>
                <w:kern w:val="2"/>
                <w:sz w:val="18"/>
                <w:szCs w:val="18"/>
              </w:rPr>
              <w:t>✔</w:t>
            </w:r>
          </w:p>
        </w:tc>
        <w:tc>
          <w:tcPr>
            <w:tcW w:w="709" w:type="dxa"/>
            <w:tcBorders>
              <w:left w:val="nil"/>
              <w:bottom w:val="nil"/>
              <w:right w:val="nil"/>
            </w:tcBorders>
            <w:vAlign w:val="center"/>
          </w:tcPr>
          <w:p w14:paraId="780712E9" w14:textId="77777777" w:rsidR="00814700" w:rsidRDefault="006D0001">
            <w:pPr>
              <w:widowControl w:val="0"/>
              <w:jc w:val="center"/>
              <w:rPr>
                <w:rFonts w:asciiTheme="minorHAnsi" w:hAnsiTheme="minorHAnsi" w:cstheme="minorHAnsi"/>
                <w:sz w:val="18"/>
                <w:szCs w:val="18"/>
              </w:rPr>
            </w:pPr>
            <w:r>
              <w:rPr>
                <w:rFonts w:ascii="Segoe UI Symbol" w:eastAsia="Aptos" w:hAnsi="Segoe UI Symbol" w:cs="Segoe UI Symbol"/>
                <w:kern w:val="2"/>
                <w:sz w:val="18"/>
                <w:szCs w:val="18"/>
              </w:rPr>
              <w:t>✔</w:t>
            </w:r>
          </w:p>
        </w:tc>
        <w:tc>
          <w:tcPr>
            <w:tcW w:w="571" w:type="dxa"/>
            <w:tcBorders>
              <w:left w:val="nil"/>
              <w:bottom w:val="nil"/>
              <w:right w:val="nil"/>
            </w:tcBorders>
          </w:tcPr>
          <w:p w14:paraId="780712EA" w14:textId="77777777" w:rsidR="00814700" w:rsidRDefault="006D0001">
            <w:pPr>
              <w:widowControl w:val="0"/>
              <w:jc w:val="center"/>
              <w:rPr>
                <w:rFonts w:asciiTheme="minorHAnsi" w:hAnsiTheme="minorHAnsi" w:cstheme="minorHAnsi"/>
                <w:sz w:val="18"/>
                <w:szCs w:val="18"/>
              </w:rPr>
            </w:pPr>
            <w:r>
              <w:rPr>
                <w:rFonts w:asciiTheme="minorHAnsi" w:eastAsia="Aptos" w:hAnsiTheme="minorHAnsi" w:cstheme="minorHAnsi"/>
                <w:kern w:val="2"/>
                <w:sz w:val="18"/>
                <w:szCs w:val="18"/>
              </w:rPr>
              <w:t>----</w:t>
            </w:r>
          </w:p>
        </w:tc>
      </w:tr>
      <w:tr w:rsidR="00814700" w14:paraId="780712F3" w14:textId="77777777" w:rsidTr="005E5454">
        <w:trPr>
          <w:trHeight w:val="283"/>
        </w:trPr>
        <w:tc>
          <w:tcPr>
            <w:tcW w:w="2019" w:type="dxa"/>
            <w:tcBorders>
              <w:top w:val="nil"/>
              <w:left w:val="nil"/>
              <w:bottom w:val="nil"/>
              <w:right w:val="nil"/>
            </w:tcBorders>
            <w:vAlign w:val="center"/>
          </w:tcPr>
          <w:p w14:paraId="780712EC" w14:textId="77777777" w:rsidR="00814700" w:rsidRDefault="006D0001">
            <w:pPr>
              <w:widowControl w:val="0"/>
              <w:rPr>
                <w:rFonts w:asciiTheme="minorHAnsi" w:hAnsiTheme="minorHAnsi" w:cstheme="minorHAnsi"/>
                <w:sz w:val="18"/>
                <w:szCs w:val="18"/>
              </w:rPr>
            </w:pPr>
            <w:r>
              <w:rPr>
                <w:rFonts w:asciiTheme="minorHAnsi" w:eastAsia="Aptos" w:hAnsiTheme="minorHAnsi" w:cstheme="minorHAnsi"/>
                <w:kern w:val="2"/>
                <w:sz w:val="18"/>
                <w:szCs w:val="18"/>
              </w:rPr>
              <w:t>CCSRNIES-MIROC3.2</w:t>
            </w:r>
          </w:p>
        </w:tc>
        <w:tc>
          <w:tcPr>
            <w:tcW w:w="3656" w:type="dxa"/>
            <w:tcBorders>
              <w:top w:val="nil"/>
              <w:left w:val="nil"/>
              <w:bottom w:val="nil"/>
              <w:right w:val="nil"/>
            </w:tcBorders>
            <w:vAlign w:val="center"/>
          </w:tcPr>
          <w:p w14:paraId="780712ED" w14:textId="7D5C5D00" w:rsidR="00814700" w:rsidRPr="001946F8" w:rsidRDefault="006D0001">
            <w:pPr>
              <w:widowControl w:val="0"/>
              <w:jc w:val="center"/>
              <w:rPr>
                <w:rFonts w:asciiTheme="minorHAnsi" w:hAnsiTheme="minorHAnsi" w:cstheme="minorHAnsi"/>
                <w:noProof/>
                <w:kern w:val="2"/>
                <w:sz w:val="18"/>
                <w:szCs w:val="18"/>
              </w:rPr>
            </w:pPr>
            <w:r w:rsidRPr="001946F8">
              <w:rPr>
                <w:rFonts w:asciiTheme="minorHAnsi" w:hAnsiTheme="minorHAnsi" w:cstheme="minorHAnsi"/>
                <w:noProof/>
                <w:kern w:val="2"/>
                <w:sz w:val="18"/>
                <w:szCs w:val="18"/>
              </w:rPr>
              <w:fldChar w:fldCharType="begin" w:fldLock="1"/>
            </w:r>
            <w:r w:rsidR="00860F80">
              <w:rPr>
                <w:rFonts w:asciiTheme="minorHAnsi" w:hAnsiTheme="minorHAnsi" w:cstheme="minorHAnsi"/>
                <w:noProof/>
                <w:kern w:val="2"/>
                <w:sz w:val="18"/>
                <w:szCs w:val="18"/>
              </w:rPr>
              <w:instrText>ADDIN CSL_CITATION {"citationItems":[{"id":"ITEM-1","itemData":{"DOI":"10.1038/s41598-023-27635-y","ISBN":"0123456789","ISSN":"20452322","PMID":"36609500","abstract":"State-of-the-art chemistry–climate models (CCMs) have indicated that a future decrease in ozone-depleting substances (ODSs) combined with an increase in greenhouse gases (GHGs) would increase the column ozone amount in most regions except the tropics and Antarctic. However, large Arctic ozone losses have occurred at a frequency of approximately once per decade since the 1990s (1997, 2011 and 2020), despite the ODS concentration peaking in the mid-1990s. To understand this, CCMs were used to conduct 24 experiments with ODS and GHG concentrations set based on predicted values for future years; each experiment consisted of 500-member ensembles. The 50 ensemble members with the lowest column ozone in the mid- and high latitudes of the Northern Hemisphere showed a clear ODS dependence associated with low temperatures and a strong westerly zonal mean zonal wind. Even with high GHG concentrations, several ensemble members showed extremely low spring column ozone in the Arctic when ODS concentration remained above the 1980–1985 level. Hence, ODS concentrations should be reduced to avoid large ozone losses in the presence of a stable Arctic polar vortex. The average of the lowest 50 members indicates that GHG increase towards the end of the twenty-first century will not cause worse Arctic ozone depletion.","author":[{"dropping-particle":"","family":"Akiyoshi","given":"H.","non-dropping-particle":"","parse-names":false,"suffix":""},{"dropping-particle":"","family":"Kadowaki","given":"M.","non-dropping-particle":"","parse-names":false,"suffix":""},{"dropping-particle":"","family":"Yamashita","given":"Y.","non-dropping-particle":"","parse-names":false,"suffix":""},{"dropping-particle":"","family":"Nagatomo","given":"T.","non-dropping-particle":"","parse-names":false,"suffix":""}],"container-title":"Scientific Reports","id":"ITEM-1","issue":"1","issued":{"date-parts":[["2023"]]},"page":"1-12","publisher":"Nature Publishing Group UK","title":"Dependence of column ozone on future ODSs and GHGs in the variability of 500-ensemble members","type":"article-journal","volume":"13"},"uris":["http://www.mendeley.com/documents/?uuid=2058c3aa-7a4b-4b46-971f-b40a297ce24c"]}],"mendeley":{"formattedCitation":"(Akiyoshi et al., 2023)","manualFormatting":"Akiyoshi et al. (2023)","plainTextFormattedCitation":"(Akiyoshi et al., 2023)","previouslyFormattedCitation":"(Akiyoshi et al., 2023)"},"properties":{"noteIndex":0},"schema":"https://github.com/citation-style-language/schema/raw/master/csl-citation.json"}</w:instrText>
            </w:r>
            <w:r w:rsidRPr="001946F8">
              <w:rPr>
                <w:rFonts w:asciiTheme="minorHAnsi" w:hAnsiTheme="minorHAnsi" w:cstheme="minorHAnsi"/>
                <w:noProof/>
                <w:kern w:val="2"/>
                <w:sz w:val="18"/>
                <w:szCs w:val="18"/>
              </w:rPr>
              <w:fldChar w:fldCharType="separate"/>
            </w:r>
            <w:r>
              <w:rPr>
                <w:rFonts w:asciiTheme="minorHAnsi" w:hAnsiTheme="minorHAnsi" w:cstheme="minorHAnsi"/>
                <w:noProof/>
                <w:kern w:val="2"/>
                <w:sz w:val="18"/>
                <w:szCs w:val="18"/>
              </w:rPr>
              <w:t>Akiyoshi et al. (2023)</w:t>
            </w:r>
            <w:r w:rsidRPr="001946F8">
              <w:rPr>
                <w:rFonts w:asciiTheme="minorHAnsi" w:hAnsiTheme="minorHAnsi" w:cstheme="minorHAnsi"/>
                <w:noProof/>
                <w:kern w:val="2"/>
                <w:sz w:val="18"/>
                <w:szCs w:val="18"/>
              </w:rPr>
              <w:fldChar w:fldCharType="end"/>
            </w:r>
          </w:p>
        </w:tc>
        <w:tc>
          <w:tcPr>
            <w:tcW w:w="848" w:type="dxa"/>
            <w:tcBorders>
              <w:top w:val="nil"/>
              <w:left w:val="nil"/>
              <w:bottom w:val="nil"/>
              <w:right w:val="nil"/>
            </w:tcBorders>
            <w:vAlign w:val="center"/>
          </w:tcPr>
          <w:p w14:paraId="780712EE" w14:textId="77777777" w:rsidR="00814700" w:rsidRDefault="006D0001">
            <w:pPr>
              <w:widowControl w:val="0"/>
              <w:jc w:val="center"/>
              <w:rPr>
                <w:rFonts w:asciiTheme="minorHAnsi" w:hAnsiTheme="minorHAnsi" w:cstheme="minorHAnsi"/>
                <w:sz w:val="18"/>
                <w:szCs w:val="18"/>
              </w:rPr>
            </w:pPr>
            <w:r>
              <w:rPr>
                <w:rFonts w:asciiTheme="minorHAnsi" w:eastAsia="Aptos" w:hAnsiTheme="minorHAnsi" w:cstheme="minorHAnsi"/>
                <w:kern w:val="2"/>
                <w:sz w:val="18"/>
                <w:szCs w:val="18"/>
              </w:rPr>
              <w:t>3</w:t>
            </w:r>
          </w:p>
        </w:tc>
        <w:tc>
          <w:tcPr>
            <w:tcW w:w="848" w:type="dxa"/>
            <w:tcBorders>
              <w:top w:val="nil"/>
              <w:left w:val="nil"/>
              <w:bottom w:val="nil"/>
              <w:right w:val="nil"/>
            </w:tcBorders>
            <w:vAlign w:val="center"/>
          </w:tcPr>
          <w:p w14:paraId="780712EF" w14:textId="77777777" w:rsidR="00814700" w:rsidRDefault="006D0001">
            <w:pPr>
              <w:widowControl w:val="0"/>
              <w:jc w:val="center"/>
              <w:rPr>
                <w:rFonts w:asciiTheme="minorHAnsi" w:hAnsiTheme="minorHAnsi" w:cstheme="minorHAnsi"/>
                <w:sz w:val="18"/>
                <w:szCs w:val="18"/>
              </w:rPr>
            </w:pPr>
            <w:r>
              <w:rPr>
                <w:rFonts w:asciiTheme="minorHAnsi" w:eastAsia="Aptos" w:hAnsiTheme="minorHAnsi" w:cstheme="minorHAnsi"/>
                <w:kern w:val="2"/>
                <w:sz w:val="18"/>
                <w:szCs w:val="18"/>
              </w:rPr>
              <w:t>1</w:t>
            </w:r>
          </w:p>
        </w:tc>
        <w:tc>
          <w:tcPr>
            <w:tcW w:w="709" w:type="dxa"/>
            <w:tcBorders>
              <w:top w:val="nil"/>
              <w:left w:val="nil"/>
              <w:bottom w:val="nil"/>
              <w:right w:val="nil"/>
            </w:tcBorders>
            <w:vAlign w:val="center"/>
          </w:tcPr>
          <w:p w14:paraId="780712F0" w14:textId="77777777" w:rsidR="00814700" w:rsidRDefault="006D0001">
            <w:pPr>
              <w:widowControl w:val="0"/>
              <w:jc w:val="center"/>
              <w:rPr>
                <w:rFonts w:asciiTheme="minorHAnsi" w:hAnsiTheme="minorHAnsi" w:cstheme="minorHAnsi"/>
                <w:sz w:val="18"/>
                <w:szCs w:val="18"/>
              </w:rPr>
            </w:pPr>
            <w:r>
              <w:rPr>
                <w:rFonts w:ascii="Segoe UI Symbol" w:eastAsia="Aptos" w:hAnsi="Segoe UI Symbol" w:cs="Segoe UI Symbol"/>
                <w:kern w:val="2"/>
                <w:sz w:val="18"/>
                <w:szCs w:val="18"/>
              </w:rPr>
              <w:t>✔</w:t>
            </w:r>
          </w:p>
        </w:tc>
        <w:tc>
          <w:tcPr>
            <w:tcW w:w="709" w:type="dxa"/>
            <w:tcBorders>
              <w:top w:val="nil"/>
              <w:left w:val="nil"/>
              <w:bottom w:val="nil"/>
              <w:right w:val="nil"/>
            </w:tcBorders>
            <w:vAlign w:val="center"/>
          </w:tcPr>
          <w:p w14:paraId="780712F1" w14:textId="77777777" w:rsidR="00814700" w:rsidRDefault="006D0001">
            <w:pPr>
              <w:widowControl w:val="0"/>
              <w:jc w:val="center"/>
              <w:rPr>
                <w:rFonts w:asciiTheme="minorHAnsi" w:hAnsiTheme="minorHAnsi" w:cstheme="minorHAnsi"/>
                <w:sz w:val="18"/>
                <w:szCs w:val="18"/>
              </w:rPr>
            </w:pPr>
            <w:r>
              <w:rPr>
                <w:rFonts w:ascii="Segoe UI Symbol" w:eastAsia="Aptos" w:hAnsi="Segoe UI Symbol" w:cs="Segoe UI Symbol"/>
                <w:kern w:val="2"/>
                <w:sz w:val="18"/>
                <w:szCs w:val="18"/>
              </w:rPr>
              <w:t>✔</w:t>
            </w:r>
          </w:p>
        </w:tc>
        <w:tc>
          <w:tcPr>
            <w:tcW w:w="571" w:type="dxa"/>
            <w:tcBorders>
              <w:top w:val="nil"/>
              <w:left w:val="nil"/>
              <w:bottom w:val="nil"/>
              <w:right w:val="nil"/>
            </w:tcBorders>
          </w:tcPr>
          <w:p w14:paraId="780712F2" w14:textId="77777777" w:rsidR="00814700" w:rsidRDefault="006D0001">
            <w:pPr>
              <w:widowControl w:val="0"/>
              <w:jc w:val="center"/>
              <w:rPr>
                <w:rFonts w:asciiTheme="minorHAnsi" w:hAnsiTheme="minorHAnsi" w:cstheme="minorHAnsi"/>
                <w:sz w:val="18"/>
                <w:szCs w:val="18"/>
              </w:rPr>
            </w:pPr>
            <w:r>
              <w:rPr>
                <w:rFonts w:asciiTheme="minorHAnsi" w:eastAsia="Aptos" w:hAnsiTheme="minorHAnsi" w:cstheme="minorHAnsi"/>
                <w:kern w:val="2"/>
                <w:sz w:val="18"/>
                <w:szCs w:val="18"/>
              </w:rPr>
              <w:t>----</w:t>
            </w:r>
          </w:p>
        </w:tc>
      </w:tr>
      <w:tr w:rsidR="00814700" w14:paraId="780712FB" w14:textId="77777777" w:rsidTr="005E5454">
        <w:trPr>
          <w:trHeight w:val="283"/>
        </w:trPr>
        <w:tc>
          <w:tcPr>
            <w:tcW w:w="2019" w:type="dxa"/>
            <w:tcBorders>
              <w:top w:val="nil"/>
              <w:left w:val="nil"/>
              <w:bottom w:val="nil"/>
              <w:right w:val="nil"/>
            </w:tcBorders>
            <w:vAlign w:val="center"/>
          </w:tcPr>
          <w:p w14:paraId="780712F4" w14:textId="77777777" w:rsidR="00814700" w:rsidRDefault="006D0001">
            <w:pPr>
              <w:widowControl w:val="0"/>
              <w:rPr>
                <w:rFonts w:asciiTheme="minorHAnsi" w:hAnsiTheme="minorHAnsi" w:cstheme="minorHAnsi"/>
                <w:sz w:val="18"/>
                <w:szCs w:val="18"/>
              </w:rPr>
            </w:pPr>
            <w:r>
              <w:rPr>
                <w:rFonts w:asciiTheme="minorHAnsi" w:eastAsia="Aptos" w:hAnsiTheme="minorHAnsi" w:cstheme="minorHAnsi"/>
                <w:kern w:val="2"/>
                <w:sz w:val="18"/>
                <w:szCs w:val="18"/>
              </w:rPr>
              <w:t>CESM2-WACCM</w:t>
            </w:r>
          </w:p>
        </w:tc>
        <w:tc>
          <w:tcPr>
            <w:tcW w:w="3656" w:type="dxa"/>
            <w:tcBorders>
              <w:top w:val="nil"/>
              <w:left w:val="nil"/>
              <w:bottom w:val="nil"/>
              <w:right w:val="nil"/>
            </w:tcBorders>
            <w:vAlign w:val="center"/>
          </w:tcPr>
          <w:p w14:paraId="780712F5" w14:textId="73C4B8DD" w:rsidR="00814700" w:rsidRPr="001946F8" w:rsidRDefault="006D0001">
            <w:pPr>
              <w:widowControl w:val="0"/>
              <w:jc w:val="center"/>
              <w:rPr>
                <w:rFonts w:asciiTheme="minorHAnsi" w:hAnsiTheme="minorHAnsi" w:cstheme="minorHAnsi"/>
                <w:noProof/>
                <w:kern w:val="2"/>
                <w:sz w:val="18"/>
                <w:szCs w:val="18"/>
              </w:rPr>
            </w:pPr>
            <w:r w:rsidRPr="001946F8">
              <w:rPr>
                <w:rFonts w:asciiTheme="minorHAnsi" w:hAnsiTheme="minorHAnsi" w:cstheme="minorHAnsi"/>
                <w:noProof/>
                <w:kern w:val="2"/>
                <w:sz w:val="18"/>
                <w:szCs w:val="18"/>
              </w:rPr>
              <w:fldChar w:fldCharType="begin" w:fldLock="1"/>
            </w:r>
            <w:r w:rsidRPr="001946F8">
              <w:rPr>
                <w:rFonts w:asciiTheme="minorHAnsi" w:hAnsiTheme="minorHAnsi" w:cstheme="minorHAnsi"/>
                <w:noProof/>
                <w:kern w:val="2"/>
                <w:sz w:val="18"/>
                <w:szCs w:val="18"/>
              </w:rPr>
              <w:instrText>ADDIN CSL_CITATION {"citationItems":[{"id":"ITEM-1","itemData":{"DOI":"10.1029/2019JD030943","ISSN":"21698996","abstract":"The Whole Atmosphere Community Climate Model version 6 (WACCM6) is a major update of the whole atmosphere modeling capability in the Community Earth System Model (CESM), featuring enhanced physical, chemical and aerosol parameterizations. This work describes WACCM6 and some of the important features of the model. WACCM6 can reproduce many modes of variability and trends in the middle atmosphere, including the quasi-biennial oscillation, stratospheric sudden warmings, and the evolution of Southern Hemisphere springtime ozone depletion over the twentieth century. WACCM6 can also reproduce the climate and temperature trends of the 20th century throughout the atmospheric column. The representation of the climate has improved in WACCM6, relative to WACCM4. In addition, there are improvements in high-latitude climate variability at the surface and sea ice extent in WACCM6 over the lower top version of the model (CAM6) that comes from the extended vertical domain and expanded aerosol chemistry in WACCM6, highlighting the importance of the stratosphere and tropospheric chemistry for high-latitude climate variability.","author":[{"dropping-particle":"","family":"Gettelman","given":"A.","non-dropping-particle":"","parse-names":false,"suffix":""},{"dropping-particle":"","family":"Mills","given":"M. J.","non-dropping-particle":"","parse-names":false,"suffix":""},{"dropping-particle":"","family":"Kinnison","given":"D. E.","non-dropping-particle":"","parse-names":false,"suffix":""},{"dropping-particle":"","family":"Garcia","given":"R. R.","non-dropping-particle":"","parse-names":false,"suffix":""},{"dropping-particle":"","family":"Smith","given":"A. K.","non-dropping-particle":"","parse-names":false,"suffix":""},{"dropping-particle":"","family":"Marsh","given":"D. R.","non-dropping-particle":"","parse-names":false,"suffix":""},{"dropping-particle":"","family":"Tilmes","given":"S.","non-dropping-particle":"","parse-names":false,"suffix":""},{"dropping-particle":"","family":"Vitt","given":"F.","non-dropping-particle":"","parse-names":false,"suffix":""},{"dropping-particle":"","family":"Bardeen","given":"C. G.","non-dropping-particle":"","parse-names":false,"suffix":""},{"dropping-particle":"","family":"McInerny","given":"J.","non-dropping-particle":"","parse-names":false,"suffix":""},{"dropping-particle":"","family":"Liu","given":"H. L.","non-dropping-particle":"","parse-names":false,"suffix":""},{"dropping-particle":"","family":"Solomon","given":"S. C.","non-dropping-particle":"","parse-names":false,"suffix":""},{"dropping-particle":"","family":"Polvani","given":"L. M.","non-dropping-particle":"","parse-names":false,"suffix":""},{"dropping-particle":"","family":"Emmons","given":"L. K.","non-dropping-particle":"","parse-names":false,"suffix":""},{"dropping-particle":"","family":"Lamarque","given":"J. F.","non-dropping-particle":"","parse-names":false,"suffix":""},{"dropping-particle":"","family":"Richter","given":"J. H.","non-dropping-particle":"","parse-names":false,"suffix":""},{"dropping-particle":"","family":"Glanville","given":"A. S.","non-dropping-particle":"","parse-names":false,"suffix":""},{"dropping-particle":"","family":"Bacmeister","given":"J. T.","non-dropping-particle":"","parse-names":false,"suffix":""},{"dropping-particle":"","family":"Phillips","given":"A. S.","non-dropping-particle":"","parse-names":false,"suffix":""},{"dropping-particle":"","family":"Neale","given":"R. B.","non-dropping-particle":"","parse-names":false,"suffix":""},{"dropping-particle":"","family":"Simpson","given":"I. R.","non-dropping-particle":"","parse-names":false,"suffix":""},{"dropping-particle":"","family":"DuVivier","given":"A. K.","non-dropping-particle":"","parse-names":false,"suffix":""},{"dropping-particle":"","family":"Hodzic","given":"A.","non-dropping-particle":"","parse-names":false,"suffix":""},{"dropping-particle":"","family":"Randel","given":"W. J.","non-dropping-particle":"","parse-names":false,"suffix":""}],"container-title":"Journal of Geophysical Research: Atmospheres","id":"ITEM-1","issue":"23","issued":{"date-parts":[["2019"]]},"page":"12380-12403","title":"The Whole Atmosphere Community Climate Model Version 6 (WACCM6)","type":"article-journal","volume":"124"},"uris":["http://www.mendeley.com/documents/?uuid=fbc3f760-1c4d-49c9-9280-b4477e58255b"]}],"mendeley":{"formattedCitation":"(Gettelman et al., 2019)","manualFormatting":"Gettelman et al. (2019)","plainTextFormattedCitation":"(Gettelman et al., 2019)","previouslyFormattedCitation":"(Gettelman et al., 2019)"},"properties":{"noteIndex":0},"schema":"https://github.com/citation-style-language/schema/raw/master/csl-citation.json"}</w:instrText>
            </w:r>
            <w:r w:rsidRPr="001946F8">
              <w:rPr>
                <w:rFonts w:asciiTheme="minorHAnsi" w:hAnsiTheme="minorHAnsi" w:cstheme="minorHAnsi"/>
                <w:noProof/>
                <w:kern w:val="2"/>
                <w:sz w:val="18"/>
                <w:szCs w:val="18"/>
              </w:rPr>
              <w:fldChar w:fldCharType="separate"/>
            </w:r>
            <w:r>
              <w:rPr>
                <w:rFonts w:asciiTheme="minorHAnsi" w:hAnsiTheme="minorHAnsi" w:cstheme="minorHAnsi"/>
                <w:noProof/>
                <w:kern w:val="2"/>
                <w:sz w:val="18"/>
                <w:szCs w:val="18"/>
              </w:rPr>
              <w:t>Gettelman et al. (2019)</w:t>
            </w:r>
            <w:r w:rsidRPr="001946F8">
              <w:rPr>
                <w:rFonts w:asciiTheme="minorHAnsi" w:hAnsiTheme="minorHAnsi" w:cstheme="minorHAnsi"/>
                <w:noProof/>
                <w:kern w:val="2"/>
                <w:sz w:val="18"/>
                <w:szCs w:val="18"/>
              </w:rPr>
              <w:fldChar w:fldCharType="end"/>
            </w:r>
          </w:p>
        </w:tc>
        <w:tc>
          <w:tcPr>
            <w:tcW w:w="848" w:type="dxa"/>
            <w:tcBorders>
              <w:top w:val="nil"/>
              <w:left w:val="nil"/>
              <w:bottom w:val="nil"/>
              <w:right w:val="nil"/>
            </w:tcBorders>
            <w:vAlign w:val="center"/>
          </w:tcPr>
          <w:p w14:paraId="780712F6" w14:textId="77777777" w:rsidR="00814700" w:rsidRDefault="006D0001">
            <w:pPr>
              <w:widowControl w:val="0"/>
              <w:jc w:val="center"/>
              <w:rPr>
                <w:rFonts w:asciiTheme="minorHAnsi" w:hAnsiTheme="minorHAnsi" w:cstheme="minorHAnsi"/>
                <w:sz w:val="18"/>
                <w:szCs w:val="18"/>
              </w:rPr>
            </w:pPr>
            <w:r>
              <w:rPr>
                <w:rFonts w:asciiTheme="minorHAnsi" w:eastAsia="Aptos" w:hAnsiTheme="minorHAnsi" w:cstheme="minorHAnsi"/>
                <w:kern w:val="2"/>
                <w:sz w:val="18"/>
                <w:szCs w:val="18"/>
              </w:rPr>
              <w:t>4</w:t>
            </w:r>
          </w:p>
        </w:tc>
        <w:tc>
          <w:tcPr>
            <w:tcW w:w="848" w:type="dxa"/>
            <w:tcBorders>
              <w:top w:val="nil"/>
              <w:left w:val="nil"/>
              <w:bottom w:val="nil"/>
              <w:right w:val="nil"/>
            </w:tcBorders>
            <w:vAlign w:val="center"/>
          </w:tcPr>
          <w:p w14:paraId="780712F7" w14:textId="77777777" w:rsidR="00814700" w:rsidRDefault="006D0001">
            <w:pPr>
              <w:widowControl w:val="0"/>
              <w:jc w:val="center"/>
              <w:rPr>
                <w:rFonts w:asciiTheme="minorHAnsi" w:hAnsiTheme="minorHAnsi" w:cstheme="minorHAnsi"/>
                <w:sz w:val="18"/>
                <w:szCs w:val="18"/>
              </w:rPr>
            </w:pPr>
            <w:r>
              <w:rPr>
                <w:rFonts w:asciiTheme="minorHAnsi" w:eastAsia="Aptos" w:hAnsiTheme="minorHAnsi" w:cstheme="minorHAnsi"/>
                <w:kern w:val="2"/>
                <w:sz w:val="18"/>
                <w:szCs w:val="18"/>
              </w:rPr>
              <w:t>3</w:t>
            </w:r>
          </w:p>
        </w:tc>
        <w:tc>
          <w:tcPr>
            <w:tcW w:w="709" w:type="dxa"/>
            <w:tcBorders>
              <w:top w:val="nil"/>
              <w:left w:val="nil"/>
              <w:bottom w:val="nil"/>
              <w:right w:val="nil"/>
            </w:tcBorders>
            <w:vAlign w:val="center"/>
          </w:tcPr>
          <w:p w14:paraId="780712F8" w14:textId="77777777" w:rsidR="00814700" w:rsidRDefault="006D0001">
            <w:pPr>
              <w:widowControl w:val="0"/>
              <w:jc w:val="center"/>
              <w:rPr>
                <w:rFonts w:asciiTheme="minorHAnsi" w:hAnsiTheme="minorHAnsi" w:cstheme="minorHAnsi"/>
                <w:sz w:val="18"/>
                <w:szCs w:val="18"/>
              </w:rPr>
            </w:pPr>
            <w:r>
              <w:rPr>
                <w:rFonts w:ascii="Segoe UI Symbol" w:eastAsia="Aptos" w:hAnsi="Segoe UI Symbol" w:cs="Segoe UI Symbol"/>
                <w:kern w:val="2"/>
                <w:sz w:val="18"/>
                <w:szCs w:val="18"/>
              </w:rPr>
              <w:t>✔</w:t>
            </w:r>
          </w:p>
        </w:tc>
        <w:tc>
          <w:tcPr>
            <w:tcW w:w="709" w:type="dxa"/>
            <w:tcBorders>
              <w:top w:val="nil"/>
              <w:left w:val="nil"/>
              <w:bottom w:val="nil"/>
              <w:right w:val="nil"/>
            </w:tcBorders>
            <w:vAlign w:val="center"/>
          </w:tcPr>
          <w:p w14:paraId="780712F9" w14:textId="77777777" w:rsidR="00814700" w:rsidRDefault="006D0001">
            <w:pPr>
              <w:widowControl w:val="0"/>
              <w:jc w:val="center"/>
              <w:rPr>
                <w:rFonts w:asciiTheme="minorHAnsi" w:hAnsiTheme="minorHAnsi" w:cstheme="minorHAnsi"/>
                <w:sz w:val="18"/>
                <w:szCs w:val="18"/>
              </w:rPr>
            </w:pPr>
            <w:r>
              <w:rPr>
                <w:rFonts w:ascii="Segoe UI Symbol" w:eastAsia="Aptos" w:hAnsi="Segoe UI Symbol" w:cs="Segoe UI Symbol"/>
                <w:kern w:val="2"/>
                <w:sz w:val="18"/>
                <w:szCs w:val="18"/>
              </w:rPr>
              <w:t>✔</w:t>
            </w:r>
          </w:p>
        </w:tc>
        <w:tc>
          <w:tcPr>
            <w:tcW w:w="571" w:type="dxa"/>
            <w:tcBorders>
              <w:top w:val="nil"/>
              <w:left w:val="nil"/>
              <w:bottom w:val="nil"/>
              <w:right w:val="nil"/>
            </w:tcBorders>
            <w:vAlign w:val="center"/>
          </w:tcPr>
          <w:p w14:paraId="780712FA" w14:textId="77777777" w:rsidR="00814700" w:rsidRDefault="006D0001">
            <w:pPr>
              <w:widowControl w:val="0"/>
              <w:jc w:val="center"/>
              <w:rPr>
                <w:rFonts w:asciiTheme="minorHAnsi" w:hAnsiTheme="minorHAnsi" w:cstheme="minorHAnsi"/>
                <w:sz w:val="18"/>
                <w:szCs w:val="18"/>
                <w:vertAlign w:val="superscript"/>
              </w:rPr>
            </w:pPr>
            <w:r>
              <w:rPr>
                <w:rFonts w:ascii="Segoe UI Symbol" w:eastAsia="Aptos" w:hAnsi="Segoe UI Symbol" w:cs="Segoe UI Symbol"/>
                <w:kern w:val="2"/>
                <w:sz w:val="18"/>
                <w:szCs w:val="18"/>
              </w:rPr>
              <w:t>✔</w:t>
            </w:r>
            <w:r>
              <w:rPr>
                <w:rFonts w:asciiTheme="minorHAnsi" w:eastAsia="Aptos" w:hAnsiTheme="minorHAnsi" w:cstheme="minorHAnsi"/>
                <w:kern w:val="2"/>
                <w:sz w:val="18"/>
                <w:szCs w:val="18"/>
                <w:vertAlign w:val="superscript"/>
              </w:rPr>
              <w:t>1</w:t>
            </w:r>
          </w:p>
        </w:tc>
      </w:tr>
      <w:tr w:rsidR="00814700" w14:paraId="78071303" w14:textId="77777777" w:rsidTr="005E5454">
        <w:trPr>
          <w:trHeight w:val="283"/>
        </w:trPr>
        <w:tc>
          <w:tcPr>
            <w:tcW w:w="2019" w:type="dxa"/>
            <w:tcBorders>
              <w:top w:val="nil"/>
              <w:left w:val="nil"/>
              <w:bottom w:val="nil"/>
              <w:right w:val="nil"/>
            </w:tcBorders>
            <w:vAlign w:val="center"/>
          </w:tcPr>
          <w:p w14:paraId="780712FC" w14:textId="77777777" w:rsidR="00814700" w:rsidRDefault="006D0001">
            <w:pPr>
              <w:widowControl w:val="0"/>
              <w:rPr>
                <w:rFonts w:asciiTheme="minorHAnsi" w:hAnsiTheme="minorHAnsi" w:cstheme="minorHAnsi"/>
                <w:sz w:val="18"/>
                <w:szCs w:val="18"/>
              </w:rPr>
            </w:pPr>
            <w:r>
              <w:rPr>
                <w:rFonts w:asciiTheme="minorHAnsi" w:eastAsia="Aptos" w:hAnsiTheme="minorHAnsi" w:cstheme="minorHAnsi"/>
                <w:kern w:val="2"/>
                <w:sz w:val="18"/>
                <w:szCs w:val="18"/>
              </w:rPr>
              <w:t>CMAM</w:t>
            </w:r>
          </w:p>
        </w:tc>
        <w:tc>
          <w:tcPr>
            <w:tcW w:w="3656" w:type="dxa"/>
            <w:tcBorders>
              <w:top w:val="nil"/>
              <w:left w:val="nil"/>
              <w:bottom w:val="nil"/>
              <w:right w:val="nil"/>
            </w:tcBorders>
            <w:vAlign w:val="center"/>
          </w:tcPr>
          <w:p w14:paraId="780712FD" w14:textId="4CB7999D" w:rsidR="00814700" w:rsidRPr="001946F8" w:rsidRDefault="006D0001">
            <w:pPr>
              <w:widowControl w:val="0"/>
              <w:jc w:val="center"/>
              <w:rPr>
                <w:rFonts w:asciiTheme="minorHAnsi" w:hAnsiTheme="minorHAnsi" w:cstheme="minorHAnsi"/>
                <w:noProof/>
                <w:kern w:val="2"/>
                <w:sz w:val="18"/>
                <w:szCs w:val="18"/>
              </w:rPr>
            </w:pPr>
            <w:r w:rsidRPr="001946F8">
              <w:rPr>
                <w:rFonts w:asciiTheme="minorHAnsi" w:hAnsiTheme="minorHAnsi" w:cstheme="minorHAnsi"/>
                <w:noProof/>
                <w:kern w:val="2"/>
                <w:sz w:val="18"/>
                <w:szCs w:val="18"/>
              </w:rPr>
              <w:fldChar w:fldCharType="begin" w:fldLock="1"/>
            </w:r>
            <w:r w:rsidR="002966CF">
              <w:rPr>
                <w:rFonts w:asciiTheme="minorHAnsi" w:hAnsiTheme="minorHAnsi" w:cstheme="minorHAnsi"/>
                <w:noProof/>
                <w:kern w:val="2"/>
                <w:sz w:val="18"/>
                <w:szCs w:val="18"/>
              </w:rPr>
              <w:instrText xml:space="preserve">ADDIN CSL_CITATION {"citationItems":[{"id":"ITEM-1","itemData":{"DOI":"10.1029/2004JD005093","ISSN":"01480227","abstract":"Simple radiative arguments predict that the impact of CO2 increases on the stratosphere and mesosphere should be a cooling and that the magnitude of the temperature change should be significantly larger than in the troposphere. Considering the temperature dependence of middle atmospheric gas-phase ozone photochemistry, it is expected that the ozone response will generate a radiative feedback that mitigates the CO2-induced cooling. The magnitude and vertical structure of this signal need to be characterised in order to distinguish the impact of future CO2 changes from other processes affecting the temperature evolution, such as changes in chlorine loading and water vapour trends. The Canadian Middle Atmosphere Model (CMAM) has been used in a process oriented study to examine the details of radiative and photochemical feedbacks under current and doubled CO2 conditions at low and middle latitudes. The model was run both with and without interactive chemistry in order to determine the importance of the radiative feedback through ozone changes on the CO2-induced cooling signal. Changes in other greenhouse gases, ozone depleting substances, or SST's and sea ice coverage were not considered. The interactive model results show a substantial temperature decrease throughout most of the middle atmosphere with a maximum cooling of 10-12 K at the stratopause. In association with this temperature change, the ozone mixing ratio increases by 15-20% in the upper stratosphere and by 10-15% in the lower mesosphere. Results from the non-interactive simulations show that the magnitude of the cooling is overestimated by up to </w:instrText>
            </w:r>
            <w:r w:rsidR="002966CF">
              <w:rPr>
                <w:rFonts w:ascii="Cambria Math" w:hAnsi="Cambria Math" w:cs="Cambria Math"/>
                <w:noProof/>
                <w:kern w:val="2"/>
                <w:sz w:val="18"/>
                <w:szCs w:val="18"/>
              </w:rPr>
              <w:instrText>∼</w:instrText>
            </w:r>
            <w:r w:rsidR="002966CF">
              <w:rPr>
                <w:rFonts w:asciiTheme="minorHAnsi" w:hAnsiTheme="minorHAnsi" w:cstheme="minorHAnsi"/>
                <w:noProof/>
                <w:kern w:val="2"/>
                <w:sz w:val="18"/>
                <w:szCs w:val="18"/>
              </w:rPr>
              <w:instrText xml:space="preserve">4.5 K when the ozone radiative feedback is not considered. In spite of the complexity of the ozone chemistry, the ozone increase at 30-70 km can be understood primarily as a result of the negative temperature dependence of the O + O2 + M </w:instrText>
            </w:r>
            <w:r w:rsidR="002966CF">
              <w:rPr>
                <w:rFonts w:ascii="Calibri" w:hAnsi="Calibri" w:cs="Calibri"/>
                <w:noProof/>
                <w:kern w:val="2"/>
                <w:sz w:val="18"/>
                <w:szCs w:val="18"/>
              </w:rPr>
              <w:instrText>→</w:instrText>
            </w:r>
            <w:r w:rsidR="002966CF">
              <w:rPr>
                <w:rFonts w:asciiTheme="minorHAnsi" w:hAnsiTheme="minorHAnsi" w:cstheme="minorHAnsi"/>
                <w:noProof/>
                <w:kern w:val="2"/>
                <w:sz w:val="18"/>
                <w:szCs w:val="18"/>
              </w:rPr>
              <w:instrText xml:space="preserve"> O3 + M reaction that controls odd oxygen partitioning. Additional partial contributions to the ozone increase below 60 km are provided by a decrease in the reaction rate coefficient of the Chapman reaction O + O3 → 2O2 and by a decrease in the NO2 abundance. Copyright 2004 by the American Geophysical Union.","author":[{"dropping-particle":"","family":"Jonsson","given":"Andreas I.","non-dropping-particle":"","parse-names":false,"suffix":""},{"dropping-particle":"","family":"Grandpré","given":"J.","non-dropping-particle":"de","parse-names":false,"suffix":""},{"dropping-particle":"","family":"Fomichev","given":"V. I.","non-dropping-particle":"","parse-names":false,"suffix":""},{"dropping-particle":"","family":"McConnell","given":"J. C.","non-dropping-particle":"","parse-names":false,"suffix":""},{"dropping-particle":"","family":"Beagley","given":"S. R.","non-dropping-particle":"","parse-names":false,"suffix":""}],"container-title":"Journal of Geophysical Research D: Atmospheres","id":"ITEM-1","issue":"24","issued":{"date-parts":[["2004"]]},"page":"1-18","title":"Doubled CO2-induced cooling in the middle atmosphere: Photochemical analysis of the ozone radiative feedback","type":"article-journal","volume":"109"},"uris":["http://www.mendeley.com/documents/?uuid=5b354d51-cf50-4a95-9fe6-ba9976b5efc2"]},{"id":"ITEM-2","itemData":{"DOI":"10.5194/acp-8-7055-2008","ISSN":"16807324","abstract":"The Canadian Centre for Climate Modelling and Analysis third generation atmospheric general circulation model (AGCM3) is described. The discussion summarizes the details of the complete physics package emphasizing the changes made relative to the second generation version of the model. AGCM3 is the underlying model for applications which include the IPCC fourth assessment, coupled atmosphere-ocean seasonal forecasting, the first generation of the CCCma earth system model (CanESM1), and middle-atmosphere chemistry-climate modelling (CCM). Here we shall focus on issues related to an upwardly extended version of AGCM3, the Canadian Middle-Atmosphere Model (CMAM). The CCM version of CMAM participated in the 2006 WMO/UNEP Scientific Assessment of Ozone Depletion and issues concerning its climate such as the impact of gravity-wave drag, the modelling of a spontaneous QBO, and the seasonality of the breakdown of the Southern Hemisphere polar vortex are discussed here.","author":[{"dropping-particle":"","family":"Scinocca","given":"J. F.","non-dropping-particle":"","parse-names":false,"suffix":""},{"dropping-particle":"","family":"McFarlane","given":"N. A.","non-dropping-particle":"","parse-names":false,"suffix":""},{"dropping-particle":"","family":"Lazare","given":"M.","non-dropping-particle":"","parse-names":false,"suffix":""},{"dropping-particle":"","family":"Li","given":"J.","non-dropping-particle":"","parse-names":false,"suffix":""},{"dropping-particle":"","family":"Plummer","given":"D.","non-dropping-particle":"","parse-names":false,"suffix":""}],"container-title":"Atmospheric Chemistry and Physics","id":"ITEM-2","issue":"23","issued":{"date-parts":[["2008"]]},"page":"7055-7074","title":"Technical note: The CCCma third generation AGCM and its extension into the middle atmosphere","type":"article-journal","volume":"8"},"uris":["http://www.mendeley.com/documents/?uuid=0d5565bd-baa9-4ac4-97c0-bc2547f1cf99"]}],"mendeley":{"formattedCitation":"(Jonsson et al., 2004; Scinocca et al., 2008)","manualFormatting":"Jonsson et al. (2004); Scinocca et al. (2008)","plainTextFormattedCitation":"(Jonsson et al., 2004; Scinocca et al., 2008)","previouslyFormattedCitation":"(Jonsson et al., 2004; Scinocca et al., 2008)"},"properties":{"noteIndex":0},"schema":"https://github.com/citation-style-language/schema/raw/master/csl-citation.json"}</w:instrText>
            </w:r>
            <w:r w:rsidRPr="001946F8">
              <w:rPr>
                <w:rFonts w:asciiTheme="minorHAnsi" w:hAnsiTheme="minorHAnsi" w:cstheme="minorHAnsi"/>
                <w:noProof/>
                <w:kern w:val="2"/>
                <w:sz w:val="18"/>
                <w:szCs w:val="18"/>
              </w:rPr>
              <w:fldChar w:fldCharType="separate"/>
            </w:r>
            <w:r>
              <w:rPr>
                <w:rFonts w:asciiTheme="minorHAnsi" w:hAnsiTheme="minorHAnsi" w:cstheme="minorHAnsi"/>
                <w:noProof/>
                <w:kern w:val="2"/>
                <w:sz w:val="18"/>
                <w:szCs w:val="18"/>
              </w:rPr>
              <w:t>Jonsson et al. (2004); Scinocca et al. (2008)</w:t>
            </w:r>
            <w:r w:rsidRPr="001946F8">
              <w:rPr>
                <w:rFonts w:asciiTheme="minorHAnsi" w:hAnsiTheme="minorHAnsi" w:cstheme="minorHAnsi"/>
                <w:noProof/>
                <w:kern w:val="2"/>
                <w:sz w:val="18"/>
                <w:szCs w:val="18"/>
              </w:rPr>
              <w:fldChar w:fldCharType="end"/>
            </w:r>
          </w:p>
        </w:tc>
        <w:tc>
          <w:tcPr>
            <w:tcW w:w="848" w:type="dxa"/>
            <w:tcBorders>
              <w:top w:val="nil"/>
              <w:left w:val="nil"/>
              <w:bottom w:val="nil"/>
              <w:right w:val="nil"/>
            </w:tcBorders>
            <w:vAlign w:val="center"/>
          </w:tcPr>
          <w:p w14:paraId="780712FE" w14:textId="77777777" w:rsidR="00814700" w:rsidRDefault="006D0001">
            <w:pPr>
              <w:widowControl w:val="0"/>
              <w:jc w:val="center"/>
              <w:rPr>
                <w:rFonts w:asciiTheme="minorHAnsi" w:hAnsiTheme="minorHAnsi" w:cstheme="minorHAnsi"/>
                <w:sz w:val="18"/>
                <w:szCs w:val="18"/>
              </w:rPr>
            </w:pPr>
            <w:r>
              <w:rPr>
                <w:rFonts w:asciiTheme="minorHAnsi" w:eastAsia="Aptos" w:hAnsiTheme="minorHAnsi" w:cstheme="minorHAnsi"/>
                <w:kern w:val="2"/>
                <w:sz w:val="18"/>
                <w:szCs w:val="18"/>
              </w:rPr>
              <w:t>5</w:t>
            </w:r>
          </w:p>
        </w:tc>
        <w:tc>
          <w:tcPr>
            <w:tcW w:w="848" w:type="dxa"/>
            <w:tcBorders>
              <w:top w:val="nil"/>
              <w:left w:val="nil"/>
              <w:bottom w:val="nil"/>
              <w:right w:val="nil"/>
            </w:tcBorders>
            <w:vAlign w:val="center"/>
          </w:tcPr>
          <w:p w14:paraId="780712FF" w14:textId="77777777" w:rsidR="00814700" w:rsidRDefault="006D0001">
            <w:pPr>
              <w:widowControl w:val="0"/>
              <w:jc w:val="center"/>
              <w:rPr>
                <w:rFonts w:asciiTheme="minorHAnsi" w:hAnsiTheme="minorHAnsi" w:cstheme="minorHAnsi"/>
                <w:sz w:val="18"/>
                <w:szCs w:val="18"/>
              </w:rPr>
            </w:pPr>
            <w:r>
              <w:rPr>
                <w:rFonts w:asciiTheme="minorHAnsi" w:eastAsia="Aptos" w:hAnsiTheme="minorHAnsi" w:cstheme="minorHAnsi"/>
                <w:kern w:val="2"/>
                <w:sz w:val="18"/>
                <w:szCs w:val="18"/>
              </w:rPr>
              <w:t>3</w:t>
            </w:r>
          </w:p>
        </w:tc>
        <w:tc>
          <w:tcPr>
            <w:tcW w:w="709" w:type="dxa"/>
            <w:tcBorders>
              <w:top w:val="nil"/>
              <w:left w:val="nil"/>
              <w:bottom w:val="nil"/>
              <w:right w:val="nil"/>
            </w:tcBorders>
            <w:vAlign w:val="center"/>
          </w:tcPr>
          <w:p w14:paraId="78071300" w14:textId="77777777" w:rsidR="00814700" w:rsidRDefault="006D0001">
            <w:pPr>
              <w:widowControl w:val="0"/>
              <w:jc w:val="center"/>
              <w:rPr>
                <w:rFonts w:asciiTheme="minorHAnsi" w:hAnsiTheme="minorHAnsi" w:cstheme="minorHAnsi"/>
                <w:sz w:val="18"/>
                <w:szCs w:val="18"/>
              </w:rPr>
            </w:pPr>
            <w:r>
              <w:rPr>
                <w:rFonts w:ascii="Segoe UI Symbol" w:eastAsia="Aptos" w:hAnsi="Segoe UI Symbol" w:cs="Segoe UI Symbol"/>
                <w:kern w:val="2"/>
                <w:sz w:val="18"/>
                <w:szCs w:val="18"/>
              </w:rPr>
              <w:t>✔</w:t>
            </w:r>
          </w:p>
        </w:tc>
        <w:tc>
          <w:tcPr>
            <w:tcW w:w="709" w:type="dxa"/>
            <w:tcBorders>
              <w:top w:val="nil"/>
              <w:left w:val="nil"/>
              <w:bottom w:val="nil"/>
              <w:right w:val="nil"/>
            </w:tcBorders>
            <w:vAlign w:val="center"/>
          </w:tcPr>
          <w:p w14:paraId="78071301" w14:textId="77777777" w:rsidR="00814700" w:rsidRDefault="006D0001">
            <w:pPr>
              <w:widowControl w:val="0"/>
              <w:jc w:val="center"/>
              <w:rPr>
                <w:rFonts w:asciiTheme="minorHAnsi" w:hAnsiTheme="minorHAnsi" w:cstheme="minorHAnsi"/>
                <w:sz w:val="18"/>
                <w:szCs w:val="18"/>
              </w:rPr>
            </w:pPr>
            <w:r>
              <w:rPr>
                <w:rFonts w:ascii="Segoe UI Symbol" w:eastAsia="Aptos" w:hAnsi="Segoe UI Symbol" w:cs="Segoe UI Symbol"/>
                <w:kern w:val="2"/>
                <w:sz w:val="18"/>
                <w:szCs w:val="18"/>
              </w:rPr>
              <w:t>✔</w:t>
            </w:r>
          </w:p>
        </w:tc>
        <w:tc>
          <w:tcPr>
            <w:tcW w:w="571" w:type="dxa"/>
            <w:tcBorders>
              <w:top w:val="nil"/>
              <w:left w:val="nil"/>
              <w:bottom w:val="nil"/>
              <w:right w:val="nil"/>
            </w:tcBorders>
            <w:vAlign w:val="center"/>
          </w:tcPr>
          <w:p w14:paraId="78071302" w14:textId="77777777" w:rsidR="00814700" w:rsidRDefault="006D0001">
            <w:pPr>
              <w:widowControl w:val="0"/>
              <w:jc w:val="center"/>
              <w:rPr>
                <w:rFonts w:asciiTheme="minorHAnsi" w:hAnsiTheme="minorHAnsi" w:cstheme="minorHAnsi"/>
                <w:sz w:val="18"/>
                <w:szCs w:val="18"/>
              </w:rPr>
            </w:pPr>
            <w:r>
              <w:rPr>
                <w:rFonts w:ascii="Segoe UI Symbol" w:eastAsia="Aptos" w:hAnsi="Segoe UI Symbol" w:cs="Segoe UI Symbol"/>
                <w:kern w:val="2"/>
                <w:sz w:val="18"/>
                <w:szCs w:val="18"/>
              </w:rPr>
              <w:t>✔</w:t>
            </w:r>
          </w:p>
        </w:tc>
      </w:tr>
      <w:tr w:rsidR="00814700" w14:paraId="7807130B" w14:textId="77777777" w:rsidTr="005E5454">
        <w:trPr>
          <w:trHeight w:val="283"/>
        </w:trPr>
        <w:tc>
          <w:tcPr>
            <w:tcW w:w="2019" w:type="dxa"/>
            <w:tcBorders>
              <w:top w:val="nil"/>
              <w:left w:val="nil"/>
              <w:bottom w:val="nil"/>
              <w:right w:val="nil"/>
            </w:tcBorders>
            <w:vAlign w:val="center"/>
          </w:tcPr>
          <w:p w14:paraId="78071304" w14:textId="77777777" w:rsidR="00814700" w:rsidRDefault="006D0001">
            <w:pPr>
              <w:widowControl w:val="0"/>
              <w:rPr>
                <w:rFonts w:asciiTheme="minorHAnsi" w:hAnsiTheme="minorHAnsi" w:cstheme="minorHAnsi"/>
                <w:sz w:val="18"/>
                <w:szCs w:val="18"/>
              </w:rPr>
            </w:pPr>
            <w:r>
              <w:rPr>
                <w:rFonts w:asciiTheme="minorHAnsi" w:eastAsia="Aptos" w:hAnsiTheme="minorHAnsi" w:cstheme="minorHAnsi"/>
                <w:kern w:val="2"/>
                <w:sz w:val="18"/>
                <w:szCs w:val="18"/>
              </w:rPr>
              <w:t>CNRM-MOCAGE</w:t>
            </w:r>
          </w:p>
        </w:tc>
        <w:tc>
          <w:tcPr>
            <w:tcW w:w="3656" w:type="dxa"/>
            <w:tcBorders>
              <w:top w:val="nil"/>
              <w:left w:val="nil"/>
              <w:bottom w:val="nil"/>
              <w:right w:val="nil"/>
            </w:tcBorders>
            <w:vAlign w:val="center"/>
          </w:tcPr>
          <w:p w14:paraId="78071305" w14:textId="3A940744" w:rsidR="00814700" w:rsidRPr="001946F8" w:rsidRDefault="00BC1AFE">
            <w:pPr>
              <w:widowControl w:val="0"/>
              <w:jc w:val="center"/>
              <w:rPr>
                <w:rFonts w:asciiTheme="minorHAnsi" w:hAnsiTheme="minorHAnsi" w:cstheme="minorHAnsi"/>
                <w:noProof/>
                <w:kern w:val="2"/>
                <w:sz w:val="18"/>
                <w:szCs w:val="18"/>
              </w:rPr>
            </w:pPr>
            <w:r>
              <w:rPr>
                <w:rFonts w:asciiTheme="minorHAnsi" w:hAnsiTheme="minorHAnsi" w:cstheme="minorHAnsi"/>
                <w:noProof/>
                <w:kern w:val="2"/>
                <w:sz w:val="18"/>
                <w:szCs w:val="18"/>
              </w:rPr>
              <w:fldChar w:fldCharType="begin" w:fldLock="1"/>
            </w:r>
            <w:r w:rsidR="00DD21BA">
              <w:rPr>
                <w:rFonts w:asciiTheme="minorHAnsi" w:hAnsiTheme="minorHAnsi" w:cstheme="minorHAnsi"/>
                <w:noProof/>
                <w:kern w:val="2"/>
                <w:sz w:val="18"/>
                <w:szCs w:val="18"/>
              </w:rPr>
              <w:instrText>ADDIN CSL_CITATION {"citationItems":[{"id":"ITEM-1","itemData":{"DOI":"10.5194/acp-20-9393-2020","ISSN":"1680-7324","author":[{"dropping-particle":"","family":"Cussac","given":"Martin","non-dropping-particle":"","parse-names":false,"suffix":""},{"dropping-particle":"","family":"Marécal","given":"Virginie","non-dropping-particle":"","parse-names":false,"suffix":""},{"dropping-particle":"","family":"Thouret","given":"Valérie","non-dropping-particle":"","parse-names":false,"suffix":""},{"dropping-particle":"","family":"Josse","given":"Béatrice","non-dropping-particle":"","parse-names":false,"suffix":""},{"dropping-particle":"","family":"Sauvage","given":"Bastien","non-dropping-particle":"","parse-names":false,"suffix":""}],"container-title":"Atmospheric Chemistry and Physics","id":"ITEM-1","issue":"15","issued":{"date-parts":[["2020","8","11"]]},"page":"9393-9417","title":"The impact of biomass burning on upper tropospheric carbon monoxide: a study using MOCAGE global model and IAGOS airborne data","type":"article-journal","volume":"20"},"uris":["http://www.mendeley.com/documents/?uuid=d7e2ab77-9d82-4030-9e6c-8b918bbe44cd"]},{"id":"ITEM-2","itemData":{"DOI":"10.3402/tellusb.v56i4.16448","ISSN":"0280-6509","abstract":"We present an evaluation of the representation of subgrid scale transport in the new multiscale global chemistry andtransport model MOCAGE. The approach is an off-line computation of vertical mass ...","author":[{"dropping-particle":"","family":"Josse","given":"B.","non-dropping-particle":"","parse-names":false,"suffix":""},{"dropping-particle":"","family":"Simon","given":"P.","non-dropping-particle":"","parse-names":false,"suffix":""},{"dropping-particle":"","family":"Peuch","given":"V.-H.","non-dropping-particle":"","parse-names":false,"suffix":""}],"container-title":"Tellus B: Chemical and Physical Meteorology","id":"ITEM-2","issue":"4","issued":{"date-parts":[["2004"]]},"page":"339","title":"Radon global simulations with the multiscale chemistry and transport model MOCAGE","type":"article-journal","volume":"56"},"uris":["http://www.mendeley.com/documents/?uuid=3172908b-ab38-4ce6-b665-ef05902a8ad7"]}],"mendeley":{"formattedCitation":"(Cussac et al., 2020; Josse et al., 2004)","manualFormatting":"Cussac et al. (2020); Josse et al. (2004)","plainTextFormattedCitation":"(Cussac et al., 2020; Josse et al., 2004)","previouslyFormattedCitation":"(Cussac et al., 2020; Josse et al., 2004)"},"properties":{"noteIndex":0},"schema":"https://github.com/citation-style-language/schema/raw/master/csl-citation.json"}</w:instrText>
            </w:r>
            <w:r>
              <w:rPr>
                <w:rFonts w:asciiTheme="minorHAnsi" w:hAnsiTheme="minorHAnsi" w:cstheme="minorHAnsi"/>
                <w:noProof/>
                <w:kern w:val="2"/>
                <w:sz w:val="18"/>
                <w:szCs w:val="18"/>
              </w:rPr>
              <w:fldChar w:fldCharType="separate"/>
            </w:r>
            <w:r w:rsidRPr="00BC1AFE">
              <w:rPr>
                <w:rFonts w:asciiTheme="minorHAnsi" w:hAnsiTheme="minorHAnsi" w:cstheme="minorHAnsi"/>
                <w:noProof/>
                <w:kern w:val="2"/>
                <w:sz w:val="18"/>
                <w:szCs w:val="18"/>
              </w:rPr>
              <w:t xml:space="preserve">Cussac et al. </w:t>
            </w:r>
            <w:r w:rsidR="006D65C3">
              <w:rPr>
                <w:rFonts w:asciiTheme="minorHAnsi" w:hAnsiTheme="minorHAnsi" w:cstheme="minorHAnsi"/>
                <w:noProof/>
                <w:kern w:val="2"/>
                <w:sz w:val="18"/>
                <w:szCs w:val="18"/>
              </w:rPr>
              <w:t>(</w:t>
            </w:r>
            <w:r w:rsidRPr="00BC1AFE">
              <w:rPr>
                <w:rFonts w:asciiTheme="minorHAnsi" w:hAnsiTheme="minorHAnsi" w:cstheme="minorHAnsi"/>
                <w:noProof/>
                <w:kern w:val="2"/>
                <w:sz w:val="18"/>
                <w:szCs w:val="18"/>
              </w:rPr>
              <w:t>2020</w:t>
            </w:r>
            <w:r w:rsidR="006D65C3">
              <w:rPr>
                <w:rFonts w:asciiTheme="minorHAnsi" w:hAnsiTheme="minorHAnsi" w:cstheme="minorHAnsi"/>
                <w:noProof/>
                <w:kern w:val="2"/>
                <w:sz w:val="18"/>
                <w:szCs w:val="18"/>
              </w:rPr>
              <w:t>)</w:t>
            </w:r>
            <w:r w:rsidRPr="00BC1AFE">
              <w:rPr>
                <w:rFonts w:asciiTheme="minorHAnsi" w:hAnsiTheme="minorHAnsi" w:cstheme="minorHAnsi"/>
                <w:noProof/>
                <w:kern w:val="2"/>
                <w:sz w:val="18"/>
                <w:szCs w:val="18"/>
              </w:rPr>
              <w:t xml:space="preserve">; Josse et al. </w:t>
            </w:r>
            <w:r w:rsidR="006D65C3">
              <w:rPr>
                <w:rFonts w:asciiTheme="minorHAnsi" w:hAnsiTheme="minorHAnsi" w:cstheme="minorHAnsi"/>
                <w:noProof/>
                <w:kern w:val="2"/>
                <w:sz w:val="18"/>
                <w:szCs w:val="18"/>
              </w:rPr>
              <w:t>(</w:t>
            </w:r>
            <w:r w:rsidRPr="00BC1AFE">
              <w:rPr>
                <w:rFonts w:asciiTheme="minorHAnsi" w:hAnsiTheme="minorHAnsi" w:cstheme="minorHAnsi"/>
                <w:noProof/>
                <w:kern w:val="2"/>
                <w:sz w:val="18"/>
                <w:szCs w:val="18"/>
              </w:rPr>
              <w:t>2004)</w:t>
            </w:r>
            <w:r>
              <w:rPr>
                <w:rFonts w:asciiTheme="minorHAnsi" w:hAnsiTheme="minorHAnsi" w:cstheme="minorHAnsi"/>
                <w:noProof/>
                <w:kern w:val="2"/>
                <w:sz w:val="18"/>
                <w:szCs w:val="18"/>
              </w:rPr>
              <w:fldChar w:fldCharType="end"/>
            </w:r>
          </w:p>
        </w:tc>
        <w:tc>
          <w:tcPr>
            <w:tcW w:w="848" w:type="dxa"/>
            <w:tcBorders>
              <w:top w:val="nil"/>
              <w:left w:val="nil"/>
              <w:bottom w:val="nil"/>
              <w:right w:val="nil"/>
            </w:tcBorders>
            <w:vAlign w:val="center"/>
          </w:tcPr>
          <w:p w14:paraId="78071306" w14:textId="77777777" w:rsidR="00814700" w:rsidRDefault="006D0001">
            <w:pPr>
              <w:widowControl w:val="0"/>
              <w:jc w:val="center"/>
              <w:rPr>
                <w:rFonts w:asciiTheme="minorHAnsi" w:hAnsiTheme="minorHAnsi" w:cstheme="minorHAnsi"/>
                <w:sz w:val="18"/>
                <w:szCs w:val="18"/>
              </w:rPr>
            </w:pPr>
            <w:r>
              <w:rPr>
                <w:rFonts w:asciiTheme="minorHAnsi" w:eastAsia="Aptos" w:hAnsiTheme="minorHAnsi" w:cstheme="minorHAnsi"/>
                <w:kern w:val="2"/>
                <w:sz w:val="18"/>
                <w:szCs w:val="18"/>
              </w:rPr>
              <w:t>4</w:t>
            </w:r>
          </w:p>
        </w:tc>
        <w:tc>
          <w:tcPr>
            <w:tcW w:w="848" w:type="dxa"/>
            <w:tcBorders>
              <w:top w:val="nil"/>
              <w:left w:val="nil"/>
              <w:bottom w:val="nil"/>
              <w:right w:val="nil"/>
            </w:tcBorders>
            <w:vAlign w:val="center"/>
          </w:tcPr>
          <w:p w14:paraId="78071307" w14:textId="77777777" w:rsidR="00814700" w:rsidRDefault="006D0001">
            <w:pPr>
              <w:widowControl w:val="0"/>
              <w:jc w:val="center"/>
              <w:rPr>
                <w:rFonts w:asciiTheme="minorHAnsi" w:hAnsiTheme="minorHAnsi" w:cstheme="minorHAnsi"/>
                <w:sz w:val="18"/>
                <w:szCs w:val="18"/>
              </w:rPr>
            </w:pPr>
            <w:r>
              <w:rPr>
                <w:rFonts w:asciiTheme="minorHAnsi" w:eastAsia="Aptos" w:hAnsiTheme="minorHAnsi" w:cstheme="minorHAnsi"/>
                <w:kern w:val="2"/>
                <w:sz w:val="18"/>
                <w:szCs w:val="18"/>
              </w:rPr>
              <w:t>4</w:t>
            </w:r>
          </w:p>
        </w:tc>
        <w:tc>
          <w:tcPr>
            <w:tcW w:w="709" w:type="dxa"/>
            <w:tcBorders>
              <w:top w:val="nil"/>
              <w:left w:val="nil"/>
              <w:bottom w:val="nil"/>
              <w:right w:val="nil"/>
            </w:tcBorders>
            <w:vAlign w:val="center"/>
          </w:tcPr>
          <w:p w14:paraId="78071308" w14:textId="77777777" w:rsidR="00814700" w:rsidRDefault="006D0001">
            <w:pPr>
              <w:widowControl w:val="0"/>
              <w:jc w:val="center"/>
              <w:rPr>
                <w:rFonts w:asciiTheme="minorHAnsi" w:hAnsiTheme="minorHAnsi" w:cstheme="minorHAnsi"/>
                <w:sz w:val="18"/>
                <w:szCs w:val="18"/>
              </w:rPr>
            </w:pPr>
            <w:r>
              <w:rPr>
                <w:rFonts w:ascii="Segoe UI Symbol" w:eastAsia="Aptos" w:hAnsi="Segoe UI Symbol" w:cs="Segoe UI Symbol"/>
                <w:kern w:val="2"/>
                <w:sz w:val="18"/>
                <w:szCs w:val="18"/>
              </w:rPr>
              <w:t>✔</w:t>
            </w:r>
          </w:p>
        </w:tc>
        <w:tc>
          <w:tcPr>
            <w:tcW w:w="709" w:type="dxa"/>
            <w:tcBorders>
              <w:top w:val="nil"/>
              <w:left w:val="nil"/>
              <w:bottom w:val="nil"/>
              <w:right w:val="nil"/>
            </w:tcBorders>
            <w:vAlign w:val="center"/>
          </w:tcPr>
          <w:p w14:paraId="78071309" w14:textId="77777777" w:rsidR="00814700" w:rsidRDefault="006D0001">
            <w:pPr>
              <w:widowControl w:val="0"/>
              <w:jc w:val="center"/>
              <w:rPr>
                <w:rFonts w:asciiTheme="minorHAnsi" w:hAnsiTheme="minorHAnsi" w:cstheme="minorHAnsi"/>
                <w:sz w:val="18"/>
                <w:szCs w:val="18"/>
              </w:rPr>
            </w:pPr>
            <w:r>
              <w:rPr>
                <w:rFonts w:asciiTheme="minorHAnsi" w:eastAsia="Aptos" w:hAnsiTheme="minorHAnsi" w:cstheme="minorHAnsi"/>
                <w:kern w:val="2"/>
                <w:sz w:val="18"/>
                <w:szCs w:val="18"/>
              </w:rPr>
              <w:t>----</w:t>
            </w:r>
          </w:p>
        </w:tc>
        <w:tc>
          <w:tcPr>
            <w:tcW w:w="571" w:type="dxa"/>
            <w:tcBorders>
              <w:top w:val="nil"/>
              <w:left w:val="nil"/>
              <w:bottom w:val="nil"/>
              <w:right w:val="nil"/>
            </w:tcBorders>
            <w:vAlign w:val="center"/>
          </w:tcPr>
          <w:p w14:paraId="7807130A" w14:textId="77777777" w:rsidR="00814700" w:rsidRDefault="006D0001">
            <w:pPr>
              <w:widowControl w:val="0"/>
              <w:jc w:val="center"/>
              <w:rPr>
                <w:rFonts w:asciiTheme="minorHAnsi" w:hAnsiTheme="minorHAnsi" w:cstheme="minorHAnsi"/>
                <w:sz w:val="18"/>
                <w:szCs w:val="18"/>
              </w:rPr>
            </w:pPr>
            <w:r>
              <w:rPr>
                <w:rFonts w:ascii="Segoe UI Symbol" w:eastAsia="Aptos" w:hAnsi="Segoe UI Symbol" w:cs="Segoe UI Symbol"/>
                <w:kern w:val="2"/>
                <w:sz w:val="18"/>
                <w:szCs w:val="18"/>
              </w:rPr>
              <w:t>✔</w:t>
            </w:r>
          </w:p>
        </w:tc>
      </w:tr>
      <w:tr w:rsidR="00814700" w14:paraId="78071313" w14:textId="77777777" w:rsidTr="005E5454">
        <w:trPr>
          <w:trHeight w:val="283"/>
        </w:trPr>
        <w:tc>
          <w:tcPr>
            <w:tcW w:w="2019" w:type="dxa"/>
            <w:tcBorders>
              <w:top w:val="nil"/>
              <w:left w:val="nil"/>
              <w:bottom w:val="nil"/>
              <w:right w:val="nil"/>
            </w:tcBorders>
            <w:vAlign w:val="center"/>
          </w:tcPr>
          <w:p w14:paraId="7807130C" w14:textId="668850B3" w:rsidR="00814700" w:rsidRDefault="006D0001">
            <w:pPr>
              <w:widowControl w:val="0"/>
              <w:rPr>
                <w:rFonts w:asciiTheme="minorHAnsi" w:hAnsiTheme="minorHAnsi" w:cstheme="minorHAnsi"/>
                <w:sz w:val="18"/>
                <w:szCs w:val="18"/>
              </w:rPr>
            </w:pPr>
            <w:r>
              <w:rPr>
                <w:rFonts w:asciiTheme="minorHAnsi" w:eastAsia="Aptos" w:hAnsiTheme="minorHAnsi" w:cstheme="minorHAnsi"/>
                <w:kern w:val="2"/>
                <w:sz w:val="18"/>
                <w:szCs w:val="18"/>
              </w:rPr>
              <w:t>EMAC</w:t>
            </w:r>
          </w:p>
        </w:tc>
        <w:tc>
          <w:tcPr>
            <w:tcW w:w="3656" w:type="dxa"/>
            <w:tcBorders>
              <w:top w:val="nil"/>
              <w:left w:val="nil"/>
              <w:bottom w:val="nil"/>
              <w:right w:val="nil"/>
            </w:tcBorders>
            <w:vAlign w:val="center"/>
          </w:tcPr>
          <w:p w14:paraId="7807130D" w14:textId="3FAD87F4" w:rsidR="00814700" w:rsidRPr="001946F8" w:rsidRDefault="006D0001">
            <w:pPr>
              <w:widowControl w:val="0"/>
              <w:jc w:val="center"/>
              <w:rPr>
                <w:rFonts w:asciiTheme="minorHAnsi" w:hAnsiTheme="minorHAnsi" w:cstheme="minorHAnsi"/>
                <w:noProof/>
                <w:kern w:val="2"/>
                <w:sz w:val="18"/>
                <w:szCs w:val="18"/>
              </w:rPr>
            </w:pPr>
            <w:r w:rsidRPr="001946F8">
              <w:rPr>
                <w:rFonts w:asciiTheme="minorHAnsi" w:hAnsiTheme="minorHAnsi" w:cstheme="minorHAnsi"/>
                <w:noProof/>
                <w:kern w:val="2"/>
                <w:sz w:val="18"/>
                <w:szCs w:val="18"/>
              </w:rPr>
              <w:fldChar w:fldCharType="begin" w:fldLock="1"/>
            </w:r>
            <w:r w:rsidR="00731574">
              <w:rPr>
                <w:rFonts w:asciiTheme="minorHAnsi" w:hAnsiTheme="minorHAnsi" w:cstheme="minorHAnsi"/>
                <w:noProof/>
                <w:kern w:val="2"/>
                <w:sz w:val="18"/>
                <w:szCs w:val="18"/>
              </w:rPr>
              <w:instrText>ADDIN CSL_CITATION {"citationItems":[{"id":"ITEM-1","itemData":{"DOI":"10.5194/gmd-9-1153-2016","ISSN":"19919603","abstract":"Three types of reference simulations, as recommended by the Chemistry-Climate Model Initiative (CCMI), have been performed with version 2.51 of the European Centre for Medium-Range Weather Forecasts - Hamburg (ECHAM)/Modular Earth Submodel System (MESSy) Atmospheric Chemistry (EMAC) model: hindcast simulations (1950-2011), hindcast simulations with specified dynamics (1979-2013), i.e. nudged towards ERA-Interim reanalysis data, and combined hindcast and projection simulations (1950-2100). The manuscript summarizes the updates of the model system and details the different model set-ups used, including the on-line calculated diagnostics. Simulations have been performed with two different nudging set-ups, with and without interactive tropospheric aerosol, and with and without a coupled ocean model. Two different vertical resolutions have been applied. The on-line calculated sources and sinks of reactive species are quantified and a first evaluation of the simulation results from a global perspective is provided as a quality check of the data. The focus is on the intercomparison of the different model set-ups. The simulation data will become publicly available via CCMI and the Climate and Environmental Retrieval and Archive (CERA) database of the German Climate Computing Centre (DKRZ). This manuscript is intended to serve as an extensive reference for further analyses of the Earth System Chemistry integrated Modelling (ESCiMo) simulations.","author":[{"dropping-particle":"","family":"Jöckel","given":"P.","non-dropping-particle":"","parse-names":false,"suffix":""},{"dropping-particle":"","family":"Tost","given":"Holger","non-dropping-particle":"","parse-names":false,"suffix":""},{"dropping-particle":"","family":"Pozzer","given":"Andrea","non-dropping-particle":"","parse-names":false,"suffix":""},{"dropping-particle":"","family":"Kunze","given":"Markus","non-dropping-particle":"","parse-names":false,"suffix":""},{"dropping-particle":"","family":"Kirner","given":"Oliver","non-dropping-particle":"","parse-names":false,"suffix":""},{"dropping-particle":"","family":"Brenninkmeijer","given":"Carl A.M.","non-dropping-particle":"","parse-names":false,"suffix":""},{"dropping-particle":"","family":"Brinkop","given":"Sabine","non-dropping-particle":"","parse-names":false,"suffix":""},{"dropping-particle":"","family":"Cai","given":"Duy S.","non-dropping-particle":"","parse-names":false,"suffix":""},{"dropping-particle":"","family":"Dyroff","given":"Christoph","non-dropping-particle":"","parse-names":false,"suffix":""},{"dropping-particle":"","family":"Eckstein","given":"Johannes","non-dropping-particle":"","parse-names":false,"suffix":""},{"dropping-particle":"","family":"Frank","given":"Franziska","non-dropping-particle":"","parse-names":false,"suffix":""},{"dropping-particle":"","family":"Garny","given":"Hella","non-dropping-particle":"","parse-names":false,"suffix":""},{"dropping-particle":"","family":"Gottschaldt","given":"Klaus Dirk","non-dropping-particle":"","parse-names":false,"suffix":""},{"dropping-particle":"","family":"Graf","given":"Phoebe","non-dropping-particle":"","parse-names":false,"suffix":""},{"dropping-particle":"","family":"Grewe","given":"Volker","non-dropping-particle":"","parse-names":false,"suffix":""},{"dropping-particle":"","family":"Kerkweg","given":"Astrid","non-dropping-particle":"","parse-names":false,"suffix":""},{"dropping-particle":"","family":"Kern","given":"Bastian","non-dropping-particle":"","parse-names":false,"suffix":""},{"dropping-particle":"","family":"Matthes","given":"Sigrun","non-dropping-particle":"","parse-names":false,"suffix":""},{"dropping-particle":"","family":"Mertens","given":"Mariano","non-dropping-particle":"","parse-names":false,"suffix":""},{"dropping-particle":"","family":"Meul","given":"Stefanie","non-dropping-particle":"","parse-names":false,"suffix":""},{"dropping-particle":"","family":"Neumaier","given":"Marco","non-dropping-particle":"","parse-names":false,"suffix":""},{"dropping-particle":"","family":"Nützel","given":"Matthias","non-dropping-particle":"","parse-names":false,"suffix":""},{"dropping-particle":"","family":"Oberländer-Hayn","given":"Sophie","non-dropping-particle":"","parse-names":false,"suffix":""},{"dropping-particle":"","family":"Ruhnke","given":"Roland","non-dropping-particle":"","parse-names":false,"suffix":""},{"dropping-particle":"","family":"Runde","given":"Theresa","non-dropping-particle":"","parse-names":false,"suffix":""},{"dropping-particle":"","family":"Sander","given":"Rolf","non-dropping-particle":"","parse-names":false,"suffix":""},{"dropping-particle":"","family":"Scharffe","given":"Dieter","non-dropping-particle":"","parse-names":false,"suffix":""},{"dropping-particle":"","family":"Zahn","given":"Andreas","non-dropping-particle":"","parse-names":false,"suffix":""}],"container-title":"Geoscientific Model Development","id":"ITEM-1","issue":"3","issued":{"date-parts":[["2016"]]},"page":"1153-1200","title":"Earth System Chemistry integrated Modelling (ESCiMo) with the Modular Earth Submodel System (MESSy) version 2.51","type":"article-journal","volume":"9"},"uris":["http://www.mendeley.com/documents/?uuid=c300f256-09b6-4bb5-b34d-c64793c73876"]}],"mendeley":{"formattedCitation":"(Jöckel et al., 2016)","manualFormatting":"Jöckel et al. (2016)","plainTextFormattedCitation":"(Jöckel et al., 2016)","previouslyFormattedCitation":"(Jöckel et al., 2016)"},"properties":{"noteIndex":0},"schema":"https://github.com/citation-style-language/schema/raw/master/csl-citation.json"}</w:instrText>
            </w:r>
            <w:r w:rsidRPr="001946F8">
              <w:rPr>
                <w:rFonts w:asciiTheme="minorHAnsi" w:hAnsiTheme="minorHAnsi" w:cstheme="minorHAnsi"/>
                <w:noProof/>
                <w:kern w:val="2"/>
                <w:sz w:val="18"/>
                <w:szCs w:val="18"/>
              </w:rPr>
              <w:fldChar w:fldCharType="separate"/>
            </w:r>
            <w:r>
              <w:rPr>
                <w:rFonts w:asciiTheme="minorHAnsi" w:hAnsiTheme="minorHAnsi" w:cstheme="minorHAnsi"/>
                <w:noProof/>
                <w:kern w:val="2"/>
                <w:sz w:val="18"/>
                <w:szCs w:val="18"/>
              </w:rPr>
              <w:t>Jöckel et al. (2016)</w:t>
            </w:r>
            <w:r w:rsidRPr="001946F8">
              <w:rPr>
                <w:rFonts w:asciiTheme="minorHAnsi" w:hAnsiTheme="minorHAnsi" w:cstheme="minorHAnsi"/>
                <w:noProof/>
                <w:kern w:val="2"/>
                <w:sz w:val="18"/>
                <w:szCs w:val="18"/>
              </w:rPr>
              <w:fldChar w:fldCharType="end"/>
            </w:r>
          </w:p>
        </w:tc>
        <w:tc>
          <w:tcPr>
            <w:tcW w:w="848" w:type="dxa"/>
            <w:tcBorders>
              <w:top w:val="nil"/>
              <w:left w:val="nil"/>
              <w:bottom w:val="nil"/>
              <w:right w:val="nil"/>
            </w:tcBorders>
            <w:vAlign w:val="center"/>
          </w:tcPr>
          <w:p w14:paraId="7807130E" w14:textId="77777777" w:rsidR="00814700" w:rsidRDefault="006D0001">
            <w:pPr>
              <w:widowControl w:val="0"/>
              <w:jc w:val="center"/>
              <w:rPr>
                <w:rFonts w:asciiTheme="minorHAnsi" w:hAnsiTheme="minorHAnsi" w:cstheme="minorHAnsi"/>
                <w:sz w:val="18"/>
                <w:szCs w:val="18"/>
              </w:rPr>
            </w:pPr>
            <w:r>
              <w:rPr>
                <w:rFonts w:asciiTheme="minorHAnsi" w:eastAsia="Aptos" w:hAnsiTheme="minorHAnsi" w:cstheme="minorHAnsi"/>
                <w:kern w:val="2"/>
                <w:sz w:val="18"/>
                <w:szCs w:val="18"/>
              </w:rPr>
              <w:t>1</w:t>
            </w:r>
          </w:p>
        </w:tc>
        <w:tc>
          <w:tcPr>
            <w:tcW w:w="848" w:type="dxa"/>
            <w:tcBorders>
              <w:top w:val="nil"/>
              <w:left w:val="nil"/>
              <w:bottom w:val="nil"/>
              <w:right w:val="nil"/>
            </w:tcBorders>
            <w:vAlign w:val="center"/>
          </w:tcPr>
          <w:p w14:paraId="7807130F" w14:textId="77777777" w:rsidR="00814700" w:rsidRDefault="006D0001">
            <w:pPr>
              <w:widowControl w:val="0"/>
              <w:jc w:val="center"/>
              <w:rPr>
                <w:rFonts w:asciiTheme="minorHAnsi" w:hAnsiTheme="minorHAnsi" w:cstheme="minorHAnsi"/>
                <w:sz w:val="18"/>
                <w:szCs w:val="18"/>
              </w:rPr>
            </w:pPr>
            <w:r>
              <w:rPr>
                <w:rFonts w:asciiTheme="minorHAnsi" w:eastAsia="Aptos" w:hAnsiTheme="minorHAnsi" w:cstheme="minorHAnsi"/>
                <w:kern w:val="2"/>
                <w:sz w:val="18"/>
                <w:szCs w:val="18"/>
              </w:rPr>
              <w:t>3</w:t>
            </w:r>
          </w:p>
        </w:tc>
        <w:tc>
          <w:tcPr>
            <w:tcW w:w="709" w:type="dxa"/>
            <w:tcBorders>
              <w:top w:val="nil"/>
              <w:left w:val="nil"/>
              <w:bottom w:val="nil"/>
              <w:right w:val="nil"/>
            </w:tcBorders>
            <w:vAlign w:val="center"/>
          </w:tcPr>
          <w:p w14:paraId="78071310" w14:textId="77777777" w:rsidR="00814700" w:rsidRDefault="006D0001">
            <w:pPr>
              <w:widowControl w:val="0"/>
              <w:jc w:val="center"/>
              <w:rPr>
                <w:rFonts w:asciiTheme="minorHAnsi" w:hAnsiTheme="minorHAnsi" w:cstheme="minorHAnsi"/>
                <w:sz w:val="18"/>
                <w:szCs w:val="18"/>
              </w:rPr>
            </w:pPr>
            <w:r>
              <w:rPr>
                <w:rFonts w:ascii="Segoe UI Symbol" w:eastAsia="Aptos" w:hAnsi="Segoe UI Symbol" w:cs="Segoe UI Symbol"/>
                <w:kern w:val="2"/>
                <w:sz w:val="18"/>
                <w:szCs w:val="18"/>
              </w:rPr>
              <w:t>✔</w:t>
            </w:r>
          </w:p>
        </w:tc>
        <w:tc>
          <w:tcPr>
            <w:tcW w:w="709" w:type="dxa"/>
            <w:tcBorders>
              <w:top w:val="nil"/>
              <w:left w:val="nil"/>
              <w:bottom w:val="nil"/>
              <w:right w:val="nil"/>
            </w:tcBorders>
            <w:vAlign w:val="center"/>
          </w:tcPr>
          <w:p w14:paraId="78071311" w14:textId="77777777" w:rsidR="00814700" w:rsidRDefault="006D0001">
            <w:pPr>
              <w:widowControl w:val="0"/>
              <w:jc w:val="center"/>
              <w:rPr>
                <w:rFonts w:asciiTheme="minorHAnsi" w:hAnsiTheme="minorHAnsi" w:cstheme="minorHAnsi"/>
                <w:sz w:val="18"/>
                <w:szCs w:val="18"/>
              </w:rPr>
            </w:pPr>
            <w:r>
              <w:rPr>
                <w:rFonts w:ascii="Segoe UI Symbol" w:eastAsia="Aptos" w:hAnsi="Segoe UI Symbol" w:cs="Segoe UI Symbol"/>
                <w:kern w:val="2"/>
                <w:sz w:val="18"/>
                <w:szCs w:val="18"/>
              </w:rPr>
              <w:t>✔</w:t>
            </w:r>
          </w:p>
        </w:tc>
        <w:tc>
          <w:tcPr>
            <w:tcW w:w="571" w:type="dxa"/>
            <w:tcBorders>
              <w:top w:val="nil"/>
              <w:left w:val="nil"/>
              <w:bottom w:val="nil"/>
              <w:right w:val="nil"/>
            </w:tcBorders>
            <w:vAlign w:val="center"/>
          </w:tcPr>
          <w:p w14:paraId="78071312" w14:textId="77777777" w:rsidR="00814700" w:rsidRDefault="006D0001">
            <w:pPr>
              <w:widowControl w:val="0"/>
              <w:jc w:val="center"/>
              <w:rPr>
                <w:rFonts w:asciiTheme="minorHAnsi" w:hAnsiTheme="minorHAnsi" w:cstheme="minorHAnsi"/>
                <w:sz w:val="18"/>
                <w:szCs w:val="18"/>
              </w:rPr>
            </w:pPr>
            <w:r>
              <w:rPr>
                <w:rFonts w:ascii="Segoe UI Symbol" w:eastAsia="Aptos" w:hAnsi="Segoe UI Symbol" w:cs="Segoe UI Symbol"/>
                <w:kern w:val="2"/>
                <w:sz w:val="18"/>
                <w:szCs w:val="18"/>
              </w:rPr>
              <w:t>✔</w:t>
            </w:r>
          </w:p>
        </w:tc>
      </w:tr>
      <w:tr w:rsidR="00814700" w14:paraId="7807131B" w14:textId="77777777" w:rsidTr="005E5454">
        <w:trPr>
          <w:trHeight w:val="283"/>
        </w:trPr>
        <w:tc>
          <w:tcPr>
            <w:tcW w:w="2019" w:type="dxa"/>
            <w:tcBorders>
              <w:top w:val="nil"/>
              <w:left w:val="nil"/>
              <w:bottom w:val="nil"/>
              <w:right w:val="nil"/>
            </w:tcBorders>
            <w:vAlign w:val="center"/>
          </w:tcPr>
          <w:p w14:paraId="78071314" w14:textId="77777777" w:rsidR="00814700" w:rsidRDefault="006D0001">
            <w:pPr>
              <w:widowControl w:val="0"/>
              <w:rPr>
                <w:rFonts w:asciiTheme="minorHAnsi" w:hAnsiTheme="minorHAnsi" w:cstheme="minorHAnsi"/>
                <w:sz w:val="18"/>
                <w:szCs w:val="18"/>
              </w:rPr>
            </w:pPr>
            <w:r>
              <w:rPr>
                <w:rFonts w:asciiTheme="minorHAnsi" w:eastAsia="Aptos" w:hAnsiTheme="minorHAnsi" w:cstheme="minorHAnsi"/>
                <w:kern w:val="2"/>
                <w:sz w:val="18"/>
                <w:szCs w:val="18"/>
              </w:rPr>
              <w:t>GEOSCCM</w:t>
            </w:r>
          </w:p>
        </w:tc>
        <w:tc>
          <w:tcPr>
            <w:tcW w:w="3656" w:type="dxa"/>
            <w:tcBorders>
              <w:top w:val="nil"/>
              <w:left w:val="nil"/>
              <w:bottom w:val="nil"/>
              <w:right w:val="nil"/>
            </w:tcBorders>
            <w:vAlign w:val="center"/>
          </w:tcPr>
          <w:p w14:paraId="78071315" w14:textId="78104C41" w:rsidR="00814700" w:rsidRPr="001946F8" w:rsidRDefault="006D0001">
            <w:pPr>
              <w:widowControl w:val="0"/>
              <w:jc w:val="center"/>
              <w:rPr>
                <w:rFonts w:asciiTheme="minorHAnsi" w:hAnsiTheme="minorHAnsi" w:cstheme="minorHAnsi"/>
                <w:noProof/>
                <w:kern w:val="2"/>
                <w:sz w:val="18"/>
                <w:szCs w:val="18"/>
              </w:rPr>
            </w:pPr>
            <w:r w:rsidRPr="001946F8">
              <w:rPr>
                <w:rFonts w:asciiTheme="minorHAnsi" w:hAnsiTheme="minorHAnsi" w:cstheme="minorHAnsi"/>
                <w:noProof/>
                <w:kern w:val="2"/>
                <w:sz w:val="18"/>
                <w:szCs w:val="18"/>
              </w:rPr>
              <w:fldChar w:fldCharType="begin" w:fldLock="1"/>
            </w:r>
            <w:r w:rsidR="00731574">
              <w:rPr>
                <w:rFonts w:asciiTheme="minorHAnsi" w:hAnsiTheme="minorHAnsi" w:cstheme="minorHAnsi"/>
                <w:noProof/>
                <w:kern w:val="2"/>
                <w:sz w:val="18"/>
                <w:szCs w:val="18"/>
              </w:rPr>
              <w:instrText xml:space="preserve">ADDIN CSL_CITATION {"citationItems":[{"id":"ITEM-1","itemData":{"DOI":"10.1029/2012JD018546","ISSN":"21698996","abstract":"The El Niño-Southern Oscillation (ENSO) is the dominant mode of inter-annual variability in the tropical ocean and troposphere. Its impact on tropospheric circulation causes significant changes to the distribution of ozone. Here we derive the lower tropospheric to lower stratospheric ozone response to ENSO from observations by the Tropospheric Emission Spectrometer (TES) and the Microwave Limb Sounder (MLS) instruments, both on the Aura satellite, and compare to the simulated response from the Goddard Earth Observing System Chemistry-Climate Model (GEOSCCM). Measurement ozone sensitivity is derived using multiple linear regression to include variations from ENSO as well as from the first two empirical orthogonal functions of the quasi-biennial oscillation. Both measurements and simulation show features such as the negative ozone sensitivity to ENSO over the tropospheric tropical Pacific and positive ozone sensitivity over Indonesia and the Indian Ocean region. Ozone sensitivity to ENSO is generally positive over the midlatitude lower stratosphere, with greater sensitivity in the Northern Hemisphere. GEOSCCM reproduces both the overall pattern and magnitude of the ozone response to ENSO obtained from observations. We demonstrate the combined use of ozone measurements from MLS and TES to quantify the lower atmospheric ozone response to ENSO and suggest its possible usefulness in evaluating chemistry-climate models. © 2012. American Geophysical Union.","author":[{"dropping-particle":"","family":"Oman","given":"L. D.","non-dropping-particle":"","parse-names":false,"suffix":""},{"dropping-particle":"","family":"Douglass","given":"Anne R.","non-dropping-particle":"","parse-names":false,"suffix":""},{"dropping-particle":"","family":"Ziemke","given":"Jerry R.","non-dropping-particle":"","parse-names":false,"suffix":""},{"dropping-particle":"","family":"Rodriguez","given":"Jose M.","non-dropping-particle":"","parse-names":false,"suffix":""},{"dropping-particle":"","family":"Waugh","given":"Darryn W.","non-dropping-particle":"","parse-names":false,"suffix":""},{"dropping-particle":"","family":"Nielsen","given":"J. Eric","non-dropping-particle":"","parse-names":false,"suffix":""}],"container-title":"Journal of Geophysical Research Atmospheres","id":"ITEM-1","issue":"2","issued":{"date-parts":[["2013"]]},"page":"965-976","title":"The ozone response to enso in aura satellite measurements and a chemistry-climate simulation","type":"article-journal","volume":"118"},"uris":["http://www.mendeley.com/documents/?uuid=960cef1c-bbab-4d91-a41f-1d7939ff604a"]},{"id":"ITEM-2","itemData":{"DOI":"10.1029/2022JD037170","ISSN":"21698996","abstract":"Tropospheric ozone is a key chemically active trace gas and radiative forcer. Understanding its long-term changes is important to properly interpret observed changes in total column ozone and stratospheric ozone recovery. We investigate global and regional tropospheric ozone changes and their impact on total column ozone during 2005–2018 using satellite measurements and the NASA Goddard Earth Observing System Chemistry Climate Model (GEOSCCM). Global total ozone increased </w:instrText>
            </w:r>
            <w:r w:rsidR="00731574">
              <w:rPr>
                <w:rFonts w:ascii="Cambria Math" w:hAnsi="Cambria Math" w:cs="Cambria Math"/>
                <w:noProof/>
                <w:kern w:val="2"/>
                <w:sz w:val="18"/>
                <w:szCs w:val="18"/>
              </w:rPr>
              <w:instrText>∼</w:instrText>
            </w:r>
            <w:r w:rsidR="00731574">
              <w:rPr>
                <w:rFonts w:asciiTheme="minorHAnsi" w:hAnsiTheme="minorHAnsi" w:cstheme="minorHAnsi"/>
                <w:noProof/>
                <w:kern w:val="2"/>
                <w:sz w:val="18"/>
                <w:szCs w:val="18"/>
              </w:rPr>
              <w:instrText>4 DU during 2005</w:instrText>
            </w:r>
            <w:r w:rsidR="00731574">
              <w:rPr>
                <w:rFonts w:ascii="Calibri" w:hAnsi="Calibri" w:cs="Calibri"/>
                <w:noProof/>
                <w:kern w:val="2"/>
                <w:sz w:val="18"/>
                <w:szCs w:val="18"/>
              </w:rPr>
              <w:instrText>–</w:instrText>
            </w:r>
            <w:r w:rsidR="00731574">
              <w:rPr>
                <w:rFonts w:asciiTheme="minorHAnsi" w:hAnsiTheme="minorHAnsi" w:cstheme="minorHAnsi"/>
                <w:noProof/>
                <w:kern w:val="2"/>
                <w:sz w:val="18"/>
                <w:szCs w:val="18"/>
              </w:rPr>
              <w:instrText>2018 (+0.28</w:instrText>
            </w:r>
            <w:r w:rsidR="00731574">
              <w:rPr>
                <w:rFonts w:ascii="Calibri" w:hAnsi="Calibri" w:cs="Calibri"/>
                <w:noProof/>
                <w:kern w:val="2"/>
                <w:sz w:val="18"/>
                <w:szCs w:val="18"/>
              </w:rPr>
              <w:instrText> ± </w:instrText>
            </w:r>
            <w:r w:rsidR="00731574">
              <w:rPr>
                <w:rFonts w:asciiTheme="minorHAnsi" w:hAnsiTheme="minorHAnsi" w:cstheme="minorHAnsi"/>
                <w:noProof/>
                <w:kern w:val="2"/>
                <w:sz w:val="18"/>
                <w:szCs w:val="18"/>
              </w:rPr>
              <w:instrText>0.06 DU</w:instrText>
            </w:r>
            <w:r w:rsidR="00731574">
              <w:rPr>
                <w:rFonts w:ascii="Calibri" w:hAnsi="Calibri" w:cs="Calibri"/>
                <w:noProof/>
                <w:kern w:val="2"/>
                <w:sz w:val="18"/>
                <w:szCs w:val="18"/>
              </w:rPr>
              <w:instrText> </w:instrText>
            </w:r>
            <w:r w:rsidR="00731574">
              <w:rPr>
                <w:rFonts w:asciiTheme="minorHAnsi" w:hAnsiTheme="minorHAnsi" w:cstheme="minorHAnsi"/>
                <w:noProof/>
                <w:kern w:val="2"/>
                <w:sz w:val="18"/>
                <w:szCs w:val="18"/>
              </w:rPr>
              <w:instrText>yr</w:instrText>
            </w:r>
            <w:r w:rsidR="00731574">
              <w:rPr>
                <w:rFonts w:ascii="Calibri" w:hAnsi="Calibri" w:cs="Calibri"/>
                <w:noProof/>
                <w:kern w:val="2"/>
                <w:sz w:val="18"/>
                <w:szCs w:val="18"/>
              </w:rPr>
              <w:instrText>−</w:instrText>
            </w:r>
            <w:r w:rsidR="00731574">
              <w:rPr>
                <w:rFonts w:asciiTheme="minorHAnsi" w:hAnsiTheme="minorHAnsi" w:cstheme="minorHAnsi"/>
                <w:noProof/>
                <w:kern w:val="2"/>
                <w:sz w:val="18"/>
                <w:szCs w:val="18"/>
              </w:rPr>
              <w:instrText>1) as inferred from Ozone Monitoring Instrument (OMI). Consistent with previous studies, the OMI/MLS (Microwave Limb Sounder) derived global tropospheric ozone increased 2.2 DU during this period, 60% of the global total column ozone increase. While GEOSCCM reproduces reasonably well the total column increase, it overestimates the stratospheric ozone increase and underestimates the tropospheric ozone increase. We find that the tropospheric ozone increases are likely attributed to a growth of regional emissions of key ozone precursors, especially volatile organic compounds as reflected by the positive trends in formaldehyde (CH2O). Although carbon monoxide (CO) has been decreasing everywhere around the globe, it has relatively small impact on the tropospheric ozone trend. Trends in nitrogen dioxide (NO2) vary with regions, and these changes counteract or reinforce the positive effects of CH2O on the tropospheric ozone increases. The model underestimates the observed tropospheric ozone increase, especially over the US and Europe, because of underestimated NO2 emissions changes used in the model. The stratospheric ozone contribution increases during this period in the Northern Hemisphere and contributes to the tropospheric ozone increase.","author":[{"dropping-particle":"","family":"Liu","given":"Junhua","non-dropping-particle":"","parse-names":false,"suffix":""},{"dropping-particle":"","family":"Strode","given":"Sarah A.","non-dropping-particle":"","parse-names":false,"suffix":""},{"dropping-particle":"","family":"Liang","given":"Qing","non-dropping-particle":"","parse-names":false,"suffix":""},{"dropping-particle":"","family":"Oman","given":"Luke D.","non-dropping-particle":"","parse-names":false,"suffix":""},{"dropping-particle":"","family":"Colarco","given":"Peter R.","non-dropping-particle":"","parse-names":false,"suffix":""},{"dropping-particle":"","family":"Fleming","given":"Eric L.","non-dropping-particle":"","parse-names":false,"suffix":""},{"dropping-particle":"","family":"Manyin","given":"Michael E.","non-dropping-particle":"","parse-names":false,"suffix":""},{"dropping-particle":"","family":"Douglass","given":"Anne R.","non-dropping-particle":"","parse-names":false,"suffix":""},{"dropping-particle":"","family":"Ziemke","given":"Jerald R.","non-dropping-particle":"","parse-names":false,"suffix":""},{"dropping-particle":"","family":"Lamsal","given":"Lok N.","non-dropping-particle":"","parse-names":false,"suffix":""},{"dropping-particle":"","family":"Li","given":"Can","non-dropping-particle":"","parse-names":false,"suffix":""}],"container-title":"Journal of Geophysical Research: Atmospheres","id":"ITEM-2","issue":"22","issued":{"date-parts":[["2022"]]},"title":"Change in Tropospheric Ozone in the Recent Decades and Its Contribution to Global Total Ozone","type":"article-journal","volume":"127"},"uris":["http://www.mendeley.com/documents/?uuid=645631d9-29e8-4e4e-9599-25e2ad2a9ee4"]}],"mendeley":{"formattedCitation":"(Liu et al., 2022; Oman et al., 2013)","manualFormatting":"Liu et al.(2022); Oman et al. (2013)","plainTextFormattedCitation":"(Liu et al., 2022; Oman et al., 2013)","previouslyFormattedCitation":"(Liu et al., 2022; Oman et al., 2013)"},"properties":{"noteIndex":0},"schema":"https://github.com/citation-style-language/schema/raw/master/csl-citation.json"}</w:instrText>
            </w:r>
            <w:r w:rsidRPr="001946F8">
              <w:rPr>
                <w:rFonts w:asciiTheme="minorHAnsi" w:hAnsiTheme="minorHAnsi" w:cstheme="minorHAnsi"/>
                <w:noProof/>
                <w:kern w:val="2"/>
                <w:sz w:val="18"/>
                <w:szCs w:val="18"/>
              </w:rPr>
              <w:fldChar w:fldCharType="separate"/>
            </w:r>
            <w:r>
              <w:rPr>
                <w:rFonts w:asciiTheme="minorHAnsi" w:hAnsiTheme="minorHAnsi" w:cstheme="minorHAnsi"/>
                <w:noProof/>
                <w:kern w:val="2"/>
                <w:sz w:val="18"/>
                <w:szCs w:val="18"/>
              </w:rPr>
              <w:t>Liu et al.(2022)</w:t>
            </w:r>
            <w:r w:rsidR="00443F93">
              <w:rPr>
                <w:rFonts w:asciiTheme="minorHAnsi" w:hAnsiTheme="minorHAnsi" w:cstheme="minorHAnsi"/>
                <w:noProof/>
                <w:kern w:val="2"/>
                <w:sz w:val="18"/>
                <w:szCs w:val="18"/>
              </w:rPr>
              <w:t>;</w:t>
            </w:r>
            <w:r>
              <w:rPr>
                <w:rFonts w:asciiTheme="minorHAnsi" w:hAnsiTheme="minorHAnsi" w:cstheme="minorHAnsi"/>
                <w:noProof/>
                <w:kern w:val="2"/>
                <w:sz w:val="18"/>
                <w:szCs w:val="18"/>
              </w:rPr>
              <w:t xml:space="preserve"> Oman et al. (2013)</w:t>
            </w:r>
            <w:r w:rsidRPr="001946F8">
              <w:rPr>
                <w:rFonts w:asciiTheme="minorHAnsi" w:hAnsiTheme="minorHAnsi" w:cstheme="minorHAnsi"/>
                <w:noProof/>
                <w:kern w:val="2"/>
                <w:sz w:val="18"/>
                <w:szCs w:val="18"/>
              </w:rPr>
              <w:fldChar w:fldCharType="end"/>
            </w:r>
          </w:p>
        </w:tc>
        <w:tc>
          <w:tcPr>
            <w:tcW w:w="848" w:type="dxa"/>
            <w:tcBorders>
              <w:top w:val="nil"/>
              <w:left w:val="nil"/>
              <w:bottom w:val="nil"/>
              <w:right w:val="nil"/>
            </w:tcBorders>
            <w:vAlign w:val="center"/>
          </w:tcPr>
          <w:p w14:paraId="78071316" w14:textId="77777777" w:rsidR="00814700" w:rsidRDefault="006D0001">
            <w:pPr>
              <w:widowControl w:val="0"/>
              <w:jc w:val="center"/>
              <w:rPr>
                <w:rFonts w:asciiTheme="minorHAnsi" w:hAnsiTheme="minorHAnsi" w:cstheme="minorHAnsi"/>
                <w:sz w:val="18"/>
                <w:szCs w:val="18"/>
              </w:rPr>
            </w:pPr>
            <w:r>
              <w:rPr>
                <w:rFonts w:asciiTheme="minorHAnsi" w:eastAsia="Aptos" w:hAnsiTheme="minorHAnsi" w:cstheme="minorHAnsi"/>
                <w:kern w:val="2"/>
                <w:sz w:val="18"/>
                <w:szCs w:val="18"/>
              </w:rPr>
              <w:t>1</w:t>
            </w:r>
          </w:p>
        </w:tc>
        <w:tc>
          <w:tcPr>
            <w:tcW w:w="848" w:type="dxa"/>
            <w:tcBorders>
              <w:top w:val="nil"/>
              <w:left w:val="nil"/>
              <w:bottom w:val="nil"/>
              <w:right w:val="nil"/>
            </w:tcBorders>
            <w:vAlign w:val="center"/>
          </w:tcPr>
          <w:p w14:paraId="78071317" w14:textId="77777777" w:rsidR="00814700" w:rsidRDefault="006D0001">
            <w:pPr>
              <w:widowControl w:val="0"/>
              <w:jc w:val="center"/>
              <w:rPr>
                <w:rFonts w:asciiTheme="minorHAnsi" w:hAnsiTheme="minorHAnsi" w:cstheme="minorHAnsi"/>
                <w:sz w:val="18"/>
                <w:szCs w:val="18"/>
              </w:rPr>
            </w:pPr>
            <w:r>
              <w:rPr>
                <w:rFonts w:asciiTheme="minorHAnsi" w:eastAsia="Aptos" w:hAnsiTheme="minorHAnsi" w:cstheme="minorHAnsi"/>
                <w:kern w:val="2"/>
                <w:sz w:val="18"/>
                <w:szCs w:val="18"/>
              </w:rPr>
              <w:t>----</w:t>
            </w:r>
          </w:p>
        </w:tc>
        <w:tc>
          <w:tcPr>
            <w:tcW w:w="709" w:type="dxa"/>
            <w:tcBorders>
              <w:top w:val="nil"/>
              <w:left w:val="nil"/>
              <w:bottom w:val="nil"/>
              <w:right w:val="nil"/>
            </w:tcBorders>
            <w:vAlign w:val="center"/>
          </w:tcPr>
          <w:p w14:paraId="78071318" w14:textId="77777777" w:rsidR="00814700" w:rsidRDefault="006D0001">
            <w:pPr>
              <w:widowControl w:val="0"/>
              <w:jc w:val="center"/>
              <w:rPr>
                <w:rFonts w:asciiTheme="minorHAnsi" w:hAnsiTheme="minorHAnsi" w:cstheme="minorHAnsi"/>
                <w:sz w:val="18"/>
                <w:szCs w:val="18"/>
              </w:rPr>
            </w:pPr>
            <w:r>
              <w:rPr>
                <w:rFonts w:ascii="Segoe UI Symbol" w:eastAsia="Aptos" w:hAnsi="Segoe UI Symbol" w:cs="Segoe UI Symbol"/>
                <w:kern w:val="2"/>
                <w:sz w:val="18"/>
                <w:szCs w:val="18"/>
              </w:rPr>
              <w:t>✔</w:t>
            </w:r>
          </w:p>
        </w:tc>
        <w:tc>
          <w:tcPr>
            <w:tcW w:w="709" w:type="dxa"/>
            <w:tcBorders>
              <w:top w:val="nil"/>
              <w:left w:val="nil"/>
              <w:bottom w:val="nil"/>
              <w:right w:val="nil"/>
            </w:tcBorders>
          </w:tcPr>
          <w:p w14:paraId="78071319" w14:textId="77777777" w:rsidR="00814700" w:rsidRDefault="006D0001">
            <w:pPr>
              <w:widowControl w:val="0"/>
              <w:jc w:val="center"/>
              <w:rPr>
                <w:rFonts w:asciiTheme="minorHAnsi" w:hAnsiTheme="minorHAnsi" w:cstheme="minorHAnsi"/>
                <w:sz w:val="18"/>
                <w:szCs w:val="18"/>
              </w:rPr>
            </w:pPr>
            <w:r>
              <w:rPr>
                <w:rFonts w:asciiTheme="minorHAnsi" w:eastAsia="Aptos" w:hAnsiTheme="minorHAnsi" w:cstheme="minorHAnsi"/>
                <w:kern w:val="2"/>
                <w:sz w:val="18"/>
                <w:szCs w:val="18"/>
              </w:rPr>
              <w:t>----</w:t>
            </w:r>
          </w:p>
        </w:tc>
        <w:tc>
          <w:tcPr>
            <w:tcW w:w="571" w:type="dxa"/>
            <w:tcBorders>
              <w:top w:val="nil"/>
              <w:left w:val="nil"/>
              <w:bottom w:val="nil"/>
              <w:right w:val="nil"/>
            </w:tcBorders>
            <w:vAlign w:val="center"/>
          </w:tcPr>
          <w:p w14:paraId="7807131A" w14:textId="77777777" w:rsidR="00814700" w:rsidRDefault="006D0001">
            <w:pPr>
              <w:widowControl w:val="0"/>
              <w:jc w:val="center"/>
              <w:rPr>
                <w:rFonts w:asciiTheme="minorHAnsi" w:hAnsiTheme="minorHAnsi" w:cstheme="minorHAnsi"/>
                <w:sz w:val="18"/>
                <w:szCs w:val="18"/>
              </w:rPr>
            </w:pPr>
            <w:r>
              <w:rPr>
                <w:rFonts w:ascii="Segoe UI Symbol" w:eastAsia="Aptos" w:hAnsi="Segoe UI Symbol" w:cs="Segoe UI Symbol"/>
                <w:kern w:val="2"/>
                <w:sz w:val="18"/>
                <w:szCs w:val="18"/>
              </w:rPr>
              <w:t>✔</w:t>
            </w:r>
          </w:p>
        </w:tc>
      </w:tr>
      <w:tr w:rsidR="00814700" w14:paraId="78071323" w14:textId="77777777" w:rsidTr="005E5454">
        <w:trPr>
          <w:trHeight w:val="283"/>
        </w:trPr>
        <w:tc>
          <w:tcPr>
            <w:tcW w:w="2019" w:type="dxa"/>
            <w:tcBorders>
              <w:top w:val="nil"/>
              <w:left w:val="nil"/>
              <w:bottom w:val="nil"/>
              <w:right w:val="nil"/>
            </w:tcBorders>
            <w:vAlign w:val="center"/>
          </w:tcPr>
          <w:p w14:paraId="7807131C" w14:textId="51B7652A" w:rsidR="00814700" w:rsidRDefault="003E3ED1">
            <w:pPr>
              <w:widowControl w:val="0"/>
              <w:rPr>
                <w:rFonts w:asciiTheme="minorHAnsi" w:hAnsiTheme="minorHAnsi" w:cstheme="minorHAnsi"/>
                <w:sz w:val="18"/>
                <w:szCs w:val="18"/>
              </w:rPr>
            </w:pPr>
            <w:r w:rsidRPr="003E3ED1">
              <w:rPr>
                <w:rFonts w:asciiTheme="minorHAnsi" w:eastAsia="Aptos" w:hAnsiTheme="minorHAnsi" w:cstheme="minorHAnsi"/>
                <w:kern w:val="2"/>
                <w:sz w:val="18"/>
                <w:szCs w:val="18"/>
                <w:lang w:val="en-US"/>
              </w:rPr>
              <w:t>LMDz6.2-LR-REPROBUS</w:t>
            </w:r>
          </w:p>
        </w:tc>
        <w:tc>
          <w:tcPr>
            <w:tcW w:w="3656" w:type="dxa"/>
            <w:tcBorders>
              <w:top w:val="nil"/>
              <w:left w:val="nil"/>
              <w:bottom w:val="nil"/>
              <w:right w:val="nil"/>
            </w:tcBorders>
            <w:vAlign w:val="center"/>
          </w:tcPr>
          <w:p w14:paraId="7807131D" w14:textId="61F55DB7" w:rsidR="00814700" w:rsidRPr="001946F8" w:rsidRDefault="00387074" w:rsidP="001946F8">
            <w:pPr>
              <w:widowControl w:val="0"/>
              <w:jc w:val="center"/>
              <w:rPr>
                <w:rFonts w:asciiTheme="minorHAnsi" w:hAnsiTheme="minorHAnsi" w:cstheme="minorHAnsi"/>
                <w:noProof/>
                <w:kern w:val="2"/>
                <w:sz w:val="18"/>
                <w:szCs w:val="18"/>
              </w:rPr>
            </w:pPr>
            <w:r>
              <w:rPr>
                <w:rFonts w:asciiTheme="minorHAnsi" w:hAnsiTheme="minorHAnsi" w:cstheme="minorHAnsi"/>
                <w:noProof/>
                <w:kern w:val="2"/>
                <w:sz w:val="18"/>
                <w:szCs w:val="18"/>
              </w:rPr>
              <w:fldChar w:fldCharType="begin" w:fldLock="1"/>
            </w:r>
            <w:r w:rsidR="00153C08">
              <w:rPr>
                <w:rFonts w:asciiTheme="minorHAnsi" w:hAnsiTheme="minorHAnsi" w:cstheme="minorHAnsi"/>
                <w:noProof/>
                <w:kern w:val="2"/>
                <w:sz w:val="18"/>
                <w:szCs w:val="18"/>
              </w:rPr>
              <w:instrText>ADDIN CSL_CITATION {"citationItems":[{"id":"ITEM-1","itemData":{"DOI":"10.1016/j.jastp.2011.11.008","ISSN":"13646826","abstract":"The impact of the 11-year solar cycle on the stratosphere and, in particular, on the polar regions is investigated using simulations from the Chemistry Climate Model (CCM) LMDz-Reprobus. The annual solar signal clearly shows a stratospheric response largely driven by radiative and photochemical processes, especially in the upper stratosphere. A month-by-months analysis suggests that dynamical feedbacks play an important role in driving the stratospheric response on short timescales. CCM outputs on a 10 days frequency indicate how, in the northern hemisphere, changes in solar heating in the winter polar stratosphere may influence the upward propagation of planetary waves and thus their deposition of momentum, ultimately modifying the strength of the mean stratospheric overtuning circulation at middle and high latitudes. The model results emphasize that the main temperature and wind responses in the northern hemisphere can be explained by a different timing in the occurrence of Sudden Stratospheric Warmings (SSWs) that are caused by small changes in planetary wave propagation depending on solar conditions. The differences between simulations forced by different solar conditions indicate successive positive and negative responses during the course of the winter. The solar minimum simulation generally indicates a slightly stronger polar vortex early in the winter while the solar maximum simulation experiences more early SSWs with a stronger wave-mean flow interaction and reduced zonal wind at mid-latitudes in the upper stratosphere. The opposite response is observed during mid-winter, in February, with more SSWs simulated for solar minimum conditions while solar maximum conditions are associated with a damped planetary wave activity and a reinforced vortex after the initial stratospheric warming period. In late winter, the response is again reversed, as noticed in the temperature differences, with major SSW mostly observed in the solar maximum simulation and less intense final warmings simulated for solar minimum conditions. Due to the non-zonal nature of SSWs, the stratospheric response presents high regional variability during the northern hemisphere winter. As a result, successive positive and negative responses are observed during the course of the winter. © 2011 Elsevier Ltd.","author":[{"dropping-particle":"","family":"Marchand","given":"M.","non-dropping-particle":"","parse-names":false,"suffix":""},{"dropping-particle":"","family":"Keckhut","given":"P.","non-dropping-particle":"","parse-names":false,"suffix":""},{"dropping-particle":"","family":"Lefebvre","given":"S.","non-dropping-particle":"","parse-names":false,"suffix":""},{"dropping-particle":"","family":"Claud","given":"C.","non-dropping-particle":"","parse-names":false,"suffix":""},{"dropping-particle":"","family":"Cugnet","given":"D.","non-dropping-particle":"","parse-names":false,"suffix":""},{"dropping-particle":"","family":"Hauchecorne","given":"A.","non-dropping-particle":"","parse-names":false,"suffix":""},{"dropping-particle":"","family":"Lefèvre","given":"F.","non-dropping-particle":"","parse-names":false,"suffix":""},{"dropping-particle":"","family":"Lefebvre","given":"M. P.","non-dropping-particle":"","parse-names":false,"suffix":""},{"dropping-particle":"","family":"Jumelet","given":"J.","non-dropping-particle":"","parse-names":false,"suffix":""},{"dropping-particle":"","family":"Lott","given":"F.","non-dropping-particle":"","parse-names":false,"suffix":""},{"dropping-particle":"","family":"Hourdin","given":"F.","non-dropping-particle":"","parse-names":false,"suffix":""},{"dropping-particle":"","family":"Thuillier","given":"G.","non-dropping-particle":"","parse-names":false,"suffix":""},{"dropping-particle":"","family":"Poulain","given":"V.","non-dropping-particle":"","parse-names":false,"suffix":""},{"dropping-particle":"","family":"Bossay","given":"S.","non-dropping-particle":"","parse-names":false,"suffix":""},{"dropping-particle":"","family":"Lemennais","given":"P.","non-dropping-particle":"","parse-names":false,"suffix":""},{"dropping-particle":"","family":"David","given":"C.","non-dropping-particle":"","parse-names":false,"suffix":""},{"dropping-particle":"","family":"Bekki","given":"S.","non-dropping-particle":"","parse-names":false,"suffix":""}],"container-title":"Journal of Atmospheric and Solar-Terrestrial Physics","id":"ITEM-1","issued":{"date-parts":[["2012"]]},"page":"147-160","title":"Dynamical amplification of the stratospheric solar response simulated with the Chemistry-Climate Model LMDz-Reprobus","type":"article-journal","volume":"75-76"},"uris":["http://www.mendeley.com/documents/?uuid=279da5da-7869-4a57-9840-2a1d346a4e62"]}],"mendeley":{"formattedCitation":"(Marchand et al., 2012)","manualFormatting":"Marchand et al. (2012)","plainTextFormattedCitation":"(Marchand et al., 2012)","previouslyFormattedCitation":"(Marchand et al., 2012)"},"properties":{"noteIndex":0},"schema":"https://github.com/citation-style-language/schema/raw/master/csl-citation.json"}</w:instrText>
            </w:r>
            <w:r>
              <w:rPr>
                <w:rFonts w:asciiTheme="minorHAnsi" w:hAnsiTheme="minorHAnsi" w:cstheme="minorHAnsi"/>
                <w:noProof/>
                <w:kern w:val="2"/>
                <w:sz w:val="18"/>
                <w:szCs w:val="18"/>
              </w:rPr>
              <w:fldChar w:fldCharType="separate"/>
            </w:r>
            <w:r w:rsidRPr="00387074">
              <w:rPr>
                <w:rFonts w:asciiTheme="minorHAnsi" w:hAnsiTheme="minorHAnsi" w:cstheme="minorHAnsi"/>
                <w:noProof/>
                <w:kern w:val="2"/>
                <w:sz w:val="18"/>
                <w:szCs w:val="18"/>
              </w:rPr>
              <w:t xml:space="preserve">Marchand et al. </w:t>
            </w:r>
            <w:r w:rsidR="00153C08">
              <w:rPr>
                <w:rFonts w:asciiTheme="minorHAnsi" w:hAnsiTheme="minorHAnsi" w:cstheme="minorHAnsi"/>
                <w:noProof/>
                <w:kern w:val="2"/>
                <w:sz w:val="18"/>
                <w:szCs w:val="18"/>
              </w:rPr>
              <w:t>(</w:t>
            </w:r>
            <w:r w:rsidRPr="00387074">
              <w:rPr>
                <w:rFonts w:asciiTheme="minorHAnsi" w:hAnsiTheme="minorHAnsi" w:cstheme="minorHAnsi"/>
                <w:noProof/>
                <w:kern w:val="2"/>
                <w:sz w:val="18"/>
                <w:szCs w:val="18"/>
              </w:rPr>
              <w:t>2012)</w:t>
            </w:r>
            <w:r>
              <w:rPr>
                <w:rFonts w:asciiTheme="minorHAnsi" w:hAnsiTheme="minorHAnsi" w:cstheme="minorHAnsi"/>
                <w:noProof/>
                <w:kern w:val="2"/>
                <w:sz w:val="18"/>
                <w:szCs w:val="18"/>
              </w:rPr>
              <w:fldChar w:fldCharType="end"/>
            </w:r>
          </w:p>
        </w:tc>
        <w:tc>
          <w:tcPr>
            <w:tcW w:w="848" w:type="dxa"/>
            <w:tcBorders>
              <w:top w:val="nil"/>
              <w:left w:val="nil"/>
              <w:bottom w:val="nil"/>
              <w:right w:val="nil"/>
            </w:tcBorders>
            <w:vAlign w:val="center"/>
          </w:tcPr>
          <w:p w14:paraId="7807131E" w14:textId="77777777" w:rsidR="00814700" w:rsidRDefault="006D0001">
            <w:pPr>
              <w:widowControl w:val="0"/>
              <w:jc w:val="center"/>
              <w:rPr>
                <w:rFonts w:asciiTheme="minorHAnsi" w:hAnsiTheme="minorHAnsi" w:cstheme="minorHAnsi"/>
                <w:sz w:val="18"/>
                <w:szCs w:val="18"/>
              </w:rPr>
            </w:pPr>
            <w:r>
              <w:rPr>
                <w:rFonts w:asciiTheme="minorHAnsi" w:eastAsia="Aptos" w:hAnsiTheme="minorHAnsi" w:cstheme="minorHAnsi"/>
                <w:kern w:val="2"/>
                <w:sz w:val="18"/>
                <w:szCs w:val="18"/>
              </w:rPr>
              <w:t>1</w:t>
            </w:r>
          </w:p>
        </w:tc>
        <w:tc>
          <w:tcPr>
            <w:tcW w:w="848" w:type="dxa"/>
            <w:tcBorders>
              <w:top w:val="nil"/>
              <w:left w:val="nil"/>
              <w:bottom w:val="nil"/>
              <w:right w:val="nil"/>
            </w:tcBorders>
            <w:vAlign w:val="center"/>
          </w:tcPr>
          <w:p w14:paraId="7807131F" w14:textId="77777777" w:rsidR="00814700" w:rsidRDefault="006D0001">
            <w:pPr>
              <w:widowControl w:val="0"/>
              <w:jc w:val="center"/>
              <w:rPr>
                <w:rFonts w:asciiTheme="minorHAnsi" w:hAnsiTheme="minorHAnsi" w:cstheme="minorHAnsi"/>
                <w:sz w:val="18"/>
                <w:szCs w:val="18"/>
              </w:rPr>
            </w:pPr>
            <w:r>
              <w:rPr>
                <w:rFonts w:asciiTheme="minorHAnsi" w:eastAsia="Aptos" w:hAnsiTheme="minorHAnsi" w:cstheme="minorHAnsi"/>
                <w:kern w:val="2"/>
                <w:sz w:val="18"/>
                <w:szCs w:val="18"/>
              </w:rPr>
              <w:t>----</w:t>
            </w:r>
          </w:p>
        </w:tc>
        <w:tc>
          <w:tcPr>
            <w:tcW w:w="709" w:type="dxa"/>
            <w:tcBorders>
              <w:top w:val="nil"/>
              <w:left w:val="nil"/>
              <w:bottom w:val="nil"/>
              <w:right w:val="nil"/>
            </w:tcBorders>
            <w:vAlign w:val="center"/>
          </w:tcPr>
          <w:p w14:paraId="78071320" w14:textId="77777777" w:rsidR="00814700" w:rsidRDefault="006D0001">
            <w:pPr>
              <w:widowControl w:val="0"/>
              <w:jc w:val="center"/>
              <w:rPr>
                <w:rFonts w:asciiTheme="minorHAnsi" w:hAnsiTheme="minorHAnsi" w:cstheme="minorHAnsi"/>
                <w:sz w:val="18"/>
                <w:szCs w:val="18"/>
              </w:rPr>
            </w:pPr>
            <w:r>
              <w:rPr>
                <w:rFonts w:ascii="Segoe UI Symbol" w:eastAsia="Aptos" w:hAnsi="Segoe UI Symbol" w:cs="Segoe UI Symbol"/>
                <w:kern w:val="2"/>
                <w:sz w:val="18"/>
                <w:szCs w:val="18"/>
              </w:rPr>
              <w:t>✔</w:t>
            </w:r>
          </w:p>
        </w:tc>
        <w:tc>
          <w:tcPr>
            <w:tcW w:w="709" w:type="dxa"/>
            <w:tcBorders>
              <w:top w:val="nil"/>
              <w:left w:val="nil"/>
              <w:bottom w:val="nil"/>
              <w:right w:val="nil"/>
            </w:tcBorders>
          </w:tcPr>
          <w:p w14:paraId="78071321" w14:textId="77777777" w:rsidR="00814700" w:rsidRDefault="006D0001">
            <w:pPr>
              <w:widowControl w:val="0"/>
              <w:jc w:val="center"/>
              <w:rPr>
                <w:rFonts w:asciiTheme="minorHAnsi" w:hAnsiTheme="minorHAnsi" w:cstheme="minorHAnsi"/>
                <w:sz w:val="18"/>
                <w:szCs w:val="18"/>
              </w:rPr>
            </w:pPr>
            <w:r>
              <w:rPr>
                <w:rFonts w:asciiTheme="minorHAnsi" w:eastAsia="Aptos" w:hAnsiTheme="minorHAnsi" w:cstheme="minorHAnsi"/>
                <w:kern w:val="2"/>
                <w:sz w:val="18"/>
                <w:szCs w:val="18"/>
              </w:rPr>
              <w:t>----</w:t>
            </w:r>
          </w:p>
        </w:tc>
        <w:tc>
          <w:tcPr>
            <w:tcW w:w="571" w:type="dxa"/>
            <w:tcBorders>
              <w:top w:val="nil"/>
              <w:left w:val="nil"/>
              <w:bottom w:val="nil"/>
              <w:right w:val="nil"/>
            </w:tcBorders>
            <w:vAlign w:val="center"/>
          </w:tcPr>
          <w:p w14:paraId="78071322" w14:textId="77777777" w:rsidR="00814700" w:rsidRDefault="006D0001">
            <w:pPr>
              <w:widowControl w:val="0"/>
              <w:jc w:val="center"/>
              <w:rPr>
                <w:rFonts w:asciiTheme="minorHAnsi" w:hAnsiTheme="minorHAnsi" w:cstheme="minorHAnsi"/>
                <w:sz w:val="18"/>
                <w:szCs w:val="18"/>
              </w:rPr>
            </w:pPr>
            <w:r>
              <w:rPr>
                <w:rFonts w:asciiTheme="minorHAnsi" w:eastAsia="Aptos" w:hAnsiTheme="minorHAnsi" w:cstheme="minorHAnsi"/>
                <w:kern w:val="2"/>
                <w:sz w:val="18"/>
                <w:szCs w:val="18"/>
              </w:rPr>
              <w:t>----</w:t>
            </w:r>
          </w:p>
        </w:tc>
      </w:tr>
      <w:tr w:rsidR="00814700" w14:paraId="7807132B" w14:textId="77777777" w:rsidTr="005E5454">
        <w:trPr>
          <w:trHeight w:val="283"/>
        </w:trPr>
        <w:tc>
          <w:tcPr>
            <w:tcW w:w="2019" w:type="dxa"/>
            <w:tcBorders>
              <w:top w:val="nil"/>
              <w:left w:val="nil"/>
              <w:bottom w:val="nil"/>
              <w:right w:val="nil"/>
            </w:tcBorders>
            <w:vAlign w:val="center"/>
          </w:tcPr>
          <w:p w14:paraId="78071324" w14:textId="77777777" w:rsidR="00814700" w:rsidRDefault="006D0001">
            <w:pPr>
              <w:widowControl w:val="0"/>
              <w:rPr>
                <w:rFonts w:asciiTheme="minorHAnsi" w:hAnsiTheme="minorHAnsi" w:cstheme="minorHAnsi"/>
                <w:sz w:val="18"/>
                <w:szCs w:val="18"/>
              </w:rPr>
            </w:pPr>
            <w:r>
              <w:rPr>
                <w:rFonts w:asciiTheme="minorHAnsi" w:eastAsia="Aptos" w:hAnsiTheme="minorHAnsi" w:cstheme="minorHAnsi"/>
                <w:kern w:val="2"/>
                <w:sz w:val="18"/>
                <w:szCs w:val="18"/>
              </w:rPr>
              <w:t>MIROC-ES2H</w:t>
            </w:r>
          </w:p>
        </w:tc>
        <w:tc>
          <w:tcPr>
            <w:tcW w:w="3656" w:type="dxa"/>
            <w:tcBorders>
              <w:top w:val="nil"/>
              <w:left w:val="nil"/>
              <w:bottom w:val="nil"/>
              <w:right w:val="nil"/>
            </w:tcBorders>
            <w:vAlign w:val="center"/>
          </w:tcPr>
          <w:p w14:paraId="78071325" w14:textId="50DCBE5C" w:rsidR="00814700" w:rsidRPr="001946F8" w:rsidRDefault="006D0001">
            <w:pPr>
              <w:widowControl w:val="0"/>
              <w:jc w:val="center"/>
              <w:rPr>
                <w:rFonts w:asciiTheme="minorHAnsi" w:hAnsiTheme="minorHAnsi" w:cstheme="minorHAnsi"/>
                <w:noProof/>
                <w:kern w:val="2"/>
                <w:sz w:val="18"/>
                <w:szCs w:val="18"/>
              </w:rPr>
            </w:pPr>
            <w:r w:rsidRPr="001946F8">
              <w:rPr>
                <w:rFonts w:asciiTheme="minorHAnsi" w:hAnsiTheme="minorHAnsi" w:cstheme="minorHAnsi"/>
                <w:noProof/>
                <w:kern w:val="2"/>
                <w:sz w:val="18"/>
                <w:szCs w:val="18"/>
              </w:rPr>
              <w:fldChar w:fldCharType="begin" w:fldLock="1"/>
            </w:r>
            <w:r w:rsidRPr="001946F8">
              <w:rPr>
                <w:rFonts w:asciiTheme="minorHAnsi" w:hAnsiTheme="minorHAnsi" w:cstheme="minorHAnsi"/>
                <w:noProof/>
                <w:kern w:val="2"/>
                <w:sz w:val="18"/>
                <w:szCs w:val="18"/>
              </w:rPr>
              <w:instrText>ADDIN CSL_CITATION {"citationItems":[{"id":"ITEM-1","itemData":{"DOI":"10.5194/gmd-12-2727-2019","ISSN":"19919603","abstract":"The sixth version of the Model for Interdisciplinary Research on Climate (MIROC), called MIROC6, was cooperatively developed by a Japanese modeling community. In the present paper, simulated mean climate, internal climate variability, and climate sensitivity in MIROC6 are evaluated and briefly summarized in comparison with the previous version of our climate model (MIROC5) and observations. The results show that the overall reproducibility of mean climate and internal climate variability in MIROC6 is better than that in MIROC5. The tropical climate systems (e.g., summertime precipitation in the western Pacific and the eastward-propagating Madden-Julian oscillation) and the midlatitude atmospheric circulation (e.g., the westerlies, the polar night jet, and troposphere-stratosphere interactions) are significantly improved in MIROC6. These improvements can be attributed to the newly implemented parameterization for shallow convective processes and to the inclusion of the stratosphere. While there are significant differences in climates and variabilities between the two models, the effective climate sensitivity of 2.6K remains the same because the differences in radiative forcing and climate feedback tend to offset each other. With an aim towards contributing to the sixth phase of the Coupled Model Intercomparison Project, designated simulations tackling a wide range of climate science issues, as well as seasonal to decadal climate predictions and future climate projections, are currently ongoing using MIROC6.","author":[{"dropping-particle":"","family":"Tatebe","given":"Hiroaki","non-dropping-particle":"","parse-names":false,"suffix":""},{"dropping-particle":"","family":"Ogura","given":"Tomoo","non-dropping-particle":"","parse-names":false,"suffix":""},{"dropping-particle":"","family":"Nitta","given":"Tomoko","non-dropping-particle":"","parse-names":false,"suffix":""},{"dropping-particle":"","family":"Komuro","given":"Yoshiki","non-dropping-particle":"","parse-names":false,"suffix":""},{"dropping-particle":"","family":"Ogochi","given":"Koji","non-dropping-particle":"","parse-names":false,"suffix":""},{"dropping-particle":"","family":"Takemura","given":"Toshihiko","non-dropping-particle":"","parse-names":false,"suffix":""},{"dropping-particle":"","family":"Sudo","given":"Kengo","non-dropping-particle":"","parse-names":false,"suffix":""},{"dropping-particle":"","family":"Sekiguchi","given":"Miho","non-dropping-particle":"","parse-names":false,"suffix":""},{"dropping-particle":"","family":"Abe","given":"Manabu","non-dropping-particle":"","parse-names":false,"suffix":""},{"dropping-particle":"","family":"Saito","given":"Fuyuki","non-dropping-particle":"","parse-names":false,"suffix":""},{"dropping-particle":"","family":"Chikira","given":"Minoru","non-dropping-particle":"","parse-names":false,"suffix":""},{"dropping-particle":"","family":"Watanabe","given":"Shingo","non-dropping-particle":"","parse-names":false,"suffix":""},{"dropping-particle":"","family":"Mori","given":"Masato","non-dropping-particle":"","parse-names":false,"suffix":""},{"dropping-particle":"","family":"Hirota","given":"Nagio","non-dropping-particle":"","parse-names":false,"suffix":""},{"dropping-particle":"","family":"Kawatani","given":"Yoshio","non-dropping-particle":"","parse-names":false,"suffix":""},{"dropping-particle":"","family":"Mochizuki","given":"Takashi","non-dropping-particle":"","parse-names":false,"suffix":""},{"dropping-particle":"","family":"Yoshimura","given":"Kei","non-dropping-particle":"","parse-names":false,"suffix":""},{"dropping-particle":"","family":"Takata","given":"Kumiko","non-dropping-particle":"","parse-names":false,"suffix":""},{"dropping-particle":"","family":"O'Ishi","given":"Ryouta","non-dropping-particle":"","parse-names":false,"suffix":""},{"dropping-particle":"","family":"Yamazaki","given":"Dai","non-dropping-particle":"","parse-names":false,"suffix":""},{"dropping-particle":"","family":"Suzuki","given":"Tatsuo","non-dropping-particle":"","parse-names":false,"suffix":""},{"dropping-particle":"","family":"Kurogi","given":"Masao","non-dropping-particle":"","parse-names":false,"suffix":""},{"dropping-particle":"","family":"Kataoka","given":"Takahito","non-dropping-particle":"","parse-names":false,"suffix":""},{"dropping-particle":"","family":"Watanabe","given":"Masahiro","non-dropping-particle":"","parse-names":false,"suffix":""},{"dropping-particle":"","family":"Kimoto","given":"Masahide","non-dropping-particle":"","parse-names":false,"suffix":""}],"container-title":"Geoscientific Model Development","id":"ITEM-1","issue":"7","issued":{"date-parts":[["2019"]]},"page":"2727-2765","title":"Description and basic evaluation of simulated mean state, internal variability, and climate sensitivity in MIROC6","type":"article-journal","volume":"12"},"uris":["http://www.mendeley.com/documents/?uuid=044e0685-18b9-41db-98d1-4e319590e062"]},{"id":"ITEM-2","itemData":{"DOI":"10.1186/s40645-020-00369-5","ISBN":"4064502000","ISSN":"21974284","abstract":"The past 20 years of research using Earth system models (ESMs) is reviewed with an emphasis on results from the ESM based on MIROC (Model for Interdisciplinary Research on Climate) developed in Japan. Earth system models are climate models incorporating biogeochemical processes such as the carbon cycle. The development of ESM was triggered by studies of the feedback between climate change and the carbon cycle. State-of-the-art ESMs are much more realistic than the first ESMs. They now include various biogeochemical processes other than carbon, such as atmospheric chemistry and the nitrogen and iron cycles as well as nutrient transport by atmospheric dust and rivers. They are used to address many practical issues, such as evaluating the amount of carbon dioxide emissions that is consistent with climate change mitigation targets, and are indispensable tools for the development of climate change mitigation policies. Novel, ambitious attempts to use ESMs include coupling socioeconomics with Earth systems, and projecting the carbon cycle on decadal timescales. Development of ESMs requires ongoing integration of multiple aspects of climate science. Emerging applications of ESMs can bring forth meaningful insights, and should be directed toward expanding connections with fields outside climate science, e.g., socioeconomics. [Figure not available: see fulltext.]","author":[{"dropping-particle":"","family":"Kawamiya","given":"Michio","non-dropping-particle":"","parse-names":false,"suffix":""},{"dropping-particle":"","family":"Hajima","given":"Tomohiro","non-dropping-particle":"","parse-names":false,"suffix":""},{"dropping-particle":"","family":"Tachiiri","given":"Kaoru","non-dropping-particle":"","parse-names":false,"suffix":""},{"dropping-particle":"","family":"Watanabe","given":"Shingo","non-dropping-particle":"","parse-names":false,"suffix":""},{"dropping-particle":"","family":"Yokohata","given":"Tokuta","non-dropping-particle":"","parse-names":false,"suffix":""}],"container-title":"Progress in Earth and Planetary Science","id":"ITEM-2","issue":"1","issued":{"date-parts":[["2020"]]},"publisher":"Progress in Earth and Planetary Science","title":"Two decades of Earth system modeling with an emphasis on Model for Interdisciplinary Research on Climate (MIROC)","type":"article-journal","volume":"7"},"uris":["http://www.mendeley.com/documents/?uuid=5132c804-4bb9-4925-a58e-c019991881fb"]}],"mendeley":{"formattedCitation":"(Kawamiya et al., 2020; Tatebe et al., 2019)","manualFormatting":"Kawamiya et al. (2020); Tatebe et al. (2019)","plainTextFormattedCitation":"(Kawamiya et al., 2020; Tatebe et al., 2019)","previouslyFormattedCitation":"(Kawamiya et al., 2020; Tatebe et al., 2019)"},"properties":{"noteIndex":0},"schema":"https://github.com/citation-style-language/schema/raw/master/csl-citation.json"}</w:instrText>
            </w:r>
            <w:r w:rsidRPr="001946F8">
              <w:rPr>
                <w:rFonts w:asciiTheme="minorHAnsi" w:hAnsiTheme="minorHAnsi" w:cstheme="minorHAnsi"/>
                <w:noProof/>
                <w:kern w:val="2"/>
                <w:sz w:val="18"/>
                <w:szCs w:val="18"/>
              </w:rPr>
              <w:fldChar w:fldCharType="separate"/>
            </w:r>
            <w:r>
              <w:rPr>
                <w:rFonts w:asciiTheme="minorHAnsi" w:hAnsiTheme="minorHAnsi" w:cstheme="minorHAnsi"/>
                <w:noProof/>
                <w:kern w:val="2"/>
                <w:sz w:val="18"/>
                <w:szCs w:val="18"/>
              </w:rPr>
              <w:t>Kawamiya et al. (2020); Tatebe et al. (2019)</w:t>
            </w:r>
            <w:r w:rsidRPr="001946F8">
              <w:rPr>
                <w:rFonts w:asciiTheme="minorHAnsi" w:hAnsiTheme="minorHAnsi" w:cstheme="minorHAnsi"/>
                <w:noProof/>
                <w:kern w:val="2"/>
                <w:sz w:val="18"/>
                <w:szCs w:val="18"/>
              </w:rPr>
              <w:fldChar w:fldCharType="end"/>
            </w:r>
          </w:p>
        </w:tc>
        <w:tc>
          <w:tcPr>
            <w:tcW w:w="848" w:type="dxa"/>
            <w:tcBorders>
              <w:top w:val="nil"/>
              <w:left w:val="nil"/>
              <w:bottom w:val="nil"/>
              <w:right w:val="nil"/>
            </w:tcBorders>
            <w:vAlign w:val="center"/>
          </w:tcPr>
          <w:p w14:paraId="78071326" w14:textId="77777777" w:rsidR="00814700" w:rsidRDefault="006D0001">
            <w:pPr>
              <w:widowControl w:val="0"/>
              <w:jc w:val="center"/>
              <w:rPr>
                <w:rFonts w:asciiTheme="minorHAnsi" w:hAnsiTheme="minorHAnsi" w:cstheme="minorHAnsi"/>
                <w:sz w:val="18"/>
                <w:szCs w:val="18"/>
              </w:rPr>
            </w:pPr>
            <w:r>
              <w:rPr>
                <w:rFonts w:asciiTheme="minorHAnsi" w:eastAsia="Aptos" w:hAnsiTheme="minorHAnsi" w:cstheme="minorHAnsi"/>
                <w:kern w:val="2"/>
                <w:sz w:val="18"/>
                <w:szCs w:val="18"/>
              </w:rPr>
              <w:t>----</w:t>
            </w:r>
          </w:p>
        </w:tc>
        <w:tc>
          <w:tcPr>
            <w:tcW w:w="848" w:type="dxa"/>
            <w:tcBorders>
              <w:top w:val="nil"/>
              <w:left w:val="nil"/>
              <w:bottom w:val="nil"/>
              <w:right w:val="nil"/>
            </w:tcBorders>
            <w:vAlign w:val="center"/>
          </w:tcPr>
          <w:p w14:paraId="78071327" w14:textId="77777777" w:rsidR="00814700" w:rsidRDefault="006D0001">
            <w:pPr>
              <w:widowControl w:val="0"/>
              <w:jc w:val="center"/>
              <w:rPr>
                <w:rFonts w:asciiTheme="minorHAnsi" w:hAnsiTheme="minorHAnsi" w:cstheme="minorHAnsi"/>
                <w:sz w:val="18"/>
                <w:szCs w:val="18"/>
              </w:rPr>
            </w:pPr>
            <w:r>
              <w:rPr>
                <w:rFonts w:asciiTheme="minorHAnsi" w:eastAsia="Aptos" w:hAnsiTheme="minorHAnsi" w:cstheme="minorHAnsi"/>
                <w:kern w:val="2"/>
                <w:sz w:val="18"/>
                <w:szCs w:val="18"/>
              </w:rPr>
              <w:t>3</w:t>
            </w:r>
          </w:p>
        </w:tc>
        <w:tc>
          <w:tcPr>
            <w:tcW w:w="709" w:type="dxa"/>
            <w:tcBorders>
              <w:top w:val="nil"/>
              <w:left w:val="nil"/>
              <w:bottom w:val="nil"/>
              <w:right w:val="nil"/>
            </w:tcBorders>
            <w:vAlign w:val="center"/>
          </w:tcPr>
          <w:p w14:paraId="78071328" w14:textId="77777777" w:rsidR="00814700" w:rsidRDefault="006D0001">
            <w:pPr>
              <w:widowControl w:val="0"/>
              <w:jc w:val="center"/>
              <w:rPr>
                <w:rFonts w:asciiTheme="minorHAnsi" w:hAnsiTheme="minorHAnsi" w:cstheme="minorHAnsi"/>
                <w:sz w:val="18"/>
                <w:szCs w:val="18"/>
              </w:rPr>
            </w:pPr>
            <w:r>
              <w:rPr>
                <w:rFonts w:ascii="Segoe UI Symbol" w:eastAsia="Aptos" w:hAnsi="Segoe UI Symbol" w:cs="Segoe UI Symbol"/>
                <w:kern w:val="2"/>
                <w:sz w:val="18"/>
                <w:szCs w:val="18"/>
              </w:rPr>
              <w:t>✔</w:t>
            </w:r>
          </w:p>
        </w:tc>
        <w:tc>
          <w:tcPr>
            <w:tcW w:w="709" w:type="dxa"/>
            <w:tcBorders>
              <w:top w:val="nil"/>
              <w:left w:val="nil"/>
              <w:bottom w:val="nil"/>
              <w:right w:val="nil"/>
            </w:tcBorders>
            <w:vAlign w:val="center"/>
          </w:tcPr>
          <w:p w14:paraId="78071329" w14:textId="77777777" w:rsidR="00814700" w:rsidRDefault="006D0001">
            <w:pPr>
              <w:widowControl w:val="0"/>
              <w:jc w:val="center"/>
              <w:rPr>
                <w:rFonts w:asciiTheme="minorHAnsi" w:hAnsiTheme="minorHAnsi" w:cstheme="minorHAnsi"/>
                <w:sz w:val="18"/>
                <w:szCs w:val="18"/>
              </w:rPr>
            </w:pPr>
            <w:r>
              <w:rPr>
                <w:rFonts w:ascii="Segoe UI Symbol" w:eastAsia="Aptos" w:hAnsi="Segoe UI Symbol" w:cs="Segoe UI Symbol"/>
                <w:kern w:val="2"/>
                <w:sz w:val="18"/>
                <w:szCs w:val="18"/>
              </w:rPr>
              <w:t>✔</w:t>
            </w:r>
          </w:p>
        </w:tc>
        <w:tc>
          <w:tcPr>
            <w:tcW w:w="571" w:type="dxa"/>
            <w:tcBorders>
              <w:top w:val="nil"/>
              <w:left w:val="nil"/>
              <w:bottom w:val="nil"/>
              <w:right w:val="nil"/>
            </w:tcBorders>
            <w:vAlign w:val="center"/>
          </w:tcPr>
          <w:p w14:paraId="7807132A" w14:textId="77777777" w:rsidR="00814700" w:rsidRDefault="006D0001">
            <w:pPr>
              <w:widowControl w:val="0"/>
              <w:jc w:val="center"/>
              <w:rPr>
                <w:rFonts w:asciiTheme="minorHAnsi" w:hAnsiTheme="minorHAnsi" w:cstheme="minorHAnsi"/>
                <w:sz w:val="18"/>
                <w:szCs w:val="18"/>
              </w:rPr>
            </w:pPr>
            <w:r>
              <w:rPr>
                <w:rFonts w:ascii="Segoe UI Symbol" w:eastAsia="Aptos" w:hAnsi="Segoe UI Symbol" w:cs="Segoe UI Symbol"/>
                <w:kern w:val="2"/>
                <w:sz w:val="18"/>
                <w:szCs w:val="18"/>
              </w:rPr>
              <w:t>✔</w:t>
            </w:r>
          </w:p>
        </w:tc>
      </w:tr>
      <w:tr w:rsidR="00814700" w14:paraId="78071333" w14:textId="77777777" w:rsidTr="005E5454">
        <w:trPr>
          <w:trHeight w:val="283"/>
        </w:trPr>
        <w:tc>
          <w:tcPr>
            <w:tcW w:w="2019" w:type="dxa"/>
            <w:tcBorders>
              <w:top w:val="nil"/>
              <w:left w:val="nil"/>
              <w:bottom w:val="nil"/>
              <w:right w:val="nil"/>
            </w:tcBorders>
            <w:vAlign w:val="center"/>
          </w:tcPr>
          <w:p w14:paraId="7807132C" w14:textId="77777777" w:rsidR="00814700" w:rsidRDefault="006D0001">
            <w:pPr>
              <w:widowControl w:val="0"/>
              <w:rPr>
                <w:rFonts w:asciiTheme="minorHAnsi" w:hAnsiTheme="minorHAnsi" w:cstheme="minorHAnsi"/>
                <w:sz w:val="18"/>
                <w:szCs w:val="18"/>
              </w:rPr>
            </w:pPr>
            <w:r>
              <w:rPr>
                <w:rFonts w:asciiTheme="minorHAnsi" w:eastAsia="Aptos" w:hAnsiTheme="minorHAnsi" w:cstheme="minorHAnsi"/>
                <w:kern w:val="2"/>
                <w:sz w:val="18"/>
                <w:szCs w:val="18"/>
              </w:rPr>
              <w:t>NIWA-UKCA2</w:t>
            </w:r>
          </w:p>
        </w:tc>
        <w:tc>
          <w:tcPr>
            <w:tcW w:w="3656" w:type="dxa"/>
            <w:tcBorders>
              <w:top w:val="nil"/>
              <w:left w:val="nil"/>
              <w:bottom w:val="nil"/>
              <w:right w:val="nil"/>
            </w:tcBorders>
            <w:vAlign w:val="center"/>
          </w:tcPr>
          <w:p w14:paraId="7807132D" w14:textId="5494605F" w:rsidR="00814700" w:rsidRPr="001946F8" w:rsidRDefault="006D0001">
            <w:pPr>
              <w:widowControl w:val="0"/>
              <w:jc w:val="center"/>
              <w:rPr>
                <w:rFonts w:asciiTheme="minorHAnsi" w:hAnsiTheme="minorHAnsi" w:cstheme="minorHAnsi"/>
                <w:noProof/>
                <w:kern w:val="2"/>
                <w:sz w:val="18"/>
                <w:szCs w:val="18"/>
              </w:rPr>
            </w:pPr>
            <w:r w:rsidRPr="001946F8">
              <w:rPr>
                <w:rFonts w:asciiTheme="minorHAnsi" w:hAnsiTheme="minorHAnsi" w:cstheme="minorHAnsi"/>
                <w:noProof/>
                <w:kern w:val="2"/>
                <w:sz w:val="18"/>
                <w:szCs w:val="18"/>
              </w:rPr>
              <w:fldChar w:fldCharType="begin" w:fldLock="1"/>
            </w:r>
            <w:r w:rsidR="00781F9F">
              <w:rPr>
                <w:rFonts w:asciiTheme="minorHAnsi" w:hAnsiTheme="minorHAnsi" w:cstheme="minorHAnsi"/>
                <w:noProof/>
                <w:kern w:val="2"/>
                <w:sz w:val="18"/>
                <w:szCs w:val="18"/>
              </w:rPr>
              <w:instrText>ADDIN CSL_CITATION {"citationItems":[{"id":"ITEM-1","itemData":{"DOI":"10.5194/gmd-2-43-2009","ISSN":"19919603","abstract":"The UK Chemistry and Aerosols (UKCA) model is a new aerosol-chemistry model coupled to the Met Office Unified Model capable of simulating composition and climate from the troposphere to the mesosphere. Here we introduce the model and assess its performance with a particular focus on the stratosphere. A 20-year perpetual year-2000 simulation forms the basis of our analysis. We assess basic and derived dynamical and chemical model fields and compare to ERA-40 reanalyses and satellite climatologies. Polar temperatures and the lifetime of the southern polar vortex are well captured, indicating that the model is suitable for assessing the ozone hole. Ozone and long-lived tracers compare favourably to observations. Chemical-dynamical coupling, as evidenced by the anticorrelation between winter-spring northern polar ozone columns and the strength of the polar jet, is also well captured. Remaining problems relate to a warm bias at the tropical tropopause, slow ascent in the tropical pipe with implications for the lifetimes of long-lived species, and a general overestimation of ozone columns in middle and high latitudes.","author":[{"dropping-particle":"","family":"Morgenstern","given":"O.","non-dropping-particle":"","parse-names":false,"suffix":""},{"dropping-particle":"","family":"Braesicke","given":"P.","non-dropping-particle":"","parse-names":false,"suffix":""},{"dropping-particle":"","family":"O'Connor","given":"F. M.","non-dropping-particle":"","parse-names":false,"suffix":""},{"dropping-particle":"","family":"Bushell","given":"A. C.","non-dropping-particle":"","parse-names":false,"suffix":""},{"dropping-particle":"","family":"Johnson","given":"C. E.","non-dropping-particle":"","parse-names":false,"suffix":""},{"dropping-particle":"","family":"Osprey","given":"S. M.","non-dropping-particle":"","parse-names":false,"suffix":""},{"dropping-particle":"","family":"Pyle","given":"J. A.","non-dropping-particle":"","parse-names":false,"suffix":""}],"container-title":"Geoscientific Model Development","id":"ITEM-1","issue":"1","issued":{"date-parts":[["2009"]]},"page":"43-57","title":"Evaluation of the new UKCA climate-composition model-Part 1: The stratosphere","type":"article-journal","volume":"2"},"uris":["http://www.mendeley.com/documents/?uuid=559f1969-4d89-4e5e-a45f-59a41c931f31"]}],"mendeley":{"formattedCitation":"(Morgenstern et al., 2009)","manualFormatting":"Morgenstern et al. (2009)","plainTextFormattedCitation":"(Morgenstern et al., 2009)","previouslyFormattedCitation":"(Morgenstern et al., 2009)"},"properties":{"noteIndex":0},"schema":"https://github.com/citation-style-language/schema/raw/master/csl-citation.json"}</w:instrText>
            </w:r>
            <w:r w:rsidRPr="001946F8">
              <w:rPr>
                <w:rFonts w:asciiTheme="minorHAnsi" w:hAnsiTheme="minorHAnsi" w:cstheme="minorHAnsi"/>
                <w:noProof/>
                <w:kern w:val="2"/>
                <w:sz w:val="18"/>
                <w:szCs w:val="18"/>
              </w:rPr>
              <w:fldChar w:fldCharType="separate"/>
            </w:r>
            <w:r>
              <w:rPr>
                <w:rFonts w:asciiTheme="minorHAnsi" w:hAnsiTheme="minorHAnsi" w:cstheme="minorHAnsi"/>
                <w:noProof/>
                <w:kern w:val="2"/>
                <w:sz w:val="18"/>
                <w:szCs w:val="18"/>
              </w:rPr>
              <w:t>Morgenstern et al. (2009)</w:t>
            </w:r>
            <w:r w:rsidRPr="001946F8">
              <w:rPr>
                <w:rFonts w:asciiTheme="minorHAnsi" w:hAnsiTheme="minorHAnsi" w:cstheme="minorHAnsi"/>
                <w:noProof/>
                <w:kern w:val="2"/>
                <w:sz w:val="18"/>
                <w:szCs w:val="18"/>
              </w:rPr>
              <w:fldChar w:fldCharType="end"/>
            </w:r>
          </w:p>
        </w:tc>
        <w:tc>
          <w:tcPr>
            <w:tcW w:w="848" w:type="dxa"/>
            <w:tcBorders>
              <w:top w:val="nil"/>
              <w:left w:val="nil"/>
              <w:bottom w:val="nil"/>
              <w:right w:val="nil"/>
            </w:tcBorders>
            <w:vAlign w:val="center"/>
          </w:tcPr>
          <w:p w14:paraId="7807132E" w14:textId="77777777" w:rsidR="00814700" w:rsidRDefault="006D0001">
            <w:pPr>
              <w:widowControl w:val="0"/>
              <w:jc w:val="center"/>
              <w:rPr>
                <w:rFonts w:asciiTheme="minorHAnsi" w:hAnsiTheme="minorHAnsi" w:cstheme="minorHAnsi"/>
                <w:sz w:val="18"/>
                <w:szCs w:val="18"/>
              </w:rPr>
            </w:pPr>
            <w:r>
              <w:rPr>
                <w:rFonts w:asciiTheme="minorHAnsi" w:eastAsia="Aptos" w:hAnsiTheme="minorHAnsi" w:cstheme="minorHAnsi"/>
                <w:kern w:val="2"/>
                <w:sz w:val="18"/>
                <w:szCs w:val="18"/>
              </w:rPr>
              <w:t>3</w:t>
            </w:r>
          </w:p>
        </w:tc>
        <w:tc>
          <w:tcPr>
            <w:tcW w:w="848" w:type="dxa"/>
            <w:tcBorders>
              <w:top w:val="nil"/>
              <w:left w:val="nil"/>
              <w:bottom w:val="nil"/>
              <w:right w:val="nil"/>
            </w:tcBorders>
            <w:vAlign w:val="center"/>
          </w:tcPr>
          <w:p w14:paraId="7807132F" w14:textId="77777777" w:rsidR="00814700" w:rsidRDefault="006D0001">
            <w:pPr>
              <w:widowControl w:val="0"/>
              <w:jc w:val="center"/>
              <w:rPr>
                <w:rFonts w:asciiTheme="minorHAnsi" w:hAnsiTheme="minorHAnsi" w:cstheme="minorHAnsi"/>
                <w:sz w:val="18"/>
                <w:szCs w:val="18"/>
              </w:rPr>
            </w:pPr>
            <w:r>
              <w:rPr>
                <w:rFonts w:asciiTheme="minorHAnsi" w:eastAsia="Aptos" w:hAnsiTheme="minorHAnsi" w:cstheme="minorHAnsi"/>
                <w:kern w:val="2"/>
                <w:sz w:val="18"/>
                <w:szCs w:val="18"/>
              </w:rPr>
              <w:t>3</w:t>
            </w:r>
          </w:p>
        </w:tc>
        <w:tc>
          <w:tcPr>
            <w:tcW w:w="709" w:type="dxa"/>
            <w:tcBorders>
              <w:top w:val="nil"/>
              <w:left w:val="nil"/>
              <w:bottom w:val="nil"/>
              <w:right w:val="nil"/>
            </w:tcBorders>
            <w:vAlign w:val="center"/>
          </w:tcPr>
          <w:p w14:paraId="78071330" w14:textId="77777777" w:rsidR="00814700" w:rsidRDefault="006D0001">
            <w:pPr>
              <w:widowControl w:val="0"/>
              <w:jc w:val="center"/>
              <w:rPr>
                <w:rFonts w:asciiTheme="minorHAnsi" w:hAnsiTheme="minorHAnsi" w:cstheme="minorHAnsi"/>
                <w:sz w:val="18"/>
                <w:szCs w:val="18"/>
              </w:rPr>
            </w:pPr>
            <w:r>
              <w:rPr>
                <w:rFonts w:ascii="Segoe UI Symbol" w:eastAsia="Aptos" w:hAnsi="Segoe UI Symbol" w:cs="Segoe UI Symbol"/>
                <w:kern w:val="2"/>
                <w:sz w:val="18"/>
                <w:szCs w:val="18"/>
              </w:rPr>
              <w:t>✔</w:t>
            </w:r>
          </w:p>
        </w:tc>
        <w:tc>
          <w:tcPr>
            <w:tcW w:w="709" w:type="dxa"/>
            <w:tcBorders>
              <w:top w:val="nil"/>
              <w:left w:val="nil"/>
              <w:bottom w:val="nil"/>
              <w:right w:val="nil"/>
            </w:tcBorders>
          </w:tcPr>
          <w:p w14:paraId="78071331" w14:textId="77777777" w:rsidR="00814700" w:rsidRDefault="006D0001">
            <w:pPr>
              <w:widowControl w:val="0"/>
              <w:jc w:val="center"/>
              <w:rPr>
                <w:rFonts w:asciiTheme="minorHAnsi" w:hAnsiTheme="minorHAnsi" w:cstheme="minorHAnsi"/>
                <w:sz w:val="18"/>
                <w:szCs w:val="18"/>
              </w:rPr>
            </w:pPr>
            <w:r>
              <w:rPr>
                <w:rFonts w:asciiTheme="minorHAnsi" w:eastAsia="Aptos" w:hAnsiTheme="minorHAnsi" w:cstheme="minorHAnsi"/>
                <w:kern w:val="2"/>
                <w:sz w:val="18"/>
                <w:szCs w:val="18"/>
              </w:rPr>
              <w:t>----</w:t>
            </w:r>
          </w:p>
        </w:tc>
        <w:tc>
          <w:tcPr>
            <w:tcW w:w="571" w:type="dxa"/>
            <w:tcBorders>
              <w:top w:val="nil"/>
              <w:left w:val="nil"/>
              <w:bottom w:val="nil"/>
              <w:right w:val="nil"/>
            </w:tcBorders>
            <w:vAlign w:val="center"/>
          </w:tcPr>
          <w:p w14:paraId="78071332" w14:textId="77777777" w:rsidR="00814700" w:rsidRDefault="006D0001">
            <w:pPr>
              <w:widowControl w:val="0"/>
              <w:jc w:val="center"/>
              <w:rPr>
                <w:rFonts w:asciiTheme="minorHAnsi" w:hAnsiTheme="minorHAnsi" w:cstheme="minorHAnsi"/>
                <w:sz w:val="18"/>
                <w:szCs w:val="18"/>
              </w:rPr>
            </w:pPr>
            <w:r>
              <w:rPr>
                <w:rFonts w:ascii="Segoe UI Symbol" w:eastAsia="Aptos" w:hAnsi="Segoe UI Symbol" w:cs="Segoe UI Symbol"/>
                <w:kern w:val="2"/>
                <w:sz w:val="18"/>
                <w:szCs w:val="18"/>
              </w:rPr>
              <w:t>✔</w:t>
            </w:r>
          </w:p>
        </w:tc>
      </w:tr>
      <w:tr w:rsidR="00814700" w14:paraId="7807133B" w14:textId="77777777" w:rsidTr="005E5454">
        <w:trPr>
          <w:trHeight w:val="283"/>
        </w:trPr>
        <w:tc>
          <w:tcPr>
            <w:tcW w:w="2019" w:type="dxa"/>
            <w:tcBorders>
              <w:top w:val="nil"/>
              <w:left w:val="nil"/>
              <w:bottom w:val="nil"/>
              <w:right w:val="nil"/>
            </w:tcBorders>
            <w:vAlign w:val="center"/>
          </w:tcPr>
          <w:p w14:paraId="78071334" w14:textId="77777777" w:rsidR="00814700" w:rsidRDefault="006D0001">
            <w:pPr>
              <w:widowControl w:val="0"/>
              <w:rPr>
                <w:rFonts w:asciiTheme="minorHAnsi" w:hAnsiTheme="minorHAnsi" w:cstheme="minorHAnsi"/>
                <w:sz w:val="18"/>
                <w:szCs w:val="18"/>
              </w:rPr>
            </w:pPr>
            <w:r>
              <w:rPr>
                <w:rFonts w:asciiTheme="minorHAnsi" w:eastAsia="Aptos" w:hAnsiTheme="minorHAnsi" w:cstheme="minorHAnsi"/>
                <w:kern w:val="2"/>
                <w:sz w:val="18"/>
                <w:szCs w:val="18"/>
              </w:rPr>
              <w:t>SOCOL</w:t>
            </w:r>
          </w:p>
        </w:tc>
        <w:tc>
          <w:tcPr>
            <w:tcW w:w="3656" w:type="dxa"/>
            <w:tcBorders>
              <w:top w:val="nil"/>
              <w:left w:val="nil"/>
              <w:bottom w:val="nil"/>
              <w:right w:val="nil"/>
            </w:tcBorders>
            <w:vAlign w:val="center"/>
          </w:tcPr>
          <w:p w14:paraId="78071335" w14:textId="71BD4644" w:rsidR="00814700" w:rsidRPr="001946F8" w:rsidRDefault="006D0001">
            <w:pPr>
              <w:widowControl w:val="0"/>
              <w:jc w:val="center"/>
              <w:rPr>
                <w:rFonts w:asciiTheme="minorHAnsi" w:hAnsiTheme="minorHAnsi" w:cstheme="minorHAnsi"/>
                <w:noProof/>
                <w:kern w:val="2"/>
                <w:sz w:val="18"/>
                <w:szCs w:val="18"/>
              </w:rPr>
            </w:pPr>
            <w:r w:rsidRPr="001946F8">
              <w:rPr>
                <w:rFonts w:asciiTheme="minorHAnsi" w:hAnsiTheme="minorHAnsi" w:cstheme="minorHAnsi"/>
                <w:noProof/>
                <w:kern w:val="2"/>
                <w:sz w:val="18"/>
                <w:szCs w:val="18"/>
              </w:rPr>
              <w:fldChar w:fldCharType="begin" w:fldLock="1"/>
            </w:r>
            <w:r w:rsidRPr="001946F8">
              <w:rPr>
                <w:rFonts w:asciiTheme="minorHAnsi" w:hAnsiTheme="minorHAnsi" w:cstheme="minorHAnsi"/>
                <w:noProof/>
                <w:kern w:val="2"/>
                <w:sz w:val="18"/>
                <w:szCs w:val="18"/>
              </w:rPr>
              <w:instrText>ADDIN CSL_CITATION {"citationItems":[{"id":"ITEM-1","itemData":{"DOI":"10.5194/gmd-14-5525-2021","ISSN":"19919603","abstract":"This paper features the new atmosphere-ocean-aerosol-chemistry-climate model, SOlar Climate Ozone Links (SOCOL) v4.0, and its validation. The new model was built by interactively coupling the Max Planck Institute Earth System Model version 1.2 (MPI-ESM1.2) (T63, L47) with the chemistry (99 species) and size-resolving (40 bins) sulfate aerosol microphysics modules from the aerosol-chemistry-climate model, SOCOL-AERv2. We evaluate its performance against reanalysis products and observations of atmospheric circulation, temperature, and trace gas distribution, with a focus on stratospheric processes. We show that SOCOLv4.0 captures the low- and midlatitude stratospheric ozone well in terms of the climatological state, variability and evolution. The model provides an accurate representation of climate change, showing a global surface warming trend consistent with observations as well as realistic cooling in the stratosphere caused by greenhouse gas emissions, although, as in previous model versions, a too-fast residual circulation and exaggerated mixing in the surf zone are still present. The stratospheric sulfur budget for moderate volcanic activity is well represented by the model, albeit with slightly underestimated aerosol lifetime after major eruptions. The presence of the interactive ocean and a successful representation of recent climate and ozone layer trends make SOCOLv4.0 ideal for studies devoted to future ozone evolution and effects of greenhouse gases and ozone-destroying substances, as well as the evaluation of potential solar geoengineering measures through sulfur injections. Potential further model improvements could be to increase the vertical resolution, which is expected to allow better meridional transport in the stratosphere, as well as to update the photolysis calculation module and budget of mesospheric odd nitrogen. In summary, this paper demonstrates that SOCOLv4.0 is well suited for applications related to the stratospheric ozone and sulfate aerosol evolution, including its participation in ongoing and future model intercomparison projects.","author":[{"dropping-particle":"","family":"Sukhodolov","given":"Timofei","non-dropping-particle":"","parse-names":false,"suffix":""},{"dropping-particle":"","family":"Egorova","given":"Tatiana","non-dropping-particle":"","parse-names":false,"suffix":""},{"dropping-particle":"","family":"Stenke","given":"Andrea","non-dropping-particle":"","parse-names":false,"suffix":""},{"dropping-particle":"","family":"Ball","given":"William T.","non-dropping-particle":"","parse-names":false,"suffix":""},{"dropping-particle":"","family":"Brodowsky","given":"Christina","non-dropping-particle":"","parse-names":false,"suffix":""},{"dropping-particle":"","family":"Chiodo","given":"Gabriel","non-dropping-particle":"","parse-names":false,"suffix":""},{"dropping-particle":"","family":"Feinberg","given":"Aryeh","non-dropping-particle":"","parse-names":false,"suffix":""},{"dropping-particle":"","family":"Friedel","given":"Marina","non-dropping-particle":"","parse-names":false,"suffix":""},{"dropping-particle":"","family":"Karagodin-Doyennel","given":"Arseniy","non-dropping-particle":"","parse-names":false,"suffix":""},{"dropping-particle":"","family":"Peter","given":"Thomas","non-dropping-particle":"","parse-names":false,"suffix":""},{"dropping-particle":"","family":"Sedlacek","given":"Jan","non-dropping-particle":"","parse-names":false,"suffix":""},{"dropping-particle":"","family":"Vattioni","given":"Sandro","non-dropping-particle":"","parse-names":false,"suffix":""},{"dropping-particle":"","family":"Rozanov","given":"Eugene","non-dropping-particle":"","parse-names":false,"suffix":""}],"container-title":"Geoscientific Model Development","id":"ITEM-1","issue":"9","issued":{"date-parts":[["2021"]]},"page":"5525-5560","title":"Atmosphere-ocean-aerosol-chemistry-climate model SOCOLv4.0: Description and evaluation","type":"article-journal","volume":"14"},"uris":["http://www.mendeley.com/documents/?uuid=f21f0b83-572b-40a2-902e-bbb4c0c08ab6"]}],"mendeley":{"formattedCitation":"(Sukhodolov et al., 2021)","manualFormatting":"Sukhodolov et al. (2021)","plainTextFormattedCitation":"(Sukhodolov et al., 2021)","previouslyFormattedCitation":"(Sukhodolov et al., 2021)"},"properties":{"noteIndex":0},"schema":"https://github.com/citation-style-language/schema/raw/master/csl-citation.json"}</w:instrText>
            </w:r>
            <w:r w:rsidRPr="001946F8">
              <w:rPr>
                <w:rFonts w:asciiTheme="minorHAnsi" w:hAnsiTheme="minorHAnsi" w:cstheme="minorHAnsi"/>
                <w:noProof/>
                <w:kern w:val="2"/>
                <w:sz w:val="18"/>
                <w:szCs w:val="18"/>
              </w:rPr>
              <w:fldChar w:fldCharType="separate"/>
            </w:r>
            <w:r>
              <w:rPr>
                <w:rFonts w:asciiTheme="minorHAnsi" w:hAnsiTheme="minorHAnsi" w:cstheme="minorHAnsi"/>
                <w:noProof/>
                <w:kern w:val="2"/>
                <w:sz w:val="18"/>
                <w:szCs w:val="18"/>
              </w:rPr>
              <w:t>Sukhodolov et al. (2021)</w:t>
            </w:r>
            <w:r w:rsidRPr="001946F8">
              <w:rPr>
                <w:rFonts w:asciiTheme="minorHAnsi" w:hAnsiTheme="minorHAnsi" w:cstheme="minorHAnsi"/>
                <w:noProof/>
                <w:kern w:val="2"/>
                <w:sz w:val="18"/>
                <w:szCs w:val="18"/>
              </w:rPr>
              <w:fldChar w:fldCharType="end"/>
            </w:r>
          </w:p>
        </w:tc>
        <w:tc>
          <w:tcPr>
            <w:tcW w:w="848" w:type="dxa"/>
            <w:tcBorders>
              <w:top w:val="nil"/>
              <w:left w:val="nil"/>
              <w:bottom w:val="nil"/>
              <w:right w:val="nil"/>
            </w:tcBorders>
            <w:vAlign w:val="center"/>
          </w:tcPr>
          <w:p w14:paraId="78071336" w14:textId="77777777" w:rsidR="00814700" w:rsidRDefault="006D0001">
            <w:pPr>
              <w:widowControl w:val="0"/>
              <w:jc w:val="center"/>
              <w:rPr>
                <w:rFonts w:asciiTheme="minorHAnsi" w:hAnsiTheme="minorHAnsi" w:cstheme="minorHAnsi"/>
                <w:sz w:val="18"/>
                <w:szCs w:val="18"/>
              </w:rPr>
            </w:pPr>
            <w:r>
              <w:rPr>
                <w:rFonts w:asciiTheme="minorHAnsi" w:eastAsia="Aptos" w:hAnsiTheme="minorHAnsi" w:cstheme="minorHAnsi"/>
                <w:kern w:val="2"/>
                <w:sz w:val="18"/>
                <w:szCs w:val="18"/>
              </w:rPr>
              <w:t>3</w:t>
            </w:r>
          </w:p>
        </w:tc>
        <w:tc>
          <w:tcPr>
            <w:tcW w:w="848" w:type="dxa"/>
            <w:tcBorders>
              <w:top w:val="nil"/>
              <w:left w:val="nil"/>
              <w:bottom w:val="nil"/>
              <w:right w:val="nil"/>
            </w:tcBorders>
            <w:vAlign w:val="center"/>
          </w:tcPr>
          <w:p w14:paraId="78071337" w14:textId="77777777" w:rsidR="00814700" w:rsidRDefault="006D0001">
            <w:pPr>
              <w:widowControl w:val="0"/>
              <w:jc w:val="center"/>
              <w:rPr>
                <w:rFonts w:asciiTheme="minorHAnsi" w:hAnsiTheme="minorHAnsi" w:cstheme="minorHAnsi"/>
                <w:sz w:val="18"/>
                <w:szCs w:val="18"/>
              </w:rPr>
            </w:pPr>
            <w:r>
              <w:rPr>
                <w:rFonts w:asciiTheme="minorHAnsi" w:eastAsia="Aptos" w:hAnsiTheme="minorHAnsi" w:cstheme="minorHAnsi"/>
                <w:kern w:val="2"/>
                <w:sz w:val="18"/>
                <w:szCs w:val="18"/>
              </w:rPr>
              <w:t>3</w:t>
            </w:r>
          </w:p>
        </w:tc>
        <w:tc>
          <w:tcPr>
            <w:tcW w:w="709" w:type="dxa"/>
            <w:tcBorders>
              <w:top w:val="nil"/>
              <w:left w:val="nil"/>
              <w:bottom w:val="nil"/>
              <w:right w:val="nil"/>
            </w:tcBorders>
            <w:vAlign w:val="center"/>
          </w:tcPr>
          <w:p w14:paraId="78071338" w14:textId="77777777" w:rsidR="00814700" w:rsidRDefault="006D0001">
            <w:pPr>
              <w:widowControl w:val="0"/>
              <w:jc w:val="center"/>
              <w:rPr>
                <w:rFonts w:asciiTheme="minorHAnsi" w:hAnsiTheme="minorHAnsi" w:cstheme="minorHAnsi"/>
                <w:sz w:val="18"/>
                <w:szCs w:val="18"/>
              </w:rPr>
            </w:pPr>
            <w:r>
              <w:rPr>
                <w:rFonts w:ascii="Segoe UI Symbol" w:eastAsia="Aptos" w:hAnsi="Segoe UI Symbol" w:cs="Segoe UI Symbol"/>
                <w:kern w:val="2"/>
                <w:sz w:val="18"/>
                <w:szCs w:val="18"/>
              </w:rPr>
              <w:t>✔</w:t>
            </w:r>
          </w:p>
        </w:tc>
        <w:tc>
          <w:tcPr>
            <w:tcW w:w="709" w:type="dxa"/>
            <w:tcBorders>
              <w:top w:val="nil"/>
              <w:left w:val="nil"/>
              <w:bottom w:val="nil"/>
              <w:right w:val="nil"/>
            </w:tcBorders>
          </w:tcPr>
          <w:p w14:paraId="78071339" w14:textId="77777777" w:rsidR="00814700" w:rsidRDefault="006D0001">
            <w:pPr>
              <w:widowControl w:val="0"/>
              <w:jc w:val="center"/>
              <w:rPr>
                <w:rFonts w:asciiTheme="minorHAnsi" w:hAnsiTheme="minorHAnsi" w:cstheme="minorHAnsi"/>
                <w:sz w:val="18"/>
                <w:szCs w:val="18"/>
              </w:rPr>
            </w:pPr>
            <w:r>
              <w:rPr>
                <w:rFonts w:asciiTheme="minorHAnsi" w:eastAsia="Aptos" w:hAnsiTheme="minorHAnsi" w:cstheme="minorHAnsi"/>
                <w:kern w:val="2"/>
                <w:sz w:val="18"/>
                <w:szCs w:val="18"/>
              </w:rPr>
              <w:t>----</w:t>
            </w:r>
          </w:p>
        </w:tc>
        <w:tc>
          <w:tcPr>
            <w:tcW w:w="571" w:type="dxa"/>
            <w:tcBorders>
              <w:top w:val="nil"/>
              <w:left w:val="nil"/>
              <w:bottom w:val="nil"/>
              <w:right w:val="nil"/>
            </w:tcBorders>
            <w:vAlign w:val="center"/>
          </w:tcPr>
          <w:p w14:paraId="7807133A" w14:textId="77777777" w:rsidR="00814700" w:rsidRDefault="006D0001">
            <w:pPr>
              <w:widowControl w:val="0"/>
              <w:jc w:val="center"/>
              <w:rPr>
                <w:rFonts w:asciiTheme="minorHAnsi" w:hAnsiTheme="minorHAnsi" w:cstheme="minorHAnsi"/>
                <w:sz w:val="18"/>
                <w:szCs w:val="18"/>
                <w:vertAlign w:val="superscript"/>
              </w:rPr>
            </w:pPr>
            <w:r>
              <w:rPr>
                <w:rFonts w:ascii="Segoe UI Symbol" w:eastAsia="Aptos" w:hAnsi="Segoe UI Symbol" w:cs="Segoe UI Symbol"/>
                <w:kern w:val="2"/>
                <w:sz w:val="18"/>
                <w:szCs w:val="18"/>
              </w:rPr>
              <w:t>✔</w:t>
            </w:r>
            <w:r>
              <w:rPr>
                <w:rFonts w:asciiTheme="minorHAnsi" w:eastAsia="Aptos" w:hAnsiTheme="minorHAnsi" w:cstheme="minorHAnsi"/>
                <w:kern w:val="2"/>
                <w:sz w:val="18"/>
                <w:szCs w:val="18"/>
                <w:vertAlign w:val="superscript"/>
              </w:rPr>
              <w:t>1</w:t>
            </w:r>
          </w:p>
        </w:tc>
      </w:tr>
      <w:tr w:rsidR="00814700" w14:paraId="78071343" w14:textId="77777777" w:rsidTr="005E5454">
        <w:trPr>
          <w:trHeight w:val="283"/>
        </w:trPr>
        <w:tc>
          <w:tcPr>
            <w:tcW w:w="2019" w:type="dxa"/>
            <w:tcBorders>
              <w:top w:val="nil"/>
              <w:left w:val="nil"/>
              <w:right w:val="nil"/>
            </w:tcBorders>
            <w:vAlign w:val="center"/>
          </w:tcPr>
          <w:p w14:paraId="7807133C" w14:textId="77777777" w:rsidR="00814700" w:rsidRDefault="006D0001">
            <w:pPr>
              <w:widowControl w:val="0"/>
              <w:rPr>
                <w:rFonts w:asciiTheme="minorHAnsi" w:hAnsiTheme="minorHAnsi" w:cstheme="minorHAnsi"/>
                <w:sz w:val="18"/>
                <w:szCs w:val="18"/>
              </w:rPr>
            </w:pPr>
            <w:r>
              <w:rPr>
                <w:rFonts w:asciiTheme="minorHAnsi" w:eastAsia="Aptos" w:hAnsiTheme="minorHAnsi" w:cstheme="minorHAnsi"/>
                <w:kern w:val="2"/>
                <w:sz w:val="18"/>
                <w:szCs w:val="18"/>
              </w:rPr>
              <w:t>UKESM1-StratTrop</w:t>
            </w:r>
          </w:p>
        </w:tc>
        <w:tc>
          <w:tcPr>
            <w:tcW w:w="3656" w:type="dxa"/>
            <w:tcBorders>
              <w:top w:val="nil"/>
              <w:left w:val="nil"/>
              <w:right w:val="nil"/>
            </w:tcBorders>
            <w:vAlign w:val="center"/>
          </w:tcPr>
          <w:p w14:paraId="7807133D" w14:textId="143FCD8F" w:rsidR="00814700" w:rsidRPr="001946F8" w:rsidRDefault="00DD21BA">
            <w:pPr>
              <w:widowControl w:val="0"/>
              <w:jc w:val="center"/>
              <w:rPr>
                <w:rFonts w:asciiTheme="minorHAnsi" w:hAnsiTheme="minorHAnsi" w:cstheme="minorHAnsi"/>
                <w:noProof/>
                <w:kern w:val="2"/>
                <w:sz w:val="18"/>
                <w:szCs w:val="18"/>
              </w:rPr>
            </w:pPr>
            <w:r>
              <w:rPr>
                <w:rFonts w:asciiTheme="minorHAnsi" w:hAnsiTheme="minorHAnsi" w:cstheme="minorHAnsi"/>
                <w:noProof/>
                <w:kern w:val="2"/>
                <w:sz w:val="18"/>
                <w:szCs w:val="18"/>
              </w:rPr>
              <w:fldChar w:fldCharType="begin" w:fldLock="1"/>
            </w:r>
            <w:r w:rsidR="007F7560">
              <w:rPr>
                <w:rFonts w:asciiTheme="minorHAnsi" w:hAnsiTheme="minorHAnsi" w:cstheme="minorHAnsi"/>
                <w:noProof/>
                <w:kern w:val="2"/>
                <w:sz w:val="18"/>
                <w:szCs w:val="18"/>
              </w:rPr>
              <w:instrText>ADDIN CSL_CITATION {"citationItems":[{"id":"ITEM-1","itemData":{"DOI":"10.1029/2019MS001739","ISSN":"19422466","abstract":"We document the development of the first version of the U.K. Earth System Model UKESM1. The model represents a major advance on its predecessor HadGEM2-ES, with enhancements to all component models and new feedback mechanisms. These include a new core physical model with a well-resolved stratosphere; terrestrial biogeochemistry with coupled carbon and nitrogen cycles and enhanced land management; tropospheric-stratospheric chemistry allowing the holistic simulation of radiative forcing from ozone, methane, and nitrous oxide; two-moment, five-species, modal aerosol; and ocean biogeochemistry with two-way coupling to the carbon cycle and atmospheric aerosols. The complexity of coupling between the ocean, land, and atmosphere physical climate and biogeochemical cycles in UKESM1 is unprecedented for an Earth system model. We describe in detail the process by which the coupled model was developed and tuned to achieve acceptable performance in key physical and Earth system quantities and discuss the challenges involved in mitigating biases in a model with complex connections between its components. Overall, the model performs well, with a stable pre-industrial state and good agreement with observations in the latter period of its historical simulations. However, global mean surface temperature exhibits stronger-than-observed cooling from 1950 to 1970, followed by rapid warming from 1980 to 2014. Metrics from idealized simulations show a high climate sensitivity relative to previous generations of models: Equilibrium climate sensitivity is 5.4 K, transient climate response ranges from 2.68 to 2.85 K, and transient climate response to cumulative emissions is 2.49 to 2.66 K TtC−1.","author":[{"dropping-particle":"","family":"Sellar","given":"Alistair A.","non-dropping-particle":"","parse-names":false,"suffix":""},{"dropping-particle":"","family":"Jones","given":"Colin G.","non-dropping-particle":"","parse-names":false,"suffix":""},{"dropping-particle":"","family":"Mulcahy","given":"Jane P.","non-dropping-particle":"","parse-names":false,"suffix":""},{"dropping-particle":"","family":"Tang","given":"Yongming","non-dropping-particle":"","parse-names":false,"suffix":""},{"dropping-particle":"","family":"Yool","given":"Andrew","non-dropping-particle":"","parse-names":false,"suffix":""},{"dropping-particle":"","family":"Wiltshire","given":"Andy","non-dropping-particle":"","parse-names":false,"suffix":""},{"dropping-particle":"","family":"O'Connor","given":"Fiona M.","non-dropping-particle":"","parse-names":false,"suffix":""},{"dropping-particle":"","family":"Stringer","given":"Marc","non-dropping-particle":"","parse-names":false,"suffix":""},{"dropping-particle":"","family":"Hill","given":"Richard","non-dropping-particle":"","parse-names":false,"suffix":""},{"dropping-particle":"","family":"Palmieri","given":"Julien","non-dropping-particle":"","parse-names":false,"suffix":""},{"dropping-particle":"","family":"Woodward","given":"Stephanie","non-dropping-particle":"","parse-names":false,"suffix":""},{"dropping-particle":"","family":"Mora","given":"Lee","non-dropping-particle":"de","parse-names":false,"suffix":""},{"dropping-particle":"","family":"Kuhlbrodt","given":"Till","non-dropping-particle":"","parse-names":false,"suffix":""},{"dropping-particle":"","family":"Rumbold","given":"Steven T.","non-dropping-particle":"","parse-names":false,"suffix":""},{"dropping-particle":"","family":"Kelley","given":"Douglas I.","non-dropping-particle":"","parse-names":false,"suffix":""},{"dropping-particle":"","family":"Ellis","given":"Rich","non-dropping-particle":"","parse-names":false,"suffix":""},{"dropping-particle":"","family":"Johnson","given":"Colin E.","non-dropping-particle":"","parse-names":false,"suffix":""},{"dropping-particle":"","family":"Walton","given":"Jeremy","non-dropping-particle":"","parse-names":false,"suffix":""},{"dropping-particle":"","family":"Abraham","given":"Nathan Luke","non-dropping-particle":"","parse-names":false,"suffix":""},{"dropping-particle":"","family":"Andrews","given":"Martin B.","non-dropping-particle":"","parse-names":false,"suffix":""},{"dropping-particle":"","family":"Andrews","given":"Timothy","non-dropping-particle":"","parse-names":false,"suffix":""},{"dropping-particle":"","family":"Archibald","given":"Alex T.","non-dropping-particle":"","parse-names":false,"suffix":""},{"dropping-particle":"","family":"Berthou","given":"Ségolène","non-dropping-particle":"","parse-names":false,"suffix":""},{"dropping-particle":"","family":"Burke","given":"Eleanor","non-dropping-particle":"","parse-names":false,"suffix":""},{"dropping-particle":"","family":"Blockley","given":"Ed","non-dropping-particle":"","parse-names":false,"suffix":""},{"dropping-particle":"","family":"Carslaw","given":"Ken","non-dropping-particle":"","parse-names":false,"suffix":""},{"dropping-particle":"","family":"Dalvi","given":"Mohit","non-dropping-particle":"","parse-names":false,"suffix":""},{"dropping-particle":"","family":"Edwards","given":"John","non-dropping-particle":"","parse-names":false,"suffix":""},{"dropping-particle":"","family":"Folberth","given":"Gerd A.","non-dropping-particle":"","parse-names":false,"suffix":""},{"dropping-particle":"","family":"Gedney","given":"Nicola","non-dropping-particle":"","parse-names":false,"suffix":""},{"dropping-particle":"","family":"Griffiths","given":"Paul T.","non-dropping-particle":"","parse-names":false,"suffix":""},{"dropping-particle":"","family":"Harper","given":"Anna B.","non-dropping-particle":"","parse-names":false,"suffix":""},{"dropping-particle":"","family":"Hendry","given":"Maggie A.","non-dropping-particle":"","parse-names":false,"suffix":""},{"dropping-particle":"","family":"Hewitt","given":"Alan J.","non-dropping-particle":"","parse-names":false,"suffix":""},{"dropping-particle":"","family":"Johnson","given":"Ben","non-dropping-particle":"","parse-names":false,"suffix":""},{"dropping-particle":"","family":"Jones","given":"Andy","non-dropping-particle":"","parse-names":false,"suffix":""},{"dropping-particle":"","family":"Jones","given":"Chris D.","non-dropping-particle":"","parse-names":false,"suffix":""},{"dropping-particle":"","family":"Keeble","given":"James","non-dropping-particle":"","parse-names":false,"suffix":""},{"dropping-particle":"","family":"Liddicoat","given":"Spencer","non-dropping-particle":"","parse-names":false,"suffix":""},{"dropping-particle":"","family":"Morgenstern","given":"Olaf","non-dropping-particle":"","parse-names":false,"suffix":""},{"dropping-particle":"","family":"Parker","given":"Robert J.","non-dropping-particle":"","parse-names":false,"suffix":""},{"dropping-particle":"","family":"Predoi","given":"Valeriu","non-dropping-particle":"","parse-names":false,"suffix":""},{"dropping-particle":"","family":"Robertson","given":"Eddy","non-dropping-particle":"","parse-names":false,"suffix":""},{"dropping-particle":"","family":"Siahaan","given":"Antony","non-dropping-particle":"","parse-names":false,"suffix":""},{"dropping-particle":"","family":"Smith","given":"Robin S.","non-dropping-particle":"","parse-names":false,"suffix":""},{"dropping-particle":"","family":"Swaminathan","given":"Ranjini","non-dropping-particle":"","parse-names":false,"suffix":""},{"dropping-particle":"","family":"Woodhouse","given":"Matthew T.","non-dropping-particle":"","parse-names":false,"suffix":""},{"dropping-particle":"","family":"Zeng","given":"Guang","non-dropping-particle":"","parse-names":false,"suffix":""},{"dropping-particle":"","family":"Zerroukat","given":"Mohamed","non-dropping-particle":"","parse-names":false,"suffix":""}],"container-title":"Journal of Advances in Modeling Earth Systems","id":"ITEM-1","issue":"12","issued":{"date-parts":[["2019"]]},"page":"4513-4558","title":"UKESM1: Description and Evaluation of the U.K. Earth System Model","type":"article-journal","volume":"11"},"uris":["http://www.mendeley.com/documents/?uuid=807c839b-b2fe-4666-a8e0-f71b0df15a81"]},{"id":"ITEM-2","itemData":{"DOI":"10.5194/gmd-13-1223-2020","ISSN":"19919603","abstract":"Here we present a description of the UKCA StratTrop chemical mechanism, which is used in the UKESM1 Earth system model for CMIP6. The StratTrop chemical mechanism is a merger of previously well-evaluated tropospheric and stratospheric mechanisms, and we provide results from a series of bespoke integrations to assess the overall performance of the model.&lt;/p&gt; We find that the StratTrop scheme performs well when compared to a wide array of observations. The analysis we present here focuses on key components of atmospheric composition, namely the performance of the model to simulate ozone in the stratosphere and troposphere and constituents that are important for ozone in these regions. We find that the results obtained for tropospheric ozone and its budget terms from the use of the StratTrop mechanism are sensitive to the host model; simulations with the same chemical mechanism run in an earlier version of the MetUM host model show a range of sensitivity to emissions that the current model does not fall within.&lt;/p&gt; Whilst the general model performance is suitable for use in the UKESM1 CMIP6 integrations, we note some shortcomings in the scheme that future targeted studies will address.","author":[{"dropping-particle":"","family":"Archibald","given":"Alexander T.","non-dropping-particle":"","parse-names":false,"suffix":""},{"dropping-particle":"","family":"M O'Connor","given":"Fiona","non-dropping-particle":"","parse-names":false,"suffix":""},{"dropping-particle":"","family":"Luke Abraham","given":"Nathan","non-dropping-particle":"","parse-names":false,"suffix":""},{"dropping-particle":"","family":"Archer-Nicholls","given":"Scott","non-dropping-particle":"","parse-names":false,"suffix":""},{"dropping-particle":"","family":"P Chipperfield","given":"Martyn","non-dropping-particle":"","parse-names":false,"suffix":""},{"dropping-particle":"","family":"Dalvi","given":"Mohit","non-dropping-particle":"","parse-names":false,"suffix":""},{"dropping-particle":"","family":"A Folberth","given":"Gerd","non-dropping-particle":"","parse-names":false,"suffix":""},{"dropping-particle":"","family":"Dennison","given":"Fraser","non-dropping-particle":"","parse-names":false,"suffix":""},{"dropping-particle":"","family":"S Dhomse","given":"Sandip","non-dropping-particle":"","parse-names":false,"suffix":""},{"dropping-particle":"","family":"T Griffiths","given":"Paul","non-dropping-particle":"","parse-names":false,"suffix":""},{"dropping-particle":"","family":"Hardacre","given":"Catherine","non-dropping-particle":"","parse-names":false,"suffix":""},{"dropping-particle":"","family":"J Hewitt","given":"Alan","non-dropping-particle":"","parse-names":false,"suffix":""},{"dropping-particle":"","family":"S Hill","given":"Richard","non-dropping-particle":"","parse-names":false,"suffix":""},{"dropping-particle":"","family":"E Johnson","given":"Colin","non-dropping-particle":"","parse-names":false,"suffix":""},{"dropping-particle":"","family":"Keeble","given":"James","non-dropping-particle":"","parse-names":false,"suffix":""},{"dropping-particle":"","family":"O Köhler","given":"Marcus","non-dropping-particle":"","parse-names":false,"suffix":""},{"dropping-particle":"","family":"Morgenstern","given":"Olaf","non-dropping-particle":"","parse-names":false,"suffix":""},{"dropping-particle":"","family":"P Mulcahy","given":"Jane","non-dropping-particle":"","parse-names":false,"suffix":""},{"dropping-particle":"","family":"Ordóñez","given":"Carlos","non-dropping-particle":"","parse-names":false,"suffix":""},{"dropping-particle":"","family":"J Pope","given":"Richard","non-dropping-particle":"","parse-names":false,"suffix":""},{"dropping-particle":"","family":"T Rumbold","given":"Steven","non-dropping-particle":"","parse-names":false,"suffix":""},{"dropping-particle":"","family":"R Russo","given":"Maria","non-dropping-particle":"","parse-names":false,"suffix":""},{"dropping-particle":"","family":"H Savage","given":"Nicholas","non-dropping-particle":"","parse-names":false,"suffix":""},{"dropping-particle":"","family":"Sellar","given":"Alistair","non-dropping-particle":"","parse-names":false,"suffix":""},{"dropping-particle":"","family":"Stringer","given":"Marc","non-dropping-particle":"","parse-names":false,"suffix":""},{"dropping-particle":"","family":"T Turnock","given":"Steven","non-dropping-particle":"","parse-names":false,"suffix":""},{"dropping-particle":"","family":"Wild","given":"Oliver","non-dropping-particle":"","parse-names":false,"suffix":""},{"dropping-particle":"","family":"Zeng","given":"Guang","non-dropping-particle":"","parse-names":false,"suffix":""}],"container-title":"Geoscientific Model Development","id":"ITEM-2","issue":"3","issued":{"date-parts":[["2020"]]},"page":"1223-1266","title":"Description and evaluation of the UKCA stratosphere-troposphere chemistry scheme (StratTrop vn 1.0) implemented in UKESM1","type":"article-journal","volume":"13"},"uris":["http://www.mendeley.com/documents/?uuid=e5eb4fcf-b520-471b-928c-dd8567168e59"]}],"mendeley":{"formattedCitation":"(Archibald et al., 2020; Sellar et al., 2019)","manualFormatting":"Archibald et al. (2020); Sellar et al. (2019)","plainTextFormattedCitation":"(Archibald et al., 2020; Sellar et al., 2019)","previouslyFormattedCitation":"(Archibald et al., 2020; Sellar et al., 2019)"},"properties":{"noteIndex":0},"schema":"https://github.com/citation-style-language/schema/raw/master/csl-citation.json"}</w:instrText>
            </w:r>
            <w:r>
              <w:rPr>
                <w:rFonts w:asciiTheme="minorHAnsi" w:hAnsiTheme="minorHAnsi" w:cstheme="minorHAnsi"/>
                <w:noProof/>
                <w:kern w:val="2"/>
                <w:sz w:val="18"/>
                <w:szCs w:val="18"/>
              </w:rPr>
              <w:fldChar w:fldCharType="separate"/>
            </w:r>
            <w:r w:rsidRPr="00DD21BA">
              <w:rPr>
                <w:rFonts w:asciiTheme="minorHAnsi" w:hAnsiTheme="minorHAnsi" w:cstheme="minorHAnsi"/>
                <w:noProof/>
                <w:kern w:val="2"/>
                <w:sz w:val="18"/>
                <w:szCs w:val="18"/>
              </w:rPr>
              <w:t xml:space="preserve">Archibald et al. </w:t>
            </w:r>
            <w:r>
              <w:rPr>
                <w:rFonts w:asciiTheme="minorHAnsi" w:hAnsiTheme="minorHAnsi" w:cstheme="minorHAnsi"/>
                <w:noProof/>
                <w:kern w:val="2"/>
                <w:sz w:val="18"/>
                <w:szCs w:val="18"/>
              </w:rPr>
              <w:t>(</w:t>
            </w:r>
            <w:r w:rsidRPr="00DD21BA">
              <w:rPr>
                <w:rFonts w:asciiTheme="minorHAnsi" w:hAnsiTheme="minorHAnsi" w:cstheme="minorHAnsi"/>
                <w:noProof/>
                <w:kern w:val="2"/>
                <w:sz w:val="18"/>
                <w:szCs w:val="18"/>
              </w:rPr>
              <w:t>2020</w:t>
            </w:r>
            <w:r>
              <w:rPr>
                <w:rFonts w:asciiTheme="minorHAnsi" w:hAnsiTheme="minorHAnsi" w:cstheme="minorHAnsi"/>
                <w:noProof/>
                <w:kern w:val="2"/>
                <w:sz w:val="18"/>
                <w:szCs w:val="18"/>
              </w:rPr>
              <w:t>)</w:t>
            </w:r>
            <w:r w:rsidRPr="00DD21BA">
              <w:rPr>
                <w:rFonts w:asciiTheme="minorHAnsi" w:hAnsiTheme="minorHAnsi" w:cstheme="minorHAnsi"/>
                <w:noProof/>
                <w:kern w:val="2"/>
                <w:sz w:val="18"/>
                <w:szCs w:val="18"/>
              </w:rPr>
              <w:t xml:space="preserve">; Sellar et al. </w:t>
            </w:r>
            <w:r>
              <w:rPr>
                <w:rFonts w:asciiTheme="minorHAnsi" w:hAnsiTheme="minorHAnsi" w:cstheme="minorHAnsi"/>
                <w:noProof/>
                <w:kern w:val="2"/>
                <w:sz w:val="18"/>
                <w:szCs w:val="18"/>
              </w:rPr>
              <w:t>(</w:t>
            </w:r>
            <w:r w:rsidRPr="00DD21BA">
              <w:rPr>
                <w:rFonts w:asciiTheme="minorHAnsi" w:hAnsiTheme="minorHAnsi" w:cstheme="minorHAnsi"/>
                <w:noProof/>
                <w:kern w:val="2"/>
                <w:sz w:val="18"/>
                <w:szCs w:val="18"/>
              </w:rPr>
              <w:t>2019)</w:t>
            </w:r>
            <w:r>
              <w:rPr>
                <w:rFonts w:asciiTheme="minorHAnsi" w:hAnsiTheme="minorHAnsi" w:cstheme="minorHAnsi"/>
                <w:noProof/>
                <w:kern w:val="2"/>
                <w:sz w:val="18"/>
                <w:szCs w:val="18"/>
              </w:rPr>
              <w:fldChar w:fldCharType="end"/>
            </w:r>
          </w:p>
        </w:tc>
        <w:tc>
          <w:tcPr>
            <w:tcW w:w="848" w:type="dxa"/>
            <w:tcBorders>
              <w:top w:val="nil"/>
              <w:left w:val="nil"/>
              <w:right w:val="nil"/>
            </w:tcBorders>
            <w:vAlign w:val="center"/>
          </w:tcPr>
          <w:p w14:paraId="7807133E" w14:textId="77777777" w:rsidR="00814700" w:rsidRDefault="006D0001">
            <w:pPr>
              <w:widowControl w:val="0"/>
              <w:jc w:val="center"/>
              <w:rPr>
                <w:rFonts w:asciiTheme="minorHAnsi" w:hAnsiTheme="minorHAnsi" w:cstheme="minorHAnsi"/>
                <w:sz w:val="18"/>
                <w:szCs w:val="18"/>
              </w:rPr>
            </w:pPr>
            <w:r>
              <w:rPr>
                <w:rFonts w:asciiTheme="minorHAnsi" w:eastAsia="Aptos" w:hAnsiTheme="minorHAnsi" w:cstheme="minorHAnsi"/>
                <w:kern w:val="2"/>
                <w:sz w:val="18"/>
                <w:szCs w:val="18"/>
              </w:rPr>
              <w:t>3</w:t>
            </w:r>
          </w:p>
        </w:tc>
        <w:tc>
          <w:tcPr>
            <w:tcW w:w="848" w:type="dxa"/>
            <w:tcBorders>
              <w:top w:val="nil"/>
              <w:left w:val="nil"/>
              <w:right w:val="nil"/>
            </w:tcBorders>
            <w:vAlign w:val="center"/>
          </w:tcPr>
          <w:p w14:paraId="7807133F" w14:textId="77777777" w:rsidR="00814700" w:rsidRDefault="006D0001">
            <w:pPr>
              <w:widowControl w:val="0"/>
              <w:jc w:val="center"/>
              <w:rPr>
                <w:rFonts w:asciiTheme="minorHAnsi" w:hAnsiTheme="minorHAnsi" w:cstheme="minorHAnsi"/>
                <w:sz w:val="18"/>
                <w:szCs w:val="18"/>
              </w:rPr>
            </w:pPr>
            <w:r>
              <w:rPr>
                <w:rFonts w:asciiTheme="minorHAnsi" w:eastAsia="Aptos" w:hAnsiTheme="minorHAnsi" w:cstheme="minorHAnsi"/>
                <w:kern w:val="2"/>
                <w:sz w:val="18"/>
                <w:szCs w:val="18"/>
              </w:rPr>
              <w:t>----</w:t>
            </w:r>
          </w:p>
        </w:tc>
        <w:tc>
          <w:tcPr>
            <w:tcW w:w="709" w:type="dxa"/>
            <w:tcBorders>
              <w:top w:val="nil"/>
              <w:left w:val="nil"/>
              <w:right w:val="nil"/>
            </w:tcBorders>
            <w:vAlign w:val="center"/>
          </w:tcPr>
          <w:p w14:paraId="78071340" w14:textId="77777777" w:rsidR="00814700" w:rsidRDefault="006D0001">
            <w:pPr>
              <w:widowControl w:val="0"/>
              <w:jc w:val="center"/>
              <w:rPr>
                <w:rFonts w:asciiTheme="minorHAnsi" w:hAnsiTheme="minorHAnsi" w:cstheme="minorHAnsi"/>
                <w:sz w:val="18"/>
                <w:szCs w:val="18"/>
              </w:rPr>
            </w:pPr>
            <w:r>
              <w:rPr>
                <w:rFonts w:ascii="Segoe UI Symbol" w:eastAsia="Aptos" w:hAnsi="Segoe UI Symbol" w:cs="Segoe UI Symbol"/>
                <w:kern w:val="2"/>
                <w:sz w:val="18"/>
                <w:szCs w:val="18"/>
              </w:rPr>
              <w:t>✔</w:t>
            </w:r>
          </w:p>
        </w:tc>
        <w:tc>
          <w:tcPr>
            <w:tcW w:w="709" w:type="dxa"/>
            <w:tcBorders>
              <w:top w:val="nil"/>
              <w:left w:val="nil"/>
              <w:right w:val="nil"/>
            </w:tcBorders>
            <w:vAlign w:val="center"/>
          </w:tcPr>
          <w:p w14:paraId="78071341" w14:textId="77777777" w:rsidR="00814700" w:rsidRDefault="006D0001">
            <w:pPr>
              <w:widowControl w:val="0"/>
              <w:jc w:val="center"/>
              <w:rPr>
                <w:rFonts w:asciiTheme="minorHAnsi" w:hAnsiTheme="minorHAnsi" w:cstheme="minorHAnsi"/>
                <w:sz w:val="18"/>
                <w:szCs w:val="18"/>
              </w:rPr>
            </w:pPr>
            <w:r>
              <w:rPr>
                <w:rFonts w:ascii="Segoe UI Symbol" w:eastAsia="Aptos" w:hAnsi="Segoe UI Symbol" w:cs="Segoe UI Symbol"/>
                <w:kern w:val="2"/>
                <w:sz w:val="18"/>
                <w:szCs w:val="18"/>
              </w:rPr>
              <w:t>✔</w:t>
            </w:r>
          </w:p>
        </w:tc>
        <w:tc>
          <w:tcPr>
            <w:tcW w:w="571" w:type="dxa"/>
            <w:tcBorders>
              <w:top w:val="nil"/>
              <w:left w:val="nil"/>
              <w:right w:val="nil"/>
            </w:tcBorders>
            <w:vAlign w:val="center"/>
          </w:tcPr>
          <w:p w14:paraId="78071342" w14:textId="77777777" w:rsidR="00814700" w:rsidRDefault="006D0001">
            <w:pPr>
              <w:widowControl w:val="0"/>
              <w:jc w:val="center"/>
              <w:rPr>
                <w:rFonts w:asciiTheme="minorHAnsi" w:hAnsiTheme="minorHAnsi" w:cstheme="minorHAnsi"/>
                <w:sz w:val="18"/>
                <w:szCs w:val="18"/>
              </w:rPr>
            </w:pPr>
            <w:r>
              <w:rPr>
                <w:rFonts w:ascii="Segoe UI Symbol" w:eastAsia="Aptos" w:hAnsi="Segoe UI Symbol" w:cs="Segoe UI Symbol"/>
                <w:kern w:val="2"/>
                <w:sz w:val="18"/>
                <w:szCs w:val="18"/>
              </w:rPr>
              <w:t>✔</w:t>
            </w:r>
          </w:p>
        </w:tc>
      </w:tr>
    </w:tbl>
    <w:p w14:paraId="78071344" w14:textId="77777777" w:rsidR="00814700" w:rsidRDefault="006D0001">
      <w:pPr>
        <w:pStyle w:val="PieFigura"/>
      </w:pPr>
      <w:r>
        <w:rPr>
          <w:sz w:val="24"/>
          <w:szCs w:val="24"/>
          <w:vertAlign w:val="superscript"/>
        </w:rPr>
        <w:t>1</w:t>
      </w:r>
      <w:r>
        <w:t xml:space="preserve"> In the CESM2-WACCM and SOCOL models, Age of Air data is only available in the REF-D1 simulations.</w:t>
      </w:r>
    </w:p>
    <w:p w14:paraId="78071345" w14:textId="77777777" w:rsidR="00814700" w:rsidRDefault="006D0001">
      <w:pPr>
        <w:pStyle w:val="Heading-Secondary"/>
        <w:rPr>
          <w:rFonts w:cstheme="minorHAnsi"/>
          <w:b/>
          <w:bCs w:val="0"/>
        </w:rPr>
      </w:pPr>
      <w:r>
        <w:rPr>
          <w:rFonts w:cstheme="minorHAnsi"/>
          <w:b/>
          <w:bCs w:val="0"/>
        </w:rPr>
        <w:t>2.3 Statistical analyses</w:t>
      </w:r>
    </w:p>
    <w:p w14:paraId="78071346" w14:textId="43176BBB" w:rsidR="00814700" w:rsidRDefault="006D0001" w:rsidP="00AB55F3">
      <w:pPr>
        <w:pStyle w:val="TextoNormal"/>
      </w:pPr>
      <w:r>
        <w:t xml:space="preserve">Throughout this study, trends over the 1998-2018 period have been computed from a simple least squares linear fit of monthly deseasonalized time series for all variables, in contrast to Ball et al. (2018, 2019, 2020), which used a dynamical linear modelling (DLM) approach, or </w:t>
      </w:r>
      <w:r>
        <w:lastRenderedPageBreak/>
        <w:t xml:space="preserve">Godin-Beekmann et al. (2022), which used the LOTUS regression model </w:t>
      </w:r>
      <w:r>
        <w:fldChar w:fldCharType="begin" w:fldLock="1"/>
      </w:r>
      <w:r>
        <w:instrText>ADDIN CSL_CITATION {"citationItems":[{"id":"ITEM-1","itemData":{"abstract":"This Report summarises the main results obtained during the first year of the LOTUS activity, which was targeted at providing timely inputs to the 2018 WMO/UNEP Ozone Assessment. This deadline defined the scope of this Report and focused the LOTUS activities primarily on changes in ozone levels in the middle and the upper stratosphere outside the polar regions as observed by merged satellite records. These studies were complemented by an analysis of ground-based data and recent model data provided by the CCMI (Morgenstern et al., 2017). The short timeline of this work necessitated leaving several pressing topics for the second phase of LOTUS, most notably: the significance of recent trends in the lower stratosphere, the attribution of trends to ODSs and GHGs using model data, and estimates of trends in the polar regions.","author":[{"dropping-particle":"","family":"Petropavlovskikh","given":"I","non-dropping-particle":"","parse-names":false,"suffix":""},{"dropping-particle":"","family":"Hubert","given":"D","non-dropping-particle":"","parse-names":false,"suffix":""},{"dropping-particle":"","family":"Damadeo","given":"R","non-dropping-particle":"","parse-names":false,"suffix":""},{"dropping-particle":"","family":"Hassler","given":"B","non-dropping-particle":"","parse-names":false,"suffix":""},{"dropping-particle":"","family":"Sofieva","given":"V","non-dropping-particle":"","parse-names":false,"suffix":""}],"container-title":"Sparc/Io3C/Gaw","id":"ITEM-1","issue":"9","issued":{"date-parts":[["2019"]]},"title":"SPARC/IO3C/GAW report on Long-term Ozone Trends and Uncertainties in the Stratosphere","type":"article-journal"},"uris":["http://www.mendeley.com/documents/?uuid=1964c0e0-bbd8-41b8-a6ea-71223d9f7527"]}],"mendeley":{"formattedCitation":"(Petropavlovskikh et al., 2019)","plainTextFormattedCitation":"(Petropavlovskikh et al., 2019)","previouslyFormattedCitation":"(Petropavlovskikh et al., 2019)"},"properties":{"noteIndex":0},"schema":"https://github.com/citation-style-language/schema/raw/master/csl-citation.json"}</w:instrText>
      </w:r>
      <w:r>
        <w:fldChar w:fldCharType="separate"/>
      </w:r>
      <w:r>
        <w:rPr>
          <w:noProof/>
        </w:rPr>
        <w:t>(Petropavlovskikh et al., 2019)</w:t>
      </w:r>
      <w:r>
        <w:fldChar w:fldCharType="end"/>
      </w:r>
      <w:r>
        <w:t xml:space="preserve">. In our results, statistical significance is evaluated at the 95% confidence level (p &lt; 0.05) using a </w:t>
      </w:r>
      <w:proofErr w:type="gramStart"/>
      <w:r>
        <w:t>Student’s</w:t>
      </w:r>
      <w:proofErr w:type="gramEnd"/>
      <w:r>
        <w:t xml:space="preserve"> t-test. Instead of computing a traditional multimodel mean with the trend of each simulation, we construct a probability density function following the methodology by </w:t>
      </w:r>
      <w:r>
        <w:fldChar w:fldCharType="begin" w:fldLock="1"/>
      </w:r>
      <w:r w:rsidR="00731574">
        <w:instrText>ADDIN CSL_CITATION {"citationItems":[{"id":"ITEM-1","itemData":{"DOI":"10.5194/acp-21-6811-2021","ISSN":"16807324","abstract":"Recent observations show a significant decrease in lower-stratospheric (LS) ozone concentrations in tropical and mid-latitude regions since 1998. By analysing 31 chemistry climate model (CCM) simulations performed for the Chemistry Climate Model Initiative (CCMI; Morgenstern et al., 2017), we find a large spread in the 1998 2018 trend patterns between different CCMs and between different realizations performed with the same CCM. The latter in particular indicates that natural variability strongly influences LS ozone trends. However none of the model simulations reproduce the observed ozone trend structure of coherent negative trends in the LS. In contrast to the observations, most models show an LS trend pattern with negative trends in the tropics (20 S 20 N) and positive trends in the northern mid-latitudes (30 50 N) or vice versa. To investigate the influence of natural variability on recent LS ozone trends, we analyse the sensitivity of observational trends and the models trend probability distributions for varying periods with start dates from 1995 to 2001 and end dates from 2013 to 2019. Generally, modelled and observed LS trends remain robust for these different periods; however observational data show a change towards weaker mid-latitude trends for certain periods, likely forced by natural variability. Moreover we show that in the tropics the observed trends agree well with the models trend distribution, whereas in the mid-latitudes the observational trend is typically an extreme value of the models distribution. We further investigate the LS ozone trends for extended periods reaching into the future and find that all models develop a positive ozone trend at mid-latitudes, and the trends converge to constant values by the period that spans 1998 2060. Inter-model correlations between ozone trends and transport-circulation trends confirm the dominant role of greenhouse gas (GHG)-driven tropical upwelling enhancement on the tropical LS ozone decrease. Mid-latitude ozone, on the other hand, appears to be influenced by multiple competing factors: an enhancement in the shallow branch decreases ozone, while an enhancement in the deep branch increases ozone, and, furthermore, mixing plays a role here too. Sensitivity simulations with fixed forcing of GHGs or ozonedepleting substances (ODSs) reveal that the GHG-driven increase in circulation strength does not lead to a net trend in LS mid-latitude column ozone. Rather, the positive ozone trends simulated …","author":[{"dropping-particle":"","family":"Dietmüller","given":"Simone","non-dropping-particle":"","parse-names":false,"suffix":""},{"dropping-particle":"","family":"Garny","given":"Hella","non-dropping-particle":"","parse-names":false,"suffix":""},{"dropping-particle":"","family":"Eichinger","given":"Roland","non-dropping-particle":"","parse-names":false,"suffix":""},{"dropping-particle":"","family":"T. Ball","given":"William","non-dropping-particle":"","parse-names":false,"suffix":""}],"container-title":"Atmospheric Chemistry and Physics","id":"ITEM-1","issue":"9","issued":{"date-parts":[["2021"]]},"page":"6811-6837","title":"Analysis of recent lower-stratospheric ozone trends in chemistry climate models","type":"article-journal","volume":"21"},"uris":["http://www.mendeley.com/documents/?uuid=ec470fca-7eb9-49d7-bc91-23f50bb0652a"]}],"mendeley":{"formattedCitation":"(Dietmüller et al., 2021)","manualFormatting":"Dietmüller et al. (2021)","plainTextFormattedCitation":"(Dietmüller et al., 2021)","previouslyFormattedCitation":"(Dietmüller et al., 2021)"},"properties":{"noteIndex":0},"schema":"https://github.com/citation-style-language/schema/raw/master/csl-citation.json"}</w:instrText>
      </w:r>
      <w:r>
        <w:fldChar w:fldCharType="separate"/>
      </w:r>
      <w:r w:rsidR="005C7BA8">
        <w:rPr>
          <w:noProof/>
        </w:rPr>
        <w:t>Dietmüller</w:t>
      </w:r>
      <w:r>
        <w:rPr>
          <w:noProof/>
        </w:rPr>
        <w:t xml:space="preserve"> et al. (2021)</w:t>
      </w:r>
      <w:r>
        <w:fldChar w:fldCharType="end"/>
      </w:r>
      <w:r w:rsidR="00AB55F3">
        <w:t xml:space="preserve"> to get an estimate of the behavior of the multi-model trend</w:t>
      </w:r>
      <w:r>
        <w:t xml:space="preserve">. In this fashion, we have more complete information </w:t>
      </w:r>
      <w:proofErr w:type="gramStart"/>
      <w:r>
        <w:t>of</w:t>
      </w:r>
      <w:proofErr w:type="gramEnd"/>
      <w:r>
        <w:t xml:space="preserve"> the trends -and their uncertainties- across models and we make a better comparison between REF-D1 and REF-D2 simulations and the observed trend values. To do so, we perform a bootstrap method as follows. First, we randomly choose one of the available models (</w:t>
      </w:r>
      <w:r>
        <w:rPr>
          <w:i/>
          <w:iCs/>
        </w:rPr>
        <w:t>m</w:t>
      </w:r>
      <w:r>
        <w:t>) and one of its ensemble members (</w:t>
      </w:r>
      <w:r>
        <w:rPr>
          <w:i/>
          <w:iCs/>
        </w:rPr>
        <w:t>e</w:t>
      </w:r>
      <w:r>
        <w:t>) if the model provides more than one simulation. Next, we calculate the linear regression slope coefficient (</w:t>
      </w:r>
      <w:proofErr w:type="gramStart"/>
      <w:r>
        <w:t>T</w:t>
      </w:r>
      <w:r>
        <w:rPr>
          <w:vertAlign w:val="subscript"/>
        </w:rPr>
        <w:t>m,e</w:t>
      </w:r>
      <w:proofErr w:type="gramEnd"/>
      <w:r>
        <w:t>) and its associated uncertainty (Δ</w:t>
      </w:r>
      <w:proofErr w:type="gramStart"/>
      <w:r w:rsidRPr="004771BF">
        <w:rPr>
          <w:vertAlign w:val="subscript"/>
        </w:rPr>
        <w:t>m,e</w:t>
      </w:r>
      <w:proofErr w:type="gramEnd"/>
      <w:r>
        <w:t>) for this model (</w:t>
      </w:r>
      <w:r>
        <w:rPr>
          <w:i/>
          <w:iCs/>
        </w:rPr>
        <w:t>m</w:t>
      </w:r>
      <w:r>
        <w:t>) and simulation (</w:t>
      </w:r>
      <w:r>
        <w:rPr>
          <w:i/>
          <w:iCs/>
        </w:rPr>
        <w:t>e</w:t>
      </w:r>
      <w:r>
        <w:t xml:space="preserve">) using the least squares method. Then, the computed ozone trend for this </w:t>
      </w:r>
      <w:proofErr w:type="gramStart"/>
      <w:r>
        <w:t>particular simulation</w:t>
      </w:r>
      <w:proofErr w:type="gramEnd"/>
      <w:r>
        <w:t xml:space="preserve"> is described as a normal distribution with mean μ</w:t>
      </w:r>
      <w:proofErr w:type="gramStart"/>
      <w:r>
        <w:rPr>
          <w:vertAlign w:val="subscript"/>
        </w:rPr>
        <w:t>m,e</w:t>
      </w:r>
      <w:proofErr w:type="gramEnd"/>
      <w:r>
        <w:rPr>
          <w:vertAlign w:val="subscript"/>
        </w:rPr>
        <w:t xml:space="preserve"> </w:t>
      </w:r>
      <w:r>
        <w:t xml:space="preserve">= </w:t>
      </w:r>
      <w:proofErr w:type="gramStart"/>
      <w:r>
        <w:t>T</w:t>
      </w:r>
      <w:r>
        <w:rPr>
          <w:vertAlign w:val="subscript"/>
        </w:rPr>
        <w:t>m,e</w:t>
      </w:r>
      <w:proofErr w:type="gramEnd"/>
      <w:r>
        <w:t xml:space="preserve"> and standard deviation σ</w:t>
      </w:r>
      <w:proofErr w:type="gramStart"/>
      <w:r>
        <w:rPr>
          <w:vertAlign w:val="subscript"/>
        </w:rPr>
        <w:t>m,e</w:t>
      </w:r>
      <w:proofErr w:type="gramEnd"/>
      <w:r>
        <w:rPr>
          <w:vertAlign w:val="subscript"/>
        </w:rPr>
        <w:t xml:space="preserve"> </w:t>
      </w:r>
      <w:r>
        <w:t>= Δ</w:t>
      </w:r>
      <w:proofErr w:type="gramStart"/>
      <w:r>
        <w:rPr>
          <w:vertAlign w:val="subscript"/>
        </w:rPr>
        <w:t>m,e</w:t>
      </w:r>
      <w:r>
        <w:t>.</w:t>
      </w:r>
      <w:proofErr w:type="gramEnd"/>
      <w:r>
        <w:t xml:space="preserve"> Finally, a trend value within this normal distribution </w:t>
      </w:r>
      <w:proofErr w:type="gramStart"/>
      <w:r>
        <w:t>N(</w:t>
      </w:r>
      <w:proofErr w:type="gramEnd"/>
      <w:r>
        <w:t>μ</w:t>
      </w:r>
      <w:proofErr w:type="gramStart"/>
      <w:r>
        <w:rPr>
          <w:vertAlign w:val="subscript"/>
        </w:rPr>
        <w:t>m,e</w:t>
      </w:r>
      <w:proofErr w:type="gramEnd"/>
      <w:r>
        <w:t xml:space="preserve"> , σ</w:t>
      </w:r>
      <w:proofErr w:type="gramStart"/>
      <w:r>
        <w:rPr>
          <w:vertAlign w:val="subscript"/>
        </w:rPr>
        <w:t>m,e</w:t>
      </w:r>
      <w:proofErr w:type="gramEnd"/>
      <w:r>
        <w:t>) is randomly selected. We repeat the above-explained process 10</w:t>
      </w:r>
      <w:r>
        <w:rPr>
          <w:vertAlign w:val="superscript"/>
        </w:rPr>
        <w:t>6</w:t>
      </w:r>
      <w:r>
        <w:t xml:space="preserve"> times </w:t>
      </w:r>
      <w:proofErr w:type="gramStart"/>
      <w:r>
        <w:t>in order to</w:t>
      </w:r>
      <w:proofErr w:type="gramEnd"/>
      <w:r>
        <w:t xml:space="preserve"> have a large sample of simulated trends and build a robust probability distribution for the multimodel ozone trends.  </w:t>
      </w:r>
    </w:p>
    <w:p w14:paraId="78071347" w14:textId="77777777" w:rsidR="00814700" w:rsidRDefault="006D0001">
      <w:pPr>
        <w:pStyle w:val="Heading-Main"/>
        <w:rPr>
          <w:rFonts w:asciiTheme="minorHAnsi" w:hAnsiTheme="minorHAnsi" w:cstheme="minorHAnsi"/>
        </w:rPr>
      </w:pPr>
      <w:r>
        <w:rPr>
          <w:rFonts w:asciiTheme="minorHAnsi" w:hAnsiTheme="minorHAnsi" w:cstheme="minorHAnsi"/>
        </w:rPr>
        <w:t>3 Results</w:t>
      </w:r>
    </w:p>
    <w:p w14:paraId="78071348" w14:textId="77777777" w:rsidR="00814700" w:rsidRDefault="006D0001">
      <w:pPr>
        <w:pStyle w:val="Heading-Secondary"/>
        <w:rPr>
          <w:b/>
        </w:rPr>
      </w:pPr>
      <w:r>
        <w:rPr>
          <w:b/>
        </w:rPr>
        <w:t>3.1 Assessment of ozone trends in CCMI-2022 models over the period 1998-2018</w:t>
      </w:r>
    </w:p>
    <w:p w14:paraId="78071349" w14:textId="42B023F9" w:rsidR="00814700" w:rsidRDefault="006D0001">
      <w:pPr>
        <w:pStyle w:val="TextoNormal"/>
      </w:pPr>
      <w:r>
        <w:t xml:space="preserve">The aim of this section is to analyze ozone trends </w:t>
      </w:r>
      <w:r w:rsidR="00CF7A2B">
        <w:t xml:space="preserve">for the 1998-2018 period </w:t>
      </w:r>
      <w:r>
        <w:t>in REF-D1 and REF-D2 CCMI-2022 simulations and to compare them with the observed ozone trends from the observational dataset BASIC</w:t>
      </w:r>
      <w:r>
        <w:rPr>
          <w:vertAlign w:val="subscript"/>
        </w:rPr>
        <w:t>SG</w:t>
      </w:r>
      <w:r>
        <w:t>. We select this period for several reasons. First, to be consistent with previous studies that used the same initial year. Second, because</w:t>
      </w:r>
      <w:r w:rsidR="00A16BB5">
        <w:t xml:space="preserve"> </w:t>
      </w:r>
      <w:r>
        <w:t xml:space="preserve">ODS began to decline </w:t>
      </w:r>
      <w:proofErr w:type="gramStart"/>
      <w:r>
        <w:t>as a result of</w:t>
      </w:r>
      <w:proofErr w:type="gramEnd"/>
      <w:r>
        <w:t xml:space="preserve"> the Montreal Protocol around 1998. Finally, because the REF-D1 simulations only provide output up to the year 2018.</w:t>
      </w:r>
    </w:p>
    <w:p w14:paraId="2C7C3A75" w14:textId="755AD998" w:rsidR="007214E2" w:rsidRPr="00205224" w:rsidRDefault="006D0001" w:rsidP="00205224">
      <w:pPr>
        <w:pStyle w:val="TextoNormal"/>
      </w:pPr>
      <w:r>
        <w:t xml:space="preserve">Figure 1 </w:t>
      </w:r>
      <w:r w:rsidRPr="00205224">
        <w:t>shows the latitude–pressure cross-section of the relative ozone trend over the period 1998-2018 for observations and the REF-D1 simulations, while Figure 2 shows trends for REF-D2 simulations. Overall, the spatial pattern and magnitude of trends in observations (green box in Figure 1) are highly consistent with those found in previous studies using different approaches and observational datasets</w:t>
      </w:r>
      <w:r w:rsidR="005B0304">
        <w:t xml:space="preserve"> </w:t>
      </w:r>
      <w:r w:rsidR="005B0304">
        <w:fldChar w:fldCharType="begin" w:fldLock="1"/>
      </w:r>
      <w:r w:rsidR="00F808ED">
        <w:instrText>ADDIN CSL_CITATION {"citationItems":[{"id":"ITEM-1","itemData":{"ISBN":"978-9914-733-97-6","author":[{"dropping-particle":"","family":"WMO","given":"","non-dropping-particle":"","parse-names":false,"suffix":""}],"id":"ITEM-1","issued":{"date-parts":[["2022"]]},"publisher":"World Meteorological Organization","publisher-place":"Geneva, Switzerland","title":"Scientific Assessment of Ozone Depletion: Global Ozone Research and Monitoring Project -- GAW Report no. 278","type":"book"},"uris":["http://www.mendeley.com/documents/?uuid=f0f14e12-4ad3-434c-bfd0-5202ce9a0a84"]}],"mendeley":{"formattedCitation":"(WMO, 2022)","plainTextFormattedCitation":"(WMO, 2022)","previouslyFormattedCitation":"(WMO, 2022)"},"properties":{"noteIndex":0},"schema":"https://github.com/citation-style-language/schema/raw/master/csl-citation.json"}</w:instrText>
      </w:r>
      <w:r w:rsidR="005B0304">
        <w:fldChar w:fldCharType="separate"/>
      </w:r>
      <w:r w:rsidR="005B0304" w:rsidRPr="005B0304">
        <w:rPr>
          <w:noProof/>
        </w:rPr>
        <w:t>(WMO, 2022)</w:t>
      </w:r>
      <w:r w:rsidR="005B0304">
        <w:fldChar w:fldCharType="end"/>
      </w:r>
      <w:r w:rsidRPr="00205224">
        <w:t xml:space="preserve">. Upper stratospheric ozone (above 10 hPa) presents a consistent and almost hemisphere-symmetric increase in observations and in all model simulations. This behavior is associated with the reduction of ODS thanks to the Montreal Protocol and also with a slowdown in ozone depletion reactions rates as the stratosphere cools due to the increase in </w:t>
      </w:r>
      <w:r w:rsidR="008C74BF" w:rsidRPr="00205224">
        <w:t>GHG</w:t>
      </w:r>
      <w:r w:rsidRPr="00205224">
        <w:t xml:space="preserve"> </w:t>
      </w:r>
      <w:r w:rsidR="007214E2" w:rsidRPr="00205224">
        <w:fldChar w:fldCharType="begin" w:fldLock="1"/>
      </w:r>
      <w:r w:rsidR="00731574">
        <w:instrText xml:space="preserve">ADDIN CSL_CITATION {"citationItems":[{"id":"ITEM-1","itemData":{"DOI":"10.5194/acp-18-8409-2018","ISSN":"16807324","abstract":"We analyse simulations performed for the Chemistry-Climate Model Initiative (CCMI) to estimate the return dates of the stratospheric ozone layer from depletion caused by anthropogenic stratospheric chlorine and bromine. We consider a total of 155 simulations from 20 models, including a range of sensitivity studies which examine the impact of climate change on ozone recovery. For the control simulations (unconstrained by nudging towards analysed meteorology) there is a large spread (±20gDU in the global average) in the predictions of the absolute ozone column. Therefore, the model results need to be adjusted for biases against historical data. Also, the interannual variability in the model results need to be smoothed in order to provide a reasonably narrow estimate of the range of ozone return dates. Consistent with previous studies, but here for a Representative Concentration Pathway (RCP) of 6.0, these new CCMI simulations project that global total column ozone will return to 1980 values in 2049 (with a 1σ uncertainty of 2043-2055). At Southern Hemisphere mid-latitudes column ozone is projected to return to 1980 values in 2045 (2039-2050), and at Northern Hemisphere mid-latitudes in 2032 (2020-2044). In the polar regions, the return dates are 2060 (2055-2066) in the Antarctic in October and 2034 (2025-2043) in the Arctic in March. The earlier return dates in the Northern Hemisphere reflect the larger sensitivity to dynamical changes. Our estimates of return dates are later than those presented in the 2014 Ozone Assessment by approximately 5-17 years, depending on the region, with the previous best estimates often falling outside of our uncertainty range. In the tropics only around half the models predict a return of ozone to 1980 values, around 2040, while the other half do not reach the 1980 value. All models show a negative trend in tropical total column ozone towards the end of the 21st century. The CCMI models generally agree in their simulation of the time evolution of stratospheric chlorine and bromine, which are the main drivers of ozone loss and recovery. However, there are a few outliers which show that the multi-model mean results for ozone recovery are not as tightly constrained as possible. Throughout the stratosphere the spread of ozone return dates to 1980 values between models tends to correlate with the spread of the return of inorganic chlorine to 1980 values. In the upper stratosphere, greenhouse gas-induced cooling speeds up the retu…","author":[{"dropping-particle":"","family":"Dhomse","given":"Sandip S.","non-dropping-particle":"","parse-names":false,"suffix":""},{"dropping-particle":"","family":"Kinnison","given":"Douglas","non-dropping-particle":"","parse-names":false,"suffix":""},{"dropping-particle":"","family":"Chipperfield","given":"Martyn P.","non-dropping-particle":"","parse-names":false,"suffix":""},{"dropping-particle":"","family":"Salawitch","given":"Ross J.","non-dropping-particle":"","parse-names":false,"suffix":""},{"dropping-particle":"","family":"Cionni","given":"Irene","non-dropping-particle":"","parse-names":false,"suffix":""},{"dropping-particle":"","family":"Hegglin","given":"Michaela I.","non-dropping-particle":"","parse-names":false,"suffix":""},{"dropping-particle":"","family":"Abraham","given":"N. Luke","non-dropping-particle":"","parse-names":false,"suffix":""},{"dropping-particle":"","family":"Akiyoshi","given":"Hideharu","non-dropping-particle":"","parse-names":false,"suffix":""},{"dropping-particle":"","family":"Archibald","given":"Alex T.","non-dropping-particle":"","parse-names":false,"suffix":""},{"dropping-particle":"","family":"Bednarz","given":"Ewa M.","non-dropping-particle":"","parse-names":false,"suffix":""},{"dropping-particle":"","family":"Bekki","given":"Slimane","non-dropping-particle":"","parse-names":false,"suffix":""},{"dropping-particle":"","family":"Braesicke","given":"Peter","non-dropping-particle":"","parse-names":false,"suffix":""},{"dropping-particle":"","family":"Butchart","given":"Neal","non-dropping-particle":"","parse-names":false,"suffix":""},{"dropping-particle":"","family":"Dameris","given":"Martin","non-dropping-particle":"","parse-names":false,"suffix":""},{"dropping-particle":"","family":"Deushi","given":"Makoto","non-dropping-particle":"","parse-names":false,"suffix":""},{"dropping-particle":"","family":"Frith","given":"Stacey","non-dropping-particle":"","parse-names":false,"suffix":""},{"dropping-particle":"","family":"Hardiman","given":"Steven C.","non-dropping-particle":"","parse-names":false,"suffix":""},{"dropping-particle":"","family":"Hassler","given":"Birgit","non-dropping-particle":"","parse-names":false,"suffix":""},{"dropping-particle":"","family":"Horowitz","given":"Larry W.","non-dropping-particle":"","parse-names":false,"suffix":""},{"dropping-particle":"","family":"Hu","given":"Rong Ming","non-dropping-particle":"","parse-names":false,"suffix":""},{"dropping-particle":"","family":"Jöckel","given":"Patrick","non-dropping-particle":"","parse-names":false,"suffix":""},{"dropping-particle":"","family":"Josse","given":"Beatrice","non-dropping-particle":"","parse-names":false,"suffix":""},{"dropping-particle":"","family":"Kirner","given":"Oliver","non-dropping-particle":"","parse-names":false,"suffix":""},{"dropping-particle":"","family":"Kremser","given":"Stefanie","non-dropping-particle":"","parse-names":false,"suffix":""},{"dropping-particle":"","family":"Langematz","given":"Ulrike","non-dropping-particle":"","parse-names":false,"suffix":""},{"dropping-particle":"","family":"Lewis","given":"Jared","non-dropping-particle":"","parse-names":false,"suffix":""},{"dropping-particle":"","family":"Marchand","given":"Marion","non-dropping-particle":"","parse-names":false,"suffix":""},{"dropping-particle":"","family":"Lin","given":"Meiyun","non-dropping-particle":"","parse-names":false,"suffix":""},{"dropping-particle":"","family":"Mancini","given":"Eva","non-dropping-particle":"","parse-names":false,"suffix":""},{"dropping-particle":"","family":"Marécal","given":"Virginie","non-dropping-particle":"","parse-names":false,"suffix":""},{"dropping-particle":"","family":"Michou","given":"Martine","non-dropping-particle":"","parse-names":false,"suffix":""},{"dropping-particle":"","family":"Morgenstern","given":"Olaf","non-dropping-particle":"","parse-names":false,"suffix":""},{"dropping-particle":"","family":"O'Connor","given":"Fiona M.","non-dropping-particle":"","parse-names":false,"suffix":""},{"dropping-particle":"","family":"Oman","given":"Luke","non-dropping-particle":"","parse-names":false,"suffix":""},{"dropping-particle":"","family":"Pitari","given":"Giovanni","non-dropping-particle":"","parse-names":false,"suffix":""},{"dropping-particle":"","family":"Plummer","given":"David A.","non-dropping-particle":"","parse-names":false,"suffix":""},{"dropping-particle":"","family":"Pyle","given":"John A.","non-dropping-particle":"","parse-names":false,"suffix":""},{"dropping-particle":"","family":"Revell","given":"Laura E.","non-dropping-particle":"","parse-names":false,"suffix":""},{"dropping-particle":"","family":"Rozanov","given":"Eugene","non-dropping-particle":"","parse-names":false,"suffix":""},{"dropping-particle":"","family":"Schofield","given":"Robyn","non-dropping-particle":"","parse-names":false,"suffix":""},{"dropping-particle":"","family":"Stenke","given":"Andrea","non-dropping-particle":"","parse-names":false,"suffix":""},{"dropping-particle":"","family":"Stone","given":"Kane","non-dropping-particle":"","parse-names":false,"suffix":""},{"dropping-particle":"","family":"Sudo","given":"Kengo","non-dropping-particle":"","parse-names":false,"suffix":""},{"dropping-particle":"","family":"Tilmes","given":"Simone","non-dropping-particle":"","parse-names":false,"suffix":""},{"dropping-particle":"","family":"Visioni","given":"Daniele","non-dropping-particle":"","parse-names":false,"suffix":""},{"dropping-particle":"","family":"Yamashita","given":"Yousuke","non-dropping-particle":"","parse-names":false,"suffix":""},{"dropping-particle":"","family":"Zeng","given":"Guang","non-dropping-particle":"","parse-names":false,"suffix":""}],"container-title":"Atmospheric Chemistry and Physics","id":"ITEM-1","issue":"11","issued":{"date-parts":[["2018"]]},"page":"8409-8438","title":"Estimates of ozone return dates from Chemistry-Climate Model Initiative simulations","type":"article-journal","volume":"18"},"uris":["http://www.mendeley.com/documents/?uuid=1b92c4c2-af87-4cd3-9416-1cf1fcf13db7"]},{"id":"ITEM-2","itemData":{"DOI":"10.5194/acp-21-5015-2021","ISSN":"16807324","abstract":"Stratospheric ozone and water vapour are key components of the Earth system, and past and future changes to both have important impacts on global and regional climate. Here, we evaluate long-term changes in these species from the pre-industrial period (1850) to the end of the 21st century in Coupled Model Intercomparison Project phase 6 (CMIP6) models under a range of future emissions scenarios. There is good agreement between the CMIP multi-model mean and observations for total column ozone (TCO), although there is substantial variation between the individual CMIP6 models. For the CMIP6 multi-model mean, global mean TCO has increased from </w:instrText>
      </w:r>
      <w:r w:rsidR="00731574">
        <w:rPr>
          <w:rFonts w:ascii="Cambria Math" w:hAnsi="Cambria Math" w:cs="Cambria Math"/>
        </w:rPr>
        <w:instrText>∼</w:instrText>
      </w:r>
      <w:r w:rsidR="00731574">
        <w:instrText xml:space="preserve">300 DU in 1850 to </w:instrText>
      </w:r>
      <w:r w:rsidR="00731574">
        <w:rPr>
          <w:rFonts w:ascii="Cambria Math" w:hAnsi="Cambria Math" w:cs="Cambria Math"/>
        </w:rPr>
        <w:instrText>∼</w:instrText>
      </w:r>
      <w:r w:rsidR="00731574">
        <w:instrText xml:space="preserve"> 305 DU in 1960, before rapidly declining in the 1970s and 1980s following the use and emission of halogenated ozone-depleting substances (ODSs). TCO is projected to return to 1960s values by the middle of the 21st century under the SSP2-4.5, SSP3-7.0, SSP4-3.4, SSP4-6.0, and SSP5-8.5 scenarios, and under the SSP3-7.0 and SSP5-8.5 scenarios TCO values are projected to be </w:instrText>
      </w:r>
      <w:r w:rsidR="00731574">
        <w:rPr>
          <w:rFonts w:ascii="Cambria Math" w:hAnsi="Cambria Math" w:cs="Cambria Math"/>
        </w:rPr>
        <w:instrText>∼</w:instrText>
      </w:r>
      <w:r w:rsidR="00731574">
        <w:instrText xml:space="preserve"> 10 DU higher than the 1960s values by 2100. However, under the SSP1-1.9 and SSP1-1.6 scenarios, TCO is not projected to return to the 1960s values despite reductions in halogenated ODSs due to decreases in tropospheric ozone mixing ratios. This global pattern is similar to regional patterns, except in the tropics where TCO under most scenarios is not projected to return to 1960s values, either through reductions in tropospheric ozone under SSP1-1.9 and SSP1-2.6, or through reductions in lower stratospheric ozone resulting from an acceleration of the Brewer-Dobson circulation under other Shared Socioeconomic Pathways (SSPs). In contrast to TCO, there is poorer agreement between the CMIP6 multi-model mean and observed lower stratospheric water vapour mixing ratios, with the CMIP6 multi-model mean underestimating observed water vapour mixing ratios by </w:instrText>
      </w:r>
      <w:r w:rsidR="00731574">
        <w:rPr>
          <w:rFonts w:ascii="Cambria Math" w:hAnsi="Cambria Math" w:cs="Cambria Math"/>
        </w:rPr>
        <w:instrText>∼</w:instrText>
      </w:r>
      <w:r w:rsidR="00731574">
        <w:instrText xml:space="preserve"> 0.5 ppmv at 70 hPa. CMIP6 multi-model mean stratospheric water vapour mixing ratios in the tropical lower stratosphere have increased by </w:instrText>
      </w:r>
      <w:r w:rsidR="00731574">
        <w:rPr>
          <w:rFonts w:ascii="Cambria Math" w:hAnsi="Cambria Math" w:cs="Cambria Math"/>
        </w:rPr>
        <w:instrText>∼</w:instrText>
      </w:r>
      <w:r w:rsidR="00731574">
        <w:instrText xml:space="preserve"> 0.5 ppmv from the pre-industrial to the present-day period and are projected to increase further by the end of the 21st century. The largest increases (</w:instrText>
      </w:r>
      <w:r w:rsidR="00731574">
        <w:rPr>
          <w:rFonts w:ascii="Cambria Math" w:hAnsi="Cambria Math" w:cs="Cambria Math"/>
        </w:rPr>
        <w:instrText>∼</w:instrText>
      </w:r>
      <w:r w:rsidR="00731574">
        <w:instrText xml:space="preserve"> 2 ppmv) are simulated under the future scenarios with the highest assumed forcing pathway (e.g. SSP5-8.5). Tropical lower stratospheric water vapour, and to a lesser extent TCO, shows large variations following explosive volcanic eruptions.","author":[{"dropping-particle":"","family":"Keeble","given":"James","non-dropping-particle":"","parse-names":false,"suffix":""},{"dropping-particle":"","family":"Hassler","given":"Birgit","non-dropping-particle":"","parse-names":false,"suffix":""},{"dropping-particle":"","family":"Banerjee","given":"Antara","non-dropping-particle":"","parse-names":false,"suffix":""},{"dropping-particle":"","family":"Checa-Garcia","given":"Ramiro","non-dropping-particle":"","parse-names":false,"suffix":""},{"dropping-particle":"","family":"Chiodo","given":"Gabriel","non-dropping-particle":"","parse-names":false,"suffix":""},{"dropping-particle":"","family":"Davis","given":"Sean","non-dropping-particle":"","parse-names":false,"suffix":""},{"dropping-particle":"","family":"Eyring","given":"Veronika","non-dropping-particle":"","parse-names":false,"suffix":""},{"dropping-particle":"","family":"Griffiths","given":"Paul T.","non-dropping-particle":"","parse-names":false,"suffix":""},{"dropping-particle":"","family":"Morgenstern","given":"Olaf","non-dropping-particle":"","parse-names":false,"suffix":""},{"dropping-particle":"","family":"Nowack","given":"Peer","non-dropping-particle":"","parse-names":false,"suffix":""},{"dropping-particle":"","family":"Zeng","given":"Guang","non-dropping-particle":"","parse-names":false,"suffix":""},{"dropping-particle":"","family":"Zhang","given":"Jiankai","non-dropping-particle":"","parse-names":false,"suffix":""},{"dropping-particle":"","family":"Bodeker","given":"Greg","non-dropping-particle":"","parse-names":false,"suffix":""},{"dropping-particle":"","family":"Burrows","given":"Susannah","non-dropping-particle":"","parse-names":false,"suffix":""},{"dropping-particle":"","family":"Cameron-Smith","given":"Philip","non-dropping-particle":"","parse-names":false,"suffix":""},{"dropping-particle":"","family":"Cugnet","given":"David","non-dropping-particle":"","parse-names":false,"suffix":""},{"dropping-particle":"","family":"Danek","given":"Christopher","non-dropping-particle":"","parse-names":false,"suffix":""},{"dropping-particle":"","family":"Deushi","given":"Makoto","non-dropping-particle":"","parse-names":false,"suffix":""},{"dropping-particle":"","family":"Horowitz","given":"Larry W.","non-dropping-particle":"","parse-names":false,"suffix":""},{"dropping-particle":"","family":"Kubin","given":"Anne","non-dropping-particle":"","parse-names":false,"suffix":""},{"dropping-particle":"","family":"Li","given":"Lijuan","non-dropping-particle":"","parse-names":false,"suffix":""},{"dropping-particle":"","family":"Lohmann","given":"Gerrit","non-dropping-particle":"","parse-names":false,"suffix":""},{"dropping-particle":"","family":"Michou","given":"Martine","non-dropping-particle":"","parse-names":false,"suffix":""},{"dropping-particle":"","family":"Mills","given":"Michael J.","non-dropping-particle":"","parse-names":false,"suffix":""},{"dropping-particle":"","family":"Nabat","given":"Pierre","non-dropping-particle":"","parse-names":false,"suffix":""},{"dropping-particle":"","family":"Olivié","given":"Dirk","non-dropping-particle":"","parse-names":false,"suffix":""},{"dropping-particle":"","family":"Park","given":"Sungsu","non-dropping-particle":"","parse-names":false,"suffix":""},{"dropping-particle":"","family":"Seland","given":"Øyvind","non-dropping-particle":"","parse-names":false,"suffix":""},{"dropping-particle":"","family":"Stoll","given":"Jens","non-dropping-particle":"","parse-names":false,"suffix":""},{"dropping-particle":"","family":"Wieners","given":"Karl Hermann","non-dropping-particle":"","parse-names":false,"suffix":""},{"dropping-particle":"","family":"Wu","given":"Tongwen","non-dropping-particle":"","parse-names":false,"suffix":""}],"container-title":"Atmospheric Chemistry and Physics","id":"ITEM-2","issue":"6","issued":{"date-parts":[["2021"]]},"page":"5015-5061","title":"Evaluating stratospheric ozone and water vapour changes in CMIP6 models from 1850 to 2100","type":"article-journal","volume":"21"},"uris":["http://www.mendeley.com/documents/?uuid=1c8eb3d7-ff8b-4e6f-ae79-6686541d61fe"]},{"id":"ITEM-3","itemData":{"DOI":"10.1029/2010JD014362","ISSN":"01480227","abstract":"The evolution of stratospheric ozone from 1960 to 2100 is examined in simulations from 14 chemistry-climate models, driven by prescribed levels of halogens and greenhouse gases. There is general agreement among the models that total column ozone reached a minimum around year 2000 at all latitudes, projected to be followed by an increase over the first half of the 21st century. In the second half of the 21st century, ozone is projected to continue increasing, level off, or even decrease depending on the latitude. Separation into partial columns above and below 20 hPa reveals that these latitudinal differences are almost completely caused by differences in the model projections of ozone in the lower stratosphere. At all latitudes, upper stratospheric ozone increases throughout the 21st century and is projected to return to 1960 levels well before the end of the century, although there is a spread among models in the dates that ozone returns to specific historical values. We find decreasing halogens and declining upper atmospheric temperatures, driven by increasing greenhouse gases, contribute almost equally to increases in upper stratospheric ozone. In the tropical lower stratosphere, an increase in upwelling causes a steady decrease in ozone through the 21st century, and total column ozone does not return to 1960 levels in most of the models. In contrast, lower stratospheric and total column ozone in middle and high latitudes increases during the 21st century, returning to 1960 levels well before the end of the century in most models. Copyright 2010 by the American Geophysical Union.","author":[{"dropping-particle":"","family":"Oman","given":"L. D.","non-dropping-particle":"","parse-names":false,"suffix":""},{"dropping-particle":"","family":"Plummer","given":"D. A.","non-dropping-particle":"","parse-names":false,"suffix":""},{"dropping-particle":"","family":"Waugh","given":"D. W.","non-dropping-particle":"","parse-names":false,"suffix":""},{"dropping-particle":"","family":"Austin","given":"J.","non-dropping-particle":"","parse-names":false,"suffix":""},{"dropping-particle":"","family":"Scinocca","given":"J. F.","non-dropping-particle":"","parse-names":false,"suffix":""},{"dropping-particle":"","family":"Douglass","given":"A. R.","non-dropping-particle":"","parse-names":false,"suffix":""},{"dropping-particle":"","family":"Salawitch","given":"R. J.","non-dropping-particle":"","parse-names":false,"suffix":""},{"dropping-particle":"","family":"Canty","given":"T.","non-dropping-particle":"","parse-names":false,"suffix":""},{"dropping-particle":"","family":"Akiyoshi","given":"H.","non-dropping-particle":"","parse-names":false,"suffix":""},{"dropping-particle":"","family":"Bekki","given":"S.","non-dropping-particle":"","parse-names":false,"suffix":""},{"dropping-particle":"","family":"Braesicke","given":"P.","non-dropping-particle":"","parse-names":false,"suffix":""},{"dropping-particle":"","family":"Butchart","given":"N.","non-dropping-particle":"","parse-names":false,"suffix":""},{"dropping-particle":"","family":"Chipperfield","given":"M. P.","non-dropping-particle":"","parse-names":false,"suffix":""},{"dropping-particle":"","family":"Cugnet","given":"D.","non-dropping-particle":"","parse-names":false,"suffix":""},{"dropping-particle":"","family":"Dhomse","given":"S.","non-dropping-particle":"","parse-names":false,"suffix":""},{"dropping-particle":"","family":"Eyring","given":"V.","non-dropping-particle":"","parse-names":false,"suffix":""},{"dropping-particle":"","family":"Frith","given":"S.","non-dropping-particle":"","parse-names":false,"suffix":""},{"dropping-particle":"","family":"Hardiman","given":"S. C.","non-dropping-particle":"","parse-names":false,"suffix":""},{"dropping-particle":"","family":"Kinnison","given":"D. E.","non-dropping-particle":"","parse-names":false,"suffix":""},{"dropping-particle":"","family":"Lamarque","given":"J. F.","non-dropping-particle":"","parse-names":false,"suffix":""},{"dropping-particle":"","family":"Mancini","given":"E.","non-dropping-particle":"","parse-names":false,"suffix":""},{"dropping-particle":"","family":"Marchand","given":"M.","non-dropping-particle":"","parse-names":false,"suffix":""},{"dropping-particle":"","family":"Michou","given":"M.","non-dropping-particle":"","parse-names":false,"suffix":""},{"dropping-particle":"","family":"Morgenstern","given":"O.","non-dropping-particle":"","parse-names":false,"suffix":""},{"dropping-particle":"","family":"Nakamura","given":"T.","non-dropping-particle":"","parse-names":false,"suffix":""},{"dropping-particle":"","family":"Nielsen","given":"J. E.","non-dropping-particle":"","parse-names":false,"suffix":""},{"dropping-particle":"","family":"Olivié","given":"D.","non-dropping-particle":"","parse-names":false,"suffix":""},{"dropping-particle":"","family":"Pitari","given":"G.","non-dropping-particle":"","parse-names":false,"suffix":""},{"dropping-particle":"","family":"Pyle","given":"J.","non-dropping-particle":"","parse-names":false,"suffix":""},{"dropping-particle":"","family":"Rozanov","given":"E.","non-dropping-particle":"","parse-names":false,"suffix":""},{"dropping-particle":"","family":"Shepherd","given":"T. G.","non-dropping-particle":"","parse-names":false,"suffix":""},{"dropping-particle":"","family":"Shibata","given":"K.","non-dropping-particle":"","parse-names":false,"suffix":""},{"dropping-particle":"","family":"Stolarski","given":"R. S.","non-dropping-particle":"","parse-names":false,"suffix":""},{"dropping-particle":"","family":"Teyssèdre","given":"H.","non-dropping-particle":"","parse-names":false,"suffix":""},{"dropping-particle":"","family":"Tian","given":"W.","non-dropping-particle":"","parse-names":false,"suffix":""},{"dropping-particle":"","family":"Yamashita","given":"Y.","non-dropping-particle":"","parse-names":false,"suffix":""},{"dropping-particle":"","family":"Ziemke","given":"J. R.","non-dropping-particle":"","parse-names":false,"suffix":""}],"container-title":"Journal of Geophysical Research Atmospheres","id":"ITEM-3","issue":"24","issued":{"date-parts":[["2010"]]},"page":"1-21","title":"Multimodel assessment of the factors driving stratospheric ozone evolution over the 21st century","type":"article-journal","volume":"115"},"uris":["http://www.mendeley.com/documents/?uuid=3683339d-4135-4865-8d20-1b96dbc33751"]},{"id":"ITEM-4","itemData":{"DOI":"10.1029/2006GL028252","ISSN":"00948276","abstract":"The response of a coupled two-dimensional radiativechemical-dynamical model to possible 21st century changes of the greenhouse gasses (GHGs) carbon dioxide, nitrous oxide and methane are explored using a range of IPCC marker scenarios of GHG emissions. The changes to the ozone layer caused by these GHGs are found to be relatively large (e.g., up to 5% global mean column ozone changes and 30% local changes for CO2 using the IPCC A2 scenario between 2000 and 2100) and the mechanisms for these changes are discussed. The ozone changes are compared to the recovery of ozone due to expected decreases in chlorine containing compounds. Since carbon dioxide, nitrous oxide, and methane affect ozone they induce an indirect radiative forcing in addition to their direct radiative forcing. These indirect radiative forcings are computed using a combination of accurate line-by-line and band radiative transfer models and are compared to the radia</w:instrText>
      </w:r>
      <w:r w:rsidR="00731574" w:rsidRPr="005E5454">
        <w:rPr>
          <w:lang w:val="es-ES"/>
        </w:rPr>
        <w:instrText>tive forcing of ozone during the 1979-2000 time period. Although the changes in ozone are large at some altitudes over the 2000-2100 time horizon, the range of associated future indirect radiative forcings from ozone over the range of IPCC scenarios are found to be -0.1 to 0.1 W m-2,which is small compared with the corresponding range of total direct radiative forcing of 2.2 to 6.2 W m-2 for these GHGs over this time horizon.","author":[{"dropping-particle":"","family":"Portmann","given":"Robert W.","non-dropping-particle":"","parse-names":false,"suffix":""},{"dropping-particle":"","family":"Solomon","given":"Susan","non-dropping-particle":"","parse-names":false,"suffix":""}],"container-title":"Geophysical Research Letters","id":"ITEM-4","issue":"2","issued":{"date-parts":[["2007"]]},"page":"1-5","title":"Indirect radiative forcing of the ozone layer during the 21st century","type":"article-journal","volume":"34"},"uris":["http://www.mendeley.com/documents/?uuid=a32b431d-8ac2-4414-8005-cfa595fb325f"]}],"mendeley":{"formattedCitation":"(Dhomse et al., 2018; Keeble et al., 2021; Oman et al., 2010; Portmann &amp; Solomon, 2007)","plainTextFormattedCitation":"(Dhomse et al., 2018; Keeble et al., 2021; Oman et al., 2010; Portmann &amp; Solomon, 2007)","previouslyFormattedCitation":"(Dhomse et al., 2018; Keeble et al., 2021; Oman et al., 2010; Portmann &amp; Solomon, 2007)"},"properties":{"noteIndex":0},"schema":"https://github.com/citation-style-language/schema/raw/master/csl-citation.json"}</w:instrText>
      </w:r>
      <w:r w:rsidR="007214E2" w:rsidRPr="00205224">
        <w:fldChar w:fldCharType="separate"/>
      </w:r>
      <w:r w:rsidR="007214E2" w:rsidRPr="00462941">
        <w:rPr>
          <w:noProof/>
          <w:lang w:val="es-ES"/>
        </w:rPr>
        <w:t>(Dhomse et al., 2018; Keeble et al., 2021; Oman et al., 2010; Portmann &amp; Solomon, 2007)</w:t>
      </w:r>
      <w:r w:rsidR="007214E2" w:rsidRPr="00205224">
        <w:fldChar w:fldCharType="end"/>
      </w:r>
      <w:r w:rsidR="007214E2" w:rsidRPr="00462941">
        <w:rPr>
          <w:lang w:val="es-ES"/>
        </w:rPr>
        <w:t xml:space="preserve">. </w:t>
      </w:r>
      <w:r w:rsidR="007214E2" w:rsidRPr="00205224">
        <w:t>In the middle stratosphere (10-30 hPa) ozone trends are close to zero, so there is no overall change in this period.</w:t>
      </w:r>
    </w:p>
    <w:p w14:paraId="7807134A" w14:textId="29980A79" w:rsidR="00814700" w:rsidRDefault="007214E2">
      <w:pPr>
        <w:pStyle w:val="TextoNormal"/>
      </w:pPr>
      <w:r w:rsidRPr="00205224">
        <w:t>More interestingly, observed LS ozone (below 30 hPa) shows a significant decrease peaking in the tropics and extending to the northern mid-latitudes. Most of CCMI-2022 simulations (both REF-D1 and REF-D2) are not able to reproduce this observed pattern of ozone trends in the lower</w:t>
      </w:r>
      <w:r>
        <w:rPr>
          <w:lang w:val="en-GB"/>
        </w:rPr>
        <w:t xml:space="preserve"> stratosphere, presenting large differences between simulations, even between different realizations of the same model, especially in mid-latitudes.</w:t>
      </w:r>
      <w:r w:rsidR="00205224">
        <w:rPr>
          <w:lang w:val="en-GB"/>
        </w:rPr>
        <w:t xml:space="preserve"> In the tropics, all the REF-D1 simulations exhibit negative trends in tropical LS ozone, in agreement with </w:t>
      </w:r>
      <w:r w:rsidR="00205224">
        <w:rPr>
          <w:lang w:val="en-GB"/>
        </w:rPr>
        <w:lastRenderedPageBreak/>
        <w:t>observations. As discussed in the Introduction, these trends are associated with enhanced tropical upwelling due to increasing GHG</w:t>
      </w:r>
      <w:r w:rsidR="00F808ED">
        <w:rPr>
          <w:lang w:val="en-GB"/>
        </w:rPr>
        <w:t xml:space="preserve"> </w:t>
      </w:r>
      <w:r w:rsidR="00F808ED">
        <w:rPr>
          <w:lang w:val="en-GB"/>
        </w:rPr>
        <w:fldChar w:fldCharType="begin" w:fldLock="1"/>
      </w:r>
      <w:r w:rsidR="00F808ED">
        <w:rPr>
          <w:lang w:val="en-GB"/>
        </w:rPr>
        <w:instrText>ADDIN CSL_CITATION {"citationItems":[{"id":"ITEM-1","itemData":{"DOI":"10.5194/acp-21-6811-2021","ISSN":"16807324","abstract":"Recent observations show a significant decrease in lower-stratospheric (LS) ozone concentrations in tropical and mid-latitude regions since 1998. By analysing 31 chemistry climate model (CCM) simulations performed for the Chemistry Climate Model Initiative (CCMI; Morgenstern et al., 2017), we find a large spread in the 1998 2018 trend patterns between different CCMs and between different realizations performed with the same CCM. The latter in particular indicates that natural variability strongly influences LS ozone trends. However none of the model simulations reproduce the observed ozone trend structure of coherent negative trends in the LS. In contrast to the observations, most models show an LS trend pattern with negative trends in the tropics (20 S 20 N) and positive trends in the northern mid-latitudes (30 50 N) or vice versa. To investigate the influence of natural variability on recent LS ozone trends, we analyse the sensitivity of observational trends and the models trend probability distributions for varying periods with start dates from 1995 to 2001 and end dates from 2013 to 2019. Generally, modelled and observed LS trends remain robust for these different periods; however observational data show a change towards weaker mid-latitude trends for certain periods, likely forced by natural variability. Moreover we show that in the tropics the observed trends agree well with the models trend distribution, whereas in the mid-latitudes the observational trend is typically an extreme value of the models distribution. We further investigate the LS ozone trends for extended periods reaching into the future and find that all models develop a positive ozone trend at mid-latitudes, and the trends converge to constant values by the period that spans 1998 2060. Inter-model correlations between ozone trends and transport-circulation trends confirm the dominant role of greenhouse gas (GHG)-driven tropical upwelling enhancement on the tropical LS ozone decrease. Mid-latitude ozone, on the other hand, appears to be influenced by multiple competing factors: an enhancement in the shallow branch decreases ozone, while an enhancement in the deep branch increases ozone, and, furthermore, mixing plays a role here too. Sensitivity simulations with fixed forcing of GHGs or ozonedepleting substances (ODSs) reveal that the GHG-driven increase in circulation strength does not lead to a net trend in LS mid-latitude column ozone. Rather, the positive ozone trends simulated …","author":[{"dropping-particle":"","family":"Dietmüller","given":"Simone","non-dropping-particle":"","parse-names":false,"suffix":""},{"dropping-particle":"","family":"Garny","given":"Hella","non-dropping-particle":"","parse-names":false,"suffix":""},{"dropping-particle":"","family":"Eichinger","given":"Roland","non-dropping-particle":"","parse-names":false,"suffix":""},{"dropping-particle":"","family":"T. Ball","given":"William","non-dropping-particle":"","parse-names":false,"suffix":""}],"container-title":"Atmospheric Chemistry and Physics","id":"ITEM-1","issue":"9","issued":{"date-parts":[["2021"]]},"page":"6811-6837","title":"Analysis of recent lower-stratospheric ozone trends in chemistry climate models","type":"article-journal","volume":"21"},"uris":["http://www.mendeley.com/documents/?uuid=ec470fca-7eb9-49d7-bc91-23f50bb0652a"]},{"id":"ITEM-2","itemData":{"ISBN":"978-9914-733-97-6","author":[{"dropping-particle":"","family":"WMO","given":"","non-dropping-particle":"","parse-names":false,"suffix":""}],"id":"ITEM-2","issued":{"date-parts":[["2022"]]},"publisher":"World Meteorological Organization","publisher-place":"Geneva, Switzerland","title":"Scientific Assessment of Ozone Depletion: Global Ozone Research and Monitoring Project -- GAW Report no. 278","type":"book"},"uris":["http://www.mendeley.com/documents/?uuid=f0f14e12-4ad3-434c-bfd0-5202ce9a0a84"]}],"mendeley":{"formattedCitation":"(Dietmüller et al., 2021; WMO, 2022)","plainTextFormattedCitation":"(Dietmüller et al., 2021; WMO, 2022)"},"properties":{"noteIndex":0},"schema":"https://github.com/citation-style-language/schema/raw/master/csl-citation.json"}</w:instrText>
      </w:r>
      <w:r w:rsidR="00F808ED">
        <w:rPr>
          <w:lang w:val="en-GB"/>
        </w:rPr>
        <w:fldChar w:fldCharType="separate"/>
      </w:r>
      <w:r w:rsidR="00F808ED" w:rsidRPr="00F808ED">
        <w:rPr>
          <w:noProof/>
          <w:lang w:val="en-GB"/>
        </w:rPr>
        <w:t>(Dietmüller et al., 2021; WMO, 2022)</w:t>
      </w:r>
      <w:r w:rsidR="00F808ED">
        <w:rPr>
          <w:lang w:val="en-GB"/>
        </w:rPr>
        <w:fldChar w:fldCharType="end"/>
      </w:r>
      <w:r w:rsidR="00205224">
        <w:rPr>
          <w:lang w:val="en-GB"/>
        </w:rPr>
        <w:t xml:space="preserve">. However, only 8 </w:t>
      </w:r>
    </w:p>
    <w:p w14:paraId="7807134B" w14:textId="248F294A" w:rsidR="00814700" w:rsidRDefault="00814700" w:rsidP="00D44A27">
      <w:pPr>
        <w:pStyle w:val="PieFigura"/>
        <w:jc w:val="center"/>
        <w:rPr>
          <w:b/>
          <w:bCs/>
          <w:noProof/>
        </w:rPr>
      </w:pPr>
    </w:p>
    <w:p w14:paraId="0F97AB83" w14:textId="0E621289" w:rsidR="00625A72" w:rsidRDefault="00625A72" w:rsidP="00D44A27">
      <w:pPr>
        <w:pStyle w:val="PieFigura"/>
        <w:jc w:val="center"/>
        <w:rPr>
          <w:b/>
          <w:bCs/>
        </w:rPr>
      </w:pPr>
      <w:r>
        <w:rPr>
          <w:b/>
          <w:bCs/>
          <w:noProof/>
        </w:rPr>
        <w:drawing>
          <wp:inline distT="0" distB="0" distL="0" distR="0" wp14:anchorId="636DCD30" wp14:editId="0FB44EE8">
            <wp:extent cx="4699148" cy="7125419"/>
            <wp:effectExtent l="0" t="0" r="6350" b="0"/>
            <wp:docPr id="787239531" name="Imagen 10" descr="Una captura de pantalla de un celular con texto e imágene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239531" name="Imagen 10" descr="Una captura de pantalla de un celular con texto e imágenes&#10;&#10;El contenido generado por IA puede ser incorrecto."/>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03106" cy="7131421"/>
                    </a:xfrm>
                    <a:prstGeom prst="rect">
                      <a:avLst/>
                    </a:prstGeom>
                  </pic:spPr>
                </pic:pic>
              </a:graphicData>
            </a:graphic>
          </wp:inline>
        </w:drawing>
      </w:r>
    </w:p>
    <w:p w14:paraId="7807134C" w14:textId="093C81BE" w:rsidR="00814700" w:rsidRDefault="006D0001">
      <w:pPr>
        <w:pStyle w:val="PieFigura"/>
      </w:pPr>
      <w:r>
        <w:rPr>
          <w:b/>
          <w:bCs/>
        </w:rPr>
        <w:t>Figure 1</w:t>
      </w:r>
      <w:r>
        <w:t>. Latitude–pressure cross-section of the relative ozone trend in % per decade over years 1998-2018 from the observational dataset BASICsg and all the REF-D1 simulations. The relative trend is calculated with respect to the 1998-2018 climatology. The simulations are ordered by the partial column ozone trend value in the northern mid-</w:t>
      </w:r>
      <w:proofErr w:type="gramStart"/>
      <w:r>
        <w:lastRenderedPageBreak/>
        <w:t>latitudes</w:t>
      </w:r>
      <w:proofErr w:type="gramEnd"/>
      <w:r>
        <w:t xml:space="preserve"> lower stratosphere region (black boxes; 35°-55°N, 50-150 hPa). The numbers in the</w:t>
      </w:r>
      <w:r w:rsidR="0024130E">
        <w:t xml:space="preserve"> panel</w:t>
      </w:r>
      <w:r>
        <w:t xml:space="preserve"> titles indicate the ensemble member. The WMO tropopause is indicated by the thick green line. Black dashed contours denote statistically significant trends at 95% confidence level (p-value &lt; 0.05). The green box marks the observations panel.</w:t>
      </w:r>
    </w:p>
    <w:p w14:paraId="0E9C767E" w14:textId="6FB383BF" w:rsidR="004A0CFD" w:rsidRDefault="006E16F9" w:rsidP="006E6162">
      <w:pPr>
        <w:pStyle w:val="TextoNormal"/>
        <w:ind w:firstLine="0"/>
      </w:pPr>
      <w:r>
        <w:rPr>
          <w:lang w:val="en-GB"/>
        </w:rPr>
        <w:t>simulations in REF-D1 (26% of the total) show a significant ozone decrease in LS ozone in the northern mid-latitudes. For the REF-D2 simulations, most of the realizations also simulate ozone decrease in the tropics, although there are 3 simulations with positive ozone trends (MIROC3.2, WACCM-2, SOCOL-2). In addition, only 2 simulations in REF-D2 (8%, NIWA-1, NIWA-3) have significant negative ozone trends, both in the tropics and in the northern mid-latitudes LS, in agreement with observations. The large inter-simulation spread is dominated by intermodel differences, although in some cases there are also major differences between realizations of the same model (e.g. WACCM, NIWA, SOCOL).</w:t>
      </w:r>
    </w:p>
    <w:p w14:paraId="2828E7A8" w14:textId="77777777" w:rsidR="004A0CFD" w:rsidRPr="004A0CFD" w:rsidRDefault="004A0CFD">
      <w:pPr>
        <w:pStyle w:val="PieFigura"/>
        <w:rPr>
          <w:lang w:val="en-GB"/>
        </w:rPr>
      </w:pPr>
    </w:p>
    <w:p w14:paraId="78071353" w14:textId="67E9F12B" w:rsidR="00814700" w:rsidRDefault="00625A72">
      <w:pPr>
        <w:pStyle w:val="TextoNormal"/>
        <w:ind w:firstLine="0"/>
        <w:rPr>
          <w:lang w:val="en-GB"/>
        </w:rPr>
      </w:pPr>
      <w:r>
        <w:rPr>
          <w:noProof/>
          <w:lang w:val="en-GB"/>
        </w:rPr>
        <w:drawing>
          <wp:inline distT="0" distB="0" distL="0" distR="0" wp14:anchorId="14D5E8CC" wp14:editId="18D3C835">
            <wp:extent cx="4727275" cy="5562245"/>
            <wp:effectExtent l="0" t="0" r="0" b="635"/>
            <wp:docPr id="2072025291" name="Imagen 11" descr="Una captura de pantalla de un celular con texto e imágene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025291" name="Imagen 11" descr="Una captura de pantalla de un celular con texto e imágenes&#10;&#10;El contenido generado por IA puede ser incorrecto."/>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42402" cy="5580044"/>
                    </a:xfrm>
                    <a:prstGeom prst="rect">
                      <a:avLst/>
                    </a:prstGeom>
                  </pic:spPr>
                </pic:pic>
              </a:graphicData>
            </a:graphic>
          </wp:inline>
        </w:drawing>
      </w:r>
    </w:p>
    <w:p w14:paraId="78071354" w14:textId="77777777" w:rsidR="00814700" w:rsidRDefault="006D0001">
      <w:pPr>
        <w:pStyle w:val="PieFigura"/>
        <w:rPr>
          <w:lang w:eastAsia="es-ES"/>
        </w:rPr>
      </w:pPr>
      <w:r>
        <w:rPr>
          <w:b/>
          <w:bCs/>
          <w:lang w:eastAsia="es-ES"/>
        </w:rPr>
        <w:t>Figure 2</w:t>
      </w:r>
      <w:r>
        <w:rPr>
          <w:lang w:eastAsia="es-ES"/>
        </w:rPr>
        <w:t xml:space="preserve">. Same as Figure 1 but for REF-D2 simulations. </w:t>
      </w:r>
    </w:p>
    <w:p w14:paraId="78071355" w14:textId="77777777" w:rsidR="00814700" w:rsidRDefault="00814700" w:rsidP="0095193F">
      <w:pPr>
        <w:pStyle w:val="PieFigura"/>
        <w:rPr>
          <w:lang w:val="en-GB"/>
        </w:rPr>
      </w:pPr>
    </w:p>
    <w:p w14:paraId="3D4A1153" w14:textId="77777777" w:rsidR="006E6162" w:rsidRDefault="006E6162" w:rsidP="006E6162">
      <w:pPr>
        <w:pStyle w:val="TextoNormal"/>
        <w:rPr>
          <w:lang w:val="en-GB"/>
        </w:rPr>
      </w:pPr>
      <w:r>
        <w:rPr>
          <w:lang w:val="en-GB"/>
        </w:rPr>
        <w:lastRenderedPageBreak/>
        <w:t xml:space="preserve">It is important to keep in mind that there are some CCMs that use similar atmospheric components. Specifically, UKESM1 and ACCESS, which are two of the models that show the most negative trends in the lower stratosphere, are based on the same atmospheric model (MetUM-HadGEM3) and have similar chemistry. The NIWA-UKCA model, the other model with the most negative trends, uses an older version of the same atmospheric base model with a different dynamic core. The disagreement between observations and free-running models on LS ozone trends has been reported in previous studies using CCMVal-2 models </w:t>
      </w:r>
      <w:r>
        <w:fldChar w:fldCharType="begin" w:fldLock="1"/>
      </w:r>
      <w:r>
        <w:rPr>
          <w:lang w:val="en-GB"/>
        </w:rPr>
        <w:instrText>ADDIN CSL_CITATION {"citationItems":[{"id":"ITEM-1","itemData":{"DOI":"10.5194/acp-20-9737-2020","ISSN":"16807324","abstract":"The stratospheric ozone layer shields surface life from harmful ultraviolet radiation. Following the Montreal Protocol ban on long-lived ozone-depleting substances (ODSs), rapid depletion of total column ozone (TCO) ceased in the late 1990s, and ozone above 32 km is now clearly recovering. However, there is still no confirmation of TCO recovery, and evidence has emerged that ongoing quasiglobal (60° S-60° N) lower stratospheric ozone decreases may be responsible, dominated by low latitudes (30° S-30° N). Chemistry-climate models (CCMs) used to project future changes predict that lower stratospheric ozone will decrease in the tropics by 2100 but not at mid-latitudes (30-60°). Here, we show that CCMs display an ozone decline similar to that observed in the tropics over 1998-2016, likely driven by an increase in tropical upwelling. On the other hand, mid-latitude lower stratospheric ozone is observed to decrease, while CCMs that specify real-world historical meteorological fields instead show an increase up to present day. However, these cannot be used to simulate future changes; we demonstrate here that free-running CCMs used for projections also show increases. Despite opposing lower stratospheric ozone changes, which should induce opposite temperature trends, CCMs and observed temperature trends agree; we demonstrate that opposing model-observation stratospheric water vapour (SWV) trends, and their associated radiative effects, explain why temperature changes agree in spite of opposing ozone trends. We provide new evidence that the observed mid-latitude trends can be explained by enhanced mixing between the tropics and extratropics. We further show that the temperature trends are consistent with the observed mid-latitude ozone decrease. Together, our results suggest that large-scale circulation changes expected in the future from increased greenhouse gases (GHGs) may now already be underway but that most CCMs do not simulate mid-latitude ozone layer changes well. However, it is important to emphasise that the periods considered here are short, and internal variability that is both intrinsic to each CCM and different to observed historical variability is not well-characterised and can influence trend estimates. Nevertheless, the reason CCMs do not exhibit the observed changes needs to be identified to allow models to be improved in order to build confidence in future projections of the ozone layer.","author":[{"dropping-particle":"","family":"Ball","given":"William T.","non-dropping-particle":"","parse-names":false,"suffix":""},{"dropping-particle":"","family":"Chiodo","given":"Gabriel","non-dropping-particle":"","parse-names":false,"suffix":""},{"dropping-particle":"","family":"Abalos","given":"Marta","non-dropping-particle":"","parse-names":false,"suffix":""},{"dropping-particle":"","family":"Alsing","given":"Justin","non-dropping-particle":"","parse-names":false,"suffix":""},{"dropping-particle":"","family":"Stenke","given":"Andrea","non-dropping-particle":"","parse-names":false,"suffix":""}],"container-title":"Atmospheric Chemistry and Physics","id":"ITEM-1","issue":"16","issued":{"date-parts":[["2020"]]},"page":"9737-9752","title":"Inconsistencies between chemistry-climate models and observed lower stratospheric ozone trends since 1998","type":"article-journal","volume":"20"},"uris":["http://www.mendeley.com/documents/?uuid=346213e5-65bd-436f-8cce-d599ab85d8f5"]}],"mendeley":{"formattedCitation":"(Ball et al., 2020)","manualFormatting":"(Ball et al. (2020) for the period 1998-2016)","plainTextFormattedCitation":"(Ball et al., 2020)","previouslyFormattedCitation":"(Ball et al., 2020)"},"properties":{"noteIndex":0},"schema":"https://github.com/citation-style-language/schema/raw/master/csl-citation.json"}</w:instrText>
      </w:r>
      <w:r>
        <w:rPr>
          <w:lang w:val="en-GB"/>
        </w:rPr>
        <w:fldChar w:fldCharType="separate"/>
      </w:r>
      <w:r>
        <w:rPr>
          <w:noProof/>
        </w:rPr>
        <w:t>(Ball et al. (2020)</w:t>
      </w:r>
      <w:r>
        <w:rPr>
          <w:i/>
          <w:iCs/>
          <w:noProof/>
        </w:rPr>
        <w:t xml:space="preserve"> </w:t>
      </w:r>
      <w:r>
        <w:rPr>
          <w:noProof/>
        </w:rPr>
        <w:t>for the period 1998-2016)</w:t>
      </w:r>
      <w:r>
        <w:rPr>
          <w:lang w:val="en-GB"/>
        </w:rPr>
        <w:fldChar w:fldCharType="end"/>
      </w:r>
      <w:r>
        <w:t xml:space="preserve"> and CCMI-1 models </w:t>
      </w:r>
      <w:r>
        <w:fldChar w:fldCharType="begin" w:fldLock="1"/>
      </w:r>
      <w:r>
        <w:instrText>ADDIN CSL_CITATION {"citationItems":[{"id":"ITEM-1","itemData":{"DOI":"10.5194/acp-21-6811-2021","ISSN":"16807324","abstract":"Recent observations show a significant decrease in lower-stratospheric (LS) ozone concentrations in tropical and mid-latitude regions since 1998. By analysing 31 chemistry climate model (CCM) simulations performed for the Chemistry Climate Model Initiative (CCMI; Morgenstern et al., 2017), we find a large spread in the 1998 2018 trend patterns between different CCMs and between different realizations performed with the same CCM. The latter in particular indicates that natural variability strongly influences LS ozone trends. However none of the model simulations reproduce the observed ozone trend structure of coherent negative trends in the LS. In contrast to the observations, most models show an LS trend pattern with negative trends in the tropics (20 S 20 N) and positive trends in the northern mid-latitudes (30 50 N) or vice versa. To investigate the influence of natural variability on recent LS ozone trends, we analyse the sensitivity of observational trends and the models trend probability distributions for varying periods with start dates from 1995 to 2001 and end dates from 2013 to 2019. Generally, modelled and observed LS trends remain robust for these different periods; however observational data show a change towards weaker mid-latitude trends for certain periods, likely forced by natural variability. Moreover we show that in the tropics the observed trends agree well with the models trend distribution, whereas in the mid-latitudes the observational trend is typically an extreme value of the models distribution. We further investigate the LS ozone trends for extended periods reaching into the future and find that all models develop a positive ozone trend at mid-latitudes, and the trends converge to constant values by the period that spans 1998 2060. Inter-model correlations between ozone trends and transport-circulation trends confirm the dominant role of greenhouse gas (GHG)-driven tropical upwelling enhancement on the tropical LS ozone decrease. Mid-latitude ozone, on the other hand, appears to be influenced by multiple competing factors: an enhancement in the shallow branch decreases ozone, while an enhancement in the deep branch increases ozone, and, furthermore, mixing plays a role here too. Sensitivity simulations with fixed forcing of GHGs or ozonedepleting substances (ODSs) reveal that the GHG-driven increase in circulation strength does not lead to a net trend in LS mid-latitude column ozone. Rather, the positive ozone trends simulated …","author":[{"dropping-particle":"","family":"Dietmüller","given":"Simone","non-dropping-particle":"","parse-names":false,"suffix":""},{"dropping-particle":"","family":"Garny","given":"Hella","non-dropping-particle":"","parse-names":false,"suffix":""},{"dropping-particle":"","family":"Eichinger","given":"Roland","non-dropping-particle":"","parse-names":false,"suffix":""},{"dropping-particle":"","family":"T. Ball","given":"William","non-dropping-particle":"","parse-names":false,"suffix":""}],"container-title":"Atmospheric Chemistry and Physics","id":"ITEM-1","issue":"9","issued":{"date-parts":[["2021"]]},"page":"6811-6837","title":"Analysis of recent lower-stratospheric ozone trends in chemistry climate models","type":"article-journal","volume":"21"},"uris":["http://www.mendeley.com/documents/?uuid=ec470fca-7eb9-49d7-bc91-23f50bb0652a"]}],"mendeley":{"formattedCitation":"(Dietmüller et al., 2021)","plainTextFormattedCitation":"(Dietmüller et al., 2021)","previouslyFormattedCitation":"(Dietmüller et al., 2021)"},"properties":{"noteIndex":0},"schema":"https://github.com/citation-style-language/schema/raw/master/csl-citation.json"}</w:instrText>
      </w:r>
      <w:r>
        <w:fldChar w:fldCharType="separate"/>
      </w:r>
      <w:r>
        <w:rPr>
          <w:noProof/>
        </w:rPr>
        <w:t>(Dietmüller et al., 2021)</w:t>
      </w:r>
      <w:r>
        <w:fldChar w:fldCharType="end"/>
      </w:r>
      <w:r>
        <w:t xml:space="preserve">. None of the simulations analyzed in those studies were able to reproduce the LS ozone trend pattern, except for one simulation of UMUKCA-UCAM in the REF-B2 configuration </w:t>
      </w:r>
      <w:r>
        <w:fldChar w:fldCharType="begin" w:fldLock="1"/>
      </w:r>
      <w:r>
        <w:instrText>ADDIN CSL_CITATION {"citationItems":[{"id":"ITEM-1","itemData":{"DOI":"10.5194/acp-20-9737-2020","ISSN":"16807324","abstract":"The stratospheric ozone layer shields surface life from harmful ultraviolet radiation. Following the Montreal Protocol ban on long-lived ozone-depleting substances (ODSs), rapid depletion of total column ozone (TCO) ceased in the late 1990s, and ozone above 32 km is now clearly recovering. However, there is still no confirmation of TCO recovery, and evidence has emerged that ongoing quasiglobal (60° S-60° N) lower stratospheric ozone decreases may be responsible, dominated by low latitudes (30° S-30° N). Chemistry-climate models (CCMs) used to project future changes predict that lower stratospheric ozone will decrease in the tropics by 2100 but not at mid-latitudes (30-60°). Here, we show that CCMs display an ozone decline similar to that observed in the tropics over 1998-2016, likely driven by an increase in tropical upwelling. On the other hand, mid-latitude lower stratospheric ozone is observed to decrease, while CCMs that specify real-world historical meteorological fields instead show an increase up to present day. However, these cannot be used to simulate future changes; we demonstrate here that free-running CCMs used for projections also show increases. Despite opposing lower stratospheric ozone changes, which should induce opposite temperature trends, CCMs and observed temperature trends agree; we demonstrate that opposing model-observation stratospheric water vapour (SWV) trends, and their associated radiative effects, explain why temperature changes agree in spite of opposing ozone trends. We provide new evidence that the observed mid-latitude trends can be explained by enhanced mixing between the tropics and extratropics. We further show that the temperature trends are consistent with the observed mid-latitude ozone decrease. Together, our results suggest that large-scale circulation changes expected in the future from increased greenhouse gases (GHGs) may now already be underway but that most CCMs do not simulate mid-latitude ozone layer changes well. However, it is important to emphasise that the periods considered here are short, and internal variability that is both intrinsic to each CCM and different to observed historical variability is not well-characterised and can influence trend estimates. Nevertheless, the reason CCMs do not exhibit the observed changes needs to be identified to allow models to be improved in order to build confidence in future projections of the ozone layer.","author":[{"dropping-particle":"","family":"Ball","given":"William T.","non-dropping-particle":"","parse-names":false,"suffix":""},{"dropping-particle":"","family":"Chiodo","given":"Gabriel","non-dropping-particle":"","parse-names":false,"suffix":""},{"dropping-particle":"","family":"Abalos","given":"Marta","non-dropping-particle":"","parse-names":false,"suffix":""},{"dropping-particle":"","family":"Alsing","given":"Justin","non-dropping-particle":"","parse-names":false,"suffix":""},{"dropping-particle":"","family":"Stenke","given":"Andrea","non-dropping-particle":"","parse-names":false,"suffix":""}],"container-title":"Atmospheric Chemistry and Physics","id":"ITEM-1","issue":"16","issued":{"date-parts":[["2020"]]},"page":"9737-9752","title":"Inconsistencies between chemistry-climate models and observed lower stratospheric ozone trends since 1998","type":"article-journal","volume":"20"},"uris":["http://www.mendeley.com/documents/?uuid=346213e5-65bd-436f-8cce-d599ab85d8f5"]}],"mendeley":{"formattedCitation":"(Ball et al., 2020)","plainTextFormattedCitation":"(Ball et al., 2020)","previouslyFormattedCitation":"(Ball et al., 2020)"},"properties":{"noteIndex":0},"schema":"https://github.com/citation-style-language/schema/raw/master/csl-citation.json"}</w:instrText>
      </w:r>
      <w:r>
        <w:fldChar w:fldCharType="separate"/>
      </w:r>
      <w:r>
        <w:rPr>
          <w:noProof/>
        </w:rPr>
        <w:t>(Ball et al., 2020)</w:t>
      </w:r>
      <w:r>
        <w:fldChar w:fldCharType="end"/>
      </w:r>
      <w:r>
        <w:t xml:space="preserve">. In contrast, in the new CCMI-2022 more simulations </w:t>
      </w:r>
      <w:proofErr w:type="gramStart"/>
      <w:r>
        <w:t>are able to</w:t>
      </w:r>
      <w:proofErr w:type="gramEnd"/>
      <w:r>
        <w:t xml:space="preserve"> reproduce, at least qualitatively, the observed trend pattern, and in particular the ozone </w:t>
      </w:r>
      <w:proofErr w:type="gramStart"/>
      <w:r>
        <w:t>decrease</w:t>
      </w:r>
      <w:proofErr w:type="gramEnd"/>
      <w:r>
        <w:t xml:space="preserve"> in the northern mid-latitudes.</w:t>
      </w:r>
      <w:r>
        <w:rPr>
          <w:highlight w:val="yellow"/>
        </w:rPr>
        <w:t xml:space="preserve"> </w:t>
      </w:r>
    </w:p>
    <w:p w14:paraId="7807135E" w14:textId="2FB8D96C" w:rsidR="00814700" w:rsidRDefault="006D0001">
      <w:pPr>
        <w:pStyle w:val="TextoNormal"/>
      </w:pPr>
      <w:proofErr w:type="gramStart"/>
      <w:r>
        <w:t>In order to</w:t>
      </w:r>
      <w:proofErr w:type="gramEnd"/>
      <w:r>
        <w:t xml:space="preserve"> assess the degree of agreement between models and observations on northern mid-latitudes LS ozone trends, we analyze the probability distributions of the simulated partial column ozone trend over the region 35°-55°N, </w:t>
      </w:r>
      <w:r w:rsidR="006A6EDB">
        <w:t>5</w:t>
      </w:r>
      <w:r>
        <w:t xml:space="preserve">0-150 hPa (Figure 3, see section 2.3 for details on the analysis). We compare the value of the observed trend (-1.00 ± 0.64 DU per decade) with all possible trends derived from different sets of model simulations. The most likely trend in the models is defined as the peak of the trend distribution (the mode of the distribution). </w:t>
      </w:r>
    </w:p>
    <w:p w14:paraId="2D4D8017" w14:textId="03338A13" w:rsidR="00E00EBF" w:rsidRDefault="00E05309" w:rsidP="00E05309">
      <w:pPr>
        <w:pStyle w:val="TextoNormal"/>
      </w:pPr>
      <w:r>
        <w:t xml:space="preserve">Although CCMI-2022 REF-D2 simulations show a preference for positive trends and REF-D1 for close to zero values, both the left tail and the mode of the distributions are shifted towards negative values compared to the previous REF-C2 CCMI-1 simulations. The ozone trend derived from the REF-D1 simulations, run with observed </w:t>
      </w:r>
      <w:proofErr w:type="gramStart"/>
      <w:r w:rsidR="00311735">
        <w:t>SST</w:t>
      </w:r>
      <w:r>
        <w:t>,  is</w:t>
      </w:r>
      <w:proofErr w:type="gramEnd"/>
      <w:r>
        <w:t xml:space="preserve"> 0.19 DU per decade with a 90% confidence interval ranging between -2.71 and 2.26 DU per decade, while the most likely trend in the long-term REF-D2 simulations is 0.85 DU per decade ([-1.52, 2.30]). Thus, the observed trend (-1.00 ± 0.64 DU per </w:t>
      </w:r>
      <w:proofErr w:type="gramStart"/>
      <w:r>
        <w:t>decade)  lies</w:t>
      </w:r>
      <w:proofErr w:type="gramEnd"/>
      <w:r>
        <w:t xml:space="preserve"> inside the 90% confidence interval for both sets of simulations in the CCMI-2022 models. In contrast, when compared to the CCMI-1 REF-C2 simulations, the observed trend lies outside the 90% confidence interval ([-0.93, 2.81]), consistent with Dietmüller et al. (2021). </w:t>
      </w:r>
      <w:r w:rsidR="00C01A79">
        <w:t>The s</w:t>
      </w:r>
      <w:r w:rsidR="00C01A79" w:rsidRPr="00C01A79">
        <w:t xml:space="preserve">light improvement from the CCMI-1 REF-C2 simulations </w:t>
      </w:r>
      <w:r w:rsidR="009A5084">
        <w:t xml:space="preserve">compared </w:t>
      </w:r>
      <w:r w:rsidR="00C01A79" w:rsidRPr="00C01A79">
        <w:t>to the CCMI-2022 REF-D2 simulations</w:t>
      </w:r>
      <w:r w:rsidR="00472CAE">
        <w:t xml:space="preserve">, </w:t>
      </w:r>
      <w:r w:rsidR="00472CAE" w:rsidRPr="00472CAE">
        <w:t>is likely associated with improved boundary conditions and forcings in CCMI-2022 vs CCMI-1 rather than improvements in model formulation</w:t>
      </w:r>
      <w:r w:rsidR="00472CAE">
        <w:t xml:space="preserve">, </w:t>
      </w:r>
      <w:r w:rsidR="00472CAE" w:rsidRPr="00472CAE">
        <w:t xml:space="preserve">as some models have </w:t>
      </w:r>
      <w:r w:rsidR="009C0829">
        <w:t>minimal changes</w:t>
      </w:r>
      <w:r w:rsidR="00472CAE" w:rsidRPr="00472CAE">
        <w:t xml:space="preserve"> between CCMI-1 and CCMI-2022</w:t>
      </w:r>
      <w:r w:rsidR="009C0829">
        <w:t xml:space="preserve"> versions</w:t>
      </w:r>
      <w:r w:rsidR="00C01A79" w:rsidRPr="00C01A79">
        <w:t>.</w:t>
      </w:r>
    </w:p>
    <w:p w14:paraId="257C91EA" w14:textId="0519A535" w:rsidR="00E05309" w:rsidRDefault="00625A72">
      <w:pPr>
        <w:pStyle w:val="TextoNormal"/>
      </w:pPr>
      <w:r>
        <w:rPr>
          <w:noProof/>
        </w:rPr>
        <w:lastRenderedPageBreak/>
        <w:drawing>
          <wp:inline distT="0" distB="0" distL="0" distR="0" wp14:anchorId="43E3955B" wp14:editId="368148D4">
            <wp:extent cx="3528322" cy="2856170"/>
            <wp:effectExtent l="0" t="0" r="0" b="1905"/>
            <wp:docPr id="1199222871" name="Imagen 12" descr="Gráfico, Histo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222871" name="Imagen 12" descr="Gráfico, Histograma&#10;&#10;El contenido generado por IA puede ser incorrect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36891" cy="2863106"/>
                    </a:xfrm>
                    <a:prstGeom prst="rect">
                      <a:avLst/>
                    </a:prstGeom>
                  </pic:spPr>
                </pic:pic>
              </a:graphicData>
            </a:graphic>
          </wp:inline>
        </w:drawing>
      </w:r>
    </w:p>
    <w:p w14:paraId="78071360" w14:textId="293B76A2" w:rsidR="00814700" w:rsidRDefault="006D0001">
      <w:pPr>
        <w:pStyle w:val="PieFigura"/>
      </w:pPr>
      <w:bookmarkStart w:id="0" w:name="_Hlk169113381"/>
      <w:bookmarkEnd w:id="0"/>
      <w:r>
        <w:rPr>
          <w:b/>
          <w:bCs/>
        </w:rPr>
        <w:t>Figure 3.</w:t>
      </w:r>
      <w:r>
        <w:t xml:space="preserve"> Probability density function of the northern mid-latitudes LS partial column ozone trends for CCMI-1 REF-C2 simulations (in green), CCMI-2022 REF-D1 simulations (in blue) and CCMI-2022 REF-D2 simulations (in red). Dashed lines indicate the 5th and 95th percentiles of the distributions. The black line indicates the observational ozone trend value. </w:t>
      </w:r>
    </w:p>
    <w:p w14:paraId="78071363" w14:textId="0EF48CEA" w:rsidR="00814700" w:rsidRDefault="006D0001">
      <w:pPr>
        <w:pStyle w:val="TextoNormal"/>
      </w:pPr>
      <w:bookmarkStart w:id="1" w:name="_Hlk1691133811111"/>
      <w:bookmarkEnd w:id="1"/>
      <w:r>
        <w:t>The comparison between REF-D1 and REF-D2 trend distribution reveals a better simulation of mid-latitudes LS ozone trends in the former. The observed trend can be considered as a plausible realization within REF-D1 simulations (24</w:t>
      </w:r>
      <w:r>
        <w:rPr>
          <w:vertAlign w:val="superscript"/>
        </w:rPr>
        <w:t>th</w:t>
      </w:r>
      <w:r>
        <w:t xml:space="preserve"> percentile, the observed value is almost within the 50% central values of the distribution), while it would be an extreme though possible realization for REF-D2 simulations (9</w:t>
      </w:r>
      <w:r>
        <w:rPr>
          <w:vertAlign w:val="superscript"/>
        </w:rPr>
        <w:t>th</w:t>
      </w:r>
      <w:r>
        <w:t xml:space="preserve"> percentile). It is important to point out that not having the same models in the REF-D1 and REF-D2 groups can affect </w:t>
      </w:r>
      <w:r w:rsidR="001D467D">
        <w:t xml:space="preserve">our </w:t>
      </w:r>
      <w:r>
        <w:t xml:space="preserve">results. In particular, the UKESM1 model, which shows the most negative trends in the tropics and mid-latitudes in REF-D1, did not have REF-D2 simulations available at the time of this study. When we computed the trend distributions including only the models that provide data for both experiments, </w:t>
      </w:r>
      <w:r w:rsidR="00D53B2E">
        <w:t xml:space="preserve">our </w:t>
      </w:r>
      <w:r>
        <w:t xml:space="preserve">results </w:t>
      </w:r>
      <w:r w:rsidR="00D53B2E">
        <w:t xml:space="preserve">still </w:t>
      </w:r>
      <w:proofErr w:type="gramStart"/>
      <w:r w:rsidR="00D53B2E">
        <w:t>hold</w:t>
      </w:r>
      <w:r>
        <w:t>:</w:t>
      </w:r>
      <w:proofErr w:type="gramEnd"/>
      <w:r>
        <w:t xml:space="preserve"> both the mode and the left tail of the REF-D1 distribution </w:t>
      </w:r>
      <w:proofErr w:type="gramStart"/>
      <w:r w:rsidR="00D53B2E">
        <w:t>shifts</w:t>
      </w:r>
      <w:proofErr w:type="gramEnd"/>
      <w:r w:rsidR="00D53B2E">
        <w:t xml:space="preserve"> </w:t>
      </w:r>
      <w:r>
        <w:t>to more negative values, and thus</w:t>
      </w:r>
      <w:r w:rsidR="00D53B2E">
        <w:t xml:space="preserve"> the mode is </w:t>
      </w:r>
      <w:r>
        <w:t xml:space="preserve">closer to the observations in REF-D1 than in REF-D2 (Fig. S1). </w:t>
      </w:r>
    </w:p>
    <w:p w14:paraId="78071364" w14:textId="70A60D11" w:rsidR="00814700" w:rsidRDefault="006D0001">
      <w:pPr>
        <w:pStyle w:val="TextoNormal"/>
      </w:pPr>
      <w:r>
        <w:t xml:space="preserve">Using the same approach, Figure 4 displays the comparison of the ozone profile trends between models and observations. The trend value for REF-D1, REF-D2 and REF-C2 is calculated as the most likely trend value of the trend probability distribution for each pressure level (see Sect. 2.3 for more information); the 90% confidence interval for REF-D1 trend distribution is shown by the blue envelope. </w:t>
      </w:r>
      <w:r w:rsidR="007766C4">
        <w:t>Co</w:t>
      </w:r>
      <w:r w:rsidR="00C159B5">
        <w:t xml:space="preserve">nsistent with </w:t>
      </w:r>
      <w:r>
        <w:t xml:space="preserve"> previous studies</w:t>
      </w:r>
      <w:r w:rsidR="00C159B5">
        <w:t xml:space="preserve"> using observatio</w:t>
      </w:r>
      <w:r w:rsidR="00CE2125">
        <w:t xml:space="preserve">nal datasets and </w:t>
      </w:r>
      <w:r w:rsidR="003034B2">
        <w:t>older</w:t>
      </w:r>
      <w:r w:rsidR="00CE2125">
        <w:t xml:space="preserve"> CCMI simulations</w:t>
      </w:r>
      <w:r>
        <w:t xml:space="preserve"> </w:t>
      </w:r>
      <w:r>
        <w:fldChar w:fldCharType="begin" w:fldLock="1"/>
      </w:r>
      <w:r>
        <w:instrText>ADDIN CSL_CITATION {"citationItems":[{"id":"ITEM-1","itemData":{"DOI":"10.5194/acp-22-11657-2022","ISSN":"16807324","abstract":"This study presents an updated evaluation of stratospheric ozone profile trends in the 60°S-60°N latitude range over the 2000-2020 period using an updated version of the Long-term Ozone Trends and Uncertainties in the Stratosphere (LOTUS) regression model that was used to evaluate such trends up to 2016 for the last WMO Ozone Assessment (2018). In addition to the derivation of detailed trends as a function of latitude and vertical coordinates, the regressions are performed with the datasets averaged over broad latitude bands, i.e. 60-35°S, 20°S-20°N and 35-60°N. The same methodology as in the last assessment is applied to combine trends in these broad latitude bands in order to compare the results with the previous studies. Longitudinally resolved merged satellite records are also considered in order to provide a better comparison with trends retrieved from ground-based records, e.g. lidar, ozonesondes, Umkehr, microwave and Fourier transform infrared (FTIR) spectrometers at selected stations where long-term time series are available. The study includes a comparison with trends derived from the REF-C2 simulations of the Chemistry Climate Model Initiative (CCMI-1). This work confirms past results showing an ozone increase in the upper stratosphere, which is now significant in the three broad latitude bands. The increase is largest in the Northern and Southern Hemisphere midlatitudes, with ∼2.2 ± 0.7 % per decade at ∼2.1 hPa and ∼2.1 ± 0.6 % per decade at ∼3.2 hPa respectively compared to ∼1.6 ± 0.6 % per decade at ∼2.6 hPa in the tropics. New trend signals have emerged from the records, such as a significant decrease in ozone in the tropics around 35 hPa and a non-significant increase in ozone in the southern midlatitudes at about 20 hPa. Non-significant negative ozone trends are derived in the lowermost stratosphere, with the most pronounced trends in the tropics. While a very good agreement is obtained between trends from merged satellite records and the CCMI-1 REF-C2 simulation in the upper stratosphere, observed negative trends in the lower stratosphere are not reproduced by models at southern and, in particular, at northern midlatitudes, where models report an ozone increase. However, the lower-stratospheric trend uncertainties are quite large, for both measured and modelled trends. Finally, 2000-2020 stratospheric ozone trends derived from the ground-based and longitudinally resolved satellite records are in reasonable agreement over the European A…","author":[{"dropping-particle":"","family":"Godin-Beekmann","given":"Sophie","non-dropping-particle":"","parse-names":false,"suffix":""},{"dropping-particle":"","family":"Azouz","given":"Niramson","non-dropping-particle":"","parse-names":false,"suffix":""},{"dropping-particle":"","family":"Sofieva","given":"Viktoria F.","non-dropping-particle":"","parse-names":false,"suffix":""},{"dropping-particle":"","family":"Hubert","given":"Daan","non-dropping-particle":"","parse-names":false,"suffix":""},{"dropping-particle":"","family":"Petropavlovskikh","given":"Irina","non-dropping-particle":"","parse-names":false,"suffix":""},{"dropping-particle":"","family":"Effertz","given":"Peter","non-dropping-particle":"","parse-names":false,"suffix":""},{"dropping-particle":"","family":"Ancellet","given":"Gérard","non-dropping-particle":"","parse-names":false,"suffix":""},{"dropping-particle":"","family":"Degenstein","given":"Doug A.","non-dropping-particle":"","parse-names":false,"suffix":""},{"dropping-particle":"","family":"Zawada","given":"Daniel","non-dropping-particle":"","parse-names":false,"suffix":""},{"dropping-particle":"","family":"Froidevaux","given":"Lucien","non-dropping-particle":"","parse-names":false,"suffix":""},{"dropping-particle":"","family":"Frith","given":"Stacey","non-dropping-particle":"","parse-names":false,"suffix":""},{"dropping-particle":"","family":"Wild","given":"Jeannette","non-dropping-particle":"","parse-names":false,"suffix":""},{"dropping-particle":"","family":"Davis","given":"Sean","non-dropping-particle":"","parse-names":false,"suffix":""},{"dropping-particle":"","family":"Steinbrecht","given":"Wolfgang","non-dropping-particle":"","parse-names":false,"suffix":""},{"dropping-particle":"","family":"Leblanc","given":"Thierry","non-dropping-particle":"","parse-names":false,"suffix":""},{"dropping-particle":"","family":"Querel","given":"Richard","non-dropping-particle":"","parse-names":false,"suffix":""},{"dropping-particle":"","family":"Tourpali","given":"Kleareti","non-dropping-particle":"","parse-names":false,"suffix":""},{"dropping-particle":"","family":"Damadeo","given":"Robert","non-dropping-particle":"","parse-names":false,"suffix":""},{"dropping-particle":"","family":"Maillard Barras","given":"Eliane","non-dropping-particle":"","parse-names":false,"suffix":""},{"dropping-particle":"","family":"Stübi","given":"René","non-dropping-particle":"","parse-names":false,"suffix":""},{"dropping-particle":"","family":"Vigouroux","given":"Corinne","non-dropping-particle":"","parse-names":false,"suffix":""},{"dropping-particle":"","family":"Arosio","given":"Carlo","non-dropping-particle":"","parse-names":false,"suffix":""},{"dropping-particle":"","family":"Nedoluha","given":"Gerald","non-dropping-particle":"","parse-names":false,"suffix":""},{"dropping-particle":"","family":"Boyd","given":"Ian","non-dropping-particle":"","parse-names":false,"suffix":""},{"dropping-particle":"","family":"Malderen","given":"Roeland","non-dropping-particle":"Van","parse-names":false,"suffix":""},{"dropping-particle":"","family":"Mahieu","given":"Emmanuel","non-dropping-particle":"","parse-names":false,"suffix":""},{"dropping-particle":"","family":"Smale","given":"Dan","non-dropping-particle":"","parse-names":false,"suffix":""},{"dropping-particle":"","family":"Sussmann","given":"Ralf","non-dropping-particle":"","parse-names":false,"suffix":""}],"container-title":"Atmospheric Chemistry and Physics","id":"ITEM-1","issue":"17","issued":{"date-parts":[["2022"]]},"page":"11657-11673","title":"Updated trends of the stratospheric ozone vertical distribution in the 60°S-60°N latitude range based on the LOTUS regression model","type":"article-journal","volume":"22"},"uris":["http://www.mendeley.com/documents/?uuid=c98edd9b-77c7-4ba1-8706-3ca116073912"]},{"id":"ITEM-2","itemData":{"abstract":"This Report summarises the main results obtained during the first year of the LOTUS activity, which was targeted at providing timely inputs to the 2018 WMO/UNEP Ozone Assessment. This deadline defined the scope of this Report and focused the LOTUS activities primarily on changes in ozone levels in the middle and the upper stratosphere outside the polar regions as observed by merged satellite records. These studies were complemented by an analysis of ground-based data and recent model data provided by the CCMI (Morgenstern et al., 2017). The short timeline of this work necessitated leaving several pressing topics for the second phase of LOTUS, most notably: the significance of recent trends in the lower stratosphere, the attribution of trends to ODSs and GHGs using model data, and estimates of trends in the polar regions.","author":[{"dropping-particle":"","family":"Petropavlovskikh","given":"I","non-dropping-particle":"","parse-names":false,"suffix":""},{"dropping-particle":"","family":"Hubert","given":"D","non-dropping-particle":"","parse-names":false,"suffix":""},{"dropping-particle":"","family":"Damadeo","given":"R","non-dropping-particle":"","parse-names":false,"suffix":""},{"dropping-particle":"","family":"Hassler","given":"B","non-dropping-particle":"","parse-names":false,"suffix":""},{"dropping-particle":"","family":"Sofieva","given":"V","non-dropping-particle":"","parse-names":false,"suffix":""}],"container-title":"Sparc/Io3C/Gaw","id":"ITEM-2","issue":"9","issued":{"date-parts":[["2019"]]},"title":"SPARC/IO3C/GAW report on Long-term Ozone Trends and Uncertainties in the Stratosphere","type":"article-journal"},"uris":["http://www.mendeley.com/documents/?uuid=1964c0e0-bbd8-41b8-a6ea-71223d9f7527"]}],"mendeley":{"formattedCitation":"(Godin-Beekmann et al., 2022; Petropavlovskikh et al., 2019)","plainTextFormattedCitation":"(Godin-Beekmann et al., 2022; Petropavlovskikh et al., 2019)","previouslyFormattedCitation":"(Godin-Beekmann et al., 2022; Petropavlovskikh et al., 2019)"},"properties":{"noteIndex":0},"schema":"https://github.com/citation-style-language/schema/raw/master/csl-citation.json"}</w:instrText>
      </w:r>
      <w:r>
        <w:fldChar w:fldCharType="separate"/>
      </w:r>
      <w:r>
        <w:rPr>
          <w:noProof/>
        </w:rPr>
        <w:t>(Godin-Beekmann et al., 2022; Petropavlovskikh et al., 2019)</w:t>
      </w:r>
      <w:r>
        <w:fldChar w:fldCharType="end"/>
      </w:r>
      <w:r>
        <w:t>, there is good agreement in the magnitude of ozone increase in the upper stratosphere (above 10 hPa) between observations and models, both in the tropics and mid-latitudes. In particular, the similarity between the REF-D1 and REF-D2 simulations confirms that</w:t>
      </w:r>
      <w:r w:rsidR="001D6C17">
        <w:t>,</w:t>
      </w:r>
      <w:r>
        <w:t xml:space="preserve"> in the upper stratosphere</w:t>
      </w:r>
      <w:r w:rsidR="00C110BC">
        <w:t>, trends</w:t>
      </w:r>
      <w:r>
        <w:t xml:space="preserve"> are due to long-term (externally forced) changes and are not affected by interannual natural variability. </w:t>
      </w:r>
    </w:p>
    <w:p w14:paraId="78071365" w14:textId="5576D60C" w:rsidR="00814700" w:rsidRDefault="009E2A70">
      <w:pPr>
        <w:jc w:val="center"/>
        <w:rPr>
          <w:b/>
          <w:bCs/>
        </w:rPr>
      </w:pPr>
      <w:r>
        <w:rPr>
          <w:b/>
          <w:bCs/>
          <w:noProof/>
        </w:rPr>
        <w:lastRenderedPageBreak/>
        <w:drawing>
          <wp:inline distT="0" distB="0" distL="0" distR="0" wp14:anchorId="4AFE6506" wp14:editId="32DD5EF4">
            <wp:extent cx="5085568" cy="2766283"/>
            <wp:effectExtent l="0" t="0" r="1270" b="0"/>
            <wp:docPr id="758392379" name="Imagen 13"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392379" name="Imagen 13" descr="Diagrama&#10;&#10;El contenido generado por IA puede ser incorrecto."/>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85568" cy="2766283"/>
                    </a:xfrm>
                    <a:prstGeom prst="rect">
                      <a:avLst/>
                    </a:prstGeom>
                  </pic:spPr>
                </pic:pic>
              </a:graphicData>
            </a:graphic>
          </wp:inline>
        </w:drawing>
      </w:r>
    </w:p>
    <w:p w14:paraId="16C22CCA" w14:textId="77777777" w:rsidR="00460511" w:rsidRDefault="00460511">
      <w:pPr>
        <w:pStyle w:val="PieFigura"/>
        <w:rPr>
          <w:b/>
          <w:bCs/>
        </w:rPr>
      </w:pPr>
    </w:p>
    <w:p w14:paraId="78071366" w14:textId="2C956369" w:rsidR="00814700" w:rsidRDefault="006D0001">
      <w:pPr>
        <w:pStyle w:val="PieFigura"/>
      </w:pPr>
      <w:r>
        <w:rPr>
          <w:b/>
          <w:bCs/>
        </w:rPr>
        <w:t xml:space="preserve">Figure 4. </w:t>
      </w:r>
      <w:r w:rsidR="00701741">
        <w:t>Stratospheric o</w:t>
      </w:r>
      <w:r>
        <w:t>zone profile trends in a) the tropics (20°S-20°N) and b) northern mid-latitudes (35°N-55°N), for REF-C2 (in green), REF-D1 (in blue), REF-D2 (in red) and BASIC observations (in black). The trend value for each set of simulations is the most likely trend value of the trend probability distribution for each level pressure. Dashed black lines indicate the uncertainties in the observed trend. Blue shaded areas represent the 90% confidence interval for REF-D1 distribution.</w:t>
      </w:r>
    </w:p>
    <w:p w14:paraId="78071367" w14:textId="1B48FF43" w:rsidR="00814700" w:rsidRDefault="00B67F68">
      <w:pPr>
        <w:pStyle w:val="TextoNormal"/>
      </w:pPr>
      <w:r>
        <w:t>In the lower stratosphere, a</w:t>
      </w:r>
      <w:r w:rsidR="006D0001">
        <w:t>s expected from Figures 1 to 3, the observed and simulated ozone trend values diverge, but to different degrees depending on the region and type of simulation, and with large uncertainties in the trend value. The agreement is better in the tropics, where CCM</w:t>
      </w:r>
      <w:r w:rsidR="004673D9">
        <w:t>s</w:t>
      </w:r>
      <w:r w:rsidR="006D0001">
        <w:t xml:space="preserve"> and observations show negative trends, albeit with an underestimation by the models below 50 hPa, especially for the REF-C2 and REF-D2 simulations. For the REF-D1 experiment, the simulated negative trend is closer to the observed value, and when </w:t>
      </w:r>
      <w:proofErr w:type="gramStart"/>
      <w:r w:rsidR="006D0001">
        <w:t>taking into account</w:t>
      </w:r>
      <w:proofErr w:type="gramEnd"/>
      <w:r w:rsidR="006D0001">
        <w:t xml:space="preserve"> the large inter-model uncertainty, the REF-D1 trend is consistent with observations. In the northern mid-latitudes, the difference between observed and simulated trends is larger, although the improvement in the simulation of trends when part of the natural variability is prescribed is confirmed, as the ozone trend value in REF-D1 is closer to observations than in REF-C2 and REF-D2.</w:t>
      </w:r>
      <w:r w:rsidR="008B219C">
        <w:t xml:space="preserve"> </w:t>
      </w:r>
      <w:r w:rsidR="000A0608">
        <w:t>When</w:t>
      </w:r>
      <w:r w:rsidR="008B219C" w:rsidRPr="008B219C">
        <w:t xml:space="preserve"> the </w:t>
      </w:r>
      <w:r w:rsidR="00071908">
        <w:t>ozone profile trends</w:t>
      </w:r>
      <w:r w:rsidR="008B219C" w:rsidRPr="008B219C">
        <w:t xml:space="preserve"> are computed using a traditional multi-model mean</w:t>
      </w:r>
      <w:r w:rsidR="00BC0DE9">
        <w:t xml:space="preserve"> </w:t>
      </w:r>
      <w:r w:rsidR="00BC0DE9" w:rsidRPr="00BC0DE9">
        <w:t xml:space="preserve">instead of the </w:t>
      </w:r>
      <w:r w:rsidR="00BC0DE9">
        <w:t>“</w:t>
      </w:r>
      <w:r w:rsidR="00BC0DE9" w:rsidRPr="00BC0DE9">
        <w:t>most likely trend</w:t>
      </w:r>
      <w:r w:rsidR="00BC0DE9">
        <w:t>”</w:t>
      </w:r>
      <w:r w:rsidR="00BC0DE9" w:rsidRPr="00BC0DE9">
        <w:t xml:space="preserve"> method</w:t>
      </w:r>
      <w:r w:rsidR="00893E99">
        <w:t xml:space="preserve"> (not shown)</w:t>
      </w:r>
      <w:r w:rsidR="008B219C" w:rsidRPr="008B219C">
        <w:t xml:space="preserve">, </w:t>
      </w:r>
      <w:r w:rsidR="00893E99">
        <w:t>our</w:t>
      </w:r>
      <w:r w:rsidR="008B219C" w:rsidRPr="008B219C">
        <w:t xml:space="preserve"> conclusions still hold.</w:t>
      </w:r>
    </w:p>
    <w:p w14:paraId="7807136A" w14:textId="32F05574" w:rsidR="00814700" w:rsidRDefault="006D0001">
      <w:pPr>
        <w:pStyle w:val="TextoNormal"/>
      </w:pPr>
      <w:r>
        <w:t>To investigate if REF-D1 simulations also reproduce the ozone trend pattern better than REF-D2 simulations, and not just the trend value in the lower stratosphere, we next analyze the relationship between trends in the northern mid-</w:t>
      </w:r>
      <w:proofErr w:type="gramStart"/>
      <w:r>
        <w:t>latitudes</w:t>
      </w:r>
      <w:proofErr w:type="gramEnd"/>
      <w:r w:rsidR="00DF48D4">
        <w:t xml:space="preserve"> region</w:t>
      </w:r>
      <w:r>
        <w:t xml:space="preserve"> and the spatial pattern of trends. For this purpose, Figure 5 shows the across-simulation correlation coefficients between local ozone trends and northern mid-latitudes LS (35°-55°N, 50-150 hPa region) partial column ozone trend. Focusing on the lower stratosphere, the main differences between the REF-D1 and REF-D2 patterns appear in the tropics. In the REF-D1 simulations (Fig. 5a), the inter-simulation correlation between tropical and mid-latitude LS ozone trends is positive, with values around 0.5-0.6. This correlation indicates a link between trends in the mid-latitudes and tropical lower stratosphere consistent with the observed trends, which feature the same sign in the tropics and mid-latitudes (and opposite sign with respect to trends in the middle and upper stratosphere). </w:t>
      </w:r>
      <w:bookmarkStart w:id="2" w:name="_Hlk165907690"/>
      <w:r>
        <w:t xml:space="preserve">In </w:t>
      </w:r>
      <w:r>
        <w:lastRenderedPageBreak/>
        <w:t xml:space="preserve">contrast, REF-D2 simulations present near-zero inter-simulation correlation between tropical and mid-latitude LS ozone trends. This result was previously highlighted by </w:t>
      </w:r>
      <w:r>
        <w:fldChar w:fldCharType="begin" w:fldLock="1"/>
      </w:r>
      <w:r w:rsidR="00731574">
        <w:instrText>ADDIN CSL_CITATION {"citationItems":[{"id":"ITEM-1","itemData":{"DOI":"10.5194/acp-21-6811-2021","ISSN":"16807324","abstract":"Recent observations show a significant decrease in lower-stratospheric (LS) ozone concentrations in tropical and mid-latitude regions since 1998. By analysing 31 chemistry climate model (CCM) simulations performed for the Chemistry Climate Model Initiative (CCMI; Morgenstern et al., 2017), we find a large spread in the 1998 2018 trend patterns between different CCMs and between different realizations performed with the same CCM. The latter in particular indicates that natural variability strongly influences LS ozone trends. However none of the model simulations reproduce the observed ozone trend structure of coherent negative trends in the LS. In contrast to the observations, most models show an LS trend pattern with negative trends in the tropics (20 S 20 N) and positive trends in the northern mid-latitudes (30 50 N) or vice versa. To investigate the influence of natural variability on recent LS ozone trends, we analyse the sensitivity of observational trends and the models trend probability distributions for varying periods with start dates from 1995 to 2001 and end dates from 2013 to 2019. Generally, modelled and observed LS trends remain robust for these different periods; however observational data show a change towards weaker mid-latitude trends for certain periods, likely forced by natural variability. Moreover we show that in the tropics the observed trends agree well with the models trend distribution, whereas in the mid-latitudes the observational trend is typically an extreme value of the models distribution. We further investigate the LS ozone trends for extended periods reaching into the future and find that all models develop a positive ozone trend at mid-latitudes, and the trends converge to constant values by the period that spans 1998 2060. Inter-model correlations between ozone trends and transport-circulation trends confirm the dominant role of greenhouse gas (GHG)-driven tropical upwelling enhancement on the tropical LS ozone decrease. Mid-latitude ozone, on the other hand, appears to be influenced by multiple competing factors: an enhancement in the shallow branch decreases ozone, while an enhancement in the deep branch increases ozone, and, furthermore, mixing plays a role here too. Sensitivity simulations with fixed forcing of GHGs or ozonedepleting substances (ODSs) reveal that the GHG-driven increase in circulation strength does not lead to a net trend in LS mid-latitude column ozone. Rather, the positive ozone trends simulated …","author":[{"dropping-particle":"","family":"Dietmüller","given":"Simone","non-dropping-particle":"","parse-names":false,"suffix":""},{"dropping-particle":"","family":"Garny","given":"Hella","non-dropping-particle":"","parse-names":false,"suffix":""},{"dropping-particle":"","family":"Eichinger","given":"Roland","non-dropping-particle":"","parse-names":false,"suffix":""},{"dropping-particle":"","family":"T. Ball","given":"William","non-dropping-particle":"","parse-names":false,"suffix":""}],"container-title":"Atmospheric Chemistry and Physics","id":"ITEM-1","issue":"9","issued":{"date-parts":[["2021"]]},"page":"6811-6837","title":"Analysis of recent lower-stratospheric ozone trends in chemistry climate models","type":"article-journal","volume":"21"},"uris":["http://www.mendeley.com/documents/?uuid=ec470fca-7eb9-49d7-bc91-23f50bb0652a"]}],"mendeley":{"formattedCitation":"(Dietmüller et al., 2021)","manualFormatting":"Dietmüller et al. (2021)","plainTextFormattedCitation":"(Dietmüller et al., 2021)","previouslyFormattedCitation":"(Dietmüller et al., 2021)"},"properties":{"noteIndex":0},"schema":"https://github.com/citation-style-language/schema/raw/master/csl-citation.json"}</w:instrText>
      </w:r>
      <w:r>
        <w:fldChar w:fldCharType="separate"/>
      </w:r>
      <w:r w:rsidR="005C7BA8">
        <w:rPr>
          <w:noProof/>
        </w:rPr>
        <w:t>Dietmüller</w:t>
      </w:r>
      <w:r>
        <w:rPr>
          <w:noProof/>
        </w:rPr>
        <w:t xml:space="preserve"> et al. (2021)</w:t>
      </w:r>
      <w:r>
        <w:fldChar w:fldCharType="end"/>
      </w:r>
      <w:r>
        <w:t xml:space="preserve"> for REF-C2 simulations, although the correlation they found was slightly more negative.</w:t>
      </w:r>
    </w:p>
    <w:p w14:paraId="17536CE6" w14:textId="77777777" w:rsidR="00C859AA" w:rsidRDefault="00C859AA">
      <w:pPr>
        <w:pStyle w:val="TextoNormal"/>
      </w:pPr>
    </w:p>
    <w:p w14:paraId="7807136B" w14:textId="09DA59AE" w:rsidR="00814700" w:rsidRDefault="00905394">
      <w:pPr>
        <w:jc w:val="center"/>
        <w:rPr>
          <w:b/>
          <w:bCs/>
        </w:rPr>
      </w:pPr>
      <w:r>
        <w:rPr>
          <w:b/>
          <w:bCs/>
          <w:noProof/>
        </w:rPr>
        <w:drawing>
          <wp:inline distT="0" distB="0" distL="0" distR="0" wp14:anchorId="18AF1E63" wp14:editId="49E23C08">
            <wp:extent cx="5943600" cy="2484755"/>
            <wp:effectExtent l="0" t="0" r="0" b="0"/>
            <wp:docPr id="1126755316" name="Imagen 15" descr="Imagen que contiene 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755316" name="Imagen 15" descr="Imagen que contiene Gráfico&#10;&#10;El contenido generado por IA puede ser incorrecto."/>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484755"/>
                    </a:xfrm>
                    <a:prstGeom prst="rect">
                      <a:avLst/>
                    </a:prstGeom>
                  </pic:spPr>
                </pic:pic>
              </a:graphicData>
            </a:graphic>
          </wp:inline>
        </w:drawing>
      </w:r>
    </w:p>
    <w:p w14:paraId="7807136C" w14:textId="594B70DD" w:rsidR="00814700" w:rsidRDefault="006D0001">
      <w:pPr>
        <w:jc w:val="both"/>
      </w:pPr>
      <w:r>
        <w:rPr>
          <w:b/>
          <w:bCs/>
        </w:rPr>
        <w:t xml:space="preserve">Figure 5. </w:t>
      </w:r>
      <w:r>
        <w:t>Correlation coefficients between mid-latitudes LS partial column ozone trends integrated over the box shown in black and local ozone trends at each point across simulations for a) REF-D1 and b) REF-D</w:t>
      </w:r>
      <w:proofErr w:type="gramStart"/>
      <w:r>
        <w:t>2 .</w:t>
      </w:r>
      <w:proofErr w:type="gramEnd"/>
      <w:r>
        <w:t xml:space="preserve"> The black box indicates the region where mid-latitude LS ozone is integrated. The tropopause is indicated by the thick green line.</w:t>
      </w:r>
    </w:p>
    <w:bookmarkEnd w:id="2"/>
    <w:p w14:paraId="78071370" w14:textId="2F2579F2" w:rsidR="00814700" w:rsidRDefault="006D0001" w:rsidP="002D2C47">
      <w:pPr>
        <w:pStyle w:val="TextoNormal"/>
      </w:pPr>
      <w:r>
        <w:t xml:space="preserve"> In summary, the analysis above (Figures </w:t>
      </w:r>
      <w:r w:rsidR="004838D6">
        <w:t>1</w:t>
      </w:r>
      <w:r>
        <w:t xml:space="preserve">-5) shows that </w:t>
      </w:r>
      <w:proofErr w:type="gramStart"/>
      <w:r>
        <w:t>overall</w:t>
      </w:r>
      <w:proofErr w:type="gramEnd"/>
      <w:r>
        <w:t xml:space="preserve"> the new set of CCMI simulations has an improved representation of LS ozone trends, </w:t>
      </w:r>
      <w:proofErr w:type="gramStart"/>
      <w:r w:rsidR="00DB07C0">
        <w:t>but</w:t>
      </w:r>
      <w:r>
        <w:t xml:space="preserve"> yet</w:t>
      </w:r>
      <w:proofErr w:type="gramEnd"/>
      <w:r>
        <w:t xml:space="preserve"> only a few simulations </w:t>
      </w:r>
      <w:proofErr w:type="gramStart"/>
      <w:r>
        <w:t>are able to</w:t>
      </w:r>
      <w:proofErr w:type="gramEnd"/>
      <w:r>
        <w:t xml:space="preserve"> correctly reproduce the observed trends. The comparison between historical hindcast simulations (with prescribed observed SST and SIC, REF-D1) and the coupled simulations (REF-D2) indicates that, when at least part of the natural variability is prescribed, the models </w:t>
      </w:r>
      <w:proofErr w:type="gramStart"/>
      <w:r>
        <w:t>are able to</w:t>
      </w:r>
      <w:proofErr w:type="gramEnd"/>
      <w:r>
        <w:t xml:space="preserve"> reproduce LS ozone trends more accurately. Interestingly, there is a large spread among simulations not only in REF-D2 but also in REF-D1, suggesting an important role of internal atmospheric variability for trends over the relatively short period. To investigate this further, the next section analyzes how natural and forced variability </w:t>
      </w:r>
      <w:proofErr w:type="gramStart"/>
      <w:r>
        <w:t>contribute</w:t>
      </w:r>
      <w:proofErr w:type="gramEnd"/>
      <w:r>
        <w:t xml:space="preserve"> to the mid-latitude LS ozone trends.</w:t>
      </w:r>
    </w:p>
    <w:p w14:paraId="78071372" w14:textId="77777777" w:rsidR="00814700" w:rsidRDefault="006D0001">
      <w:pPr>
        <w:pStyle w:val="Heading-Secondary"/>
        <w:rPr>
          <w:b/>
          <w:bCs w:val="0"/>
        </w:rPr>
      </w:pPr>
      <w:r>
        <w:rPr>
          <w:b/>
          <w:bCs w:val="0"/>
        </w:rPr>
        <w:t>3.2 Contribution to lower stratospheric ozone trends from natural and forced variability.</w:t>
      </w:r>
    </w:p>
    <w:p w14:paraId="78071373" w14:textId="270F6038" w:rsidR="00814700" w:rsidRDefault="006D0001">
      <w:pPr>
        <w:pStyle w:val="TextoNormal"/>
      </w:pPr>
      <w:r>
        <w:t xml:space="preserve">To quantify the contribution of different modes of climate variability, as well as different external forcings, to the mid-latitudes LS ozone trends (partial column integrated over the region 35°-55°N, </w:t>
      </w:r>
      <w:r w:rsidR="007F15DC">
        <w:t>5</w:t>
      </w:r>
      <w:r>
        <w:t>0-150 hPa), we perform the following multiple linear regression (MLR) including terms to account for both the influence of natural variability and the forced response to GHGs and ODSs:</w:t>
      </w:r>
    </w:p>
    <w:p w14:paraId="78071375" w14:textId="2A6BF9B7" w:rsidR="00814700" w:rsidRPr="00106F41" w:rsidRDefault="00000000">
      <w:pPr>
        <w:pStyle w:val="TextoNormal"/>
        <w:ind w:firstLine="0"/>
        <w:rPr>
          <w:rFonts w:eastAsiaTheme="minorEastAsia"/>
          <w:sz w:val="20"/>
          <w:szCs w:val="20"/>
        </w:rPr>
      </w:pPr>
      <m:oMath>
        <m:sSub>
          <m:sSubPr>
            <m:ctrlPr>
              <w:rPr>
                <w:rFonts w:ascii="Cambria Math" w:hAnsi="Cambria Math"/>
                <w:sz w:val="20"/>
                <w:szCs w:val="20"/>
              </w:rPr>
            </m:ctrlPr>
          </m:sSubPr>
          <m:e>
            <m:r>
              <w:rPr>
                <w:rFonts w:ascii="Cambria Math" w:hAnsi="Cambria Math"/>
                <w:sz w:val="20"/>
                <w:szCs w:val="20"/>
              </w:rPr>
              <m:t>O</m:t>
            </m:r>
          </m:e>
          <m:sub>
            <m:r>
              <w:rPr>
                <w:rFonts w:ascii="Cambria Math" w:hAnsi="Cambria Math"/>
                <w:sz w:val="20"/>
                <w:szCs w:val="20"/>
              </w:rPr>
              <m:t>3</m:t>
            </m:r>
          </m:sub>
        </m:sSub>
        <m:d>
          <m:dPr>
            <m:ctrlPr>
              <w:rPr>
                <w:rFonts w:ascii="Cambria Math" w:hAnsi="Cambria Math"/>
                <w:sz w:val="20"/>
                <w:szCs w:val="20"/>
              </w:rPr>
            </m:ctrlPr>
          </m:dPr>
          <m:e>
            <m:r>
              <w:rPr>
                <w:rFonts w:ascii="Cambria Math" w:hAnsi="Cambria Math"/>
                <w:sz w:val="20"/>
                <w:szCs w:val="20"/>
              </w:rPr>
              <m:t>t</m:t>
            </m:r>
          </m:e>
        </m:d>
        <m: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α</m:t>
            </m:r>
          </m:e>
          <m:sub>
            <m:r>
              <w:rPr>
                <w:rFonts w:ascii="Cambria Math" w:hAnsi="Cambria Math"/>
                <w:sz w:val="20"/>
                <w:szCs w:val="20"/>
              </w:rPr>
              <m:t>1</m:t>
            </m:r>
          </m:sub>
        </m:sSub>
        <m:r>
          <w:rPr>
            <w:rFonts w:ascii="Cambria Math" w:hAnsi="Cambria Math"/>
            <w:sz w:val="20"/>
            <w:szCs w:val="20"/>
          </w:rPr>
          <m:t>∙QB</m:t>
        </m:r>
        <m:sSub>
          <m:sSubPr>
            <m:ctrlPr>
              <w:rPr>
                <w:rFonts w:ascii="Cambria Math" w:hAnsi="Cambria Math"/>
                <w:sz w:val="20"/>
                <w:szCs w:val="20"/>
              </w:rPr>
            </m:ctrlPr>
          </m:sSubPr>
          <m:e>
            <m:r>
              <w:rPr>
                <w:rFonts w:ascii="Cambria Math" w:hAnsi="Cambria Math"/>
                <w:sz w:val="20"/>
                <w:szCs w:val="20"/>
              </w:rPr>
              <m:t>O</m:t>
            </m:r>
          </m:e>
          <m:sub>
            <m:r>
              <w:rPr>
                <w:rFonts w:ascii="Cambria Math" w:hAnsi="Cambria Math"/>
                <w:sz w:val="20"/>
                <w:szCs w:val="20"/>
              </w:rPr>
              <m:t>1</m:t>
            </m:r>
          </m:sub>
        </m:sSub>
        <m:d>
          <m:dPr>
            <m:ctrlPr>
              <w:rPr>
                <w:rFonts w:ascii="Cambria Math" w:hAnsi="Cambria Math"/>
                <w:sz w:val="20"/>
                <w:szCs w:val="20"/>
              </w:rPr>
            </m:ctrlPr>
          </m:dPr>
          <m:e>
            <m:r>
              <w:rPr>
                <w:rFonts w:ascii="Cambria Math" w:hAnsi="Cambria Math"/>
                <w:sz w:val="20"/>
                <w:szCs w:val="20"/>
              </w:rPr>
              <m:t>t</m:t>
            </m:r>
          </m:e>
        </m:d>
        <m: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α</m:t>
            </m:r>
          </m:e>
          <m:sub>
            <m:r>
              <w:rPr>
                <w:rFonts w:ascii="Cambria Math" w:hAnsi="Cambria Math"/>
                <w:sz w:val="20"/>
                <w:szCs w:val="20"/>
              </w:rPr>
              <m:t>2</m:t>
            </m:r>
          </m:sub>
        </m:sSub>
        <m:r>
          <w:rPr>
            <w:rFonts w:ascii="Cambria Math" w:hAnsi="Cambria Math"/>
            <w:sz w:val="20"/>
            <w:szCs w:val="20"/>
          </w:rPr>
          <m:t>∙QB</m:t>
        </m:r>
        <m:sSub>
          <m:sSubPr>
            <m:ctrlPr>
              <w:rPr>
                <w:rFonts w:ascii="Cambria Math" w:hAnsi="Cambria Math"/>
                <w:sz w:val="20"/>
                <w:szCs w:val="20"/>
              </w:rPr>
            </m:ctrlPr>
          </m:sSubPr>
          <m:e>
            <m:r>
              <w:rPr>
                <w:rFonts w:ascii="Cambria Math" w:hAnsi="Cambria Math"/>
                <w:sz w:val="20"/>
                <w:szCs w:val="20"/>
              </w:rPr>
              <m:t>O</m:t>
            </m:r>
          </m:e>
          <m:sub>
            <m:r>
              <w:rPr>
                <w:rFonts w:ascii="Cambria Math" w:hAnsi="Cambria Math"/>
                <w:sz w:val="20"/>
                <w:szCs w:val="20"/>
              </w:rPr>
              <m:t>2</m:t>
            </m:r>
          </m:sub>
        </m:sSub>
        <m:d>
          <m:dPr>
            <m:ctrlPr>
              <w:rPr>
                <w:rFonts w:ascii="Cambria Math" w:hAnsi="Cambria Math"/>
                <w:sz w:val="20"/>
                <w:szCs w:val="20"/>
              </w:rPr>
            </m:ctrlPr>
          </m:dPr>
          <m:e>
            <m:r>
              <w:rPr>
                <w:rFonts w:ascii="Cambria Math" w:hAnsi="Cambria Math"/>
                <w:sz w:val="20"/>
                <w:szCs w:val="20"/>
              </w:rPr>
              <m:t>t</m:t>
            </m:r>
          </m:e>
        </m:d>
        <m: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α</m:t>
            </m:r>
          </m:e>
          <m:sub>
            <m:r>
              <w:rPr>
                <w:rFonts w:ascii="Cambria Math" w:hAnsi="Cambria Math"/>
                <w:sz w:val="20"/>
                <w:szCs w:val="20"/>
              </w:rPr>
              <m:t>3</m:t>
            </m:r>
          </m:sub>
        </m:sSub>
        <m: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N</m:t>
            </m:r>
          </m:e>
          <m:sub>
            <m:r>
              <w:rPr>
                <w:rFonts w:ascii="Cambria Math" w:hAnsi="Cambria Math"/>
                <w:sz w:val="20"/>
                <w:szCs w:val="20"/>
              </w:rPr>
              <m:t>3.4</m:t>
            </m:r>
          </m:sub>
        </m:sSub>
        <m:d>
          <m:dPr>
            <m:ctrlPr>
              <w:rPr>
                <w:rFonts w:ascii="Cambria Math" w:hAnsi="Cambria Math"/>
                <w:sz w:val="20"/>
                <w:szCs w:val="20"/>
              </w:rPr>
            </m:ctrlPr>
          </m:dPr>
          <m:e>
            <m:r>
              <w:rPr>
                <w:rFonts w:ascii="Cambria Math" w:hAnsi="Cambria Math"/>
                <w:sz w:val="20"/>
                <w:szCs w:val="20"/>
              </w:rPr>
              <m:t>t</m:t>
            </m:r>
          </m:e>
        </m:d>
        <m: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α</m:t>
            </m:r>
          </m:e>
          <m:sub>
            <m:r>
              <w:rPr>
                <w:rFonts w:ascii="Cambria Math" w:hAnsi="Cambria Math"/>
                <w:sz w:val="20"/>
                <w:szCs w:val="20"/>
              </w:rPr>
              <m:t>4</m:t>
            </m:r>
          </m:sub>
        </m:sSub>
        <m: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f</m:t>
            </m:r>
          </m:e>
          <m:sub>
            <m:r>
              <w:rPr>
                <w:rFonts w:ascii="Cambria Math" w:hAnsi="Cambria Math"/>
                <w:sz w:val="20"/>
                <w:szCs w:val="20"/>
              </w:rPr>
              <m:t>10.7</m:t>
            </m:r>
          </m:sub>
        </m:sSub>
        <m:d>
          <m:dPr>
            <m:ctrlPr>
              <w:rPr>
                <w:rFonts w:ascii="Cambria Math" w:hAnsi="Cambria Math"/>
                <w:sz w:val="20"/>
                <w:szCs w:val="20"/>
              </w:rPr>
            </m:ctrlPr>
          </m:dPr>
          <m:e>
            <m:r>
              <w:rPr>
                <w:rFonts w:ascii="Cambria Math" w:hAnsi="Cambria Math"/>
                <w:sz w:val="20"/>
                <w:szCs w:val="20"/>
              </w:rPr>
              <m:t>t</m:t>
            </m:r>
          </m:e>
        </m:d>
        <m: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α</m:t>
            </m:r>
          </m:e>
          <m:sub>
            <m:r>
              <w:rPr>
                <w:rFonts w:ascii="Cambria Math" w:hAnsi="Cambria Math"/>
                <w:sz w:val="20"/>
                <w:szCs w:val="20"/>
              </w:rPr>
              <m:t>5</m:t>
            </m:r>
          </m:sub>
        </m:sSub>
        <m:r>
          <w:rPr>
            <w:rFonts w:ascii="Cambria Math" w:hAnsi="Cambria Math"/>
            <w:sz w:val="20"/>
            <w:szCs w:val="20"/>
          </w:rPr>
          <m:t>∙GW</m:t>
        </m:r>
        <m:d>
          <m:dPr>
            <m:ctrlPr>
              <w:rPr>
                <w:rFonts w:ascii="Cambria Math" w:hAnsi="Cambria Math"/>
                <w:sz w:val="20"/>
                <w:szCs w:val="20"/>
              </w:rPr>
            </m:ctrlPr>
          </m:dPr>
          <m:e>
            <m:r>
              <w:rPr>
                <w:rFonts w:ascii="Cambria Math" w:hAnsi="Cambria Math"/>
                <w:sz w:val="20"/>
                <w:szCs w:val="20"/>
              </w:rPr>
              <m:t>t</m:t>
            </m:r>
          </m:e>
        </m:d>
        <m: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α</m:t>
            </m:r>
          </m:e>
          <m:sub>
            <m:r>
              <w:rPr>
                <w:rFonts w:ascii="Cambria Math" w:hAnsi="Cambria Math"/>
                <w:sz w:val="20"/>
                <w:szCs w:val="20"/>
              </w:rPr>
              <m:t>6</m:t>
            </m:r>
          </m:sub>
        </m:sSub>
        <m: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EESC</m:t>
            </m:r>
          </m:e>
          <m:sub>
            <m:r>
              <w:rPr>
                <w:rFonts w:ascii="Cambria Math" w:hAnsi="Cambria Math"/>
                <w:sz w:val="20"/>
                <w:szCs w:val="20"/>
              </w:rPr>
              <m:t>50</m:t>
            </m:r>
            <m:r>
              <w:rPr>
                <w:rFonts w:ascii="Cambria Math" w:hAnsi="Cambria Math"/>
                <w:sz w:val="20"/>
                <w:szCs w:val="20"/>
              </w:rPr>
              <m:t>hPa</m:t>
            </m:r>
          </m:sub>
        </m:sSub>
        <m:d>
          <m:dPr>
            <m:ctrlPr>
              <w:rPr>
                <w:rFonts w:ascii="Cambria Math" w:hAnsi="Cambria Math"/>
                <w:sz w:val="20"/>
                <w:szCs w:val="20"/>
              </w:rPr>
            </m:ctrlPr>
          </m:dPr>
          <m:e>
            <m:r>
              <w:rPr>
                <w:rFonts w:ascii="Cambria Math" w:hAnsi="Cambria Math"/>
                <w:sz w:val="20"/>
                <w:szCs w:val="20"/>
              </w:rPr>
              <m:t>t</m:t>
            </m:r>
          </m:e>
        </m:d>
        <m:r>
          <w:rPr>
            <w:rFonts w:ascii="Cambria Math" w:hAnsi="Cambria Math"/>
            <w:sz w:val="20"/>
            <w:szCs w:val="20"/>
          </w:rPr>
          <m:t>+ϵ</m:t>
        </m:r>
        <m:d>
          <m:dPr>
            <m:ctrlPr>
              <w:rPr>
                <w:rFonts w:ascii="Cambria Math" w:hAnsi="Cambria Math"/>
                <w:sz w:val="20"/>
                <w:szCs w:val="20"/>
              </w:rPr>
            </m:ctrlPr>
          </m:dPr>
          <m:e>
            <m:r>
              <w:rPr>
                <w:rFonts w:ascii="Cambria Math" w:hAnsi="Cambria Math"/>
                <w:sz w:val="20"/>
                <w:szCs w:val="20"/>
              </w:rPr>
              <m:t>t</m:t>
            </m:r>
          </m:e>
        </m:d>
        <m:r>
          <w:rPr>
            <w:rFonts w:ascii="Cambria Math" w:hAnsi="Cambria Math"/>
            <w:sz w:val="20"/>
            <w:szCs w:val="20"/>
          </w:rPr>
          <m:t>.  [2]</m:t>
        </m:r>
      </m:oMath>
      <w:r w:rsidR="006D0001" w:rsidRPr="00106F41">
        <w:rPr>
          <w:rFonts w:eastAsiaTheme="minorEastAsia"/>
          <w:i/>
          <w:iCs/>
          <w:sz w:val="20"/>
          <w:szCs w:val="20"/>
        </w:rPr>
        <w:t xml:space="preserve"> </w:t>
      </w:r>
      <w:r w:rsidR="006D0001" w:rsidRPr="00106F41">
        <w:rPr>
          <w:rFonts w:eastAsiaTheme="minorEastAsia"/>
          <w:sz w:val="20"/>
          <w:szCs w:val="20"/>
        </w:rPr>
        <w:t xml:space="preserve">     </w:t>
      </w:r>
      <w:r w:rsidR="006D0001" w:rsidRPr="00106F41">
        <w:rPr>
          <w:rFonts w:eastAsiaTheme="minorEastAsia"/>
          <w:sz w:val="20"/>
          <w:szCs w:val="20"/>
        </w:rPr>
        <w:tab/>
      </w:r>
      <w:r w:rsidR="006D0001" w:rsidRPr="00106F41">
        <w:rPr>
          <w:rFonts w:eastAsiaTheme="minorEastAsia"/>
          <w:sz w:val="20"/>
          <w:szCs w:val="20"/>
        </w:rPr>
        <w:tab/>
      </w:r>
      <w:r w:rsidR="006D0001" w:rsidRPr="00106F41">
        <w:rPr>
          <w:rFonts w:eastAsiaTheme="minorEastAsia"/>
          <w:sz w:val="20"/>
          <w:szCs w:val="20"/>
        </w:rPr>
        <w:tab/>
      </w:r>
      <w:r w:rsidR="006D0001" w:rsidRPr="00106F41">
        <w:rPr>
          <w:rFonts w:eastAsiaTheme="minorEastAsia"/>
          <w:sz w:val="20"/>
          <w:szCs w:val="20"/>
        </w:rPr>
        <w:tab/>
      </w:r>
      <w:r w:rsidR="006D0001" w:rsidRPr="00106F41">
        <w:rPr>
          <w:rFonts w:eastAsiaTheme="minorEastAsia"/>
          <w:sz w:val="20"/>
          <w:szCs w:val="20"/>
        </w:rPr>
        <w:tab/>
      </w:r>
      <w:r w:rsidR="006D0001" w:rsidRPr="00106F41">
        <w:rPr>
          <w:rFonts w:eastAsiaTheme="minorEastAsia"/>
          <w:sz w:val="20"/>
          <w:szCs w:val="20"/>
        </w:rPr>
        <w:tab/>
      </w:r>
      <w:r w:rsidR="006D0001" w:rsidRPr="00106F41">
        <w:rPr>
          <w:rFonts w:eastAsiaTheme="minorEastAsia"/>
          <w:sz w:val="20"/>
          <w:szCs w:val="20"/>
        </w:rPr>
        <w:tab/>
      </w:r>
      <w:r w:rsidR="006D0001" w:rsidRPr="00106F41">
        <w:rPr>
          <w:rFonts w:eastAsiaTheme="minorEastAsia"/>
          <w:sz w:val="20"/>
          <w:szCs w:val="20"/>
        </w:rPr>
        <w:tab/>
      </w:r>
    </w:p>
    <w:p w14:paraId="78071376" w14:textId="0DEED4D4" w:rsidR="00814700" w:rsidRDefault="006D0001">
      <w:pPr>
        <w:pStyle w:val="TextoNormal"/>
        <w:rPr>
          <w:lang w:val="en-GB"/>
        </w:rPr>
      </w:pPr>
      <w:r>
        <w:t>In Eq. (2), QBO</w:t>
      </w:r>
      <w:r>
        <w:rPr>
          <w:vertAlign w:val="subscript"/>
        </w:rPr>
        <w:t>1</w:t>
      </w:r>
      <w:r>
        <w:t xml:space="preserve"> and QBO</w:t>
      </w:r>
      <w:r>
        <w:rPr>
          <w:vertAlign w:val="subscript"/>
        </w:rPr>
        <w:t>2</w:t>
      </w:r>
      <w:r>
        <w:t xml:space="preserve"> are indices corresponding to the first two empirical orthogonal functions (EOFs) of the zonal wind between 5°S and 5°N over the layer 10-70 hPa </w:t>
      </w:r>
      <w:r>
        <w:fldChar w:fldCharType="begin" w:fldLock="1"/>
      </w:r>
      <w:r>
        <w:instrText>ADDIN CSL_CITATION {"citationItems":[{"id":"ITEM-1","itemData":{"DOI":"10.1175/1520-0469(1993)050&lt;1751:ROTESQ&gt;2.0.CO;2","ISSN":"0022-4928","author":[{"dropping-particle":"","family":"Wallace","given":"John M.","non-dropping-particle":"","parse-names":false,"suffix":""},{"dropping-particle":"","family":"Panetta","given":"R. Lee","non-dropping-particle":"","parse-names":false,"suffix":""},{"dropping-particle":"","family":"Estberg","given":"Jerry","non-dropping-particle":"","parse-names":false,"suffix":""}],"container-title":"Journal of the Atmospheric Sciences","id":"ITEM-1","issue":"12","issued":{"date-parts":[["1993","6"]]},"page":"1751-1762","title":"Representation of the Equatorial Stratospheric Quasi-Biennial Oscillation in EOF Phase Space","type":"article-journal","volume":"50"},"uris":["http://www.mendeley.com/documents/?uuid=6fdf0e31-1119-43af-a55a-892fa53d76ef"]}],"mendeley":{"formattedCitation":"(Wallace et al., 1993)","plainTextFormattedCitation":"(Wallace et al., 1993)","previouslyFormattedCitation":"(Wallace et al., 1993)"},"properties":{"noteIndex":0},"schema":"https://github.com/citation-style-language/schema/raw/master/csl-citation.json"}</w:instrText>
      </w:r>
      <w:r>
        <w:fldChar w:fldCharType="separate"/>
      </w:r>
      <w:r>
        <w:rPr>
          <w:noProof/>
        </w:rPr>
        <w:t>(Wallace et al., 1993)</w:t>
      </w:r>
      <w:r>
        <w:fldChar w:fldCharType="end"/>
      </w:r>
      <w:r>
        <w:t>, f</w:t>
      </w:r>
      <w:r>
        <w:rPr>
          <w:vertAlign w:val="subscript"/>
        </w:rPr>
        <w:t xml:space="preserve">10.7 </w:t>
      </w:r>
      <w:r>
        <w:t>is the 10.7 cm solar radio flux used as proxy for the 11-year solar cycle, and N</w:t>
      </w:r>
      <w:r>
        <w:rPr>
          <w:vertAlign w:val="subscript"/>
        </w:rPr>
        <w:t xml:space="preserve">3.4 </w:t>
      </w:r>
      <w:r>
        <w:t xml:space="preserve">is an </w:t>
      </w:r>
      <w:r>
        <w:lastRenderedPageBreak/>
        <w:t xml:space="preserve">ENSO index with the standardized SST anomalies in the Niño3.4 region (5°N-5°S, 170-120°W). We consider these sources of natural variability because previous work has shown that they strongly affect stratospheric ozone </w:t>
      </w:r>
      <w:r>
        <w:fldChar w:fldCharType="begin" w:fldLock="1"/>
      </w:r>
      <w:r>
        <w:instrText>ADDIN CSL_CITATION {"citationItems":[{"id":"ITEM-1","itemData":{"DOI":"10.1029/2006JD007339","ISSN":"01480227","abstract":"A global stratospheric ozone data set for 1979-2005 is described. Interannual variations are derived from analysis of Stratospheric Aerosol and Gas Experiment (SAGE I and II) profile measurements, combined with polar ozonesonde data from Syowa (69°S) and Resolute (75°N). These interannual changes are combined with a seasonally varying ozone climatology from Fortuin and Kelder [1998] to provide a monthly global data set. These data are intended for use in global modeling studies and for analysis of global variability and trends. In order to generate continuous fields from the gappy SAGE data, we use a regression fit that includes decadal trends, solar cycle, and QBO terms, and the spatial structure of these variations is studied in detail. Decadal trends are modeled using an equivalent effective stratospheric chlorine proxy. Ozone variability from the vertically integrated SAGE/ sonde data set is compared with results derived from a merged Total Ozone Mapping Spectrometer/solar backscatter ultraviolet column ozone data set, showing good overall agreement (in particular for trends in extratropics). We also compare the SAGE data with ozonesonde measurements over Northern Hemisphere midlatitudes and find excellent agreement for lower stratospheric variability and trends. In the tropics, the SAGE ozone data show relatively large percentage decreases in the lower stratosphere. However, the vertically integrated SAGE data do not agree with column ozone trends in the tropics, so there is less confidence in the SAGE results in this region. Copyright 2007 by the American Geophysical Union.","author":[{"dropping-particle":"","family":"Randel","given":"William J.","non-dropping-particle":"","parse-names":false,"suffix":""},{"dropping-particle":"","family":"Wu","given":"Fei","non-dropping-particle":"","parse-names":false,"suffix":""}],"container-title":"Journal of Geophysical Research Atmospheres","id":"ITEM-1","issue":"6","issued":{"date-parts":[["2007"]]},"page":"1-12","title":"A stratospheric ozone profile data set for 1979-2005: Variability, trends, and comparisons with column ozone data","type":"article-journal","volume":"112"},"uris":["http://www.mendeley.com/documents/?uuid=d9d1bdb9-e5fe-40ea-8f84-4f34696f0904"]},{"id":"ITEM-2","itemData":{"DOI":"10.5194/acp-19-425-2019","ISSN":"16807324","abstract":"The stratospheric Brewer-Dobson circulation (BDC) determines the transport and atmospheric lifetime of key radiatively active trace gases and further impacts surface climate through downward coupling. Here, we quantify the variability in the lower stratospheric BDC induced by the El Niño-Southern Oscillation (ENSO), using satellite trace gas measurements and simulations with the Lagrangian chemistry transport model, CLaMS, driven by ERA-Interim and JRA-55 reanalyses. We show that despite discrepancies in the deseasonalized ozone (O 3 ) mixing ratios between CLaMS simulations and satellite observations, the patterns of changes in the lower stratospheric O 3 anomalies induced by ENSO agree remarkably well over the 2005-2016 period. Particularly during the most recent El Niño in 2015-2016, both satellite observations and CLaMS simulations show the largest negative tropical O 3 anomaly in the record. Regression analysis of different metrics of the BDC strength, including mean age of air, vertical velocity, residual circulation, and age spectrum, shows clear evidence of structural changes in the BDC in the lower stratosphere induced by El Niño, consistent with observed O 3 anomalies. These structural changes during El Niño include a weakening of the transition branch of the BDC between about 370 and 420 K (∼100-70 hPa) and equatorward of about 60 and a strengthening of the shallow branch at the same latitudes and between about 420 and 500 K (∼70-30 hPa). The slowdown of the transition branch is due to an upward shift in the dissipation height of the large-scale and gravity waves, while the strengthening of the shallow branch results mainly from enhanced gravity wave breaking in the tropics-subtropics combined with enhanced planetary wave breaking at high latitudes. The strengthening of the shallow branch induces negative tropical O 3 anomalies due to enhanced tropical upwelling, while the weakening of the transition branch combined with enhanced downwelling due to the strengthening shallow branch leads to positive O 3 anomalies in the extratropical upper troposphere-lower stratosphere (UTLS). Our results suggest that a shift in the ENSO basic state toward more frequent El Niño-like conditions in a warmer future climate will substantially alter UTLS trace gas distributions due to these changes in the vertical structure of the stratospheric circulation.","author":[{"dropping-particle":"","family":"Diallo","given":"Mohamadou","non-dropping-particle":"","parse-names":false,"suffix":""},{"dropping-particle":"","family":"Konopka","given":"Paul","non-dropping-particle":"","parse-names":false,"suffix":""},{"dropping-particle":"","family":"Santee","given":"Michelle L.","non-dropping-particle":"","parse-names":false,"suffix":""},{"dropping-particle":"","family":"Müller","given":"Rolf","non-dropping-particle":"","parse-names":false,"suffix":""},{"dropping-particle":"","family":"Tao","given":"Mengchu","non-dropping-particle":"","parse-names":false,"suffix":""},{"dropping-particle":"","family":"Walker","given":"Kaley A.","non-dropping-particle":"","parse-names":false,"suffix":""},{"dropping-particle":"","family":"Legras","given":"Bernard","non-dropping-particle":"","parse-names":false,"suffix":""},{"dropping-particle":"","family":"Riese","given":"Martin","non-dropping-particle":"","parse-names":false,"suffix":""},{"dropping-particle":"","family":"Ern","given":"Manfred","non-dropping-particle":"","parse-names":false,"suffix":""},{"dropping-particle":"","family":"Ploeger","given":"Felix","non-dropping-particle":"","parse-names":false,"suffix":""}],"container-title":"Atmospheric Chemistry and Physics","id":"ITEM-2","issue":"1","issued":{"date-parts":[["2019"]]},"page":"425-446","title":"Structural changes in the shallow and transition branch of the Brewer-Dobson circulation induced by El Niño","type":"article-journal","volume":"19"},"uris":["http://www.mendeley.com/documents/?uuid=84e70e13-b5f1-4aa3-bbc4-48a58f11dd9d"]},{"id":"ITEM-3","itemData":{"DOI":"10.1002/joc.6519","ISSN":"10970088","abstract":"Using ozone observations, reanalysis data, and climate model simulations, this study investigates in detail the independent and joint influences of the eastern Pacific (EP) El Niño–Southern Oscillation (ENSO) and the quasi-biennial oscillation (QBO) on stratospheric ozone in the Northern Hemisphere (NH) during winter. Statistically, the stratospheric ozone in the NH in winter increases during El Niño events but decreases during La Niña events. Stratospheric ozone increases in the east wind phases of the QBO (EQBO) and decreases in the west wind phases of the QBO (WQBO). The stratospheric ozone anomalies in the middle and high latitudes caused by ENSO activities are clearly larger than those related to the QBO phase. Since the phases of wave-1 and wave-2 planetary waves anomalies related to ENSO activities are broadly similar to those of QBO phases, the joint effect of ENSO and QBO on stratospheric ozone is approximately equal to the linear superposition of their independent impacts. This means that during EQBO phases, the stratospheric ozone anomalies are increased during El Niño events but reduced during La Niña events, and vice versa during WQBO phases. Numerical sensitivity experiments are performed to further investigate the independent and joint influences of EP ENSO and QBO on stratospheric ozone in the NH during winter. The results from simulations agree well with the results from statistical analysis.","author":[{"dropping-particle":"","family":"Xie","given":"Fei","non-dropping-particle":"","parse-names":false,"suffix":""},{"dropping-particle":"","family":"Zhang","given":"Jiankai","non-dropping-particle":"","parse-names":false,"suffix":""},{"dropping-particle":"","family":"Li","given":"Xiaoting","non-dropping-particle":"","parse-names":false,"suffix":""},{"dropping-particle":"","family":"Li","given":"Juan","non-dropping-particle":"","parse-names":false,"suffix":""},{"dropping-particle":"","family":"Wang","given":"Tao","non-dropping-particle":"","parse-names":false,"suffix":""},{"dropping-particle":"","family":"Xu","given":"Mian","non-dropping-particle":"","parse-names":false,"suffix":""}],"container-title":"International Journal of Climatology","id":"ITEM-3","issue":"12","issued":{"date-parts":[["2020"]]},"page":"5289-5307","title":"Independent and joint influences of eastern Pacific El Niño–southern oscillation and quasi-biennial oscillation on Northern Hemispheric stratospheric ozone","type":"article-journal","volume":"40"},"uris":["http://www.mendeley.com/documents/?uuid=64d836bc-67d5-43e5-ab41-4bdcc0d6826f"]},{"id":"ITEM-4","itemData":{"DOI":"10.5194/acp-22-15729-2022","ISSN":"16807324","abstract":"While the impact of the El Niño-Southern Oscillation (ENSO) on the stratospheric circulation has been long recognized, its effects on stratospheric ozone have been less investigated. In particular, the impact on ozone of different ENSO flavors, eastern Pacific (EP) El Niño and central Pacific (CP) El Niño, and the driving mechanisms for the ozone variations have not been investigated to date. This study aims to explore these open questions by examining the anomalies in advective transport, mixing and chemistry associated with different El Niño flavors (EP and CP) and La Niña in the Northern Hemisphere in boreal winter. For this purpose, we use four 60-year ensemble members of the Whole Atmospheric Community Climate Model version 4. The results show a significant ENSO signal on the total column ozone (TCO) during EP El Niño and La Niña events. During EP El Niño events, TCO is significantly reduced in the tropics and enhanced at middle and high latitudes in boreal winter. The opposite response has been found during La Niña. Interestingly, CP El Niño has no significant impact on extratropical TCO, while its signal in the tropics is weaker than for EP El Niño events. The analysis of mechanisms reveals that advection through changes in tropical upwelling is the main driver for ozone variations in the lower tropical stratosphere, with a contribution of chemical processes above 30hPa. At middle and high latitudes, stratospheric ozone variations related to ENSO result from combined changes in advection by residual circulation downwelling and changes in horizontal mixing linked to Rossby wave breaking and polar vortex anomalies. The impact of CP El Niño on the shallow branch of the residual circulation is small, and no significant impact is found on the deep branch.","author":[{"dropping-particle":"","family":"Benito-Barca","given":"Samuel","non-dropping-particle":"","parse-names":false,"suffix":""},{"dropping-particle":"","family":"Calvo","given":"Natalia","non-dropping-particle":"","parse-names":false,"suffix":""},{"dropping-particle":"","family":"Abalos","given":"Marta","non-dropping-particle":"","parse-names":false,"suffix":""}],"container-title":"Atmospheric Chemistry and Physics","id":"ITEM-4","issue":"24","issued":{"date-parts":[["2022"]]},"page":"15729-15745","title":"Driving mechanisms for the El Niño-Southern Oscillation impact on stratospheric ozone","type":"article-journal","volume":"22"},"uris":["http://www.mendeley.com/documents/?uuid=dfb71e6a-7aec-4da8-b691-2f99bbbb2f6f"]},{"id":"ITEM-5","itemData":{"DOI":"10.5194/acp-22-13695-2022","ISBN":"2213695202","ISSN":"16807324","abstract":"The quasi-biennial oscillation (QBO), as the dominant mode in the equatorial stratosphere, modulates the dynamical circulation and the distribution of trace gases in the stratosphere. While the zonal mean QBO signals in stratospheric ozone have been relatively well documented, the zonal (longitudinal) differences in the QBO ozone signals have been less studied. Using satellite-based total column ozone (TCO) data from 1979 to 2020, zonal mean ozone data from 1984 to 2020, three-dimensional (3-D) ozone data from 2002 to 2020, and ERA5 reanalysis and model simulations from 1979 to 2020, we demonstrate that the influences of the QBO (using a QBO index at 20 hPa) on stratospheric ozone are zonally asymmetric. The global distribution of stratospheric ozone varies significantly during different QBO phases. During QBO westerly (QBOW) phases, the TCO and stratospheric ozone are anomalously high in the tropics, while in the subtropics they are anomalously low over most of the areas, especially during the winter-spring of the respective hemisphere. This confirms the results from previous studies. In the polar region, the TCO and stratospheric ozone (50-10 hPa) anomalies are seasonally dependent and zonally asymmetric. During boreal winter (December-February, DJF), positive anomalies of the TCO and stratospheric ozone are evident during QBOW over the regions from North America to the North Atlantic (120° W-30° E), while significant negative anomalies exist over other longitudes in the Arctic. In boreal autumn (September-November, SON), the TCO and stratospheric ozone are anomalously high from Greenland to Eurasia (60° W-120° E) but anomalously low in other regions over the Arctic. Weak positive TCO and stratospheric ozone anomalies exist over the South America sector (90° W-30° E) of the Antarctic, while negative anomalies of the TCO and stratospheric ozone are seen in other longitudes. The consistent features of TCO and stratospheric ozone anomalies indicate that the QBO signals in TCO are mainly determined by the stratospheric ozone variations. Analysis of meteorological conditions indicates that the QBO ozone perturbations are mainly caused by dynamical transport and also influenced by chemical reactions associated with the corresponding temperature changes. QBO affects the geopotential height and the polar vortex and subsequently the transport of ozone-rich air from lower latitudes to the polar region, which therefore influences the ozone concentrations over th…","author":[{"dropping-particle":"","family":"Wang","given":"Wuke","non-dropping-particle":"","parse-names":f</w:instrText>
      </w:r>
      <w:r w:rsidRPr="002D65FA">
        <w:rPr>
          <w:lang w:val="es-ES"/>
        </w:rPr>
        <w:instrText>alse,"suffix":""},{"dropping-particle":"","family":"Hong","given":"Jin","non-dropping-particle":"","parse-names":false,"suffix":""},{"dropping-particle":"","family":"Shangguan","given":"Ming","non-dropping-particle":"","parse-names":false,"suffix":""},{"dropping-particle":"","family":"Wang","given":"Hongyue","non-dropping-particle":"","parse-names":false,"suffix":""},{"dropping-particle":"","family":"Jiang","given":"Wei","non-dropping-particle":"","parse-names":false,"suffix":""},{"dropping-particle":"","family":"Zhao","given":"Shuyun","non-dropping-particle":"","parse-names":false,"suffix":""}],"container-title":"Atmospheric Chemistry and Physics","id":"ITEM-5","issue":"20","issued":{"date-parts":[["2022"]]},"page":"13695-13711","title":"Zonally asymmetric influences of the quasi-biennial oscillation on stratospheric ozone","type":"article-journal","volume":"22"},"uris":["http://www.mendeley.com/documents/?uuid=3597b54a-82ff-4fbc-9dd3-5833114035d3"]}],"mendeley":{"formattedCitation":"(Benito-Barca et al., 2022; Diallo et al., 2019; Randel &amp; Wu, 2007; Wang et al., 2022; Xie et al., 2020)","plainTextFormattedCitation":"(Benito-Barca et al., 2022; Diallo et al., 2019; Randel &amp; Wu, 2007; Wang et al., 2022; Xie et al., 2020)","previouslyFormattedCitation":"(Benito-Barca et al., 2022; Diallo et al., 2019; Randel &amp; Wu, 2007; Wang et al., 2022; Xie et al., 2020)"},"properties":{"noteIndex":0},"schema":"https://github.com/citation-style-language/schema/raw/master/csl-citation.json"}</w:instrText>
      </w:r>
      <w:r>
        <w:fldChar w:fldCharType="separate"/>
      </w:r>
      <w:r>
        <w:rPr>
          <w:noProof/>
          <w:lang w:val="es-ES"/>
        </w:rPr>
        <w:t>(Benito-Barca et al., 2022; Diallo et al., 2019; Randel &amp; Wu, 2007; Wang et al., 2022; Xie et al., 2020)</w:t>
      </w:r>
      <w:r>
        <w:fldChar w:fldCharType="end"/>
      </w:r>
      <w:r>
        <w:rPr>
          <w:lang w:val="es-ES"/>
        </w:rPr>
        <w:t xml:space="preserve">. </w:t>
      </w:r>
      <w:r>
        <w:t>Volcanic effects have not been included as no major volcanic eruptions have occurred in the period 1998 - 2018. The forcing response to GHG is assessed with a Global Warming index (GW), calculated as the area-weighted global mean surface temperature (</w:t>
      </w:r>
      <w:r>
        <w:rPr>
          <w:i/>
          <w:iCs/>
        </w:rPr>
        <w:t>ts</w:t>
      </w:r>
      <w:r>
        <w:t xml:space="preserve">). The ODS signal is evaluated using the </w:t>
      </w:r>
      <w:r>
        <w:rPr>
          <w:lang w:val="en-GB"/>
        </w:rPr>
        <w:t xml:space="preserve">area-weighted global mean </w:t>
      </w:r>
      <w:r w:rsidR="008C185A">
        <w:rPr>
          <w:lang w:val="en-GB"/>
        </w:rPr>
        <w:t>equivalent effective stratospheric chlorine</w:t>
      </w:r>
      <w:r>
        <w:rPr>
          <w:lang w:val="en-GB"/>
        </w:rPr>
        <w:t xml:space="preserve"> (EESC) at 50 hPa (EESC</w:t>
      </w:r>
      <w:r>
        <w:rPr>
          <w:vertAlign w:val="subscript"/>
          <w:lang w:val="en-GB"/>
        </w:rPr>
        <w:t>50</w:t>
      </w:r>
      <w:r>
        <w:rPr>
          <w:lang w:val="en-GB"/>
        </w:rPr>
        <w:t xml:space="preserve">). EESC is a convenient metric to quantify the effects of halogens (chlorine and bromine) on stratospheric ozone depletion </w:t>
      </w:r>
      <w:r>
        <w:fldChar w:fldCharType="begin" w:fldLock="1"/>
      </w:r>
      <w:r>
        <w:rPr>
          <w:lang w:val="en-GB"/>
        </w:rPr>
        <w:instrText>ADDIN CSL_CITATION {"citationItems":[{"id":"ITEM-1","itemData":{"DOI":"10.5194/acp-7-4537-2007","ISSN":"16807324","abstract":"Equivalent effective stratospheric chlorine (EESC) is a convenient parameter to quantify the effects of halogens (chlorine and bromine) on ozone depletion in the stratosphere. We show, discuss, and analyze a new formulation of EESC that now includes the effects of age-of-air dependent fractional release values and an age-of-air spectrum. This EESC can be more appropriately applied to various parts of the stratosphere because of this dependence on mean age-of-air. This new formulation provides quantitative estimates of EESC that can be directly related to inorganic chlorine and bromine throughout the stratosphere. In this paper, we first provide a detailed description of the EESC calculation. We then use this EESC formulation to estimate that human-produced ozone depleting substances will recover to 1980 levels in 2041 in the midlatitudes, and 2067 over Antarctica. These recovery dates are based upon the assumption that the international agreements for regulating ozone-depleting substances are adhered to. In addition to recovery dates, we also estimate the uncertainties and possible problems in the estimated times of recovery. The midlatitude recovery of 2041 has a 95% confidence uncertainty from 2028 to 2049, while the 2067 Antarctic recovery has a 95% confidence uncertainty from 2056 to 2078. The principal uncertainties are from the estimated mean age-of-air and fractional release values, and the assumption that these quantities are time independent. Using other model estimates of age decrease due to climate change, we estimate that midlatitude recovery may be significantly accelerated.","author":[{"dropping-particle":"","family":"Newman","given":"P. A.","non-dropping-particle":"","parse-names":false,"suffix":""},{"dropping-particle":"","family":"Daniel","given":"J. S.","non-dropping-particle":"","parse-names":false,"suffix":""},{"dropping-particle":"","family":"Waugh","given":"D. W.","non-dropping-particle":"","parse-names":false,"suffix":""},{"dropping-particle":"","family":"Nash","given":"E. R.","non-dropping-particle":"","parse-names":false,"suffix":""}],"container-title":"Atmospheric Chemistry and Physics","id":"ITEM-1","issue":"17","issued":{"date-parts":[["2007"]]},"page":"4537-4552","title":"A new formulation of equivalent effective stratospheric chlorine (EESC)","type":"article-journal","volume":"7"},"uris":["http://www.mendeley.com/documents/?uuid=a9491bfd-8392-4232-bf9f-bdfef478981b"]}],"mendeley":{"formattedCitation":"(Newman et al., 2007)","plainTextFormattedCitation":"(Newman et al., 2007)","previouslyFormattedCitation":"(Newman et al., 2007)"},"properties":{"noteIndex":0},"schema":"https://github.com/citation-style-language/schema/raw/master/csl-citation.json"}</w:instrText>
      </w:r>
      <w:r>
        <w:rPr>
          <w:lang w:val="en-GB"/>
        </w:rPr>
        <w:fldChar w:fldCharType="separate"/>
      </w:r>
      <w:r>
        <w:rPr>
          <w:noProof/>
          <w:lang w:val="en-GB"/>
        </w:rPr>
        <w:t>(Newman et al., 2007)</w:t>
      </w:r>
      <w:r>
        <w:rPr>
          <w:lang w:val="en-GB"/>
        </w:rPr>
        <w:fldChar w:fldCharType="end"/>
      </w:r>
      <w:r>
        <w:rPr>
          <w:lang w:val="en-GB"/>
        </w:rPr>
        <w:t xml:space="preserve">. The residual is denoted by ϵ(t). All indices have monthly frequency and have been deseasonalized before including them into the regression model. </w:t>
      </w:r>
    </w:p>
    <w:p w14:paraId="78071377" w14:textId="2D9C6D4A" w:rsidR="00814700" w:rsidRDefault="006D0001">
      <w:pPr>
        <w:pStyle w:val="TextoNormal"/>
        <w:rPr>
          <w:lang w:val="en-GB"/>
        </w:rPr>
      </w:pPr>
      <w:r>
        <w:rPr>
          <w:lang w:val="en-GB"/>
        </w:rPr>
        <w:t>The analysis of the contribution to LS ozone trends from each term included in Eq. (</w:t>
      </w:r>
      <w:hyperlink r:id="rId14" w:anchor="Ch1.E1" w:history="1">
        <w:r w:rsidR="005D0A2C">
          <w:rPr>
            <w:lang w:val="en-GB"/>
          </w:rPr>
          <w:t>2</w:t>
        </w:r>
      </w:hyperlink>
      <w:r>
        <w:rPr>
          <w:lang w:val="en-GB"/>
        </w:rPr>
        <w:t>) has been carried out as follows. First, the coefficients associated with each regressor (α</w:t>
      </w:r>
      <w:r>
        <w:rPr>
          <w:vertAlign w:val="subscript"/>
          <w:lang w:val="en-GB"/>
        </w:rPr>
        <w:t>i</w:t>
      </w:r>
      <w:r>
        <w:rPr>
          <w:lang w:val="en-GB"/>
        </w:rPr>
        <w:t xml:space="preserve">) are obtained by performing the MLR for the period 1960-2018. Then, the time series of ozone associated with each proxy is calculated by multiplying the coefficient by the time series of the index. Finally, the linear trend of the time series is calculated over the period 1998-2018 using a </w:t>
      </w:r>
      <w:r w:rsidR="00AF7B9C">
        <w:rPr>
          <w:lang w:val="en-GB"/>
        </w:rPr>
        <w:t>least square</w:t>
      </w:r>
      <w:r>
        <w:rPr>
          <w:lang w:val="en-GB"/>
        </w:rPr>
        <w:t xml:space="preserve"> linear fit. The second column of Fig. 6 displays the trend of the original mid-latitude LS ozone series for each REF-D1 simulation, while the remaining columns show the contribution to the trend of each of the different regressors. Note that the QBO column is the sum of the contributions related to the QBO</w:t>
      </w:r>
      <w:r w:rsidRPr="00D113DE">
        <w:rPr>
          <w:vertAlign w:val="subscript"/>
          <w:lang w:val="en-GB"/>
        </w:rPr>
        <w:t>1</w:t>
      </w:r>
      <w:r>
        <w:rPr>
          <w:lang w:val="en-GB"/>
        </w:rPr>
        <w:t xml:space="preserve"> and QBO</w:t>
      </w:r>
      <w:r w:rsidRPr="00D113DE">
        <w:rPr>
          <w:vertAlign w:val="subscript"/>
          <w:lang w:val="en-GB"/>
        </w:rPr>
        <w:t>2</w:t>
      </w:r>
      <w:r>
        <w:rPr>
          <w:lang w:val="en-GB"/>
        </w:rPr>
        <w:t xml:space="preserve"> indices. </w:t>
      </w:r>
    </w:p>
    <w:p w14:paraId="78071379" w14:textId="6EFF1120" w:rsidR="00814700" w:rsidRDefault="006D0001">
      <w:pPr>
        <w:pStyle w:val="TextoNormal"/>
      </w:pPr>
      <w:r>
        <w:rPr>
          <w:lang w:val="en-GB"/>
        </w:rPr>
        <w:t>Overall, the linear effects of natural variability associated with the QBO and ENSO have a small contribution to the ozone trend in this period. The trend associated with the QBO is negative and smaller (in absolute value) than 0.20 DU per decade</w:t>
      </w:r>
      <w:r w:rsidR="00F66774">
        <w:rPr>
          <w:lang w:val="en-GB"/>
        </w:rPr>
        <w:t xml:space="preserve"> </w:t>
      </w:r>
      <w:r w:rsidR="0097079A" w:rsidRPr="0097079A">
        <w:rPr>
          <w:lang w:val="en-GB"/>
        </w:rPr>
        <w:t>in all simulations that have the QBO nudged to the observe</w:t>
      </w:r>
      <w:r w:rsidR="0097079A">
        <w:rPr>
          <w:lang w:val="en-GB"/>
        </w:rPr>
        <w:t>d</w:t>
      </w:r>
      <w:r>
        <w:rPr>
          <w:lang w:val="en-GB"/>
        </w:rPr>
        <w:t>.</w:t>
      </w:r>
      <w:r>
        <w:t xml:space="preserve"> </w:t>
      </w:r>
      <w:r>
        <w:rPr>
          <w:lang w:val="en-GB"/>
        </w:rPr>
        <w:t xml:space="preserve">The negative sign is due to the fact that during the easterly phase of the QBO there is more ozone in mid-latitudes than during the westerly phase </w:t>
      </w:r>
      <w:r>
        <w:fldChar w:fldCharType="begin" w:fldLock="1"/>
      </w:r>
      <w:r>
        <w:rPr>
          <w:lang w:val="en-GB"/>
        </w:rPr>
        <w:instrText>ADDIN CSL_CITATION {"citationItems":[{"id":"ITEM-1","itemData":{"DOI":"10.5194/acp-22-13695-2022","ISBN":"2213695202","ISSN":"16807324","abstract":"The quasi-biennial oscillation (QBO), as the dominant mode in the equatorial stratosphere, modulates the dynamical circulation and the distribution of trace gases in the stratosphere. While the zonal mean QBO signals in stratospheric ozone have been relatively well documented, the zonal (longitudinal) differences in the QBO ozone signals have been less studied. Using satellite-based total column ozone (TCO) data from 1979 to 2020, zonal mean ozone data from 1984 to 2020, three-dimensional (3-D) ozone data from 2002 to 2020, and ERA5 reanalysis and model simulations from 1979 to 2020, we demonstrate that the influences of the QBO (using a QBO index at 20 hPa) on stratospheric ozone are zonally asymmetric. The global distribution of stratospheric ozone varies significantly during different QBO phases. During QBO westerly (QBOW) phases, the TCO and stratospheric ozone are anomalously high in the tropics, while in the subtropics they are anomalously low over most of the areas, especially during the winter-spring of the respective hemisphere. This confirms the results from previous studies. In the polar region, the TCO and stratospheric ozone (50-10 hPa) anomalies are seasonally dependent and zonally asymmetric. During boreal winter (December-February, DJF), positive anomalies of the TCO and stratospheric ozone are evident during QBOW over the regions from North America to the North Atlantic (120° W-30° E), while significant negative anomalies exist over other longitudes in the Arctic. In boreal autumn (September-November, SON), the TCO and stratospheric ozone are anomalously high from Greenland to Eurasia (60° W-120° E) but anomalously low in other regions over the Arctic. Weak positive TCO and stratospheric ozone anomalies exist over the South America sector (90° W-30° E) of the Antarctic, while negative anomalies of the TCO and stratospheric ozone are seen in other longitudes. The consistent features of TCO and stratospheric ozone anomalies indicate that the QBO signals in TCO are mainly determined by the stratospheric ozone variations. Analysis of meteorological conditions indicates that the QBO ozone perturbations are mainly caused by dynamical transport and also influenced by chemical reactions associated with the corresponding temperature changes. QBO affects the geopotential height and the polar vortex and subsequently the transport of ozone-rich air from lower latitudes to the polar region, which therefore influences the ozone concentrations over th…","author":[{"dropping-particle":"","family":"Wang","given":"Wuke","non-dropping-particle":"","parse-names":false,"suffix":""},{"dropping-particle":"","family":"Hong","given":"Jin","non-dropping-particle":"","parse-names":false,"suffix":""},{"dropping-particle":"","family":"Shangguan","given":"Ming","non-dropping-particle":"","parse-names":false,"suffix":""},{"dropping-particle":"","family":"Wang","given":"Hongyue","non-dropping-particle":"","parse-names":false,"suffix":""},{"dropping-particle":"","family":"Jiang","given":"Wei","non-dropping-particle":"","parse-names":false,"suffix":""},{"dropping-particle":"","family":"Zhao","given":"Shuyun","non-dropping-particle":"","parse-names":false,"suffix":""}],"container-title":"Atmospheric Chemistry and Physics","id":"ITEM-1","issue":"20","issued":{"date-parts":[["2022"]]},"page":"13695-13711","title":"Zonally asymmetric influences of the quasi-biennial oscillation on stratospheric ozone","type":"article-journal","volume":"22"},"uris":["http://www.mendeley.com/documents/?uuid=3597b54a-82ff-4fbc-9dd3-5833114035d3"]}],"mendeley":{"formattedCitation":"(Wang et al., 2022)","plainTextFormattedCitation":"(Wang et al., 2022)","previouslyFormattedCitation":"(Wang et al., 2022)"},"properties":{"noteIndex":0},"schema":"https://github.com/citation-style-language/schema/raw/master/csl-citation.json"}</w:instrText>
      </w:r>
      <w:r>
        <w:rPr>
          <w:lang w:val="en-GB"/>
        </w:rPr>
        <w:fldChar w:fldCharType="separate"/>
      </w:r>
      <w:r>
        <w:rPr>
          <w:noProof/>
          <w:lang w:val="en-GB"/>
        </w:rPr>
        <w:t>(Wang et al., 2022)</w:t>
      </w:r>
      <w:r>
        <w:rPr>
          <w:lang w:val="en-GB"/>
        </w:rPr>
        <w:fldChar w:fldCharType="end"/>
      </w:r>
      <w:r>
        <w:rPr>
          <w:lang w:val="en-GB"/>
        </w:rPr>
        <w:t>, and 1998 is an easterly phase year and in 2018 the westerly phase begins.</w:t>
      </w:r>
      <w:r w:rsidR="007E35C3">
        <w:rPr>
          <w:lang w:val="en-GB"/>
        </w:rPr>
        <w:t xml:space="preserve"> </w:t>
      </w:r>
      <w:moveToRangeStart w:id="3" w:author="SAMUEL BENITO BARCA" w:date="2024-08-01T20:03:00Z" w:name="move173435014"/>
      <w:moveToRangeEnd w:id="3"/>
      <w:r>
        <w:t xml:space="preserve">The trend related to ENSO is slightly positive in all simulations and in observations, conditioned by the low ozone values associated with the 1998/2000 La Niña and the high values associated with the 2015/16 El Niño in relation to the ozone transport towards midlatitudes by the residual circulation of the shallow branch and two-way mixing </w:t>
      </w:r>
      <w:r>
        <w:fldChar w:fldCharType="begin" w:fldLock="1"/>
      </w:r>
      <w:r>
        <w:instrText>ADDIN CSL_CITATION {"citationItems":[{"id":"ITEM-1","itemData":{"DOI":"10.1175/2010JAS3433.1","ISSN":"00224928","abstract":"The Brewer-Dobson circulation strengthens in the lowermost tropical stratosphere during warm El Niño-Southern Oscillation (ENSO) events. Dynamical analyses using the most recent version of the Whole Atmosphere Community Climate Model show that this is due mainly to anomalous forcing by orographic gravity waves, which maximizes in the Northern Hemisphere subtropics between 18 and 22 km, especially during the strongest warm ENSO episodes. Anomalies in the meridional gradient of temperature in the upper troposphere and lower stratosphere (UTLS) are produced during warm ENSO events, accompanied by anomalies in the location and intensity of the subtropical jets. This anomalous wind pattern alters the propagation and dissipation of the parameterized gravity waves, which ultimately force increases in tropical upwelling in the lowermost stratosphere. During cold ENSO events a similar signal, but of opposite sign, is present in the model simulations. The signals in ozone and water vapor produced by ENSO events in the UTLS are also investigated. © 2010 American Meteorological Society.","author":[{"dropping-particle":"","family":"Calvo","given":"N.","non-dropping-particle":"","parse-names":false,"suffix":""},{"dropping-particle":"","family":"Garcia","given":"R. R.","non-dropping-particle":"","parse-names":false,"suffix":""},{"dropping-particle":"","family":"Randel","given":"W. J.","non-dropping-particle":"","parse-names":false,"suffix":""},{"dropping-particle":"","family":"Marsh","given":"D. R.","non-dropping-particle":"","parse-names":false,"suffix":""}],"container-title":"Journal of the Atmospheric Sciences","id":"ITEM-1","issue":"7","issued":{"date-parts":[["2010"]]},"page":"2331-2340","title":"Dynamical mechanism for the increase in tropical upwelling in the lowermost tropical stratosphere during warm ENSO events","type":"article-journal","volume":"67"},"uris":["http://www.mendeley.com/documents/?uuid=b96c67fb-5641-4a5a-85a0-375458238e8a"]},{"id":"ITEM-2","itemData":{"DOI":"10.5194/acp-22-15729-2022","ISSN":"16807324","abstract":"While the impact of the El Niño-Southern Oscillation (ENSO) on the stratospheric circulation has been long recognized, its effects on stratospheric ozone have been less investigated. In particular, the impact on ozone of different ENSO flavors, eastern Pacific (EP) El Niño and central Pacific (CP) El Niño, and the driving mechanisms for the ozone variations have not been investigated to date. This study aims to explore these open questions by examining the anomalies in advective transport, mixing and chemistry associated with different El Niño flavors (EP and CP) and La Niña in the Northern Hemisphere in boreal winter. For this purpose, we use four 60-year ensemble members of the Whole Atmospheric Community Climate Model version 4. The results show a significant ENSO signal on the total column ozone (TCO) during EP El Niño and La Niña events. During EP El Niño events, TCO is significantly reduced in the tropics and enhanced at middle and high latitudes in boreal winter. The opposite response has been found during La Niña. Interestingly, CP El Niño has no significant impact on extratropical TCO, while its signal in the tropics is weaker than for EP El Niño events. The analysis of mechanisms reveals that advection through changes in tropical upwelling is the main driver for ozone variations in the lower tropical stratosphere, with a contribution of chemical processes above 30hPa. At middle and high latitudes, stratospheric ozone variations related to ENSO result from combined changes in advection by residual circulation downwelling and changes in horizontal mixing linked to Rossby wave breaking and polar vortex anomalies. The impact of CP El Niño on the shallow branch of the residual circulation is small, and no significant impact is found on the deep branch.","author":[{"dropping-particle":"","family":"Benito-Barca","given":"Samuel","non-dropping-particle":"","parse-names":false,"suffix":""},{"dropping-particle":"","family":"Calvo","given":"Natalia","non-dropping-particle":"","parse-names":false,"suffix":""},{"dropping-particle":"","family":"Abalos","given":"Marta","non-dropping-particle":"","parse-names":false,"suffix":""}],"container-title":"Atmospheric Chemistry and Physics","id":"ITEM-2","issue":"24","issued":{"date-parts":[["2022"]]},"page":"15729-15745","title":"Driving mechanisms for the El Niño-Southern Oscillation impact on stratospheric ozone","type":"article-journal","volume":"22"},"uris":["http://www.mendeley.com/documents/?uuid=dfb71e6a-7aec-4da8-b691-2f99bbbb2f6f"]}],"mendeley":{"formattedCitation":"(Benito-Barca et al., 2022; Calvo et al., 2010)","plainTextFormattedCitation":"(Benito-Barca et al., 2022; Calvo et al., 2010)","previouslyFormattedCitation":"(Benito-Barca et al., 2022; Calvo et al., 2010)"},"properties":{"noteIndex":0},"schema":"https://github.com/citation-style-language/schema/raw/master/csl-citation.json"}</w:instrText>
      </w:r>
      <w:r>
        <w:fldChar w:fldCharType="separate"/>
      </w:r>
      <w:r>
        <w:rPr>
          <w:noProof/>
        </w:rPr>
        <w:t>(Benito-Barca et al., 2022; Calvo et al., 2010)</w:t>
      </w:r>
      <w:r>
        <w:fldChar w:fldCharType="end"/>
      </w:r>
      <w:r>
        <w:t xml:space="preserve">. Regarding the solar cycle, the associated ozone trend </w:t>
      </w:r>
      <w:r w:rsidR="00A23CA6" w:rsidRPr="00A23CA6">
        <w:t>is very slightly negative in most of the simulations.</w:t>
      </w:r>
      <w:r>
        <w:t xml:space="preserve"> When the analysis is performed with the REF-D2 simulations (Fig. S2), with each model having different QBO and ENSO phases, the same conclusion is reached: the trends associated with the linear response to these natural variability modes are small and there are no significant differences between simulations.</w:t>
      </w:r>
    </w:p>
    <w:p w14:paraId="7807137B" w14:textId="3BB5466C" w:rsidR="00814700" w:rsidRDefault="006D0001">
      <w:pPr>
        <w:pStyle w:val="TextoNormal"/>
      </w:pPr>
      <w:moveToRangeStart w:id="4" w:author="SAMUEL BENITO BARCA" w:date="2024-08-01T20:04:00Z" w:name="move1734350141"/>
      <w:moveToRangeEnd w:id="4"/>
      <w:r>
        <w:t>The ozone trend induced by global warming is given by column "GW" in Fig. 6. The models disagree on the sign of the response in this short period. However, in all simulations, the trend is smaller in absolute value than 0.5 DU per decade, and therefore of low relevance for explaining ozone trend values. This result is in good agreement with the findings of Dietmüller et al. (2021), who showed, using CCMI-1 sensitivity simulations, that global warming has a minor net role in the ozone trend in the mid-latitude lower stratosphere in the period 1998-2018.</w:t>
      </w:r>
    </w:p>
    <w:p w14:paraId="7593E938" w14:textId="02214F98" w:rsidR="00B30033" w:rsidRDefault="00B30033" w:rsidP="00B30033">
      <w:pPr>
        <w:pStyle w:val="TextoNormal"/>
      </w:pPr>
      <w:r>
        <w:lastRenderedPageBreak/>
        <w:t xml:space="preserve">As expected, the trend associated with the reduction of ODS in the stratosphere from 1998 onwards is consistently positive in all simulations </w:t>
      </w:r>
      <w:proofErr w:type="gramStart"/>
      <w:r>
        <w:t>and also</w:t>
      </w:r>
      <w:proofErr w:type="gramEnd"/>
      <w:r>
        <w:t xml:space="preserve"> in observations, with values even above 1 DU per decade. This may be due to the reduction in local ozone depletion following the ODS decrease or to ozone transport from the upper stratosphere, where ozone increases strongly during this period. The ozone increase caused by the decrease in ODS may explain why there are simulations showing positive trends in this period. Following this, Dietmüller et al. (2021) indicated that positive mid-latitude LS ozone trends simulated in CCMI-1 models come mainly from changes in ODSs and that a potential overestimation of this effect in models could lead to disagreement with the observations. Accordingly, our results show that the ODS-driven ozone recovery in observations is lower than in most models. However, note that this ODS-driven ozone recovery in observations is not consistently lower in the simulations with the most negative ozone trends, so this hypothesis is rejected. Moreover, there are no major differences in this contribution between REF-D1 simulations, suggesting that ODS-related trends cannot explain the </w:t>
      </w:r>
      <w:proofErr w:type="gramStart"/>
      <w:r>
        <w:t>wide</w:t>
      </w:r>
      <w:r w:rsidR="00367C4B">
        <w:t xml:space="preserve"> </w:t>
      </w:r>
      <w:r>
        <w:t>spread</w:t>
      </w:r>
      <w:proofErr w:type="gramEnd"/>
      <w:r>
        <w:t xml:space="preserve"> found in the simulated ozone trends.</w:t>
      </w:r>
    </w:p>
    <w:p w14:paraId="6A1F6225" w14:textId="77777777" w:rsidR="00525F2F" w:rsidRDefault="00525F2F" w:rsidP="00525F2F">
      <w:pPr>
        <w:pStyle w:val="TextoNormal"/>
      </w:pPr>
    </w:p>
    <w:p w14:paraId="7807137C" w14:textId="078ED7E5" w:rsidR="00814700" w:rsidRDefault="00BB62B6">
      <w:pPr>
        <w:pStyle w:val="PieFigura"/>
        <w:jc w:val="center"/>
        <w:rPr>
          <w:b/>
          <w:bCs/>
        </w:rPr>
      </w:pPr>
      <w:r>
        <w:rPr>
          <w:b/>
          <w:bCs/>
          <w:noProof/>
        </w:rPr>
        <w:drawing>
          <wp:inline distT="0" distB="0" distL="0" distR="0" wp14:anchorId="0DFD21EB" wp14:editId="61AE2D16">
            <wp:extent cx="4791456" cy="4504944"/>
            <wp:effectExtent l="0" t="0" r="9525" b="0"/>
            <wp:docPr id="971633775" name="Imagen 16"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633775" name="Imagen 16" descr="Tabla&#10;&#10;El contenido generado por IA puede ser incorrecto."/>
                    <pic:cNvPicPr/>
                  </pic:nvPicPr>
                  <pic:blipFill>
                    <a:blip r:embed="rId15">
                      <a:extLst>
                        <a:ext uri="{28A0092B-C50C-407E-A947-70E740481C1C}">
                          <a14:useLocalDpi xmlns:a14="http://schemas.microsoft.com/office/drawing/2010/main" val="0"/>
                        </a:ext>
                      </a:extLst>
                    </a:blip>
                    <a:stretch>
                      <a:fillRect/>
                    </a:stretch>
                  </pic:blipFill>
                  <pic:spPr>
                    <a:xfrm>
                      <a:off x="0" y="0"/>
                      <a:ext cx="4791456" cy="4504944"/>
                    </a:xfrm>
                    <a:prstGeom prst="rect">
                      <a:avLst/>
                    </a:prstGeom>
                  </pic:spPr>
                </pic:pic>
              </a:graphicData>
            </a:graphic>
          </wp:inline>
        </w:drawing>
      </w:r>
    </w:p>
    <w:p w14:paraId="7807137D" w14:textId="000A4875" w:rsidR="00814700" w:rsidRDefault="006D0001">
      <w:pPr>
        <w:pStyle w:val="PieFigura"/>
      </w:pPr>
      <w:bookmarkStart w:id="5" w:name="_Hlk173335185"/>
      <w:r>
        <w:rPr>
          <w:b/>
          <w:bCs/>
        </w:rPr>
        <w:t>Figure 6</w:t>
      </w:r>
      <w:r>
        <w:t>. Decomposition of the northern mid-latitudes LS (35°-55°N, 50-150 hPa) ozone trends in the period 1998-2018 into the contribution of the different explanatory variables used in the MLR for REF-D1 simulations. In the first column, the number in parentheses indicates the ensemble member. The limits in each column range from -</w:t>
      </w:r>
      <w:r w:rsidR="002315F2">
        <w:t>3</w:t>
      </w:r>
      <w:r>
        <w:t xml:space="preserve">.5 to </w:t>
      </w:r>
      <w:r w:rsidR="002315F2">
        <w:t>3</w:t>
      </w:r>
      <w:r>
        <w:t>.5 DU per decad</w:t>
      </w:r>
      <w:bookmarkEnd w:id="5"/>
      <w:r>
        <w:t>e. The yellow-shaded row corresponds to the observed trend. The last column shows the trend of the MLR residual.</w:t>
      </w:r>
    </w:p>
    <w:p w14:paraId="7807137E" w14:textId="77777777" w:rsidR="00814700" w:rsidRDefault="00814700">
      <w:pPr>
        <w:pStyle w:val="PieFigura"/>
      </w:pPr>
    </w:p>
    <w:p w14:paraId="78071382" w14:textId="0313AC86" w:rsidR="00814700" w:rsidRDefault="006D0001">
      <w:pPr>
        <w:pStyle w:val="TextoNormal"/>
      </w:pPr>
      <w:moveFromRangeStart w:id="6" w:author="SAMUEL BENITO BARCA" w:date="2024-08-01T20:03:00Z" w:name="move173435014211"/>
      <w:moveFromRangeStart w:id="7" w:author="SAMUEL BENITO BARCA" w:date="2024-08-01T20:04:00Z" w:name="move1734350141111"/>
      <w:moveFromRangeEnd w:id="6"/>
      <w:moveFromRangeEnd w:id="7"/>
      <w:r>
        <w:t xml:space="preserve">In fact, Figure 6 clearly shows that the differences between simulations mainly come from the trends of the regression residuals, which are either negative or slightly positive and clearly correlated with the overall trend. The simulations in which the trend of the residual is most negative are those with the largest net ozone reduction. This residual may include several factors not included in the regression. For instance, given the linear nature of the analysis, the residuals could be related to non-linear effects of the natural variability modes included in the linear regression, non-linear effects of the ODS and GHG or their interaction with natural modes, or other natural variability not included in the MLR. Another possibility is that the residuals are linked to internal variability not included in the MLR related to </w:t>
      </w:r>
      <w:proofErr w:type="gramStart"/>
      <w:r>
        <w:t>dynamical</w:t>
      </w:r>
      <w:proofErr w:type="gramEnd"/>
      <w:r>
        <w:t xml:space="preserve"> transport of ozone. As mentioned in the Introduction, several studies have suggested that the spread in simulated ozone trends stems from differences in ozone transport trends and dynamical variability in each model. Thus, in the following section we study the relationship between mid-latitudes LS ozone trends and changes in stratospheric ozone transport (and their variability) in more depth.</w:t>
      </w:r>
    </w:p>
    <w:p w14:paraId="78071383" w14:textId="77777777" w:rsidR="00814700" w:rsidRDefault="00814700">
      <w:pPr>
        <w:pStyle w:val="TextoNormal"/>
      </w:pPr>
    </w:p>
    <w:p w14:paraId="78071384" w14:textId="77777777" w:rsidR="00814700" w:rsidRDefault="006D0001">
      <w:pPr>
        <w:pStyle w:val="Heading-Secondary"/>
        <w:rPr>
          <w:b/>
          <w:bCs w:val="0"/>
        </w:rPr>
      </w:pPr>
      <w:r>
        <w:rPr>
          <w:b/>
          <w:bCs w:val="0"/>
        </w:rPr>
        <w:t>3.3 How do changes in transport processes affect recent trends in lower stratospheric ozone?</w:t>
      </w:r>
    </w:p>
    <w:p w14:paraId="78071385" w14:textId="059D2C8C" w:rsidR="00814700" w:rsidRDefault="006D0001">
      <w:pPr>
        <w:pStyle w:val="TextoNormal"/>
      </w:pPr>
      <w:r>
        <w:t xml:space="preserve">The global distribution of stratospheric ozone is controlled by advection due to the residual circulation, two-way mixing following Rossby wave dissipation, as well as by chemical production and loss </w:t>
      </w:r>
      <w:r>
        <w:fldChar w:fldCharType="begin" w:fldLock="1"/>
      </w:r>
      <w:r w:rsidR="00731574">
        <w:instrText>ADDIN CSL_CITATION {"citationItems":[{"id":"ITEM-1","itemData":{"DOI":"10.1029/JC088iC02p01379","ISSN":"01480227","abstract":"A two-dimensional, time-dependent model has been constructed to study the zonally averaged structure of the middle atmosphere (16-116 km) allowing interaction among dynamics, radiation and photochemistry. The zonally averaged dynamics are governed by a stream function equation for the residual Eulerian meridional circulation wherein the effects of wave transience and dissipation have been neglected. The resulting circulation is thus driven by diabatic heating and cooling, with Rayleigh friction introduced to balance the momentum budget. -from Authors","author":[{"dropping-particle":"","family":"Garcia","given":"Rolando R.","non-dropping-particle":"","parse-names":false,"suffix":""},{"dropping-particle":"","family":"Solomon","given":"S.","non-dropping-particle":"","parse-names":false,"suffix":""}],"container-title":"Journal of Geophysical Research","id":"ITEM-1","issue":"C2","issued":{"date-parts":[["1983"]]},"page":"1379-1400","title":"A numerical model of the zonally averaged dynamical and chemical structure of the middle atmosphere.","type":"article-journal","volume":"88"},"uris":["http://www.mendeley.com/documents/?uuid=5137bbcf-ecb5-4fd9-894e-e919d7817b35"]},{"id":"ITEM-2","itemData":{"DOI":"10.2151/jmsj.80.793","ISBN":"0026-1165","ISSN":"0026-1165","abstract":"The PI has undertaken a theoretical analysis of the existence and nature of compact tracer-tracer relationships of the kind observed in the stratosphere, augmented with three-dimensional model simulations of stratospheric tracers (the latter being an extension of modeling work the group did during the SOLVE experiment). This work achieves a rigorous theoretical basis for the existence and shape of these relationships, as well as a quantitative theory of their width and evolution, in terms of the joint tracer-tracer PDF distribution. A paper on this work is almost complete and will soon be submitted to Rev. Geophys. We have analyzed lower stratospheric water in simulations with an isentropic-coordinate version of the MATCH transport model which we recently helped to develop. The three-dimensional structure of lower stratospheric water, in particular, attracted our attention: dry air is, below about 400K potential temperature, localized in the regions of the west Pacific and equatorial South America. We have been analyzing air trajectories to determine how air passes through the tropopause cold trap. This work is now being completed, and a paper will be submitted to Geophys. Res. Lett. before the end of summer. We are continuing to perform experiments with the 'MATCH' CTM, in both sigma- and entropy-coordinate forms. We earlier found (in collaboration with Dr Natalie Mahowald, and as part of an NSF-funded project) that switching to isentropic coordinates made a substantial improvement to the simulation of the age of stratospheric air. We are now running experiments with near-tropopause sources in both versions of the model, to see if and to what extent the simulation of stratosphere-troposphere transport is dependent on the model coordinate. Personnel Research is supervised by the PI, Prof. Alan Plumb. Mr William Heres conducts the tracer modeling work and performs other modeling tasks. Two graduate students, Ms Irene Lee and Mr Michael Ring, have been participating in the research.","author":[{"dropping-particle":"","family":"Plumb","given":"R. Alan","non-dropping-particle":"","parse-names":false,"suffix":""}],"container-title":"Journal of the Meteorological Society of Japan. Ser. II","id":"ITEM-2","issue":"4B","issued":{"date-parts":[["2002"]]},"page":"793-809","title":"Large-scale Stratospheric Transport Processes","type":"article-journal","volume":"80"},"uris":["http://www.mendeley.com/documents/?uuid=cb3e349f-8275-404b-8123-a98b0011161b"]},{"id":"ITEM-3","itemData":{"DOI":"10.5194/acp-13-10591-2013","ISSN":"16807316","abstract":"The zonal mean transport of ozone and carbon monoxide (CO) near the tropical tropopause is investigated using the Whole-Atmosphere Community Climate Model version 4 (WACCM4). The variability in temperature, ozone and CO in the model shows good agreement with satellite and balloon observations. Modeled temperature and tracers exhibit large and closely coupled annual cycles in the tropical lower stratosphere, as in the observations. The thermodynamic and tracer budgets in the model are analyzed based on the Transformed Eulerian Mean (TEM) framework on log-pressure coordinates and also using the isentropic formulation. Results show that the coupled seasonal cycles are mainly forced by tropical upwelling over altitudes with large vertical tracer gradients, in agreement with previous observational studies. The model also allows explicit calculation of eddy transport terms, which make an important contribution to ozone tendencies in the tropical lower stratosphere. The character of the eddy fluxes changes with altitude. At higher levels (2 km above the cold point tropopause), isentropic eddy transport occurs during winter and spring in each hemisphere in the sub-tropics, associated with transient Rossby waves acting on strong background latitudinal gradients. At lower altitudes, close to the tropical tropopause, there is a maximum in horizontal eddy transport during boreal summer associated with the Asian monsoon anticyclone. Subseasonal variability in ozone and CO, tied to fluctuations in temperature, is primarily driven by transient tropical upwelling. In isentropic coordinates, the overall tracer budgets are similar to the log-pressure results, highlighting crossisentropic advection as the main term in the time-mean balance, with large seasonality above the tropopause. However, in isentropic coordinates the tracer variability is largely reduced on both seasonal and sub-seasonal timescales, because tracer fluctuations are highly correlated with temperature (as a response to upwelling). © Author(s) 2013. CC Attribution 3.0 License.","author":[{"dropping-particle":"","family":"Abalos","given":"Marta","non-dropping-particle":"","parse-names":false,"suffix":""},{"dropping-particle":"","family":"Randel","given":"W. J.","non-dropping-particle":"","parse-names":false,"suffix":""},{"dropping-particle":"","family":"Kinnison","given":"D. E.","non-dropping-particle":"","parse-names":false,"suffix":""},{"dropping-particle":"","family":"Serrano","given":"E.","non-dropping-particle":"","parse-names":false,"suffix":""}],"container-title":"Atmospheric Chemistry and Physics","id":"ITEM-3","issue":"21","issued":{"date-parts":[["2013"]]},"page":"10591-10607","title":"Quantifying tracer transport in the tropical lower stratosphere using WACCM","type":"article-journal","volume":"13"},"uris":["http://www.mendeley.com/documents/?uuid=390c2bb4-9522-412d-8bda-762a845c7c46"]}],"mendeley":{"formattedCitation":"(Abalos et al., 2013; Garcia &amp; Solomon, 1983; Plumb, 2002)","plainTextFormattedCitation":"(Abalos et al., 2013; Garcia &amp; Solomon, 1983; Plumb, 2002)","previouslyFormattedCitation":"(Abalos et al., 2013; Garcia &amp; Solomon, 1983; Plumb, 2002)"},"properties":{"noteIndex":0},"schema":"https://github.com/citation-style-language/schema/raw/master/csl-citation.json"}</w:instrText>
      </w:r>
      <w:r>
        <w:fldChar w:fldCharType="separate"/>
      </w:r>
      <w:r>
        <w:rPr>
          <w:noProof/>
        </w:rPr>
        <w:t>(Abalos et al., 2013; Garcia &amp; Solomon, 1983; Plumb, 2002)</w:t>
      </w:r>
      <w:r>
        <w:fldChar w:fldCharType="end"/>
      </w:r>
      <w:r>
        <w:t xml:space="preserve">. Hence, trends in </w:t>
      </w:r>
      <w:proofErr w:type="gramStart"/>
      <w:r>
        <w:t>ozone</w:t>
      </w:r>
      <w:proofErr w:type="gramEnd"/>
      <w:r>
        <w:t xml:space="preserve"> are expected to be controlled by changes in the residual circulation, changes in mixing </w:t>
      </w:r>
      <w:proofErr w:type="gramStart"/>
      <w:r>
        <w:t>and also</w:t>
      </w:r>
      <w:proofErr w:type="gramEnd"/>
      <w:r>
        <w:t xml:space="preserve"> changes in chemistry through changes in concentration of other chemical species and stratospheric temperatures. The chemistry-driven trend has been discussed in the previous section, analyzing the contribution of the ODS. In this section we aim to </w:t>
      </w:r>
      <w:proofErr w:type="gramStart"/>
      <w:r>
        <w:t>explore  how</w:t>
      </w:r>
      <w:proofErr w:type="gramEnd"/>
      <w:r>
        <w:t xml:space="preserve"> transport processes affect recent trends in lower stratospheric ozone.</w:t>
      </w:r>
    </w:p>
    <w:p w14:paraId="78071387" w14:textId="511070C2" w:rsidR="00814700" w:rsidRDefault="006D0001">
      <w:pPr>
        <w:pStyle w:val="TextoNormal"/>
      </w:pPr>
      <w:r w:rsidRPr="00F330D5">
        <w:t xml:space="preserve">First, we study residual circulation changes in the period 1998-2018. Using a replay simulation of GEOS nudged to the MERRA-2 reanalysis, </w:t>
      </w:r>
      <w:r w:rsidRPr="00F330D5">
        <w:fldChar w:fldCharType="begin" w:fldLock="1"/>
      </w:r>
      <w:r w:rsidRPr="00F330D5">
        <w:instrText>ADDIN CSL_CITATION {"citationItems":[{"id":"ITEM-1","itemData":{"DOI":"10.1029/2019JD031631","ISSN":"21698996","abstract":"Previous studies have robustly identified a decrease since 1998 in lower stratospheric (LS) ozone in the Northern Hemisphere (NH). While this ozone decrease is qualitatively explained as resulting from changes in the large-scale circulation, there is not yet a quantitative mechanistic explanation of these changes. Here, we explore the drivers of recent ozone changes using two different configurations of the Goddard Earth Observing System (GEOS) general circulation model. The first configuration of GEOS includes a full chemistry module and is constrained with meteorological fields from the Modern-Era Retrospective Analysis for Research and Applications, Version 2 (MERRA-2). This configuration (M2GMI) is used to analyze an idealized tracer that covaries closely with ozone on interannual and decadal timescales, revealing that recent ozone decreases in the NH subtropics are associated with a poleward expansion of upwelling in the NH LS, with reduced (enhanced) downwelling over northern subtropics (midlatitudes). The second configuration of GEOS is a free-running version of the GEOS Chemistry Climate Model (CCM) that is used to perform a 10-member ensemble of free-running simulations. Comparisons of the two configurations reveal that, while the free-running model can produce negative ozone changes in the NH LS, the magnitude of these changes is significantly weaker, relative to both M2GMI and MERRA-2; moreover, these weaker ozone decreases are consistent with weaker simulated changes in the residual circulation. Finally, we examine the GEOS model results in the broader context of the hindcast simulations performed as part of Phase 1 of the Chemistry Climate Modeling Initiative. We show that the majority of the free-running simulations considered here also exhibit weaker long-term residual circulation changes, compared to reanalyses.","author":[{"dropping-particle":"","family":"Orbe","given":"Clara","non-dropping-particle":"","parse-names":false,"suffix":""},{"dropping-particle":"","family":"Wargan","given":"Krzysztof","non-dropping-particle":"","parse-names":false,"suffix":""},{"dropping-particle":"","family":"Pawson","given":"Steven","non-dropping-particle":"","parse-names":false,"suffix":""},{"dropping-particle":"","family":"Oman","given":"Luke D.","non-dropping-particle":"","parse-names":false,"suffix":""}],"container-title":"Journal of Geophysical Research: Atmospheres","id":"ITEM-1","issue":"9","issued":{"date-parts":[["2020"]]},"page":"1-23","title":"Mechanisms Linked to Recent Ozone Decreases in the Northern Hemisphere Lower Stratosphere","type":"article-journal","volume":"125"},"uris":["http://www.mendeley.com/documents/?uuid=d062102a-3e37-4f93-af82-68c91bd9dedb"]}],"mendeley":{"formattedCitation":"(Orbe et al., 2020)","manualFormatting":"Orbe et al. (2020)","plainTextFormattedCitation":"(Orbe et al., 2020)","previouslyFormattedCitation":"(Orbe et al., 2020)"},"properties":{"noteIndex":0},"schema":"https://github.com/citation-style-language/schema/raw/master/csl-citation.json"}</w:instrText>
      </w:r>
      <w:r w:rsidRPr="00F330D5">
        <w:fldChar w:fldCharType="separate"/>
      </w:r>
      <w:r w:rsidRPr="00F330D5">
        <w:rPr>
          <w:noProof/>
        </w:rPr>
        <w:t>Orbe et al. (2020)</w:t>
      </w:r>
      <w:r w:rsidRPr="00F330D5">
        <w:fldChar w:fldCharType="end"/>
      </w:r>
      <w:r w:rsidRPr="00F330D5">
        <w:t xml:space="preserve"> found that the negative ozone trend in the northern hemisphere lower stratosphere is associated with a poleward expansion of the residual circulation in the lower stratosphere, with downwelling reduced in the subtropics and enhanced at higher latitudes. They noted that opposing effects of mixing played negligible role for the ozone trends. Figure 7a shows the residual streamfunction (Ψ*) trend for ERA5 </w:t>
      </w:r>
      <w:r w:rsidR="004807D8">
        <w:t xml:space="preserve">reanalysis </w:t>
      </w:r>
      <w:r w:rsidRPr="00F330D5">
        <w:t xml:space="preserve">over the 1998-2018 period. Focusing on the northern hemisphere, the positive trend centered north of turnaround latitudes (maxima in the streamlines) below </w:t>
      </w:r>
      <w:r w:rsidR="00795DC9">
        <w:t>5</w:t>
      </w:r>
      <w:r w:rsidR="00795DC9" w:rsidRPr="00F330D5">
        <w:t xml:space="preserve">0 </w:t>
      </w:r>
      <w:r w:rsidRPr="00F330D5">
        <w:t>hPa indicates a poleward expansion of the shallow branch of the residual circulation,  consistent with the results of</w:t>
      </w:r>
      <w:r w:rsidR="001268AE" w:rsidRPr="00F330D5">
        <w:t xml:space="preserve"> </w:t>
      </w:r>
      <w:r w:rsidRPr="00F330D5">
        <w:fldChar w:fldCharType="begin" w:fldLock="1"/>
      </w:r>
      <w:r w:rsidRPr="00F330D5">
        <w:instrText>ADDIN CSL_CITATION {"citationItems":[{"id":"ITEM-1","itemData":{"DOI":"10.1029/2019JD031631","ISSN":"21698996","abstract":"Previous studies have robustly identified a decrease since 1998 in lower stratospheric (LS) ozone in the Northern Hemisphere (NH). While this ozone decrease is qualitatively explained as resulting from changes in the large-scale circulation, there is not yet a quantitative mechanistic explanation of these changes. Here, we explore the drivers of recent ozone changes using two different configurations of the Goddard Earth Observing System (GEOS) general circulation model. The first configuration of GEOS includes a full chemistry module and is constrained with meteorological fields from the Modern-Era Retrospective Analysis for Research and Applications, Version 2 (MERRA-2). This configuration (M2GMI) is used to analyze an idealized tracer that covaries closely with ozone on interannual and decadal timescales, revealing that recent ozone decreases in the NH subtropics are associated with a poleward expansion of upwelling in the NH LS, with reduced (enhanced) downwelling over northern subtropics (midlatitudes). The second configuration of GEOS is a free-running version of the GEOS Chemistry Climate Model (CCM) that is used to perform a 10-member ensemble of free-running simulations. Comparisons of the two configurations reveal that, while the free-running model can produce negative ozone changes in the NH LS, the magnitude of these changes is significantly weaker, relative to both M2GMI and MERRA-2; moreover, these weaker ozone decreases are consistent with weaker simulated changes in the residual circulation. Finally, we examine the GEOS model results in the broader context of the hindcast simulations performed as part of Phase 1 of the Chemistry Climate Modeling Initiative. We show that the majority of the free-running simulations considered here also exhibit weaker long-term residual circulation changes, compared to reanalyses.","author":[{"dropping-particle":"","family":"Orbe","given":"Clara","non-dropping-particle":"","parse-names":false,"suffix":""},{"dropping-particle":"","family":"Wargan","given":"Krzysztof","non-dropping-particle":"","parse-names":false,"suffix":""},{"dropping-particle":"","family":"Pawson","given":"Steven","non-dropping-particle":"","parse-names":false,"suffix":""},{"dropping-particle":"","family":"Oman","given":"Luke D.","non-dropping-particle":"","parse-names":false,"suffix":""}],"container-title":"Journal of Geophysical Research: Atmospheres","id":"ITEM-1","issue":"9","issued":{"date-parts":[["2020"]]},"page":"1-23","title":"Mechanisms Linked to Recent Ozone Decreases in the Northern Hemisphere Lower Stratosphere","type":"article-journal","volume":"125"},"uris":["http://www.mendeley.com/documents/?uuid=d062102a-3e37-4f93-af82-68c91bd9dedb"]}],"mendeley":{"formattedCitation":"(Orbe et al., 2020)","manualFormatting":"Orbe et al. (2020)","plainTextFormattedCitation":"(Orbe et al., 2020)","previouslyFormattedCitation":"(Orbe et al., 2020)"},"properties":{"noteIndex":0},"schema":"https://github.com/citation-style-language/schema/raw/master/csl-citation.json"}</w:instrText>
      </w:r>
      <w:r w:rsidRPr="00F330D5">
        <w:fldChar w:fldCharType="separate"/>
      </w:r>
      <w:r w:rsidRPr="00F330D5">
        <w:rPr>
          <w:noProof/>
        </w:rPr>
        <w:t>Orbe et al. (2020)</w:t>
      </w:r>
      <w:r w:rsidRPr="00F330D5">
        <w:fldChar w:fldCharType="end"/>
      </w:r>
      <w:r w:rsidRPr="00F330D5">
        <w:t>.</w:t>
      </w:r>
      <w:r w:rsidR="00862CEE" w:rsidRPr="00862CEE">
        <w:t xml:space="preserve"> The poleward expansion of the shallow branch implies that the streamlines are stretched northward, since the Ψ* positive trend is larger north of the turnaround latitudes than south of them. This stretching generates an increase in poleward horizontal transport in the region of interest (</w:t>
      </w:r>
      <w:r w:rsidR="00862CEE">
        <w:t>~</w:t>
      </w:r>
      <w:r w:rsidR="00862CEE" w:rsidRPr="00862CEE">
        <w:t>35-60ºN) and a reduction in downwelling just north of the turnaround latitudes.</w:t>
      </w:r>
      <w:r w:rsidRPr="00F330D5">
        <w:t xml:space="preserve"> When we carry out this analysis in the REF-D1 simulations, we find that some simulations </w:t>
      </w:r>
      <w:proofErr w:type="gramStart"/>
      <w:r w:rsidRPr="00F330D5">
        <w:t>are capable of reproducing</w:t>
      </w:r>
      <w:proofErr w:type="gramEnd"/>
      <w:r w:rsidRPr="00F330D5">
        <w:t xml:space="preserve"> </w:t>
      </w:r>
      <w:proofErr w:type="gramStart"/>
      <w:r w:rsidRPr="00F330D5">
        <w:t>a similar</w:t>
      </w:r>
      <w:proofErr w:type="gramEnd"/>
      <w:r w:rsidRPr="00F330D5">
        <w:t xml:space="preserve"> behaviour. </w:t>
      </w:r>
      <w:proofErr w:type="gramStart"/>
      <w:r w:rsidRPr="00F330D5">
        <w:t>In particular, Figure</w:t>
      </w:r>
      <w:proofErr w:type="gramEnd"/>
      <w:r w:rsidRPr="00F330D5">
        <w:t xml:space="preserve"> 7b displays the Ψ* trend for the first ensemble member of the WACCM model (WACCM-1), which </w:t>
      </w:r>
      <w:r w:rsidRPr="00F330D5">
        <w:lastRenderedPageBreak/>
        <w:t xml:space="preserve">presents the Ψ* trend pattern that qualitatively resembles ERA5: positive trend north of the turnaround latitudes, indicating the poleward expansion of the shallow branch. The reduced downwelling and the enhanced poleward transport drive the reduction of ozone advection into the </w:t>
      </w:r>
      <w:r w:rsidR="00B53BD9" w:rsidRPr="00F330D5">
        <w:t>mid-</w:t>
      </w:r>
      <w:proofErr w:type="gramStart"/>
      <w:r w:rsidR="00B53BD9" w:rsidRPr="00F330D5">
        <w:t>latitudes</w:t>
      </w:r>
      <w:proofErr w:type="gramEnd"/>
      <w:r w:rsidR="00B53BD9" w:rsidRPr="00F330D5">
        <w:t xml:space="preserve"> </w:t>
      </w:r>
      <w:r w:rsidRPr="00F330D5">
        <w:t>lower stratosphere (not shown).</w:t>
      </w:r>
      <w:r w:rsidR="00A9189B">
        <w:t xml:space="preserve"> </w:t>
      </w:r>
      <w:r w:rsidR="002576D6" w:rsidRPr="002576D6">
        <w:t>However, the Ψ* trend amplitude is much smaller</w:t>
      </w:r>
      <w:r w:rsidR="002576D6">
        <w:t xml:space="preserve"> in WACCM-1</w:t>
      </w:r>
      <w:r w:rsidR="002576D6" w:rsidRPr="002576D6">
        <w:t xml:space="preserve"> than in ERA-5, consistent with the results presented in</w:t>
      </w:r>
      <w:r w:rsidR="00DE765E">
        <w:t xml:space="preserve"> </w:t>
      </w:r>
      <w:r w:rsidR="00DE765E" w:rsidRPr="00F330D5">
        <w:fldChar w:fldCharType="begin" w:fldLock="1"/>
      </w:r>
      <w:r w:rsidR="00DE765E" w:rsidRPr="00F330D5">
        <w:instrText>ADDIN CSL_CITATION {"citationItems":[{"id":"ITEM-1","itemData":{"DOI":"10.1029/2019JD031631","ISSN":"21698996","abstract":"Previous studies have robustly identified a decrease since 1998 in lower stratospheric (LS) ozone in the Northern Hemisphere (NH). While this ozone decrease is qualitatively explained as resulting from changes in the large-scale circulation, there is not yet a quantitative mechanistic explanation of these changes. Here, we explore the drivers of recent ozone changes using two different configurations of the Goddard Earth Observing System (GEOS) general circulation model. The first configuration of GEOS includes a full chemistry module and is constrained with meteorological fields from the Modern-Era Retrospective Analysis for Research and Applications, Version 2 (MERRA-2). This configuration (M2GMI) is used to analyze an idealized tracer that covaries closely with ozone on interannual and decadal timescales, revealing that recent ozone decreases in the NH subtropics are associated with a poleward expansion of upwelling in the NH LS, with reduced (enhanced) downwelling over northern subtropics (midlatitudes). The second configuration of GEOS is a free-running version of the GEOS Chemistry Climate Model (CCM) that is used to perform a 10-member ensemble of free-running simulations. Comparisons of the two configurations reveal that, while the free-running model can produce negative ozone changes in the NH LS, the magnitude of these changes is significantly weaker, relative to both M2GMI and MERRA-2; moreover, these weaker ozone decreases are consistent with weaker simulated changes in the residual circulation. Finally, we examine the GEOS model results in the broader context of the hindcast simulations performed as part of Phase 1 of the Chemistry Climate Modeling Initiative. We show that the majority of the free-running simulations considered here also exhibit weaker long-term residual circulation changes, compared to reanalyses.","author":[{"dropping-particle":"","family":"Orbe","given":"Clara","non-dropping-particle":"","parse-names":false,"suffix":""},{"dropping-particle":"","family":"Wargan","given":"Krzysztof","non-dropping-particle":"","parse-names":false,"suffix":""},{"dropping-particle":"","family":"Pawson","given":"Steven","non-dropping-particle":"","parse-names":false,"suffix":""},{"dropping-particle":"","family":"Oman","given":"Luke D.","non-dropping-particle":"","parse-names":false,"suffix":""}],"container-title":"Journal of Geophysical Research: Atmospheres","id":"ITEM-1","issue":"9","issued":{"date-parts":[["2020"]]},"page":"1-23","title":"Mechanisms Linked to Recent Ozone Decreases in the Northern Hemisphere Lower Stratosphere","type":"article-journal","volume":"125"},"uris":["http://www.mendeley.com/documents/?uuid=d062102a-3e37-4f93-af82-68c91bd9dedb"]}],"mendeley":{"formattedCitation":"(Orbe et al., 2020)","manualFormatting":"Orbe et al. (2020)","plainTextFormattedCitation":"(Orbe et al., 2020)","previouslyFormattedCitation":"(Orbe et al., 2020)"},"properties":{"noteIndex":0},"schema":"https://github.com/citation-style-language/schema/raw/master/csl-citation.json"}</w:instrText>
      </w:r>
      <w:r w:rsidR="00DE765E" w:rsidRPr="00F330D5">
        <w:fldChar w:fldCharType="separate"/>
      </w:r>
      <w:r w:rsidR="00DE765E" w:rsidRPr="00F330D5">
        <w:rPr>
          <w:noProof/>
        </w:rPr>
        <w:t>Orbe et al. (2020)</w:t>
      </w:r>
      <w:r w:rsidR="00DE765E" w:rsidRPr="00F330D5">
        <w:fldChar w:fldCharType="end"/>
      </w:r>
      <w:r w:rsidR="002576D6" w:rsidRPr="002576D6">
        <w:t xml:space="preserve"> </w:t>
      </w:r>
      <w:r w:rsidR="00DE765E">
        <w:t>using</w:t>
      </w:r>
      <w:r w:rsidR="002576D6" w:rsidRPr="002576D6">
        <w:t xml:space="preserve"> MERRA-2 reanalysis and free-running simulations of the GEOSCCM model.</w:t>
      </w:r>
      <w:r w:rsidRPr="00F330D5">
        <w:t xml:space="preserve"> Note that this WACCM-1 realization also presents an ozone trend pattern that </w:t>
      </w:r>
      <w:r w:rsidR="00AE76D1" w:rsidRPr="00F330D5">
        <w:t>r</w:t>
      </w:r>
      <w:r w:rsidRPr="00F330D5">
        <w:t>esembles observations at mid-latitudes (see Figure 1 and Figure 6)</w:t>
      </w:r>
      <w:r w:rsidR="00FB7296">
        <w:t xml:space="preserve">, </w:t>
      </w:r>
      <w:r w:rsidR="00FB7296" w:rsidRPr="00FB7296">
        <w:t xml:space="preserve">although its magnitude is </w:t>
      </w:r>
      <w:r w:rsidR="001210B3" w:rsidRPr="00FB7296">
        <w:t>smaller,</w:t>
      </w:r>
      <w:r w:rsidR="00FB7296" w:rsidRPr="00FB7296">
        <w:t xml:space="preserve"> </w:t>
      </w:r>
      <w:r w:rsidR="00FB7296">
        <w:t>like</w:t>
      </w:r>
      <w:r w:rsidR="00FB7296" w:rsidRPr="00FB7296">
        <w:t xml:space="preserve">ly due to the smaller amplitude of the </w:t>
      </w:r>
      <w:r w:rsidR="00FB7296" w:rsidRPr="002576D6">
        <w:t>Ψ*</w:t>
      </w:r>
      <w:r w:rsidR="00FB7296">
        <w:t xml:space="preserve"> </w:t>
      </w:r>
      <w:r w:rsidR="00FB7296" w:rsidRPr="00FB7296">
        <w:t>trend.</w:t>
      </w:r>
      <w:r w:rsidRPr="00F330D5">
        <w:t xml:space="preserve"> These similarities support the hypothesis of the poleward expansion of the shallow branch as a potential driving mechanism for negative ozone trends over this period.  If we </w:t>
      </w:r>
      <w:proofErr w:type="gramStart"/>
      <w:r w:rsidRPr="00F330D5">
        <w:t>look the Ψ</w:t>
      </w:r>
      <w:proofErr w:type="gramEnd"/>
      <w:r w:rsidRPr="00F330D5">
        <w:t xml:space="preserve">* trends in the other WACCM ensemble members we find notable differences between them, which is consistent with the large inter-member variability observed in the WACCM model also in the ozone trends (see first column of Fig. 6). These large differences between members </w:t>
      </w:r>
      <w:proofErr w:type="gramStart"/>
      <w:r w:rsidRPr="00F330D5">
        <w:t>highlights</w:t>
      </w:r>
      <w:proofErr w:type="gramEnd"/>
      <w:r w:rsidRPr="00F330D5">
        <w:t xml:space="preserve"> the important role of internal variability in the trends over a relatively short period such as 1998-2018 and again confirm that the trend is not an externally forced change. </w:t>
      </w:r>
    </w:p>
    <w:p w14:paraId="78071388" w14:textId="50FF8138" w:rsidR="00814700" w:rsidRDefault="00396FB1">
      <w:pPr>
        <w:pStyle w:val="PieFigura"/>
        <w:rPr>
          <w:b/>
          <w:bCs/>
        </w:rPr>
      </w:pPr>
      <w:r>
        <w:rPr>
          <w:b/>
          <w:bCs/>
          <w:noProof/>
        </w:rPr>
        <w:drawing>
          <wp:inline distT="0" distB="0" distL="0" distR="0" wp14:anchorId="750D2645" wp14:editId="6A4E17F0">
            <wp:extent cx="5943600" cy="2479040"/>
            <wp:effectExtent l="0" t="0" r="0" b="0"/>
            <wp:docPr id="134413965" name="Imagen 18"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13965" name="Imagen 18" descr="Diagrama&#10;&#10;El contenido generado por IA puede ser incorrecto."/>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2479040"/>
                    </a:xfrm>
                    <a:prstGeom prst="rect">
                      <a:avLst/>
                    </a:prstGeom>
                  </pic:spPr>
                </pic:pic>
              </a:graphicData>
            </a:graphic>
          </wp:inline>
        </w:drawing>
      </w:r>
    </w:p>
    <w:p w14:paraId="78071389" w14:textId="77777777" w:rsidR="00814700" w:rsidRDefault="006D0001">
      <w:pPr>
        <w:pStyle w:val="PieFigura"/>
      </w:pPr>
      <w:r>
        <w:rPr>
          <w:b/>
          <w:bCs/>
        </w:rPr>
        <w:t>Figure 7.</w:t>
      </w:r>
      <w:r>
        <w:t xml:space="preserve"> Latitude–pressure cross section of the residual streamfunction (Ψ*</w:t>
      </w:r>
      <w:proofErr w:type="gramStart"/>
      <w:r>
        <w:t>)  trend</w:t>
      </w:r>
      <w:proofErr w:type="gramEnd"/>
      <w:r>
        <w:t xml:space="preserve"> in kg/s per decade over years 1998-2018 (color </w:t>
      </w:r>
      <w:proofErr w:type="gramStart"/>
      <w:r>
        <w:t>shading)  from</w:t>
      </w:r>
      <w:proofErr w:type="gramEnd"/>
      <w:r>
        <w:t xml:space="preserve"> a) ERA5 and b) WACCM-1 simulation. Green contours show </w:t>
      </w:r>
      <w:proofErr w:type="gramStart"/>
      <w:r>
        <w:t>1998</w:t>
      </w:r>
      <w:proofErr w:type="gramEnd"/>
      <w:r>
        <w:t xml:space="preserve">-2018 climatology of Ψ*. Contours are drawn every 10^8 </w:t>
      </w:r>
      <w:proofErr w:type="gramStart"/>
      <w:r>
        <w:t>between ±10</w:t>
      </w:r>
      <w:proofErr w:type="gramEnd"/>
      <w:r>
        <w:t>^9 and every 2x10^8 in the rest.  The tropopause is indicated by the thick green line.</w:t>
      </w:r>
    </w:p>
    <w:p w14:paraId="7807138B" w14:textId="513A9B7A" w:rsidR="00814700" w:rsidRDefault="006D0001" w:rsidP="00F330D5">
      <w:pPr>
        <w:pStyle w:val="TextoNormal"/>
      </w:pPr>
      <w:r>
        <w:t xml:space="preserve">  In Sect</w:t>
      </w:r>
      <w:r w:rsidR="00072E69">
        <w:t>ion</w:t>
      </w:r>
      <w:r>
        <w:t xml:space="preserve"> 3.2 we hypothesized that the inter-simulation spread in ozone trends </w:t>
      </w:r>
      <w:r w:rsidR="00C3210B">
        <w:t xml:space="preserve">may </w:t>
      </w:r>
      <w:r>
        <w:t xml:space="preserve">result from differences in transport trends. To explore this, Fig. 8a shows the point-by-point correlation between stratospheric mean age of air (AoA) trends and ozone trends across a subset of 13 REF-D1 simulations with available data (WACCM-1/4, CMAM-1/5, EMAC and UKESM1-1/3; see Table 1). AoA is defined as the transit time of an air parcel since its entry into the stratosphere through the tropical tropopause and provides an integrated measure of stratospheric transport </w:t>
      </w:r>
      <w:r>
        <w:fldChar w:fldCharType="begin" w:fldLock="1"/>
      </w:r>
      <w:r>
        <w:instrText>ADDIN CSL_CITATION {"citationItems":[{"id":"ITEM-1","itemData":{"DOI":"10.1029/2000RG000101","ISSN":"87551209","abstract":"We review the relationship between tracer distributions and transport timescales in the stratosphere and discuss the use of timescales to evaluate and constrain theories and numerical models of the stratosphere. The \"age spectrum,\" the distribution of transit times since stratospheric air last made tropospheric contact, provides a way to understand the transport information of tracers, how sensitive different tracers are to various transport processes, and how to use tracers in combination to constrain transport rates. Trace gas observations can be used to infer aspects of the age spectrum, most commonly the \"mean age,\" but also the shape of the spectrum. Observational inferences of transport timescales provide stringent tests of numerical models independent of photochemistry, and comparisons of these observations with chemical transport models have highlighted certain problems with transport in the models. Age simulations and comparisons with data can now be considered standard tests of stratospheric models.","author":[{"dropping-particle":"","family":"Waugh","given":"Darryn W.","non-dropping-particle":"","parse-names":false,"suffix":""},{"dropping-particle":"","family":"Hall","given":"Timothy M.","non-dropping-particle":"","parse-names":false,"suffix":""}],"container-title":"Reviews of Geophysics","id":"ITEM-1","issued":{"date-parts":[["2002"]]},"title":"Age of stratospheric air: Theory, observations, and models","type":"article-journal"},"uris":["http://www.mendeley.com/documents/?uuid=a84657d2-42bd-416e-9e16-a2edca087a61"]}],"mendeley":{"formattedCitation":"(Waugh &amp; Hall, 2002)","plainTextFormattedCitation":"(Waugh &amp; Hall, 2002)","previouslyFormattedCitation":"(Waugh &amp; Hall, 2002)"},"properties":{"noteIndex":0},"schema":"https://github.com/citation-style-language/schema/raw/master/csl-citation.json"}</w:instrText>
      </w:r>
      <w:r>
        <w:fldChar w:fldCharType="separate"/>
      </w:r>
      <w:r>
        <w:rPr>
          <w:noProof/>
        </w:rPr>
        <w:t>(Waugh &amp; Hall, 2002)</w:t>
      </w:r>
      <w:r>
        <w:fldChar w:fldCharType="end"/>
      </w:r>
      <w:r>
        <w:t xml:space="preserve">. Focusing on the lower stratosphere, we find high positive correlation values, larger than 0.8, in the tropics and northern mid-latitudes. This confirms that inter-simulation differences in ozone trends are highly influenced by differences in transport trends. The positive correlation in the tropics is consistent with the well-known relationship between ozone and upwelling trends. Increased upwelling raises younger, ozone-poor air parcels from the </w:t>
      </w:r>
      <w:r>
        <w:lastRenderedPageBreak/>
        <w:t>tropical tropopause, leading to negative trends in both AoA and ozone. To further study the positive correlations in mid-latitudes, we analyzed the relative role of residual circulation and two-way mixing on the spread in ozone trends in the mid-latitude region.</w:t>
      </w:r>
    </w:p>
    <w:p w14:paraId="7807138C" w14:textId="7208434F" w:rsidR="00814700" w:rsidRDefault="006D0001" w:rsidP="00DB4C8F">
      <w:pPr>
        <w:pStyle w:val="TextoNormal"/>
      </w:pPr>
      <w:r>
        <w:t>Figures 8b and 8c display the correlation between ozone trends and the residual circulation transit time (RCTT) and aging by mixing (AbM) trends, respectively. RCTT is the transit time of hypothetical transport only by the residual circulation, so lower RCTT values means faster residual circulation.</w:t>
      </w:r>
      <w:r w:rsidR="00CE5EF9">
        <w:t xml:space="preserve"> </w:t>
      </w:r>
      <w:r w:rsidR="00CE5EF9" w:rsidRPr="00CE5EF9">
        <w:t xml:space="preserve">RCTT is calculated from the backward trajectories driven by the monthly mean TEM residual </w:t>
      </w:r>
      <w:r w:rsidR="00CE5EF9" w:rsidRPr="001D1DF8">
        <w:t xml:space="preserve">circulation </w:t>
      </w:r>
      <w:r w:rsidR="00C36FCC">
        <w:t>(</w:t>
      </w:r>
      <m:oMath>
        <m:acc>
          <m:accPr>
            <m:chr m:val="̅"/>
            <m:ctrlPr>
              <w:rPr>
                <w:rFonts w:ascii="Cambria Math" w:hAnsi="Cambria Math"/>
                <w:i/>
              </w:rPr>
            </m:ctrlPr>
          </m:accPr>
          <m:e>
            <m:sSup>
              <m:sSupPr>
                <m:ctrlPr>
                  <w:rPr>
                    <w:rFonts w:ascii="Cambria Math" w:hAnsi="Cambria Math"/>
                    <w:i/>
                  </w:rPr>
                </m:ctrlPr>
              </m:sSupPr>
              <m:e>
                <m:r>
                  <w:rPr>
                    <w:rFonts w:ascii="Cambria Math" w:hAnsi="Cambria Math"/>
                  </w:rPr>
                  <m:t>v</m:t>
                </m:r>
              </m:e>
              <m:sup>
                <m:r>
                  <w:rPr>
                    <w:rFonts w:ascii="Cambria Math" w:hAnsi="Cambria Math"/>
                  </w:rPr>
                  <m:t>*</m:t>
                </m:r>
              </m:sup>
            </m:sSup>
          </m:e>
        </m:acc>
        <m:r>
          <w:rPr>
            <w:rFonts w:ascii="Cambria Math" w:hAnsi="Cambria Math"/>
          </w:rPr>
          <m:t>,</m:t>
        </m:r>
        <m:acc>
          <m:accPr>
            <m:chr m:val="̅"/>
            <m:ctrlPr>
              <w:rPr>
                <w:rFonts w:ascii="Cambria Math" w:hAnsi="Cambria Math"/>
                <w:i/>
              </w:rPr>
            </m:ctrlPr>
          </m:accPr>
          <m:e>
            <m:sSup>
              <m:sSupPr>
                <m:ctrlPr>
                  <w:rPr>
                    <w:rFonts w:ascii="Cambria Math" w:hAnsi="Cambria Math"/>
                    <w:i/>
                  </w:rPr>
                </m:ctrlPr>
              </m:sSupPr>
              <m:e>
                <m:r>
                  <w:rPr>
                    <w:rFonts w:ascii="Cambria Math" w:hAnsi="Cambria Math"/>
                  </w:rPr>
                  <m:t>w</m:t>
                </m:r>
              </m:e>
              <m:sup>
                <m:r>
                  <w:rPr>
                    <w:rFonts w:ascii="Cambria Math" w:hAnsi="Cambria Math"/>
                  </w:rPr>
                  <m:t>*</m:t>
                </m:r>
              </m:sup>
            </m:sSup>
          </m:e>
        </m:acc>
      </m:oMath>
      <w:r w:rsidR="00C36FCC">
        <w:t>)</w:t>
      </w:r>
      <w:r w:rsidR="00CE5EF9" w:rsidRPr="001D1DF8">
        <w:t xml:space="preserve"> in</w:t>
      </w:r>
      <w:r w:rsidR="00CE5EF9" w:rsidRPr="00BA091F">
        <w:t xml:space="preserve"> the latitude</w:t>
      </w:r>
      <w:r w:rsidR="00CE5EF9" w:rsidRPr="00CE5EF9">
        <w:t>-height plane with a standard fourth-order Runge-</w:t>
      </w:r>
      <w:proofErr w:type="spellStart"/>
      <w:r w:rsidR="00CE5EF9" w:rsidRPr="00CE5EF9">
        <w:t>Kutta</w:t>
      </w:r>
      <w:proofErr w:type="spellEnd"/>
      <w:r w:rsidR="00CE5EF9" w:rsidRPr="00CE5EF9">
        <w:t xml:space="preserve"> integration.</w:t>
      </w:r>
      <w:r w:rsidR="00DB4C8F">
        <w:t xml:space="preserve"> The backward trajectories end at the thermal tropopause, and the elapsed time is the RCTT.</w:t>
      </w:r>
      <w:r>
        <w:t xml:space="preserve"> AbM is the difference between AoA and RCTT, quantifying the effect of two-way mixing in the AoA, which is typically aging air parcels due to recirculation in the stratosphere</w:t>
      </w:r>
      <w:r w:rsidR="00146121">
        <w:t xml:space="preserve"> </w:t>
      </w:r>
      <w:r w:rsidR="00146121">
        <w:fldChar w:fldCharType="begin" w:fldLock="1"/>
      </w:r>
      <w:r w:rsidR="00FC4697">
        <w:instrText>ADDIN CSL_CITATION {"citationItems":[{"id":"ITEM-1","itemData":{"DOI":"10.1002/2013JD021417","author":[{"dropping-particle":"","family":"Garny","given":"H","non-dropping-particle":"","parse-names":false,"suffix":""},{"dropping-particle":"","family":"Birner","given":"T","non-dropping-particle":"","parse-names":false,"suffix":""},{"dropping-particle":"","family":"Bönisch","given":"H","non-dropping-particle":"","parse-names":false,"suffix":""},{"dropping-particle":"","family":"Bunzel","given":"F","non-dropping-particle":"","parse-names":false,"suffix":""}],"container-title":"Journal of Geophysical Research Atmospheres","id":"ITEM-1","issue":"12","issued":{"date-parts":[["2014"]]},"page":"7015-7034","title":"The effects of mixing on age of air","type":"article-journal","volume":"119"},"uris":["http://www.mendeley.com/documents/?uuid=c9120892-4179-4ef1-ace0-3352f2084b66"]}],"mendeley":{"formattedCitation":"(Garny et al., 2014)","plainTextFormattedCitation":"(Garny et al., 2014)","previouslyFormattedCitation":"(Garny et al., 2014)"},"properties":{"noteIndex":0},"schema":"https://github.com/citation-style-language/schema/raw/master/csl-citation.json"}</w:instrText>
      </w:r>
      <w:r w:rsidR="00146121">
        <w:fldChar w:fldCharType="separate"/>
      </w:r>
      <w:r w:rsidR="00146121" w:rsidRPr="00146121">
        <w:rPr>
          <w:noProof/>
        </w:rPr>
        <w:t>(Garny et al., 2014)</w:t>
      </w:r>
      <w:r w:rsidR="00146121">
        <w:fldChar w:fldCharType="end"/>
      </w:r>
      <w:r>
        <w:t xml:space="preserve">. This term </w:t>
      </w:r>
      <w:proofErr w:type="gramStart"/>
      <w:r>
        <w:t>actually includes</w:t>
      </w:r>
      <w:proofErr w:type="gramEnd"/>
      <w:r>
        <w:t xml:space="preserve"> mixing on resolved scales and additional effects of mixing processes on unresolved scales (namely parametrized and numerical diffusion). For more details on RCTT and AbM, we refer to </w:t>
      </w:r>
      <w:r>
        <w:fldChar w:fldCharType="begin" w:fldLock="1"/>
      </w:r>
      <w:r>
        <w:instrText>ADDIN CSL_CITATION {"citationItems":[{"id":"ITEM-1","itemData":{"DOI":"10.5194/acp-11-817-2011","ISSN":"16807316","abstract":"Transport into the extratropical lowermost strato-sphere (LMS) can be divided into a slow part (time-scale of several months to years) associated with the global-scale stratospheric residual circulation and a fast part (time-scale of days to a few months) associated with (mostly quasi-horizontal) mixing (i.e. two-way irreversible transport, including extratropical stratosphere-troposphere exchange). The stratospheric residual circulation may be considered to consist of two branches: a deep branch more strongly asso-ciated with planetary waves breaking in the middle to upper stratosphere, and a shallow branch associated with synoptic and planetary scale waves breaking in the subtropical lower stratosphere. In this study the contribution due to the strato-spheric residual circulation alone to transport into the LMS is quantified using residual circulation trajectories, i.e. trajecto-ries driven by the (time-dependent) residual mean meridional and vertical velocities. This contribution represents the ad-vective part of the overall transport into the LMS and can be viewed as providing a background onto which the effect of mixing has to be added. Residual mean velocities are obtained from a comprehensive chemistry-climate model as well as from reanalysis data. Transit times of air traveling from the tropical tropopause to the LMS along the residual circulation streamfunction are evaluated and compared to re-cent mean age of air estimates. A time-scale separation with much smaller transit times into the mid-latitudinal LMS than into polar LMS is found that is indicative of a separation of the shallow from the deep branch of the residual circulation. This separation between the shallow and the deep circulation branch is further manifested in a distinction in the aspect ratio Correspondence to: T. Birner (thomas@atmos.colostate.edu) of the vertical to meridional extent of the trajectories, the in-tegrated mass flux along the residual circulation trajectories, as well as the stratospheric entry latitude of the trajectories. The residual transit time distribution reproduces qualitatively the observed seasonal cycle of youngest air in the extratropi-cal LMS in fall and oldest air in spring.","author":[{"dropping-particle":"","family":"Birner","given":"T.","non-dropping-particle":"","parse-names":false,"suffix":""},{"dropping-particle":"","family":"Bönisch","given":"H.","non-dropping-particle":"","parse-names":false,"suffix":""}],"container-title":"Atmospheric Chemistry and Physics","id":"ITEM-1","issued":{"date-parts":[["2011"]]},"title":"Residual circulation trajectories and transit times into the extratropical lowermost stratosphere","type":"article-journal"},"uris":["http://www.mendeley.com/documents/?uuid=1080fa75-f487-47b1-91f4-b572032b7a05"]},{"id":"ITEM-2","itemData":{"DOI":"10.1002/2013JD021417","author":[{"dropping-particle":"","family":"Garny","given":"H","non-dropping-particle":"","parse-names":false,"suffix":""},{"dropping-particle":"","family":"Birner","given":"T","non-dropping-particle":"","parse-names":false,"suffix":""},{"dropping-particle":"","family":"Bönisch","given":"H","non-dropping-particle":"","parse-names":false,"suffix":""},{"dropping-particle":"","family":"Bunzel","given":"F","non-dropping-particle":"","parse-names":false,"suffix":""}],"container-title":"Journal of Geophysical Research Atmospheres","id":"ITEM-2","issue":"12","issued":{"date-parts":[["2014"]]},"page":"7015-7034","title":"The effects of mixing on age of air","type":"article-journal","volume":"119"},"uris":["http://www.mendeley.com/documents/?uuid=c9120892-4179-4ef1-ace0-3352f2084b66"]},{"id":"ITEM-3","itemData":{"DOI":"10.5194/acp-17-7703-2017","ISSN":"16807324","abstract":"Mean age of air (AoA) is a widely used metric to describe the transport along the Brewer-Dobson circulation. We seek to untangle the effects of different processes on the simulation of AoA, using the chemistry-climate model EMAC (ECHAM/MESSy Atmospheric Chemistry) and the Chemical Lagrangian Model of the Stratosphere (CLaMS). Here, the effects of residual transport and two-way mixing on AoA are calculated. To do so, we calculate the residual circulation transit time (RCTT). The difference of AoA and RCTT is defined as aging by mixing. However, as diffusion is also included in this difference, we further use a method to directly calculate aging by mixing on resolved scales. Comparing these two methods of calculating aging by mixing allows for separating the effect of unresolved aging by mixing (which we term aging by diffusion in the following) in EMAC and CLaMS. We find that diffusion impacts AoA by making air older, but its contribution plays a minor role (order of 10%) in all simulations. However, due to the different advection schemes of the two models, aging by diffusion has a larger effect on AoA and mixing efficiency in EMAC, compared to CLaMS. Regarding the trends in AoA, in CLaMS the AoA trend is negative throughout the stratosphere except in the Northern Hemisphere middle stratosphere, consistent with observations. This slight positive trend is neither reproduced in a free-running nor in a nudged simulation with EMAC - in both simulations the AoA trend is negative throughout the stratosphere. Trends in AoA are mainly driven by the contributions of RCTT and aging by mixing, whereas the contribution of aging by diffusion plays a minor role.","author":[{"dropping-particle":"","family":"Dietmüller","given":"Simone","non-dropping-particle":"","parse-names":false,"suffix":""},{"dropping-particle":"","family":"Garny","given":"Hella","non-dropping-particle":"","parse-names":false,"suffix":""},{"dropping-particle":"","family":"Plöger","given":"Felix","non-dropping-particle":"","parse-names":false,"suffix":""},{"dropping-particle":"","family":"Jöckel","given":"Patrick","non-dropping-particle":"","parse-names":false,"suffix":""},{"dropping-particle":"","family":"Cai","given":"Duy","non-dropping-particle":"","parse-names":false,"suffix":""}],"container-title":"Atmospheric Chemistry and Physics","id":"ITEM-3","issue":"12","issued":{"date-parts":[["2017"]]},"page":"7703-7719","title":"Effects of mixing on resolved and unresolved scales on stratospheric age of air","type":"article-journal","volume":"17"},"uris":["http://www.mendeley.com/documents/?uuid=27f19826-2bb8-4677-a4e8-6c42ccebc62b"]}],"mendeley":{"formattedCitation":"(Birner &amp; Bönisch, 2011; Dietmüller et al., 2017; Garny et al., 2014)","manualFormatting":"Birner &amp; Bönisch, (2011); Dietmüller et al. (2017) and Garny et al. (2014)","plainTextFormattedCitation":"(Birner &amp; Bönisch, 2011; Dietmüller et al., 2017; Garny et al., 2014)","previouslyFormattedCitation":"(Birner &amp; Bönisch, 2011; Dietmüller et al., 2017; Garny et al., 2014)"},"properties":{"noteIndex":0},"schema":"https://github.com/citation-style-language/schema/raw/master/csl-citation.json"}</w:instrText>
      </w:r>
      <w:r>
        <w:fldChar w:fldCharType="separate"/>
      </w:r>
      <w:r>
        <w:rPr>
          <w:noProof/>
        </w:rPr>
        <w:t>Birner &amp; Bönisch, (2011); Dietmüller et al. (2017) and Garny et al. (2014)</w:t>
      </w:r>
      <w:r>
        <w:fldChar w:fldCharType="end"/>
      </w:r>
      <w:r>
        <w:t xml:space="preserve">. </w:t>
      </w:r>
    </w:p>
    <w:p w14:paraId="7807138D" w14:textId="7E1F0A9D" w:rsidR="00814700" w:rsidRDefault="00396FB1">
      <w:pPr>
        <w:pStyle w:val="TextoNormal"/>
        <w:ind w:firstLine="0"/>
      </w:pPr>
      <w:r>
        <w:rPr>
          <w:noProof/>
        </w:rPr>
        <w:drawing>
          <wp:inline distT="0" distB="0" distL="0" distR="0" wp14:anchorId="07E73514" wp14:editId="7580D3E6">
            <wp:extent cx="4658264" cy="4169509"/>
            <wp:effectExtent l="0" t="0" r="9525" b="2540"/>
            <wp:docPr id="1884458474" name="Imagen 19" descr="Interfaz de usuario gráfica, Gráfico, Aplicación, Gráfico de superficie&#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458474" name="Imagen 19" descr="Interfaz de usuario gráfica, Gráfico, Aplicación, Gráfico de superficie&#10;&#10;El contenido generado por IA puede ser incorrecto."/>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76087" cy="4185462"/>
                    </a:xfrm>
                    <a:prstGeom prst="rect">
                      <a:avLst/>
                    </a:prstGeom>
                  </pic:spPr>
                </pic:pic>
              </a:graphicData>
            </a:graphic>
          </wp:inline>
        </w:drawing>
      </w:r>
    </w:p>
    <w:p w14:paraId="7807138E" w14:textId="77777777" w:rsidR="00814700" w:rsidRDefault="00814700">
      <w:pPr>
        <w:pStyle w:val="PieFigura"/>
        <w:rPr>
          <w:b/>
          <w:bCs/>
        </w:rPr>
      </w:pPr>
    </w:p>
    <w:p w14:paraId="7807138F" w14:textId="263EE391" w:rsidR="00814700" w:rsidRDefault="006D0001">
      <w:pPr>
        <w:pStyle w:val="PieFigura"/>
      </w:pPr>
      <w:r>
        <w:rPr>
          <w:b/>
          <w:bCs/>
        </w:rPr>
        <w:t>Figure 8.</w:t>
      </w:r>
      <w:r>
        <w:t xml:space="preserve"> Point-by-point correlation between local ozone trends and (a) local AoA trends, (b) local RCTT trends, and (c) local AbM trends across a subset of 12 REF-D1 simulations (WACCM-1/3, CMAM-1/5, EMAC and UKESM1-1/3). The black box represents the northern mid-latitudes region (35°-55°N, 50-150 hPa). The tropopause is indicated by the thick green line.</w:t>
      </w:r>
    </w:p>
    <w:p w14:paraId="78071392" w14:textId="4960C916" w:rsidR="00814700" w:rsidRDefault="006D0001">
      <w:pPr>
        <w:pStyle w:val="TextoNormal"/>
      </w:pPr>
      <w:r>
        <w:lastRenderedPageBreak/>
        <w:t xml:space="preserve">In the tropical lower stratosphere, RCTT trends correlate positively with ozone trends with correlations larger than 0.8 extending up to 40°N. In the mid-latitude region, we find that RCTT and ozone trends are positively correlated in the lowermost stratosphere, whereas negative correlations, albeit weaker, appear above 70 hPa. This dipolar pattern in mid-latitudes suggests that both the shallow and deep branches of the residual circulation influence ozone trends. Positive correlation at lower levels can be associated with the shallow branch, indicating that a stronger acceleration of the circulation leads to more negative ozone trends in the region, as younger, ozone poor-air is transported from the tropical tropopause to mid-latitudes. In contrast, the negative correlation at upper levels is related to downwelling from the deep branch of the residual circulation, since an enhancement of the circulation brings younger air from tropics to extratropics, but also ozone-rich air from the middle stratosphere. Moreover, two-way mixing effects are also important as shown in Figure 8c. The correlation between AbM and ozone trends in the mid-latitudes LS is positive but with large differences between the equatorial and polar flank. This gradient suggests that the mid-latitudes LS region is affected by two </w:t>
      </w:r>
      <w:proofErr w:type="gramStart"/>
      <w:r>
        <w:t>way</w:t>
      </w:r>
      <w:proofErr w:type="gramEnd"/>
      <w:r>
        <w:t>-mixing between tropics and extratropics, which reduce ozone in mid-latitudes, but also between mid-latitudes and the polar region, increasing ozone in our region of interest. Overall, Figure 8 reveals that the northern mid-latitudes LS is a complex region, influenced by many competing transport processes connected to both the tropics and the polar region. Therefore, the different balance between them results in the inter-model differences in the LS ozone trends.</w:t>
      </w:r>
    </w:p>
    <w:p w14:paraId="78071394" w14:textId="7D6DF8C9" w:rsidR="00814700" w:rsidRDefault="006D0001" w:rsidP="0033003D">
      <w:pPr>
        <w:pStyle w:val="TextoNormal"/>
        <w:rPr>
          <w:bCs/>
        </w:rPr>
      </w:pPr>
      <w:r>
        <w:rPr>
          <w:bCs/>
        </w:rPr>
        <w:t xml:space="preserve">To further explore the differences across models in ozone transport, the inter-annual point-by-point correlation between ozone and AoA is shown in Figure 9. Since in this analysis the differences between different simulations of the same model are negligible, Figure 9 shows only the first ensemble member for each model. There are clear inter-model differences, indicating that the transport-ozone co-variability is different in each model. In particular, the UKESM1 and NIWA models, which show the most negative trends in ozone, feature the </w:t>
      </w:r>
      <w:proofErr w:type="gramStart"/>
      <w:r>
        <w:rPr>
          <w:bCs/>
        </w:rPr>
        <w:t>weakest  interannual</w:t>
      </w:r>
      <w:proofErr w:type="gramEnd"/>
      <w:r>
        <w:rPr>
          <w:bCs/>
        </w:rPr>
        <w:t xml:space="preserve"> covariability between ozone and AoA in the lower stratosphere. The different relationship between </w:t>
      </w:r>
      <w:proofErr w:type="gramStart"/>
      <w:r>
        <w:rPr>
          <w:bCs/>
        </w:rPr>
        <w:t>ozone</w:t>
      </w:r>
      <w:proofErr w:type="gramEnd"/>
      <w:r>
        <w:rPr>
          <w:bCs/>
        </w:rPr>
        <w:t xml:space="preserve"> and transport reflects a different ozone response to the </w:t>
      </w:r>
      <w:proofErr w:type="gramStart"/>
      <w:r>
        <w:rPr>
          <w:bCs/>
        </w:rPr>
        <w:t>dynamical</w:t>
      </w:r>
      <w:proofErr w:type="gramEnd"/>
      <w:r>
        <w:rPr>
          <w:bCs/>
        </w:rPr>
        <w:t xml:space="preserve"> variability across the models, which may help explain the large inter-model differences in ozone trends. An analysis of the standard deviation of ozone concentrations </w:t>
      </w:r>
      <w:r w:rsidR="00EA516C">
        <w:rPr>
          <w:bCs/>
        </w:rPr>
        <w:t>shows the different internal variability of ozone</w:t>
      </w:r>
      <w:r w:rsidR="0067162C">
        <w:rPr>
          <w:bCs/>
        </w:rPr>
        <w:t xml:space="preserve"> across models</w:t>
      </w:r>
      <w:r>
        <w:rPr>
          <w:bCs/>
        </w:rPr>
        <w:t>, with ACCESS, NIWA and UKESM</w:t>
      </w:r>
      <w:r w:rsidR="005A7027">
        <w:rPr>
          <w:bCs/>
        </w:rPr>
        <w:t>1</w:t>
      </w:r>
      <w:r>
        <w:rPr>
          <w:bCs/>
        </w:rPr>
        <w:t xml:space="preserve"> models showing </w:t>
      </w:r>
      <w:r w:rsidR="001003BD">
        <w:rPr>
          <w:bCs/>
        </w:rPr>
        <w:t xml:space="preserve">the </w:t>
      </w:r>
      <w:r>
        <w:rPr>
          <w:bCs/>
        </w:rPr>
        <w:t xml:space="preserve">largest variability and </w:t>
      </w:r>
      <w:r w:rsidR="001003BD">
        <w:rPr>
          <w:bCs/>
        </w:rPr>
        <w:t xml:space="preserve">MIROC3.2 and </w:t>
      </w:r>
      <w:r w:rsidR="005A7027">
        <w:rPr>
          <w:bCs/>
        </w:rPr>
        <w:t>CMAM</w:t>
      </w:r>
      <w:r>
        <w:rPr>
          <w:bCs/>
        </w:rPr>
        <w:t xml:space="preserve"> </w:t>
      </w:r>
      <w:r w:rsidR="001003BD">
        <w:rPr>
          <w:bCs/>
        </w:rPr>
        <w:t xml:space="preserve">the </w:t>
      </w:r>
      <w:r>
        <w:rPr>
          <w:bCs/>
        </w:rPr>
        <w:t>weakest (not shown).</w:t>
      </w:r>
    </w:p>
    <w:p w14:paraId="78071395" w14:textId="06F4D120" w:rsidR="00814700" w:rsidRDefault="00376B48">
      <w:pPr>
        <w:pStyle w:val="PieFigura"/>
        <w:rPr>
          <w:b/>
          <w:bCs/>
        </w:rPr>
      </w:pPr>
      <w:r>
        <w:rPr>
          <w:b/>
          <w:bCs/>
          <w:noProof/>
        </w:rPr>
        <w:lastRenderedPageBreak/>
        <w:drawing>
          <wp:inline distT="0" distB="0" distL="0" distR="0" wp14:anchorId="79077085" wp14:editId="2A905A8C">
            <wp:extent cx="5943600" cy="2830195"/>
            <wp:effectExtent l="0" t="0" r="0" b="8255"/>
            <wp:docPr id="1290766232" name="Imagen 20" descr="Gráfico, Calendari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766232" name="Imagen 20" descr="Gráfico, Calendario&#10;&#10;El contenido generado por IA puede ser incorrecto."/>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2830195"/>
                    </a:xfrm>
                    <a:prstGeom prst="rect">
                      <a:avLst/>
                    </a:prstGeom>
                  </pic:spPr>
                </pic:pic>
              </a:graphicData>
            </a:graphic>
          </wp:inline>
        </w:drawing>
      </w:r>
    </w:p>
    <w:p w14:paraId="78071396" w14:textId="77777777" w:rsidR="00814700" w:rsidRDefault="00814700">
      <w:pPr>
        <w:pStyle w:val="PieFigura"/>
        <w:rPr>
          <w:b/>
          <w:bCs/>
        </w:rPr>
      </w:pPr>
    </w:p>
    <w:p w14:paraId="78071397" w14:textId="69E56E5F" w:rsidR="00814700" w:rsidRDefault="006D0001">
      <w:pPr>
        <w:pStyle w:val="PieFigura"/>
      </w:pPr>
      <w:r>
        <w:rPr>
          <w:b/>
          <w:bCs/>
        </w:rPr>
        <w:t xml:space="preserve">Figure 9. </w:t>
      </w:r>
      <w:r>
        <w:t xml:space="preserve">Interannual correlation between AoA and ozone for the model ensemble member #1 for REF-D1 simulations. The black box represents the northern mid-latitudes region (35°-55°N, </w:t>
      </w:r>
      <w:r w:rsidR="00FA3FCB">
        <w:t>5</w:t>
      </w:r>
      <w:r>
        <w:t xml:space="preserve">0-150 hPa). The tropopause is indicated by the thick green line. The models are sorted by their first occurrence of any ensemble member in the first column of Figure </w:t>
      </w:r>
      <w:r w:rsidR="0020342D">
        <w:t>6</w:t>
      </w:r>
      <w:r>
        <w:t>.</w:t>
      </w:r>
    </w:p>
    <w:p w14:paraId="083ECF72" w14:textId="77777777" w:rsidR="0033003D" w:rsidRDefault="0033003D" w:rsidP="0033003D">
      <w:pPr>
        <w:pStyle w:val="TextoNormal"/>
        <w:rPr>
          <w:bCs/>
        </w:rPr>
      </w:pPr>
    </w:p>
    <w:p w14:paraId="251A70CD" w14:textId="77777777" w:rsidR="0033003D" w:rsidRDefault="0033003D" w:rsidP="0033003D">
      <w:pPr>
        <w:pStyle w:val="TextoNormal"/>
      </w:pPr>
      <w:r>
        <w:rPr>
          <w:b/>
        </w:rPr>
        <w:t>4</w:t>
      </w:r>
      <w:r w:rsidRPr="00960BD2">
        <w:rPr>
          <w:b/>
        </w:rPr>
        <w:t xml:space="preserve"> Conclusions and discussion</w:t>
      </w:r>
    </w:p>
    <w:p w14:paraId="02662625" w14:textId="77777777" w:rsidR="0033003D" w:rsidRDefault="0033003D" w:rsidP="0033003D">
      <w:pPr>
        <w:pStyle w:val="TextoNormal"/>
      </w:pPr>
      <w:r>
        <w:t>We present here an updated analysis of recent trends in LS ozone, motivated by previous results highlighting the lack of ozone recovery and the disagreement between observations and model trends in this region (WMO, 2022, and references therein). The main novelty of our study is that we use simulations with prescribed SST from observations covering the period 1998 – 2018 in addition to simulations run with modelled ocean, which allows us to better address the role of natural variability on the recent ozone trends. The main findings of our study are summarized as follows:</w:t>
      </w:r>
    </w:p>
    <w:p w14:paraId="23D1F95D" w14:textId="4F71B7CF" w:rsidR="0033003D" w:rsidRDefault="0033003D" w:rsidP="0033003D">
      <w:pPr>
        <w:pStyle w:val="TextoNormal"/>
      </w:pPr>
      <w:r>
        <w:t xml:space="preserve">• LS ozone trends over the period 1998-2018 are better represented by CCMI-2022 models than </w:t>
      </w:r>
      <w:r w:rsidR="007F5BFA">
        <w:t>by</w:t>
      </w:r>
      <w:r>
        <w:t xml:space="preserve"> previous generations of Chemistry Climate Models</w:t>
      </w:r>
      <w:r w:rsidR="002878A1">
        <w:t xml:space="preserve">, </w:t>
      </w:r>
      <w:r w:rsidR="00A727B0" w:rsidRPr="00A727B0">
        <w:t xml:space="preserve">likely </w:t>
      </w:r>
      <w:r w:rsidR="00296DD3">
        <w:t>because of</w:t>
      </w:r>
      <w:r w:rsidR="00A727B0" w:rsidRPr="00A727B0">
        <w:t xml:space="preserve"> improved boundary conditions and forcings in CCMI-2022 </w:t>
      </w:r>
      <w:r w:rsidR="00296DD3">
        <w:t>compared to</w:t>
      </w:r>
      <w:r w:rsidR="00A727B0" w:rsidRPr="00A727B0">
        <w:t xml:space="preserve"> CCMI-1 rather than improvements in</w:t>
      </w:r>
      <w:r w:rsidR="00296DD3">
        <w:t xml:space="preserve"> their</w:t>
      </w:r>
      <w:r w:rsidR="00A727B0" w:rsidRPr="00A727B0">
        <w:t xml:space="preserve"> model formulation</w:t>
      </w:r>
      <w:r>
        <w:t xml:space="preserve">. In the tropical lower stratosphere, almost all models simulate negative trends over this period, consistent with the observed trend sign, albeit with a slight underestimation of its magnitude. In the northern mid-latitudes, there are still few simulations able to reproduce the observed negative trends. Moreover, there are large inter-simulation </w:t>
      </w:r>
      <w:proofErr w:type="gramStart"/>
      <w:r>
        <w:t>spread</w:t>
      </w:r>
      <w:proofErr w:type="gramEnd"/>
      <w:r>
        <w:t>, highlighting the important role of internal variability in the trends over a relatively short period such as 1998-2018.</w:t>
      </w:r>
    </w:p>
    <w:p w14:paraId="7807139D" w14:textId="3F613BDA" w:rsidR="00814700" w:rsidRDefault="006D0001">
      <w:pPr>
        <w:pStyle w:val="TextoNormal"/>
      </w:pPr>
      <w:r>
        <w:t xml:space="preserve">• The observed trend pattern in the lower stratosphere is better simulated in models when the SST are prescribed to the observations (REF-D1 simulations) than when the SST are modelled (REF-D2). This finding supports the hypothesis from previous studies that natural variability, and </w:t>
      </w:r>
      <w:proofErr w:type="gramStart"/>
      <w:r>
        <w:t>in particular that</w:t>
      </w:r>
      <w:proofErr w:type="gramEnd"/>
      <w:r>
        <w:t xml:space="preserve"> associated with SST variability, has an influence on ozone trends </w:t>
      </w:r>
      <w:r>
        <w:lastRenderedPageBreak/>
        <w:t>over a short period such as 1998-2018. However, the influence of this natural variability</w:t>
      </w:r>
      <w:r w:rsidR="00E254DC">
        <w:t xml:space="preserve"> </w:t>
      </w:r>
      <w:r>
        <w:t>cannot be described as the linear response to the main climate variability modes (ENSO, QBO), which make a small contribution to the ozone trend over this period.</w:t>
      </w:r>
    </w:p>
    <w:p w14:paraId="7807139E" w14:textId="70392378" w:rsidR="00814700" w:rsidRDefault="006D0001">
      <w:pPr>
        <w:pStyle w:val="TextoNormal"/>
      </w:pPr>
      <w:r>
        <w:t>• The ozone trend associated with the decrease in ODS is consistently positive in all simulations. Our results show that the response to ODS cannot explain the intermodel differences in recent trends and discard the possibility that an overestimation of the response to ODS in models could account for the disagreement with the observations.</w:t>
      </w:r>
    </w:p>
    <w:p w14:paraId="13B67615" w14:textId="77777777" w:rsidR="00F836D5" w:rsidRDefault="006D0001" w:rsidP="00F836D5">
      <w:pPr>
        <w:pStyle w:val="TextoNormal"/>
      </w:pPr>
      <w:r>
        <w:t xml:space="preserve">• Observed changes in the residual circulation suggest a poleward expansion of the </w:t>
      </w:r>
      <w:r w:rsidRPr="00F836D5">
        <w:t xml:space="preserve">shallow branch as a potential dynamical mechanism for the negative ozone trend in mid-latitudes. We show that one simulation </w:t>
      </w:r>
      <w:proofErr w:type="gramStart"/>
      <w:r w:rsidRPr="00F836D5">
        <w:t>is able to</w:t>
      </w:r>
      <w:proofErr w:type="gramEnd"/>
      <w:r w:rsidRPr="00F836D5">
        <w:t xml:space="preserve"> reproduce the observed change in both ozone and residual circulation, and the fact that other members of the same model feature completely different trends </w:t>
      </w:r>
      <w:proofErr w:type="gramStart"/>
      <w:r w:rsidRPr="00F836D5">
        <w:t>confirms</w:t>
      </w:r>
      <w:proofErr w:type="gramEnd"/>
      <w:r w:rsidRPr="00F836D5">
        <w:t xml:space="preserve"> the key role of internal variability.</w:t>
      </w:r>
    </w:p>
    <w:p w14:paraId="780713A0" w14:textId="7C1B219B" w:rsidR="00814700" w:rsidRPr="00F836D5" w:rsidRDefault="00F836D5" w:rsidP="00F836D5">
      <w:pPr>
        <w:pStyle w:val="TextoNormal"/>
      </w:pPr>
      <w:r>
        <w:t xml:space="preserve">• </w:t>
      </w:r>
      <w:r w:rsidRPr="00F836D5">
        <w:t>Differences in the representation of ozone transport internal variability across models play a major role in the inter-simulation spread in ozone trends. The mid-latitude lower stratosphere is a particularly complex region affected by multiple competing transport processes. The model representation of these processes and their impact on ozone (advection by the shallow and deep branches of the residual circulation, two-way mixing with tropics and polar region) and their internal variability are crucial to determine the ozone trends over a relatively short period.</w:t>
      </w:r>
    </w:p>
    <w:p w14:paraId="780713A1" w14:textId="77777777" w:rsidR="00814700" w:rsidRDefault="006D0001" w:rsidP="00F836D5">
      <w:pPr>
        <w:pStyle w:val="TextoNormal"/>
      </w:pPr>
      <w:r w:rsidRPr="00F836D5">
        <w:t>We acknowledge that our analysis based</w:t>
      </w:r>
      <w:r>
        <w:t xml:space="preserve"> on a multiple linear regression cannot fully clarify the role of natural variability as it does not consider non-linear effects. For instance, ozone trends in mid-latitudes can be affected by the QBO through QBO-induced secondary circulation and also to QBO seasonal-depending interactions </w:t>
      </w:r>
      <w:r>
        <w:fldChar w:fldCharType="begin" w:fldLock="1"/>
      </w:r>
      <w:r>
        <w:instrText>ADDIN CSL_CITATION {"citationItems":[{"id":"ITEM-1","itemData":{"DOI":"10.5194/acp-19-12731-2019","ISSN":"16807324","abstract":"The Montreal Protocol, and its subsequent amendments, has successfully prevented catastrophic losses of stratospheric ozone, and signs of recovery are now evident. Nevertheless, recent work has suggested that ozone in the lower stratosphere (&lt; 24 km) continued to decline over the 1998-2016 period, offsetting recovery at higher altitudes and preventing a statistically significant increase in quasi-global (60°S-60°N) total column ozone. In 2017, a large lower stratospheric ozone resurgence over less than 12 months was estimated (using a chemistry transport model; CTM) to have offset the long-term decline in the quasi-global integrated lower stratospheric ozone column. Here, we extend the analysis of space-based ozone observations to December 2018 using the BASICSG ozone composite. We find that the observed 2017 resurgence was only around half that modelled by the CTM, was of comparable magnitude to other strong interannual changes in the past, and was restricted to Southern Hemisphere (SH) midlatitudes (60-30° S). In the SH midlatitude lower stratosphere, the data suggest that by the end of 2018 ozone is still likely lower than in 1998 (probability 80 %). In contrast, tropical and Northern Hemisphere (NH) ozone continue to display ongoing decreases, exceeding 90 % probability. Robust tropical (&gt;95 %, 30°S-30°N) decreases dominate the quasi-global integrated decrease (99 % probability); the integrated tropical stratospheric column (1-100 hPa, 30°S-30°N) displays a significant overall ozone decrease, with 95 % probability. These decreases do not reveal an inefficacy of the Montreal Protocol; rather, they suggest that other effects are at work, mainly dynamical variability on long or short timescales, counteracting the positive effects of the Montreal Protocol on stratospheric ozone recovery. We demonstrate that large interannual midlatitude (30-60°) variations, such as the 2017 resurgence, are driven by non-linear quasi-biennial oscillation (QBO) phase-dependent seasonal variability. However, this variability is not represented in current regression analyses. To understand if observed lower stratospheric ozone decreases are a transient or long-term phenomenon, progress needs to be made in accounting for this dynamically driven variability.","author":[{"dropping-particle":"","family":"Ball","given":"William T.","non-dropping-particle":"","parse-names":false,"suffix":""},{"dropping-particle":"","family":"Alsing","given":"Justin","non-dropping-particle":"","parse-names":false,"suffix":""},{"dropping-particle":"","family":"Staehelin","given":"Johannes","non-dropping-particle":"","parse-names":false,"suffix":""},{"dropping-particle":"","family":"Davis","given":"Sean M.","non-dropping-particle":"","parse-names":false,"suffix":""},{"dropping-particle":"","family":"Froidevaux","given":"Lucien","non-dropping-particle":"","parse-names":false,"suffix":""},{"dropping-particle":"","family":"Peter","given":"Thomas","non-dropping-particle":"","parse-names":false,"suffix":""}],"container-title":"Atmospheric Chemistry and Physics","id":"ITEM-1","issue":"19","issued":{"date-parts":[["2019"]]},"page":"12731-12748","title":"Stratospheric ozone trends for 1985-2018: Sensitivity to recent large variability","type":"article-journal","volume":"19"},"uris":["http://www.mendeley.com/documents/?uuid=abe09cb4-dbb7-4bc7-b13b-3570ddd4dd68"]}],"mendeley":{"formattedCitation":"(Ball et al., 2019)","plainTextFormattedCitation":"(Ball et al., 2019)","previouslyFormattedCitation":"(Ball et al., 2019)"},"properties":{"noteIndex":0},"schema":"https://github.com/citation-style-language/schema/raw/master/csl-citation.json"}</w:instrText>
      </w:r>
      <w:r>
        <w:fldChar w:fldCharType="separate"/>
      </w:r>
      <w:r>
        <w:rPr>
          <w:noProof/>
        </w:rPr>
        <w:t>(Ball et al., 2019)</w:t>
      </w:r>
      <w:r>
        <w:fldChar w:fldCharType="end"/>
      </w:r>
      <w:r>
        <w:t xml:space="preserve">. Moreover, linear and non-linear interactions between the QBO and ENSO signals have been previously reported </w:t>
      </w:r>
      <w:r>
        <w:fldChar w:fldCharType="begin" w:fldLock="1"/>
      </w:r>
      <w:r>
        <w:instrText>ADDIN CSL_CITATION {"citationItems":[{"id":"ITEM-1","itemData":{"DOI":"10.5194/acp-12-5259-2012","ISSN":"16807324","abstract":"The effects of El Niño Modoki events on the tropical tropopause layer (TTL) and on the stratosphere were investigated using European Center for Medium Range Weather Forecasting (ECMWF) reanalysis data, oceanic El Niño indices, and general climate model outputs. El Niño Modoki events tend to depress convective activities in the western and eastern Pacific but enhance convective activities in the central and northern Pacific. Consequently, during El Niño Modoki events, negative water vapor anomalies occur in the western and eastern Pacific upper troposphere, whereas there are positive anomalies in the central and northern Pacific upper troposphere. The spatial patterns of the outgoing longwave radiation (OLR) and upper tropospheric water vapor anomalies exhibit a tripolar form. The empirical orthogonal function (EOF) analysis of the OLR and upper tropospheric water vapor anomalies reveals that canonical El Niño events are associated with the leading mode of the EOF, while El Niño Modoki events correspond to the second mode. The composite analysis based on ERA-interim data indicate that El Niño Modoki events have a reverse effect on middle-high latitudes stratosphere, as compared with the effect of typical El Niño events, i.e., the northern polar vortex is stronger and colder but the southern polar vortex is weaker and warmer during El Niño Modoki events. According to the simulation' results, we found that the reverse effect on the middle-high latitudes stratosphere is resulted from a complicated interaction between quasi-biennial oscillation (QBO) signal of east phase and El Niño Modoki signal. This interaction is not a simply linear overlay of QBO signal and El Niño Modoki signal in the stratosphere, it is El Niño Modoki that leads to different tropospheric zonal wind anomalies with QBO forcing from that caused by typical El Niño, thus, the planetary wave propagation from troposphere to the stratosphere during El Niño Modoki events is different from that during canonical El Niño events. However, when QBO is in its west phase, El Niño Modoki events have the same effect on middle-high latitudes stratosphere as the typical El Niño events. Our simulations also suggest that canonical El Niño and El Niño Modoki activities actually have the same influence on the middle-high latitudes stratosphere when in the absence of QBO forcing. © 2012 Author(s).","author":[{"dropping-particle":"","family":"Xie","given":"Fei","non-dropping-particle":"","parse-names":false,"suffix":""},{"dropping-particle":"","family":"Li","given":"J.","non-dropping-particle":"","parse-names":false,"suffix":""},{"dropping-particle":"","family":"Tian","given":"W.","non-dropping-particle":"","parse-names":false,"suffix":""},{"dropping-particle":"","family":"Feng","given":"J.","non-dropping-particle":"","parse-names":false,"suffix":""},{"dropping-particle":"","family":"Huo","given":"Y.","non-dropping-particle":"","parse-names":false,"suffix":""}],"container-title":"Atmospheric Chemistry and Physics","id":"ITEM-1","issue":"11","issued":{"date-parts":[["2012"]]},"page":"5259-5273","title":"Signals of El Niño Modoki in the tropical tropopause layer and stratosphere","type":"article-journal","volume":"12"},"uris":["http://www.mendeley.com/documents/?uuid=3f197b70-1412-49c2-99d8-dcb5a684c600"]},{"id":"ITEM-2","itemData":{"DOI":"10.1002/joc.6519","ISSN":"10970088","abstract":"Using ozone observations, reanalysis data, and climate model simulations, this study investigates in detail the independent and joint influences of the eastern Pacific (EP) El Niño–Southern Oscillation (ENSO) and the quasi-biennial oscillation (QBO) on stratospheric ozone in the Northern Hemisphere (NH) during winter. Statistically, the stratospheric ozone in the NH in winter increases during El Niño events but decreases during La Niña events. Stratospheric ozone increases in the east wind phases of the QBO (EQBO) and decreases in the west wind phases of the QBO (WQBO). The stratospheric ozone anomalies in the middle and high latitudes caused by ENSO activities are clearly larger than those related to the QBO phase. Since the phases of wave-1 and wave-2 planetary waves anomalies related to ENSO activities are broadly similar to those of QBO phases, the joint effect of ENSO and QBO on stratospheric ozone is approximately equal to the linear superposition of their independent impacts. This means that during EQBO phases, the stratospheric ozone anomalies are increased during El Niño events but reduced during La Niña events, and vice versa during WQBO phases. Numerical sensitivity experiments are performed to further investigate the independent and joint influences of EP ENSO and QBO on stratospheric ozone in the NH during winter. The results from simulations agree well with the results from statistical analysis.","author":[{"dropping-particle":"","family":"Xie","given":"Fei","non-dropping-particle":"","parse-names":false,"suffix":""},{"dropping-particle":"","family":"Zhang","given":"Jiankai","non-dropping-particle":"","parse-names":false,"suffix":""},{"dropping-particle":"","family":"Li","given":"Xiaoting","non-dropping-particle":"","parse-names":false,"suffix":""},{"dropping-particle":"","family":"Li","given":"Juan","non-dropping-particle":"","parse-names":false,"suffix":""},{"dropping-particle":"","family":"Wang","given":"Tao","non-dropping-particle":"","parse-names":false,"suffix":""},{"dropping-particle":"","family":"Xu","given":"Mian","non-dropping-particle":"","parse-names":false,"suffix":""}],"container-title":"International Journal of Climatology","id":"ITEM-2","issue":"12","issued":{"date-parts":[["2020"]]},"page":"5289-5307","title":"Independent and joint influences of eastern Pacific El Niño–southern oscillation and quasi-biennial oscillation on Northern Hemispheric stratospheric ozone","type":"article-journal","volume":"40"},"uris":["http://www.mendeley.com/documents/?uuid=64d836bc-67d5-43e5-ab41-4bdcc0d6826f"]}],"mendeley":{"formattedCitation":"(Xie et al., 2012, 2020)","plainTextFormattedCitation":"(Xie et al., 2012, 2020)","previouslyFormattedCitation":"(Xie et al., 2012, 2020)"},"properties":{"noteIndex":0},"schema":"https://github.com/citation-style-language/schema/raw/master/csl-citation.json"}</w:instrText>
      </w:r>
      <w:r>
        <w:fldChar w:fldCharType="separate"/>
      </w:r>
      <w:r>
        <w:rPr>
          <w:noProof/>
        </w:rPr>
        <w:t>(Xie et al., 2012, 2020)</w:t>
      </w:r>
      <w:r>
        <w:fldChar w:fldCharType="end"/>
      </w:r>
      <w:r>
        <w:t xml:space="preserve">. </w:t>
      </w:r>
    </w:p>
    <w:p w14:paraId="780713A4" w14:textId="4C3534D9" w:rsidR="00814700" w:rsidRDefault="002B76BE" w:rsidP="00503EF9">
      <w:pPr>
        <w:pStyle w:val="TextoNormal"/>
      </w:pPr>
      <w:r w:rsidRPr="002B76BE">
        <w:t>We have argued that</w:t>
      </w:r>
      <w:r w:rsidR="00BA7281">
        <w:t>,</w:t>
      </w:r>
      <w:r w:rsidRPr="002B76BE">
        <w:t xml:space="preserve"> when SSTs are prescribed to observations in models, the </w:t>
      </w:r>
      <w:r w:rsidR="00932925">
        <w:t>simula</w:t>
      </w:r>
      <w:r w:rsidRPr="002B76BE">
        <w:t>tion of the observed ozone trend in the lower stratosphere is significantly improved, highlighting that natural variability plays an important role in ozone trends.</w:t>
      </w:r>
      <w:r w:rsidR="005C10B7" w:rsidRPr="005C10B7">
        <w:t xml:space="preserve"> However, this does not necessarily mean that the influence of natural variability is correctly captured in the models. A preliminary check is presented in Figure 10. This figure shows the mid-latitudes LS ozone trends for varying start years between 1994 and 2000 and end years between 2014 and 2018 for observations and REF-D1 simulations, in which the SST follows the observations</w:t>
      </w:r>
      <w:r w:rsidR="00347142">
        <w:t xml:space="preserve">. </w:t>
      </w:r>
      <w:r w:rsidR="005C10B7" w:rsidRPr="005C10B7">
        <w:t xml:space="preserve">Although trends for REF-D1 simulations show a preference towards positive values for all periods compared to observations, the variations of the </w:t>
      </w:r>
      <w:r w:rsidR="00D95BC8">
        <w:t>simulat</w:t>
      </w:r>
      <w:r w:rsidR="005C10B7" w:rsidRPr="005C10B7">
        <w:t xml:space="preserve">ed trends for different periods are consistent with variations of the observed trends for the same periods (Spearman’s correlation value of ρ = 0.56). Thus, this preliminary analysis suggests that the influence of natural variability on the simulated trends is consistent with the observations. However, the slope </w:t>
      </w:r>
      <w:r w:rsidR="00E9223B">
        <w:t xml:space="preserve">of the linear fit </w:t>
      </w:r>
      <w:r w:rsidR="005C10B7" w:rsidRPr="005C10B7">
        <w:t>is different from 1, which could indicate possible model problems. Overall, the assessment of how well the influence of natural variability on ozone and transport is represented in the CCMI-2022 REF-D1 simulations requires a more-in-depth analysis.</w:t>
      </w:r>
    </w:p>
    <w:p w14:paraId="780713A6" w14:textId="550A9FC5" w:rsidR="00814700" w:rsidRDefault="006D0001">
      <w:pPr>
        <w:pStyle w:val="TextoNormal"/>
      </w:pPr>
      <w:r>
        <w:lastRenderedPageBreak/>
        <w:t xml:space="preserve"> </w:t>
      </w:r>
      <w:r w:rsidR="00376B48">
        <w:rPr>
          <w:noProof/>
        </w:rPr>
        <w:drawing>
          <wp:inline distT="0" distB="0" distL="0" distR="0" wp14:anchorId="13A02A0D" wp14:editId="2770B9B0">
            <wp:extent cx="3180077" cy="2720306"/>
            <wp:effectExtent l="0" t="0" r="1905" b="4445"/>
            <wp:docPr id="122827530" name="Imagen 21" descr="Gráfico, Gráfico de dispers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27530" name="Imagen 21" descr="Gráfico, Gráfico de dispersión&#10;&#10;El contenido generado por IA puede ser incorrecto."/>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80077" cy="2720306"/>
                    </a:xfrm>
                    <a:prstGeom prst="rect">
                      <a:avLst/>
                    </a:prstGeom>
                  </pic:spPr>
                </pic:pic>
              </a:graphicData>
            </a:graphic>
          </wp:inline>
        </w:drawing>
      </w:r>
    </w:p>
    <w:p w14:paraId="780713A7" w14:textId="77777777" w:rsidR="00814700" w:rsidRDefault="00814700">
      <w:pPr>
        <w:pStyle w:val="PieFigura"/>
        <w:rPr>
          <w:b/>
          <w:bCs/>
        </w:rPr>
      </w:pPr>
    </w:p>
    <w:p w14:paraId="12A73F64" w14:textId="20B59538" w:rsidR="00503EF9" w:rsidRDefault="006D0001" w:rsidP="0033003D">
      <w:pPr>
        <w:pStyle w:val="PieFigura"/>
      </w:pPr>
      <w:r>
        <w:rPr>
          <w:b/>
          <w:bCs/>
        </w:rPr>
        <w:t>Figure 10</w:t>
      </w:r>
      <w:r>
        <w:t xml:space="preserve">. Scatterplot of northern mid-latitude LS ozone trend for REF-D1 simulations (vertical axis) versus observations </w:t>
      </w:r>
      <w:proofErr w:type="gramStart"/>
      <w:r>
        <w:t>( horizontal</w:t>
      </w:r>
      <w:proofErr w:type="gramEnd"/>
      <w:r>
        <w:t xml:space="preserve"> axis) for varying start years from 1994-2000 and end years from 2014-2018. The REF-D1 trend is calculated as the peak of the REF-D1 trend probability distribution (see Sect. 3.1 and Figure </w:t>
      </w:r>
      <w:r w:rsidR="00DD7403">
        <w:t>3</w:t>
      </w:r>
      <w:r>
        <w:t xml:space="preserve"> for more information). The green point represents the value for the period 1998-2018. The least squares fit is shown by the red line.</w:t>
      </w:r>
    </w:p>
    <w:p w14:paraId="05F63988" w14:textId="5438324A" w:rsidR="00E14111" w:rsidRDefault="00E14111" w:rsidP="00503EF9">
      <w:pPr>
        <w:pStyle w:val="TextoNormal"/>
      </w:pPr>
      <w:r w:rsidRPr="00E14111">
        <w:t xml:space="preserve">One of the findings </w:t>
      </w:r>
      <w:r w:rsidR="00BA53CC">
        <w:t>of</w:t>
      </w:r>
      <w:r w:rsidRPr="00E14111">
        <w:t xml:space="preserve"> </w:t>
      </w:r>
      <w:r w:rsidR="00BA53CC">
        <w:t>the paper</w:t>
      </w:r>
      <w:r w:rsidR="00F15EAB">
        <w:t xml:space="preserve"> is</w:t>
      </w:r>
      <w:r w:rsidRPr="00E14111">
        <w:t xml:space="preserve"> the identification of </w:t>
      </w:r>
      <w:r w:rsidR="006002DE">
        <w:t>a</w:t>
      </w:r>
      <w:r w:rsidRPr="00E14111">
        <w:t xml:space="preserve"> poleward expansion of the residual circulation as a potential driving mechanism for negative ozone trends over 1998-2018. This was previously proposed by</w:t>
      </w:r>
      <w:r w:rsidR="000B11AD">
        <w:t xml:space="preserve"> </w:t>
      </w:r>
      <w:r w:rsidR="000B11AD">
        <w:fldChar w:fldCharType="begin" w:fldLock="1"/>
      </w:r>
      <w:r w:rsidR="00860F80">
        <w:instrText>ADDIN CSL_CITATION {"citationItems":[{"id":"ITEM-1","itemData":{"DOI":"10.1029/2019JD031631","ISSN":"21698996","abstract":"Previous studies have robustly identified a decrease since 1998 in lower stratospheric (LS) ozone in the Northern Hemisphere (NH). While this ozone decrease is qualitatively explained as resulting from changes in the large-scale circulation, there is not yet a quantitative mechanistic explanation of these changes. Here, we explore the drivers of recent ozone changes using two different configurations of the Goddard Earth Observing System (GEOS) general circulation model. The first configuration of GEOS includes a full chemistry module and is constrained with meteorological fields from the Modern-Era Retrospective Analysis for Research and Applications, Version 2 (MERRA-2). This configuration (M2GMI) is used to analyze an idealized tracer that covaries closely with ozone on interannual and decadal timescales, revealing that recent ozone decreases in the NH subtropics are associated with a poleward expansion of upwelling in the NH LS, with reduced (enhanced) downwelling over northern subtropics (midlatitudes). The second configuration of GEOS is a free-running version of the GEOS Chemistry Climate Model (CCM) that is used to perform a 10-member ensemble of free-running simulations. Comparisons of the two configurations reveal that, while the free-running model can produce negative ozone changes in the NH LS, the magnitude of these changes is significantly weaker, relative to both M2GMI and MERRA-2; moreover, these weaker ozone decreases are consistent with weaker simulated changes in the residual circulation. Finally, we examine the GEOS model results in the broader context of the hindcast simulations performed as part of Phase 1 of the Chemistry Climate Modeling Initiative. We show that the majority of the free-running simulations considered here also exhibit weaker long-term residual circulation changes, compared to reanalyses.","author":[{"dropping-particle":"","family":"Orbe","given":"Clara","non-dropping-particle":"","parse-names":false,"suffix":""},{"dropping-particle":"","family":"Wargan","given":"Krzysztof","non-dropping-particle":"","parse-names":false,"suffix":""},{"dropping-particle":"","family":"Pawson","given":"Steven","non-dropping-particle":"","parse-names":false,"suffix":""},{"dropping-particle":"","family":"Oman","given":"Luke D.","non-dropping-particle":"","parse-names":false,"suffix":""}],"container-title":"Journal of Geophysical Research: Atmospheres","id":"ITEM-1","issue":"9","issued":{"date-parts":[["2020"]]},"page":"1-23","title":"Mechanisms Linked to Recent Ozone Decreases in the Northern Hemisphere Lower Stratosphere","type":"article-journal","volume":"125"},"uris":["http://www.mendeley.com/documents/?uuid=d062102a-3e37-4f93-af82-68c91bd9dedb"]}],"mendeley":{"formattedCitation":"(Orbe et al., 2020)","manualFormatting":"Orbe et al. (2020)","plainTextFormattedCitation":"(Orbe et al., 2020)","previouslyFormattedCitation":"(Orbe et al., 2020)"},"properties":{"noteIndex":0},"schema":"https://github.com/citation-style-language/schema/raw/master/csl-citation.json"}</w:instrText>
      </w:r>
      <w:r w:rsidR="000B11AD">
        <w:fldChar w:fldCharType="separate"/>
      </w:r>
      <w:r w:rsidR="000B11AD" w:rsidRPr="000B11AD">
        <w:rPr>
          <w:noProof/>
        </w:rPr>
        <w:t xml:space="preserve">Orbe et al. </w:t>
      </w:r>
      <w:r w:rsidR="00E71582">
        <w:rPr>
          <w:noProof/>
        </w:rPr>
        <w:t>(</w:t>
      </w:r>
      <w:r w:rsidR="000B11AD" w:rsidRPr="000B11AD">
        <w:rPr>
          <w:noProof/>
        </w:rPr>
        <w:t>2020)</w:t>
      </w:r>
      <w:r w:rsidR="000B11AD">
        <w:fldChar w:fldCharType="end"/>
      </w:r>
      <w:r w:rsidRPr="00E14111">
        <w:t xml:space="preserve">, who also showed that the free-running simulations of the GEOSCCM model produced weaker residual circulation and ozone changes over the period 1998-2018 compared to MERRA-2 and ERA-Interim reanalysis. This also occurs in our </w:t>
      </w:r>
      <w:r w:rsidR="000510B4">
        <w:t>study</w:t>
      </w:r>
      <w:r w:rsidRPr="00E14111">
        <w:t xml:space="preserve">, as the changes in the residual circulation in </w:t>
      </w:r>
      <w:r w:rsidR="006B1E18">
        <w:t xml:space="preserve">the </w:t>
      </w:r>
      <w:r w:rsidRPr="00E14111">
        <w:t xml:space="preserve">ERA-5 </w:t>
      </w:r>
      <w:r w:rsidR="006B1E18">
        <w:t>rean</w:t>
      </w:r>
      <w:r w:rsidR="00B75AEF">
        <w:t>a</w:t>
      </w:r>
      <w:r w:rsidR="006B1E18">
        <w:t xml:space="preserve">lysis </w:t>
      </w:r>
      <w:r w:rsidRPr="00E14111">
        <w:t xml:space="preserve">(and the </w:t>
      </w:r>
      <w:r w:rsidR="000510B4">
        <w:t xml:space="preserve">associated </w:t>
      </w:r>
      <w:r w:rsidRPr="00E14111">
        <w:t xml:space="preserve">ozone trend in the observations) are larger than those shown by the WACCM-1 REF-D1 simulation. Much larger residual circulation changes in reanalyses (MERRA-2, ERA-Interim and ERA-5) compared to models could indicate problems in calculating a highly derived quantity like </w:t>
      </w:r>
      <w:r w:rsidR="000E3611" w:rsidRPr="002576D6">
        <w:t>Ψ*</w:t>
      </w:r>
      <w:r w:rsidR="008278C5">
        <w:t xml:space="preserve"> in reanalysis</w:t>
      </w:r>
      <w:r w:rsidRPr="00E14111">
        <w:t xml:space="preserve">, which might produce spurious trends. However, MERRA and ERA families of reanalysis employ completely different assimilation systems, which </w:t>
      </w:r>
      <w:proofErr w:type="gramStart"/>
      <w:r w:rsidRPr="00E14111">
        <w:t>makes</w:t>
      </w:r>
      <w:proofErr w:type="gramEnd"/>
      <w:r w:rsidRPr="00E14111">
        <w:t xml:space="preserve"> unlikely that this would be the </w:t>
      </w:r>
      <w:r w:rsidR="002B61B5">
        <w:t xml:space="preserve">actual </w:t>
      </w:r>
      <w:r w:rsidRPr="00E14111">
        <w:t xml:space="preserve">reason for the differences between reanalyses and models. Thus, one </w:t>
      </w:r>
      <w:r w:rsidR="005754F7">
        <w:t xml:space="preserve">emerging </w:t>
      </w:r>
      <w:r w:rsidRPr="00E14111">
        <w:t>possibility could be the difficulty in the models to correctly reproduce changes in the large-scale circulation, and in particular changes in the lower stratospheric residual circulation. Future research is needed to determine why reanalyses produce much larger residual circulation trends than free-running models and how this affects trends in lower stratospheric ozone.</w:t>
      </w:r>
    </w:p>
    <w:p w14:paraId="4395EE07" w14:textId="64EA4D70" w:rsidR="00E50C9E" w:rsidRDefault="00503EF9" w:rsidP="00E50C9E">
      <w:pPr>
        <w:pStyle w:val="TextoNormal"/>
      </w:pPr>
      <w:r>
        <w:t xml:space="preserve">Finally, we note that models that simulate negative mid-latitudes ozone </w:t>
      </w:r>
      <w:proofErr w:type="gramStart"/>
      <w:r>
        <w:t>trends  (</w:t>
      </w:r>
      <w:proofErr w:type="gramEnd"/>
      <w:r>
        <w:t>i.e. UKESM1, NIWA-UKCA2, ACCESS-CM2) are not necessarily those that reproduce stratospheric dynamics more realistically. As noted in section 2.2, the QBO in these models does not follow the observed phases</w:t>
      </w:r>
      <w:bookmarkStart w:id="8" w:name="_Hlk173160564"/>
      <w:r w:rsidR="00C153FC">
        <w:t xml:space="preserve"> in the REF-D1 simulations</w:t>
      </w:r>
      <w:r>
        <w:t>.</w:t>
      </w:r>
      <w:bookmarkEnd w:id="8"/>
      <w:r>
        <w:t xml:space="preserve"> Furthermore, UKESM1 and NIWA-UKCA2 have an unrealistic representation of the mean wintertime polar vortex in the period 1998-2018, </w:t>
      </w:r>
      <w:r w:rsidRPr="00024BC8">
        <w:t>with winds that are up to 3</w:t>
      </w:r>
      <w:r>
        <w:t>5</w:t>
      </w:r>
      <w:r w:rsidRPr="00024BC8">
        <w:t xml:space="preserve">% stronger compared to ERA-5 </w:t>
      </w:r>
      <w:r>
        <w:t xml:space="preserve">(not shown). This can affect ozone trends indirectly through two-way mixing, as the polar vortex acts as </w:t>
      </w:r>
      <w:proofErr w:type="gramStart"/>
      <w:r>
        <w:t>mixing</w:t>
      </w:r>
      <w:proofErr w:type="gramEnd"/>
      <w:r>
        <w:t xml:space="preserve"> barrier, and could also be </w:t>
      </w:r>
      <w:r>
        <w:lastRenderedPageBreak/>
        <w:t xml:space="preserve">an indication of unrealistic wave activity, affecting the residual circulation. In addition, we have found that the UKESM1 model presents too young AoA values compared to the rest of the models, mainly due to a too low AbM compared with the other models (not shown). </w:t>
      </w:r>
      <w:r w:rsidR="005D5A2F">
        <w:t>In this sense, i</w:t>
      </w:r>
      <w:r w:rsidR="00E50C9E">
        <w:t xml:space="preserve">t would be interesting to study different transport diagnostics, such as passive tracers with multiple timescales, to evaluate how the CCMI-2022 models reproduce transport. </w:t>
      </w:r>
      <w:r w:rsidR="00A44EAA" w:rsidRPr="00A44EAA">
        <w:t xml:space="preserve">Unfortunately, these diagnostics have not been produced </w:t>
      </w:r>
      <w:r w:rsidR="000242A8">
        <w:t>by</w:t>
      </w:r>
      <w:r w:rsidR="00A44EAA" w:rsidRPr="00A44EAA">
        <w:t xml:space="preserve"> most CCMI-2022 models.</w:t>
      </w:r>
      <w:r w:rsidR="00066D5A">
        <w:t xml:space="preserve"> W</w:t>
      </w:r>
      <w:r w:rsidR="00E50C9E">
        <w:t xml:space="preserve">e encourage modeling centers to produce a </w:t>
      </w:r>
      <w:r w:rsidR="00DE6C4E">
        <w:t>broad</w:t>
      </w:r>
      <w:r w:rsidR="00E50C9E">
        <w:t xml:space="preserve"> range of passive </w:t>
      </w:r>
      <w:proofErr w:type="gramStart"/>
      <w:r w:rsidR="00E50C9E">
        <w:t>tracers</w:t>
      </w:r>
      <w:proofErr w:type="gramEnd"/>
      <w:r w:rsidR="00E50C9E">
        <w:t xml:space="preserve"> </w:t>
      </w:r>
      <w:r w:rsidR="00DE6C4E">
        <w:t>spann</w:t>
      </w:r>
      <w:r w:rsidR="00E50C9E">
        <w:t xml:space="preserve">ing </w:t>
      </w:r>
      <w:r w:rsidR="00DE6C4E">
        <w:t>multiple</w:t>
      </w:r>
      <w:r w:rsidR="00E50C9E">
        <w:t xml:space="preserve"> sources and time scales </w:t>
      </w:r>
      <w:proofErr w:type="gramStart"/>
      <w:r w:rsidR="00E50C9E">
        <w:t>in order to</w:t>
      </w:r>
      <w:proofErr w:type="gramEnd"/>
      <w:r w:rsidR="00E50C9E">
        <w:t xml:space="preserve"> </w:t>
      </w:r>
      <w:r w:rsidR="00D960EB" w:rsidRPr="00D960EB">
        <w:t>perform more in-depth studies of transport in these types of models.</w:t>
      </w:r>
    </w:p>
    <w:p w14:paraId="33159755" w14:textId="7449AF74" w:rsidR="00503EF9" w:rsidRDefault="00503EF9" w:rsidP="00503EF9">
      <w:pPr>
        <w:pStyle w:val="TextoNormal"/>
      </w:pPr>
      <w:r>
        <w:t xml:space="preserve">Overall, </w:t>
      </w:r>
      <w:r w:rsidR="00044FCC">
        <w:t>our</w:t>
      </w:r>
      <w:r>
        <w:t xml:space="preserve"> results show that the observed negative ozone trends in</w:t>
      </w:r>
      <w:r w:rsidR="00814686">
        <w:t xml:space="preserve"> the</w:t>
      </w:r>
      <w:r>
        <w:t xml:space="preserve"> </w:t>
      </w:r>
      <w:r w:rsidR="00814686">
        <w:t xml:space="preserve">mid-latitudes </w:t>
      </w:r>
      <w:r>
        <w:t>lower stratospher</w:t>
      </w:r>
      <w:r w:rsidR="00814686">
        <w:t>e</w:t>
      </w:r>
      <w:r>
        <w:t xml:space="preserve"> are a plausible realization for state-of-the-art chemistry-climate simulations given the observed boundary conditions, and result from internal variability rather than being externally forced.  On the other hand, our study finds substantial discrepancies in the ozone transport variability across models, which calls for further understanding </w:t>
      </w:r>
      <w:proofErr w:type="gramStart"/>
      <w:r>
        <w:t>in order to</w:t>
      </w:r>
      <w:proofErr w:type="gramEnd"/>
      <w:r>
        <w:t xml:space="preserve"> advance the modelling of past and future ozone recovery trends.</w:t>
      </w:r>
    </w:p>
    <w:p w14:paraId="780713AA" w14:textId="16E63513" w:rsidR="00814700" w:rsidRDefault="006D0001">
      <w:pPr>
        <w:pStyle w:val="Heading-Secondary"/>
        <w:ind w:left="0"/>
        <w:rPr>
          <w:b/>
          <w:bCs w:val="0"/>
        </w:rPr>
      </w:pPr>
      <w:r>
        <w:rPr>
          <w:b/>
          <w:bCs w:val="0"/>
        </w:rPr>
        <w:t xml:space="preserve">Acknowledgments </w:t>
      </w:r>
    </w:p>
    <w:p w14:paraId="780713AB" w14:textId="07839A2B" w:rsidR="00814700" w:rsidRDefault="006D0001">
      <w:pPr>
        <w:pStyle w:val="TextoNormal"/>
        <w:ind w:firstLine="0"/>
      </w:pPr>
      <w:r>
        <w:t>Samuel Benito-Barca acknowledges the FPU program from the Ministry of Universities (grant no. FPU19/01481). Natalia Calvo and Marta Abalos were supported by the Spanish Ministry of Science, Innovation and Universities through the RecO3very project (ref: PID2021-124772OB-I00).</w:t>
      </w:r>
      <w:r w:rsidR="006210D9">
        <w:t xml:space="preserve"> </w:t>
      </w:r>
      <w:r w:rsidR="006210D9" w:rsidRPr="006210D9">
        <w:t>S</w:t>
      </w:r>
      <w:r w:rsidR="006210D9">
        <w:t xml:space="preserve">hingo </w:t>
      </w:r>
      <w:r w:rsidR="006210D9" w:rsidRPr="006210D9">
        <w:t>W</w:t>
      </w:r>
      <w:r w:rsidR="006210D9">
        <w:t>atanabe</w:t>
      </w:r>
      <w:r w:rsidR="006210D9" w:rsidRPr="006210D9">
        <w:t xml:space="preserve"> was supported by the MEXT program for the advanced studies of climate change projection (SENTAN) Grant Number JPMXD0722681344. The MIROC-ES2H simulations were conducted using the Earth Simulator at the Japan Agency for Marine-Earth Science and Technology (JAMSTEC).</w:t>
      </w:r>
      <w:r w:rsidR="00254AD5">
        <w:t xml:space="preserve"> </w:t>
      </w:r>
      <w:r w:rsidR="00254AD5" w:rsidRPr="00254AD5">
        <w:t>H</w:t>
      </w:r>
      <w:r w:rsidR="00254AD5">
        <w:t xml:space="preserve">ideharu </w:t>
      </w:r>
      <w:r w:rsidR="00254AD5" w:rsidRPr="00254AD5">
        <w:t>A</w:t>
      </w:r>
      <w:r w:rsidR="00451972">
        <w:t>kiyoshi</w:t>
      </w:r>
      <w:r w:rsidR="00254AD5" w:rsidRPr="00254AD5">
        <w:t xml:space="preserve"> acknowledges KAKENHI (JP24K00700 and JP24H00751) of the Ministry of Education, Culture, Sports, Science, and Technology, Japan, and NEC SX-AURORA computers at the CGER, NIES.</w:t>
      </w:r>
    </w:p>
    <w:p w14:paraId="780713AC" w14:textId="77777777" w:rsidR="00814700" w:rsidRDefault="006D0001">
      <w:pPr>
        <w:pStyle w:val="Heading-Secondary"/>
        <w:ind w:left="0"/>
        <w:rPr>
          <w:b/>
          <w:bCs w:val="0"/>
        </w:rPr>
      </w:pPr>
      <w:r>
        <w:rPr>
          <w:b/>
          <w:bCs w:val="0"/>
        </w:rPr>
        <w:t>Open Research</w:t>
      </w:r>
    </w:p>
    <w:p w14:paraId="780713AD" w14:textId="7A1DF0A0" w:rsidR="00814700" w:rsidRDefault="004D2929" w:rsidP="004D2929">
      <w:pPr>
        <w:shd w:val="clear" w:color="auto" w:fill="FFFFFF"/>
        <w:jc w:val="both"/>
        <w:rPr>
          <w:rFonts w:asciiTheme="minorHAnsi" w:eastAsia="Times New Roman" w:hAnsiTheme="minorHAnsi" w:cstheme="minorHAnsi"/>
          <w:sz w:val="24"/>
          <w:szCs w:val="24"/>
        </w:rPr>
      </w:pPr>
      <w:r>
        <w:rPr>
          <w:rFonts w:asciiTheme="minorHAnsi" w:eastAsia="Times New Roman" w:hAnsiTheme="minorHAnsi" w:cstheme="minorHAnsi"/>
          <w:sz w:val="24"/>
          <w:szCs w:val="24"/>
        </w:rPr>
        <w:t>BASIC</w:t>
      </w:r>
      <w:r>
        <w:rPr>
          <w:rFonts w:asciiTheme="minorHAnsi" w:eastAsia="Times New Roman" w:hAnsiTheme="minorHAnsi" w:cstheme="minorHAnsi"/>
          <w:sz w:val="24"/>
          <w:szCs w:val="24"/>
          <w:vertAlign w:val="subscript"/>
        </w:rPr>
        <w:t>SG</w:t>
      </w:r>
      <w:r>
        <w:rPr>
          <w:rFonts w:asciiTheme="minorHAnsi" w:eastAsia="Times New Roman" w:hAnsiTheme="minorHAnsi" w:cstheme="minorHAnsi"/>
          <w:sz w:val="24"/>
          <w:szCs w:val="24"/>
        </w:rPr>
        <w:t xml:space="preserve"> dataset</w:t>
      </w:r>
      <w:r w:rsidR="00084D98">
        <w:rPr>
          <w:rFonts w:asciiTheme="minorHAnsi" w:eastAsia="Times New Roman" w:hAnsiTheme="minorHAnsi" w:cstheme="minorHAnsi"/>
          <w:sz w:val="24"/>
          <w:szCs w:val="24"/>
        </w:rPr>
        <w:t xml:space="preserve"> </w:t>
      </w:r>
      <w:r w:rsidR="00F85CB7">
        <w:rPr>
          <w:rFonts w:asciiTheme="minorHAnsi" w:eastAsia="Times New Roman" w:hAnsiTheme="minorHAnsi" w:cstheme="minorHAnsi"/>
          <w:sz w:val="24"/>
          <w:szCs w:val="24"/>
        </w:rPr>
        <w:fldChar w:fldCharType="begin" w:fldLock="1"/>
      </w:r>
      <w:r w:rsidR="00047F18">
        <w:rPr>
          <w:rFonts w:asciiTheme="minorHAnsi" w:eastAsia="Times New Roman" w:hAnsiTheme="minorHAnsi" w:cstheme="minorHAnsi"/>
          <w:sz w:val="24"/>
          <w:szCs w:val="24"/>
        </w:rPr>
        <w:instrText>ADDIN CSL_CITATION {"citationItems":[{"id":"ITEM-1","itemData":{"DOI":"10.17632/2mgx2xzzpk.3","author":[{"dropping-particle":"","family":"Alsing","given":"Justin","non-dropping-particle":"","parse-names":false,"suffix":""},{"dropping-particle":"","family":"Ball","given":"William","non-dropping-particle":"","parse-names":false,"suffix":""}],"id":"ITEM-1","issued":{"date-parts":[["2019"]]},"publisher":"Mendeley Data, V3","title":"BASIC Composite Ozone Time-Series Data","type":"article"},"uris":["http://www.mendeley.com/documents/?uuid=3794b772-18ee-4a11-963b-05f621ad9656","http://www.mendeley.com/documents/?uuid=b75bc9c1-fcff-4791-bf85-c87865803441"]}],"mendeley":{"formattedCitation":"(Alsing &amp; Ball, 2019)","plainTextFormattedCitation":"(Alsing &amp; Ball, 2019)","previouslyFormattedCitation":"(Alsing &amp; Ball, 2019)"},"properties":{"noteIndex":0},"schema":"https://github.com/citation-style-language/schema/raw/master/csl-citation.json"}</w:instrText>
      </w:r>
      <w:r w:rsidR="00F85CB7">
        <w:rPr>
          <w:rFonts w:asciiTheme="minorHAnsi" w:eastAsia="Times New Roman" w:hAnsiTheme="minorHAnsi" w:cstheme="minorHAnsi"/>
          <w:sz w:val="24"/>
          <w:szCs w:val="24"/>
        </w:rPr>
        <w:fldChar w:fldCharType="separate"/>
      </w:r>
      <w:r w:rsidR="00F85CB7" w:rsidRPr="00F85CB7">
        <w:rPr>
          <w:rFonts w:asciiTheme="minorHAnsi" w:eastAsia="Times New Roman" w:hAnsiTheme="minorHAnsi" w:cstheme="minorHAnsi"/>
          <w:noProof/>
          <w:sz w:val="24"/>
          <w:szCs w:val="24"/>
        </w:rPr>
        <w:t>(Alsing &amp; Ball, 2019)</w:t>
      </w:r>
      <w:r w:rsidR="00F85CB7">
        <w:rPr>
          <w:rFonts w:asciiTheme="minorHAnsi" w:eastAsia="Times New Roman" w:hAnsiTheme="minorHAnsi" w:cstheme="minorHAnsi"/>
          <w:sz w:val="24"/>
          <w:szCs w:val="24"/>
        </w:rPr>
        <w:fldChar w:fldCharType="end"/>
      </w:r>
      <w:r w:rsidR="00084D98">
        <w:rPr>
          <w:rFonts w:asciiTheme="minorHAnsi" w:eastAsia="Times New Roman" w:hAnsiTheme="minorHAnsi" w:cstheme="minorHAnsi"/>
          <w:sz w:val="24"/>
          <w:szCs w:val="24"/>
        </w:rPr>
        <w:t xml:space="preserve"> </w:t>
      </w:r>
      <w:r w:rsidR="00122C5E">
        <w:rPr>
          <w:rFonts w:asciiTheme="minorHAnsi" w:eastAsia="Times New Roman" w:hAnsiTheme="minorHAnsi" w:cstheme="minorHAnsi"/>
          <w:sz w:val="24"/>
          <w:szCs w:val="24"/>
        </w:rPr>
        <w:t>have been downloaded from</w:t>
      </w:r>
      <w:r>
        <w:rPr>
          <w:rFonts w:asciiTheme="minorHAnsi" w:eastAsia="Times New Roman" w:hAnsiTheme="minorHAnsi" w:cstheme="minorHAnsi"/>
          <w:sz w:val="24"/>
          <w:szCs w:val="24"/>
        </w:rPr>
        <w:t xml:space="preserve"> </w:t>
      </w:r>
      <w:hyperlink r:id="rId20" w:history="1">
        <w:r w:rsidRPr="0025799D">
          <w:rPr>
            <w:rStyle w:val="Hipervnculo"/>
            <w:rFonts w:asciiTheme="minorHAnsi" w:eastAsia="Times New Roman" w:hAnsiTheme="minorHAnsi" w:cstheme="minorHAnsi"/>
            <w:sz w:val="24"/>
            <w:szCs w:val="24"/>
          </w:rPr>
          <w:t>https://data.mendeley.com/datasets/2mgx2xzzpk/3</w:t>
        </w:r>
      </w:hyperlink>
      <w:r>
        <w:rPr>
          <w:rFonts w:asciiTheme="minorHAnsi" w:eastAsia="Times New Roman" w:hAnsiTheme="minorHAnsi" w:cstheme="minorHAnsi"/>
          <w:sz w:val="24"/>
          <w:szCs w:val="24"/>
        </w:rPr>
        <w:t xml:space="preserve">. </w:t>
      </w:r>
      <w:r w:rsidR="00590DF6" w:rsidRPr="002B7656">
        <w:rPr>
          <w:rFonts w:asciiTheme="minorHAnsi" w:eastAsia="Times New Roman" w:hAnsiTheme="minorHAnsi" w:cstheme="minorHAnsi"/>
          <w:sz w:val="24"/>
          <w:szCs w:val="24"/>
        </w:rPr>
        <w:t xml:space="preserve">The CCMI-1 and CCMI-2022 data used in this study </w:t>
      </w:r>
      <w:r w:rsidR="00DA6DEC" w:rsidRPr="002B7656">
        <w:rPr>
          <w:rFonts w:asciiTheme="minorHAnsi" w:eastAsia="Times New Roman" w:hAnsiTheme="minorHAnsi" w:cstheme="minorHAnsi"/>
          <w:sz w:val="24"/>
          <w:szCs w:val="24"/>
        </w:rPr>
        <w:t>are stored at the</w:t>
      </w:r>
      <w:r w:rsidR="00736AF5" w:rsidRPr="002B7656">
        <w:rPr>
          <w:rFonts w:asciiTheme="minorHAnsi" w:eastAsia="Times New Roman" w:hAnsiTheme="minorHAnsi" w:cstheme="minorHAnsi"/>
          <w:sz w:val="24"/>
          <w:szCs w:val="24"/>
        </w:rPr>
        <w:t xml:space="preserve"> Centre for Environmental Data Analysis (CEDA) and</w:t>
      </w:r>
      <w:r w:rsidR="00DA6DEC" w:rsidRPr="002B7656">
        <w:rPr>
          <w:rFonts w:asciiTheme="minorHAnsi" w:eastAsia="Times New Roman" w:hAnsiTheme="minorHAnsi" w:cstheme="minorHAnsi"/>
          <w:sz w:val="24"/>
          <w:szCs w:val="24"/>
        </w:rPr>
        <w:t xml:space="preserve"> </w:t>
      </w:r>
      <w:r w:rsidR="00590DF6" w:rsidRPr="002B7656">
        <w:rPr>
          <w:rFonts w:asciiTheme="minorHAnsi" w:eastAsia="Times New Roman" w:hAnsiTheme="minorHAnsi" w:cstheme="minorHAnsi"/>
          <w:sz w:val="24"/>
          <w:szCs w:val="24"/>
        </w:rPr>
        <w:t xml:space="preserve">have been </w:t>
      </w:r>
      <w:r w:rsidR="00891426" w:rsidRPr="002B7656">
        <w:rPr>
          <w:rFonts w:asciiTheme="minorHAnsi" w:eastAsia="Times New Roman" w:hAnsiTheme="minorHAnsi" w:cstheme="minorHAnsi"/>
          <w:sz w:val="24"/>
          <w:szCs w:val="24"/>
        </w:rPr>
        <w:t>obtained through the British Atmospheric Data Centre (BADC) archive</w:t>
      </w:r>
      <w:r w:rsidR="00736AF5" w:rsidRPr="002B7656">
        <w:rPr>
          <w:rFonts w:asciiTheme="minorHAnsi" w:eastAsia="Times New Roman" w:hAnsiTheme="minorHAnsi" w:cstheme="minorHAnsi"/>
          <w:sz w:val="24"/>
          <w:szCs w:val="24"/>
        </w:rPr>
        <w:t>.</w:t>
      </w:r>
      <w:r w:rsidR="00DF4563" w:rsidRPr="002B7656">
        <w:rPr>
          <w:rFonts w:asciiTheme="minorHAnsi" w:eastAsia="Times New Roman" w:hAnsiTheme="minorHAnsi" w:cstheme="minorHAnsi"/>
          <w:sz w:val="24"/>
          <w:szCs w:val="24"/>
        </w:rPr>
        <w:t xml:space="preserve"> CCMI-1 data have been downloaded</w:t>
      </w:r>
      <w:r w:rsidR="00E73818" w:rsidRPr="002B7656">
        <w:rPr>
          <w:rFonts w:asciiTheme="minorHAnsi" w:eastAsia="Times New Roman" w:hAnsiTheme="minorHAnsi" w:cstheme="minorHAnsi"/>
          <w:sz w:val="24"/>
          <w:szCs w:val="24"/>
        </w:rPr>
        <w:t xml:space="preserve"> from </w:t>
      </w:r>
      <w:hyperlink r:id="rId21" w:history="1">
        <w:r w:rsidR="00D72875" w:rsidRPr="0025799D">
          <w:rPr>
            <w:rStyle w:val="Hipervnculo"/>
            <w:rFonts w:asciiTheme="minorHAnsi" w:eastAsia="Times New Roman" w:hAnsiTheme="minorHAnsi" w:cstheme="minorHAnsi"/>
            <w:sz w:val="24"/>
            <w:szCs w:val="24"/>
          </w:rPr>
          <w:t>https://data.ceda.ac.uk/badc/wcrp-ccmi/data/CCMI-1/output</w:t>
        </w:r>
      </w:hyperlink>
      <w:r w:rsidR="00D72875">
        <w:rPr>
          <w:rFonts w:asciiTheme="minorHAnsi" w:eastAsia="Times New Roman" w:hAnsiTheme="minorHAnsi" w:cstheme="minorHAnsi"/>
          <w:sz w:val="24"/>
          <w:szCs w:val="24"/>
        </w:rPr>
        <w:t xml:space="preserve"> </w:t>
      </w:r>
      <w:r w:rsidR="00E73818" w:rsidRPr="002B7656">
        <w:rPr>
          <w:rFonts w:asciiTheme="minorHAnsi" w:eastAsia="Times New Roman" w:hAnsiTheme="minorHAnsi" w:cstheme="minorHAnsi"/>
          <w:sz w:val="24"/>
          <w:szCs w:val="24"/>
        </w:rPr>
        <w:t xml:space="preserve">and CCMI-2022 from </w:t>
      </w:r>
      <w:hyperlink r:id="rId22" w:history="1">
        <w:r w:rsidR="000A007D" w:rsidRPr="0025799D">
          <w:rPr>
            <w:rStyle w:val="Hipervnculo"/>
            <w:rFonts w:asciiTheme="minorHAnsi" w:eastAsia="Times New Roman" w:hAnsiTheme="minorHAnsi" w:cstheme="minorHAnsi"/>
            <w:sz w:val="24"/>
            <w:szCs w:val="24"/>
          </w:rPr>
          <w:t>https://data.ceda.ac.uk/badc/ccmi/data/post-cmip6/ccmi-2022</w:t>
        </w:r>
      </w:hyperlink>
      <w:r w:rsidR="00E73818" w:rsidRPr="002B7656">
        <w:rPr>
          <w:rFonts w:asciiTheme="minorHAnsi" w:eastAsia="Times New Roman" w:hAnsiTheme="minorHAnsi" w:cstheme="minorHAnsi"/>
          <w:sz w:val="24"/>
          <w:szCs w:val="24"/>
        </w:rPr>
        <w:t>.</w:t>
      </w:r>
      <w:r w:rsidR="00891426" w:rsidRPr="002B7656">
        <w:rPr>
          <w:rFonts w:asciiTheme="minorHAnsi" w:eastAsia="Times New Roman" w:hAnsiTheme="minorHAnsi" w:cstheme="minorHAnsi"/>
          <w:sz w:val="24"/>
          <w:szCs w:val="24"/>
        </w:rPr>
        <w:t xml:space="preserve"> </w:t>
      </w:r>
      <w:r w:rsidR="009B1068" w:rsidRPr="002B7656">
        <w:rPr>
          <w:rFonts w:asciiTheme="minorHAnsi" w:eastAsia="Times New Roman" w:hAnsiTheme="minorHAnsi" w:cstheme="minorHAnsi"/>
          <w:sz w:val="24"/>
          <w:szCs w:val="24"/>
        </w:rPr>
        <w:t>Data from the ERA-5 reanalysis</w:t>
      </w:r>
      <w:r w:rsidR="00FA3899">
        <w:rPr>
          <w:rFonts w:asciiTheme="minorHAnsi" w:eastAsia="Times New Roman" w:hAnsiTheme="minorHAnsi" w:cstheme="minorHAnsi"/>
          <w:sz w:val="24"/>
          <w:szCs w:val="24"/>
        </w:rPr>
        <w:t xml:space="preserve"> </w:t>
      </w:r>
      <w:r w:rsidR="00FA3899">
        <w:rPr>
          <w:rFonts w:asciiTheme="minorHAnsi" w:eastAsia="Times New Roman" w:hAnsiTheme="minorHAnsi" w:cstheme="minorHAnsi"/>
          <w:sz w:val="24"/>
          <w:szCs w:val="24"/>
        </w:rPr>
        <w:fldChar w:fldCharType="begin" w:fldLock="1"/>
      </w:r>
      <w:r w:rsidR="00084D98">
        <w:rPr>
          <w:rFonts w:asciiTheme="minorHAnsi" w:eastAsia="Times New Roman" w:hAnsiTheme="minorHAnsi" w:cstheme="minorHAnsi"/>
          <w:sz w:val="24"/>
          <w:szCs w:val="24"/>
        </w:rPr>
        <w:instrText>ADDIN CSL_CITATION {"citationItems":[{"id":"ITEM-1","itemData":{"DOI":"10.1002/qj.3803","ISSN":"1477870X","abstract":"Within the Copernicus Climate Change Service (C3S), ECMWF is producing the ERA5 reanalysis which, once completed, will embody a detailed record of the global atmosphere, land surface and ocean waves from 1950 onwards. This new reanalysis replaces the ERA-Interim reanalysis (spanning 1979 onwards) which was started in 2006. ERA5 is based on the Integrated Forecasting System (IFS) Cy41r2 which was operational in 2016. ERA5 thus benefits from a decade of developments in model physics, core dynamics and data assimilation. In addition to a significantly enhanced horizontal resolution of 31 km, compared to 80 km for ERA-Interim, ERA5 has hourly output throughout, and an uncertainty estimate from an ensemble (3-hourly at half the horizontal resolution). This paper describes the general set-up of ERA5, as well as a basic evaluation of characteristics and performance, with a focus on the dataset from 1979 onwards which is currently publicly available. Re-forecasts from ERA5 analyses show a gain of up to one day in skill with respect to ERA-Interim. Comparison with radiosonde and PILOT data prior to assimilation shows an improved fit for temperature, wind and humidity in the troposphere, but not the stratosphere. A comparison with independent buoy data shows a much improved fit for ocean wave height. The uncertainty estimate reflects the evolution of the observing systems used in ERA5. The enhanced temporal and spatial resolution allows for a detailed evolution of weather systems. For precipitation, global-mean correlation with monthly-mean GPCP data is increased from 67% to 77%. In general, low-frequency variability is found to be well represented and from 10 hPa downwards general patterns of anomalies in temperature match those from the ERA-Interim, MERRA-2 and JRA-55 reanalyses.","author":[{"dropping-particle":"","family":"Hersbach","given":"Hans","non-dropping-particle":"","parse-names":false,"suffix":""},{"dropping-particle":"","family":"Bell","given":"Bill","non-dropping-particle":"","parse-names":false,"suffix":""},{"dropping-particle":"","family":"Berrisford","given":"Paul","non-dropping-particle":"","parse-names":false,"suffix":""},{"dropping-particle":"","family":"Hirahara","given":"Shoji","non-dropping-particle":"","parse-names":false,"suffix":""},{"dropping-particle":"","family":"Horányi","given":"András","non-dropping-particle":"","parse-names":false,"suffix":""},{"dropping-particle":"","family":"Muñoz-Sabater","given":"Joaquín","non-dropping-particle":"","parse-names":false,"suffix":""},{"dropping-particle":"","family":"Nicolas","given":"Julien","non-dropping-particle":"","parse-names":false,"suffix":""},{"dropping-particle":"","family":"Peubey","given":"Carole","non-dropping-particle":"","parse-names":false,"suffix":""},{"dropping-particle":"","family":"Radu","given":"Raluca","non-dropping-particle":"","parse-names":false,"suffix":""},{"dropping-particle":"","family":"Schepers","given":"Dinand","non-dropping-particle":"","parse-names":false,"suffix":""},{"dropping-particle":"","family":"Simmons","given":"Adrian","non-dropping-particle":"","parse-names":false,"suffix":""},{"dropping-particle":"","family":"Soci","given":"Cornel","non-dropping-particle":"","parse-names":false,"suffix":""},{"dropping-particle":"","family":"Abdalla","given":"Saleh","non-dropping-particle":"","parse-names":false,"suffix":""},{"dropping-particle":"","family":"Abellan","given":"Xavier","non-dropping-particle":"","parse-names":false,"suffix":""},{"dropping-particle":"","family":"Balsamo","given":"Gianpaolo","non-dropping-particle":"","parse-names":false,"suffix":""},{"dropping-particle":"","family":"Bechtold","given":"Peter","non-dropping-particle":"","parse-names":false,"suffix":""},{"dropping-particle":"","family":"Biavati","given":"Gionata","non-dropping-particle":"","parse-names":false,"suffix":""},{"dropping-particle":"","family":"Bidlot","given":"Jean","non-dropping-particle":"","parse-names":false,"suffix":""},{"dropping-particle":"","family":"Bonavita","given":"Massimo","non-dropping-particle":"","parse-names":false,"suffix":""},{"dropping-particle":"","family":"Chiara","given":"Giovanna","non-dropping-particle":"De","parse-names":false,"suffix":""},{"dropping-particle":"","family":"Dahlgren","given":"Per","non-dropping-particle":"","parse-names":false,"suffix":""},{"dropping-particle":"","family":"Dee","given":"Dick","non-dropping-particle":"","parse-names":false,"suffix":""},{"dropping-particle":"","family":"Diamantakis","given":"Michail","non-dropping-particle":"","parse-names":false,"suffix":""},{"dropping-particle":"","family":"Dragani","given":"Rossana","non-dropping-particle":"","parse-names":false,"suffix":""},{"dropping-particle":"","family":"Flemming","given":"Johannes","non-dropping-particle":"","parse-names":false,"suffix":""},{"dropping-particle":"","family":"Forbes","given":"Richard","non-dropping-particle":"","parse-names":false,"suffix":""},{"dropping-particle":"","family":"Fuentes","given":"Manuel","non-dropping-particle":"","parse-names":false,"suffix":""},{"dropping-particle":"","family":"Geer","given":"Alan","non-dropping-particle":"","parse-names":false,"suffix":""},{"dropping-particle":"","family":"Haimberger","given":"Leo","non-dropping-particle":"","parse-names":false,"suffix":""},{"dropping-particle":"","family":"Healy","given":"Sean","non-dropping-particle":"","parse-names":false,"suffix":""},{"dropping-particle":"","family":"Hogan","given":"Robin J.","non-dropping-particle":"","parse-names":false,"suffix":""},{"dropping-particle":"","family":"Hólm","given":"Elías","non-dropping-particle":"","parse-names":false,"suffix":""},{"dropping-particle":"","family":"Janisková","given":"Marta","non-dropping-particle":"","parse-names":false,"suffix":""},{"dropping-particle":"","family":"Keeley","given":"Sarah","non-dropping-particle":"","parse-names":false,"suffix":""},{"dropping-particle":"","family":"Laloyaux","given":"Patrick","non-dropping-particle":"","parse-names":false,"suffix":""},{"dropping-particle":"","family":"Lopez","given":"Philippe","non-dropping-particle":"","parse-names":false,"suffix":""},{"dropping-particle":"","family":"Lupu","given":"Cristina","non-dropping-particle":"","parse-names":false,"suffix":""},{"dropping-particle":"","family":"Radnoti","given":"Gabor","non-dropping-particle":"","parse-names":false,"suffix":""},{"dropping-particle":"","family":"Rosnay","given":"Patricia","non-dropping-particle":"de","parse-names":false,"suffix":""},{"dropping-particle":"","family":"Rozum","given":"Iryna","non-dropping-particle":"","parse-names":false,"suffix":""},{"dropping-particle":"","family":"Vamborg","given":"Freja","non-dropping-particle":"","parse-names":false,"suffix":""},{"dropping-particle":"","family":"Villaume","given":"Sebastien","non-dropping-particle":"","parse-names":false,"suffix":""},{"dropping-particle":"","family":"Thépaut","given":"Jean Noël","non-dropping-particle":"","parse-names":false,"suffix":""}],"container-title":"Quarterly Journal of the Royal Meteorological Society","id":"ITEM-1","issue":"730","issued":{"date-parts":[["2020"]]},"page":"1999-2049","title":"The ERA5 global reanalysis","type":"article-journal","volume":"146"},"uris":["http://www.mendeley.com/documents/?uuid=939dd9cb-b213-40bb-be61-843d189cd4bf"]}],"mendeley":{"formattedCitation":"(Hersbach et al., 2020)","plainTextFormattedCitation":"(Hersbach et al., 2020)","previouslyFormattedCitation":"(Hersbach et al., 2020)"},"properties":{"noteIndex":0},"schema":"https://github.com/citation-style-language/schema/raw/master/csl-citation.json"}</w:instrText>
      </w:r>
      <w:r w:rsidR="00FA3899">
        <w:rPr>
          <w:rFonts w:asciiTheme="minorHAnsi" w:eastAsia="Times New Roman" w:hAnsiTheme="minorHAnsi" w:cstheme="minorHAnsi"/>
          <w:sz w:val="24"/>
          <w:szCs w:val="24"/>
        </w:rPr>
        <w:fldChar w:fldCharType="separate"/>
      </w:r>
      <w:r w:rsidR="00FA3899" w:rsidRPr="00FA3899">
        <w:rPr>
          <w:rFonts w:asciiTheme="minorHAnsi" w:eastAsia="Times New Roman" w:hAnsiTheme="minorHAnsi" w:cstheme="minorHAnsi"/>
          <w:noProof/>
          <w:sz w:val="24"/>
          <w:szCs w:val="24"/>
        </w:rPr>
        <w:t>(Hersbach et al., 2020)</w:t>
      </w:r>
      <w:r w:rsidR="00FA3899">
        <w:rPr>
          <w:rFonts w:asciiTheme="minorHAnsi" w:eastAsia="Times New Roman" w:hAnsiTheme="minorHAnsi" w:cstheme="minorHAnsi"/>
          <w:sz w:val="24"/>
          <w:szCs w:val="24"/>
        </w:rPr>
        <w:fldChar w:fldCharType="end"/>
      </w:r>
      <w:r w:rsidR="009B1068" w:rsidRPr="002B7656">
        <w:rPr>
          <w:rFonts w:asciiTheme="minorHAnsi" w:eastAsia="Times New Roman" w:hAnsiTheme="minorHAnsi" w:cstheme="minorHAnsi"/>
          <w:sz w:val="24"/>
          <w:szCs w:val="24"/>
        </w:rPr>
        <w:t xml:space="preserve"> are available </w:t>
      </w:r>
      <w:r w:rsidR="00D462C3" w:rsidRPr="002B7656">
        <w:rPr>
          <w:rFonts w:asciiTheme="minorHAnsi" w:eastAsia="Times New Roman" w:hAnsiTheme="minorHAnsi" w:cstheme="minorHAnsi"/>
          <w:sz w:val="24"/>
          <w:szCs w:val="24"/>
        </w:rPr>
        <w:t>in the Climate Data Store</w:t>
      </w:r>
      <w:r w:rsidR="009426AF">
        <w:rPr>
          <w:rFonts w:asciiTheme="minorHAnsi" w:eastAsia="Times New Roman" w:hAnsiTheme="minorHAnsi" w:cstheme="minorHAnsi"/>
          <w:sz w:val="24"/>
          <w:szCs w:val="24"/>
        </w:rPr>
        <w:t xml:space="preserve"> </w:t>
      </w:r>
      <w:r w:rsidR="009426AF" w:rsidRPr="009426AF">
        <w:rPr>
          <w:rFonts w:asciiTheme="minorHAnsi" w:eastAsia="Times New Roman" w:hAnsiTheme="minorHAnsi" w:cstheme="minorHAnsi"/>
          <w:sz w:val="24"/>
          <w:szCs w:val="24"/>
        </w:rPr>
        <w:t>(Copernicus Climate Change Service, Climate Data Store, 202</w:t>
      </w:r>
      <w:r w:rsidR="00010E38">
        <w:rPr>
          <w:rFonts w:asciiTheme="minorHAnsi" w:eastAsia="Times New Roman" w:hAnsiTheme="minorHAnsi" w:cstheme="minorHAnsi"/>
          <w:sz w:val="24"/>
          <w:szCs w:val="24"/>
        </w:rPr>
        <w:t>3</w:t>
      </w:r>
      <w:r w:rsidR="009426AF" w:rsidRPr="009426AF">
        <w:rPr>
          <w:rFonts w:asciiTheme="minorHAnsi" w:eastAsia="Times New Roman" w:hAnsiTheme="minorHAnsi" w:cstheme="minorHAnsi"/>
          <w:sz w:val="24"/>
          <w:szCs w:val="24"/>
        </w:rPr>
        <w:t>)</w:t>
      </w:r>
      <w:r w:rsidR="00EF2B87">
        <w:rPr>
          <w:rFonts w:asciiTheme="minorHAnsi" w:eastAsia="Times New Roman" w:hAnsiTheme="minorHAnsi" w:cstheme="minorHAnsi"/>
          <w:sz w:val="24"/>
          <w:szCs w:val="24"/>
        </w:rPr>
        <w:t xml:space="preserve"> at the following link: </w:t>
      </w:r>
      <w:hyperlink r:id="rId23" w:history="1">
        <w:r w:rsidR="00DE090E" w:rsidRPr="00665F2B">
          <w:rPr>
            <w:rStyle w:val="Hipervnculo"/>
            <w:rFonts w:asciiTheme="minorHAnsi" w:eastAsia="Times New Roman" w:hAnsiTheme="minorHAnsi" w:cstheme="minorHAnsi"/>
            <w:sz w:val="24"/>
            <w:szCs w:val="24"/>
          </w:rPr>
          <w:t>https://cds.climate.copernicus.eu/datasets/reanalysis-era5-pressure-levels?tab=download</w:t>
        </w:r>
      </w:hyperlink>
      <w:r w:rsidR="000A007D">
        <w:rPr>
          <w:rFonts w:asciiTheme="minorHAnsi" w:eastAsia="Times New Roman" w:hAnsiTheme="minorHAnsi" w:cstheme="minorHAnsi"/>
          <w:sz w:val="24"/>
          <w:szCs w:val="24"/>
        </w:rPr>
        <w:t>.</w:t>
      </w:r>
      <w:r w:rsidR="00DE090E">
        <w:rPr>
          <w:rFonts w:asciiTheme="minorHAnsi" w:eastAsia="Times New Roman" w:hAnsiTheme="minorHAnsi" w:cstheme="minorHAnsi"/>
          <w:sz w:val="24"/>
          <w:szCs w:val="24"/>
        </w:rPr>
        <w:t xml:space="preserve"> D</w:t>
      </w:r>
      <w:r w:rsidR="005129BF" w:rsidRPr="005129BF">
        <w:rPr>
          <w:rFonts w:asciiTheme="minorHAnsi" w:eastAsia="Times New Roman" w:hAnsiTheme="minorHAnsi" w:cstheme="minorHAnsi"/>
          <w:sz w:val="24"/>
          <w:szCs w:val="24"/>
        </w:rPr>
        <w:t xml:space="preserve">ata of the TEM </w:t>
      </w:r>
      <w:r w:rsidR="009C1743">
        <w:rPr>
          <w:rFonts w:asciiTheme="minorHAnsi" w:eastAsia="Times New Roman" w:hAnsiTheme="minorHAnsi" w:cstheme="minorHAnsi"/>
          <w:sz w:val="24"/>
          <w:szCs w:val="24"/>
        </w:rPr>
        <w:t xml:space="preserve">residual circulation </w:t>
      </w:r>
      <w:r w:rsidR="001B084D">
        <w:rPr>
          <w:rFonts w:asciiTheme="minorHAnsi" w:eastAsia="Times New Roman" w:hAnsiTheme="minorHAnsi" w:cstheme="minorHAnsi"/>
          <w:sz w:val="24"/>
          <w:szCs w:val="24"/>
        </w:rPr>
        <w:t>f</w:t>
      </w:r>
      <w:r w:rsidR="005129BF" w:rsidRPr="005129BF">
        <w:rPr>
          <w:rFonts w:asciiTheme="minorHAnsi" w:eastAsia="Times New Roman" w:hAnsiTheme="minorHAnsi" w:cstheme="minorHAnsi"/>
          <w:sz w:val="24"/>
          <w:szCs w:val="24"/>
        </w:rPr>
        <w:t xml:space="preserve">or </w:t>
      </w:r>
      <w:r w:rsidR="009C1743">
        <w:rPr>
          <w:rFonts w:asciiTheme="minorHAnsi" w:eastAsia="Times New Roman" w:hAnsiTheme="minorHAnsi" w:cstheme="minorHAnsi"/>
          <w:sz w:val="24"/>
          <w:szCs w:val="24"/>
        </w:rPr>
        <w:t>ERA-5</w:t>
      </w:r>
      <w:r w:rsidR="005129BF" w:rsidRPr="005129BF">
        <w:rPr>
          <w:rFonts w:asciiTheme="minorHAnsi" w:eastAsia="Times New Roman" w:hAnsiTheme="minorHAnsi" w:cstheme="minorHAnsi"/>
          <w:sz w:val="24"/>
          <w:szCs w:val="24"/>
        </w:rPr>
        <w:t xml:space="preserve"> are available at </w:t>
      </w:r>
      <w:hyperlink r:id="rId24" w:history="1">
        <w:r w:rsidR="009C1743" w:rsidRPr="0046144F">
          <w:rPr>
            <w:rStyle w:val="Hipervnculo"/>
            <w:rFonts w:asciiTheme="minorHAnsi" w:eastAsia="Times New Roman" w:hAnsiTheme="minorHAnsi" w:cstheme="minorHAnsi"/>
            <w:sz w:val="24"/>
            <w:szCs w:val="24"/>
          </w:rPr>
          <w:t>https://doi.org/10.5281/zenodo.7081436</w:t>
        </w:r>
      </w:hyperlink>
      <w:r w:rsidR="001B084D">
        <w:rPr>
          <w:rFonts w:asciiTheme="minorHAnsi" w:eastAsia="Times New Roman" w:hAnsiTheme="minorHAnsi" w:cstheme="minorHAnsi"/>
          <w:sz w:val="24"/>
          <w:szCs w:val="24"/>
        </w:rPr>
        <w:t xml:space="preserve"> </w:t>
      </w:r>
      <w:r w:rsidR="001B084D" w:rsidRPr="001B084D">
        <w:rPr>
          <w:rFonts w:asciiTheme="minorHAnsi" w:eastAsia="Times New Roman" w:hAnsiTheme="minorHAnsi" w:cstheme="minorHAnsi"/>
          <w:sz w:val="24"/>
          <w:szCs w:val="24"/>
        </w:rPr>
        <w:fldChar w:fldCharType="begin" w:fldLock="1"/>
      </w:r>
      <w:r w:rsidR="001B084D" w:rsidRPr="001B084D">
        <w:rPr>
          <w:rFonts w:asciiTheme="minorHAnsi" w:eastAsia="Times New Roman" w:hAnsiTheme="minorHAnsi" w:cstheme="minorHAnsi"/>
          <w:sz w:val="24"/>
          <w:szCs w:val="24"/>
        </w:rPr>
        <w:instrText>ADDIN CSL_CITATION {"citationItems":[{"id":"ITEM-1","itemData":{"DOI":"10.5281/zenodo.7081436","author":[{"dropping-particle":"","family":"Serva","given":"Federico","non-dropping-particle":"","parse-names":false,"suffix":""}],"id":"ITEM-1","issued":{"date-parts":[["2022"]]},"publisher":"Zenodo","title":"Transformed Eulerian mean data from the ERA5 reanalysis (daily means)","type":"article"},"uris":["http://www.mendeley.com/documents/?uuid=3fcf03c4-ab90-4417-8c36-85426be8c484"]}],"mendeley":{"formattedCitation":"(Serva, 2022)","plainTextFormattedCitation":"(Serva, 2022)","previouslyFormattedCitation":"(Serva, 2022)"},"properties":{"noteIndex":0},"schema":"https://github.com/citation-style-language/schema/raw/master/csl-citation.json"}</w:instrText>
      </w:r>
      <w:r w:rsidR="001B084D" w:rsidRPr="001B084D">
        <w:rPr>
          <w:rFonts w:asciiTheme="minorHAnsi" w:eastAsia="Times New Roman" w:hAnsiTheme="minorHAnsi" w:cstheme="minorHAnsi"/>
          <w:sz w:val="24"/>
          <w:szCs w:val="24"/>
        </w:rPr>
        <w:fldChar w:fldCharType="separate"/>
      </w:r>
      <w:r w:rsidR="001B084D" w:rsidRPr="001B084D">
        <w:rPr>
          <w:rFonts w:asciiTheme="minorHAnsi" w:eastAsia="Times New Roman" w:hAnsiTheme="minorHAnsi" w:cstheme="minorHAnsi"/>
          <w:sz w:val="24"/>
          <w:szCs w:val="24"/>
        </w:rPr>
        <w:t>(Serva, 2022)</w:t>
      </w:r>
      <w:r w:rsidR="001B084D" w:rsidRPr="001B084D">
        <w:rPr>
          <w:rFonts w:asciiTheme="minorHAnsi" w:eastAsia="Times New Roman" w:hAnsiTheme="minorHAnsi" w:cstheme="minorHAnsi"/>
          <w:sz w:val="24"/>
          <w:szCs w:val="24"/>
        </w:rPr>
        <w:fldChar w:fldCharType="end"/>
      </w:r>
      <w:r w:rsidR="005129BF" w:rsidRPr="005129BF">
        <w:rPr>
          <w:rFonts w:asciiTheme="minorHAnsi" w:eastAsia="Times New Roman" w:hAnsiTheme="minorHAnsi" w:cstheme="minorHAnsi"/>
          <w:sz w:val="24"/>
          <w:szCs w:val="24"/>
        </w:rPr>
        <w:t>.</w:t>
      </w:r>
      <w:r w:rsidR="000A007D">
        <w:rPr>
          <w:rFonts w:asciiTheme="minorHAnsi" w:eastAsia="Times New Roman" w:hAnsiTheme="minorHAnsi" w:cstheme="minorHAnsi"/>
          <w:sz w:val="24"/>
          <w:szCs w:val="24"/>
        </w:rPr>
        <w:t xml:space="preserve"> </w:t>
      </w:r>
    </w:p>
    <w:p w14:paraId="1DBD766B" w14:textId="77777777" w:rsidR="0041218F" w:rsidRDefault="0041218F" w:rsidP="004D2929">
      <w:pPr>
        <w:shd w:val="clear" w:color="auto" w:fill="FFFFFF"/>
        <w:jc w:val="both"/>
        <w:rPr>
          <w:rFonts w:asciiTheme="minorHAnsi" w:eastAsia="Times New Roman" w:hAnsiTheme="minorHAnsi" w:cstheme="minorHAnsi"/>
          <w:sz w:val="24"/>
          <w:szCs w:val="24"/>
        </w:rPr>
      </w:pPr>
    </w:p>
    <w:p w14:paraId="780713AE" w14:textId="77777777" w:rsidR="00814700" w:rsidRPr="007214E2" w:rsidRDefault="006D0001">
      <w:pPr>
        <w:pStyle w:val="Heading-Secondary"/>
        <w:ind w:left="0"/>
        <w:rPr>
          <w:b/>
          <w:bCs w:val="0"/>
          <w:lang w:val="es-ES"/>
        </w:rPr>
      </w:pPr>
      <w:proofErr w:type="spellStart"/>
      <w:r w:rsidRPr="007214E2">
        <w:rPr>
          <w:b/>
          <w:bCs w:val="0"/>
          <w:lang w:val="es-ES"/>
        </w:rPr>
        <w:t>References</w:t>
      </w:r>
      <w:proofErr w:type="spellEnd"/>
    </w:p>
    <w:p w14:paraId="6D4EFD4A" w14:textId="16AA1244" w:rsidR="00F808ED" w:rsidRPr="00F808ED" w:rsidRDefault="006D0001" w:rsidP="00F808ED">
      <w:pPr>
        <w:widowControl w:val="0"/>
        <w:autoSpaceDE w:val="0"/>
        <w:autoSpaceDN w:val="0"/>
        <w:adjustRightInd w:val="0"/>
        <w:spacing w:before="120"/>
        <w:ind w:left="480" w:hanging="480"/>
        <w:rPr>
          <w:rFonts w:ascii="Calibri" w:hAnsi="Calibri" w:cs="Calibri"/>
          <w:noProof/>
          <w:sz w:val="24"/>
        </w:rPr>
      </w:pPr>
      <w:r>
        <w:fldChar w:fldCharType="begin" w:fldLock="1"/>
      </w:r>
      <w:r w:rsidRPr="00442190">
        <w:rPr>
          <w:lang w:val="es-ES"/>
        </w:rPr>
        <w:instrText>ADDIN Mendeley Bibliography CSL_BIBLIOGRAPHY</w:instrText>
      </w:r>
      <w:r>
        <w:fldChar w:fldCharType="separate"/>
      </w:r>
      <w:r w:rsidR="00F808ED" w:rsidRPr="00587198">
        <w:rPr>
          <w:rFonts w:ascii="Calibri" w:hAnsi="Calibri" w:cs="Calibri"/>
          <w:noProof/>
          <w:sz w:val="24"/>
          <w:lang w:val="es-ES"/>
        </w:rPr>
        <w:t xml:space="preserve">Abalos, M., Randel, W. J., Kinnison, D. E., &amp; Serrano, E. (2013). </w:t>
      </w:r>
      <w:r w:rsidR="00F808ED" w:rsidRPr="00F808ED">
        <w:rPr>
          <w:rFonts w:ascii="Calibri" w:hAnsi="Calibri" w:cs="Calibri"/>
          <w:noProof/>
          <w:sz w:val="24"/>
        </w:rPr>
        <w:t xml:space="preserve">Quantifying tracer transport in the tropical lower stratosphere using WACCM. </w:t>
      </w:r>
      <w:r w:rsidR="00F808ED" w:rsidRPr="00F808ED">
        <w:rPr>
          <w:rFonts w:ascii="Calibri" w:hAnsi="Calibri" w:cs="Calibri"/>
          <w:i/>
          <w:iCs/>
          <w:noProof/>
          <w:sz w:val="24"/>
        </w:rPr>
        <w:t>Atmospheric Chemistry and Physics</w:t>
      </w:r>
      <w:r w:rsidR="00F808ED" w:rsidRPr="00F808ED">
        <w:rPr>
          <w:rFonts w:ascii="Calibri" w:hAnsi="Calibri" w:cs="Calibri"/>
          <w:noProof/>
          <w:sz w:val="24"/>
        </w:rPr>
        <w:t xml:space="preserve">, </w:t>
      </w:r>
      <w:r w:rsidR="00F808ED" w:rsidRPr="00F808ED">
        <w:rPr>
          <w:rFonts w:ascii="Calibri" w:hAnsi="Calibri" w:cs="Calibri"/>
          <w:i/>
          <w:iCs/>
          <w:noProof/>
          <w:sz w:val="24"/>
        </w:rPr>
        <w:t>13</w:t>
      </w:r>
      <w:r w:rsidR="00F808ED" w:rsidRPr="00F808ED">
        <w:rPr>
          <w:rFonts w:ascii="Calibri" w:hAnsi="Calibri" w:cs="Calibri"/>
          <w:noProof/>
          <w:sz w:val="24"/>
        </w:rPr>
        <w:t xml:space="preserve">(21), </w:t>
      </w:r>
      <w:r w:rsidR="00F808ED" w:rsidRPr="00F808ED">
        <w:rPr>
          <w:rFonts w:ascii="Calibri" w:hAnsi="Calibri" w:cs="Calibri"/>
          <w:noProof/>
          <w:sz w:val="24"/>
        </w:rPr>
        <w:lastRenderedPageBreak/>
        <w:t>10591–10607. https://doi.org/10.5194/acp-13-10591-2013</w:t>
      </w:r>
    </w:p>
    <w:p w14:paraId="0A57E4F7" w14:textId="77777777" w:rsidR="00F808ED" w:rsidRPr="00F808ED" w:rsidRDefault="00F808ED" w:rsidP="00F808ED">
      <w:pPr>
        <w:widowControl w:val="0"/>
        <w:autoSpaceDE w:val="0"/>
        <w:autoSpaceDN w:val="0"/>
        <w:adjustRightInd w:val="0"/>
        <w:spacing w:before="120"/>
        <w:ind w:left="480" w:hanging="480"/>
        <w:rPr>
          <w:rFonts w:ascii="Calibri" w:hAnsi="Calibri" w:cs="Calibri"/>
          <w:noProof/>
          <w:sz w:val="24"/>
        </w:rPr>
      </w:pPr>
      <w:r w:rsidRPr="00F808ED">
        <w:rPr>
          <w:rFonts w:ascii="Calibri" w:hAnsi="Calibri" w:cs="Calibri"/>
          <w:noProof/>
          <w:sz w:val="24"/>
        </w:rPr>
        <w:t xml:space="preserve">Abalos, M., Calvo, N., Benito-Barca, S., Garny, H., Hardiman, S. C., Lin, P., et al. (2021). The Brewer-Dobson circulation in CMIP6. </w:t>
      </w:r>
      <w:r w:rsidRPr="00F808ED">
        <w:rPr>
          <w:rFonts w:ascii="Calibri" w:hAnsi="Calibri" w:cs="Calibri"/>
          <w:i/>
          <w:iCs/>
          <w:noProof/>
          <w:sz w:val="24"/>
        </w:rPr>
        <w:t>Atmospheric Chemistry and Physics</w:t>
      </w:r>
      <w:r w:rsidRPr="00F808ED">
        <w:rPr>
          <w:rFonts w:ascii="Calibri" w:hAnsi="Calibri" w:cs="Calibri"/>
          <w:noProof/>
          <w:sz w:val="24"/>
        </w:rPr>
        <w:t xml:space="preserve">, </w:t>
      </w:r>
      <w:r w:rsidRPr="00F808ED">
        <w:rPr>
          <w:rFonts w:ascii="Calibri" w:hAnsi="Calibri" w:cs="Calibri"/>
          <w:i/>
          <w:iCs/>
          <w:noProof/>
          <w:sz w:val="24"/>
        </w:rPr>
        <w:t>21</w:t>
      </w:r>
      <w:r w:rsidRPr="00F808ED">
        <w:rPr>
          <w:rFonts w:ascii="Calibri" w:hAnsi="Calibri" w:cs="Calibri"/>
          <w:noProof/>
          <w:sz w:val="24"/>
        </w:rPr>
        <w:t>(17), 13571–13591. https://doi.org/10.5194/acp-21-13571-2021</w:t>
      </w:r>
    </w:p>
    <w:p w14:paraId="68F78C8E" w14:textId="77777777" w:rsidR="00F808ED" w:rsidRPr="00F808ED" w:rsidRDefault="00F808ED" w:rsidP="00F808ED">
      <w:pPr>
        <w:widowControl w:val="0"/>
        <w:autoSpaceDE w:val="0"/>
        <w:autoSpaceDN w:val="0"/>
        <w:adjustRightInd w:val="0"/>
        <w:spacing w:before="120"/>
        <w:ind w:left="480" w:hanging="480"/>
        <w:rPr>
          <w:rFonts w:ascii="Calibri" w:hAnsi="Calibri" w:cs="Calibri"/>
          <w:noProof/>
          <w:sz w:val="24"/>
        </w:rPr>
      </w:pPr>
      <w:r w:rsidRPr="00F808ED">
        <w:rPr>
          <w:rFonts w:ascii="Calibri" w:hAnsi="Calibri" w:cs="Calibri"/>
          <w:noProof/>
          <w:sz w:val="24"/>
        </w:rPr>
        <w:t xml:space="preserve">Akiyoshi, H., Kadowaki, M., Yamashita, Y., &amp; Nagatomo, T. (2023). Dependence of column ozone on future ODSs and GHGs in the variability of 500-ensemble members. </w:t>
      </w:r>
      <w:r w:rsidRPr="00F808ED">
        <w:rPr>
          <w:rFonts w:ascii="Calibri" w:hAnsi="Calibri" w:cs="Calibri"/>
          <w:i/>
          <w:iCs/>
          <w:noProof/>
          <w:sz w:val="24"/>
        </w:rPr>
        <w:t>Scientific Reports</w:t>
      </w:r>
      <w:r w:rsidRPr="00F808ED">
        <w:rPr>
          <w:rFonts w:ascii="Calibri" w:hAnsi="Calibri" w:cs="Calibri"/>
          <w:noProof/>
          <w:sz w:val="24"/>
        </w:rPr>
        <w:t xml:space="preserve">, </w:t>
      </w:r>
      <w:r w:rsidRPr="00F808ED">
        <w:rPr>
          <w:rFonts w:ascii="Calibri" w:hAnsi="Calibri" w:cs="Calibri"/>
          <w:i/>
          <w:iCs/>
          <w:noProof/>
          <w:sz w:val="24"/>
        </w:rPr>
        <w:t>13</w:t>
      </w:r>
      <w:r w:rsidRPr="00F808ED">
        <w:rPr>
          <w:rFonts w:ascii="Calibri" w:hAnsi="Calibri" w:cs="Calibri"/>
          <w:noProof/>
          <w:sz w:val="24"/>
        </w:rPr>
        <w:t>(1), 1–12. https://doi.org/10.1038/s41598-023-27635-y</w:t>
      </w:r>
    </w:p>
    <w:p w14:paraId="7BD7FF98" w14:textId="33AF34D2" w:rsidR="00F808ED" w:rsidRPr="00F808ED" w:rsidRDefault="00F808ED" w:rsidP="00F808ED">
      <w:pPr>
        <w:widowControl w:val="0"/>
        <w:autoSpaceDE w:val="0"/>
        <w:autoSpaceDN w:val="0"/>
        <w:adjustRightInd w:val="0"/>
        <w:spacing w:before="120"/>
        <w:ind w:left="480" w:hanging="480"/>
        <w:rPr>
          <w:rFonts w:ascii="Calibri" w:hAnsi="Calibri" w:cs="Calibri"/>
          <w:noProof/>
          <w:sz w:val="24"/>
        </w:rPr>
      </w:pPr>
      <w:r w:rsidRPr="00F808ED">
        <w:rPr>
          <w:rFonts w:ascii="Calibri" w:hAnsi="Calibri" w:cs="Calibri"/>
          <w:noProof/>
          <w:sz w:val="24"/>
        </w:rPr>
        <w:t xml:space="preserve">Alsing, J., &amp; Ball, W. (2019). BASIC Composite Ozone Time-Series Data. </w:t>
      </w:r>
      <w:r w:rsidR="007232B8">
        <w:rPr>
          <w:rFonts w:ascii="Calibri" w:hAnsi="Calibri" w:cs="Calibri"/>
          <w:noProof/>
          <w:sz w:val="24"/>
        </w:rPr>
        <w:t xml:space="preserve">[Dataset]. </w:t>
      </w:r>
      <w:r w:rsidRPr="00F808ED">
        <w:rPr>
          <w:rFonts w:ascii="Calibri" w:hAnsi="Calibri" w:cs="Calibri"/>
          <w:noProof/>
          <w:sz w:val="24"/>
        </w:rPr>
        <w:t>Mendeley Data, V3. https://doi.org/10.17632/2mgx2xzzpk.3</w:t>
      </w:r>
    </w:p>
    <w:p w14:paraId="28756C85" w14:textId="77777777" w:rsidR="00F808ED" w:rsidRPr="00F808ED" w:rsidRDefault="00F808ED" w:rsidP="00F808ED">
      <w:pPr>
        <w:widowControl w:val="0"/>
        <w:autoSpaceDE w:val="0"/>
        <w:autoSpaceDN w:val="0"/>
        <w:adjustRightInd w:val="0"/>
        <w:spacing w:before="120"/>
        <w:ind w:left="480" w:hanging="480"/>
        <w:rPr>
          <w:rFonts w:ascii="Calibri" w:hAnsi="Calibri" w:cs="Calibri"/>
          <w:noProof/>
          <w:sz w:val="24"/>
        </w:rPr>
      </w:pPr>
      <w:r w:rsidRPr="00F808ED">
        <w:rPr>
          <w:rFonts w:ascii="Calibri" w:hAnsi="Calibri" w:cs="Calibri"/>
          <w:noProof/>
          <w:sz w:val="24"/>
        </w:rPr>
        <w:t xml:space="preserve">Archibald, A. T., M O’Connor, F., Luke Abraham, N., Archer-Nicholls, S., P Chipperfield, M., Dalvi, M., et al. (2020). Description and evaluation of the UKCA stratosphere-troposphere chemistry scheme (StratTrop vn 1.0) implemented in UKESM1. </w:t>
      </w:r>
      <w:r w:rsidRPr="00F808ED">
        <w:rPr>
          <w:rFonts w:ascii="Calibri" w:hAnsi="Calibri" w:cs="Calibri"/>
          <w:i/>
          <w:iCs/>
          <w:noProof/>
          <w:sz w:val="24"/>
        </w:rPr>
        <w:t>Geoscientific Model Development</w:t>
      </w:r>
      <w:r w:rsidRPr="00F808ED">
        <w:rPr>
          <w:rFonts w:ascii="Calibri" w:hAnsi="Calibri" w:cs="Calibri"/>
          <w:noProof/>
          <w:sz w:val="24"/>
        </w:rPr>
        <w:t xml:space="preserve">, </w:t>
      </w:r>
      <w:r w:rsidRPr="00F808ED">
        <w:rPr>
          <w:rFonts w:ascii="Calibri" w:hAnsi="Calibri" w:cs="Calibri"/>
          <w:i/>
          <w:iCs/>
          <w:noProof/>
          <w:sz w:val="24"/>
        </w:rPr>
        <w:t>13</w:t>
      </w:r>
      <w:r w:rsidRPr="00F808ED">
        <w:rPr>
          <w:rFonts w:ascii="Calibri" w:hAnsi="Calibri" w:cs="Calibri"/>
          <w:noProof/>
          <w:sz w:val="24"/>
        </w:rPr>
        <w:t>(3), 1223–1266. https://doi.org/10.5194/gmd-13-1223-2020</w:t>
      </w:r>
    </w:p>
    <w:p w14:paraId="3BD0FF5C" w14:textId="77777777" w:rsidR="00F808ED" w:rsidRPr="00F808ED" w:rsidRDefault="00F808ED" w:rsidP="00F808ED">
      <w:pPr>
        <w:widowControl w:val="0"/>
        <w:autoSpaceDE w:val="0"/>
        <w:autoSpaceDN w:val="0"/>
        <w:adjustRightInd w:val="0"/>
        <w:spacing w:before="120"/>
        <w:ind w:left="480" w:hanging="480"/>
        <w:rPr>
          <w:rFonts w:ascii="Calibri" w:hAnsi="Calibri" w:cs="Calibri"/>
          <w:noProof/>
          <w:sz w:val="24"/>
        </w:rPr>
      </w:pPr>
      <w:r w:rsidRPr="00F808ED">
        <w:rPr>
          <w:rFonts w:ascii="Calibri" w:hAnsi="Calibri" w:cs="Calibri"/>
          <w:noProof/>
          <w:sz w:val="24"/>
        </w:rPr>
        <w:t xml:space="preserve">Ball, W. T., Alsing, J., Mortlock, D. J., Rozanov, E. V., Tummon, F., &amp; Haigh, J. D. (2017). Reconciling differences in stratospheric ozone composites. </w:t>
      </w:r>
      <w:r w:rsidRPr="00F808ED">
        <w:rPr>
          <w:rFonts w:ascii="Calibri" w:hAnsi="Calibri" w:cs="Calibri"/>
          <w:i/>
          <w:iCs/>
          <w:noProof/>
          <w:sz w:val="24"/>
        </w:rPr>
        <w:t>Atmospheric Chemistry and Physics</w:t>
      </w:r>
      <w:r w:rsidRPr="00F808ED">
        <w:rPr>
          <w:rFonts w:ascii="Calibri" w:hAnsi="Calibri" w:cs="Calibri"/>
          <w:noProof/>
          <w:sz w:val="24"/>
        </w:rPr>
        <w:t xml:space="preserve">, </w:t>
      </w:r>
      <w:r w:rsidRPr="00F808ED">
        <w:rPr>
          <w:rFonts w:ascii="Calibri" w:hAnsi="Calibri" w:cs="Calibri"/>
          <w:i/>
          <w:iCs/>
          <w:noProof/>
          <w:sz w:val="24"/>
        </w:rPr>
        <w:t>17</w:t>
      </w:r>
      <w:r w:rsidRPr="00F808ED">
        <w:rPr>
          <w:rFonts w:ascii="Calibri" w:hAnsi="Calibri" w:cs="Calibri"/>
          <w:noProof/>
          <w:sz w:val="24"/>
        </w:rPr>
        <w:t>(20), 12269–12302. https://doi.org/10.5194/acp-17-12269-2017</w:t>
      </w:r>
    </w:p>
    <w:p w14:paraId="5BE14C7B" w14:textId="77777777" w:rsidR="00F808ED" w:rsidRPr="00F808ED" w:rsidRDefault="00F808ED" w:rsidP="00F808ED">
      <w:pPr>
        <w:widowControl w:val="0"/>
        <w:autoSpaceDE w:val="0"/>
        <w:autoSpaceDN w:val="0"/>
        <w:adjustRightInd w:val="0"/>
        <w:spacing w:before="120"/>
        <w:ind w:left="480" w:hanging="480"/>
        <w:rPr>
          <w:rFonts w:ascii="Calibri" w:hAnsi="Calibri" w:cs="Calibri"/>
          <w:noProof/>
          <w:sz w:val="24"/>
        </w:rPr>
      </w:pPr>
      <w:r w:rsidRPr="00F808ED">
        <w:rPr>
          <w:rFonts w:ascii="Calibri" w:hAnsi="Calibri" w:cs="Calibri"/>
          <w:noProof/>
          <w:sz w:val="24"/>
        </w:rPr>
        <w:t xml:space="preserve">Ball, W. T., Alsing, J., Mortlock, D. J., Staehelin, J., Haigh, J. D., Peter, T., et al. (2018). Evidence for a continuous decline in lower stratospheric ozone offsetting ozone layer recovery. </w:t>
      </w:r>
      <w:r w:rsidRPr="00F808ED">
        <w:rPr>
          <w:rFonts w:ascii="Calibri" w:hAnsi="Calibri" w:cs="Calibri"/>
          <w:i/>
          <w:iCs/>
          <w:noProof/>
          <w:sz w:val="24"/>
        </w:rPr>
        <w:t>Atmospheric Chemistry and Physics</w:t>
      </w:r>
      <w:r w:rsidRPr="00F808ED">
        <w:rPr>
          <w:rFonts w:ascii="Calibri" w:hAnsi="Calibri" w:cs="Calibri"/>
          <w:noProof/>
          <w:sz w:val="24"/>
        </w:rPr>
        <w:t xml:space="preserve">, </w:t>
      </w:r>
      <w:r w:rsidRPr="00F808ED">
        <w:rPr>
          <w:rFonts w:ascii="Calibri" w:hAnsi="Calibri" w:cs="Calibri"/>
          <w:i/>
          <w:iCs/>
          <w:noProof/>
          <w:sz w:val="24"/>
        </w:rPr>
        <w:t>18</w:t>
      </w:r>
      <w:r w:rsidRPr="00F808ED">
        <w:rPr>
          <w:rFonts w:ascii="Calibri" w:hAnsi="Calibri" w:cs="Calibri"/>
          <w:noProof/>
          <w:sz w:val="24"/>
        </w:rPr>
        <w:t>(2), 1379–1394. https://doi.org/10.5194/acp-18-1379-2018</w:t>
      </w:r>
    </w:p>
    <w:p w14:paraId="6D3FDF46" w14:textId="77777777" w:rsidR="00F808ED" w:rsidRPr="00F808ED" w:rsidRDefault="00F808ED" w:rsidP="00F808ED">
      <w:pPr>
        <w:widowControl w:val="0"/>
        <w:autoSpaceDE w:val="0"/>
        <w:autoSpaceDN w:val="0"/>
        <w:adjustRightInd w:val="0"/>
        <w:spacing w:before="120"/>
        <w:ind w:left="480" w:hanging="480"/>
        <w:rPr>
          <w:rFonts w:ascii="Calibri" w:hAnsi="Calibri" w:cs="Calibri"/>
          <w:noProof/>
          <w:sz w:val="24"/>
        </w:rPr>
      </w:pPr>
      <w:r w:rsidRPr="00F808ED">
        <w:rPr>
          <w:rFonts w:ascii="Calibri" w:hAnsi="Calibri" w:cs="Calibri"/>
          <w:noProof/>
          <w:sz w:val="24"/>
        </w:rPr>
        <w:t xml:space="preserve">Ball, W. T., Alsing, J., Staehelin, J., Davis, S. M., Froidevaux, L., &amp; Peter, T. (2019). Stratospheric ozone trends for 1985-2018: Sensitivity to recent large variability. </w:t>
      </w:r>
      <w:r w:rsidRPr="00F808ED">
        <w:rPr>
          <w:rFonts w:ascii="Calibri" w:hAnsi="Calibri" w:cs="Calibri"/>
          <w:i/>
          <w:iCs/>
          <w:noProof/>
          <w:sz w:val="24"/>
        </w:rPr>
        <w:t>Atmospheric Chemistry and Physics</w:t>
      </w:r>
      <w:r w:rsidRPr="00F808ED">
        <w:rPr>
          <w:rFonts w:ascii="Calibri" w:hAnsi="Calibri" w:cs="Calibri"/>
          <w:noProof/>
          <w:sz w:val="24"/>
        </w:rPr>
        <w:t xml:space="preserve">, </w:t>
      </w:r>
      <w:r w:rsidRPr="00F808ED">
        <w:rPr>
          <w:rFonts w:ascii="Calibri" w:hAnsi="Calibri" w:cs="Calibri"/>
          <w:i/>
          <w:iCs/>
          <w:noProof/>
          <w:sz w:val="24"/>
        </w:rPr>
        <w:t>19</w:t>
      </w:r>
      <w:r w:rsidRPr="00F808ED">
        <w:rPr>
          <w:rFonts w:ascii="Calibri" w:hAnsi="Calibri" w:cs="Calibri"/>
          <w:noProof/>
          <w:sz w:val="24"/>
        </w:rPr>
        <w:t>(19), 12731–12748. https://doi.org/10.5194/acp-19-12731-2019</w:t>
      </w:r>
    </w:p>
    <w:p w14:paraId="46658367" w14:textId="77777777" w:rsidR="00F808ED" w:rsidRPr="00F808ED" w:rsidRDefault="00F808ED" w:rsidP="00F808ED">
      <w:pPr>
        <w:widowControl w:val="0"/>
        <w:autoSpaceDE w:val="0"/>
        <w:autoSpaceDN w:val="0"/>
        <w:adjustRightInd w:val="0"/>
        <w:spacing w:before="120"/>
        <w:ind w:left="480" w:hanging="480"/>
        <w:rPr>
          <w:rFonts w:ascii="Calibri" w:hAnsi="Calibri" w:cs="Calibri"/>
          <w:noProof/>
          <w:sz w:val="24"/>
        </w:rPr>
      </w:pPr>
      <w:r w:rsidRPr="00F808ED">
        <w:rPr>
          <w:rFonts w:ascii="Calibri" w:hAnsi="Calibri" w:cs="Calibri"/>
          <w:noProof/>
          <w:sz w:val="24"/>
        </w:rPr>
        <w:t xml:space="preserve">Ball, W. T., Chiodo, G., Abalos, M., Alsing, J., &amp; Stenke, A. (2020). Inconsistencies between chemistry-climate models and observed lower stratospheric ozone trends since 1998. </w:t>
      </w:r>
      <w:r w:rsidRPr="00F808ED">
        <w:rPr>
          <w:rFonts w:ascii="Calibri" w:hAnsi="Calibri" w:cs="Calibri"/>
          <w:i/>
          <w:iCs/>
          <w:noProof/>
          <w:sz w:val="24"/>
        </w:rPr>
        <w:t>Atmospheric Chemistry and Physics</w:t>
      </w:r>
      <w:r w:rsidRPr="00F808ED">
        <w:rPr>
          <w:rFonts w:ascii="Calibri" w:hAnsi="Calibri" w:cs="Calibri"/>
          <w:noProof/>
          <w:sz w:val="24"/>
        </w:rPr>
        <w:t xml:space="preserve">, </w:t>
      </w:r>
      <w:r w:rsidRPr="00F808ED">
        <w:rPr>
          <w:rFonts w:ascii="Calibri" w:hAnsi="Calibri" w:cs="Calibri"/>
          <w:i/>
          <w:iCs/>
          <w:noProof/>
          <w:sz w:val="24"/>
        </w:rPr>
        <w:t>20</w:t>
      </w:r>
      <w:r w:rsidRPr="00F808ED">
        <w:rPr>
          <w:rFonts w:ascii="Calibri" w:hAnsi="Calibri" w:cs="Calibri"/>
          <w:noProof/>
          <w:sz w:val="24"/>
        </w:rPr>
        <w:t>(16), 9737–9752. https://doi.org/10.5194/acp-20-9737-2020</w:t>
      </w:r>
    </w:p>
    <w:p w14:paraId="3F6EF3BD" w14:textId="77777777" w:rsidR="00F808ED" w:rsidRPr="00F808ED" w:rsidRDefault="00F808ED" w:rsidP="00F808ED">
      <w:pPr>
        <w:widowControl w:val="0"/>
        <w:autoSpaceDE w:val="0"/>
        <w:autoSpaceDN w:val="0"/>
        <w:adjustRightInd w:val="0"/>
        <w:spacing w:before="120"/>
        <w:ind w:left="480" w:hanging="480"/>
        <w:rPr>
          <w:rFonts w:ascii="Calibri" w:hAnsi="Calibri" w:cs="Calibri"/>
          <w:noProof/>
          <w:sz w:val="24"/>
        </w:rPr>
      </w:pPr>
      <w:r w:rsidRPr="00F808ED">
        <w:rPr>
          <w:rFonts w:ascii="Calibri" w:hAnsi="Calibri" w:cs="Calibri"/>
          <w:noProof/>
          <w:sz w:val="24"/>
        </w:rPr>
        <w:t xml:space="preserve">Benito-Barca, S., Calvo, N., &amp; Abalos, M. (2022). Driving mechanisms for the El Niño-Southern Oscillation impact on stratospheric ozone. </w:t>
      </w:r>
      <w:r w:rsidRPr="00F808ED">
        <w:rPr>
          <w:rFonts w:ascii="Calibri" w:hAnsi="Calibri" w:cs="Calibri"/>
          <w:i/>
          <w:iCs/>
          <w:noProof/>
          <w:sz w:val="24"/>
        </w:rPr>
        <w:t>Atmospheric Chemistry and Physics</w:t>
      </w:r>
      <w:r w:rsidRPr="00F808ED">
        <w:rPr>
          <w:rFonts w:ascii="Calibri" w:hAnsi="Calibri" w:cs="Calibri"/>
          <w:noProof/>
          <w:sz w:val="24"/>
        </w:rPr>
        <w:t xml:space="preserve">, </w:t>
      </w:r>
      <w:r w:rsidRPr="00F808ED">
        <w:rPr>
          <w:rFonts w:ascii="Calibri" w:hAnsi="Calibri" w:cs="Calibri"/>
          <w:i/>
          <w:iCs/>
          <w:noProof/>
          <w:sz w:val="24"/>
        </w:rPr>
        <w:t>22</w:t>
      </w:r>
      <w:r w:rsidRPr="00F808ED">
        <w:rPr>
          <w:rFonts w:ascii="Calibri" w:hAnsi="Calibri" w:cs="Calibri"/>
          <w:noProof/>
          <w:sz w:val="24"/>
        </w:rPr>
        <w:t>(24), 15729–15745. https://doi.org/10.5194/acp-22-15729-2022</w:t>
      </w:r>
    </w:p>
    <w:p w14:paraId="1E897407" w14:textId="77777777" w:rsidR="00F808ED" w:rsidRPr="00F808ED" w:rsidRDefault="00F808ED" w:rsidP="00F808ED">
      <w:pPr>
        <w:widowControl w:val="0"/>
        <w:autoSpaceDE w:val="0"/>
        <w:autoSpaceDN w:val="0"/>
        <w:adjustRightInd w:val="0"/>
        <w:spacing w:before="120"/>
        <w:ind w:left="480" w:hanging="480"/>
        <w:rPr>
          <w:rFonts w:ascii="Calibri" w:hAnsi="Calibri" w:cs="Calibri"/>
          <w:noProof/>
          <w:sz w:val="24"/>
        </w:rPr>
      </w:pPr>
      <w:r w:rsidRPr="00F808ED">
        <w:rPr>
          <w:rFonts w:ascii="Calibri" w:hAnsi="Calibri" w:cs="Calibri"/>
          <w:noProof/>
          <w:sz w:val="24"/>
        </w:rPr>
        <w:t xml:space="preserve">Birner, T., &amp; Bönisch, H. (2011). Residual circulation trajectories and transit times into the extratropical lowermost stratosphere. </w:t>
      </w:r>
      <w:r w:rsidRPr="00F808ED">
        <w:rPr>
          <w:rFonts w:ascii="Calibri" w:hAnsi="Calibri" w:cs="Calibri"/>
          <w:i/>
          <w:iCs/>
          <w:noProof/>
          <w:sz w:val="24"/>
        </w:rPr>
        <w:t>Atmospheric Chemistry and Physics</w:t>
      </w:r>
      <w:r w:rsidRPr="00F808ED">
        <w:rPr>
          <w:rFonts w:ascii="Calibri" w:hAnsi="Calibri" w:cs="Calibri"/>
          <w:noProof/>
          <w:sz w:val="24"/>
        </w:rPr>
        <w:t>. https://doi.org/10.5194/acp-11-817-2011</w:t>
      </w:r>
    </w:p>
    <w:p w14:paraId="1A34E645" w14:textId="77777777" w:rsidR="00F808ED" w:rsidRPr="00F808ED" w:rsidRDefault="00F808ED" w:rsidP="00F808ED">
      <w:pPr>
        <w:widowControl w:val="0"/>
        <w:autoSpaceDE w:val="0"/>
        <w:autoSpaceDN w:val="0"/>
        <w:adjustRightInd w:val="0"/>
        <w:spacing w:before="120"/>
        <w:ind w:left="480" w:hanging="480"/>
        <w:rPr>
          <w:rFonts w:ascii="Calibri" w:hAnsi="Calibri" w:cs="Calibri"/>
          <w:noProof/>
          <w:sz w:val="24"/>
        </w:rPr>
      </w:pPr>
      <w:r w:rsidRPr="00F808ED">
        <w:rPr>
          <w:rFonts w:ascii="Calibri" w:hAnsi="Calibri" w:cs="Calibri"/>
          <w:noProof/>
          <w:sz w:val="24"/>
        </w:rPr>
        <w:t xml:space="preserve">Bognar, K., Tegtmeier, S., Bourassa, A., Roth, C., Warnock, T., Zawada, D., &amp; Degenstein, D. (2022). Stratospheric ozone trends for 1984-2021 in the SAGE II-OSIRIS-SAGE III/ISS composite dataset. </w:t>
      </w:r>
      <w:r w:rsidRPr="00F808ED">
        <w:rPr>
          <w:rFonts w:ascii="Calibri" w:hAnsi="Calibri" w:cs="Calibri"/>
          <w:i/>
          <w:iCs/>
          <w:noProof/>
          <w:sz w:val="24"/>
        </w:rPr>
        <w:t>Atmospheric Chemistry and Physics</w:t>
      </w:r>
      <w:r w:rsidRPr="00F808ED">
        <w:rPr>
          <w:rFonts w:ascii="Calibri" w:hAnsi="Calibri" w:cs="Calibri"/>
          <w:noProof/>
          <w:sz w:val="24"/>
        </w:rPr>
        <w:t xml:space="preserve">, </w:t>
      </w:r>
      <w:r w:rsidRPr="00F808ED">
        <w:rPr>
          <w:rFonts w:ascii="Calibri" w:hAnsi="Calibri" w:cs="Calibri"/>
          <w:i/>
          <w:iCs/>
          <w:noProof/>
          <w:sz w:val="24"/>
        </w:rPr>
        <w:t>22</w:t>
      </w:r>
      <w:r w:rsidRPr="00F808ED">
        <w:rPr>
          <w:rFonts w:ascii="Calibri" w:hAnsi="Calibri" w:cs="Calibri"/>
          <w:noProof/>
          <w:sz w:val="24"/>
        </w:rPr>
        <w:t>(14), 9553–9569. https://doi.org/10.5194/acp-22-9553-2022</w:t>
      </w:r>
    </w:p>
    <w:p w14:paraId="7A72A19B" w14:textId="77777777" w:rsidR="00F808ED" w:rsidRPr="00F808ED" w:rsidRDefault="00F808ED" w:rsidP="00F808ED">
      <w:pPr>
        <w:widowControl w:val="0"/>
        <w:autoSpaceDE w:val="0"/>
        <w:autoSpaceDN w:val="0"/>
        <w:adjustRightInd w:val="0"/>
        <w:spacing w:before="120"/>
        <w:ind w:left="480" w:hanging="480"/>
        <w:rPr>
          <w:rFonts w:ascii="Calibri" w:hAnsi="Calibri" w:cs="Calibri"/>
          <w:noProof/>
          <w:sz w:val="24"/>
        </w:rPr>
      </w:pPr>
      <w:r w:rsidRPr="00F808ED">
        <w:rPr>
          <w:rFonts w:ascii="Calibri" w:hAnsi="Calibri" w:cs="Calibri"/>
          <w:noProof/>
          <w:sz w:val="24"/>
        </w:rPr>
        <w:t xml:space="preserve">Brasseur, G., &amp; Hitchman, M. H. (1988). Stratospheric response to trace gas perturbations: Changes in ozone and temperature distributions. </w:t>
      </w:r>
      <w:r w:rsidRPr="00F808ED">
        <w:rPr>
          <w:rFonts w:ascii="Calibri" w:hAnsi="Calibri" w:cs="Calibri"/>
          <w:i/>
          <w:iCs/>
          <w:noProof/>
          <w:sz w:val="24"/>
        </w:rPr>
        <w:t>Science</w:t>
      </w:r>
      <w:r w:rsidRPr="00F808ED">
        <w:rPr>
          <w:rFonts w:ascii="Calibri" w:hAnsi="Calibri" w:cs="Calibri"/>
          <w:noProof/>
          <w:sz w:val="24"/>
        </w:rPr>
        <w:t xml:space="preserve">, </w:t>
      </w:r>
      <w:r w:rsidRPr="00F808ED">
        <w:rPr>
          <w:rFonts w:ascii="Calibri" w:hAnsi="Calibri" w:cs="Calibri"/>
          <w:i/>
          <w:iCs/>
          <w:noProof/>
          <w:sz w:val="24"/>
        </w:rPr>
        <w:t>240</w:t>
      </w:r>
      <w:r w:rsidRPr="00F808ED">
        <w:rPr>
          <w:rFonts w:ascii="Calibri" w:hAnsi="Calibri" w:cs="Calibri"/>
          <w:noProof/>
          <w:sz w:val="24"/>
        </w:rPr>
        <w:t xml:space="preserve">(4852), 634–637. </w:t>
      </w:r>
      <w:r w:rsidRPr="00F808ED">
        <w:rPr>
          <w:rFonts w:ascii="Calibri" w:hAnsi="Calibri" w:cs="Calibri"/>
          <w:noProof/>
          <w:sz w:val="24"/>
        </w:rPr>
        <w:lastRenderedPageBreak/>
        <w:t>https://doi.org/10.1126/science.240.4852.634</w:t>
      </w:r>
    </w:p>
    <w:p w14:paraId="1AAEAE86" w14:textId="77777777" w:rsidR="00F808ED" w:rsidRPr="00F808ED" w:rsidRDefault="00F808ED" w:rsidP="00F808ED">
      <w:pPr>
        <w:widowControl w:val="0"/>
        <w:autoSpaceDE w:val="0"/>
        <w:autoSpaceDN w:val="0"/>
        <w:adjustRightInd w:val="0"/>
        <w:spacing w:before="120"/>
        <w:ind w:left="480" w:hanging="480"/>
        <w:rPr>
          <w:rFonts w:ascii="Calibri" w:hAnsi="Calibri" w:cs="Calibri"/>
          <w:noProof/>
          <w:sz w:val="24"/>
        </w:rPr>
      </w:pPr>
      <w:r w:rsidRPr="00F808ED">
        <w:rPr>
          <w:rFonts w:ascii="Calibri" w:hAnsi="Calibri" w:cs="Calibri"/>
          <w:noProof/>
          <w:sz w:val="24"/>
        </w:rPr>
        <w:t xml:space="preserve">Butchart, N. (2014). The Brewer-Dobson circulation. </w:t>
      </w:r>
      <w:r w:rsidRPr="00F808ED">
        <w:rPr>
          <w:rFonts w:ascii="Calibri" w:hAnsi="Calibri" w:cs="Calibri"/>
          <w:i/>
          <w:iCs/>
          <w:noProof/>
          <w:sz w:val="24"/>
        </w:rPr>
        <w:t>Reviews of Geophysics</w:t>
      </w:r>
      <w:r w:rsidRPr="00F808ED">
        <w:rPr>
          <w:rFonts w:ascii="Calibri" w:hAnsi="Calibri" w:cs="Calibri"/>
          <w:noProof/>
          <w:sz w:val="24"/>
        </w:rPr>
        <w:t xml:space="preserve">, </w:t>
      </w:r>
      <w:r w:rsidRPr="00F808ED">
        <w:rPr>
          <w:rFonts w:ascii="Calibri" w:hAnsi="Calibri" w:cs="Calibri"/>
          <w:i/>
          <w:iCs/>
          <w:noProof/>
          <w:sz w:val="24"/>
        </w:rPr>
        <w:t>52</w:t>
      </w:r>
      <w:r w:rsidRPr="00F808ED">
        <w:rPr>
          <w:rFonts w:ascii="Calibri" w:hAnsi="Calibri" w:cs="Calibri"/>
          <w:noProof/>
          <w:sz w:val="24"/>
        </w:rPr>
        <w:t>(2), 157–184. https://doi.org/10.1002/2013RG000448</w:t>
      </w:r>
    </w:p>
    <w:p w14:paraId="3A69FDDB" w14:textId="77777777" w:rsidR="00F808ED" w:rsidRPr="00F808ED" w:rsidRDefault="00F808ED" w:rsidP="00F808ED">
      <w:pPr>
        <w:widowControl w:val="0"/>
        <w:autoSpaceDE w:val="0"/>
        <w:autoSpaceDN w:val="0"/>
        <w:adjustRightInd w:val="0"/>
        <w:spacing w:before="120"/>
        <w:ind w:left="480" w:hanging="480"/>
        <w:rPr>
          <w:rFonts w:ascii="Calibri" w:hAnsi="Calibri" w:cs="Calibri"/>
          <w:noProof/>
          <w:sz w:val="24"/>
        </w:rPr>
      </w:pPr>
      <w:r w:rsidRPr="00587198">
        <w:rPr>
          <w:rFonts w:ascii="Calibri" w:hAnsi="Calibri" w:cs="Calibri"/>
          <w:noProof/>
          <w:sz w:val="24"/>
          <w:lang w:val="es-ES"/>
        </w:rPr>
        <w:t xml:space="preserve">Calvo, N., Garcia, R. R., Randel, W. J., &amp; Marsh, D. R. (2010). </w:t>
      </w:r>
      <w:r w:rsidRPr="00F808ED">
        <w:rPr>
          <w:rFonts w:ascii="Calibri" w:hAnsi="Calibri" w:cs="Calibri"/>
          <w:noProof/>
          <w:sz w:val="24"/>
        </w:rPr>
        <w:t xml:space="preserve">Dynamical mechanism for the increase in tropical upwelling in the lowermost tropical stratosphere during warm ENSO events. </w:t>
      </w:r>
      <w:r w:rsidRPr="00F808ED">
        <w:rPr>
          <w:rFonts w:ascii="Calibri" w:hAnsi="Calibri" w:cs="Calibri"/>
          <w:i/>
          <w:iCs/>
          <w:noProof/>
          <w:sz w:val="24"/>
        </w:rPr>
        <w:t>Journal of the Atmospheric Sciences</w:t>
      </w:r>
      <w:r w:rsidRPr="00F808ED">
        <w:rPr>
          <w:rFonts w:ascii="Calibri" w:hAnsi="Calibri" w:cs="Calibri"/>
          <w:noProof/>
          <w:sz w:val="24"/>
        </w:rPr>
        <w:t xml:space="preserve">, </w:t>
      </w:r>
      <w:r w:rsidRPr="00F808ED">
        <w:rPr>
          <w:rFonts w:ascii="Calibri" w:hAnsi="Calibri" w:cs="Calibri"/>
          <w:i/>
          <w:iCs/>
          <w:noProof/>
          <w:sz w:val="24"/>
        </w:rPr>
        <w:t>67</w:t>
      </w:r>
      <w:r w:rsidRPr="00F808ED">
        <w:rPr>
          <w:rFonts w:ascii="Calibri" w:hAnsi="Calibri" w:cs="Calibri"/>
          <w:noProof/>
          <w:sz w:val="24"/>
        </w:rPr>
        <w:t>(7), 2331–2340. https://doi.org/10.1175/2010JAS3433.1</w:t>
      </w:r>
    </w:p>
    <w:p w14:paraId="0F3C96B9" w14:textId="77777777" w:rsidR="00F808ED" w:rsidRPr="00F808ED" w:rsidRDefault="00F808ED" w:rsidP="00F808ED">
      <w:pPr>
        <w:widowControl w:val="0"/>
        <w:autoSpaceDE w:val="0"/>
        <w:autoSpaceDN w:val="0"/>
        <w:adjustRightInd w:val="0"/>
        <w:spacing w:before="120"/>
        <w:ind w:left="480" w:hanging="480"/>
        <w:rPr>
          <w:rFonts w:ascii="Calibri" w:hAnsi="Calibri" w:cs="Calibri"/>
          <w:noProof/>
          <w:sz w:val="24"/>
        </w:rPr>
      </w:pPr>
      <w:r w:rsidRPr="00F808ED">
        <w:rPr>
          <w:rFonts w:ascii="Calibri" w:hAnsi="Calibri" w:cs="Calibri"/>
          <w:noProof/>
          <w:sz w:val="24"/>
        </w:rPr>
        <w:t xml:space="preserve">Carpenter, L. J., Daniel, J. S., Fleming, E. L., Hanaoka, T., Hu, J., Ravishankara, A. R., et al. (2018). Scenarios and Information for Policymakers. In </w:t>
      </w:r>
      <w:r w:rsidRPr="00F808ED">
        <w:rPr>
          <w:rFonts w:ascii="Calibri" w:hAnsi="Calibri" w:cs="Calibri"/>
          <w:i/>
          <w:iCs/>
          <w:noProof/>
          <w:sz w:val="24"/>
        </w:rPr>
        <w:t>Scientific Assessment of Ozone Depletion: 2018</w:t>
      </w:r>
      <w:r w:rsidRPr="00F808ED">
        <w:rPr>
          <w:rFonts w:ascii="Calibri" w:hAnsi="Calibri" w:cs="Calibri"/>
          <w:noProof/>
          <w:sz w:val="24"/>
        </w:rPr>
        <w:t>. Geneva: World Meteorological Organization.</w:t>
      </w:r>
    </w:p>
    <w:p w14:paraId="226EFAB8" w14:textId="77777777" w:rsidR="00F808ED" w:rsidRPr="00F808ED" w:rsidRDefault="00F808ED" w:rsidP="00F808ED">
      <w:pPr>
        <w:widowControl w:val="0"/>
        <w:autoSpaceDE w:val="0"/>
        <w:autoSpaceDN w:val="0"/>
        <w:adjustRightInd w:val="0"/>
        <w:spacing w:before="120"/>
        <w:ind w:left="480" w:hanging="480"/>
        <w:rPr>
          <w:rFonts w:ascii="Calibri" w:hAnsi="Calibri" w:cs="Calibri"/>
          <w:noProof/>
          <w:sz w:val="24"/>
        </w:rPr>
      </w:pPr>
      <w:r w:rsidRPr="00F808ED">
        <w:rPr>
          <w:rFonts w:ascii="Calibri" w:hAnsi="Calibri" w:cs="Calibri"/>
          <w:noProof/>
          <w:sz w:val="24"/>
        </w:rPr>
        <w:t xml:space="preserve">Chipperfield, M. P., Bekki, S., Dhomse, S., Harris, N. R. P., Hassler, B., Hossaini, R., et al. (2017). Detecting recovery of the stratospheric ozone layer. </w:t>
      </w:r>
      <w:r w:rsidRPr="00F808ED">
        <w:rPr>
          <w:rFonts w:ascii="Calibri" w:hAnsi="Calibri" w:cs="Calibri"/>
          <w:i/>
          <w:iCs/>
          <w:noProof/>
          <w:sz w:val="24"/>
        </w:rPr>
        <w:t>Nature</w:t>
      </w:r>
      <w:r w:rsidRPr="00F808ED">
        <w:rPr>
          <w:rFonts w:ascii="Calibri" w:hAnsi="Calibri" w:cs="Calibri"/>
          <w:noProof/>
          <w:sz w:val="24"/>
        </w:rPr>
        <w:t xml:space="preserve">, </w:t>
      </w:r>
      <w:r w:rsidRPr="00F808ED">
        <w:rPr>
          <w:rFonts w:ascii="Calibri" w:hAnsi="Calibri" w:cs="Calibri"/>
          <w:i/>
          <w:iCs/>
          <w:noProof/>
          <w:sz w:val="24"/>
        </w:rPr>
        <w:t>549</w:t>
      </w:r>
      <w:r w:rsidRPr="00F808ED">
        <w:rPr>
          <w:rFonts w:ascii="Calibri" w:hAnsi="Calibri" w:cs="Calibri"/>
          <w:noProof/>
          <w:sz w:val="24"/>
        </w:rPr>
        <w:t>(7671), 211–218. https://doi.org/10.1038/nature23681</w:t>
      </w:r>
    </w:p>
    <w:p w14:paraId="16953193" w14:textId="77777777" w:rsidR="00F808ED" w:rsidRDefault="00F808ED" w:rsidP="00F808ED">
      <w:pPr>
        <w:widowControl w:val="0"/>
        <w:autoSpaceDE w:val="0"/>
        <w:autoSpaceDN w:val="0"/>
        <w:adjustRightInd w:val="0"/>
        <w:spacing w:before="120"/>
        <w:ind w:left="480" w:hanging="480"/>
        <w:rPr>
          <w:rFonts w:ascii="Calibri" w:hAnsi="Calibri" w:cs="Calibri"/>
          <w:noProof/>
          <w:sz w:val="24"/>
        </w:rPr>
      </w:pPr>
      <w:r w:rsidRPr="00F808ED">
        <w:rPr>
          <w:rFonts w:ascii="Calibri" w:hAnsi="Calibri" w:cs="Calibri"/>
          <w:noProof/>
          <w:sz w:val="24"/>
        </w:rPr>
        <w:t xml:space="preserve">Chipperfield, M. P., Dhomse, S., Hossaini, R., Feng, W., Santee, M. L., Weber, M., et al. (2018). On the Cause of Recent Variations in Lower Stratospheric Ozone. </w:t>
      </w:r>
      <w:r w:rsidRPr="00F808ED">
        <w:rPr>
          <w:rFonts w:ascii="Calibri" w:hAnsi="Calibri" w:cs="Calibri"/>
          <w:i/>
          <w:iCs/>
          <w:noProof/>
          <w:sz w:val="24"/>
        </w:rPr>
        <w:t>Geophysical Research Letters</w:t>
      </w:r>
      <w:r w:rsidRPr="00F808ED">
        <w:rPr>
          <w:rFonts w:ascii="Calibri" w:hAnsi="Calibri" w:cs="Calibri"/>
          <w:noProof/>
          <w:sz w:val="24"/>
        </w:rPr>
        <w:t xml:space="preserve">, </w:t>
      </w:r>
      <w:r w:rsidRPr="00F808ED">
        <w:rPr>
          <w:rFonts w:ascii="Calibri" w:hAnsi="Calibri" w:cs="Calibri"/>
          <w:i/>
          <w:iCs/>
          <w:noProof/>
          <w:sz w:val="24"/>
        </w:rPr>
        <w:t>45</w:t>
      </w:r>
      <w:r w:rsidRPr="00F808ED">
        <w:rPr>
          <w:rFonts w:ascii="Calibri" w:hAnsi="Calibri" w:cs="Calibri"/>
          <w:noProof/>
          <w:sz w:val="24"/>
        </w:rPr>
        <w:t>(11), 5718–5726. https://doi.org/10.1029/2018GL078071</w:t>
      </w:r>
    </w:p>
    <w:p w14:paraId="0F647513" w14:textId="06A9BD14" w:rsidR="00CD0B3B" w:rsidRPr="00CD0B3B" w:rsidRDefault="00CD0B3B" w:rsidP="00CD0B3B">
      <w:pPr>
        <w:widowControl w:val="0"/>
        <w:autoSpaceDE w:val="0"/>
        <w:autoSpaceDN w:val="0"/>
        <w:adjustRightInd w:val="0"/>
        <w:spacing w:before="120"/>
        <w:ind w:left="480" w:hanging="480"/>
        <w:rPr>
          <w:rFonts w:ascii="Calibri" w:hAnsi="Calibri" w:cs="Calibri"/>
          <w:noProof/>
          <w:sz w:val="24"/>
        </w:rPr>
      </w:pPr>
      <w:r w:rsidRPr="00CD0B3B">
        <w:rPr>
          <w:rFonts w:ascii="Calibri" w:hAnsi="Calibri" w:cs="Calibri"/>
          <w:noProof/>
          <w:sz w:val="24"/>
        </w:rPr>
        <w:t>Copernicus Climate Change Service, Climate Data Store, (2023): ERA5 hourly data on pressure levels from 1940 to present</w:t>
      </w:r>
      <w:r w:rsidR="00D24AFB">
        <w:rPr>
          <w:rFonts w:ascii="Calibri" w:hAnsi="Calibri" w:cs="Calibri"/>
          <w:noProof/>
          <w:sz w:val="24"/>
        </w:rPr>
        <w:t xml:space="preserve"> [Dataset]</w:t>
      </w:r>
      <w:r w:rsidRPr="00CD0B3B">
        <w:rPr>
          <w:rFonts w:ascii="Calibri" w:hAnsi="Calibri" w:cs="Calibri"/>
          <w:noProof/>
          <w:sz w:val="24"/>
        </w:rPr>
        <w:t>. Copernicus Climate Change Service (C3S) Climate Data Store (CDS)</w:t>
      </w:r>
      <w:r w:rsidR="00764E9D">
        <w:rPr>
          <w:rFonts w:ascii="Calibri" w:hAnsi="Calibri" w:cs="Calibri"/>
          <w:noProof/>
          <w:sz w:val="24"/>
        </w:rPr>
        <w:t>.</w:t>
      </w:r>
      <w:r w:rsidRPr="00CD0B3B">
        <w:rPr>
          <w:rFonts w:ascii="Calibri" w:hAnsi="Calibri" w:cs="Calibri"/>
          <w:noProof/>
          <w:sz w:val="24"/>
        </w:rPr>
        <w:t xml:space="preserve"> </w:t>
      </w:r>
      <w:r w:rsidR="00764E9D">
        <w:rPr>
          <w:rFonts w:ascii="Calibri" w:hAnsi="Calibri" w:cs="Calibri"/>
          <w:noProof/>
          <w:sz w:val="24"/>
        </w:rPr>
        <w:t>https://doi.org</w:t>
      </w:r>
      <w:r w:rsidR="00254875">
        <w:rPr>
          <w:rFonts w:ascii="Calibri" w:hAnsi="Calibri" w:cs="Calibri"/>
          <w:noProof/>
          <w:sz w:val="24"/>
        </w:rPr>
        <w:t>/</w:t>
      </w:r>
      <w:r w:rsidRPr="00CD0B3B">
        <w:rPr>
          <w:rFonts w:ascii="Calibri" w:hAnsi="Calibri" w:cs="Calibri"/>
          <w:noProof/>
          <w:sz w:val="24"/>
        </w:rPr>
        <w:t>10.24381/cds.bd0915c6</w:t>
      </w:r>
    </w:p>
    <w:p w14:paraId="749B87E0" w14:textId="77777777" w:rsidR="00F808ED" w:rsidRPr="00F808ED" w:rsidRDefault="00F808ED" w:rsidP="00F808ED">
      <w:pPr>
        <w:widowControl w:val="0"/>
        <w:autoSpaceDE w:val="0"/>
        <w:autoSpaceDN w:val="0"/>
        <w:adjustRightInd w:val="0"/>
        <w:spacing w:before="120"/>
        <w:ind w:left="480" w:hanging="480"/>
        <w:rPr>
          <w:rFonts w:ascii="Calibri" w:hAnsi="Calibri" w:cs="Calibri"/>
          <w:noProof/>
          <w:sz w:val="24"/>
        </w:rPr>
      </w:pPr>
      <w:r w:rsidRPr="00F808ED">
        <w:rPr>
          <w:rFonts w:ascii="Calibri" w:hAnsi="Calibri" w:cs="Calibri"/>
          <w:noProof/>
          <w:sz w:val="24"/>
        </w:rPr>
        <w:t xml:space="preserve">Cussac, M., Marécal, V., Thouret, V., Josse, B., &amp; Sauvage, B. (2020). The impact of biomass burning on upper tropospheric carbon monoxide: a study using MOCAGE global model and IAGOS airborne data. </w:t>
      </w:r>
      <w:r w:rsidRPr="00F808ED">
        <w:rPr>
          <w:rFonts w:ascii="Calibri" w:hAnsi="Calibri" w:cs="Calibri"/>
          <w:i/>
          <w:iCs/>
          <w:noProof/>
          <w:sz w:val="24"/>
        </w:rPr>
        <w:t>Atmospheric Chemistry and Physics</w:t>
      </w:r>
      <w:r w:rsidRPr="00F808ED">
        <w:rPr>
          <w:rFonts w:ascii="Calibri" w:hAnsi="Calibri" w:cs="Calibri"/>
          <w:noProof/>
          <w:sz w:val="24"/>
        </w:rPr>
        <w:t xml:space="preserve">, </w:t>
      </w:r>
      <w:r w:rsidRPr="00F808ED">
        <w:rPr>
          <w:rFonts w:ascii="Calibri" w:hAnsi="Calibri" w:cs="Calibri"/>
          <w:i/>
          <w:iCs/>
          <w:noProof/>
          <w:sz w:val="24"/>
        </w:rPr>
        <w:t>20</w:t>
      </w:r>
      <w:r w:rsidRPr="00F808ED">
        <w:rPr>
          <w:rFonts w:ascii="Calibri" w:hAnsi="Calibri" w:cs="Calibri"/>
          <w:noProof/>
          <w:sz w:val="24"/>
        </w:rPr>
        <w:t>(15), 9393–9417. https://doi.org/10.5194/acp-20-9393-2020</w:t>
      </w:r>
    </w:p>
    <w:p w14:paraId="0DB8946A" w14:textId="77777777" w:rsidR="00F808ED" w:rsidRPr="00F808ED" w:rsidRDefault="00F808ED" w:rsidP="00F808ED">
      <w:pPr>
        <w:widowControl w:val="0"/>
        <w:autoSpaceDE w:val="0"/>
        <w:autoSpaceDN w:val="0"/>
        <w:adjustRightInd w:val="0"/>
        <w:spacing w:before="120"/>
        <w:ind w:left="480" w:hanging="480"/>
        <w:rPr>
          <w:rFonts w:ascii="Calibri" w:hAnsi="Calibri" w:cs="Calibri"/>
          <w:noProof/>
          <w:sz w:val="24"/>
        </w:rPr>
      </w:pPr>
      <w:r w:rsidRPr="00F808ED">
        <w:rPr>
          <w:rFonts w:ascii="Calibri" w:hAnsi="Calibri" w:cs="Calibri"/>
          <w:noProof/>
          <w:sz w:val="24"/>
        </w:rPr>
        <w:t xml:space="preserve">Davis, S. M., Rosenlof, K. H., Hassler, B., Hurst, D. F., Read, W. G., Vömel, H., et al. (2016). The Stratospheric Water and Ozone Satellite Homogenized (SWOOSH) database: A long-term database for climate studies. </w:t>
      </w:r>
      <w:r w:rsidRPr="00F808ED">
        <w:rPr>
          <w:rFonts w:ascii="Calibri" w:hAnsi="Calibri" w:cs="Calibri"/>
          <w:i/>
          <w:iCs/>
          <w:noProof/>
          <w:sz w:val="24"/>
        </w:rPr>
        <w:t>Earth System Science Data</w:t>
      </w:r>
      <w:r w:rsidRPr="00F808ED">
        <w:rPr>
          <w:rFonts w:ascii="Calibri" w:hAnsi="Calibri" w:cs="Calibri"/>
          <w:noProof/>
          <w:sz w:val="24"/>
        </w:rPr>
        <w:t xml:space="preserve">, </w:t>
      </w:r>
      <w:r w:rsidRPr="00F808ED">
        <w:rPr>
          <w:rFonts w:ascii="Calibri" w:hAnsi="Calibri" w:cs="Calibri"/>
          <w:i/>
          <w:iCs/>
          <w:noProof/>
          <w:sz w:val="24"/>
        </w:rPr>
        <w:t>8</w:t>
      </w:r>
      <w:r w:rsidRPr="00F808ED">
        <w:rPr>
          <w:rFonts w:ascii="Calibri" w:hAnsi="Calibri" w:cs="Calibri"/>
          <w:noProof/>
          <w:sz w:val="24"/>
        </w:rPr>
        <w:t>(2), 461–490. https://doi.org/10.5194/essd-8-461-2016</w:t>
      </w:r>
    </w:p>
    <w:p w14:paraId="7D2259AE" w14:textId="77777777" w:rsidR="00F808ED" w:rsidRPr="00F808ED" w:rsidRDefault="00F808ED" w:rsidP="00F808ED">
      <w:pPr>
        <w:widowControl w:val="0"/>
        <w:autoSpaceDE w:val="0"/>
        <w:autoSpaceDN w:val="0"/>
        <w:adjustRightInd w:val="0"/>
        <w:spacing w:before="120"/>
        <w:ind w:left="480" w:hanging="480"/>
        <w:rPr>
          <w:rFonts w:ascii="Calibri" w:hAnsi="Calibri" w:cs="Calibri"/>
          <w:noProof/>
          <w:sz w:val="24"/>
        </w:rPr>
      </w:pPr>
      <w:r w:rsidRPr="00F808ED">
        <w:rPr>
          <w:rFonts w:ascii="Calibri" w:hAnsi="Calibri" w:cs="Calibri"/>
          <w:noProof/>
          <w:sz w:val="24"/>
        </w:rPr>
        <w:t xml:space="preserve">Dennison, F., &amp; Woodhouse, M. T. (2023). ACCESS-CM2-Chem: evaluation of southern hemisphere ozone and its effect on the Southern Annular Mode. </w:t>
      </w:r>
      <w:r w:rsidRPr="00F808ED">
        <w:rPr>
          <w:rFonts w:ascii="Calibri" w:hAnsi="Calibri" w:cs="Calibri"/>
          <w:i/>
          <w:iCs/>
          <w:noProof/>
          <w:sz w:val="24"/>
        </w:rPr>
        <w:t>Journal of Southern Hemisphere Earth Systems Science</w:t>
      </w:r>
      <w:r w:rsidRPr="00F808ED">
        <w:rPr>
          <w:rFonts w:ascii="Calibri" w:hAnsi="Calibri" w:cs="Calibri"/>
          <w:noProof/>
          <w:sz w:val="24"/>
        </w:rPr>
        <w:t xml:space="preserve">, </w:t>
      </w:r>
      <w:r w:rsidRPr="00F808ED">
        <w:rPr>
          <w:rFonts w:ascii="Calibri" w:hAnsi="Calibri" w:cs="Calibri"/>
          <w:i/>
          <w:iCs/>
          <w:noProof/>
          <w:sz w:val="24"/>
        </w:rPr>
        <w:t>73</w:t>
      </w:r>
      <w:r w:rsidRPr="00F808ED">
        <w:rPr>
          <w:rFonts w:ascii="Calibri" w:hAnsi="Calibri" w:cs="Calibri"/>
          <w:noProof/>
          <w:sz w:val="24"/>
        </w:rPr>
        <w:t>(1), 17–29. https://doi.org/10.1071/es22015</w:t>
      </w:r>
    </w:p>
    <w:p w14:paraId="29D76ABD" w14:textId="77777777" w:rsidR="00F808ED" w:rsidRPr="00F808ED" w:rsidRDefault="00F808ED" w:rsidP="00F808ED">
      <w:pPr>
        <w:widowControl w:val="0"/>
        <w:autoSpaceDE w:val="0"/>
        <w:autoSpaceDN w:val="0"/>
        <w:adjustRightInd w:val="0"/>
        <w:spacing w:before="120"/>
        <w:ind w:left="480" w:hanging="480"/>
        <w:rPr>
          <w:rFonts w:ascii="Calibri" w:hAnsi="Calibri" w:cs="Calibri"/>
          <w:noProof/>
          <w:sz w:val="24"/>
        </w:rPr>
      </w:pPr>
      <w:r w:rsidRPr="00F808ED">
        <w:rPr>
          <w:rFonts w:ascii="Calibri" w:hAnsi="Calibri" w:cs="Calibri"/>
          <w:noProof/>
          <w:sz w:val="24"/>
        </w:rPr>
        <w:t xml:space="preserve">Dhomse, S. S., Kinnison, D., Chipperfield, M. P., Salawitch, R. J., Cionni, I., Hegglin, M. I., et al. (2018). Estimates of ozone return dates from Chemistry-Climate Model Initiative simulations. </w:t>
      </w:r>
      <w:r w:rsidRPr="00F808ED">
        <w:rPr>
          <w:rFonts w:ascii="Calibri" w:hAnsi="Calibri" w:cs="Calibri"/>
          <w:i/>
          <w:iCs/>
          <w:noProof/>
          <w:sz w:val="24"/>
        </w:rPr>
        <w:t>Atmospheric Chemistry and Physics</w:t>
      </w:r>
      <w:r w:rsidRPr="00F808ED">
        <w:rPr>
          <w:rFonts w:ascii="Calibri" w:hAnsi="Calibri" w:cs="Calibri"/>
          <w:noProof/>
          <w:sz w:val="24"/>
        </w:rPr>
        <w:t xml:space="preserve">, </w:t>
      </w:r>
      <w:r w:rsidRPr="00F808ED">
        <w:rPr>
          <w:rFonts w:ascii="Calibri" w:hAnsi="Calibri" w:cs="Calibri"/>
          <w:i/>
          <w:iCs/>
          <w:noProof/>
          <w:sz w:val="24"/>
        </w:rPr>
        <w:t>18</w:t>
      </w:r>
      <w:r w:rsidRPr="00F808ED">
        <w:rPr>
          <w:rFonts w:ascii="Calibri" w:hAnsi="Calibri" w:cs="Calibri"/>
          <w:noProof/>
          <w:sz w:val="24"/>
        </w:rPr>
        <w:t>(11), 8409–8438. https://doi.org/10.5194/acp-18-8409-2018</w:t>
      </w:r>
    </w:p>
    <w:p w14:paraId="48269852" w14:textId="77777777" w:rsidR="00F808ED" w:rsidRPr="00F808ED" w:rsidRDefault="00F808ED" w:rsidP="00F808ED">
      <w:pPr>
        <w:widowControl w:val="0"/>
        <w:autoSpaceDE w:val="0"/>
        <w:autoSpaceDN w:val="0"/>
        <w:adjustRightInd w:val="0"/>
        <w:spacing w:before="120"/>
        <w:ind w:left="480" w:hanging="480"/>
        <w:rPr>
          <w:rFonts w:ascii="Calibri" w:hAnsi="Calibri" w:cs="Calibri"/>
          <w:noProof/>
          <w:sz w:val="24"/>
        </w:rPr>
      </w:pPr>
      <w:r w:rsidRPr="00F808ED">
        <w:rPr>
          <w:rFonts w:ascii="Calibri" w:hAnsi="Calibri" w:cs="Calibri"/>
          <w:noProof/>
          <w:sz w:val="24"/>
        </w:rPr>
        <w:t xml:space="preserve">Diallo, M., Konopka, P., Santee, M. L., Müller, R., Tao, M., Walker, K. A., et al. (2019). Structural changes in the shallow and transition branch of the Brewer-Dobson circulation induced by El Niño. </w:t>
      </w:r>
      <w:r w:rsidRPr="00F808ED">
        <w:rPr>
          <w:rFonts w:ascii="Calibri" w:hAnsi="Calibri" w:cs="Calibri"/>
          <w:i/>
          <w:iCs/>
          <w:noProof/>
          <w:sz w:val="24"/>
        </w:rPr>
        <w:t>Atmospheric Chemistry and Physics</w:t>
      </w:r>
      <w:r w:rsidRPr="00F808ED">
        <w:rPr>
          <w:rFonts w:ascii="Calibri" w:hAnsi="Calibri" w:cs="Calibri"/>
          <w:noProof/>
          <w:sz w:val="24"/>
        </w:rPr>
        <w:t xml:space="preserve">, </w:t>
      </w:r>
      <w:r w:rsidRPr="00F808ED">
        <w:rPr>
          <w:rFonts w:ascii="Calibri" w:hAnsi="Calibri" w:cs="Calibri"/>
          <w:i/>
          <w:iCs/>
          <w:noProof/>
          <w:sz w:val="24"/>
        </w:rPr>
        <w:t>19</w:t>
      </w:r>
      <w:r w:rsidRPr="00F808ED">
        <w:rPr>
          <w:rFonts w:ascii="Calibri" w:hAnsi="Calibri" w:cs="Calibri"/>
          <w:noProof/>
          <w:sz w:val="24"/>
        </w:rPr>
        <w:t>(1), 425–446. https://doi.org/10.5194/acp-19-425-2019</w:t>
      </w:r>
    </w:p>
    <w:p w14:paraId="0BAE5C75" w14:textId="77777777" w:rsidR="00F808ED" w:rsidRPr="00F808ED" w:rsidRDefault="00F808ED" w:rsidP="00F808ED">
      <w:pPr>
        <w:widowControl w:val="0"/>
        <w:autoSpaceDE w:val="0"/>
        <w:autoSpaceDN w:val="0"/>
        <w:adjustRightInd w:val="0"/>
        <w:spacing w:before="120"/>
        <w:ind w:left="480" w:hanging="480"/>
        <w:rPr>
          <w:rFonts w:ascii="Calibri" w:hAnsi="Calibri" w:cs="Calibri"/>
          <w:noProof/>
          <w:sz w:val="24"/>
        </w:rPr>
      </w:pPr>
      <w:r w:rsidRPr="00F808ED">
        <w:rPr>
          <w:rFonts w:ascii="Calibri" w:hAnsi="Calibri" w:cs="Calibri"/>
          <w:noProof/>
          <w:sz w:val="24"/>
        </w:rPr>
        <w:t xml:space="preserve">Dietmüller, S., Garny, H., Plöger, F., Jöckel, P., &amp; Cai, D. (2017). Effects of mixing on resolved and </w:t>
      </w:r>
      <w:r w:rsidRPr="00F808ED">
        <w:rPr>
          <w:rFonts w:ascii="Calibri" w:hAnsi="Calibri" w:cs="Calibri"/>
          <w:noProof/>
          <w:sz w:val="24"/>
        </w:rPr>
        <w:lastRenderedPageBreak/>
        <w:t xml:space="preserve">unresolved scales on stratospheric age of air. </w:t>
      </w:r>
      <w:r w:rsidRPr="00F808ED">
        <w:rPr>
          <w:rFonts w:ascii="Calibri" w:hAnsi="Calibri" w:cs="Calibri"/>
          <w:i/>
          <w:iCs/>
          <w:noProof/>
          <w:sz w:val="24"/>
        </w:rPr>
        <w:t>Atmospheric Chemistry and Physics</w:t>
      </w:r>
      <w:r w:rsidRPr="00F808ED">
        <w:rPr>
          <w:rFonts w:ascii="Calibri" w:hAnsi="Calibri" w:cs="Calibri"/>
          <w:noProof/>
          <w:sz w:val="24"/>
        </w:rPr>
        <w:t xml:space="preserve">, </w:t>
      </w:r>
      <w:r w:rsidRPr="00F808ED">
        <w:rPr>
          <w:rFonts w:ascii="Calibri" w:hAnsi="Calibri" w:cs="Calibri"/>
          <w:i/>
          <w:iCs/>
          <w:noProof/>
          <w:sz w:val="24"/>
        </w:rPr>
        <w:t>17</w:t>
      </w:r>
      <w:r w:rsidRPr="00F808ED">
        <w:rPr>
          <w:rFonts w:ascii="Calibri" w:hAnsi="Calibri" w:cs="Calibri"/>
          <w:noProof/>
          <w:sz w:val="24"/>
        </w:rPr>
        <w:t>(12), 7703–7719. https://doi.org/10.5194/acp-17-7703-2017</w:t>
      </w:r>
    </w:p>
    <w:p w14:paraId="3B1D9FBD" w14:textId="77777777" w:rsidR="00F808ED" w:rsidRPr="00F808ED" w:rsidRDefault="00F808ED" w:rsidP="00F808ED">
      <w:pPr>
        <w:widowControl w:val="0"/>
        <w:autoSpaceDE w:val="0"/>
        <w:autoSpaceDN w:val="0"/>
        <w:adjustRightInd w:val="0"/>
        <w:spacing w:before="120"/>
        <w:ind w:left="480" w:hanging="480"/>
        <w:rPr>
          <w:rFonts w:ascii="Calibri" w:hAnsi="Calibri" w:cs="Calibri"/>
          <w:noProof/>
          <w:sz w:val="24"/>
        </w:rPr>
      </w:pPr>
      <w:r w:rsidRPr="00F808ED">
        <w:rPr>
          <w:rFonts w:ascii="Calibri" w:hAnsi="Calibri" w:cs="Calibri"/>
          <w:noProof/>
          <w:sz w:val="24"/>
        </w:rPr>
        <w:t xml:space="preserve">Dietmüller, S., Garny, H., Eichinger, R., &amp; T. Ball, W. (2021). Analysis of recent lower-stratospheric ozone trends in chemistry climate models. </w:t>
      </w:r>
      <w:r w:rsidRPr="00F808ED">
        <w:rPr>
          <w:rFonts w:ascii="Calibri" w:hAnsi="Calibri" w:cs="Calibri"/>
          <w:i/>
          <w:iCs/>
          <w:noProof/>
          <w:sz w:val="24"/>
        </w:rPr>
        <w:t>Atmospheric Chemistry and Physics</w:t>
      </w:r>
      <w:r w:rsidRPr="00F808ED">
        <w:rPr>
          <w:rFonts w:ascii="Calibri" w:hAnsi="Calibri" w:cs="Calibri"/>
          <w:noProof/>
          <w:sz w:val="24"/>
        </w:rPr>
        <w:t xml:space="preserve">, </w:t>
      </w:r>
      <w:r w:rsidRPr="00F808ED">
        <w:rPr>
          <w:rFonts w:ascii="Calibri" w:hAnsi="Calibri" w:cs="Calibri"/>
          <w:i/>
          <w:iCs/>
          <w:noProof/>
          <w:sz w:val="24"/>
        </w:rPr>
        <w:t>21</w:t>
      </w:r>
      <w:r w:rsidRPr="00F808ED">
        <w:rPr>
          <w:rFonts w:ascii="Calibri" w:hAnsi="Calibri" w:cs="Calibri"/>
          <w:noProof/>
          <w:sz w:val="24"/>
        </w:rPr>
        <w:t>(9), 6811–6837. https://doi.org/10.5194/acp-21-6811-2021</w:t>
      </w:r>
    </w:p>
    <w:p w14:paraId="7A85E814" w14:textId="77777777" w:rsidR="00F808ED" w:rsidRPr="00F808ED" w:rsidRDefault="00F808ED" w:rsidP="00F808ED">
      <w:pPr>
        <w:widowControl w:val="0"/>
        <w:autoSpaceDE w:val="0"/>
        <w:autoSpaceDN w:val="0"/>
        <w:adjustRightInd w:val="0"/>
        <w:spacing w:before="120"/>
        <w:ind w:left="480" w:hanging="480"/>
        <w:rPr>
          <w:rFonts w:ascii="Calibri" w:hAnsi="Calibri" w:cs="Calibri"/>
          <w:noProof/>
          <w:sz w:val="24"/>
        </w:rPr>
      </w:pPr>
      <w:r w:rsidRPr="00F808ED">
        <w:rPr>
          <w:rFonts w:ascii="Calibri" w:hAnsi="Calibri" w:cs="Calibri"/>
          <w:noProof/>
          <w:sz w:val="24"/>
        </w:rPr>
        <w:t xml:space="preserve">Froidevaux, L., Anderson, J., Wang, H. J., Fuller, R. A., Schwartz, M. J., Santee, M. L., et al. (2015). Global OZone Chemistry and Related trace gas Data records for the Stratosphere (GOZCARDS): Methodology and sample results with a focus on HCl, H2O, and O3. </w:t>
      </w:r>
      <w:r w:rsidRPr="00F808ED">
        <w:rPr>
          <w:rFonts w:ascii="Calibri" w:hAnsi="Calibri" w:cs="Calibri"/>
          <w:i/>
          <w:iCs/>
          <w:noProof/>
          <w:sz w:val="24"/>
        </w:rPr>
        <w:t>Atmospheric Chemistry and Physics</w:t>
      </w:r>
      <w:r w:rsidRPr="00F808ED">
        <w:rPr>
          <w:rFonts w:ascii="Calibri" w:hAnsi="Calibri" w:cs="Calibri"/>
          <w:noProof/>
          <w:sz w:val="24"/>
        </w:rPr>
        <w:t xml:space="preserve">, </w:t>
      </w:r>
      <w:r w:rsidRPr="00F808ED">
        <w:rPr>
          <w:rFonts w:ascii="Calibri" w:hAnsi="Calibri" w:cs="Calibri"/>
          <w:i/>
          <w:iCs/>
          <w:noProof/>
          <w:sz w:val="24"/>
        </w:rPr>
        <w:t>15</w:t>
      </w:r>
      <w:r w:rsidRPr="00F808ED">
        <w:rPr>
          <w:rFonts w:ascii="Calibri" w:hAnsi="Calibri" w:cs="Calibri"/>
          <w:noProof/>
          <w:sz w:val="24"/>
        </w:rPr>
        <w:t>(18), 10471–10507. https://doi.org/10.5194/acp-15-10471-2015</w:t>
      </w:r>
    </w:p>
    <w:p w14:paraId="7E253FF9" w14:textId="77777777" w:rsidR="00F808ED" w:rsidRPr="00F808ED" w:rsidRDefault="00F808ED" w:rsidP="00F808ED">
      <w:pPr>
        <w:widowControl w:val="0"/>
        <w:autoSpaceDE w:val="0"/>
        <w:autoSpaceDN w:val="0"/>
        <w:adjustRightInd w:val="0"/>
        <w:spacing w:before="120"/>
        <w:ind w:left="480" w:hanging="480"/>
        <w:rPr>
          <w:rFonts w:ascii="Calibri" w:hAnsi="Calibri" w:cs="Calibri"/>
          <w:noProof/>
          <w:sz w:val="24"/>
        </w:rPr>
      </w:pPr>
      <w:r w:rsidRPr="00F808ED">
        <w:rPr>
          <w:rFonts w:ascii="Calibri" w:hAnsi="Calibri" w:cs="Calibri"/>
          <w:noProof/>
          <w:sz w:val="24"/>
        </w:rPr>
        <w:t xml:space="preserve">Froidevaux, L., Kinnison, D. E., Wang, R., Anderson, J., &amp; Fuller, R. A. (2019). Evaluation of CESM1 (WACCM) free-running and specified dynamics atmospheric composition simulations using global multispecies satellite data records. </w:t>
      </w:r>
      <w:r w:rsidRPr="00F808ED">
        <w:rPr>
          <w:rFonts w:ascii="Calibri" w:hAnsi="Calibri" w:cs="Calibri"/>
          <w:i/>
          <w:iCs/>
          <w:noProof/>
          <w:sz w:val="24"/>
        </w:rPr>
        <w:t>Atmospheric Chemistry and Physics</w:t>
      </w:r>
      <w:r w:rsidRPr="00F808ED">
        <w:rPr>
          <w:rFonts w:ascii="Calibri" w:hAnsi="Calibri" w:cs="Calibri"/>
          <w:noProof/>
          <w:sz w:val="24"/>
        </w:rPr>
        <w:t xml:space="preserve">, </w:t>
      </w:r>
      <w:r w:rsidRPr="00F808ED">
        <w:rPr>
          <w:rFonts w:ascii="Calibri" w:hAnsi="Calibri" w:cs="Calibri"/>
          <w:i/>
          <w:iCs/>
          <w:noProof/>
          <w:sz w:val="24"/>
        </w:rPr>
        <w:t>19</w:t>
      </w:r>
      <w:r w:rsidRPr="00F808ED">
        <w:rPr>
          <w:rFonts w:ascii="Calibri" w:hAnsi="Calibri" w:cs="Calibri"/>
          <w:noProof/>
          <w:sz w:val="24"/>
        </w:rPr>
        <w:t>(7), 4783–4821. https://doi.org/10.5194/acp-19-4783-2019</w:t>
      </w:r>
    </w:p>
    <w:p w14:paraId="76142545" w14:textId="77777777" w:rsidR="00F808ED" w:rsidRPr="00F808ED" w:rsidRDefault="00F808ED" w:rsidP="00F808ED">
      <w:pPr>
        <w:widowControl w:val="0"/>
        <w:autoSpaceDE w:val="0"/>
        <w:autoSpaceDN w:val="0"/>
        <w:adjustRightInd w:val="0"/>
        <w:spacing w:before="120"/>
        <w:ind w:left="480" w:hanging="480"/>
        <w:rPr>
          <w:rFonts w:ascii="Calibri" w:hAnsi="Calibri" w:cs="Calibri"/>
          <w:noProof/>
          <w:sz w:val="24"/>
        </w:rPr>
      </w:pPr>
      <w:r w:rsidRPr="00F808ED">
        <w:rPr>
          <w:rFonts w:ascii="Calibri" w:hAnsi="Calibri" w:cs="Calibri"/>
          <w:noProof/>
          <w:sz w:val="24"/>
        </w:rPr>
        <w:t xml:space="preserve">Garcia, R. R., &amp; Solomon, S. (1983). A numerical model of the zonally averaged dynamical and chemical structure of the middle atmosphere. </w:t>
      </w:r>
      <w:r w:rsidRPr="00F808ED">
        <w:rPr>
          <w:rFonts w:ascii="Calibri" w:hAnsi="Calibri" w:cs="Calibri"/>
          <w:i/>
          <w:iCs/>
          <w:noProof/>
          <w:sz w:val="24"/>
        </w:rPr>
        <w:t>Journal of Geophysical Research</w:t>
      </w:r>
      <w:r w:rsidRPr="00F808ED">
        <w:rPr>
          <w:rFonts w:ascii="Calibri" w:hAnsi="Calibri" w:cs="Calibri"/>
          <w:noProof/>
          <w:sz w:val="24"/>
        </w:rPr>
        <w:t xml:space="preserve">, </w:t>
      </w:r>
      <w:r w:rsidRPr="00F808ED">
        <w:rPr>
          <w:rFonts w:ascii="Calibri" w:hAnsi="Calibri" w:cs="Calibri"/>
          <w:i/>
          <w:iCs/>
          <w:noProof/>
          <w:sz w:val="24"/>
        </w:rPr>
        <w:t>88</w:t>
      </w:r>
      <w:r w:rsidRPr="00F808ED">
        <w:rPr>
          <w:rFonts w:ascii="Calibri" w:hAnsi="Calibri" w:cs="Calibri"/>
          <w:noProof/>
          <w:sz w:val="24"/>
        </w:rPr>
        <w:t>(C2), 1379–1400. https://doi.org/10.1029/JC088iC02p01379</w:t>
      </w:r>
    </w:p>
    <w:p w14:paraId="7DE6C4F8" w14:textId="77777777" w:rsidR="00F808ED" w:rsidRPr="00F808ED" w:rsidRDefault="00F808ED" w:rsidP="00F808ED">
      <w:pPr>
        <w:widowControl w:val="0"/>
        <w:autoSpaceDE w:val="0"/>
        <w:autoSpaceDN w:val="0"/>
        <w:adjustRightInd w:val="0"/>
        <w:spacing w:before="120"/>
        <w:ind w:left="480" w:hanging="480"/>
        <w:rPr>
          <w:rFonts w:ascii="Calibri" w:hAnsi="Calibri" w:cs="Calibri"/>
          <w:noProof/>
          <w:sz w:val="24"/>
        </w:rPr>
      </w:pPr>
      <w:r w:rsidRPr="00F808ED">
        <w:rPr>
          <w:rFonts w:ascii="Calibri" w:hAnsi="Calibri" w:cs="Calibri"/>
          <w:noProof/>
          <w:sz w:val="24"/>
        </w:rPr>
        <w:t xml:space="preserve">Garny, H., Birner, T., Bönisch, H., &amp; Bunzel, F. (2014). The effects of mixing on age of air. </w:t>
      </w:r>
      <w:r w:rsidRPr="00F808ED">
        <w:rPr>
          <w:rFonts w:ascii="Calibri" w:hAnsi="Calibri" w:cs="Calibri"/>
          <w:i/>
          <w:iCs/>
          <w:noProof/>
          <w:sz w:val="24"/>
        </w:rPr>
        <w:t>Journal of Geophysical Research Atmospheres</w:t>
      </w:r>
      <w:r w:rsidRPr="00F808ED">
        <w:rPr>
          <w:rFonts w:ascii="Calibri" w:hAnsi="Calibri" w:cs="Calibri"/>
          <w:noProof/>
          <w:sz w:val="24"/>
        </w:rPr>
        <w:t xml:space="preserve">, </w:t>
      </w:r>
      <w:r w:rsidRPr="00F808ED">
        <w:rPr>
          <w:rFonts w:ascii="Calibri" w:hAnsi="Calibri" w:cs="Calibri"/>
          <w:i/>
          <w:iCs/>
          <w:noProof/>
          <w:sz w:val="24"/>
        </w:rPr>
        <w:t>119</w:t>
      </w:r>
      <w:r w:rsidRPr="00F808ED">
        <w:rPr>
          <w:rFonts w:ascii="Calibri" w:hAnsi="Calibri" w:cs="Calibri"/>
          <w:noProof/>
          <w:sz w:val="24"/>
        </w:rPr>
        <w:t>(12), 7015–7034. https://doi.org/10.1002/2013JD021417</w:t>
      </w:r>
    </w:p>
    <w:p w14:paraId="191F5682" w14:textId="77777777" w:rsidR="00F808ED" w:rsidRPr="00F808ED" w:rsidRDefault="00F808ED" w:rsidP="00F808ED">
      <w:pPr>
        <w:widowControl w:val="0"/>
        <w:autoSpaceDE w:val="0"/>
        <w:autoSpaceDN w:val="0"/>
        <w:adjustRightInd w:val="0"/>
        <w:spacing w:before="120"/>
        <w:ind w:left="480" w:hanging="480"/>
        <w:rPr>
          <w:rFonts w:ascii="Calibri" w:hAnsi="Calibri" w:cs="Calibri"/>
          <w:noProof/>
          <w:sz w:val="24"/>
        </w:rPr>
      </w:pPr>
      <w:r w:rsidRPr="00F808ED">
        <w:rPr>
          <w:rFonts w:ascii="Calibri" w:hAnsi="Calibri" w:cs="Calibri"/>
          <w:noProof/>
          <w:sz w:val="24"/>
        </w:rPr>
        <w:t xml:space="preserve">Gaudel, A., Cooper, O. R., Chang, K. L., Bourgeois, I., Ziemke, J. R., Strode, S. A., et al. (2020). Aircraft observations since the 1990s reveal increases of tropospheric ozone at multiple locations across the Northern Hemisphere. </w:t>
      </w:r>
      <w:r w:rsidRPr="00F808ED">
        <w:rPr>
          <w:rFonts w:ascii="Calibri" w:hAnsi="Calibri" w:cs="Calibri"/>
          <w:i/>
          <w:iCs/>
          <w:noProof/>
          <w:sz w:val="24"/>
        </w:rPr>
        <w:t>Science Advances</w:t>
      </w:r>
      <w:r w:rsidRPr="00F808ED">
        <w:rPr>
          <w:rFonts w:ascii="Calibri" w:hAnsi="Calibri" w:cs="Calibri"/>
          <w:noProof/>
          <w:sz w:val="24"/>
        </w:rPr>
        <w:t xml:space="preserve">, </w:t>
      </w:r>
      <w:r w:rsidRPr="00F808ED">
        <w:rPr>
          <w:rFonts w:ascii="Calibri" w:hAnsi="Calibri" w:cs="Calibri"/>
          <w:i/>
          <w:iCs/>
          <w:noProof/>
          <w:sz w:val="24"/>
        </w:rPr>
        <w:t>6</w:t>
      </w:r>
      <w:r w:rsidRPr="00F808ED">
        <w:rPr>
          <w:rFonts w:ascii="Calibri" w:hAnsi="Calibri" w:cs="Calibri"/>
          <w:noProof/>
          <w:sz w:val="24"/>
        </w:rPr>
        <w:t>(34), 1–11. https://doi.org/10.1126/sciadv.aba8272</w:t>
      </w:r>
    </w:p>
    <w:p w14:paraId="624668CE" w14:textId="77777777" w:rsidR="00F808ED" w:rsidRPr="00F808ED" w:rsidRDefault="00F808ED" w:rsidP="00F808ED">
      <w:pPr>
        <w:widowControl w:val="0"/>
        <w:autoSpaceDE w:val="0"/>
        <w:autoSpaceDN w:val="0"/>
        <w:adjustRightInd w:val="0"/>
        <w:spacing w:before="120"/>
        <w:ind w:left="480" w:hanging="480"/>
        <w:rPr>
          <w:rFonts w:ascii="Calibri" w:hAnsi="Calibri" w:cs="Calibri"/>
          <w:noProof/>
          <w:sz w:val="24"/>
        </w:rPr>
      </w:pPr>
      <w:r w:rsidRPr="00F808ED">
        <w:rPr>
          <w:rFonts w:ascii="Calibri" w:hAnsi="Calibri" w:cs="Calibri"/>
          <w:noProof/>
          <w:sz w:val="24"/>
        </w:rPr>
        <w:t xml:space="preserve">Gettelman, A., Mills, M. J., Kinnison, D. E., Garcia, R. R., Smith, A. K., Marsh, D. R., et al. (2019). The Whole Atmosphere Community Climate Model Version 6 (WACCM6). </w:t>
      </w:r>
      <w:r w:rsidRPr="00F808ED">
        <w:rPr>
          <w:rFonts w:ascii="Calibri" w:hAnsi="Calibri" w:cs="Calibri"/>
          <w:i/>
          <w:iCs/>
          <w:noProof/>
          <w:sz w:val="24"/>
        </w:rPr>
        <w:t>Journal of Geophysical Research: Atmospheres</w:t>
      </w:r>
      <w:r w:rsidRPr="00F808ED">
        <w:rPr>
          <w:rFonts w:ascii="Calibri" w:hAnsi="Calibri" w:cs="Calibri"/>
          <w:noProof/>
          <w:sz w:val="24"/>
        </w:rPr>
        <w:t xml:space="preserve">, </w:t>
      </w:r>
      <w:r w:rsidRPr="00F808ED">
        <w:rPr>
          <w:rFonts w:ascii="Calibri" w:hAnsi="Calibri" w:cs="Calibri"/>
          <w:i/>
          <w:iCs/>
          <w:noProof/>
          <w:sz w:val="24"/>
        </w:rPr>
        <w:t>124</w:t>
      </w:r>
      <w:r w:rsidRPr="00F808ED">
        <w:rPr>
          <w:rFonts w:ascii="Calibri" w:hAnsi="Calibri" w:cs="Calibri"/>
          <w:noProof/>
          <w:sz w:val="24"/>
        </w:rPr>
        <w:t>(23), 12380–12403. https://doi.org/10.1029/2019JD030943</w:t>
      </w:r>
    </w:p>
    <w:p w14:paraId="422F8DCA" w14:textId="77777777" w:rsidR="00F808ED" w:rsidRPr="00F808ED" w:rsidRDefault="00F808ED" w:rsidP="00F808ED">
      <w:pPr>
        <w:widowControl w:val="0"/>
        <w:autoSpaceDE w:val="0"/>
        <w:autoSpaceDN w:val="0"/>
        <w:adjustRightInd w:val="0"/>
        <w:spacing w:before="120"/>
        <w:ind w:left="480" w:hanging="480"/>
        <w:rPr>
          <w:rFonts w:ascii="Calibri" w:hAnsi="Calibri" w:cs="Calibri"/>
          <w:noProof/>
          <w:sz w:val="24"/>
        </w:rPr>
      </w:pPr>
      <w:r w:rsidRPr="00F808ED">
        <w:rPr>
          <w:rFonts w:ascii="Calibri" w:hAnsi="Calibri" w:cs="Calibri"/>
          <w:noProof/>
          <w:sz w:val="24"/>
        </w:rPr>
        <w:t xml:space="preserve">Godin-Beekmann, S., Azouz, N., Sofieva, V. F., Hubert, D., Petropavlovskikh, I., Effertz, P., et al. (2022). Updated trends of the stratospheric ozone vertical distribution in the 60°S-60°N latitude range based on the LOTUS regression model. </w:t>
      </w:r>
      <w:r w:rsidRPr="00F808ED">
        <w:rPr>
          <w:rFonts w:ascii="Calibri" w:hAnsi="Calibri" w:cs="Calibri"/>
          <w:i/>
          <w:iCs/>
          <w:noProof/>
          <w:sz w:val="24"/>
        </w:rPr>
        <w:t>Atmospheric Chemistry and Physics</w:t>
      </w:r>
      <w:r w:rsidRPr="00F808ED">
        <w:rPr>
          <w:rFonts w:ascii="Calibri" w:hAnsi="Calibri" w:cs="Calibri"/>
          <w:noProof/>
          <w:sz w:val="24"/>
        </w:rPr>
        <w:t xml:space="preserve">, </w:t>
      </w:r>
      <w:r w:rsidRPr="00F808ED">
        <w:rPr>
          <w:rFonts w:ascii="Calibri" w:hAnsi="Calibri" w:cs="Calibri"/>
          <w:i/>
          <w:iCs/>
          <w:noProof/>
          <w:sz w:val="24"/>
        </w:rPr>
        <w:t>22</w:t>
      </w:r>
      <w:r w:rsidRPr="00F808ED">
        <w:rPr>
          <w:rFonts w:ascii="Calibri" w:hAnsi="Calibri" w:cs="Calibri"/>
          <w:noProof/>
          <w:sz w:val="24"/>
        </w:rPr>
        <w:t>(17), 11657–11673. https://doi.org/10.5194/acp-22-11657-2022</w:t>
      </w:r>
    </w:p>
    <w:p w14:paraId="355F47E3" w14:textId="77777777" w:rsidR="00F808ED" w:rsidRPr="00F808ED" w:rsidRDefault="00F808ED" w:rsidP="00F808ED">
      <w:pPr>
        <w:widowControl w:val="0"/>
        <w:autoSpaceDE w:val="0"/>
        <w:autoSpaceDN w:val="0"/>
        <w:adjustRightInd w:val="0"/>
        <w:spacing w:before="120"/>
        <w:ind w:left="480" w:hanging="480"/>
        <w:rPr>
          <w:rFonts w:ascii="Calibri" w:hAnsi="Calibri" w:cs="Calibri"/>
          <w:noProof/>
          <w:sz w:val="24"/>
        </w:rPr>
      </w:pPr>
      <w:r w:rsidRPr="00F808ED">
        <w:rPr>
          <w:rFonts w:ascii="Calibri" w:hAnsi="Calibri" w:cs="Calibri"/>
          <w:noProof/>
          <w:sz w:val="24"/>
        </w:rPr>
        <w:t xml:space="preserve">Hersbach, H., Bell, B., Berrisford, P., Hirahara, S., Horányi, A., Muñoz-Sabater, J., et al. (2020). The ERA5 global reanalysis. </w:t>
      </w:r>
      <w:r w:rsidRPr="00F808ED">
        <w:rPr>
          <w:rFonts w:ascii="Calibri" w:hAnsi="Calibri" w:cs="Calibri"/>
          <w:i/>
          <w:iCs/>
          <w:noProof/>
          <w:sz w:val="24"/>
        </w:rPr>
        <w:t>Quarterly Journal of the Royal Meteorological Society</w:t>
      </w:r>
      <w:r w:rsidRPr="00F808ED">
        <w:rPr>
          <w:rFonts w:ascii="Calibri" w:hAnsi="Calibri" w:cs="Calibri"/>
          <w:noProof/>
          <w:sz w:val="24"/>
        </w:rPr>
        <w:t xml:space="preserve">, </w:t>
      </w:r>
      <w:r w:rsidRPr="00F808ED">
        <w:rPr>
          <w:rFonts w:ascii="Calibri" w:hAnsi="Calibri" w:cs="Calibri"/>
          <w:i/>
          <w:iCs/>
          <w:noProof/>
          <w:sz w:val="24"/>
        </w:rPr>
        <w:t>146</w:t>
      </w:r>
      <w:r w:rsidRPr="00F808ED">
        <w:rPr>
          <w:rFonts w:ascii="Calibri" w:hAnsi="Calibri" w:cs="Calibri"/>
          <w:noProof/>
          <w:sz w:val="24"/>
        </w:rPr>
        <w:t>(730), 1999–2049. https://doi.org/10.1002/qj.3803</w:t>
      </w:r>
    </w:p>
    <w:p w14:paraId="2355B093" w14:textId="77777777" w:rsidR="00F808ED" w:rsidRPr="00F808ED" w:rsidRDefault="00F808ED" w:rsidP="00F808ED">
      <w:pPr>
        <w:widowControl w:val="0"/>
        <w:autoSpaceDE w:val="0"/>
        <w:autoSpaceDN w:val="0"/>
        <w:adjustRightInd w:val="0"/>
        <w:spacing w:before="120"/>
        <w:ind w:left="480" w:hanging="480"/>
        <w:rPr>
          <w:rFonts w:ascii="Calibri" w:hAnsi="Calibri" w:cs="Calibri"/>
          <w:noProof/>
          <w:sz w:val="24"/>
        </w:rPr>
      </w:pPr>
      <w:r w:rsidRPr="00587198">
        <w:rPr>
          <w:rFonts w:ascii="Calibri" w:hAnsi="Calibri" w:cs="Calibri"/>
          <w:noProof/>
          <w:sz w:val="24"/>
          <w:lang w:val="de-DE"/>
        </w:rPr>
        <w:t xml:space="preserve">Jöckel, P., Tost, H., Pozzer, A., Kunze, M., Kirner, O., Brenninkmeijer, C. A. M., et al. </w:t>
      </w:r>
      <w:r w:rsidRPr="00F808ED">
        <w:rPr>
          <w:rFonts w:ascii="Calibri" w:hAnsi="Calibri" w:cs="Calibri"/>
          <w:noProof/>
          <w:sz w:val="24"/>
        </w:rPr>
        <w:t xml:space="preserve">(2016). Earth System Chemistry integrated Modelling (ESCiMo) with the Modular Earth Submodel System (MESSy) version 2.51. </w:t>
      </w:r>
      <w:r w:rsidRPr="00F808ED">
        <w:rPr>
          <w:rFonts w:ascii="Calibri" w:hAnsi="Calibri" w:cs="Calibri"/>
          <w:i/>
          <w:iCs/>
          <w:noProof/>
          <w:sz w:val="24"/>
        </w:rPr>
        <w:t>Geoscientific Model Development</w:t>
      </w:r>
      <w:r w:rsidRPr="00F808ED">
        <w:rPr>
          <w:rFonts w:ascii="Calibri" w:hAnsi="Calibri" w:cs="Calibri"/>
          <w:noProof/>
          <w:sz w:val="24"/>
        </w:rPr>
        <w:t xml:space="preserve">, </w:t>
      </w:r>
      <w:r w:rsidRPr="00F808ED">
        <w:rPr>
          <w:rFonts w:ascii="Calibri" w:hAnsi="Calibri" w:cs="Calibri"/>
          <w:i/>
          <w:iCs/>
          <w:noProof/>
          <w:sz w:val="24"/>
        </w:rPr>
        <w:t>9</w:t>
      </w:r>
      <w:r w:rsidRPr="00F808ED">
        <w:rPr>
          <w:rFonts w:ascii="Calibri" w:hAnsi="Calibri" w:cs="Calibri"/>
          <w:noProof/>
          <w:sz w:val="24"/>
        </w:rPr>
        <w:t>(3), 1153–1200. https://doi.org/10.5194/gmd-9-1153-2016</w:t>
      </w:r>
    </w:p>
    <w:p w14:paraId="2963BA77" w14:textId="77777777" w:rsidR="00F808ED" w:rsidRPr="00F808ED" w:rsidRDefault="00F808ED" w:rsidP="00F808ED">
      <w:pPr>
        <w:widowControl w:val="0"/>
        <w:autoSpaceDE w:val="0"/>
        <w:autoSpaceDN w:val="0"/>
        <w:adjustRightInd w:val="0"/>
        <w:spacing w:before="120"/>
        <w:ind w:left="480" w:hanging="480"/>
        <w:rPr>
          <w:rFonts w:ascii="Calibri" w:hAnsi="Calibri" w:cs="Calibri"/>
          <w:noProof/>
          <w:sz w:val="24"/>
        </w:rPr>
      </w:pPr>
      <w:r w:rsidRPr="00F808ED">
        <w:rPr>
          <w:rFonts w:ascii="Calibri" w:hAnsi="Calibri" w:cs="Calibri"/>
          <w:noProof/>
          <w:sz w:val="24"/>
        </w:rPr>
        <w:lastRenderedPageBreak/>
        <w:t xml:space="preserve">Jonsson, A. I., de Grandpré, J., Fomichev, V. I., McConnell, J. C., &amp; Beagley, S. R. (2004). Doubled CO2-induced cooling in the middle atmosphere: Photochemical analysis of the ozone radiative feedback. </w:t>
      </w:r>
      <w:r w:rsidRPr="00F808ED">
        <w:rPr>
          <w:rFonts w:ascii="Calibri" w:hAnsi="Calibri" w:cs="Calibri"/>
          <w:i/>
          <w:iCs/>
          <w:noProof/>
          <w:sz w:val="24"/>
        </w:rPr>
        <w:t>Journal of Geophysical Research D: Atmospheres</w:t>
      </w:r>
      <w:r w:rsidRPr="00F808ED">
        <w:rPr>
          <w:rFonts w:ascii="Calibri" w:hAnsi="Calibri" w:cs="Calibri"/>
          <w:noProof/>
          <w:sz w:val="24"/>
        </w:rPr>
        <w:t xml:space="preserve">, </w:t>
      </w:r>
      <w:r w:rsidRPr="00F808ED">
        <w:rPr>
          <w:rFonts w:ascii="Calibri" w:hAnsi="Calibri" w:cs="Calibri"/>
          <w:i/>
          <w:iCs/>
          <w:noProof/>
          <w:sz w:val="24"/>
        </w:rPr>
        <w:t>109</w:t>
      </w:r>
      <w:r w:rsidRPr="00F808ED">
        <w:rPr>
          <w:rFonts w:ascii="Calibri" w:hAnsi="Calibri" w:cs="Calibri"/>
          <w:noProof/>
          <w:sz w:val="24"/>
        </w:rPr>
        <w:t>(24), 1–18. https://doi.org/10.1029/2004JD005093</w:t>
      </w:r>
    </w:p>
    <w:p w14:paraId="71F53082" w14:textId="77777777" w:rsidR="00F808ED" w:rsidRPr="00F808ED" w:rsidRDefault="00F808ED" w:rsidP="00F808ED">
      <w:pPr>
        <w:widowControl w:val="0"/>
        <w:autoSpaceDE w:val="0"/>
        <w:autoSpaceDN w:val="0"/>
        <w:adjustRightInd w:val="0"/>
        <w:spacing w:before="120"/>
        <w:ind w:left="480" w:hanging="480"/>
        <w:rPr>
          <w:rFonts w:ascii="Calibri" w:hAnsi="Calibri" w:cs="Calibri"/>
          <w:noProof/>
          <w:sz w:val="24"/>
        </w:rPr>
      </w:pPr>
      <w:r w:rsidRPr="00F808ED">
        <w:rPr>
          <w:rFonts w:ascii="Calibri" w:hAnsi="Calibri" w:cs="Calibri"/>
          <w:noProof/>
          <w:sz w:val="24"/>
        </w:rPr>
        <w:t xml:space="preserve">Josse, B., Simon, P., &amp; Peuch, V.-H. (2004). Radon global simulations with the multiscale chemistry and transport model MOCAGE. </w:t>
      </w:r>
      <w:r w:rsidRPr="00F808ED">
        <w:rPr>
          <w:rFonts w:ascii="Calibri" w:hAnsi="Calibri" w:cs="Calibri"/>
          <w:i/>
          <w:iCs/>
          <w:noProof/>
          <w:sz w:val="24"/>
        </w:rPr>
        <w:t>Tellus B: Chemical and Physical Meteorology</w:t>
      </w:r>
      <w:r w:rsidRPr="00F808ED">
        <w:rPr>
          <w:rFonts w:ascii="Calibri" w:hAnsi="Calibri" w:cs="Calibri"/>
          <w:noProof/>
          <w:sz w:val="24"/>
        </w:rPr>
        <w:t xml:space="preserve">, </w:t>
      </w:r>
      <w:r w:rsidRPr="00F808ED">
        <w:rPr>
          <w:rFonts w:ascii="Calibri" w:hAnsi="Calibri" w:cs="Calibri"/>
          <w:i/>
          <w:iCs/>
          <w:noProof/>
          <w:sz w:val="24"/>
        </w:rPr>
        <w:t>56</w:t>
      </w:r>
      <w:r w:rsidRPr="00F808ED">
        <w:rPr>
          <w:rFonts w:ascii="Calibri" w:hAnsi="Calibri" w:cs="Calibri"/>
          <w:noProof/>
          <w:sz w:val="24"/>
        </w:rPr>
        <w:t>(4), 339. https://doi.org/10.3402/tellusb.v56i4.16448</w:t>
      </w:r>
    </w:p>
    <w:p w14:paraId="6652DDCA" w14:textId="77777777" w:rsidR="00F808ED" w:rsidRPr="00F808ED" w:rsidRDefault="00F808ED" w:rsidP="00F808ED">
      <w:pPr>
        <w:widowControl w:val="0"/>
        <w:autoSpaceDE w:val="0"/>
        <w:autoSpaceDN w:val="0"/>
        <w:adjustRightInd w:val="0"/>
        <w:spacing w:before="120"/>
        <w:ind w:left="480" w:hanging="480"/>
        <w:rPr>
          <w:rFonts w:ascii="Calibri" w:hAnsi="Calibri" w:cs="Calibri"/>
          <w:noProof/>
          <w:sz w:val="24"/>
        </w:rPr>
      </w:pPr>
      <w:r w:rsidRPr="00F808ED">
        <w:rPr>
          <w:rFonts w:ascii="Calibri" w:hAnsi="Calibri" w:cs="Calibri"/>
          <w:noProof/>
          <w:sz w:val="24"/>
        </w:rPr>
        <w:t xml:space="preserve">Kawamiya, M., Hajima, T., Tachiiri, K., Watanabe, S., &amp; Yokohata, T. (2020). Two decades of Earth system modeling with an emphasis on Model for Interdisciplinary Research on Climate (MIROC). </w:t>
      </w:r>
      <w:r w:rsidRPr="00F808ED">
        <w:rPr>
          <w:rFonts w:ascii="Calibri" w:hAnsi="Calibri" w:cs="Calibri"/>
          <w:i/>
          <w:iCs/>
          <w:noProof/>
          <w:sz w:val="24"/>
        </w:rPr>
        <w:t>Progress in Earth and Planetary Science</w:t>
      </w:r>
      <w:r w:rsidRPr="00F808ED">
        <w:rPr>
          <w:rFonts w:ascii="Calibri" w:hAnsi="Calibri" w:cs="Calibri"/>
          <w:noProof/>
          <w:sz w:val="24"/>
        </w:rPr>
        <w:t xml:space="preserve">, </w:t>
      </w:r>
      <w:r w:rsidRPr="00F808ED">
        <w:rPr>
          <w:rFonts w:ascii="Calibri" w:hAnsi="Calibri" w:cs="Calibri"/>
          <w:i/>
          <w:iCs/>
          <w:noProof/>
          <w:sz w:val="24"/>
        </w:rPr>
        <w:t>7</w:t>
      </w:r>
      <w:r w:rsidRPr="00F808ED">
        <w:rPr>
          <w:rFonts w:ascii="Calibri" w:hAnsi="Calibri" w:cs="Calibri"/>
          <w:noProof/>
          <w:sz w:val="24"/>
        </w:rPr>
        <w:t>(1). https://doi.org/10.1186/s40645-020-00369-5</w:t>
      </w:r>
    </w:p>
    <w:p w14:paraId="1413843F" w14:textId="77777777" w:rsidR="00F808ED" w:rsidRPr="00F808ED" w:rsidRDefault="00F808ED" w:rsidP="00F808ED">
      <w:pPr>
        <w:widowControl w:val="0"/>
        <w:autoSpaceDE w:val="0"/>
        <w:autoSpaceDN w:val="0"/>
        <w:adjustRightInd w:val="0"/>
        <w:spacing w:before="120"/>
        <w:ind w:left="480" w:hanging="480"/>
        <w:rPr>
          <w:rFonts w:ascii="Calibri" w:hAnsi="Calibri" w:cs="Calibri"/>
          <w:noProof/>
          <w:sz w:val="24"/>
        </w:rPr>
      </w:pPr>
      <w:r w:rsidRPr="00587198">
        <w:rPr>
          <w:rFonts w:ascii="Calibri" w:hAnsi="Calibri" w:cs="Calibri"/>
          <w:noProof/>
          <w:sz w:val="24"/>
          <w:lang w:val="es-ES"/>
        </w:rPr>
        <w:t xml:space="preserve">Keeble, J., Hassler, B., Banerjee, A., Checa-Garcia, R., Chiodo, G., Davis, S., et al. </w:t>
      </w:r>
      <w:r w:rsidRPr="00F808ED">
        <w:rPr>
          <w:rFonts w:ascii="Calibri" w:hAnsi="Calibri" w:cs="Calibri"/>
          <w:noProof/>
          <w:sz w:val="24"/>
        </w:rPr>
        <w:t xml:space="preserve">(2021). Evaluating stratospheric ozone and water vapour changes in CMIP6 models from 1850 to 2100. </w:t>
      </w:r>
      <w:r w:rsidRPr="00F808ED">
        <w:rPr>
          <w:rFonts w:ascii="Calibri" w:hAnsi="Calibri" w:cs="Calibri"/>
          <w:i/>
          <w:iCs/>
          <w:noProof/>
          <w:sz w:val="24"/>
        </w:rPr>
        <w:t>Atmospheric Chemistry and Physics</w:t>
      </w:r>
      <w:r w:rsidRPr="00F808ED">
        <w:rPr>
          <w:rFonts w:ascii="Calibri" w:hAnsi="Calibri" w:cs="Calibri"/>
          <w:noProof/>
          <w:sz w:val="24"/>
        </w:rPr>
        <w:t xml:space="preserve">, </w:t>
      </w:r>
      <w:r w:rsidRPr="00F808ED">
        <w:rPr>
          <w:rFonts w:ascii="Calibri" w:hAnsi="Calibri" w:cs="Calibri"/>
          <w:i/>
          <w:iCs/>
          <w:noProof/>
          <w:sz w:val="24"/>
        </w:rPr>
        <w:t>21</w:t>
      </w:r>
      <w:r w:rsidRPr="00F808ED">
        <w:rPr>
          <w:rFonts w:ascii="Calibri" w:hAnsi="Calibri" w:cs="Calibri"/>
          <w:noProof/>
          <w:sz w:val="24"/>
        </w:rPr>
        <w:t>(6), 5015–5061. https://doi.org/10.5194/acp-21-5015-2021</w:t>
      </w:r>
    </w:p>
    <w:p w14:paraId="4BC53403" w14:textId="77777777" w:rsidR="00F808ED" w:rsidRPr="00F808ED" w:rsidRDefault="00F808ED" w:rsidP="00F808ED">
      <w:pPr>
        <w:widowControl w:val="0"/>
        <w:autoSpaceDE w:val="0"/>
        <w:autoSpaceDN w:val="0"/>
        <w:adjustRightInd w:val="0"/>
        <w:spacing w:before="120"/>
        <w:ind w:left="480" w:hanging="480"/>
        <w:rPr>
          <w:rFonts w:ascii="Calibri" w:hAnsi="Calibri" w:cs="Calibri"/>
          <w:noProof/>
          <w:sz w:val="24"/>
        </w:rPr>
      </w:pPr>
      <w:r w:rsidRPr="00F808ED">
        <w:rPr>
          <w:rFonts w:ascii="Calibri" w:hAnsi="Calibri" w:cs="Calibri"/>
          <w:noProof/>
          <w:sz w:val="24"/>
        </w:rPr>
        <w:t xml:space="preserve">Liu, J., Strode, S. A., Liang, Q., Oman, L. D., Colarco, P. R., Fleming, E. L., et al. (2022). Change in Tropospheric Ozone in the Recent Decades and Its Contribution to Global Total Ozone. </w:t>
      </w:r>
      <w:r w:rsidRPr="00F808ED">
        <w:rPr>
          <w:rFonts w:ascii="Calibri" w:hAnsi="Calibri" w:cs="Calibri"/>
          <w:i/>
          <w:iCs/>
          <w:noProof/>
          <w:sz w:val="24"/>
        </w:rPr>
        <w:t>Journal of Geophysical Research: Atmospheres</w:t>
      </w:r>
      <w:r w:rsidRPr="00F808ED">
        <w:rPr>
          <w:rFonts w:ascii="Calibri" w:hAnsi="Calibri" w:cs="Calibri"/>
          <w:noProof/>
          <w:sz w:val="24"/>
        </w:rPr>
        <w:t xml:space="preserve">, </w:t>
      </w:r>
      <w:r w:rsidRPr="00F808ED">
        <w:rPr>
          <w:rFonts w:ascii="Calibri" w:hAnsi="Calibri" w:cs="Calibri"/>
          <w:i/>
          <w:iCs/>
          <w:noProof/>
          <w:sz w:val="24"/>
        </w:rPr>
        <w:t>127</w:t>
      </w:r>
      <w:r w:rsidRPr="00F808ED">
        <w:rPr>
          <w:rFonts w:ascii="Calibri" w:hAnsi="Calibri" w:cs="Calibri"/>
          <w:noProof/>
          <w:sz w:val="24"/>
        </w:rPr>
        <w:t>(22). https://doi.org/10.1029/2022JD037170</w:t>
      </w:r>
    </w:p>
    <w:p w14:paraId="676929BC" w14:textId="77777777" w:rsidR="00F808ED" w:rsidRPr="00F808ED" w:rsidRDefault="00F808ED" w:rsidP="00F808ED">
      <w:pPr>
        <w:widowControl w:val="0"/>
        <w:autoSpaceDE w:val="0"/>
        <w:autoSpaceDN w:val="0"/>
        <w:adjustRightInd w:val="0"/>
        <w:spacing w:before="120"/>
        <w:ind w:left="480" w:hanging="480"/>
        <w:rPr>
          <w:rFonts w:ascii="Calibri" w:hAnsi="Calibri" w:cs="Calibri"/>
          <w:noProof/>
          <w:sz w:val="24"/>
        </w:rPr>
      </w:pPr>
      <w:r w:rsidRPr="00F808ED">
        <w:rPr>
          <w:rFonts w:ascii="Calibri" w:hAnsi="Calibri" w:cs="Calibri"/>
          <w:noProof/>
          <w:sz w:val="24"/>
        </w:rPr>
        <w:t xml:space="preserve">Marchand, M., Keckhut, P., Lefebvre, S., Claud, C., Cugnet, D., Hauchecorne, A., et al. (2012). Dynamical amplification of the stratospheric solar response simulated with the Chemistry-Climate Model LMDz-Reprobus. </w:t>
      </w:r>
      <w:r w:rsidRPr="00F808ED">
        <w:rPr>
          <w:rFonts w:ascii="Calibri" w:hAnsi="Calibri" w:cs="Calibri"/>
          <w:i/>
          <w:iCs/>
          <w:noProof/>
          <w:sz w:val="24"/>
        </w:rPr>
        <w:t>Journal of Atmospheric and Solar-Terrestrial Physics</w:t>
      </w:r>
      <w:r w:rsidRPr="00F808ED">
        <w:rPr>
          <w:rFonts w:ascii="Calibri" w:hAnsi="Calibri" w:cs="Calibri"/>
          <w:noProof/>
          <w:sz w:val="24"/>
        </w:rPr>
        <w:t xml:space="preserve">, </w:t>
      </w:r>
      <w:r w:rsidRPr="00F808ED">
        <w:rPr>
          <w:rFonts w:ascii="Calibri" w:hAnsi="Calibri" w:cs="Calibri"/>
          <w:i/>
          <w:iCs/>
          <w:noProof/>
          <w:sz w:val="24"/>
        </w:rPr>
        <w:t>75</w:t>
      </w:r>
      <w:r w:rsidRPr="00F808ED">
        <w:rPr>
          <w:rFonts w:ascii="Calibri" w:hAnsi="Calibri" w:cs="Calibri"/>
          <w:noProof/>
          <w:sz w:val="24"/>
        </w:rPr>
        <w:t>–</w:t>
      </w:r>
      <w:r w:rsidRPr="00F808ED">
        <w:rPr>
          <w:rFonts w:ascii="Calibri" w:hAnsi="Calibri" w:cs="Calibri"/>
          <w:i/>
          <w:iCs/>
          <w:noProof/>
          <w:sz w:val="24"/>
        </w:rPr>
        <w:t>76</w:t>
      </w:r>
      <w:r w:rsidRPr="00F808ED">
        <w:rPr>
          <w:rFonts w:ascii="Calibri" w:hAnsi="Calibri" w:cs="Calibri"/>
          <w:noProof/>
          <w:sz w:val="24"/>
        </w:rPr>
        <w:t>, 147–160. https://doi.org/10.1016/j.jastp.2011.11.008</w:t>
      </w:r>
    </w:p>
    <w:p w14:paraId="4872F88C" w14:textId="77777777" w:rsidR="00F808ED" w:rsidRPr="00F808ED" w:rsidRDefault="00F808ED" w:rsidP="00F808ED">
      <w:pPr>
        <w:widowControl w:val="0"/>
        <w:autoSpaceDE w:val="0"/>
        <w:autoSpaceDN w:val="0"/>
        <w:adjustRightInd w:val="0"/>
        <w:spacing w:before="120"/>
        <w:ind w:left="480" w:hanging="480"/>
        <w:rPr>
          <w:rFonts w:ascii="Calibri" w:hAnsi="Calibri" w:cs="Calibri"/>
          <w:noProof/>
          <w:sz w:val="24"/>
        </w:rPr>
      </w:pPr>
      <w:r w:rsidRPr="00F808ED">
        <w:rPr>
          <w:rFonts w:ascii="Calibri" w:hAnsi="Calibri" w:cs="Calibri"/>
          <w:noProof/>
          <w:sz w:val="24"/>
        </w:rPr>
        <w:t xml:space="preserve">Matthes, K., Funke, B., Andersson, M. E., Barnard, L., Beer, J., Charbonneau, P., et al. (2017). Solar forcing for CMIP6 (v3.2). </w:t>
      </w:r>
      <w:r w:rsidRPr="00F808ED">
        <w:rPr>
          <w:rFonts w:ascii="Calibri" w:hAnsi="Calibri" w:cs="Calibri"/>
          <w:i/>
          <w:iCs/>
          <w:noProof/>
          <w:sz w:val="24"/>
        </w:rPr>
        <w:t>Geoscientific Model Development</w:t>
      </w:r>
      <w:r w:rsidRPr="00F808ED">
        <w:rPr>
          <w:rFonts w:ascii="Calibri" w:hAnsi="Calibri" w:cs="Calibri"/>
          <w:noProof/>
          <w:sz w:val="24"/>
        </w:rPr>
        <w:t xml:space="preserve">, </w:t>
      </w:r>
      <w:r w:rsidRPr="00F808ED">
        <w:rPr>
          <w:rFonts w:ascii="Calibri" w:hAnsi="Calibri" w:cs="Calibri"/>
          <w:i/>
          <w:iCs/>
          <w:noProof/>
          <w:sz w:val="24"/>
        </w:rPr>
        <w:t>10</w:t>
      </w:r>
      <w:r w:rsidRPr="00F808ED">
        <w:rPr>
          <w:rFonts w:ascii="Calibri" w:hAnsi="Calibri" w:cs="Calibri"/>
          <w:noProof/>
          <w:sz w:val="24"/>
        </w:rPr>
        <w:t>(6), 2247–2302. https://doi.org/10.5194/gmd-10-2247-2017</w:t>
      </w:r>
    </w:p>
    <w:p w14:paraId="7DB5F83C" w14:textId="77777777" w:rsidR="00F808ED" w:rsidRPr="00F808ED" w:rsidRDefault="00F808ED" w:rsidP="00F808ED">
      <w:pPr>
        <w:widowControl w:val="0"/>
        <w:autoSpaceDE w:val="0"/>
        <w:autoSpaceDN w:val="0"/>
        <w:adjustRightInd w:val="0"/>
        <w:spacing w:before="120"/>
        <w:ind w:left="480" w:hanging="480"/>
        <w:rPr>
          <w:rFonts w:ascii="Calibri" w:hAnsi="Calibri" w:cs="Calibri"/>
          <w:noProof/>
          <w:sz w:val="24"/>
        </w:rPr>
      </w:pPr>
      <w:r w:rsidRPr="00F808ED">
        <w:rPr>
          <w:rFonts w:ascii="Calibri" w:hAnsi="Calibri" w:cs="Calibri"/>
          <w:noProof/>
          <w:sz w:val="24"/>
        </w:rPr>
        <w:t xml:space="preserve">Meinshausen, M., Vogel, E., Nauels, A., Lorbacher, K., Meinshausen, N., Etheridge, D. M., et al. (2017). Historical greenhouse gas concentrations for climate modelling (CMIP6). </w:t>
      </w:r>
      <w:r w:rsidRPr="00F808ED">
        <w:rPr>
          <w:rFonts w:ascii="Calibri" w:hAnsi="Calibri" w:cs="Calibri"/>
          <w:i/>
          <w:iCs/>
          <w:noProof/>
          <w:sz w:val="24"/>
        </w:rPr>
        <w:t>Geoscientific Model Development</w:t>
      </w:r>
      <w:r w:rsidRPr="00F808ED">
        <w:rPr>
          <w:rFonts w:ascii="Calibri" w:hAnsi="Calibri" w:cs="Calibri"/>
          <w:noProof/>
          <w:sz w:val="24"/>
        </w:rPr>
        <w:t xml:space="preserve">, </w:t>
      </w:r>
      <w:r w:rsidRPr="00F808ED">
        <w:rPr>
          <w:rFonts w:ascii="Calibri" w:hAnsi="Calibri" w:cs="Calibri"/>
          <w:i/>
          <w:iCs/>
          <w:noProof/>
          <w:sz w:val="24"/>
        </w:rPr>
        <w:t>10</w:t>
      </w:r>
      <w:r w:rsidRPr="00F808ED">
        <w:rPr>
          <w:rFonts w:ascii="Calibri" w:hAnsi="Calibri" w:cs="Calibri"/>
          <w:noProof/>
          <w:sz w:val="24"/>
        </w:rPr>
        <w:t>(5), 2057–2116. https://doi.org/10.5194/gmd-10-2057-2017</w:t>
      </w:r>
    </w:p>
    <w:p w14:paraId="49010CC8" w14:textId="77777777" w:rsidR="00F808ED" w:rsidRPr="00F808ED" w:rsidRDefault="00F808ED" w:rsidP="00F808ED">
      <w:pPr>
        <w:widowControl w:val="0"/>
        <w:autoSpaceDE w:val="0"/>
        <w:autoSpaceDN w:val="0"/>
        <w:adjustRightInd w:val="0"/>
        <w:spacing w:before="120"/>
        <w:ind w:left="480" w:hanging="480"/>
        <w:rPr>
          <w:rFonts w:ascii="Calibri" w:hAnsi="Calibri" w:cs="Calibri"/>
          <w:noProof/>
          <w:sz w:val="24"/>
        </w:rPr>
      </w:pPr>
      <w:r w:rsidRPr="00587198">
        <w:rPr>
          <w:rFonts w:ascii="Calibri" w:hAnsi="Calibri" w:cs="Calibri"/>
          <w:noProof/>
          <w:sz w:val="24"/>
          <w:lang w:val="de-DE"/>
        </w:rPr>
        <w:t xml:space="preserve">Meinshausen, M., Nicholls, Z. R. J., Lewis, J., Gidden, M. J., Vogel, E., Freund, M., et al. </w:t>
      </w:r>
      <w:r w:rsidRPr="00F808ED">
        <w:rPr>
          <w:rFonts w:ascii="Calibri" w:hAnsi="Calibri" w:cs="Calibri"/>
          <w:noProof/>
          <w:sz w:val="24"/>
        </w:rPr>
        <w:t xml:space="preserve">(2020). The shared socio-economic pathway (SSP) greenhouse gas concentrations and their extensions to 2500. </w:t>
      </w:r>
      <w:r w:rsidRPr="00F808ED">
        <w:rPr>
          <w:rFonts w:ascii="Calibri" w:hAnsi="Calibri" w:cs="Calibri"/>
          <w:i/>
          <w:iCs/>
          <w:noProof/>
          <w:sz w:val="24"/>
        </w:rPr>
        <w:t>Geoscientific Model Development</w:t>
      </w:r>
      <w:r w:rsidRPr="00F808ED">
        <w:rPr>
          <w:rFonts w:ascii="Calibri" w:hAnsi="Calibri" w:cs="Calibri"/>
          <w:noProof/>
          <w:sz w:val="24"/>
        </w:rPr>
        <w:t xml:space="preserve">, </w:t>
      </w:r>
      <w:r w:rsidRPr="00F808ED">
        <w:rPr>
          <w:rFonts w:ascii="Calibri" w:hAnsi="Calibri" w:cs="Calibri"/>
          <w:i/>
          <w:iCs/>
          <w:noProof/>
          <w:sz w:val="24"/>
        </w:rPr>
        <w:t>13</w:t>
      </w:r>
      <w:r w:rsidRPr="00F808ED">
        <w:rPr>
          <w:rFonts w:ascii="Calibri" w:hAnsi="Calibri" w:cs="Calibri"/>
          <w:noProof/>
          <w:sz w:val="24"/>
        </w:rPr>
        <w:t>(8), 3571–3605. https://doi.org/10.5194/gmd-13-3571-2020</w:t>
      </w:r>
    </w:p>
    <w:p w14:paraId="48543F94" w14:textId="77777777" w:rsidR="00F808ED" w:rsidRPr="00F808ED" w:rsidRDefault="00F808ED" w:rsidP="00F808ED">
      <w:pPr>
        <w:widowControl w:val="0"/>
        <w:autoSpaceDE w:val="0"/>
        <w:autoSpaceDN w:val="0"/>
        <w:adjustRightInd w:val="0"/>
        <w:spacing w:before="120"/>
        <w:ind w:left="480" w:hanging="480"/>
        <w:rPr>
          <w:rFonts w:ascii="Calibri" w:hAnsi="Calibri" w:cs="Calibri"/>
          <w:noProof/>
          <w:sz w:val="24"/>
        </w:rPr>
      </w:pPr>
      <w:r w:rsidRPr="00F808ED">
        <w:rPr>
          <w:rFonts w:ascii="Calibri" w:hAnsi="Calibri" w:cs="Calibri"/>
          <w:noProof/>
          <w:sz w:val="24"/>
        </w:rPr>
        <w:t xml:space="preserve">Morgenstern, O., Braesicke, P., O’Connor, F. M., Bushell, A. C., Johnson, C. E., Osprey, S. M., &amp; Pyle, J. A. (2009). Evaluation of the new UKCA climate-composition model-Part 1: The stratosphere. </w:t>
      </w:r>
      <w:r w:rsidRPr="00F808ED">
        <w:rPr>
          <w:rFonts w:ascii="Calibri" w:hAnsi="Calibri" w:cs="Calibri"/>
          <w:i/>
          <w:iCs/>
          <w:noProof/>
          <w:sz w:val="24"/>
        </w:rPr>
        <w:t>Geoscientific Model Development</w:t>
      </w:r>
      <w:r w:rsidRPr="00F808ED">
        <w:rPr>
          <w:rFonts w:ascii="Calibri" w:hAnsi="Calibri" w:cs="Calibri"/>
          <w:noProof/>
          <w:sz w:val="24"/>
        </w:rPr>
        <w:t xml:space="preserve">, </w:t>
      </w:r>
      <w:r w:rsidRPr="00F808ED">
        <w:rPr>
          <w:rFonts w:ascii="Calibri" w:hAnsi="Calibri" w:cs="Calibri"/>
          <w:i/>
          <w:iCs/>
          <w:noProof/>
          <w:sz w:val="24"/>
        </w:rPr>
        <w:t>2</w:t>
      </w:r>
      <w:r w:rsidRPr="00F808ED">
        <w:rPr>
          <w:rFonts w:ascii="Calibri" w:hAnsi="Calibri" w:cs="Calibri"/>
          <w:noProof/>
          <w:sz w:val="24"/>
        </w:rPr>
        <w:t>(1), 43–57. https://doi.org/10.5194/gmd-2-43-2009</w:t>
      </w:r>
    </w:p>
    <w:p w14:paraId="6317F252" w14:textId="77777777" w:rsidR="00F808ED" w:rsidRPr="00F808ED" w:rsidRDefault="00F808ED" w:rsidP="00F808ED">
      <w:pPr>
        <w:widowControl w:val="0"/>
        <w:autoSpaceDE w:val="0"/>
        <w:autoSpaceDN w:val="0"/>
        <w:adjustRightInd w:val="0"/>
        <w:spacing w:before="120"/>
        <w:ind w:left="480" w:hanging="480"/>
        <w:rPr>
          <w:rFonts w:ascii="Calibri" w:hAnsi="Calibri" w:cs="Calibri"/>
          <w:noProof/>
          <w:sz w:val="24"/>
        </w:rPr>
      </w:pPr>
      <w:r w:rsidRPr="00F808ED">
        <w:rPr>
          <w:rFonts w:ascii="Calibri" w:hAnsi="Calibri" w:cs="Calibri"/>
          <w:noProof/>
          <w:sz w:val="24"/>
        </w:rPr>
        <w:t xml:space="preserve">Morgenstern, O., Hegglin, M., Rozanov, E., O’Connor, F., Luke Abraham, N., Akiyoshi, H., et al. (2017). Review of the global models used within phase 1 of the Chemistry-Climate Model </w:t>
      </w:r>
      <w:r w:rsidRPr="00F808ED">
        <w:rPr>
          <w:rFonts w:ascii="Calibri" w:hAnsi="Calibri" w:cs="Calibri"/>
          <w:noProof/>
          <w:sz w:val="24"/>
        </w:rPr>
        <w:lastRenderedPageBreak/>
        <w:t xml:space="preserve">Initiative (CCMI). </w:t>
      </w:r>
      <w:r w:rsidRPr="00F808ED">
        <w:rPr>
          <w:rFonts w:ascii="Calibri" w:hAnsi="Calibri" w:cs="Calibri"/>
          <w:i/>
          <w:iCs/>
          <w:noProof/>
          <w:sz w:val="24"/>
        </w:rPr>
        <w:t>Geoscientific Model Development</w:t>
      </w:r>
      <w:r w:rsidRPr="00F808ED">
        <w:rPr>
          <w:rFonts w:ascii="Calibri" w:hAnsi="Calibri" w:cs="Calibri"/>
          <w:noProof/>
          <w:sz w:val="24"/>
        </w:rPr>
        <w:t xml:space="preserve">, </w:t>
      </w:r>
      <w:r w:rsidRPr="00F808ED">
        <w:rPr>
          <w:rFonts w:ascii="Calibri" w:hAnsi="Calibri" w:cs="Calibri"/>
          <w:i/>
          <w:iCs/>
          <w:noProof/>
          <w:sz w:val="24"/>
        </w:rPr>
        <w:t>10</w:t>
      </w:r>
      <w:r w:rsidRPr="00F808ED">
        <w:rPr>
          <w:rFonts w:ascii="Calibri" w:hAnsi="Calibri" w:cs="Calibri"/>
          <w:noProof/>
          <w:sz w:val="24"/>
        </w:rPr>
        <w:t>(2), 639–671. https://doi.org/10.5194/gmd-10-639-2017</w:t>
      </w:r>
    </w:p>
    <w:p w14:paraId="28B820A9" w14:textId="77777777" w:rsidR="00F808ED" w:rsidRPr="00F808ED" w:rsidRDefault="00F808ED" w:rsidP="00F808ED">
      <w:pPr>
        <w:widowControl w:val="0"/>
        <w:autoSpaceDE w:val="0"/>
        <w:autoSpaceDN w:val="0"/>
        <w:adjustRightInd w:val="0"/>
        <w:spacing w:before="120"/>
        <w:ind w:left="480" w:hanging="480"/>
        <w:rPr>
          <w:rFonts w:ascii="Calibri" w:hAnsi="Calibri" w:cs="Calibri"/>
          <w:noProof/>
          <w:sz w:val="24"/>
        </w:rPr>
      </w:pPr>
      <w:r w:rsidRPr="00F808ED">
        <w:rPr>
          <w:rFonts w:ascii="Calibri" w:hAnsi="Calibri" w:cs="Calibri"/>
          <w:noProof/>
          <w:sz w:val="24"/>
        </w:rPr>
        <w:t xml:space="preserve">Newman, P. A., Daniel, J. S., Waugh, D. W., &amp; Nash, E. R. (2007). A new formulation of equivalent effective stratospheric chlorine (EESC). </w:t>
      </w:r>
      <w:r w:rsidRPr="00F808ED">
        <w:rPr>
          <w:rFonts w:ascii="Calibri" w:hAnsi="Calibri" w:cs="Calibri"/>
          <w:i/>
          <w:iCs/>
          <w:noProof/>
          <w:sz w:val="24"/>
        </w:rPr>
        <w:t>Atmospheric Chemistry and Physics</w:t>
      </w:r>
      <w:r w:rsidRPr="00F808ED">
        <w:rPr>
          <w:rFonts w:ascii="Calibri" w:hAnsi="Calibri" w:cs="Calibri"/>
          <w:noProof/>
          <w:sz w:val="24"/>
        </w:rPr>
        <w:t xml:space="preserve">, </w:t>
      </w:r>
      <w:r w:rsidRPr="00F808ED">
        <w:rPr>
          <w:rFonts w:ascii="Calibri" w:hAnsi="Calibri" w:cs="Calibri"/>
          <w:i/>
          <w:iCs/>
          <w:noProof/>
          <w:sz w:val="24"/>
        </w:rPr>
        <w:t>7</w:t>
      </w:r>
      <w:r w:rsidRPr="00F808ED">
        <w:rPr>
          <w:rFonts w:ascii="Calibri" w:hAnsi="Calibri" w:cs="Calibri"/>
          <w:noProof/>
          <w:sz w:val="24"/>
        </w:rPr>
        <w:t>(17), 4537–4552. https://doi.org/10.5194/acp-7-4537-2007</w:t>
      </w:r>
    </w:p>
    <w:p w14:paraId="3AC9CA50" w14:textId="77777777" w:rsidR="00F808ED" w:rsidRPr="00F808ED" w:rsidRDefault="00F808ED" w:rsidP="00F808ED">
      <w:pPr>
        <w:widowControl w:val="0"/>
        <w:autoSpaceDE w:val="0"/>
        <w:autoSpaceDN w:val="0"/>
        <w:adjustRightInd w:val="0"/>
        <w:spacing w:before="120"/>
        <w:ind w:left="480" w:hanging="480"/>
        <w:rPr>
          <w:rFonts w:ascii="Calibri" w:hAnsi="Calibri" w:cs="Calibri"/>
          <w:noProof/>
          <w:sz w:val="24"/>
        </w:rPr>
      </w:pPr>
      <w:r w:rsidRPr="00587198">
        <w:rPr>
          <w:rFonts w:ascii="Calibri" w:hAnsi="Calibri" w:cs="Calibri"/>
          <w:noProof/>
          <w:sz w:val="24"/>
          <w:lang w:val="de-DE"/>
        </w:rPr>
        <w:t xml:space="preserve">O’Neill, B. C., Tebaldi, C., Van Vuuren, D. P., Eyring, V., Friedlingstein, P., Hurtt, G., et al. </w:t>
      </w:r>
      <w:r w:rsidRPr="00F808ED">
        <w:rPr>
          <w:rFonts w:ascii="Calibri" w:hAnsi="Calibri" w:cs="Calibri"/>
          <w:noProof/>
          <w:sz w:val="24"/>
        </w:rPr>
        <w:t xml:space="preserve">(2016). The Scenario Model Intercomparison Project (ScenarioMIP) for CMIP6. </w:t>
      </w:r>
      <w:r w:rsidRPr="00F808ED">
        <w:rPr>
          <w:rFonts w:ascii="Calibri" w:hAnsi="Calibri" w:cs="Calibri"/>
          <w:i/>
          <w:iCs/>
          <w:noProof/>
          <w:sz w:val="24"/>
        </w:rPr>
        <w:t>Geoscientific Model Development</w:t>
      </w:r>
      <w:r w:rsidRPr="00F808ED">
        <w:rPr>
          <w:rFonts w:ascii="Calibri" w:hAnsi="Calibri" w:cs="Calibri"/>
          <w:noProof/>
          <w:sz w:val="24"/>
        </w:rPr>
        <w:t xml:space="preserve">, </w:t>
      </w:r>
      <w:r w:rsidRPr="00F808ED">
        <w:rPr>
          <w:rFonts w:ascii="Calibri" w:hAnsi="Calibri" w:cs="Calibri"/>
          <w:i/>
          <w:iCs/>
          <w:noProof/>
          <w:sz w:val="24"/>
        </w:rPr>
        <w:t>9</w:t>
      </w:r>
      <w:r w:rsidRPr="00F808ED">
        <w:rPr>
          <w:rFonts w:ascii="Calibri" w:hAnsi="Calibri" w:cs="Calibri"/>
          <w:noProof/>
          <w:sz w:val="24"/>
        </w:rPr>
        <w:t>(9), 3461–3482. https://doi.org/10.5194/gmd-9-3461-2016</w:t>
      </w:r>
    </w:p>
    <w:p w14:paraId="6A632D83" w14:textId="77777777" w:rsidR="00F808ED" w:rsidRPr="00F808ED" w:rsidRDefault="00F808ED" w:rsidP="00F808ED">
      <w:pPr>
        <w:widowControl w:val="0"/>
        <w:autoSpaceDE w:val="0"/>
        <w:autoSpaceDN w:val="0"/>
        <w:adjustRightInd w:val="0"/>
        <w:spacing w:before="120"/>
        <w:ind w:left="480" w:hanging="480"/>
        <w:rPr>
          <w:rFonts w:ascii="Calibri" w:hAnsi="Calibri" w:cs="Calibri"/>
          <w:noProof/>
          <w:sz w:val="24"/>
        </w:rPr>
      </w:pPr>
      <w:r w:rsidRPr="00F808ED">
        <w:rPr>
          <w:rFonts w:ascii="Calibri" w:hAnsi="Calibri" w:cs="Calibri"/>
          <w:noProof/>
          <w:sz w:val="24"/>
        </w:rPr>
        <w:t xml:space="preserve">Oman, L. D., Plummer, D. A., Waugh, D. W., Austin, J., Scinocca, J. F., Douglass, A. R., et al. (2010). Multimodel assessment of the factors driving stratospheric ozone evolution over the 21st century. </w:t>
      </w:r>
      <w:r w:rsidRPr="00F808ED">
        <w:rPr>
          <w:rFonts w:ascii="Calibri" w:hAnsi="Calibri" w:cs="Calibri"/>
          <w:i/>
          <w:iCs/>
          <w:noProof/>
          <w:sz w:val="24"/>
        </w:rPr>
        <w:t>Journal of Geophysical Research Atmospheres</w:t>
      </w:r>
      <w:r w:rsidRPr="00F808ED">
        <w:rPr>
          <w:rFonts w:ascii="Calibri" w:hAnsi="Calibri" w:cs="Calibri"/>
          <w:noProof/>
          <w:sz w:val="24"/>
        </w:rPr>
        <w:t xml:space="preserve">, </w:t>
      </w:r>
      <w:r w:rsidRPr="00F808ED">
        <w:rPr>
          <w:rFonts w:ascii="Calibri" w:hAnsi="Calibri" w:cs="Calibri"/>
          <w:i/>
          <w:iCs/>
          <w:noProof/>
          <w:sz w:val="24"/>
        </w:rPr>
        <w:t>115</w:t>
      </w:r>
      <w:r w:rsidRPr="00F808ED">
        <w:rPr>
          <w:rFonts w:ascii="Calibri" w:hAnsi="Calibri" w:cs="Calibri"/>
          <w:noProof/>
          <w:sz w:val="24"/>
        </w:rPr>
        <w:t>(24), 1–21. https://doi.org/10.1029/2010JD014362</w:t>
      </w:r>
    </w:p>
    <w:p w14:paraId="79D5DB3E" w14:textId="77777777" w:rsidR="00F808ED" w:rsidRPr="00F808ED" w:rsidRDefault="00F808ED" w:rsidP="00F808ED">
      <w:pPr>
        <w:widowControl w:val="0"/>
        <w:autoSpaceDE w:val="0"/>
        <w:autoSpaceDN w:val="0"/>
        <w:adjustRightInd w:val="0"/>
        <w:spacing w:before="120"/>
        <w:ind w:left="480" w:hanging="480"/>
        <w:rPr>
          <w:rFonts w:ascii="Calibri" w:hAnsi="Calibri" w:cs="Calibri"/>
          <w:noProof/>
          <w:sz w:val="24"/>
        </w:rPr>
      </w:pPr>
      <w:r w:rsidRPr="00F808ED">
        <w:rPr>
          <w:rFonts w:ascii="Calibri" w:hAnsi="Calibri" w:cs="Calibri"/>
          <w:noProof/>
          <w:sz w:val="24"/>
        </w:rPr>
        <w:t xml:space="preserve">Oman, L. D., Douglass, A. R., Ziemke, J. R., Rodriguez, J. M., Waugh, D. W., &amp; Nielsen, J. E. (2013). The ozone response to enso in aura satellite measurements and a chemistry-climate simulation. </w:t>
      </w:r>
      <w:r w:rsidRPr="00F808ED">
        <w:rPr>
          <w:rFonts w:ascii="Calibri" w:hAnsi="Calibri" w:cs="Calibri"/>
          <w:i/>
          <w:iCs/>
          <w:noProof/>
          <w:sz w:val="24"/>
        </w:rPr>
        <w:t>Journal of Geophysical Research Atmospheres</w:t>
      </w:r>
      <w:r w:rsidRPr="00F808ED">
        <w:rPr>
          <w:rFonts w:ascii="Calibri" w:hAnsi="Calibri" w:cs="Calibri"/>
          <w:noProof/>
          <w:sz w:val="24"/>
        </w:rPr>
        <w:t xml:space="preserve">, </w:t>
      </w:r>
      <w:r w:rsidRPr="00F808ED">
        <w:rPr>
          <w:rFonts w:ascii="Calibri" w:hAnsi="Calibri" w:cs="Calibri"/>
          <w:i/>
          <w:iCs/>
          <w:noProof/>
          <w:sz w:val="24"/>
        </w:rPr>
        <w:t>118</w:t>
      </w:r>
      <w:r w:rsidRPr="00F808ED">
        <w:rPr>
          <w:rFonts w:ascii="Calibri" w:hAnsi="Calibri" w:cs="Calibri"/>
          <w:noProof/>
          <w:sz w:val="24"/>
        </w:rPr>
        <w:t>(2), 965–976. https://doi.org/10.1029/2012JD018546</w:t>
      </w:r>
    </w:p>
    <w:p w14:paraId="1C48E5DE" w14:textId="77777777" w:rsidR="00F808ED" w:rsidRPr="00F808ED" w:rsidRDefault="00F808ED" w:rsidP="00F808ED">
      <w:pPr>
        <w:widowControl w:val="0"/>
        <w:autoSpaceDE w:val="0"/>
        <w:autoSpaceDN w:val="0"/>
        <w:adjustRightInd w:val="0"/>
        <w:spacing w:before="120"/>
        <w:ind w:left="480" w:hanging="480"/>
        <w:rPr>
          <w:rFonts w:ascii="Calibri" w:hAnsi="Calibri" w:cs="Calibri"/>
          <w:noProof/>
          <w:sz w:val="24"/>
        </w:rPr>
      </w:pPr>
      <w:r w:rsidRPr="00F808ED">
        <w:rPr>
          <w:rFonts w:ascii="Calibri" w:hAnsi="Calibri" w:cs="Calibri"/>
          <w:noProof/>
          <w:sz w:val="24"/>
        </w:rPr>
        <w:t xml:space="preserve">Orbe, C., Wargan, K., Pawson, S., &amp; Oman, L. D. (2020). Mechanisms Linked to Recent Ozone Decreases in the Northern Hemisphere Lower Stratosphere. </w:t>
      </w:r>
      <w:r w:rsidRPr="00F808ED">
        <w:rPr>
          <w:rFonts w:ascii="Calibri" w:hAnsi="Calibri" w:cs="Calibri"/>
          <w:i/>
          <w:iCs/>
          <w:noProof/>
          <w:sz w:val="24"/>
        </w:rPr>
        <w:t>Journal of Geophysical Research: Atmospheres</w:t>
      </w:r>
      <w:r w:rsidRPr="00F808ED">
        <w:rPr>
          <w:rFonts w:ascii="Calibri" w:hAnsi="Calibri" w:cs="Calibri"/>
          <w:noProof/>
          <w:sz w:val="24"/>
        </w:rPr>
        <w:t xml:space="preserve">, </w:t>
      </w:r>
      <w:r w:rsidRPr="00F808ED">
        <w:rPr>
          <w:rFonts w:ascii="Calibri" w:hAnsi="Calibri" w:cs="Calibri"/>
          <w:i/>
          <w:iCs/>
          <w:noProof/>
          <w:sz w:val="24"/>
        </w:rPr>
        <w:t>125</w:t>
      </w:r>
      <w:r w:rsidRPr="00F808ED">
        <w:rPr>
          <w:rFonts w:ascii="Calibri" w:hAnsi="Calibri" w:cs="Calibri"/>
          <w:noProof/>
          <w:sz w:val="24"/>
        </w:rPr>
        <w:t>(9), 1–23. https://doi.org/10.1029/2019JD031631</w:t>
      </w:r>
    </w:p>
    <w:p w14:paraId="33A7315E" w14:textId="77777777" w:rsidR="00F808ED" w:rsidRPr="00F808ED" w:rsidRDefault="00F808ED" w:rsidP="00F808ED">
      <w:pPr>
        <w:widowControl w:val="0"/>
        <w:autoSpaceDE w:val="0"/>
        <w:autoSpaceDN w:val="0"/>
        <w:adjustRightInd w:val="0"/>
        <w:spacing w:before="120"/>
        <w:ind w:left="480" w:hanging="480"/>
        <w:rPr>
          <w:rFonts w:ascii="Calibri" w:hAnsi="Calibri" w:cs="Calibri"/>
          <w:noProof/>
          <w:sz w:val="24"/>
        </w:rPr>
      </w:pPr>
      <w:r w:rsidRPr="00F808ED">
        <w:rPr>
          <w:rFonts w:ascii="Calibri" w:hAnsi="Calibri" w:cs="Calibri"/>
          <w:noProof/>
          <w:sz w:val="24"/>
        </w:rPr>
        <w:t>Pazmiño, A., Godin-beekmann, S., Hauchecorne, A., Claud, C., Khaykin, S., Goutail, F., et al. (2018). Multiple symptoms of total ozone recovery inside the Antarctic vortex during austral spring, 7557–7572.</w:t>
      </w:r>
    </w:p>
    <w:p w14:paraId="301DB413" w14:textId="77777777" w:rsidR="00F808ED" w:rsidRPr="00F808ED" w:rsidRDefault="00F808ED" w:rsidP="00F808ED">
      <w:pPr>
        <w:widowControl w:val="0"/>
        <w:autoSpaceDE w:val="0"/>
        <w:autoSpaceDN w:val="0"/>
        <w:adjustRightInd w:val="0"/>
        <w:spacing w:before="120"/>
        <w:ind w:left="480" w:hanging="480"/>
        <w:rPr>
          <w:rFonts w:ascii="Calibri" w:hAnsi="Calibri" w:cs="Calibri"/>
          <w:noProof/>
          <w:sz w:val="24"/>
        </w:rPr>
      </w:pPr>
      <w:r w:rsidRPr="00587198">
        <w:rPr>
          <w:rFonts w:ascii="Calibri" w:hAnsi="Calibri" w:cs="Calibri"/>
          <w:noProof/>
          <w:sz w:val="24"/>
          <w:lang w:val="de-DE"/>
        </w:rPr>
        <w:t xml:space="preserve">Petropavlovskikh, I., Hubert, D., Damadeo, R., Hassler, B., &amp; Sofieva, V. (2019). </w:t>
      </w:r>
      <w:r w:rsidRPr="00F808ED">
        <w:rPr>
          <w:rFonts w:ascii="Calibri" w:hAnsi="Calibri" w:cs="Calibri"/>
          <w:noProof/>
          <w:sz w:val="24"/>
        </w:rPr>
        <w:t xml:space="preserve">SPARC/IO3C/GAW report on Long-term Ozone Trends and Uncertainties in the Stratosphere. </w:t>
      </w:r>
      <w:r w:rsidRPr="00F808ED">
        <w:rPr>
          <w:rFonts w:ascii="Calibri" w:hAnsi="Calibri" w:cs="Calibri"/>
          <w:i/>
          <w:iCs/>
          <w:noProof/>
          <w:sz w:val="24"/>
        </w:rPr>
        <w:t>Sparc/Io3C/Gaw</w:t>
      </w:r>
      <w:r w:rsidRPr="00F808ED">
        <w:rPr>
          <w:rFonts w:ascii="Calibri" w:hAnsi="Calibri" w:cs="Calibri"/>
          <w:noProof/>
          <w:sz w:val="24"/>
        </w:rPr>
        <w:t>, (9).</w:t>
      </w:r>
    </w:p>
    <w:p w14:paraId="7E91F6F8" w14:textId="77777777" w:rsidR="00F808ED" w:rsidRPr="00F808ED" w:rsidRDefault="00F808ED" w:rsidP="00F808ED">
      <w:pPr>
        <w:widowControl w:val="0"/>
        <w:autoSpaceDE w:val="0"/>
        <w:autoSpaceDN w:val="0"/>
        <w:adjustRightInd w:val="0"/>
        <w:spacing w:before="120"/>
        <w:ind w:left="480" w:hanging="480"/>
        <w:rPr>
          <w:rFonts w:ascii="Calibri" w:hAnsi="Calibri" w:cs="Calibri"/>
          <w:noProof/>
          <w:sz w:val="24"/>
        </w:rPr>
      </w:pPr>
      <w:r w:rsidRPr="00F808ED">
        <w:rPr>
          <w:rFonts w:ascii="Calibri" w:hAnsi="Calibri" w:cs="Calibri"/>
          <w:noProof/>
          <w:sz w:val="24"/>
        </w:rPr>
        <w:t xml:space="preserve">Plumb, R. A. (2002). Large-scale Stratospheric Transport Processes. </w:t>
      </w:r>
      <w:r w:rsidRPr="00F808ED">
        <w:rPr>
          <w:rFonts w:ascii="Calibri" w:hAnsi="Calibri" w:cs="Calibri"/>
          <w:i/>
          <w:iCs/>
          <w:noProof/>
          <w:sz w:val="24"/>
        </w:rPr>
        <w:t>Journal of the Meteorological Society of Japan. Ser. II</w:t>
      </w:r>
      <w:r w:rsidRPr="00F808ED">
        <w:rPr>
          <w:rFonts w:ascii="Calibri" w:hAnsi="Calibri" w:cs="Calibri"/>
          <w:noProof/>
          <w:sz w:val="24"/>
        </w:rPr>
        <w:t xml:space="preserve">, </w:t>
      </w:r>
      <w:r w:rsidRPr="00F808ED">
        <w:rPr>
          <w:rFonts w:ascii="Calibri" w:hAnsi="Calibri" w:cs="Calibri"/>
          <w:i/>
          <w:iCs/>
          <w:noProof/>
          <w:sz w:val="24"/>
        </w:rPr>
        <w:t>80</w:t>
      </w:r>
      <w:r w:rsidRPr="00F808ED">
        <w:rPr>
          <w:rFonts w:ascii="Calibri" w:hAnsi="Calibri" w:cs="Calibri"/>
          <w:noProof/>
          <w:sz w:val="24"/>
        </w:rPr>
        <w:t>(4B), 793–809. https://doi.org/10.2151/jmsj.80.793</w:t>
      </w:r>
    </w:p>
    <w:p w14:paraId="40BC7F88" w14:textId="77777777" w:rsidR="00F808ED" w:rsidRPr="00F808ED" w:rsidRDefault="00F808ED" w:rsidP="00F808ED">
      <w:pPr>
        <w:widowControl w:val="0"/>
        <w:autoSpaceDE w:val="0"/>
        <w:autoSpaceDN w:val="0"/>
        <w:adjustRightInd w:val="0"/>
        <w:spacing w:before="120"/>
        <w:ind w:left="480" w:hanging="480"/>
        <w:rPr>
          <w:rFonts w:ascii="Calibri" w:hAnsi="Calibri" w:cs="Calibri"/>
          <w:noProof/>
          <w:sz w:val="24"/>
        </w:rPr>
      </w:pPr>
      <w:r w:rsidRPr="00F808ED">
        <w:rPr>
          <w:rFonts w:ascii="Calibri" w:hAnsi="Calibri" w:cs="Calibri"/>
          <w:noProof/>
          <w:sz w:val="24"/>
        </w:rPr>
        <w:t xml:space="preserve">Plummer, D., Nagashima, T., Tilmes, S., Archibald, A., Chiodo, G., Fadnavis, S., &amp; et al. (2021). CCMI-2022: A new set of Chemistry-Climate Model Initiative (CCMI) community simulations to update the assessment of models and support upcoming Ozone Assessment activities. </w:t>
      </w:r>
      <w:r w:rsidRPr="00F808ED">
        <w:rPr>
          <w:rFonts w:ascii="Calibri" w:hAnsi="Calibri" w:cs="Calibri"/>
          <w:i/>
          <w:iCs/>
          <w:noProof/>
          <w:sz w:val="24"/>
        </w:rPr>
        <w:t>SPARC Newsletter</w:t>
      </w:r>
      <w:r w:rsidRPr="00F808ED">
        <w:rPr>
          <w:rFonts w:ascii="Calibri" w:hAnsi="Calibri" w:cs="Calibri"/>
          <w:noProof/>
          <w:sz w:val="24"/>
        </w:rPr>
        <w:t xml:space="preserve">, </w:t>
      </w:r>
      <w:r w:rsidRPr="00F808ED">
        <w:rPr>
          <w:rFonts w:ascii="Calibri" w:hAnsi="Calibri" w:cs="Calibri"/>
          <w:i/>
          <w:iCs/>
          <w:noProof/>
          <w:sz w:val="24"/>
        </w:rPr>
        <w:t>57</w:t>
      </w:r>
      <w:r w:rsidRPr="00F808ED">
        <w:rPr>
          <w:rFonts w:ascii="Calibri" w:hAnsi="Calibri" w:cs="Calibri"/>
          <w:noProof/>
          <w:sz w:val="24"/>
        </w:rPr>
        <w:t>, 22–30.</w:t>
      </w:r>
    </w:p>
    <w:p w14:paraId="1A754C91" w14:textId="77777777" w:rsidR="00F808ED" w:rsidRPr="00F808ED" w:rsidRDefault="00F808ED" w:rsidP="00F808ED">
      <w:pPr>
        <w:widowControl w:val="0"/>
        <w:autoSpaceDE w:val="0"/>
        <w:autoSpaceDN w:val="0"/>
        <w:adjustRightInd w:val="0"/>
        <w:spacing w:before="120"/>
        <w:ind w:left="480" w:hanging="480"/>
        <w:rPr>
          <w:rFonts w:ascii="Calibri" w:hAnsi="Calibri" w:cs="Calibri"/>
          <w:noProof/>
          <w:sz w:val="24"/>
        </w:rPr>
      </w:pPr>
      <w:r w:rsidRPr="00F808ED">
        <w:rPr>
          <w:rFonts w:ascii="Calibri" w:hAnsi="Calibri" w:cs="Calibri"/>
          <w:noProof/>
          <w:sz w:val="24"/>
        </w:rPr>
        <w:t xml:space="preserve">Portmann, R. W., &amp; Solomon, S. (2007). Indirect radiative forcing of the ozone layer during the 21st century. </w:t>
      </w:r>
      <w:r w:rsidRPr="00F808ED">
        <w:rPr>
          <w:rFonts w:ascii="Calibri" w:hAnsi="Calibri" w:cs="Calibri"/>
          <w:i/>
          <w:iCs/>
          <w:noProof/>
          <w:sz w:val="24"/>
        </w:rPr>
        <w:t>Geophysical Research Letters</w:t>
      </w:r>
      <w:r w:rsidRPr="00F808ED">
        <w:rPr>
          <w:rFonts w:ascii="Calibri" w:hAnsi="Calibri" w:cs="Calibri"/>
          <w:noProof/>
          <w:sz w:val="24"/>
        </w:rPr>
        <w:t xml:space="preserve">, </w:t>
      </w:r>
      <w:r w:rsidRPr="00F808ED">
        <w:rPr>
          <w:rFonts w:ascii="Calibri" w:hAnsi="Calibri" w:cs="Calibri"/>
          <w:i/>
          <w:iCs/>
          <w:noProof/>
          <w:sz w:val="24"/>
        </w:rPr>
        <w:t>34</w:t>
      </w:r>
      <w:r w:rsidRPr="00F808ED">
        <w:rPr>
          <w:rFonts w:ascii="Calibri" w:hAnsi="Calibri" w:cs="Calibri"/>
          <w:noProof/>
          <w:sz w:val="24"/>
        </w:rPr>
        <w:t>(2), 1–5. https://doi.org/10.1029/2006GL028252</w:t>
      </w:r>
    </w:p>
    <w:p w14:paraId="21070715" w14:textId="77777777" w:rsidR="00F808ED" w:rsidRPr="00F808ED" w:rsidRDefault="00F808ED" w:rsidP="00F808ED">
      <w:pPr>
        <w:widowControl w:val="0"/>
        <w:autoSpaceDE w:val="0"/>
        <w:autoSpaceDN w:val="0"/>
        <w:adjustRightInd w:val="0"/>
        <w:spacing w:before="120"/>
        <w:ind w:left="480" w:hanging="480"/>
        <w:rPr>
          <w:rFonts w:ascii="Calibri" w:hAnsi="Calibri" w:cs="Calibri"/>
          <w:noProof/>
          <w:sz w:val="24"/>
        </w:rPr>
      </w:pPr>
      <w:r w:rsidRPr="00F808ED">
        <w:rPr>
          <w:rFonts w:ascii="Calibri" w:hAnsi="Calibri" w:cs="Calibri"/>
          <w:noProof/>
          <w:sz w:val="24"/>
        </w:rPr>
        <w:t xml:space="preserve">Randel, W. J., &amp; Wu, F. (2007). A stratospheric ozone profile data set for 1979-2005: Variability, trends, and comparisons with column ozone data. </w:t>
      </w:r>
      <w:r w:rsidRPr="00F808ED">
        <w:rPr>
          <w:rFonts w:ascii="Calibri" w:hAnsi="Calibri" w:cs="Calibri"/>
          <w:i/>
          <w:iCs/>
          <w:noProof/>
          <w:sz w:val="24"/>
        </w:rPr>
        <w:t>Journal of Geophysical Research Atmospheres</w:t>
      </w:r>
      <w:r w:rsidRPr="00F808ED">
        <w:rPr>
          <w:rFonts w:ascii="Calibri" w:hAnsi="Calibri" w:cs="Calibri"/>
          <w:noProof/>
          <w:sz w:val="24"/>
        </w:rPr>
        <w:t xml:space="preserve">, </w:t>
      </w:r>
      <w:r w:rsidRPr="00F808ED">
        <w:rPr>
          <w:rFonts w:ascii="Calibri" w:hAnsi="Calibri" w:cs="Calibri"/>
          <w:i/>
          <w:iCs/>
          <w:noProof/>
          <w:sz w:val="24"/>
        </w:rPr>
        <w:t>112</w:t>
      </w:r>
      <w:r w:rsidRPr="00F808ED">
        <w:rPr>
          <w:rFonts w:ascii="Calibri" w:hAnsi="Calibri" w:cs="Calibri"/>
          <w:noProof/>
          <w:sz w:val="24"/>
        </w:rPr>
        <w:t>(6), 1–12. https://doi.org/10.1029/2006JD007339</w:t>
      </w:r>
    </w:p>
    <w:p w14:paraId="25A77125" w14:textId="77777777" w:rsidR="00F808ED" w:rsidRPr="00F808ED" w:rsidRDefault="00F808ED" w:rsidP="00F808ED">
      <w:pPr>
        <w:widowControl w:val="0"/>
        <w:autoSpaceDE w:val="0"/>
        <w:autoSpaceDN w:val="0"/>
        <w:adjustRightInd w:val="0"/>
        <w:spacing w:before="120"/>
        <w:ind w:left="480" w:hanging="480"/>
        <w:rPr>
          <w:rFonts w:ascii="Calibri" w:hAnsi="Calibri" w:cs="Calibri"/>
          <w:noProof/>
          <w:sz w:val="24"/>
        </w:rPr>
      </w:pPr>
      <w:r w:rsidRPr="00F808ED">
        <w:rPr>
          <w:rFonts w:ascii="Calibri" w:hAnsi="Calibri" w:cs="Calibri"/>
          <w:noProof/>
          <w:sz w:val="24"/>
        </w:rPr>
        <w:t xml:space="preserve">Rayner, N. A., Parker, D. E., Horton, E. B., Folland, C. K., Alexander, L. V., Rowell, D. P., et al. </w:t>
      </w:r>
      <w:r w:rsidRPr="00F808ED">
        <w:rPr>
          <w:rFonts w:ascii="Calibri" w:hAnsi="Calibri" w:cs="Calibri"/>
          <w:noProof/>
          <w:sz w:val="24"/>
        </w:rPr>
        <w:lastRenderedPageBreak/>
        <w:t xml:space="preserve">(2003). Global analyses of sea surface temperature, sea ice, and night marine air temperature since the late nineteenth century. </w:t>
      </w:r>
      <w:r w:rsidRPr="00F808ED">
        <w:rPr>
          <w:rFonts w:ascii="Calibri" w:hAnsi="Calibri" w:cs="Calibri"/>
          <w:i/>
          <w:iCs/>
          <w:noProof/>
          <w:sz w:val="24"/>
        </w:rPr>
        <w:t>Journal of Geophysical Research: Atmospheres</w:t>
      </w:r>
      <w:r w:rsidRPr="00F808ED">
        <w:rPr>
          <w:rFonts w:ascii="Calibri" w:hAnsi="Calibri" w:cs="Calibri"/>
          <w:noProof/>
          <w:sz w:val="24"/>
        </w:rPr>
        <w:t xml:space="preserve">, </w:t>
      </w:r>
      <w:r w:rsidRPr="00F808ED">
        <w:rPr>
          <w:rFonts w:ascii="Calibri" w:hAnsi="Calibri" w:cs="Calibri"/>
          <w:i/>
          <w:iCs/>
          <w:noProof/>
          <w:sz w:val="24"/>
        </w:rPr>
        <w:t>108</w:t>
      </w:r>
      <w:r w:rsidRPr="00F808ED">
        <w:rPr>
          <w:rFonts w:ascii="Calibri" w:hAnsi="Calibri" w:cs="Calibri"/>
          <w:noProof/>
          <w:sz w:val="24"/>
        </w:rPr>
        <w:t>(14). https://doi.org/10.1029/2002jd002670</w:t>
      </w:r>
    </w:p>
    <w:p w14:paraId="23AC5AFB" w14:textId="77777777" w:rsidR="00F808ED" w:rsidRPr="00F808ED" w:rsidRDefault="00F808ED" w:rsidP="00F808ED">
      <w:pPr>
        <w:widowControl w:val="0"/>
        <w:autoSpaceDE w:val="0"/>
        <w:autoSpaceDN w:val="0"/>
        <w:adjustRightInd w:val="0"/>
        <w:spacing w:before="120"/>
        <w:ind w:left="480" w:hanging="480"/>
        <w:rPr>
          <w:rFonts w:ascii="Calibri" w:hAnsi="Calibri" w:cs="Calibri"/>
          <w:noProof/>
          <w:sz w:val="24"/>
        </w:rPr>
      </w:pPr>
      <w:r w:rsidRPr="00F808ED">
        <w:rPr>
          <w:rFonts w:ascii="Calibri" w:hAnsi="Calibri" w:cs="Calibri"/>
          <w:noProof/>
          <w:sz w:val="24"/>
        </w:rPr>
        <w:t xml:space="preserve">Scinocca, J. F., McFarlane, N. A., Lazare, M., Li, J., &amp; Plummer, D. (2008). Technical note: The CCCma third generation AGCM and its extension into the middle atmosphere. </w:t>
      </w:r>
      <w:r w:rsidRPr="00F808ED">
        <w:rPr>
          <w:rFonts w:ascii="Calibri" w:hAnsi="Calibri" w:cs="Calibri"/>
          <w:i/>
          <w:iCs/>
          <w:noProof/>
          <w:sz w:val="24"/>
        </w:rPr>
        <w:t>Atmospheric Chemistry and Physics</w:t>
      </w:r>
      <w:r w:rsidRPr="00F808ED">
        <w:rPr>
          <w:rFonts w:ascii="Calibri" w:hAnsi="Calibri" w:cs="Calibri"/>
          <w:noProof/>
          <w:sz w:val="24"/>
        </w:rPr>
        <w:t xml:space="preserve">, </w:t>
      </w:r>
      <w:r w:rsidRPr="00F808ED">
        <w:rPr>
          <w:rFonts w:ascii="Calibri" w:hAnsi="Calibri" w:cs="Calibri"/>
          <w:i/>
          <w:iCs/>
          <w:noProof/>
          <w:sz w:val="24"/>
        </w:rPr>
        <w:t>8</w:t>
      </w:r>
      <w:r w:rsidRPr="00F808ED">
        <w:rPr>
          <w:rFonts w:ascii="Calibri" w:hAnsi="Calibri" w:cs="Calibri"/>
          <w:noProof/>
          <w:sz w:val="24"/>
        </w:rPr>
        <w:t>(23), 7055–7074. https://doi.org/10.5194/acp-8-7055-2008</w:t>
      </w:r>
    </w:p>
    <w:p w14:paraId="262B0E0D" w14:textId="77777777" w:rsidR="00F808ED" w:rsidRPr="00F808ED" w:rsidRDefault="00F808ED" w:rsidP="00F808ED">
      <w:pPr>
        <w:widowControl w:val="0"/>
        <w:autoSpaceDE w:val="0"/>
        <w:autoSpaceDN w:val="0"/>
        <w:adjustRightInd w:val="0"/>
        <w:spacing w:before="120"/>
        <w:ind w:left="480" w:hanging="480"/>
        <w:rPr>
          <w:rFonts w:ascii="Calibri" w:hAnsi="Calibri" w:cs="Calibri"/>
          <w:noProof/>
          <w:sz w:val="24"/>
        </w:rPr>
      </w:pPr>
      <w:r w:rsidRPr="00F808ED">
        <w:rPr>
          <w:rFonts w:ascii="Calibri" w:hAnsi="Calibri" w:cs="Calibri"/>
          <w:noProof/>
          <w:sz w:val="24"/>
        </w:rPr>
        <w:t xml:space="preserve">Sellar, A. A., Jones, C. G., Mulcahy, J. P., Tang, Y., Yool, A., Wiltshire, A., et al. (2019). UKESM1: Description and Evaluation of the U.K. Earth System Model. </w:t>
      </w:r>
      <w:r w:rsidRPr="00F808ED">
        <w:rPr>
          <w:rFonts w:ascii="Calibri" w:hAnsi="Calibri" w:cs="Calibri"/>
          <w:i/>
          <w:iCs/>
          <w:noProof/>
          <w:sz w:val="24"/>
        </w:rPr>
        <w:t>Journal of Advances in Modeling Earth Systems</w:t>
      </w:r>
      <w:r w:rsidRPr="00F808ED">
        <w:rPr>
          <w:rFonts w:ascii="Calibri" w:hAnsi="Calibri" w:cs="Calibri"/>
          <w:noProof/>
          <w:sz w:val="24"/>
        </w:rPr>
        <w:t xml:space="preserve">, </w:t>
      </w:r>
      <w:r w:rsidRPr="00F808ED">
        <w:rPr>
          <w:rFonts w:ascii="Calibri" w:hAnsi="Calibri" w:cs="Calibri"/>
          <w:i/>
          <w:iCs/>
          <w:noProof/>
          <w:sz w:val="24"/>
        </w:rPr>
        <w:t>11</w:t>
      </w:r>
      <w:r w:rsidRPr="00F808ED">
        <w:rPr>
          <w:rFonts w:ascii="Calibri" w:hAnsi="Calibri" w:cs="Calibri"/>
          <w:noProof/>
          <w:sz w:val="24"/>
        </w:rPr>
        <w:t>(12), 4513–4558. https://doi.org/10.1029/2019MS001739</w:t>
      </w:r>
    </w:p>
    <w:p w14:paraId="5CC6CB68" w14:textId="6806A280" w:rsidR="00F808ED" w:rsidRPr="00F808ED" w:rsidRDefault="00F808ED" w:rsidP="00F808ED">
      <w:pPr>
        <w:widowControl w:val="0"/>
        <w:autoSpaceDE w:val="0"/>
        <w:autoSpaceDN w:val="0"/>
        <w:adjustRightInd w:val="0"/>
        <w:spacing w:before="120"/>
        <w:ind w:left="480" w:hanging="480"/>
        <w:rPr>
          <w:rFonts w:ascii="Calibri" w:hAnsi="Calibri" w:cs="Calibri"/>
          <w:noProof/>
          <w:sz w:val="24"/>
        </w:rPr>
      </w:pPr>
      <w:r w:rsidRPr="00F808ED">
        <w:rPr>
          <w:rFonts w:ascii="Calibri" w:hAnsi="Calibri" w:cs="Calibri"/>
          <w:noProof/>
          <w:sz w:val="24"/>
        </w:rPr>
        <w:t>Serva, F. (2022). Transformed Eulerian mean data from the ERA5 reanalysis (daily means).</w:t>
      </w:r>
      <w:r w:rsidR="00902416">
        <w:rPr>
          <w:rFonts w:ascii="Calibri" w:hAnsi="Calibri" w:cs="Calibri"/>
          <w:noProof/>
          <w:sz w:val="24"/>
        </w:rPr>
        <w:t xml:space="preserve"> [Dataset]</w:t>
      </w:r>
      <w:r w:rsidR="005A74A0">
        <w:rPr>
          <w:rFonts w:ascii="Calibri" w:hAnsi="Calibri" w:cs="Calibri"/>
          <w:noProof/>
          <w:sz w:val="24"/>
        </w:rPr>
        <w:t>.</w:t>
      </w:r>
      <w:r w:rsidRPr="00F808ED">
        <w:rPr>
          <w:rFonts w:ascii="Calibri" w:hAnsi="Calibri" w:cs="Calibri"/>
          <w:noProof/>
          <w:sz w:val="24"/>
        </w:rPr>
        <w:t xml:space="preserve"> Zenodo. https://doi.org/10.5281/zenodo.7081436</w:t>
      </w:r>
    </w:p>
    <w:p w14:paraId="517647F2" w14:textId="77777777" w:rsidR="00F808ED" w:rsidRPr="00F808ED" w:rsidRDefault="00F808ED" w:rsidP="00F808ED">
      <w:pPr>
        <w:widowControl w:val="0"/>
        <w:autoSpaceDE w:val="0"/>
        <w:autoSpaceDN w:val="0"/>
        <w:adjustRightInd w:val="0"/>
        <w:spacing w:before="120"/>
        <w:ind w:left="480" w:hanging="480"/>
        <w:rPr>
          <w:rFonts w:ascii="Calibri" w:hAnsi="Calibri" w:cs="Calibri"/>
          <w:noProof/>
          <w:sz w:val="24"/>
        </w:rPr>
      </w:pPr>
      <w:r w:rsidRPr="00F808ED">
        <w:rPr>
          <w:rFonts w:ascii="Calibri" w:hAnsi="Calibri" w:cs="Calibri"/>
          <w:noProof/>
          <w:sz w:val="24"/>
        </w:rPr>
        <w:t xml:space="preserve">Solomon, S., Ivy, D. J., Kinnison, D., Mills, M. J., Neely, R. R., &amp; Schmidt, A. (2016). Emergence of healing in the Antarctic ozone layer. </w:t>
      </w:r>
      <w:r w:rsidRPr="00F808ED">
        <w:rPr>
          <w:rFonts w:ascii="Calibri" w:hAnsi="Calibri" w:cs="Calibri"/>
          <w:i/>
          <w:iCs/>
          <w:noProof/>
          <w:sz w:val="24"/>
        </w:rPr>
        <w:t>Science</w:t>
      </w:r>
      <w:r w:rsidRPr="00F808ED">
        <w:rPr>
          <w:rFonts w:ascii="Calibri" w:hAnsi="Calibri" w:cs="Calibri"/>
          <w:noProof/>
          <w:sz w:val="24"/>
        </w:rPr>
        <w:t xml:space="preserve">, </w:t>
      </w:r>
      <w:r w:rsidRPr="00F808ED">
        <w:rPr>
          <w:rFonts w:ascii="Calibri" w:hAnsi="Calibri" w:cs="Calibri"/>
          <w:i/>
          <w:iCs/>
          <w:noProof/>
          <w:sz w:val="24"/>
        </w:rPr>
        <w:t>353</w:t>
      </w:r>
      <w:r w:rsidRPr="00F808ED">
        <w:rPr>
          <w:rFonts w:ascii="Calibri" w:hAnsi="Calibri" w:cs="Calibri"/>
          <w:noProof/>
          <w:sz w:val="24"/>
        </w:rPr>
        <w:t>(6296), 269–274. https://doi.org/10.1126/science.aae0061</w:t>
      </w:r>
    </w:p>
    <w:p w14:paraId="41B2EFB9" w14:textId="77777777" w:rsidR="00F808ED" w:rsidRPr="00F808ED" w:rsidRDefault="00F808ED" w:rsidP="00F808ED">
      <w:pPr>
        <w:widowControl w:val="0"/>
        <w:autoSpaceDE w:val="0"/>
        <w:autoSpaceDN w:val="0"/>
        <w:adjustRightInd w:val="0"/>
        <w:spacing w:before="120"/>
        <w:ind w:left="480" w:hanging="480"/>
        <w:rPr>
          <w:rFonts w:ascii="Calibri" w:hAnsi="Calibri" w:cs="Calibri"/>
          <w:noProof/>
          <w:sz w:val="24"/>
        </w:rPr>
      </w:pPr>
      <w:r w:rsidRPr="00587198">
        <w:rPr>
          <w:rFonts w:ascii="Calibri" w:hAnsi="Calibri" w:cs="Calibri"/>
          <w:noProof/>
          <w:sz w:val="24"/>
          <w:lang w:val="de-DE"/>
        </w:rPr>
        <w:t xml:space="preserve">Steinbrecht, W., Froidevaux, L., Fuller, R., Wang, R., Anderson, J., Roth, C., et al. </w:t>
      </w:r>
      <w:r w:rsidRPr="00F808ED">
        <w:rPr>
          <w:rFonts w:ascii="Calibri" w:hAnsi="Calibri" w:cs="Calibri"/>
          <w:noProof/>
          <w:sz w:val="24"/>
        </w:rPr>
        <w:t xml:space="preserve">(2017). An update on ozone profile trends for the period 2000 to 2016. </w:t>
      </w:r>
      <w:r w:rsidRPr="00F808ED">
        <w:rPr>
          <w:rFonts w:ascii="Calibri" w:hAnsi="Calibri" w:cs="Calibri"/>
          <w:i/>
          <w:iCs/>
          <w:noProof/>
          <w:sz w:val="24"/>
        </w:rPr>
        <w:t>Atmospheric Chemistry and Physics</w:t>
      </w:r>
      <w:r w:rsidRPr="00F808ED">
        <w:rPr>
          <w:rFonts w:ascii="Calibri" w:hAnsi="Calibri" w:cs="Calibri"/>
          <w:noProof/>
          <w:sz w:val="24"/>
        </w:rPr>
        <w:t xml:space="preserve">, </w:t>
      </w:r>
      <w:r w:rsidRPr="00F808ED">
        <w:rPr>
          <w:rFonts w:ascii="Calibri" w:hAnsi="Calibri" w:cs="Calibri"/>
          <w:i/>
          <w:iCs/>
          <w:noProof/>
          <w:sz w:val="24"/>
        </w:rPr>
        <w:t>17</w:t>
      </w:r>
      <w:r w:rsidRPr="00F808ED">
        <w:rPr>
          <w:rFonts w:ascii="Calibri" w:hAnsi="Calibri" w:cs="Calibri"/>
          <w:noProof/>
          <w:sz w:val="24"/>
        </w:rPr>
        <w:t>(17), 10675–10690. https://doi.org/10.5194/acp-17-10675-2017</w:t>
      </w:r>
    </w:p>
    <w:p w14:paraId="08A359C3" w14:textId="77777777" w:rsidR="00F808ED" w:rsidRPr="00F808ED" w:rsidRDefault="00F808ED" w:rsidP="00F808ED">
      <w:pPr>
        <w:widowControl w:val="0"/>
        <w:autoSpaceDE w:val="0"/>
        <w:autoSpaceDN w:val="0"/>
        <w:adjustRightInd w:val="0"/>
        <w:spacing w:before="120"/>
        <w:ind w:left="480" w:hanging="480"/>
        <w:rPr>
          <w:rFonts w:ascii="Calibri" w:hAnsi="Calibri" w:cs="Calibri"/>
          <w:noProof/>
          <w:sz w:val="24"/>
        </w:rPr>
      </w:pPr>
      <w:r w:rsidRPr="00F808ED">
        <w:rPr>
          <w:rFonts w:ascii="Calibri" w:hAnsi="Calibri" w:cs="Calibri"/>
          <w:noProof/>
          <w:sz w:val="24"/>
        </w:rPr>
        <w:t xml:space="preserve">Stone, K. A., Solomon, S., &amp; Kinnison, D. E. (2018). On the Identification of Ozone Recovery. </w:t>
      </w:r>
      <w:r w:rsidRPr="00F808ED">
        <w:rPr>
          <w:rFonts w:ascii="Calibri" w:hAnsi="Calibri" w:cs="Calibri"/>
          <w:i/>
          <w:iCs/>
          <w:noProof/>
          <w:sz w:val="24"/>
        </w:rPr>
        <w:t>Geophysical Research Letters</w:t>
      </w:r>
      <w:r w:rsidRPr="00F808ED">
        <w:rPr>
          <w:rFonts w:ascii="Calibri" w:hAnsi="Calibri" w:cs="Calibri"/>
          <w:noProof/>
          <w:sz w:val="24"/>
        </w:rPr>
        <w:t xml:space="preserve">, </w:t>
      </w:r>
      <w:r w:rsidRPr="00F808ED">
        <w:rPr>
          <w:rFonts w:ascii="Calibri" w:hAnsi="Calibri" w:cs="Calibri"/>
          <w:i/>
          <w:iCs/>
          <w:noProof/>
          <w:sz w:val="24"/>
        </w:rPr>
        <w:t>45</w:t>
      </w:r>
      <w:r w:rsidRPr="00F808ED">
        <w:rPr>
          <w:rFonts w:ascii="Calibri" w:hAnsi="Calibri" w:cs="Calibri"/>
          <w:noProof/>
          <w:sz w:val="24"/>
        </w:rPr>
        <w:t>(10), 5158–5165. https://doi.org/10.1029/2018GL077955</w:t>
      </w:r>
    </w:p>
    <w:p w14:paraId="7DB7413D" w14:textId="77777777" w:rsidR="00F808ED" w:rsidRPr="00587198" w:rsidRDefault="00F808ED" w:rsidP="00F808ED">
      <w:pPr>
        <w:widowControl w:val="0"/>
        <w:autoSpaceDE w:val="0"/>
        <w:autoSpaceDN w:val="0"/>
        <w:adjustRightInd w:val="0"/>
        <w:spacing w:before="120"/>
        <w:ind w:left="480" w:hanging="480"/>
        <w:rPr>
          <w:rFonts w:ascii="Calibri" w:hAnsi="Calibri" w:cs="Calibri"/>
          <w:noProof/>
          <w:sz w:val="24"/>
          <w:lang w:val="es-ES"/>
        </w:rPr>
      </w:pPr>
      <w:r w:rsidRPr="00F808ED">
        <w:rPr>
          <w:rFonts w:ascii="Calibri" w:hAnsi="Calibri" w:cs="Calibri"/>
          <w:noProof/>
          <w:sz w:val="24"/>
        </w:rPr>
        <w:t xml:space="preserve">Sukhodolov, T., Egorova, T., Stenke, A., Ball, W. T., Brodowsky, C., Chiodo, G., et al. (2021). Atmosphere-ocean-aerosol-chemistry-climate model SOCOLv4.0: Description and evaluation. </w:t>
      </w:r>
      <w:r w:rsidRPr="00587198">
        <w:rPr>
          <w:rFonts w:ascii="Calibri" w:hAnsi="Calibri" w:cs="Calibri"/>
          <w:i/>
          <w:iCs/>
          <w:noProof/>
          <w:sz w:val="24"/>
          <w:lang w:val="es-ES"/>
        </w:rPr>
        <w:t>Geoscientific Model Development</w:t>
      </w:r>
      <w:r w:rsidRPr="00587198">
        <w:rPr>
          <w:rFonts w:ascii="Calibri" w:hAnsi="Calibri" w:cs="Calibri"/>
          <w:noProof/>
          <w:sz w:val="24"/>
          <w:lang w:val="es-ES"/>
        </w:rPr>
        <w:t xml:space="preserve">, </w:t>
      </w:r>
      <w:r w:rsidRPr="00587198">
        <w:rPr>
          <w:rFonts w:ascii="Calibri" w:hAnsi="Calibri" w:cs="Calibri"/>
          <w:i/>
          <w:iCs/>
          <w:noProof/>
          <w:sz w:val="24"/>
          <w:lang w:val="es-ES"/>
        </w:rPr>
        <w:t>14</w:t>
      </w:r>
      <w:r w:rsidRPr="00587198">
        <w:rPr>
          <w:rFonts w:ascii="Calibri" w:hAnsi="Calibri" w:cs="Calibri"/>
          <w:noProof/>
          <w:sz w:val="24"/>
          <w:lang w:val="es-ES"/>
        </w:rPr>
        <w:t>(9), 5525–5560. https://doi.org/10.5194/gmd-14-5525-2021</w:t>
      </w:r>
    </w:p>
    <w:p w14:paraId="7A4EB239" w14:textId="77777777" w:rsidR="00F808ED" w:rsidRPr="00587198" w:rsidRDefault="00F808ED" w:rsidP="00F808ED">
      <w:pPr>
        <w:widowControl w:val="0"/>
        <w:autoSpaceDE w:val="0"/>
        <w:autoSpaceDN w:val="0"/>
        <w:adjustRightInd w:val="0"/>
        <w:spacing w:before="120"/>
        <w:ind w:left="480" w:hanging="480"/>
        <w:rPr>
          <w:rFonts w:ascii="Calibri" w:hAnsi="Calibri" w:cs="Calibri"/>
          <w:noProof/>
          <w:sz w:val="24"/>
          <w:lang w:val="es-ES"/>
        </w:rPr>
      </w:pPr>
      <w:r w:rsidRPr="00587198">
        <w:rPr>
          <w:rFonts w:ascii="Calibri" w:hAnsi="Calibri" w:cs="Calibri"/>
          <w:noProof/>
          <w:sz w:val="24"/>
          <w:lang w:val="es-ES"/>
        </w:rPr>
        <w:t xml:space="preserve">Tatebe, H., Ogura, T., Nitta, T., Komuro, Y., Ogochi, K., Takemura, T., et al. </w:t>
      </w:r>
      <w:r w:rsidRPr="00F808ED">
        <w:rPr>
          <w:rFonts w:ascii="Calibri" w:hAnsi="Calibri" w:cs="Calibri"/>
          <w:noProof/>
          <w:sz w:val="24"/>
        </w:rPr>
        <w:t xml:space="preserve">(2019). Description and basic evaluation of simulated mean state, internal variability, and climate sensitivity in MIROC6. </w:t>
      </w:r>
      <w:r w:rsidRPr="00587198">
        <w:rPr>
          <w:rFonts w:ascii="Calibri" w:hAnsi="Calibri" w:cs="Calibri"/>
          <w:i/>
          <w:iCs/>
          <w:noProof/>
          <w:sz w:val="24"/>
          <w:lang w:val="es-ES"/>
        </w:rPr>
        <w:t>Geoscientific Model Development</w:t>
      </w:r>
      <w:r w:rsidRPr="00587198">
        <w:rPr>
          <w:rFonts w:ascii="Calibri" w:hAnsi="Calibri" w:cs="Calibri"/>
          <w:noProof/>
          <w:sz w:val="24"/>
          <w:lang w:val="es-ES"/>
        </w:rPr>
        <w:t xml:space="preserve">, </w:t>
      </w:r>
      <w:r w:rsidRPr="00587198">
        <w:rPr>
          <w:rFonts w:ascii="Calibri" w:hAnsi="Calibri" w:cs="Calibri"/>
          <w:i/>
          <w:iCs/>
          <w:noProof/>
          <w:sz w:val="24"/>
          <w:lang w:val="es-ES"/>
        </w:rPr>
        <w:t>12</w:t>
      </w:r>
      <w:r w:rsidRPr="00587198">
        <w:rPr>
          <w:rFonts w:ascii="Calibri" w:hAnsi="Calibri" w:cs="Calibri"/>
          <w:noProof/>
          <w:sz w:val="24"/>
          <w:lang w:val="es-ES"/>
        </w:rPr>
        <w:t>(7), 2727–2765. https://doi.org/10.5194/gmd-12-2727-2019</w:t>
      </w:r>
    </w:p>
    <w:p w14:paraId="381838A8" w14:textId="77777777" w:rsidR="00F808ED" w:rsidRPr="00F808ED" w:rsidRDefault="00F808ED" w:rsidP="00F808ED">
      <w:pPr>
        <w:widowControl w:val="0"/>
        <w:autoSpaceDE w:val="0"/>
        <w:autoSpaceDN w:val="0"/>
        <w:adjustRightInd w:val="0"/>
        <w:spacing w:before="120"/>
        <w:ind w:left="480" w:hanging="480"/>
        <w:rPr>
          <w:rFonts w:ascii="Calibri" w:hAnsi="Calibri" w:cs="Calibri"/>
          <w:noProof/>
          <w:sz w:val="24"/>
        </w:rPr>
      </w:pPr>
      <w:r w:rsidRPr="00587198">
        <w:rPr>
          <w:rFonts w:ascii="Calibri" w:hAnsi="Calibri" w:cs="Calibri"/>
          <w:noProof/>
          <w:sz w:val="24"/>
          <w:lang w:val="es-ES"/>
        </w:rPr>
        <w:t xml:space="preserve">Villamayor, J., Iglesias-Suarez, F., Cuevas, C. A., Fernandez, R. P., Li, Q., Abalos, M., et al. </w:t>
      </w:r>
      <w:r w:rsidRPr="00F808ED">
        <w:rPr>
          <w:rFonts w:ascii="Calibri" w:hAnsi="Calibri" w:cs="Calibri"/>
          <w:noProof/>
          <w:sz w:val="24"/>
        </w:rPr>
        <w:t xml:space="preserve">(2023). Very short-lived halogens amplify ozone depletion trends in the tropical lower stratosphere. </w:t>
      </w:r>
      <w:r w:rsidRPr="00F808ED">
        <w:rPr>
          <w:rFonts w:ascii="Calibri" w:hAnsi="Calibri" w:cs="Calibri"/>
          <w:i/>
          <w:iCs/>
          <w:noProof/>
          <w:sz w:val="24"/>
        </w:rPr>
        <w:t>Nature Climate Change</w:t>
      </w:r>
      <w:r w:rsidRPr="00F808ED">
        <w:rPr>
          <w:rFonts w:ascii="Calibri" w:hAnsi="Calibri" w:cs="Calibri"/>
          <w:noProof/>
          <w:sz w:val="24"/>
        </w:rPr>
        <w:t xml:space="preserve">, </w:t>
      </w:r>
      <w:r w:rsidRPr="00F808ED">
        <w:rPr>
          <w:rFonts w:ascii="Calibri" w:hAnsi="Calibri" w:cs="Calibri"/>
          <w:i/>
          <w:iCs/>
          <w:noProof/>
          <w:sz w:val="24"/>
        </w:rPr>
        <w:t>13</w:t>
      </w:r>
      <w:r w:rsidRPr="00F808ED">
        <w:rPr>
          <w:rFonts w:ascii="Calibri" w:hAnsi="Calibri" w:cs="Calibri"/>
          <w:noProof/>
          <w:sz w:val="24"/>
        </w:rPr>
        <w:t>(6), 554–560. https://doi.org/10.1038/s41558-023-01671-y</w:t>
      </w:r>
    </w:p>
    <w:p w14:paraId="144259EE" w14:textId="77777777" w:rsidR="00F808ED" w:rsidRPr="00F808ED" w:rsidRDefault="00F808ED" w:rsidP="00F808ED">
      <w:pPr>
        <w:widowControl w:val="0"/>
        <w:autoSpaceDE w:val="0"/>
        <w:autoSpaceDN w:val="0"/>
        <w:adjustRightInd w:val="0"/>
        <w:spacing w:before="120"/>
        <w:ind w:left="480" w:hanging="480"/>
        <w:rPr>
          <w:rFonts w:ascii="Calibri" w:hAnsi="Calibri" w:cs="Calibri"/>
          <w:noProof/>
          <w:sz w:val="24"/>
        </w:rPr>
      </w:pPr>
      <w:r w:rsidRPr="00F808ED">
        <w:rPr>
          <w:rFonts w:ascii="Calibri" w:hAnsi="Calibri" w:cs="Calibri"/>
          <w:noProof/>
          <w:sz w:val="24"/>
        </w:rPr>
        <w:t xml:space="preserve">Wallace, J. M., Panetta, R. L., &amp; Estberg, J. (1993). Representation of the Equatorial Stratospheric Quasi-Biennial Oscillation in EOF Phase Space. </w:t>
      </w:r>
      <w:r w:rsidRPr="00F808ED">
        <w:rPr>
          <w:rFonts w:ascii="Calibri" w:hAnsi="Calibri" w:cs="Calibri"/>
          <w:i/>
          <w:iCs/>
          <w:noProof/>
          <w:sz w:val="24"/>
        </w:rPr>
        <w:t>Journal of the Atmospheric Sciences</w:t>
      </w:r>
      <w:r w:rsidRPr="00F808ED">
        <w:rPr>
          <w:rFonts w:ascii="Calibri" w:hAnsi="Calibri" w:cs="Calibri"/>
          <w:noProof/>
          <w:sz w:val="24"/>
        </w:rPr>
        <w:t xml:space="preserve">, </w:t>
      </w:r>
      <w:r w:rsidRPr="00F808ED">
        <w:rPr>
          <w:rFonts w:ascii="Calibri" w:hAnsi="Calibri" w:cs="Calibri"/>
          <w:i/>
          <w:iCs/>
          <w:noProof/>
          <w:sz w:val="24"/>
        </w:rPr>
        <w:t>50</w:t>
      </w:r>
      <w:r w:rsidRPr="00F808ED">
        <w:rPr>
          <w:rFonts w:ascii="Calibri" w:hAnsi="Calibri" w:cs="Calibri"/>
          <w:noProof/>
          <w:sz w:val="24"/>
        </w:rPr>
        <w:t>(12), 1751–1762. https://doi.org/10.1175/1520-0469(1993)050&lt;1751:ROTESQ&gt;2.0.CO;2</w:t>
      </w:r>
    </w:p>
    <w:p w14:paraId="5080AB38" w14:textId="77777777" w:rsidR="00F808ED" w:rsidRPr="00F808ED" w:rsidRDefault="00F808ED" w:rsidP="00F808ED">
      <w:pPr>
        <w:widowControl w:val="0"/>
        <w:autoSpaceDE w:val="0"/>
        <w:autoSpaceDN w:val="0"/>
        <w:adjustRightInd w:val="0"/>
        <w:spacing w:before="120"/>
        <w:ind w:left="480" w:hanging="480"/>
        <w:rPr>
          <w:rFonts w:ascii="Calibri" w:hAnsi="Calibri" w:cs="Calibri"/>
          <w:noProof/>
          <w:sz w:val="24"/>
        </w:rPr>
      </w:pPr>
      <w:r w:rsidRPr="00F808ED">
        <w:rPr>
          <w:rFonts w:ascii="Calibri" w:hAnsi="Calibri" w:cs="Calibri"/>
          <w:noProof/>
          <w:sz w:val="24"/>
        </w:rPr>
        <w:t xml:space="preserve">Wang, W., Hong, J., Shangguan, M., Wang, H., Jiang, W., &amp; Zhao, S. (2022). Zonally asymmetric influences of the quasi-biennial oscillation on stratospheric ozone. </w:t>
      </w:r>
      <w:r w:rsidRPr="00F808ED">
        <w:rPr>
          <w:rFonts w:ascii="Calibri" w:hAnsi="Calibri" w:cs="Calibri"/>
          <w:i/>
          <w:iCs/>
          <w:noProof/>
          <w:sz w:val="24"/>
        </w:rPr>
        <w:t>Atmospheric Chemistry and Physics</w:t>
      </w:r>
      <w:r w:rsidRPr="00F808ED">
        <w:rPr>
          <w:rFonts w:ascii="Calibri" w:hAnsi="Calibri" w:cs="Calibri"/>
          <w:noProof/>
          <w:sz w:val="24"/>
        </w:rPr>
        <w:t xml:space="preserve">, </w:t>
      </w:r>
      <w:r w:rsidRPr="00F808ED">
        <w:rPr>
          <w:rFonts w:ascii="Calibri" w:hAnsi="Calibri" w:cs="Calibri"/>
          <w:i/>
          <w:iCs/>
          <w:noProof/>
          <w:sz w:val="24"/>
        </w:rPr>
        <w:t>22</w:t>
      </w:r>
      <w:r w:rsidRPr="00F808ED">
        <w:rPr>
          <w:rFonts w:ascii="Calibri" w:hAnsi="Calibri" w:cs="Calibri"/>
          <w:noProof/>
          <w:sz w:val="24"/>
        </w:rPr>
        <w:t>(20), 13695–13711. https://doi.org/10.5194/acp-22-13695-2022</w:t>
      </w:r>
    </w:p>
    <w:p w14:paraId="7335602D" w14:textId="77777777" w:rsidR="00F808ED" w:rsidRPr="00F808ED" w:rsidRDefault="00F808ED" w:rsidP="00F808ED">
      <w:pPr>
        <w:widowControl w:val="0"/>
        <w:autoSpaceDE w:val="0"/>
        <w:autoSpaceDN w:val="0"/>
        <w:adjustRightInd w:val="0"/>
        <w:spacing w:before="120"/>
        <w:ind w:left="480" w:hanging="480"/>
        <w:rPr>
          <w:rFonts w:ascii="Calibri" w:hAnsi="Calibri" w:cs="Calibri"/>
          <w:noProof/>
          <w:sz w:val="24"/>
        </w:rPr>
      </w:pPr>
      <w:r w:rsidRPr="00F808ED">
        <w:rPr>
          <w:rFonts w:ascii="Calibri" w:hAnsi="Calibri" w:cs="Calibri"/>
          <w:noProof/>
          <w:sz w:val="24"/>
        </w:rPr>
        <w:t xml:space="preserve">Wargan, K., Orbe, C., Pawson, S., Ziemke, J. R., Oman, L. D., Olsen, M. A., et al. (2018). Recent </w:t>
      </w:r>
      <w:r w:rsidRPr="00F808ED">
        <w:rPr>
          <w:rFonts w:ascii="Calibri" w:hAnsi="Calibri" w:cs="Calibri"/>
          <w:noProof/>
          <w:sz w:val="24"/>
        </w:rPr>
        <w:lastRenderedPageBreak/>
        <w:t xml:space="preserve">Decline in Extratropical Lower Stratospheric Ozone Attributed to Circulation Changes. </w:t>
      </w:r>
      <w:r w:rsidRPr="00F808ED">
        <w:rPr>
          <w:rFonts w:ascii="Calibri" w:hAnsi="Calibri" w:cs="Calibri"/>
          <w:i/>
          <w:iCs/>
          <w:noProof/>
          <w:sz w:val="24"/>
        </w:rPr>
        <w:t>Geophysical Research Letters</w:t>
      </w:r>
      <w:r w:rsidRPr="00F808ED">
        <w:rPr>
          <w:rFonts w:ascii="Calibri" w:hAnsi="Calibri" w:cs="Calibri"/>
          <w:noProof/>
          <w:sz w:val="24"/>
        </w:rPr>
        <w:t xml:space="preserve">, </w:t>
      </w:r>
      <w:r w:rsidRPr="00F808ED">
        <w:rPr>
          <w:rFonts w:ascii="Calibri" w:hAnsi="Calibri" w:cs="Calibri"/>
          <w:i/>
          <w:iCs/>
          <w:noProof/>
          <w:sz w:val="24"/>
        </w:rPr>
        <w:t>45</w:t>
      </w:r>
      <w:r w:rsidRPr="00F808ED">
        <w:rPr>
          <w:rFonts w:ascii="Calibri" w:hAnsi="Calibri" w:cs="Calibri"/>
          <w:noProof/>
          <w:sz w:val="24"/>
        </w:rPr>
        <w:t>(10), 5166–5176. https://doi.org/10.1029/2018GL077406</w:t>
      </w:r>
    </w:p>
    <w:p w14:paraId="61B7A092" w14:textId="77777777" w:rsidR="00F808ED" w:rsidRPr="00F808ED" w:rsidRDefault="00F808ED" w:rsidP="00F808ED">
      <w:pPr>
        <w:widowControl w:val="0"/>
        <w:autoSpaceDE w:val="0"/>
        <w:autoSpaceDN w:val="0"/>
        <w:adjustRightInd w:val="0"/>
        <w:spacing w:before="120"/>
        <w:ind w:left="480" w:hanging="480"/>
        <w:rPr>
          <w:rFonts w:ascii="Calibri" w:hAnsi="Calibri" w:cs="Calibri"/>
          <w:noProof/>
          <w:sz w:val="24"/>
        </w:rPr>
      </w:pPr>
      <w:r w:rsidRPr="00F808ED">
        <w:rPr>
          <w:rFonts w:ascii="Calibri" w:hAnsi="Calibri" w:cs="Calibri"/>
          <w:noProof/>
          <w:sz w:val="24"/>
        </w:rPr>
        <w:t xml:space="preserve">Waugh, D. W., &amp; Hall, T. M. (2002). Age of stratospheric air: Theory, observations, and models. </w:t>
      </w:r>
      <w:r w:rsidRPr="00F808ED">
        <w:rPr>
          <w:rFonts w:ascii="Calibri" w:hAnsi="Calibri" w:cs="Calibri"/>
          <w:i/>
          <w:iCs/>
          <w:noProof/>
          <w:sz w:val="24"/>
        </w:rPr>
        <w:t>Reviews of Geophysics</w:t>
      </w:r>
      <w:r w:rsidRPr="00F808ED">
        <w:rPr>
          <w:rFonts w:ascii="Calibri" w:hAnsi="Calibri" w:cs="Calibri"/>
          <w:noProof/>
          <w:sz w:val="24"/>
        </w:rPr>
        <w:t>. https://doi.org/10.1029/2000RG000101</w:t>
      </w:r>
    </w:p>
    <w:p w14:paraId="5C97F58D" w14:textId="77777777" w:rsidR="00F808ED" w:rsidRPr="00F808ED" w:rsidRDefault="00F808ED" w:rsidP="00F808ED">
      <w:pPr>
        <w:widowControl w:val="0"/>
        <w:autoSpaceDE w:val="0"/>
        <w:autoSpaceDN w:val="0"/>
        <w:adjustRightInd w:val="0"/>
        <w:spacing w:before="120"/>
        <w:ind w:left="480" w:hanging="480"/>
        <w:rPr>
          <w:rFonts w:ascii="Calibri" w:hAnsi="Calibri" w:cs="Calibri"/>
          <w:noProof/>
          <w:sz w:val="24"/>
        </w:rPr>
      </w:pPr>
      <w:r w:rsidRPr="00F808ED">
        <w:rPr>
          <w:rFonts w:ascii="Calibri" w:hAnsi="Calibri" w:cs="Calibri"/>
          <w:noProof/>
          <w:sz w:val="24"/>
        </w:rPr>
        <w:t xml:space="preserve">Weber, M., Arosio, C., Coldewey-Egbers, M., Fioletov, V. E., Frith, S. M., Wild, J. D., et al. (2022). Global total ozone recovery trends attributed to ozone-depleting substance (ODS) changes derived from five merged ozone datasets. </w:t>
      </w:r>
      <w:r w:rsidRPr="00F808ED">
        <w:rPr>
          <w:rFonts w:ascii="Calibri" w:hAnsi="Calibri" w:cs="Calibri"/>
          <w:i/>
          <w:iCs/>
          <w:noProof/>
          <w:sz w:val="24"/>
        </w:rPr>
        <w:t>Atmospheric Chemistry and Physics</w:t>
      </w:r>
      <w:r w:rsidRPr="00F808ED">
        <w:rPr>
          <w:rFonts w:ascii="Calibri" w:hAnsi="Calibri" w:cs="Calibri"/>
          <w:noProof/>
          <w:sz w:val="24"/>
        </w:rPr>
        <w:t xml:space="preserve">, </w:t>
      </w:r>
      <w:r w:rsidRPr="00F808ED">
        <w:rPr>
          <w:rFonts w:ascii="Calibri" w:hAnsi="Calibri" w:cs="Calibri"/>
          <w:i/>
          <w:iCs/>
          <w:noProof/>
          <w:sz w:val="24"/>
        </w:rPr>
        <w:t>22</w:t>
      </w:r>
      <w:r w:rsidRPr="00F808ED">
        <w:rPr>
          <w:rFonts w:ascii="Calibri" w:hAnsi="Calibri" w:cs="Calibri"/>
          <w:noProof/>
          <w:sz w:val="24"/>
        </w:rPr>
        <w:t>(10), 6843–6859. https://doi.org/10.5194/acp-22-6843-2022</w:t>
      </w:r>
    </w:p>
    <w:p w14:paraId="4CB40D5F" w14:textId="77777777" w:rsidR="00F808ED" w:rsidRPr="00F808ED" w:rsidRDefault="00F808ED" w:rsidP="00F808ED">
      <w:pPr>
        <w:widowControl w:val="0"/>
        <w:autoSpaceDE w:val="0"/>
        <w:autoSpaceDN w:val="0"/>
        <w:adjustRightInd w:val="0"/>
        <w:spacing w:before="120"/>
        <w:ind w:left="480" w:hanging="480"/>
        <w:rPr>
          <w:rFonts w:ascii="Calibri" w:hAnsi="Calibri" w:cs="Calibri"/>
          <w:noProof/>
          <w:sz w:val="24"/>
        </w:rPr>
      </w:pPr>
      <w:r w:rsidRPr="00F808ED">
        <w:rPr>
          <w:rFonts w:ascii="Calibri" w:hAnsi="Calibri" w:cs="Calibri"/>
          <w:noProof/>
          <w:sz w:val="24"/>
        </w:rPr>
        <w:t xml:space="preserve">WMO. (2022). </w:t>
      </w:r>
      <w:r w:rsidRPr="00F808ED">
        <w:rPr>
          <w:rFonts w:ascii="Calibri" w:hAnsi="Calibri" w:cs="Calibri"/>
          <w:i/>
          <w:iCs/>
          <w:noProof/>
          <w:sz w:val="24"/>
        </w:rPr>
        <w:t>Scientific Assessment of Ozone Depletion: Global Ozone Research and Monitoring Project -- GAW Report no. 278</w:t>
      </w:r>
      <w:r w:rsidRPr="00F808ED">
        <w:rPr>
          <w:rFonts w:ascii="Calibri" w:hAnsi="Calibri" w:cs="Calibri"/>
          <w:noProof/>
          <w:sz w:val="24"/>
        </w:rPr>
        <w:t>. Geneva, Switzerland: World Meteorological Organization.</w:t>
      </w:r>
    </w:p>
    <w:p w14:paraId="3271C59C" w14:textId="77777777" w:rsidR="00F808ED" w:rsidRPr="00F808ED" w:rsidRDefault="00F808ED" w:rsidP="00F808ED">
      <w:pPr>
        <w:widowControl w:val="0"/>
        <w:autoSpaceDE w:val="0"/>
        <w:autoSpaceDN w:val="0"/>
        <w:adjustRightInd w:val="0"/>
        <w:spacing w:before="120"/>
        <w:ind w:left="480" w:hanging="480"/>
        <w:rPr>
          <w:rFonts w:ascii="Calibri" w:hAnsi="Calibri" w:cs="Calibri"/>
          <w:noProof/>
          <w:sz w:val="24"/>
        </w:rPr>
      </w:pPr>
      <w:r w:rsidRPr="00F808ED">
        <w:rPr>
          <w:rFonts w:ascii="Calibri" w:hAnsi="Calibri" w:cs="Calibri"/>
          <w:noProof/>
          <w:sz w:val="24"/>
        </w:rPr>
        <w:t xml:space="preserve">Xie, F., Li, J., Tian, W., Feng, J., &amp; Huo, Y. (2012). Signals of El Niño Modoki in the tropical tropopause layer and stratosphere. </w:t>
      </w:r>
      <w:r w:rsidRPr="00F808ED">
        <w:rPr>
          <w:rFonts w:ascii="Calibri" w:hAnsi="Calibri" w:cs="Calibri"/>
          <w:i/>
          <w:iCs/>
          <w:noProof/>
          <w:sz w:val="24"/>
        </w:rPr>
        <w:t>Atmospheric Chemistry and Physics</w:t>
      </w:r>
      <w:r w:rsidRPr="00F808ED">
        <w:rPr>
          <w:rFonts w:ascii="Calibri" w:hAnsi="Calibri" w:cs="Calibri"/>
          <w:noProof/>
          <w:sz w:val="24"/>
        </w:rPr>
        <w:t xml:space="preserve">, </w:t>
      </w:r>
      <w:r w:rsidRPr="00F808ED">
        <w:rPr>
          <w:rFonts w:ascii="Calibri" w:hAnsi="Calibri" w:cs="Calibri"/>
          <w:i/>
          <w:iCs/>
          <w:noProof/>
          <w:sz w:val="24"/>
        </w:rPr>
        <w:t>12</w:t>
      </w:r>
      <w:r w:rsidRPr="00F808ED">
        <w:rPr>
          <w:rFonts w:ascii="Calibri" w:hAnsi="Calibri" w:cs="Calibri"/>
          <w:noProof/>
          <w:sz w:val="24"/>
        </w:rPr>
        <w:t>(11), 5259–5273. https://doi.org/10.5194/acp-12-5259-2012</w:t>
      </w:r>
    </w:p>
    <w:p w14:paraId="51B6D22E" w14:textId="77777777" w:rsidR="00F808ED" w:rsidRPr="00F808ED" w:rsidRDefault="00F808ED" w:rsidP="00F808ED">
      <w:pPr>
        <w:widowControl w:val="0"/>
        <w:autoSpaceDE w:val="0"/>
        <w:autoSpaceDN w:val="0"/>
        <w:adjustRightInd w:val="0"/>
        <w:spacing w:before="120"/>
        <w:ind w:left="480" w:hanging="480"/>
        <w:rPr>
          <w:rFonts w:ascii="Calibri" w:hAnsi="Calibri" w:cs="Calibri"/>
          <w:noProof/>
          <w:sz w:val="24"/>
        </w:rPr>
      </w:pPr>
      <w:r w:rsidRPr="00F808ED">
        <w:rPr>
          <w:rFonts w:ascii="Calibri" w:hAnsi="Calibri" w:cs="Calibri"/>
          <w:noProof/>
          <w:sz w:val="24"/>
        </w:rPr>
        <w:t xml:space="preserve">Xie, F., Zhang, J., Li, X., Li, J., Wang, T., &amp; Xu, M. (2020). Independent and joint influences of eastern Pacific El Niño–southern oscillation and quasi-biennial oscillation on Northern Hemispheric stratospheric ozone. </w:t>
      </w:r>
      <w:r w:rsidRPr="00F808ED">
        <w:rPr>
          <w:rFonts w:ascii="Calibri" w:hAnsi="Calibri" w:cs="Calibri"/>
          <w:i/>
          <w:iCs/>
          <w:noProof/>
          <w:sz w:val="24"/>
        </w:rPr>
        <w:t>International Journal of Climatology</w:t>
      </w:r>
      <w:r w:rsidRPr="00F808ED">
        <w:rPr>
          <w:rFonts w:ascii="Calibri" w:hAnsi="Calibri" w:cs="Calibri"/>
          <w:noProof/>
          <w:sz w:val="24"/>
        </w:rPr>
        <w:t xml:space="preserve">, </w:t>
      </w:r>
      <w:r w:rsidRPr="00F808ED">
        <w:rPr>
          <w:rFonts w:ascii="Calibri" w:hAnsi="Calibri" w:cs="Calibri"/>
          <w:i/>
          <w:iCs/>
          <w:noProof/>
          <w:sz w:val="24"/>
        </w:rPr>
        <w:t>40</w:t>
      </w:r>
      <w:r w:rsidRPr="00F808ED">
        <w:rPr>
          <w:rFonts w:ascii="Calibri" w:hAnsi="Calibri" w:cs="Calibri"/>
          <w:noProof/>
          <w:sz w:val="24"/>
        </w:rPr>
        <w:t>(12), 5289–5307. https://doi.org/10.1002/joc.6519</w:t>
      </w:r>
    </w:p>
    <w:p w14:paraId="6DAA06C0" w14:textId="77777777" w:rsidR="00F808ED" w:rsidRPr="00F808ED" w:rsidRDefault="00F808ED" w:rsidP="00F808ED">
      <w:pPr>
        <w:widowControl w:val="0"/>
        <w:autoSpaceDE w:val="0"/>
        <w:autoSpaceDN w:val="0"/>
        <w:adjustRightInd w:val="0"/>
        <w:spacing w:before="120"/>
        <w:ind w:left="480" w:hanging="480"/>
        <w:rPr>
          <w:rFonts w:ascii="Calibri" w:hAnsi="Calibri" w:cs="Calibri"/>
          <w:noProof/>
          <w:sz w:val="24"/>
        </w:rPr>
      </w:pPr>
      <w:r w:rsidRPr="00F808ED">
        <w:rPr>
          <w:rFonts w:ascii="Calibri" w:hAnsi="Calibri" w:cs="Calibri"/>
          <w:noProof/>
          <w:sz w:val="24"/>
        </w:rPr>
        <w:t xml:space="preserve">Zeng, G., Querel, R., Shiona, H., Poyraz, D., Van Malderen, R., Geddes, A., et al. (2024). Analysis of a newly homogenised ozonesonde dataset from Lauder, New Zealand. </w:t>
      </w:r>
      <w:r w:rsidRPr="00F808ED">
        <w:rPr>
          <w:rFonts w:ascii="Calibri" w:hAnsi="Calibri" w:cs="Calibri"/>
          <w:i/>
          <w:iCs/>
          <w:noProof/>
          <w:sz w:val="24"/>
        </w:rPr>
        <w:t>Atmospheric Chemistry and Physics</w:t>
      </w:r>
      <w:r w:rsidRPr="00F808ED">
        <w:rPr>
          <w:rFonts w:ascii="Calibri" w:hAnsi="Calibri" w:cs="Calibri"/>
          <w:noProof/>
          <w:sz w:val="24"/>
        </w:rPr>
        <w:t xml:space="preserve">, </w:t>
      </w:r>
      <w:r w:rsidRPr="00F808ED">
        <w:rPr>
          <w:rFonts w:ascii="Calibri" w:hAnsi="Calibri" w:cs="Calibri"/>
          <w:i/>
          <w:iCs/>
          <w:noProof/>
          <w:sz w:val="24"/>
        </w:rPr>
        <w:t>24</w:t>
      </w:r>
      <w:r w:rsidRPr="00F808ED">
        <w:rPr>
          <w:rFonts w:ascii="Calibri" w:hAnsi="Calibri" w:cs="Calibri"/>
          <w:noProof/>
          <w:sz w:val="24"/>
        </w:rPr>
        <w:t>(10), 6413–6432. https://doi.org/10.5194/acp-24-6413-2024</w:t>
      </w:r>
    </w:p>
    <w:p w14:paraId="2ED1DE00" w14:textId="77777777" w:rsidR="00F808ED" w:rsidRPr="00F808ED" w:rsidRDefault="00F808ED" w:rsidP="00F808ED">
      <w:pPr>
        <w:widowControl w:val="0"/>
        <w:autoSpaceDE w:val="0"/>
        <w:autoSpaceDN w:val="0"/>
        <w:adjustRightInd w:val="0"/>
        <w:spacing w:before="120"/>
        <w:ind w:left="480" w:hanging="480"/>
        <w:rPr>
          <w:rFonts w:ascii="Calibri" w:hAnsi="Calibri" w:cs="Calibri"/>
          <w:noProof/>
          <w:sz w:val="24"/>
        </w:rPr>
      </w:pPr>
      <w:r w:rsidRPr="00F808ED">
        <w:rPr>
          <w:rFonts w:ascii="Calibri" w:hAnsi="Calibri" w:cs="Calibri"/>
          <w:noProof/>
          <w:sz w:val="24"/>
        </w:rPr>
        <w:t xml:space="preserve">Zhang, Y., West, J. J., Emmons, L. K., Flemming, J., Jonson, J. E., Lund, M. T., et al. (2021). Contributions of World Regions to the Global Tropospheric Ozone Burden Change From 1980 to 2010. </w:t>
      </w:r>
      <w:r w:rsidRPr="00F808ED">
        <w:rPr>
          <w:rFonts w:ascii="Calibri" w:hAnsi="Calibri" w:cs="Calibri"/>
          <w:i/>
          <w:iCs/>
          <w:noProof/>
          <w:sz w:val="24"/>
        </w:rPr>
        <w:t>Geophysical Research Letters</w:t>
      </w:r>
      <w:r w:rsidRPr="00F808ED">
        <w:rPr>
          <w:rFonts w:ascii="Calibri" w:hAnsi="Calibri" w:cs="Calibri"/>
          <w:noProof/>
          <w:sz w:val="24"/>
        </w:rPr>
        <w:t xml:space="preserve">, </w:t>
      </w:r>
      <w:r w:rsidRPr="00F808ED">
        <w:rPr>
          <w:rFonts w:ascii="Calibri" w:hAnsi="Calibri" w:cs="Calibri"/>
          <w:i/>
          <w:iCs/>
          <w:noProof/>
          <w:sz w:val="24"/>
        </w:rPr>
        <w:t>48</w:t>
      </w:r>
      <w:r w:rsidRPr="00F808ED">
        <w:rPr>
          <w:rFonts w:ascii="Calibri" w:hAnsi="Calibri" w:cs="Calibri"/>
          <w:noProof/>
          <w:sz w:val="24"/>
        </w:rPr>
        <w:t>(1), 1–12. https://doi.org/10.1029/2020GL089184</w:t>
      </w:r>
    </w:p>
    <w:p w14:paraId="443E6F5B" w14:textId="77777777" w:rsidR="00F808ED" w:rsidRPr="00F808ED" w:rsidRDefault="00F808ED" w:rsidP="00F808ED">
      <w:pPr>
        <w:widowControl w:val="0"/>
        <w:autoSpaceDE w:val="0"/>
        <w:autoSpaceDN w:val="0"/>
        <w:adjustRightInd w:val="0"/>
        <w:spacing w:before="120"/>
        <w:ind w:left="480" w:hanging="480"/>
        <w:rPr>
          <w:rFonts w:ascii="Calibri" w:hAnsi="Calibri" w:cs="Calibri"/>
          <w:noProof/>
          <w:sz w:val="24"/>
        </w:rPr>
      </w:pPr>
      <w:r w:rsidRPr="00F808ED">
        <w:rPr>
          <w:rFonts w:ascii="Calibri" w:hAnsi="Calibri" w:cs="Calibri"/>
          <w:noProof/>
          <w:sz w:val="24"/>
        </w:rPr>
        <w:t xml:space="preserve">Ziemke, J. R., Oman, L. D., Strode, S. A., Douglass, A. R., Olsen, M. A., McPeters, R. D., et al. (2019). Trends in global tropospheric ozone inferred from a composite record of TOMS/OMI/MLS/OMPS satellite measurements and the MERRA-2 GMI simulation. </w:t>
      </w:r>
      <w:r w:rsidRPr="00F808ED">
        <w:rPr>
          <w:rFonts w:ascii="Calibri" w:hAnsi="Calibri" w:cs="Calibri"/>
          <w:i/>
          <w:iCs/>
          <w:noProof/>
          <w:sz w:val="24"/>
        </w:rPr>
        <w:t>Atmospheric Chemistry and Physics</w:t>
      </w:r>
      <w:r w:rsidRPr="00F808ED">
        <w:rPr>
          <w:rFonts w:ascii="Calibri" w:hAnsi="Calibri" w:cs="Calibri"/>
          <w:noProof/>
          <w:sz w:val="24"/>
        </w:rPr>
        <w:t xml:space="preserve">, </w:t>
      </w:r>
      <w:r w:rsidRPr="00F808ED">
        <w:rPr>
          <w:rFonts w:ascii="Calibri" w:hAnsi="Calibri" w:cs="Calibri"/>
          <w:i/>
          <w:iCs/>
          <w:noProof/>
          <w:sz w:val="24"/>
        </w:rPr>
        <w:t>19</w:t>
      </w:r>
      <w:r w:rsidRPr="00F808ED">
        <w:rPr>
          <w:rFonts w:ascii="Calibri" w:hAnsi="Calibri" w:cs="Calibri"/>
          <w:noProof/>
          <w:sz w:val="24"/>
        </w:rPr>
        <w:t>(5), 3257–3269. https://doi.org/10.5194/acp-19-3257-2019</w:t>
      </w:r>
    </w:p>
    <w:p w14:paraId="78071434" w14:textId="2FB8FCED" w:rsidR="00814700" w:rsidRDefault="006D0001" w:rsidP="00443F93">
      <w:pPr>
        <w:widowControl w:val="0"/>
        <w:autoSpaceDE w:val="0"/>
        <w:autoSpaceDN w:val="0"/>
        <w:adjustRightInd w:val="0"/>
        <w:spacing w:before="120"/>
        <w:ind w:left="480" w:hanging="480"/>
      </w:pPr>
      <w:r>
        <w:fldChar w:fldCharType="end"/>
      </w:r>
    </w:p>
    <w:sectPr w:rsidR="00814700">
      <w:headerReference w:type="default" r:id="rId25"/>
      <w:footerReference w:type="default" r:id="rId26"/>
      <w:type w:val="continuous"/>
      <w:pgSz w:w="12240" w:h="15840"/>
      <w:pgMar w:top="1440" w:right="1440" w:bottom="1440" w:left="1440" w:header="0" w:footer="720" w:gutter="0"/>
      <w:lnNumType w:countBy="1" w:distance="283" w:restart="continuous"/>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4B2A4A" w14:textId="77777777" w:rsidR="002629DE" w:rsidRDefault="002629DE">
      <w:r>
        <w:separator/>
      </w:r>
    </w:p>
  </w:endnote>
  <w:endnote w:type="continuationSeparator" w:id="0">
    <w:p w14:paraId="29AB7BEC" w14:textId="77777777" w:rsidR="002629DE" w:rsidRDefault="002629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alibri"/>
    <w:charset w:val="01"/>
    <w:family w:val="auto"/>
    <w:pitch w:val="variable"/>
    <w:sig w:usb0="800000AF" w:usb1="1001ECEA"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1"/>
    <w:family w:val="swiss"/>
    <w:pitch w:val="variable"/>
    <w:sig w:usb0="E0000AFF" w:usb1="500078FF" w:usb2="00000021" w:usb3="00000000" w:csb0="000001BF" w:csb1="00000000"/>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71491" w14:textId="77777777" w:rsidR="006E013A" w:rsidRDefault="006E013A">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EB5FF9" w14:textId="77777777" w:rsidR="002629DE" w:rsidRDefault="002629DE">
      <w:r>
        <w:separator/>
      </w:r>
    </w:p>
  </w:footnote>
  <w:footnote w:type="continuationSeparator" w:id="0">
    <w:p w14:paraId="0D466BD5" w14:textId="77777777" w:rsidR="002629DE" w:rsidRDefault="002629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BDFFB" w14:textId="15E321B2" w:rsidR="00F3207E" w:rsidRDefault="00F3207E">
    <w:pPr>
      <w:pStyle w:val="Encabezado"/>
    </w:pPr>
  </w:p>
  <w:p w14:paraId="170A26F2" w14:textId="4E129C35" w:rsidR="00F3207E" w:rsidRDefault="00F3207E" w:rsidP="00F3207E">
    <w:pPr>
      <w:pStyle w:val="Encabezado"/>
      <w:jc w:val="center"/>
    </w:pPr>
    <w:r>
      <w:t xml:space="preserve">manuscript submitted to </w:t>
    </w:r>
    <w:r w:rsidR="00D63136" w:rsidRPr="00D63136">
      <w:rPr>
        <w:i/>
      </w:rPr>
      <w:t>Journal of Geophysical Research: Atmospheres</w:t>
    </w:r>
  </w:p>
  <w:p w14:paraId="016930C8" w14:textId="77777777" w:rsidR="00F3207E" w:rsidRDefault="00F3207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C06B42"/>
    <w:multiLevelType w:val="hybridMultilevel"/>
    <w:tmpl w:val="9A92483A"/>
    <w:lvl w:ilvl="0" w:tplc="DE6EA8F6">
      <w:start w:val="19"/>
      <w:numFmt w:val="bullet"/>
      <w:lvlText w:val=""/>
      <w:lvlJc w:val="left"/>
      <w:pPr>
        <w:ind w:left="720" w:hanging="360"/>
      </w:pPr>
      <w:rPr>
        <w:rFonts w:ascii="Symbol" w:eastAsia="Times New Roman" w:hAnsi="Symbol" w:cstheme="minorHAns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DB00EA3"/>
    <w:multiLevelType w:val="multilevel"/>
    <w:tmpl w:val="769A611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395F3C04"/>
    <w:multiLevelType w:val="hybridMultilevel"/>
    <w:tmpl w:val="1292AD46"/>
    <w:lvl w:ilvl="0" w:tplc="E332BAA6">
      <w:numFmt w:val="bullet"/>
      <w:lvlText w:val=""/>
      <w:lvlJc w:val="left"/>
      <w:pPr>
        <w:ind w:left="720" w:hanging="360"/>
      </w:pPr>
      <w:rPr>
        <w:rFonts w:ascii="Symbol" w:eastAsia="Times New Roman" w:hAnsi="Symbol" w:cstheme="minorHAns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420F6EBA"/>
    <w:multiLevelType w:val="hybridMultilevel"/>
    <w:tmpl w:val="36547D1E"/>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 w15:restartNumberingAfterBreak="0">
    <w:nsid w:val="42615697"/>
    <w:multiLevelType w:val="multilevel"/>
    <w:tmpl w:val="62B2BDD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63C1373C"/>
    <w:multiLevelType w:val="hybridMultilevel"/>
    <w:tmpl w:val="7A3AA98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 w15:restartNumberingAfterBreak="0">
    <w:nsid w:val="656109A6"/>
    <w:multiLevelType w:val="multilevel"/>
    <w:tmpl w:val="91F04C2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 w15:restartNumberingAfterBreak="0">
    <w:nsid w:val="7069347E"/>
    <w:multiLevelType w:val="hybridMultilevel"/>
    <w:tmpl w:val="00EE00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679848692">
    <w:abstractNumId w:val="4"/>
  </w:num>
  <w:num w:numId="2" w16cid:durableId="13500684">
    <w:abstractNumId w:val="6"/>
  </w:num>
  <w:num w:numId="3" w16cid:durableId="1778139633">
    <w:abstractNumId w:val="1"/>
  </w:num>
  <w:num w:numId="4" w16cid:durableId="114176971">
    <w:abstractNumId w:val="3"/>
  </w:num>
  <w:num w:numId="5" w16cid:durableId="1875265335">
    <w:abstractNumId w:val="7"/>
  </w:num>
  <w:num w:numId="6" w16cid:durableId="529338698">
    <w:abstractNumId w:val="5"/>
  </w:num>
  <w:num w:numId="7" w16cid:durableId="2064329576">
    <w:abstractNumId w:val="2"/>
  </w:num>
  <w:num w:numId="8" w16cid:durableId="1201940138">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AMUEL BENITO BARCA">
    <w15:presenceInfo w15:providerId="AD" w15:userId="S::samubeni@ucm.es::b08a70f7-a067-4067-980c-d1ed5a5ba0f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4700"/>
    <w:rsid w:val="00006796"/>
    <w:rsid w:val="000072A4"/>
    <w:rsid w:val="00010E38"/>
    <w:rsid w:val="00011FAF"/>
    <w:rsid w:val="00012EB0"/>
    <w:rsid w:val="00020B82"/>
    <w:rsid w:val="000242A8"/>
    <w:rsid w:val="00024BC8"/>
    <w:rsid w:val="000354C0"/>
    <w:rsid w:val="00040AAF"/>
    <w:rsid w:val="00044FCC"/>
    <w:rsid w:val="0004675C"/>
    <w:rsid w:val="00047F18"/>
    <w:rsid w:val="000510B4"/>
    <w:rsid w:val="000530D0"/>
    <w:rsid w:val="00053A4D"/>
    <w:rsid w:val="00055DB1"/>
    <w:rsid w:val="00062009"/>
    <w:rsid w:val="0006663B"/>
    <w:rsid w:val="00066D5A"/>
    <w:rsid w:val="00070A76"/>
    <w:rsid w:val="00071908"/>
    <w:rsid w:val="00072E69"/>
    <w:rsid w:val="000769A9"/>
    <w:rsid w:val="0007791F"/>
    <w:rsid w:val="00084D98"/>
    <w:rsid w:val="0009582E"/>
    <w:rsid w:val="00096D59"/>
    <w:rsid w:val="000970CD"/>
    <w:rsid w:val="000A007D"/>
    <w:rsid w:val="000A0608"/>
    <w:rsid w:val="000A06E7"/>
    <w:rsid w:val="000A64DF"/>
    <w:rsid w:val="000A6EDF"/>
    <w:rsid w:val="000B11AD"/>
    <w:rsid w:val="000B4EFA"/>
    <w:rsid w:val="000B5683"/>
    <w:rsid w:val="000E3611"/>
    <w:rsid w:val="000E4769"/>
    <w:rsid w:val="000F441C"/>
    <w:rsid w:val="000F706F"/>
    <w:rsid w:val="000F798F"/>
    <w:rsid w:val="001003BD"/>
    <w:rsid w:val="00102BB6"/>
    <w:rsid w:val="00105E55"/>
    <w:rsid w:val="00106284"/>
    <w:rsid w:val="00106F41"/>
    <w:rsid w:val="00110B0F"/>
    <w:rsid w:val="001210B3"/>
    <w:rsid w:val="00122C5E"/>
    <w:rsid w:val="001268AE"/>
    <w:rsid w:val="001275B5"/>
    <w:rsid w:val="00140758"/>
    <w:rsid w:val="00146121"/>
    <w:rsid w:val="0014629A"/>
    <w:rsid w:val="00152A6E"/>
    <w:rsid w:val="00153C08"/>
    <w:rsid w:val="00155DA1"/>
    <w:rsid w:val="001710FD"/>
    <w:rsid w:val="00175027"/>
    <w:rsid w:val="00176082"/>
    <w:rsid w:val="00176B17"/>
    <w:rsid w:val="001819A3"/>
    <w:rsid w:val="001840CD"/>
    <w:rsid w:val="0018747E"/>
    <w:rsid w:val="001946F8"/>
    <w:rsid w:val="001967FD"/>
    <w:rsid w:val="001A189B"/>
    <w:rsid w:val="001A5E8F"/>
    <w:rsid w:val="001A7F05"/>
    <w:rsid w:val="001B084D"/>
    <w:rsid w:val="001B5408"/>
    <w:rsid w:val="001C0C94"/>
    <w:rsid w:val="001D1DF8"/>
    <w:rsid w:val="001D467D"/>
    <w:rsid w:val="001D6C17"/>
    <w:rsid w:val="001E04E7"/>
    <w:rsid w:val="001E075D"/>
    <w:rsid w:val="001E5019"/>
    <w:rsid w:val="001E5867"/>
    <w:rsid w:val="001F1487"/>
    <w:rsid w:val="0020070B"/>
    <w:rsid w:val="0020342D"/>
    <w:rsid w:val="00205224"/>
    <w:rsid w:val="00207A03"/>
    <w:rsid w:val="0021458D"/>
    <w:rsid w:val="002161ED"/>
    <w:rsid w:val="00225C5C"/>
    <w:rsid w:val="00227616"/>
    <w:rsid w:val="00230566"/>
    <w:rsid w:val="002315F2"/>
    <w:rsid w:val="002321AD"/>
    <w:rsid w:val="002335AD"/>
    <w:rsid w:val="0023394B"/>
    <w:rsid w:val="0024130E"/>
    <w:rsid w:val="00254875"/>
    <w:rsid w:val="00254AD5"/>
    <w:rsid w:val="002576D6"/>
    <w:rsid w:val="00260740"/>
    <w:rsid w:val="00260F97"/>
    <w:rsid w:val="002629DE"/>
    <w:rsid w:val="0027270A"/>
    <w:rsid w:val="002878A1"/>
    <w:rsid w:val="00291559"/>
    <w:rsid w:val="002966CF"/>
    <w:rsid w:val="00296DD3"/>
    <w:rsid w:val="002A2218"/>
    <w:rsid w:val="002B61B5"/>
    <w:rsid w:val="002B7656"/>
    <w:rsid w:val="002B76BE"/>
    <w:rsid w:val="002C4FEC"/>
    <w:rsid w:val="002D15A0"/>
    <w:rsid w:val="002D1EAA"/>
    <w:rsid w:val="002D29BA"/>
    <w:rsid w:val="002D2C47"/>
    <w:rsid w:val="002D51B0"/>
    <w:rsid w:val="002D65FA"/>
    <w:rsid w:val="002E1AAC"/>
    <w:rsid w:val="002E23FC"/>
    <w:rsid w:val="002E2686"/>
    <w:rsid w:val="002E561D"/>
    <w:rsid w:val="002E6D3B"/>
    <w:rsid w:val="002F36B3"/>
    <w:rsid w:val="002F7276"/>
    <w:rsid w:val="003034B2"/>
    <w:rsid w:val="00306C35"/>
    <w:rsid w:val="0031071A"/>
    <w:rsid w:val="00311735"/>
    <w:rsid w:val="003120FA"/>
    <w:rsid w:val="00315AE2"/>
    <w:rsid w:val="00325B7F"/>
    <w:rsid w:val="0033003D"/>
    <w:rsid w:val="00330E45"/>
    <w:rsid w:val="00332D7C"/>
    <w:rsid w:val="00337D83"/>
    <w:rsid w:val="00343EB6"/>
    <w:rsid w:val="00345F93"/>
    <w:rsid w:val="00347142"/>
    <w:rsid w:val="00367C4B"/>
    <w:rsid w:val="00371611"/>
    <w:rsid w:val="00372868"/>
    <w:rsid w:val="003730FE"/>
    <w:rsid w:val="00376B48"/>
    <w:rsid w:val="00381CE9"/>
    <w:rsid w:val="0038361B"/>
    <w:rsid w:val="00386983"/>
    <w:rsid w:val="00387074"/>
    <w:rsid w:val="00396FB1"/>
    <w:rsid w:val="003A0029"/>
    <w:rsid w:val="003A008A"/>
    <w:rsid w:val="003A0D1A"/>
    <w:rsid w:val="003A4DB5"/>
    <w:rsid w:val="003A51B6"/>
    <w:rsid w:val="003A5F4F"/>
    <w:rsid w:val="003A7AA2"/>
    <w:rsid w:val="003B6027"/>
    <w:rsid w:val="003D29C6"/>
    <w:rsid w:val="003D2BE0"/>
    <w:rsid w:val="003E3ED1"/>
    <w:rsid w:val="003E7A99"/>
    <w:rsid w:val="003F1DAD"/>
    <w:rsid w:val="003F39EB"/>
    <w:rsid w:val="003F5AA7"/>
    <w:rsid w:val="00407CC9"/>
    <w:rsid w:val="00411916"/>
    <w:rsid w:val="0041218F"/>
    <w:rsid w:val="0042008F"/>
    <w:rsid w:val="004246C4"/>
    <w:rsid w:val="00435704"/>
    <w:rsid w:val="0043720D"/>
    <w:rsid w:val="00442190"/>
    <w:rsid w:val="00443F93"/>
    <w:rsid w:val="00447CD5"/>
    <w:rsid w:val="00451972"/>
    <w:rsid w:val="00451D06"/>
    <w:rsid w:val="00457FA1"/>
    <w:rsid w:val="004604A6"/>
    <w:rsid w:val="00460511"/>
    <w:rsid w:val="0046280E"/>
    <w:rsid w:val="00462941"/>
    <w:rsid w:val="00462FB0"/>
    <w:rsid w:val="00463EA1"/>
    <w:rsid w:val="004673D9"/>
    <w:rsid w:val="00467A83"/>
    <w:rsid w:val="00472CAE"/>
    <w:rsid w:val="004771BF"/>
    <w:rsid w:val="00477C35"/>
    <w:rsid w:val="004807D8"/>
    <w:rsid w:val="004838D6"/>
    <w:rsid w:val="0049095B"/>
    <w:rsid w:val="00494D77"/>
    <w:rsid w:val="004A0CFD"/>
    <w:rsid w:val="004D0E07"/>
    <w:rsid w:val="004D2929"/>
    <w:rsid w:val="004E194F"/>
    <w:rsid w:val="004E1CD7"/>
    <w:rsid w:val="004E2A37"/>
    <w:rsid w:val="004E52C8"/>
    <w:rsid w:val="004F25D6"/>
    <w:rsid w:val="004F2FF1"/>
    <w:rsid w:val="004F4D9A"/>
    <w:rsid w:val="004F5B2D"/>
    <w:rsid w:val="00503646"/>
    <w:rsid w:val="00503EF9"/>
    <w:rsid w:val="00505CA6"/>
    <w:rsid w:val="00512397"/>
    <w:rsid w:val="005129BF"/>
    <w:rsid w:val="005203AC"/>
    <w:rsid w:val="005240F6"/>
    <w:rsid w:val="00525F2F"/>
    <w:rsid w:val="00540B2D"/>
    <w:rsid w:val="00540E36"/>
    <w:rsid w:val="0054462C"/>
    <w:rsid w:val="00553C22"/>
    <w:rsid w:val="00556BDC"/>
    <w:rsid w:val="005638FC"/>
    <w:rsid w:val="0056593F"/>
    <w:rsid w:val="0056647B"/>
    <w:rsid w:val="005754F7"/>
    <w:rsid w:val="00582913"/>
    <w:rsid w:val="00587198"/>
    <w:rsid w:val="00590DF6"/>
    <w:rsid w:val="00595F6F"/>
    <w:rsid w:val="00597781"/>
    <w:rsid w:val="005A4993"/>
    <w:rsid w:val="005A7027"/>
    <w:rsid w:val="005A74A0"/>
    <w:rsid w:val="005B0304"/>
    <w:rsid w:val="005B578F"/>
    <w:rsid w:val="005C10B7"/>
    <w:rsid w:val="005C4755"/>
    <w:rsid w:val="005C7BA8"/>
    <w:rsid w:val="005D0A2C"/>
    <w:rsid w:val="005D188C"/>
    <w:rsid w:val="005D5A2F"/>
    <w:rsid w:val="005E065C"/>
    <w:rsid w:val="005E316C"/>
    <w:rsid w:val="005E5454"/>
    <w:rsid w:val="005F0F2F"/>
    <w:rsid w:val="005F1262"/>
    <w:rsid w:val="006002DE"/>
    <w:rsid w:val="00605F8C"/>
    <w:rsid w:val="00610862"/>
    <w:rsid w:val="0061384A"/>
    <w:rsid w:val="00614AED"/>
    <w:rsid w:val="00614B2D"/>
    <w:rsid w:val="00616626"/>
    <w:rsid w:val="006210D9"/>
    <w:rsid w:val="00624808"/>
    <w:rsid w:val="00625A72"/>
    <w:rsid w:val="00626CEE"/>
    <w:rsid w:val="00627B26"/>
    <w:rsid w:val="00644309"/>
    <w:rsid w:val="006612F1"/>
    <w:rsid w:val="00664981"/>
    <w:rsid w:val="00665881"/>
    <w:rsid w:val="0067162C"/>
    <w:rsid w:val="00686A24"/>
    <w:rsid w:val="00697887"/>
    <w:rsid w:val="006A6EDB"/>
    <w:rsid w:val="006B1E18"/>
    <w:rsid w:val="006B5237"/>
    <w:rsid w:val="006C30E0"/>
    <w:rsid w:val="006C41B3"/>
    <w:rsid w:val="006C4943"/>
    <w:rsid w:val="006C6B84"/>
    <w:rsid w:val="006C77FA"/>
    <w:rsid w:val="006D0001"/>
    <w:rsid w:val="006D2D75"/>
    <w:rsid w:val="006D65C3"/>
    <w:rsid w:val="006E013A"/>
    <w:rsid w:val="006E16F9"/>
    <w:rsid w:val="006E5DC6"/>
    <w:rsid w:val="006E6162"/>
    <w:rsid w:val="006E7644"/>
    <w:rsid w:val="006F1410"/>
    <w:rsid w:val="006F7BEF"/>
    <w:rsid w:val="00701741"/>
    <w:rsid w:val="007214E2"/>
    <w:rsid w:val="007232B8"/>
    <w:rsid w:val="00727BFC"/>
    <w:rsid w:val="00731574"/>
    <w:rsid w:val="007363BC"/>
    <w:rsid w:val="00736AF5"/>
    <w:rsid w:val="007440F5"/>
    <w:rsid w:val="007459B4"/>
    <w:rsid w:val="00755DF9"/>
    <w:rsid w:val="00756869"/>
    <w:rsid w:val="0076299A"/>
    <w:rsid w:val="00764E9D"/>
    <w:rsid w:val="007663C5"/>
    <w:rsid w:val="00767F0F"/>
    <w:rsid w:val="007736DA"/>
    <w:rsid w:val="007766C4"/>
    <w:rsid w:val="007805BB"/>
    <w:rsid w:val="00780E5C"/>
    <w:rsid w:val="00781F9F"/>
    <w:rsid w:val="007907FA"/>
    <w:rsid w:val="00795DC9"/>
    <w:rsid w:val="00797801"/>
    <w:rsid w:val="007A4F26"/>
    <w:rsid w:val="007B7C74"/>
    <w:rsid w:val="007C02EF"/>
    <w:rsid w:val="007D7B8A"/>
    <w:rsid w:val="007D7BA2"/>
    <w:rsid w:val="007E1EBB"/>
    <w:rsid w:val="007E35C3"/>
    <w:rsid w:val="007F15DC"/>
    <w:rsid w:val="007F3871"/>
    <w:rsid w:val="007F5BFA"/>
    <w:rsid w:val="007F7560"/>
    <w:rsid w:val="007F7622"/>
    <w:rsid w:val="00804B8F"/>
    <w:rsid w:val="00807536"/>
    <w:rsid w:val="00814686"/>
    <w:rsid w:val="00814700"/>
    <w:rsid w:val="00817B23"/>
    <w:rsid w:val="0082134E"/>
    <w:rsid w:val="00821C0F"/>
    <w:rsid w:val="008278C5"/>
    <w:rsid w:val="008366D0"/>
    <w:rsid w:val="0084016B"/>
    <w:rsid w:val="00853365"/>
    <w:rsid w:val="00855767"/>
    <w:rsid w:val="00860F80"/>
    <w:rsid w:val="00861933"/>
    <w:rsid w:val="00862CEE"/>
    <w:rsid w:val="00875A96"/>
    <w:rsid w:val="00880D22"/>
    <w:rsid w:val="00881F8B"/>
    <w:rsid w:val="00887CFF"/>
    <w:rsid w:val="00891426"/>
    <w:rsid w:val="00893E99"/>
    <w:rsid w:val="00897D4B"/>
    <w:rsid w:val="008B219C"/>
    <w:rsid w:val="008B5E2E"/>
    <w:rsid w:val="008C185A"/>
    <w:rsid w:val="008C18C1"/>
    <w:rsid w:val="008C74BF"/>
    <w:rsid w:val="008D1117"/>
    <w:rsid w:val="008D1423"/>
    <w:rsid w:val="008D1EC4"/>
    <w:rsid w:val="008D24AB"/>
    <w:rsid w:val="008D3047"/>
    <w:rsid w:val="008D39FF"/>
    <w:rsid w:val="008D699D"/>
    <w:rsid w:val="008E10E7"/>
    <w:rsid w:val="008E1C9F"/>
    <w:rsid w:val="008E62D4"/>
    <w:rsid w:val="008E7E8A"/>
    <w:rsid w:val="008E7FC5"/>
    <w:rsid w:val="008F25D6"/>
    <w:rsid w:val="008F2F71"/>
    <w:rsid w:val="008F39A6"/>
    <w:rsid w:val="00900489"/>
    <w:rsid w:val="00901B3B"/>
    <w:rsid w:val="00902416"/>
    <w:rsid w:val="00905394"/>
    <w:rsid w:val="0090750F"/>
    <w:rsid w:val="00907A6A"/>
    <w:rsid w:val="00913491"/>
    <w:rsid w:val="00921CB2"/>
    <w:rsid w:val="00932925"/>
    <w:rsid w:val="00934CAE"/>
    <w:rsid w:val="00935664"/>
    <w:rsid w:val="009418B1"/>
    <w:rsid w:val="009426AF"/>
    <w:rsid w:val="00942B3F"/>
    <w:rsid w:val="0094321E"/>
    <w:rsid w:val="009432C6"/>
    <w:rsid w:val="00943467"/>
    <w:rsid w:val="00951198"/>
    <w:rsid w:val="0095193F"/>
    <w:rsid w:val="009546E8"/>
    <w:rsid w:val="00955644"/>
    <w:rsid w:val="0095748C"/>
    <w:rsid w:val="00957E1A"/>
    <w:rsid w:val="00960BD2"/>
    <w:rsid w:val="00963CE2"/>
    <w:rsid w:val="009703B7"/>
    <w:rsid w:val="0097079A"/>
    <w:rsid w:val="00975B99"/>
    <w:rsid w:val="0097662D"/>
    <w:rsid w:val="00983EED"/>
    <w:rsid w:val="00993530"/>
    <w:rsid w:val="009935AD"/>
    <w:rsid w:val="00996351"/>
    <w:rsid w:val="009963B1"/>
    <w:rsid w:val="009A5084"/>
    <w:rsid w:val="009B0B1E"/>
    <w:rsid w:val="009B1068"/>
    <w:rsid w:val="009B2246"/>
    <w:rsid w:val="009B22C2"/>
    <w:rsid w:val="009B5DEE"/>
    <w:rsid w:val="009C0829"/>
    <w:rsid w:val="009C1743"/>
    <w:rsid w:val="009C197F"/>
    <w:rsid w:val="009C60F0"/>
    <w:rsid w:val="009D7E68"/>
    <w:rsid w:val="009E28B9"/>
    <w:rsid w:val="009E2A70"/>
    <w:rsid w:val="009E4126"/>
    <w:rsid w:val="009F09B8"/>
    <w:rsid w:val="009F1B6E"/>
    <w:rsid w:val="009F22A3"/>
    <w:rsid w:val="009F3935"/>
    <w:rsid w:val="00A13377"/>
    <w:rsid w:val="00A16AE5"/>
    <w:rsid w:val="00A16BB5"/>
    <w:rsid w:val="00A218B9"/>
    <w:rsid w:val="00A23CA6"/>
    <w:rsid w:val="00A335ED"/>
    <w:rsid w:val="00A361AF"/>
    <w:rsid w:val="00A42216"/>
    <w:rsid w:val="00A43B76"/>
    <w:rsid w:val="00A44EAA"/>
    <w:rsid w:val="00A4713C"/>
    <w:rsid w:val="00A473D9"/>
    <w:rsid w:val="00A54DEE"/>
    <w:rsid w:val="00A56A45"/>
    <w:rsid w:val="00A6336B"/>
    <w:rsid w:val="00A657E5"/>
    <w:rsid w:val="00A677D8"/>
    <w:rsid w:val="00A727B0"/>
    <w:rsid w:val="00A86057"/>
    <w:rsid w:val="00A9189B"/>
    <w:rsid w:val="00A94CE0"/>
    <w:rsid w:val="00A94FF2"/>
    <w:rsid w:val="00A97791"/>
    <w:rsid w:val="00A97C18"/>
    <w:rsid w:val="00AA0E3E"/>
    <w:rsid w:val="00AA6F90"/>
    <w:rsid w:val="00AB2FDA"/>
    <w:rsid w:val="00AB55F3"/>
    <w:rsid w:val="00AD157C"/>
    <w:rsid w:val="00AD1A35"/>
    <w:rsid w:val="00AD4E56"/>
    <w:rsid w:val="00AE76D1"/>
    <w:rsid w:val="00AE771C"/>
    <w:rsid w:val="00AF3F3F"/>
    <w:rsid w:val="00AF768A"/>
    <w:rsid w:val="00AF7B9C"/>
    <w:rsid w:val="00B11FF6"/>
    <w:rsid w:val="00B160FE"/>
    <w:rsid w:val="00B25659"/>
    <w:rsid w:val="00B26FB3"/>
    <w:rsid w:val="00B30033"/>
    <w:rsid w:val="00B316F1"/>
    <w:rsid w:val="00B32DF8"/>
    <w:rsid w:val="00B35F02"/>
    <w:rsid w:val="00B37C84"/>
    <w:rsid w:val="00B41156"/>
    <w:rsid w:val="00B53BD9"/>
    <w:rsid w:val="00B560BA"/>
    <w:rsid w:val="00B61652"/>
    <w:rsid w:val="00B62F8B"/>
    <w:rsid w:val="00B64E9D"/>
    <w:rsid w:val="00B67F68"/>
    <w:rsid w:val="00B72F11"/>
    <w:rsid w:val="00B75AEF"/>
    <w:rsid w:val="00B815B9"/>
    <w:rsid w:val="00B8743D"/>
    <w:rsid w:val="00B878BC"/>
    <w:rsid w:val="00B87C1E"/>
    <w:rsid w:val="00B93F00"/>
    <w:rsid w:val="00B974DC"/>
    <w:rsid w:val="00B97ABE"/>
    <w:rsid w:val="00BA091F"/>
    <w:rsid w:val="00BA53CC"/>
    <w:rsid w:val="00BA7281"/>
    <w:rsid w:val="00BB5C5D"/>
    <w:rsid w:val="00BB62B6"/>
    <w:rsid w:val="00BB72AD"/>
    <w:rsid w:val="00BC0DE9"/>
    <w:rsid w:val="00BC130F"/>
    <w:rsid w:val="00BC1AFE"/>
    <w:rsid w:val="00BC58A8"/>
    <w:rsid w:val="00BC76DF"/>
    <w:rsid w:val="00BD3603"/>
    <w:rsid w:val="00BF2E94"/>
    <w:rsid w:val="00BF5919"/>
    <w:rsid w:val="00BF612A"/>
    <w:rsid w:val="00C01A79"/>
    <w:rsid w:val="00C0210D"/>
    <w:rsid w:val="00C110BC"/>
    <w:rsid w:val="00C11B61"/>
    <w:rsid w:val="00C13B3A"/>
    <w:rsid w:val="00C153FC"/>
    <w:rsid w:val="00C159B5"/>
    <w:rsid w:val="00C16868"/>
    <w:rsid w:val="00C202E3"/>
    <w:rsid w:val="00C21D9E"/>
    <w:rsid w:val="00C2484C"/>
    <w:rsid w:val="00C24EF0"/>
    <w:rsid w:val="00C2562B"/>
    <w:rsid w:val="00C27900"/>
    <w:rsid w:val="00C31345"/>
    <w:rsid w:val="00C3210B"/>
    <w:rsid w:val="00C3219B"/>
    <w:rsid w:val="00C36F4C"/>
    <w:rsid w:val="00C36FCC"/>
    <w:rsid w:val="00C53AA4"/>
    <w:rsid w:val="00C65745"/>
    <w:rsid w:val="00C679F3"/>
    <w:rsid w:val="00C709D0"/>
    <w:rsid w:val="00C72B89"/>
    <w:rsid w:val="00C77053"/>
    <w:rsid w:val="00C82FA3"/>
    <w:rsid w:val="00C859AA"/>
    <w:rsid w:val="00C918F5"/>
    <w:rsid w:val="00C92C8C"/>
    <w:rsid w:val="00C97837"/>
    <w:rsid w:val="00CA1B1B"/>
    <w:rsid w:val="00CC5675"/>
    <w:rsid w:val="00CC60FA"/>
    <w:rsid w:val="00CC7076"/>
    <w:rsid w:val="00CD0B3B"/>
    <w:rsid w:val="00CD3474"/>
    <w:rsid w:val="00CE0781"/>
    <w:rsid w:val="00CE2125"/>
    <w:rsid w:val="00CE5EF9"/>
    <w:rsid w:val="00CF13DA"/>
    <w:rsid w:val="00CF7A2B"/>
    <w:rsid w:val="00D113DE"/>
    <w:rsid w:val="00D147EB"/>
    <w:rsid w:val="00D16429"/>
    <w:rsid w:val="00D24AFB"/>
    <w:rsid w:val="00D424F9"/>
    <w:rsid w:val="00D443EF"/>
    <w:rsid w:val="00D44A27"/>
    <w:rsid w:val="00D44D2A"/>
    <w:rsid w:val="00D44F58"/>
    <w:rsid w:val="00D453BE"/>
    <w:rsid w:val="00D462C3"/>
    <w:rsid w:val="00D526C2"/>
    <w:rsid w:val="00D53B2E"/>
    <w:rsid w:val="00D55AF9"/>
    <w:rsid w:val="00D568B8"/>
    <w:rsid w:val="00D63136"/>
    <w:rsid w:val="00D64097"/>
    <w:rsid w:val="00D67681"/>
    <w:rsid w:val="00D71103"/>
    <w:rsid w:val="00D721FD"/>
    <w:rsid w:val="00D72875"/>
    <w:rsid w:val="00D95BC8"/>
    <w:rsid w:val="00D960EB"/>
    <w:rsid w:val="00D96F8A"/>
    <w:rsid w:val="00DA06B6"/>
    <w:rsid w:val="00DA6DEC"/>
    <w:rsid w:val="00DB07C0"/>
    <w:rsid w:val="00DB1615"/>
    <w:rsid w:val="00DB28FF"/>
    <w:rsid w:val="00DB4C8F"/>
    <w:rsid w:val="00DB6DCE"/>
    <w:rsid w:val="00DB725C"/>
    <w:rsid w:val="00DC2D85"/>
    <w:rsid w:val="00DD21BA"/>
    <w:rsid w:val="00DD3A12"/>
    <w:rsid w:val="00DD5A6B"/>
    <w:rsid w:val="00DD7403"/>
    <w:rsid w:val="00DE0406"/>
    <w:rsid w:val="00DE090E"/>
    <w:rsid w:val="00DE0EA3"/>
    <w:rsid w:val="00DE6C4E"/>
    <w:rsid w:val="00DE765E"/>
    <w:rsid w:val="00DF4563"/>
    <w:rsid w:val="00DF48D4"/>
    <w:rsid w:val="00DF68FE"/>
    <w:rsid w:val="00E00EBF"/>
    <w:rsid w:val="00E036C3"/>
    <w:rsid w:val="00E05309"/>
    <w:rsid w:val="00E058A6"/>
    <w:rsid w:val="00E14111"/>
    <w:rsid w:val="00E2126E"/>
    <w:rsid w:val="00E254DC"/>
    <w:rsid w:val="00E26AD4"/>
    <w:rsid w:val="00E26BFB"/>
    <w:rsid w:val="00E27910"/>
    <w:rsid w:val="00E413B3"/>
    <w:rsid w:val="00E42679"/>
    <w:rsid w:val="00E4336E"/>
    <w:rsid w:val="00E45620"/>
    <w:rsid w:val="00E50C9E"/>
    <w:rsid w:val="00E532EB"/>
    <w:rsid w:val="00E54D18"/>
    <w:rsid w:val="00E66147"/>
    <w:rsid w:val="00E678A9"/>
    <w:rsid w:val="00E71377"/>
    <w:rsid w:val="00E71582"/>
    <w:rsid w:val="00E72761"/>
    <w:rsid w:val="00E73818"/>
    <w:rsid w:val="00E83B54"/>
    <w:rsid w:val="00E84BCE"/>
    <w:rsid w:val="00E84FA6"/>
    <w:rsid w:val="00E87F87"/>
    <w:rsid w:val="00E9176B"/>
    <w:rsid w:val="00E9223B"/>
    <w:rsid w:val="00E92BD4"/>
    <w:rsid w:val="00E92F34"/>
    <w:rsid w:val="00EA516C"/>
    <w:rsid w:val="00EB1D0C"/>
    <w:rsid w:val="00EC20E8"/>
    <w:rsid w:val="00EC2D44"/>
    <w:rsid w:val="00EC34BA"/>
    <w:rsid w:val="00EC603B"/>
    <w:rsid w:val="00ED1150"/>
    <w:rsid w:val="00ED5B3C"/>
    <w:rsid w:val="00ED75A1"/>
    <w:rsid w:val="00EE07D3"/>
    <w:rsid w:val="00EE460E"/>
    <w:rsid w:val="00EE6218"/>
    <w:rsid w:val="00EE6FB0"/>
    <w:rsid w:val="00EF2B87"/>
    <w:rsid w:val="00F13344"/>
    <w:rsid w:val="00F15EAB"/>
    <w:rsid w:val="00F23E95"/>
    <w:rsid w:val="00F2416C"/>
    <w:rsid w:val="00F246D2"/>
    <w:rsid w:val="00F24AFC"/>
    <w:rsid w:val="00F263EF"/>
    <w:rsid w:val="00F2743A"/>
    <w:rsid w:val="00F3207E"/>
    <w:rsid w:val="00F330D5"/>
    <w:rsid w:val="00F35888"/>
    <w:rsid w:val="00F35E78"/>
    <w:rsid w:val="00F4081B"/>
    <w:rsid w:val="00F452C0"/>
    <w:rsid w:val="00F5040D"/>
    <w:rsid w:val="00F50CF6"/>
    <w:rsid w:val="00F51189"/>
    <w:rsid w:val="00F51E0E"/>
    <w:rsid w:val="00F55644"/>
    <w:rsid w:val="00F55650"/>
    <w:rsid w:val="00F66774"/>
    <w:rsid w:val="00F732A7"/>
    <w:rsid w:val="00F808ED"/>
    <w:rsid w:val="00F836D5"/>
    <w:rsid w:val="00F85CB7"/>
    <w:rsid w:val="00F9024E"/>
    <w:rsid w:val="00F93298"/>
    <w:rsid w:val="00F93742"/>
    <w:rsid w:val="00F93F63"/>
    <w:rsid w:val="00FA3899"/>
    <w:rsid w:val="00FA3FCB"/>
    <w:rsid w:val="00FA49FA"/>
    <w:rsid w:val="00FA5622"/>
    <w:rsid w:val="00FB7296"/>
    <w:rsid w:val="00FC07F2"/>
    <w:rsid w:val="00FC316B"/>
    <w:rsid w:val="00FC4697"/>
    <w:rsid w:val="00FC4E9E"/>
    <w:rsid w:val="00FD609D"/>
    <w:rsid w:val="00FE077A"/>
    <w:rsid w:val="00FE19CB"/>
    <w:rsid w:val="00FE2C08"/>
    <w:rsid w:val="00FF13F5"/>
    <w:rsid w:val="00FF360B"/>
    <w:rsid w:val="00FF5F5D"/>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0712A0"/>
  <w15:docId w15:val="{4D11B0BB-DC97-4922-99A5-718C7C543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4F5C26"/>
    <w:rPr>
      <w:rFonts w:ascii="Times New Roman" w:hAnsi="Times New Roman" w:cs="Times New Roman"/>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0379AB"/>
    <w:rPr>
      <w:rFonts w:ascii="Times New Roman" w:eastAsia="Calibri" w:hAnsi="Times New Roman" w:cs="Times New Roman"/>
      <w:sz w:val="20"/>
      <w:szCs w:val="20"/>
    </w:rPr>
  </w:style>
  <w:style w:type="character" w:styleId="Hipervnculo">
    <w:name w:val="Hyperlink"/>
    <w:rsid w:val="008A6077"/>
    <w:rPr>
      <w:color w:val="0000FF"/>
      <w:u w:val="single"/>
    </w:rPr>
  </w:style>
  <w:style w:type="character" w:customStyle="1" w:styleId="TtuloCar">
    <w:name w:val="Título Car"/>
    <w:basedOn w:val="Fuentedeprrafopredeter"/>
    <w:link w:val="Ttulo"/>
    <w:uiPriority w:val="10"/>
    <w:qFormat/>
    <w:rsid w:val="00400425"/>
    <w:rPr>
      <w:rFonts w:ascii="Times New Roman" w:eastAsiaTheme="majorEastAsia" w:hAnsi="Times New Roman" w:cstheme="majorBidi"/>
      <w:b/>
      <w:spacing w:val="-10"/>
      <w:kern w:val="2"/>
      <w:sz w:val="28"/>
      <w:szCs w:val="56"/>
    </w:rPr>
  </w:style>
  <w:style w:type="character" w:customStyle="1" w:styleId="PiedepginaCar">
    <w:name w:val="Pie de página Car"/>
    <w:basedOn w:val="Fuentedeprrafopredeter"/>
    <w:link w:val="Piedepgina"/>
    <w:uiPriority w:val="99"/>
    <w:qFormat/>
    <w:rsid w:val="000379AB"/>
    <w:rPr>
      <w:rFonts w:ascii="Times New Roman" w:eastAsia="Calibri" w:hAnsi="Times New Roman" w:cs="Times New Roman"/>
      <w:sz w:val="20"/>
      <w:szCs w:val="20"/>
    </w:rPr>
  </w:style>
  <w:style w:type="character" w:styleId="Mencinsinresolver">
    <w:name w:val="Unresolved Mention"/>
    <w:basedOn w:val="Fuentedeprrafopredeter"/>
    <w:uiPriority w:val="99"/>
    <w:qFormat/>
    <w:rsid w:val="00B81C79"/>
    <w:rPr>
      <w:color w:val="808080"/>
      <w:shd w:val="clear" w:color="auto" w:fill="E6E6E6"/>
    </w:rPr>
  </w:style>
  <w:style w:type="character" w:customStyle="1" w:styleId="TextodegloboCar">
    <w:name w:val="Texto de globo Car"/>
    <w:basedOn w:val="Fuentedeprrafopredeter"/>
    <w:link w:val="Textodeglobo"/>
    <w:uiPriority w:val="99"/>
    <w:semiHidden/>
    <w:qFormat/>
    <w:rsid w:val="007B4B93"/>
    <w:rPr>
      <w:rFonts w:ascii="Segoe UI" w:eastAsia="Calibri" w:hAnsi="Segoe UI" w:cs="Segoe UI"/>
      <w:sz w:val="18"/>
      <w:szCs w:val="18"/>
    </w:rPr>
  </w:style>
  <w:style w:type="character" w:styleId="nfasis">
    <w:name w:val="Emphasis"/>
    <w:basedOn w:val="Fuentedeprrafopredeter"/>
    <w:uiPriority w:val="20"/>
    <w:qFormat/>
    <w:rsid w:val="007B4B93"/>
    <w:rPr>
      <w:i/>
      <w:iCs/>
    </w:rPr>
  </w:style>
  <w:style w:type="character" w:styleId="Hipervnculovisitado">
    <w:name w:val="FollowedHyperlink"/>
    <w:basedOn w:val="Fuentedeprrafopredeter"/>
    <w:uiPriority w:val="99"/>
    <w:semiHidden/>
    <w:unhideWhenUsed/>
    <w:rsid w:val="00F45E57"/>
    <w:rPr>
      <w:color w:val="954F72" w:themeColor="followedHyperlink"/>
      <w:u w:val="single"/>
    </w:rPr>
  </w:style>
  <w:style w:type="character" w:styleId="Nmerodelnea">
    <w:name w:val="line number"/>
    <w:basedOn w:val="Fuentedeprrafopredeter"/>
    <w:uiPriority w:val="99"/>
    <w:semiHidden/>
    <w:unhideWhenUsed/>
    <w:qFormat/>
    <w:rsid w:val="00BD47BB"/>
  </w:style>
  <w:style w:type="character" w:styleId="Refdecomentario">
    <w:name w:val="annotation reference"/>
    <w:basedOn w:val="Fuentedeprrafopredeter"/>
    <w:uiPriority w:val="99"/>
    <w:semiHidden/>
    <w:unhideWhenUsed/>
    <w:qFormat/>
    <w:rsid w:val="0025336F"/>
    <w:rPr>
      <w:sz w:val="16"/>
      <w:szCs w:val="16"/>
    </w:rPr>
  </w:style>
  <w:style w:type="character" w:customStyle="1" w:styleId="TextocomentarioCar">
    <w:name w:val="Texto comentario Car"/>
    <w:basedOn w:val="Fuentedeprrafopredeter"/>
    <w:link w:val="Textocomentario"/>
    <w:uiPriority w:val="99"/>
    <w:qFormat/>
    <w:rsid w:val="0025336F"/>
    <w:rPr>
      <w:sz w:val="20"/>
      <w:szCs w:val="20"/>
    </w:rPr>
  </w:style>
  <w:style w:type="character" w:customStyle="1" w:styleId="TextocomentarioCar1">
    <w:name w:val="Texto comentario Car1"/>
    <w:basedOn w:val="Fuentedeprrafopredeter"/>
    <w:uiPriority w:val="99"/>
    <w:semiHidden/>
    <w:qFormat/>
    <w:rsid w:val="0025336F"/>
    <w:rPr>
      <w:rFonts w:ascii="Times New Roman" w:eastAsia="Calibri" w:hAnsi="Times New Roman" w:cs="Times New Roman"/>
      <w:sz w:val="20"/>
      <w:szCs w:val="20"/>
    </w:rPr>
  </w:style>
  <w:style w:type="character" w:customStyle="1" w:styleId="PieFiguraCar">
    <w:name w:val="PieFigura Car"/>
    <w:basedOn w:val="Fuentedeprrafopredeter"/>
    <w:link w:val="PieFigura"/>
    <w:qFormat/>
    <w:rsid w:val="008F7248"/>
    <w:rPr>
      <w:rFonts w:eastAsia="Calibri" w:cstheme="minorHAnsi"/>
      <w:kern w:val="2"/>
      <w:sz w:val="20"/>
      <w:szCs w:val="20"/>
    </w:rPr>
  </w:style>
  <w:style w:type="character" w:customStyle="1" w:styleId="TextCar">
    <w:name w:val="Text Car"/>
    <w:basedOn w:val="Fuentedeprrafopredeter"/>
    <w:link w:val="Text"/>
    <w:qFormat/>
    <w:rsid w:val="0018737B"/>
    <w:rPr>
      <w:rFonts w:ascii="Times New Roman" w:eastAsia="Times New Roman" w:hAnsi="Times New Roman" w:cs="Times New Roman"/>
    </w:rPr>
  </w:style>
  <w:style w:type="character" w:customStyle="1" w:styleId="TextoNormalCar">
    <w:name w:val="Texto Normal Car"/>
    <w:basedOn w:val="TextCar"/>
    <w:link w:val="TextoNormal"/>
    <w:qFormat/>
    <w:rsid w:val="0035723D"/>
    <w:rPr>
      <w:rFonts w:ascii="Times New Roman" w:eastAsia="Times New Roman" w:hAnsi="Times New Roman" w:cstheme="minorHAnsi"/>
    </w:rPr>
  </w:style>
  <w:style w:type="character" w:customStyle="1" w:styleId="AsuntodelcomentarioCar">
    <w:name w:val="Asunto del comentario Car"/>
    <w:basedOn w:val="TextocomentarioCar"/>
    <w:link w:val="Asuntodelcomentario"/>
    <w:uiPriority w:val="99"/>
    <w:semiHidden/>
    <w:qFormat/>
    <w:rsid w:val="00C62739"/>
    <w:rPr>
      <w:rFonts w:ascii="Times New Roman" w:eastAsia="Calibri" w:hAnsi="Times New Roman" w:cs="Times New Roman"/>
      <w:b/>
      <w:bCs/>
      <w:sz w:val="20"/>
      <w:szCs w:val="20"/>
    </w:rPr>
  </w:style>
  <w:style w:type="character" w:styleId="Textodelmarcadordeposicin">
    <w:name w:val="Placeholder Text"/>
    <w:basedOn w:val="Fuentedeprrafopredeter"/>
    <w:uiPriority w:val="99"/>
    <w:semiHidden/>
    <w:qFormat/>
    <w:rsid w:val="00151B5F"/>
    <w:rPr>
      <w:color w:val="666666"/>
    </w:rPr>
  </w:style>
  <w:style w:type="character" w:customStyle="1" w:styleId="LineNumbering">
    <w:name w:val="Line Numbering"/>
  </w:style>
  <w:style w:type="character" w:customStyle="1" w:styleId="Bullets">
    <w:name w:val="Bullets"/>
    <w:qFormat/>
    <w:rPr>
      <w:rFonts w:ascii="OpenSymbol" w:eastAsia="OpenSymbol" w:hAnsi="OpenSymbol" w:cs="OpenSymbol"/>
    </w:rPr>
  </w:style>
  <w:style w:type="paragraph" w:customStyle="1" w:styleId="Heading">
    <w:name w:val="Heading"/>
    <w:basedOn w:val="Normal"/>
    <w:next w:val="Textoindependiente"/>
    <w:qFormat/>
    <w:pPr>
      <w:keepNext/>
      <w:spacing w:before="240" w:after="120"/>
    </w:pPr>
    <w:rPr>
      <w:rFonts w:ascii="Liberation Sans" w:eastAsia="Noto Sans CJK SC" w:hAnsi="Liberation Sans" w:cs="Lohit Devanagari"/>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Lohit Devanagari"/>
    </w:rPr>
  </w:style>
  <w:style w:type="paragraph" w:styleId="Descripcin">
    <w:name w:val="caption"/>
    <w:basedOn w:val="Normal"/>
    <w:qFormat/>
    <w:pPr>
      <w:suppressLineNumbers/>
      <w:spacing w:before="120" w:after="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styleId="Ttulo">
    <w:name w:val="Title"/>
    <w:basedOn w:val="Normal"/>
    <w:next w:val="Normal"/>
    <w:link w:val="TtuloCar"/>
    <w:uiPriority w:val="10"/>
    <w:qFormat/>
    <w:rsid w:val="00400425"/>
    <w:pPr>
      <w:contextualSpacing/>
      <w:jc w:val="center"/>
    </w:pPr>
    <w:rPr>
      <w:rFonts w:eastAsiaTheme="majorEastAsia" w:cstheme="majorBidi"/>
      <w:b/>
      <w:spacing w:val="-10"/>
      <w:kern w:val="2"/>
      <w:sz w:val="28"/>
      <w:szCs w:val="56"/>
    </w:rPr>
  </w:style>
  <w:style w:type="paragraph" w:customStyle="1" w:styleId="Reference">
    <w:name w:val="Reference"/>
    <w:basedOn w:val="Normal"/>
    <w:qFormat/>
    <w:rsid w:val="008A6077"/>
    <w:pPr>
      <w:spacing w:before="120"/>
      <w:ind w:left="720" w:hanging="720"/>
    </w:pPr>
    <w:rPr>
      <w:rFonts w:eastAsia="Times New Roman"/>
      <w:sz w:val="24"/>
      <w:szCs w:val="24"/>
    </w:rPr>
  </w:style>
  <w:style w:type="paragraph" w:customStyle="1" w:styleId="HeaderandFooter">
    <w:name w:val="Header and Footer"/>
    <w:basedOn w:val="Normal"/>
    <w:qFormat/>
  </w:style>
  <w:style w:type="paragraph" w:styleId="Encabezado">
    <w:name w:val="header"/>
    <w:basedOn w:val="Normal"/>
    <w:link w:val="EncabezadoCar"/>
    <w:uiPriority w:val="99"/>
    <w:unhideWhenUsed/>
    <w:rsid w:val="000379AB"/>
    <w:pPr>
      <w:suppressLineNumbers/>
      <w:tabs>
        <w:tab w:val="center" w:pos="4680"/>
        <w:tab w:val="right" w:pos="9360"/>
      </w:tabs>
    </w:pPr>
  </w:style>
  <w:style w:type="paragraph" w:customStyle="1" w:styleId="Heading-Secondary">
    <w:name w:val="Heading-Secondary"/>
    <w:basedOn w:val="Heading-Main"/>
    <w:qFormat/>
    <w:rsid w:val="008A6EA5"/>
    <w:pPr>
      <w:ind w:left="720"/>
    </w:pPr>
    <w:rPr>
      <w:rFonts w:asciiTheme="minorHAnsi" w:hAnsiTheme="minorHAnsi"/>
      <w:b w:val="0"/>
    </w:rPr>
  </w:style>
  <w:style w:type="paragraph" w:customStyle="1" w:styleId="Authors">
    <w:name w:val="Authors"/>
    <w:basedOn w:val="Normal"/>
    <w:qFormat/>
    <w:rsid w:val="00B120F3"/>
    <w:pPr>
      <w:spacing w:before="120" w:after="360"/>
    </w:pPr>
    <w:rPr>
      <w:rFonts w:eastAsia="Times New Roman"/>
      <w:b/>
      <w:sz w:val="24"/>
      <w:szCs w:val="24"/>
    </w:rPr>
  </w:style>
  <w:style w:type="paragraph" w:customStyle="1" w:styleId="Text">
    <w:name w:val="Text"/>
    <w:basedOn w:val="Normal"/>
    <w:link w:val="TextCar"/>
    <w:qFormat/>
    <w:rsid w:val="008A6077"/>
    <w:pPr>
      <w:spacing w:before="120"/>
      <w:ind w:firstLine="720"/>
    </w:pPr>
    <w:rPr>
      <w:rFonts w:eastAsia="Times New Roman"/>
      <w:sz w:val="24"/>
      <w:szCs w:val="24"/>
    </w:rPr>
  </w:style>
  <w:style w:type="paragraph" w:customStyle="1" w:styleId="FigureorTableCaption">
    <w:name w:val="Figure or Table Caption"/>
    <w:basedOn w:val="Normal"/>
    <w:qFormat/>
    <w:rsid w:val="008A6077"/>
    <w:pPr>
      <w:keepNext/>
      <w:spacing w:before="240"/>
      <w:outlineLvl w:val="0"/>
    </w:pPr>
    <w:rPr>
      <w:rFonts w:eastAsia="Times New Roman"/>
      <w:kern w:val="2"/>
      <w:sz w:val="24"/>
      <w:szCs w:val="24"/>
    </w:rPr>
  </w:style>
  <w:style w:type="paragraph" w:customStyle="1" w:styleId="Heading-Main">
    <w:name w:val="Heading-Main"/>
    <w:basedOn w:val="Normal"/>
    <w:qFormat/>
    <w:rsid w:val="005358D5"/>
    <w:pPr>
      <w:keepNext/>
      <w:spacing w:before="240" w:after="120"/>
      <w:outlineLvl w:val="0"/>
    </w:pPr>
    <w:rPr>
      <w:rFonts w:eastAsia="Times New Roman"/>
      <w:b/>
      <w:bCs/>
      <w:kern w:val="2"/>
      <w:sz w:val="24"/>
      <w:szCs w:val="24"/>
    </w:rPr>
  </w:style>
  <w:style w:type="paragraph" w:customStyle="1" w:styleId="Affiliation">
    <w:name w:val="Affiliation"/>
    <w:basedOn w:val="Text"/>
    <w:qFormat/>
    <w:rsid w:val="00B719C8"/>
    <w:pPr>
      <w:ind w:firstLine="0"/>
    </w:pPr>
  </w:style>
  <w:style w:type="paragraph" w:customStyle="1" w:styleId="KeyPoints">
    <w:name w:val="Key Points"/>
    <w:basedOn w:val="Normal"/>
    <w:qFormat/>
    <w:rsid w:val="008A6077"/>
    <w:pPr>
      <w:spacing w:before="120"/>
    </w:pPr>
    <w:rPr>
      <w:rFonts w:eastAsia="Times New Roman"/>
      <w:sz w:val="24"/>
      <w:szCs w:val="24"/>
    </w:rPr>
  </w:style>
  <w:style w:type="paragraph" w:customStyle="1" w:styleId="Abstract">
    <w:name w:val="Abstract"/>
    <w:basedOn w:val="Normal"/>
    <w:qFormat/>
    <w:rsid w:val="00400425"/>
    <w:pPr>
      <w:spacing w:before="120"/>
    </w:pPr>
    <w:rPr>
      <w:rFonts w:eastAsia="Times New Roman"/>
      <w:sz w:val="24"/>
      <w:szCs w:val="24"/>
    </w:rPr>
  </w:style>
  <w:style w:type="paragraph" w:customStyle="1" w:styleId="Note">
    <w:name w:val="Note"/>
    <w:basedOn w:val="Normal"/>
    <w:qFormat/>
    <w:rsid w:val="0037466A"/>
    <w:pPr>
      <w:spacing w:before="240" w:after="240"/>
    </w:pPr>
    <w:rPr>
      <w:color w:val="00B0F0"/>
    </w:rPr>
  </w:style>
  <w:style w:type="paragraph" w:styleId="NormalWeb">
    <w:name w:val="Normal (Web)"/>
    <w:basedOn w:val="Normal"/>
    <w:uiPriority w:val="99"/>
    <w:semiHidden/>
    <w:unhideWhenUsed/>
    <w:qFormat/>
    <w:rsid w:val="002F3B11"/>
    <w:rPr>
      <w:sz w:val="24"/>
      <w:szCs w:val="24"/>
    </w:rPr>
  </w:style>
  <w:style w:type="paragraph" w:styleId="Piedepgina">
    <w:name w:val="footer"/>
    <w:basedOn w:val="Normal"/>
    <w:link w:val="PiedepginaCar"/>
    <w:uiPriority w:val="99"/>
    <w:unhideWhenUsed/>
    <w:rsid w:val="000379AB"/>
    <w:pPr>
      <w:suppressLineNumbers/>
      <w:tabs>
        <w:tab w:val="center" w:pos="4680"/>
        <w:tab w:val="right" w:pos="9360"/>
      </w:tabs>
    </w:pPr>
  </w:style>
  <w:style w:type="paragraph" w:styleId="Prrafodelista">
    <w:name w:val="List Paragraph"/>
    <w:basedOn w:val="Normal"/>
    <w:uiPriority w:val="34"/>
    <w:qFormat/>
    <w:rsid w:val="00D810E5"/>
    <w:pPr>
      <w:spacing w:after="200"/>
      <w:ind w:left="720"/>
      <w:contextualSpacing/>
    </w:pPr>
    <w:rPr>
      <w:rFonts w:asciiTheme="minorHAnsi" w:eastAsiaTheme="minorEastAsia" w:hAnsiTheme="minorHAnsi" w:cstheme="minorBidi"/>
      <w:sz w:val="24"/>
      <w:szCs w:val="24"/>
      <w:lang w:eastAsia="ja-JP"/>
    </w:rPr>
  </w:style>
  <w:style w:type="paragraph" w:styleId="Textodeglobo">
    <w:name w:val="Balloon Text"/>
    <w:basedOn w:val="Normal"/>
    <w:link w:val="TextodegloboCar"/>
    <w:uiPriority w:val="99"/>
    <w:semiHidden/>
    <w:unhideWhenUsed/>
    <w:qFormat/>
    <w:rsid w:val="007B4B93"/>
    <w:rPr>
      <w:rFonts w:ascii="Segoe UI" w:hAnsi="Segoe UI" w:cs="Segoe UI"/>
      <w:sz w:val="18"/>
      <w:szCs w:val="18"/>
    </w:rPr>
  </w:style>
  <w:style w:type="paragraph" w:styleId="Textocomentario">
    <w:name w:val="annotation text"/>
    <w:basedOn w:val="Normal"/>
    <w:link w:val="TextocomentarioCar"/>
    <w:uiPriority w:val="99"/>
    <w:unhideWhenUsed/>
    <w:qFormat/>
    <w:rsid w:val="0025336F"/>
    <w:pPr>
      <w:spacing w:after="160"/>
    </w:pPr>
    <w:rPr>
      <w:rFonts w:asciiTheme="minorHAnsi" w:hAnsiTheme="minorHAnsi" w:cstheme="minorBidi"/>
    </w:rPr>
  </w:style>
  <w:style w:type="paragraph" w:customStyle="1" w:styleId="EstiloTextJustificado">
    <w:name w:val="Estilo Text + Justificado"/>
    <w:basedOn w:val="Text"/>
    <w:qFormat/>
    <w:rsid w:val="00BC08D3"/>
    <w:pPr>
      <w:jc w:val="both"/>
    </w:pPr>
    <w:rPr>
      <w:rFonts w:asciiTheme="minorHAnsi" w:hAnsiTheme="minorHAnsi"/>
      <w:szCs w:val="20"/>
    </w:rPr>
  </w:style>
  <w:style w:type="paragraph" w:customStyle="1" w:styleId="PieFigura">
    <w:name w:val="PieFigura"/>
    <w:basedOn w:val="Normal"/>
    <w:link w:val="PieFiguraCar"/>
    <w:qFormat/>
    <w:rsid w:val="008F7248"/>
    <w:pPr>
      <w:jc w:val="both"/>
    </w:pPr>
    <w:rPr>
      <w:rFonts w:asciiTheme="minorHAnsi" w:hAnsiTheme="minorHAnsi" w:cstheme="minorHAnsi"/>
      <w:kern w:val="2"/>
    </w:rPr>
  </w:style>
  <w:style w:type="paragraph" w:customStyle="1" w:styleId="TextoNormal">
    <w:name w:val="Texto Normal"/>
    <w:basedOn w:val="Text"/>
    <w:link w:val="TextoNormalCar"/>
    <w:qFormat/>
    <w:rsid w:val="0035723D"/>
    <w:pPr>
      <w:jc w:val="both"/>
    </w:pPr>
    <w:rPr>
      <w:rFonts w:asciiTheme="minorHAnsi" w:hAnsiTheme="minorHAnsi" w:cstheme="minorHAnsi"/>
    </w:rPr>
  </w:style>
  <w:style w:type="paragraph" w:styleId="Revisin">
    <w:name w:val="Revision"/>
    <w:uiPriority w:val="99"/>
    <w:semiHidden/>
    <w:qFormat/>
    <w:rsid w:val="00DD4A51"/>
    <w:rPr>
      <w:rFonts w:ascii="Times New Roman" w:hAnsi="Times New Roman" w:cs="Times New Roman"/>
      <w:sz w:val="20"/>
      <w:szCs w:val="20"/>
    </w:rPr>
  </w:style>
  <w:style w:type="paragraph" w:styleId="Asuntodelcomentario">
    <w:name w:val="annotation subject"/>
    <w:basedOn w:val="Textocomentario"/>
    <w:next w:val="Textocomentario"/>
    <w:link w:val="AsuntodelcomentarioCar"/>
    <w:uiPriority w:val="99"/>
    <w:semiHidden/>
    <w:unhideWhenUsed/>
    <w:qFormat/>
    <w:rsid w:val="00C62739"/>
    <w:pPr>
      <w:suppressAutoHyphens w:val="0"/>
      <w:spacing w:after="0"/>
    </w:pPr>
    <w:rPr>
      <w:rFonts w:ascii="Times New Roman" w:eastAsia="Calibri" w:hAnsi="Times New Roman" w:cs="Times New Roman"/>
      <w:b/>
      <w:bCs/>
    </w:rPr>
  </w:style>
  <w:style w:type="paragraph" w:styleId="Sinespaciado">
    <w:name w:val="No Spacing"/>
    <w:uiPriority w:val="1"/>
    <w:qFormat/>
    <w:rsid w:val="002B3E87"/>
    <w:rPr>
      <w:rFonts w:ascii="Times New Roman" w:hAnsi="Times New Roman" w:cs="Times New Roman"/>
      <w:sz w:val="20"/>
      <w:szCs w:val="20"/>
    </w:rPr>
  </w:style>
  <w:style w:type="table" w:styleId="Tablaconcuadrcula">
    <w:name w:val="Table Grid"/>
    <w:basedOn w:val="Tablanormal"/>
    <w:uiPriority w:val="39"/>
    <w:rsid w:val="0025336F"/>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8367170">
      <w:bodyDiv w:val="1"/>
      <w:marLeft w:val="0"/>
      <w:marRight w:val="0"/>
      <w:marTop w:val="0"/>
      <w:marBottom w:val="0"/>
      <w:divBdr>
        <w:top w:val="none" w:sz="0" w:space="0" w:color="auto"/>
        <w:left w:val="none" w:sz="0" w:space="0" w:color="auto"/>
        <w:bottom w:val="none" w:sz="0" w:space="0" w:color="auto"/>
        <w:right w:val="none" w:sz="0" w:space="0" w:color="auto"/>
      </w:divBdr>
    </w:div>
    <w:div w:id="1684092546">
      <w:bodyDiv w:val="1"/>
      <w:marLeft w:val="0"/>
      <w:marRight w:val="0"/>
      <w:marTop w:val="0"/>
      <w:marBottom w:val="0"/>
      <w:divBdr>
        <w:top w:val="none" w:sz="0" w:space="0" w:color="auto"/>
        <w:left w:val="none" w:sz="0" w:space="0" w:color="auto"/>
        <w:bottom w:val="none" w:sz="0" w:space="0" w:color="auto"/>
        <w:right w:val="none" w:sz="0" w:space="0" w:color="auto"/>
      </w:divBdr>
    </w:div>
    <w:div w:id="17191632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samubeni@ucm.es)" TargetMode="Externa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data.ceda.ac.uk/badc/wcrp-ccmi/data/CCMI-1/output"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data.mendeley.com/datasets/2mgx2xzzpk/3"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i.org/10.5281/zenodo.7081436" TargetMode="Externa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hyperlink" Target="https://cds.climate.copernicus.eu/datasets/reanalysis-era5-pressure-levels?tab=download" TargetMode="External"/><Relationship Id="rId28" Type="http://schemas.microsoft.com/office/2011/relationships/people" Target="people.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acp.copernicus.org/articles/22/15729/2022/" TargetMode="External"/><Relationship Id="rId22" Type="http://schemas.openxmlformats.org/officeDocument/2006/relationships/hyperlink" Target="https://data.ceda.ac.uk/badc/ccmi/data/post-cmip6/ccmi-2022"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505181-BC37-CD4C-9F1A-4BEBC603EE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1618</TotalTime>
  <Pages>31</Pages>
  <Words>80483</Words>
  <Characters>442658</Characters>
  <Application>Microsoft Office Word</Application>
  <DocSecurity>0</DocSecurity>
  <Lines>3688</Lines>
  <Paragraphs>1044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522097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Brooks Hanson</dc:creator>
  <dc:description/>
  <cp:lastModifiedBy>SAMUEL BENITO BARCA</cp:lastModifiedBy>
  <cp:revision>546</cp:revision>
  <cp:lastPrinted>2024-06-28T16:43:00Z</cp:lastPrinted>
  <dcterms:created xsi:type="dcterms:W3CDTF">2024-08-19T22:25:00Z</dcterms:created>
  <dcterms:modified xsi:type="dcterms:W3CDTF">2025-05-07T09:35:00Z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http://www.zotero.org/styles/journal-of-geophysical-research-atmospheres</vt:lpwstr>
  </property>
  <property fmtid="{D5CDD505-2E9C-101B-9397-08002B2CF9AE}" pid="3" name="Mendeley Document_1">
    <vt:lpwstr>True</vt:lpwstr>
  </property>
  <property fmtid="{D5CDD505-2E9C-101B-9397-08002B2CF9AE}" pid="4" name="Mendeley Recent Style Id 0_1">
    <vt:lpwstr>http://www.zotero.org/styles/american-medical-association</vt:lpwstr>
  </property>
  <property fmtid="{D5CDD505-2E9C-101B-9397-08002B2CF9AE}" pid="5" name="Mendeley Recent Style Id 1_1">
    <vt:lpwstr>http://www.zotero.org/styles/american-political-science-association</vt:lpwstr>
  </property>
  <property fmtid="{D5CDD505-2E9C-101B-9397-08002B2CF9AE}" pid="6" name="Mendeley Recent Style Id 2_1">
    <vt:lpwstr>http://www.zotero.org/styles/apa</vt:lpwstr>
  </property>
  <property fmtid="{D5CDD505-2E9C-101B-9397-08002B2CF9AE}" pid="7" name="Mendeley Recent Style Id 3_1">
    <vt:lpwstr>http://www.zotero.org/styles/american-sociological-association</vt:lpwstr>
  </property>
  <property fmtid="{D5CDD505-2E9C-101B-9397-08002B2CF9AE}" pid="8" name="Mendeley Recent Style Id 4_1">
    <vt:lpwstr>http://www.zotero.org/styles/chicago-author-date</vt:lpwstr>
  </property>
  <property fmtid="{D5CDD505-2E9C-101B-9397-08002B2CF9AE}" pid="9" name="Mendeley Recent Style Id 5_1">
    <vt:lpwstr>http://www.zotero.org/styles/harvard-cite-them-right</vt:lpwstr>
  </property>
  <property fmtid="{D5CDD505-2E9C-101B-9397-08002B2CF9AE}" pid="10" name="Mendeley Recent Style Id 6_1">
    <vt:lpwstr>http://www.zotero.org/styles/ieee</vt:lpwstr>
  </property>
  <property fmtid="{D5CDD505-2E9C-101B-9397-08002B2CF9AE}" pid="11" name="Mendeley Recent Style Id 7_1">
    <vt:lpwstr>http://www.zotero.org/styles/journal-of-geophysical-research-atmospheres</vt:lpwstr>
  </property>
  <property fmtid="{D5CDD505-2E9C-101B-9397-08002B2CF9AE}" pid="12" name="Mendeley Recent Style Id 8_1">
    <vt:lpwstr>http://www.zotero.org/styles/modern-humanities-research-association</vt:lpwstr>
  </property>
  <property fmtid="{D5CDD505-2E9C-101B-9397-08002B2CF9AE}" pid="13" name="Mendeley Recent Style Id 9_1">
    <vt:lpwstr>http://www.zotero.org/styles/modern-language-association</vt:lpwstr>
  </property>
  <property fmtid="{D5CDD505-2E9C-101B-9397-08002B2CF9AE}" pid="14" name="Mendeley Recent Style Name 0_1">
    <vt:lpwstr>American Medical Association</vt:lpwstr>
  </property>
  <property fmtid="{D5CDD505-2E9C-101B-9397-08002B2CF9AE}" pid="15" name="Mendeley Recent Style Name 1_1">
    <vt:lpwstr>American Political Science Association</vt:lpwstr>
  </property>
  <property fmtid="{D5CDD505-2E9C-101B-9397-08002B2CF9AE}" pid="16" name="Mendeley Recent Style Name 2_1">
    <vt:lpwstr>American Psychological Association 6th edition</vt:lpwstr>
  </property>
  <property fmtid="{D5CDD505-2E9C-101B-9397-08002B2CF9AE}" pid="17" name="Mendeley Recent Style Name 3_1">
    <vt:lpwstr>American Sociological Association</vt:lpwstr>
  </property>
  <property fmtid="{D5CDD505-2E9C-101B-9397-08002B2CF9AE}" pid="18" name="Mendeley Recent Style Name 4_1">
    <vt:lpwstr>Chicago Manual of Style 17th edition (author-date)</vt:lpwstr>
  </property>
  <property fmtid="{D5CDD505-2E9C-101B-9397-08002B2CF9AE}" pid="19" name="Mendeley Recent Style Name 5_1">
    <vt:lpwstr>Cite Them Right 10th edition - Harvard</vt:lpwstr>
  </property>
  <property fmtid="{D5CDD505-2E9C-101B-9397-08002B2CF9AE}" pid="20" name="Mendeley Recent Style Name 6_1">
    <vt:lpwstr>IEEE</vt:lpwstr>
  </property>
  <property fmtid="{D5CDD505-2E9C-101B-9397-08002B2CF9AE}" pid="21" name="Mendeley Recent Style Name 7_1">
    <vt:lpwstr>Journal of Geophysical Research: Atmospheres</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Name 9_1">
    <vt:lpwstr>Modern Language Association 8th edition</vt:lpwstr>
  </property>
  <property fmtid="{D5CDD505-2E9C-101B-9397-08002B2CF9AE}" pid="24" name="Mendeley Unique User Id_1">
    <vt:lpwstr>6f3d8669-c65a-3109-bc22-aa0f93b0ddef</vt:lpwstr>
  </property>
</Properties>
</file>