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270CC5" w14:textId="77777777" w:rsidR="00176A80" w:rsidRPr="00E53E01" w:rsidRDefault="00176A80" w:rsidP="007E4F3E">
      <w:pPr>
        <w:pStyle w:val="MDPI12title"/>
      </w:pPr>
      <w:bookmarkStart w:id="0" w:name="_Hlk197437860"/>
      <w:r w:rsidRPr="00E53E01">
        <w:t>Augmenting Satellite Remote Sensing with AERONET-OC for Plume Monitoring in the Chesapeake Bay</w:t>
      </w:r>
    </w:p>
    <w:p w14:paraId="7E1E4632" w14:textId="19BF7108" w:rsidR="00057C6C" w:rsidRPr="00E53E01" w:rsidRDefault="00176A80" w:rsidP="007E4F3E">
      <w:pPr>
        <w:pStyle w:val="MDPI13authornames"/>
      </w:pPr>
      <w:r w:rsidRPr="00E53E01">
        <w:t xml:space="preserve">Samantha </w:t>
      </w:r>
      <w:r w:rsidR="0017098F" w:rsidRPr="00E53E01">
        <w:t xml:space="preserve">Lynn </w:t>
      </w:r>
      <w:r w:rsidRPr="00E53E01">
        <w:t>Smith</w:t>
      </w:r>
      <w:r w:rsidR="007E4F3E" w:rsidRPr="00E53E01">
        <w:t xml:space="preserve"> </w:t>
      </w:r>
      <w:r w:rsidRPr="00E53E01">
        <w:rPr>
          <w:vertAlign w:val="superscript"/>
        </w:rPr>
        <w:t>1,</w:t>
      </w:r>
      <w:proofErr w:type="gramStart"/>
      <w:r w:rsidRPr="00E53E01">
        <w:rPr>
          <w:vertAlign w:val="superscript"/>
        </w:rPr>
        <w:t>2</w:t>
      </w:r>
      <w:r w:rsidR="0027415F" w:rsidRPr="00E53E01">
        <w:rPr>
          <w:vertAlign w:val="superscript"/>
        </w:rPr>
        <w:t>,</w:t>
      </w:r>
      <w:r w:rsidR="0027415F" w:rsidRPr="00E53E01">
        <w:t>*</w:t>
      </w:r>
      <w:proofErr w:type="gramEnd"/>
      <w:r w:rsidRPr="00E53E01">
        <w:t>, Stephanie Schollaert Uz</w:t>
      </w:r>
      <w:r w:rsidR="007E4F3E" w:rsidRPr="00E53E01">
        <w:t xml:space="preserve"> </w:t>
      </w:r>
      <w:r w:rsidRPr="00E53E01">
        <w:rPr>
          <w:vertAlign w:val="superscript"/>
        </w:rPr>
        <w:t>1</w:t>
      </w:r>
      <w:r w:rsidRPr="00E53E01">
        <w:t>, J. Blake Clark</w:t>
      </w:r>
      <w:r w:rsidR="007E4F3E" w:rsidRPr="00E53E01">
        <w:t xml:space="preserve"> </w:t>
      </w:r>
      <w:r w:rsidRPr="00E53E01">
        <w:rPr>
          <w:vertAlign w:val="superscript"/>
        </w:rPr>
        <w:t>1,3</w:t>
      </w:r>
      <w:r w:rsidR="007E4F3E" w:rsidRPr="00E53E01">
        <w:t xml:space="preserve"> and </w:t>
      </w:r>
      <w:r w:rsidRPr="00E53E01">
        <w:t>Dirk Aurin</w:t>
      </w:r>
      <w:r w:rsidR="007E4F3E" w:rsidRPr="00E53E01">
        <w:t xml:space="preserve"> </w:t>
      </w:r>
      <w:r w:rsidRPr="00E53E01">
        <w:rPr>
          <w:vertAlign w:val="superscript"/>
        </w:rPr>
        <w:t>1,4</w:t>
      </w:r>
    </w:p>
    <w:p w14:paraId="5E426018" w14:textId="0CAEB774" w:rsidR="00176A80" w:rsidRPr="00E53E01" w:rsidRDefault="00176A80" w:rsidP="007E4F3E">
      <w:pPr>
        <w:pStyle w:val="MDPI16affiliation"/>
      </w:pPr>
      <w:r w:rsidRPr="00E53E01">
        <w:rPr>
          <w:vertAlign w:val="superscript"/>
        </w:rPr>
        <w:t>1</w:t>
      </w:r>
      <w:r w:rsidRPr="00E53E01">
        <w:tab/>
        <w:t xml:space="preserve">Goddard Space Flight Center, National Aeronautics and Space Administration, </w:t>
      </w:r>
      <w:r w:rsidR="002574D9" w:rsidRPr="00E53E01">
        <w:t xml:space="preserve">20771 </w:t>
      </w:r>
      <w:r w:rsidRPr="00E53E01">
        <w:t xml:space="preserve">Greenbelt, MD, USA; </w:t>
      </w:r>
      <w:r w:rsidR="00705EDB" w:rsidRPr="00E53E01">
        <w:br/>
      </w:r>
      <w:r w:rsidRPr="00E53E01">
        <w:t>stephanie.uz@nasa.gov</w:t>
      </w:r>
      <w:r w:rsidR="007E4F3E" w:rsidRPr="00E53E01">
        <w:t xml:space="preserve"> </w:t>
      </w:r>
      <w:r w:rsidR="00FA5AD0" w:rsidRPr="00E53E01">
        <w:t>(</w:t>
      </w:r>
      <w:r w:rsidR="007E4F3E" w:rsidRPr="00E53E01">
        <w:t>S.S.U.</w:t>
      </w:r>
      <w:r w:rsidR="00FA5AD0" w:rsidRPr="00E53E01">
        <w:t>)</w:t>
      </w:r>
      <w:r w:rsidRPr="00E53E01">
        <w:t>; blake.clark@nasa.gov</w:t>
      </w:r>
      <w:r w:rsidR="007E4F3E" w:rsidRPr="00E53E01">
        <w:t xml:space="preserve"> </w:t>
      </w:r>
      <w:r w:rsidR="00FA5AD0" w:rsidRPr="00E53E01">
        <w:t>(</w:t>
      </w:r>
      <w:r w:rsidR="007E4F3E" w:rsidRPr="00E53E01">
        <w:t>J.B.C.</w:t>
      </w:r>
      <w:r w:rsidR="00FA5AD0" w:rsidRPr="00E53E01">
        <w:t>)</w:t>
      </w:r>
      <w:r w:rsidRPr="00E53E01">
        <w:t>; dirk.a.aurin@nasa.gov</w:t>
      </w:r>
      <w:r w:rsidR="007E4F3E" w:rsidRPr="00E53E01">
        <w:t xml:space="preserve"> </w:t>
      </w:r>
      <w:r w:rsidR="00FA5AD0" w:rsidRPr="00E53E01">
        <w:t>(</w:t>
      </w:r>
      <w:r w:rsidR="007E4F3E" w:rsidRPr="00E53E01">
        <w:t>D.A.</w:t>
      </w:r>
      <w:r w:rsidR="00FA5AD0" w:rsidRPr="00E53E01">
        <w:t>)</w:t>
      </w:r>
    </w:p>
    <w:p w14:paraId="336D6BBC" w14:textId="62F95E26" w:rsidR="00176A80" w:rsidRPr="00E53E01" w:rsidRDefault="00176A80" w:rsidP="007E4F3E">
      <w:pPr>
        <w:pStyle w:val="MDPI16affiliation"/>
      </w:pPr>
      <w:r w:rsidRPr="00E53E01">
        <w:rPr>
          <w:vertAlign w:val="superscript"/>
        </w:rPr>
        <w:t>2</w:t>
      </w:r>
      <w:r w:rsidRPr="00E53E01">
        <w:tab/>
        <w:t>Science Systems and Applications, Inc.,</w:t>
      </w:r>
      <w:r w:rsidR="002574D9" w:rsidRPr="00E53E01">
        <w:t xml:space="preserve"> 20706</w:t>
      </w:r>
      <w:r w:rsidRPr="00E53E01">
        <w:t xml:space="preserve"> </w:t>
      </w:r>
      <w:r w:rsidR="002574D9" w:rsidRPr="00E53E01">
        <w:t xml:space="preserve">Lanham, </w:t>
      </w:r>
      <w:r w:rsidRPr="00E53E01">
        <w:t>MD, USA</w:t>
      </w:r>
    </w:p>
    <w:p w14:paraId="07CADE2C" w14:textId="2E9A2389" w:rsidR="00176A80" w:rsidRPr="00E53E01" w:rsidRDefault="00176A80" w:rsidP="007E4F3E">
      <w:pPr>
        <w:pStyle w:val="MDPI16affiliation"/>
      </w:pPr>
      <w:r w:rsidRPr="00E53E01">
        <w:rPr>
          <w:vertAlign w:val="superscript"/>
        </w:rPr>
        <w:t>3</w:t>
      </w:r>
      <w:r w:rsidRPr="00E53E01">
        <w:tab/>
        <w:t xml:space="preserve">Goddard Earth Sciences Technology and Research </w:t>
      </w:r>
      <w:r w:rsidR="00FA5AD0" w:rsidRPr="00E53E01">
        <w:t>(</w:t>
      </w:r>
      <w:r w:rsidRPr="00E53E01">
        <w:t>GESTAR</w:t>
      </w:r>
      <w:r w:rsidR="00FA5AD0" w:rsidRPr="00E53E01">
        <w:t>)</w:t>
      </w:r>
      <w:r w:rsidRPr="00E53E01">
        <w:t xml:space="preserve"> II, University of Maryland Baltimore County, </w:t>
      </w:r>
      <w:r w:rsidR="002574D9" w:rsidRPr="00E53E01">
        <w:t xml:space="preserve">21250 Baltimore, </w:t>
      </w:r>
      <w:r w:rsidRPr="00E53E01">
        <w:t>MD, USA</w:t>
      </w:r>
    </w:p>
    <w:p w14:paraId="0CB9ED6B" w14:textId="19BD6320" w:rsidR="00176A80" w:rsidRPr="00E53E01" w:rsidRDefault="00176A80" w:rsidP="007E4F3E">
      <w:pPr>
        <w:pStyle w:val="MDPI16affiliation"/>
      </w:pPr>
      <w:r w:rsidRPr="00E53E01">
        <w:rPr>
          <w:vertAlign w:val="superscript"/>
        </w:rPr>
        <w:t>4</w:t>
      </w:r>
      <w:r w:rsidRPr="00E53E01">
        <w:tab/>
      </w:r>
      <w:r w:rsidR="00975027" w:rsidRPr="00E53E01">
        <w:t xml:space="preserve">Goddard Earth Sciences Technology and Research (GESTAR) II, </w:t>
      </w:r>
      <w:r w:rsidRPr="00E53E01">
        <w:t xml:space="preserve">Morgan State University, </w:t>
      </w:r>
      <w:r w:rsidR="002574D9" w:rsidRPr="00E53E01">
        <w:t xml:space="preserve">21251 </w:t>
      </w:r>
      <w:r w:rsidRPr="00E53E01">
        <w:t>Baltimore, MD, USA</w:t>
      </w:r>
    </w:p>
    <w:p w14:paraId="4D46EA6D" w14:textId="17A5E241" w:rsidR="00176A80" w:rsidRPr="00E53E01" w:rsidRDefault="007E4F3E" w:rsidP="007E4F3E">
      <w:pPr>
        <w:pStyle w:val="MDPI16affiliation"/>
      </w:pPr>
      <w:r w:rsidRPr="00E53E01">
        <w:rPr>
          <w:b/>
        </w:rPr>
        <w:t>*</w:t>
      </w:r>
      <w:r w:rsidRPr="00E53E01">
        <w:tab/>
        <w:t xml:space="preserve">Correspondence: </w:t>
      </w:r>
      <w:r w:rsidR="00176A80" w:rsidRPr="00E53E01">
        <w:t>samantha.l.smith@nasa.gov</w:t>
      </w:r>
    </w:p>
    <w:p w14:paraId="349C37F5" w14:textId="4BD6552E" w:rsidR="00176A80" w:rsidRPr="00E53E01" w:rsidRDefault="00176A80" w:rsidP="007A33C8">
      <w:pPr>
        <w:pStyle w:val="MDPI17abstract"/>
      </w:pPr>
      <w:r w:rsidRPr="00E53E01">
        <w:rPr>
          <w:b/>
          <w:bCs/>
        </w:rPr>
        <w:t xml:space="preserve">Abstract: </w:t>
      </w:r>
      <w:r w:rsidRPr="00E53E01">
        <w:t xml:space="preserve">Satellite observations provide broad spatial coverage of complex coastal environments but may lack temporal resolution to capture rapid changes in these dynamic systems. This study explores the potential of the recently installed NASA Aerosol Robotic Network Ocean Color </w:t>
      </w:r>
      <w:r w:rsidR="00FA5AD0" w:rsidRPr="00E53E01">
        <w:t>(</w:t>
      </w:r>
      <w:r w:rsidRPr="00E53E01">
        <w:t>AERONET-OC</w:t>
      </w:r>
      <w:r w:rsidR="00FA5AD0" w:rsidRPr="00E53E01">
        <w:t>)</w:t>
      </w:r>
      <w:r w:rsidRPr="00E53E01">
        <w:t xml:space="preserve"> in the Chesapeake Bay, USA, both for comparison with satellite remote sensing and to complement the satellite observations by filling temporal gaps at a fixed site. Using AERONET-OC’s effectiveness as a validation tool through comparisons with multi-</w:t>
      </w:r>
      <w:r w:rsidR="00A15744" w:rsidRPr="00E53E01">
        <w:t xml:space="preserve"> </w:t>
      </w:r>
      <w:r w:rsidRPr="00E53E01">
        <w:t xml:space="preserve">and hyperspectral satellites, we find agreement between AERONET-OC and satellite remote sensing reflectance measurements in the Chesapeake Bay. We use AERONET-OC to estimate total suspended matter transport through the upper bay, revealing a 3-day lag of sediment plume transport from riverine discharge to the AERONET-OC site. During the 2023 Canadian wildfire smoke episode, AERONET-OC </w:t>
      </w:r>
      <w:r w:rsidR="00A15744" w:rsidRPr="00E53E01">
        <w:t>a</w:t>
      </w:r>
      <w:r w:rsidRPr="00E53E01">
        <w:t xml:space="preserve">erosol </w:t>
      </w:r>
      <w:r w:rsidR="00A15744" w:rsidRPr="00E53E01">
        <w:t>o</w:t>
      </w:r>
      <w:r w:rsidRPr="00E53E01">
        <w:t xml:space="preserve">ptical </w:t>
      </w:r>
      <w:r w:rsidR="00A15744" w:rsidRPr="00E53E01">
        <w:t>d</w:t>
      </w:r>
      <w:r w:rsidRPr="00E53E01">
        <w:t xml:space="preserve">epth </w:t>
      </w:r>
      <w:r w:rsidR="00A15744" w:rsidRPr="00E53E01">
        <w:t xml:space="preserve">measurements </w:t>
      </w:r>
      <w:r w:rsidRPr="00E53E01">
        <w:t xml:space="preserve">in the Chesapeake Bay agree with satellite products while capturing diurnal variations that are not observable through daily satellite passes. This study demonstrates the potential of continuous </w:t>
      </w:r>
      <w:r w:rsidRPr="00E53E01">
        <w:rPr>
          <w:iCs/>
        </w:rPr>
        <w:t>in situ</w:t>
      </w:r>
      <w:r w:rsidRPr="00E53E01">
        <w:t xml:space="preserve"> monitoring by AERONET-OC to complement satellite observations with higher frequency, important for capturing extreme events that may be missed by daily satellite overpass or</w:t>
      </w:r>
      <w:r w:rsidR="00A15744" w:rsidRPr="00E53E01">
        <w:t xml:space="preserve"> are</w:t>
      </w:r>
      <w:r w:rsidRPr="00E53E01">
        <w:t xml:space="preserve"> less frequent when cloudy.</w:t>
      </w:r>
    </w:p>
    <w:p w14:paraId="681B7C1B" w14:textId="3CF66551" w:rsidR="00176A80" w:rsidRPr="00E53E01" w:rsidRDefault="007A33C8" w:rsidP="007A33C8">
      <w:pPr>
        <w:pStyle w:val="MDPI18keywords"/>
      </w:pPr>
      <w:r w:rsidRPr="00E53E01">
        <w:rPr>
          <w:b/>
        </w:rPr>
        <w:t>Keywords:</w:t>
      </w:r>
      <w:r w:rsidR="00176A80" w:rsidRPr="00E53E01">
        <w:rPr>
          <w:b/>
        </w:rPr>
        <w:t xml:space="preserve"> </w:t>
      </w:r>
      <w:r w:rsidRPr="00E53E01">
        <w:t xml:space="preserve">ocean color; satellite remote sensing; water quality; </w:t>
      </w:r>
      <w:r w:rsidR="00727C32" w:rsidRPr="00E53E01">
        <w:t>C</w:t>
      </w:r>
      <w:r w:rsidRPr="00E53E01">
        <w:t xml:space="preserve">hesapeake </w:t>
      </w:r>
      <w:r w:rsidR="00727C32" w:rsidRPr="00E53E01">
        <w:t>B</w:t>
      </w:r>
      <w:r w:rsidRPr="00E53E01">
        <w:t xml:space="preserve">ay; </w:t>
      </w:r>
      <w:r w:rsidR="00E47599" w:rsidRPr="00E53E01">
        <w:br/>
      </w:r>
      <w:r w:rsidR="00176A80" w:rsidRPr="00E53E01">
        <w:t>AERONET-OC</w:t>
      </w:r>
    </w:p>
    <w:p w14:paraId="01750A4E" w14:textId="77777777" w:rsidR="00176A80" w:rsidRPr="00E53E01" w:rsidRDefault="00176A80" w:rsidP="007A33C8">
      <w:pPr>
        <w:pStyle w:val="MDPI19line"/>
      </w:pPr>
    </w:p>
    <w:p w14:paraId="0218F46F" w14:textId="15307761" w:rsidR="00176A80" w:rsidRPr="00E53E01" w:rsidRDefault="00466BC0" w:rsidP="00466BC0">
      <w:pPr>
        <w:pStyle w:val="MDPI21heading1"/>
      </w:pPr>
      <w:r w:rsidRPr="00E53E01">
        <w:t xml:space="preserve">1. </w:t>
      </w:r>
      <w:r w:rsidR="00176A80" w:rsidRPr="00E53E01">
        <w:t>Introduction</w:t>
      </w:r>
    </w:p>
    <w:p w14:paraId="1265EC3E" w14:textId="5A66CB51" w:rsidR="00176A80" w:rsidRPr="00E53E01" w:rsidRDefault="00176A80" w:rsidP="00466BC0">
      <w:pPr>
        <w:pStyle w:val="MDPI31text"/>
      </w:pPr>
      <w:r w:rsidRPr="00E53E01">
        <w:t xml:space="preserve">Aquatic remote sensing, in combination with ground-truth measurements and sampling programs, provides information that can support science and application communities. The Chesapeake Bay is the largest estuary in the United States and the third largest estuary in the world [1]. Satellite remote sensing of aquatic properties can provide estimates of water quality parameters that are crucial for the monitoring of pollution, sediment runoff, and harmful algal blooms in the </w:t>
      </w:r>
      <w:r w:rsidR="00A15744" w:rsidRPr="00E53E01">
        <w:t>b</w:t>
      </w:r>
      <w:r w:rsidRPr="00E53E01">
        <w:t xml:space="preserve">ay [2]. Many remote sensing products are currently used to track water quality that can impact fisheries and recreational activities in the </w:t>
      </w:r>
      <w:r w:rsidR="00A15744" w:rsidRPr="00E53E01">
        <w:t>ba</w:t>
      </w:r>
      <w:r w:rsidRPr="00E53E01">
        <w:t xml:space="preserve">y, including the National Oceanic and Atmospheric Administration </w:t>
      </w:r>
      <w:r w:rsidR="00FA5AD0" w:rsidRPr="00E53E01">
        <w:t>(</w:t>
      </w:r>
      <w:r w:rsidRPr="00E53E01">
        <w:t>NOAA</w:t>
      </w:r>
      <w:r w:rsidR="00FA5AD0" w:rsidRPr="00E53E01">
        <w:t>)</w:t>
      </w:r>
      <w:r w:rsidR="00A15744" w:rsidRPr="00E53E01">
        <w:t>’s</w:t>
      </w:r>
      <w:r w:rsidRPr="00E53E01">
        <w:t xml:space="preserve"> harmful algal bloom mapping tools and the National Aeronautics and Space Administration </w:t>
      </w:r>
      <w:r w:rsidR="00FA5AD0" w:rsidRPr="00E53E01">
        <w:t>(</w:t>
      </w:r>
      <w:r w:rsidRPr="00E53E01">
        <w:t>NASA</w:t>
      </w:r>
      <w:r w:rsidR="00FA5AD0" w:rsidRPr="00E53E01">
        <w:t>)</w:t>
      </w:r>
      <w:r w:rsidR="00A15744" w:rsidRPr="00E53E01">
        <w:t>’s</w:t>
      </w:r>
      <w:r w:rsidRPr="00E53E01">
        <w:t xml:space="preserve"> Moderate Resolution Imaging Spectroradiometer </w:t>
      </w:r>
      <w:r w:rsidR="00FA5AD0" w:rsidRPr="00E53E01">
        <w:t>(</w:t>
      </w:r>
      <w:r w:rsidRPr="00E53E01">
        <w:t>MODIS</w:t>
      </w:r>
      <w:r w:rsidR="00FA5AD0" w:rsidRPr="00E53E01">
        <w:t>)</w:t>
      </w:r>
      <w:r w:rsidRPr="00E53E01">
        <w:t xml:space="preserve">-derived chlorophyll-a concentrations, turbidity, and total suspended matter </w:t>
      </w:r>
      <w:r w:rsidR="00FA5AD0" w:rsidRPr="00E53E01">
        <w:t>(</w:t>
      </w:r>
      <w:r w:rsidRPr="00E53E01">
        <w:t>TSM</w:t>
      </w:r>
      <w:r w:rsidR="00FA5AD0" w:rsidRPr="00E53E01">
        <w:t>)</w:t>
      </w:r>
      <w:r w:rsidRPr="00E53E01">
        <w:t xml:space="preserve"> estimations </w:t>
      </w:r>
      <w:r w:rsidR="00FA5AD0" w:rsidRPr="00E53E01">
        <w:t>(</w:t>
      </w:r>
      <w:r w:rsidRPr="00E53E01">
        <w:t>NOAA CoastWatch National Centers for Coastal Ocean Science</w:t>
      </w:r>
      <w:r w:rsidR="00A15744" w:rsidRPr="00E53E01">
        <w:t>)</w:t>
      </w:r>
      <w:r w:rsidRPr="00E53E01">
        <w:t xml:space="preserve"> [3]. Satellite-based products are supplemental to the Chesapeake Bay Program </w:t>
      </w:r>
      <w:r w:rsidR="00FA5AD0" w:rsidRPr="00E53E01">
        <w:t>(</w:t>
      </w:r>
      <w:r w:rsidRPr="00E53E01">
        <w:t>CBP</w:t>
      </w:r>
      <w:r w:rsidR="00FA5AD0" w:rsidRPr="00E53E01">
        <w:t>)</w:t>
      </w:r>
      <w:r w:rsidR="00A15744" w:rsidRPr="00E53E01">
        <w:t>’s</w:t>
      </w:r>
      <w:r w:rsidRPr="00E53E01">
        <w:t xml:space="preserve"> </w:t>
      </w:r>
      <w:r w:rsidRPr="00E53E01">
        <w:rPr>
          <w:iCs/>
        </w:rPr>
        <w:t>in situ</w:t>
      </w:r>
      <w:r w:rsidRPr="00E53E01">
        <w:t xml:space="preserve"> monitoring </w:t>
      </w:r>
      <w:r w:rsidRPr="00E53E01">
        <w:lastRenderedPageBreak/>
        <w:t>network. These data also provide ground-truth measurements to aid in the development of satellite data products [4].</w:t>
      </w:r>
    </w:p>
    <w:p w14:paraId="6B24C20D" w14:textId="4B3A05B4" w:rsidR="00176A80" w:rsidRPr="00E53E01" w:rsidRDefault="00176A80" w:rsidP="00466BC0">
      <w:pPr>
        <w:pStyle w:val="MDPI31text"/>
      </w:pPr>
      <w:r w:rsidRPr="00E53E01">
        <w:t>Despite the significant monitoring capabilities provided by satellite remote sensing in the Chesapeake Bay, the dynamic coastal</w:t>
      </w:r>
      <w:r w:rsidR="00A15744" w:rsidRPr="00E53E01">
        <w:t>–</w:t>
      </w:r>
      <w:r w:rsidRPr="00E53E01">
        <w:t xml:space="preserve">estuarine interface of the </w:t>
      </w:r>
      <w:r w:rsidR="00A15744" w:rsidRPr="00E53E01">
        <w:t>b</w:t>
      </w:r>
      <w:r w:rsidRPr="00E53E01">
        <w:t xml:space="preserve">ay makes it a challenging optical target. The Chesapeake Bay estuary includes a main stem fed by several large rivers alongside many small water bodies and coastal marshes. Proximity to these areas can introduce land-adjacency effects, turbid water, and complex atmospheric correction plus frequent cloud cover, which can complicate satellite remote sensing of the water </w:t>
      </w:r>
      <w:r w:rsidR="000A0132" w:rsidRPr="00E53E01">
        <w:t>[5,6</w:t>
      </w:r>
      <w:r w:rsidRPr="00E53E01">
        <w:t xml:space="preserve">]. The </w:t>
      </w:r>
      <w:r w:rsidR="00A15744" w:rsidRPr="00E53E01">
        <w:t>b</w:t>
      </w:r>
      <w:r w:rsidRPr="00E53E01">
        <w:t xml:space="preserve">ay has been cited to be sensitive to climate extremes due to its shallow depth and atmospheric variability, which can be observed in large salinity and temperature swings influenced by regional events </w:t>
      </w:r>
      <w:r w:rsidR="000A0132" w:rsidRPr="00E53E01">
        <w:t>[7,8</w:t>
      </w:r>
      <w:r w:rsidRPr="00E53E01">
        <w:t xml:space="preserve">]. The temporal resolution of commonly used ocean color satellites, in combination with complexities of the </w:t>
      </w:r>
      <w:r w:rsidR="00A15744" w:rsidRPr="00E53E01">
        <w:t>b</w:t>
      </w:r>
      <w:r w:rsidRPr="00E53E01">
        <w:t xml:space="preserve">ay’s coastal environment, make it difficult to accurately capture fleeting weather phenomena through the Chesapeake Bay watershed. These challenges highlight the need for continuous in situ monitoring of high temporal resolution to capture dynamic weather events in the </w:t>
      </w:r>
      <w:r w:rsidR="00A15744" w:rsidRPr="00E53E01">
        <w:t>b</w:t>
      </w:r>
      <w:r w:rsidRPr="00E53E01">
        <w:t>ay.</w:t>
      </w:r>
    </w:p>
    <w:p w14:paraId="7C354EC3" w14:textId="74567D3B" w:rsidR="00176A80" w:rsidRPr="00E53E01" w:rsidRDefault="00176A80" w:rsidP="00466BC0">
      <w:pPr>
        <w:pStyle w:val="MDPI31text"/>
      </w:pPr>
      <w:r w:rsidRPr="00E53E01">
        <w:t xml:space="preserve">NASA Goddard operates the Aerosol Robotic Network </w:t>
      </w:r>
      <w:r w:rsidR="00FA5AD0" w:rsidRPr="00E53E01">
        <w:t>(</w:t>
      </w:r>
      <w:r w:rsidRPr="00E53E01">
        <w:t>AERONET</w:t>
      </w:r>
      <w:r w:rsidR="00FA5AD0" w:rsidRPr="00E53E01">
        <w:t>)</w:t>
      </w:r>
      <w:r w:rsidRPr="00E53E01">
        <w:t xml:space="preserve">, a globally distributed system of autonomous sun photometers established in 1993 by NASA and the PHOtométrie pour le Traitement Opérationnel de </w:t>
      </w:r>
      <w:r w:rsidR="00A15744" w:rsidRPr="00E53E01">
        <w:rPr>
          <w:u w:color="EEB1D5"/>
        </w:rPr>
        <w:t>Normalisation</w:t>
      </w:r>
      <w:r w:rsidRPr="00E53E01">
        <w:t xml:space="preserve"> Satellitaire </w:t>
      </w:r>
      <w:r w:rsidR="00FA5AD0" w:rsidRPr="00E53E01">
        <w:t>(</w:t>
      </w:r>
      <w:r w:rsidRPr="00E53E01">
        <w:t>PHOTONS</w:t>
      </w:r>
      <w:r w:rsidR="00FA5AD0" w:rsidRPr="00E53E01">
        <w:t>)</w:t>
      </w:r>
      <w:r w:rsidRPr="00E53E01">
        <w:t xml:space="preserve">. Initially designed for the measuring of atmospheric aerosol properties for calibration and validation of satellite measurements, AERONET has since expanded to measure ocean color </w:t>
      </w:r>
      <w:r w:rsidR="00FA5AD0" w:rsidRPr="00E53E01">
        <w:t>(</w:t>
      </w:r>
      <w:r w:rsidRPr="00E53E01">
        <w:t>AERONET-OC</w:t>
      </w:r>
      <w:r w:rsidR="00FA5AD0" w:rsidRPr="00E53E01">
        <w:t>)</w:t>
      </w:r>
      <w:r w:rsidRPr="00E53E01">
        <w:t xml:space="preserve">, for the calibration and validation of water-leaving radiance retrievals </w:t>
      </w:r>
      <w:r w:rsidR="000A0132" w:rsidRPr="00E53E01">
        <w:t>[9–12</w:t>
      </w:r>
      <w:r w:rsidRPr="00E53E01">
        <w:t xml:space="preserve">] and the evaluation of atmospheric correction algorithms for turbid water applications [13]. To establish an additional ground-truth site for coastal aquatic remote sensing, NASA Goddard worked with the U.S. Coast Guard and Maryland Department of the Environment through an interagency agreement to install a NASA AERONET-OC sensor on the Tolchester navigation light tower in the Chesapeake Bay </w:t>
      </w:r>
      <w:r w:rsidR="00FA5AD0" w:rsidRPr="00E53E01">
        <w:t>(</w:t>
      </w:r>
      <w:r w:rsidRPr="00E53E01">
        <w:t xml:space="preserve">39.12351, </w:t>
      </w:r>
      <w:r w:rsidR="00944C45" w:rsidRPr="00E53E01">
        <w:t>−7</w:t>
      </w:r>
      <w:r w:rsidRPr="00E53E01">
        <w:t>6.34890</w:t>
      </w:r>
      <w:r w:rsidR="00FA5AD0" w:rsidRPr="00E53E01">
        <w:t>)</w:t>
      </w:r>
      <w:r w:rsidRPr="00E53E01">
        <w:t xml:space="preserve">. Since the installation of this tower-mounted above-water radiometer instrument in 2022, the AERONET-OC sensor has been providing continuous monitoring of downwelling irradiances and water-leaving radiances at this site, north of the Chesapeake Bay bridge </w:t>
      </w:r>
      <w:r w:rsidR="00FA5AD0" w:rsidRPr="00E53E01">
        <w:t>(</w:t>
      </w:r>
      <w:r w:rsidRPr="00E53E01">
        <w:t>Figure 1</w:t>
      </w:r>
      <w:r w:rsidR="00FA5AD0" w:rsidRPr="00E53E01">
        <w:t>)</w:t>
      </w:r>
      <w:r w:rsidRPr="00E53E01">
        <w:t>.</w:t>
      </w:r>
    </w:p>
    <w:p w14:paraId="5153DED8" w14:textId="77777777" w:rsidR="00176A80" w:rsidRPr="00E53E01" w:rsidRDefault="00176A80" w:rsidP="00466BC0">
      <w:pPr>
        <w:pStyle w:val="MDPI52figure"/>
      </w:pPr>
      <w:r w:rsidRPr="00E53E01">
        <w:rPr>
          <w:noProof/>
          <w:shd w:val="clear" w:color="auto" w:fill="E6E6E6"/>
        </w:rPr>
        <w:drawing>
          <wp:inline distT="0" distB="0" distL="0" distR="0" wp14:anchorId="16F28AF5" wp14:editId="71C99279">
            <wp:extent cx="6642038" cy="2309812"/>
            <wp:effectExtent l="0" t="0" r="6985" b="0"/>
            <wp:docPr id="1106803927" name="Picture 110680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2038" cy="2309812"/>
                    </a:xfrm>
                    <a:prstGeom prst="rect">
                      <a:avLst/>
                    </a:prstGeom>
                  </pic:spPr>
                </pic:pic>
              </a:graphicData>
            </a:graphic>
          </wp:inline>
        </w:drawing>
      </w:r>
    </w:p>
    <w:p w14:paraId="1998E953" w14:textId="10FC7153" w:rsidR="00176A80" w:rsidRPr="00E53E01" w:rsidRDefault="00176A80" w:rsidP="00466BC0">
      <w:pPr>
        <w:pStyle w:val="MDPI51figurecaption"/>
        <w:jc w:val="both"/>
      </w:pPr>
      <w:r w:rsidRPr="00E53E01">
        <w:rPr>
          <w:b/>
        </w:rPr>
        <w:t xml:space="preserve">Figure 1. </w:t>
      </w:r>
      <w:r w:rsidRPr="00E53E01">
        <w:t xml:space="preserve">The Chesapeake Bay AERONET-OC site and a zoomed-out view of global AERONET-OC locations. </w:t>
      </w:r>
      <w:r w:rsidR="0017098F" w:rsidRPr="00E53E01">
        <w:t xml:space="preserve">AERONET-OC locations are indicated as red dots. </w:t>
      </w:r>
      <w:r w:rsidRPr="00E53E01">
        <w:t xml:space="preserve">Carto background map. </w:t>
      </w:r>
      <w:r w:rsidR="00FA5AD0" w:rsidRPr="00E53E01">
        <w:t>(</w:t>
      </w:r>
      <w:r w:rsidRPr="00E53E01">
        <w:t>Source: NASA GSFC</w:t>
      </w:r>
      <w:r w:rsidR="006F45B4" w:rsidRPr="00E53E01">
        <w:t>.</w:t>
      </w:r>
      <w:r w:rsidR="00FA5AD0" w:rsidRPr="00E53E01">
        <w:t>)</w:t>
      </w:r>
    </w:p>
    <w:p w14:paraId="1A3BDB5D" w14:textId="78D31FB8" w:rsidR="00176A80" w:rsidRPr="00E53E01" w:rsidRDefault="00176A80" w:rsidP="00466BC0">
      <w:pPr>
        <w:pStyle w:val="MDPI31text"/>
      </w:pPr>
      <w:r w:rsidRPr="00E53E01">
        <w:t xml:space="preserve">Continuous measurements from AERONET-OC have the potential to provide additional information about the temporal variability of atmospheric and aquatic features. Among its derived products is </w:t>
      </w:r>
      <w:r w:rsidR="00A15744" w:rsidRPr="00E53E01">
        <w:t>a</w:t>
      </w:r>
      <w:r w:rsidRPr="00E53E01">
        <w:t xml:space="preserve">erosol </w:t>
      </w:r>
      <w:r w:rsidR="00A15744" w:rsidRPr="00E53E01">
        <w:t>o</w:t>
      </w:r>
      <w:r w:rsidRPr="00E53E01">
        <w:t xml:space="preserve">ptical </w:t>
      </w:r>
      <w:r w:rsidR="00A15744" w:rsidRPr="00E53E01">
        <w:t>d</w:t>
      </w:r>
      <w:r w:rsidRPr="00E53E01">
        <w:t xml:space="preserve">epth </w:t>
      </w:r>
      <w:r w:rsidR="00FA5AD0" w:rsidRPr="00E53E01">
        <w:t>(</w:t>
      </w:r>
      <w:r w:rsidRPr="00E53E01">
        <w:t>AOD</w:t>
      </w:r>
      <w:r w:rsidR="00FA5AD0" w:rsidRPr="00E53E01">
        <w:t>)</w:t>
      </w:r>
      <w:r w:rsidRPr="00E53E01">
        <w:t xml:space="preserve">, a measure of the extinction </w:t>
      </w:r>
      <w:r w:rsidRPr="00E53E01">
        <w:lastRenderedPageBreak/>
        <w:t xml:space="preserve">of solar radiation via particles within the atmosphere </w:t>
      </w:r>
      <w:r w:rsidR="00FA5AD0" w:rsidRPr="00E53E01">
        <w:t>(</w:t>
      </w:r>
      <w:r w:rsidRPr="00E53E01">
        <w:t>e.g., smoke, sea salt, dust</w:t>
      </w:r>
      <w:r w:rsidR="00FA5AD0" w:rsidRPr="00E53E01">
        <w:t>)</w:t>
      </w:r>
      <w:r w:rsidRPr="00E53E01">
        <w:t xml:space="preserve">. AOD is commonly derived from light attenuation measurements by remote sensing instruments, including satellite instruments and ground-based sun photometers such as AERONET. Poor air quality over the </w:t>
      </w:r>
      <w:r w:rsidR="006F45B4" w:rsidRPr="00E53E01">
        <w:t>b</w:t>
      </w:r>
      <w:r w:rsidRPr="00E53E01">
        <w:t xml:space="preserve">ay can be caused by air pollution from industry, power plants, and urban centers [14], but it can also be affected by </w:t>
      </w:r>
      <w:r w:rsidR="006F45B4" w:rsidRPr="00E53E01">
        <w:t xml:space="preserve">the </w:t>
      </w:r>
      <w:r w:rsidRPr="00E53E01">
        <w:t xml:space="preserve">residual effects of distant events. For example, smoke from the 2023 Canadian wildfires led to a significant rise in AOD over the region, resulting in the highest recorded </w:t>
      </w:r>
      <w:r w:rsidR="00A15744" w:rsidRPr="00E53E01">
        <w:rPr>
          <w:u w:color="8969CD"/>
        </w:rPr>
        <w:t>24 h</w:t>
      </w:r>
      <w:r w:rsidRPr="00E53E01">
        <w:t xml:space="preserve"> </w:t>
      </w:r>
      <w:r w:rsidR="006F45B4" w:rsidRPr="00E53E01">
        <w:t>a</w:t>
      </w:r>
      <w:r w:rsidRPr="00E53E01">
        <w:t>ir</w:t>
      </w:r>
      <w:r w:rsidR="00164453" w:rsidRPr="00E53E01">
        <w:t>-</w:t>
      </w:r>
      <w:r w:rsidR="006F45B4" w:rsidRPr="00E53E01">
        <w:t>q</w:t>
      </w:r>
      <w:r w:rsidRPr="00E53E01">
        <w:t xml:space="preserve">uality </w:t>
      </w:r>
      <w:r w:rsidR="006F45B4" w:rsidRPr="00E53E01">
        <w:t>i</w:t>
      </w:r>
      <w:r w:rsidRPr="00E53E01">
        <w:t xml:space="preserve">ndex </w:t>
      </w:r>
      <w:r w:rsidR="00FA5AD0" w:rsidRPr="00E53E01">
        <w:t>(</w:t>
      </w:r>
      <w:r w:rsidRPr="00E53E01">
        <w:t>AQI</w:t>
      </w:r>
      <w:r w:rsidR="00FA5AD0" w:rsidRPr="00E53E01">
        <w:t>)</w:t>
      </w:r>
      <w:r w:rsidRPr="00E53E01">
        <w:t xml:space="preserve"> for fine particulate matter </w:t>
      </w:r>
      <w:r w:rsidR="00FA5AD0" w:rsidRPr="00E53E01">
        <w:t>(</w:t>
      </w:r>
      <w:r w:rsidRPr="00E53E01">
        <w:t>PM2.5</w:t>
      </w:r>
      <w:r w:rsidR="00FA5AD0" w:rsidRPr="00E53E01">
        <w:t>)</w:t>
      </w:r>
      <w:r w:rsidRPr="00E53E01">
        <w:t xml:space="preserve"> in Maryland’s history [15]. The Multi-Angle Implementation of Atmospheric Correction </w:t>
      </w:r>
      <w:r w:rsidR="00FA5AD0" w:rsidRPr="00E53E01">
        <w:t>(</w:t>
      </w:r>
      <w:r w:rsidRPr="00E53E01">
        <w:t>MAIAC</w:t>
      </w:r>
      <w:r w:rsidR="00FA5AD0" w:rsidRPr="00E53E01">
        <w:t>)</w:t>
      </w:r>
      <w:r w:rsidRPr="00E53E01">
        <w:t xml:space="preserve"> is a satellite-derived AOD product that provides high-resolution AOD retrievals from MODIS-Aqua/Terra data. Ground-based sensors are also deployed at airports to continuously monitor air quality and visibility through measurements of aerosol concentrations. The AERONET site in the Chesapeake Bay provides continuous </w:t>
      </w:r>
      <w:r w:rsidRPr="00E53E01">
        <w:rPr>
          <w:iCs/>
        </w:rPr>
        <w:t>in situ</w:t>
      </w:r>
      <w:r w:rsidRPr="00E53E01">
        <w:t xml:space="preserve"> AOD measurements which can be used to verify satellite</w:t>
      </w:r>
      <w:r w:rsidR="006F45B4" w:rsidRPr="00E53E01">
        <w:t>-</w:t>
      </w:r>
      <w:r w:rsidRPr="00E53E01">
        <w:t>derived AOD and improve atmospheric correction models [16].</w:t>
      </w:r>
    </w:p>
    <w:p w14:paraId="055B39D5" w14:textId="2E917F3B" w:rsidR="00176A80" w:rsidRPr="00E53E01" w:rsidRDefault="00176A80" w:rsidP="00466BC0">
      <w:pPr>
        <w:pStyle w:val="MDPI31text"/>
      </w:pPr>
      <w:r w:rsidRPr="00E53E01">
        <w:t xml:space="preserve">While AERONET-OC data are typically used for the validation of satellite-derived aquatic reflectance observations, AERONET-OC also has the potential to provide insight into water quality based on the reflectance measured from the water surface, including estimation of turbidity and total suspended matter </w:t>
      </w:r>
      <w:r w:rsidR="00FA5AD0" w:rsidRPr="00E53E01">
        <w:t>(</w:t>
      </w:r>
      <w:r w:rsidRPr="00E53E01">
        <w:t>TSM</w:t>
      </w:r>
      <w:r w:rsidR="00FA5AD0" w:rsidRPr="00E53E01">
        <w:t>)</w:t>
      </w:r>
      <w:r w:rsidRPr="00E53E01">
        <w:t xml:space="preserve"> concentrations. Elevated TSM reduces light penetration into the water column, limiting the capacity of phytoplankton and seagrass photosynthesis. High TSM also effects fisheries, recreational activity, and overall water quality through the deposition of pollutants such as excess nutrients, heavy metals, and organic contaminants [17]. Parameters affected by TSM such as nutrient and sediment pollution loads, water clarity, and chlorophyll-a are used as indicators for annual water quality reports of the Chesapeake Bay [18]. Despite improvements in water clarity over the </w:t>
      </w:r>
      <w:r w:rsidR="006F45B4" w:rsidRPr="00E53E01">
        <w:t>b</w:t>
      </w:r>
      <w:r w:rsidRPr="00E53E01">
        <w:t xml:space="preserve">ay since the early </w:t>
      </w:r>
      <w:r w:rsidR="00A15744" w:rsidRPr="00E53E01">
        <w:rPr>
          <w:u w:color="8969CD"/>
        </w:rPr>
        <w:t>2000s</w:t>
      </w:r>
      <w:r w:rsidRPr="00E53E01">
        <w:t xml:space="preserve"> [5], high TSM caused by extreme weather events and runoff from snow melts in the spring continue</w:t>
      </w:r>
      <w:r w:rsidR="006F45B4" w:rsidRPr="00E53E01">
        <w:t>s</w:t>
      </w:r>
      <w:r w:rsidRPr="00E53E01">
        <w:t xml:space="preserve"> to impact resources and activities in the </w:t>
      </w:r>
      <w:r w:rsidR="006F45B4" w:rsidRPr="00E53E01">
        <w:t>b</w:t>
      </w:r>
      <w:r w:rsidRPr="00E53E01">
        <w:t>ay.</w:t>
      </w:r>
    </w:p>
    <w:p w14:paraId="17C658F4" w14:textId="4C2947EC" w:rsidR="00176A80" w:rsidRPr="00E53E01" w:rsidRDefault="00176A80" w:rsidP="00466BC0">
      <w:pPr>
        <w:pStyle w:val="MDPI31text"/>
      </w:pPr>
      <w:r w:rsidRPr="00E53E01">
        <w:t xml:space="preserve">In the upper </w:t>
      </w:r>
      <w:r w:rsidR="006F45B4" w:rsidRPr="00E53E01">
        <w:t>b</w:t>
      </w:r>
      <w:r w:rsidRPr="00E53E01">
        <w:t>ay, the outlet of the Susquehanna River is estimated to deliver 1.</w:t>
      </w:r>
      <w:r w:rsidR="006A4550" w:rsidRPr="00E53E01">
        <w:t>3 × 1</w:t>
      </w:r>
      <w:r w:rsidRPr="00E53E01">
        <w:t>0</w:t>
      </w:r>
      <w:r w:rsidRPr="00E53E01">
        <w:rPr>
          <w:vertAlign w:val="superscript"/>
        </w:rPr>
        <w:t>9</w:t>
      </w:r>
      <w:r w:rsidRPr="00E53E01">
        <w:t xml:space="preserve"> kg of sediment annually [19], and diverse urban and agricultural TSM inputs along the shorelines lead to highly variable dispersion of sediments [20]. TSM dispersion, settling</w:t>
      </w:r>
      <w:r w:rsidR="006F45B4" w:rsidRPr="00E53E01">
        <w:t>,</w:t>
      </w:r>
      <w:r w:rsidRPr="00E53E01">
        <w:t xml:space="preserve"> and resuspension are influenced by a host of factors, including wind-driven circulation, tidal currents, flow regimes, sediment character, and chemical aggregation </w:t>
      </w:r>
      <w:r w:rsidR="000A0132" w:rsidRPr="00E53E01">
        <w:t>[21–23</w:t>
      </w:r>
      <w:r w:rsidRPr="00E53E01">
        <w:t xml:space="preserve">]. These processes are further impacted by the presence of submerged aquatic vegetation </w:t>
      </w:r>
      <w:r w:rsidR="00FA5AD0" w:rsidRPr="00E53E01">
        <w:t>(</w:t>
      </w:r>
      <w:r w:rsidRPr="00E53E01">
        <w:t>SAV</w:t>
      </w:r>
      <w:r w:rsidR="00FA5AD0" w:rsidRPr="00E53E01">
        <w:t>)</w:t>
      </w:r>
      <w:r w:rsidRPr="00E53E01">
        <w:t xml:space="preserve">, which can promote the settling of suspended particles and improve water clarity by lowering TSM concentrations [24]. Estuarine turbidity maximum zones can also influence TSM dispersion. These turbidity maximum zones are characterized by elevated sediment resuspension caused by convergent sediment transport, deposition lag, vertical mixing, and aggregate formation that often occur near the head of salinity intrusions into freshwater bodies [23]. The Tolchester Tower AERONET-OC instrument is located in the oligohaline portion of the </w:t>
      </w:r>
      <w:r w:rsidR="006F45B4" w:rsidRPr="00E53E01">
        <w:t>b</w:t>
      </w:r>
      <w:r w:rsidRPr="00E53E01">
        <w:t xml:space="preserve">ay, south of an estuarine turbidity maximum [25] and the SAV-rich Susquehanna Flats [26]. This positioning makes it an ideal location to measure TSM dispersion from the largest tributary feeding into the </w:t>
      </w:r>
      <w:r w:rsidR="006F45B4" w:rsidRPr="00E53E01">
        <w:t>b</w:t>
      </w:r>
      <w:r w:rsidRPr="00E53E01">
        <w:t>ay, the Susquehanna River.</w:t>
      </w:r>
    </w:p>
    <w:p w14:paraId="2F4F4170" w14:textId="2146449A" w:rsidR="00176A80" w:rsidRPr="00E53E01" w:rsidRDefault="00176A80" w:rsidP="00466BC0">
      <w:pPr>
        <w:pStyle w:val="MDPI31text"/>
      </w:pPr>
      <w:r w:rsidRPr="00E53E01">
        <w:t xml:space="preserve">In this study, we evaluate the potential of continuous </w:t>
      </w:r>
      <w:r w:rsidRPr="00E53E01">
        <w:rPr>
          <w:iCs/>
        </w:rPr>
        <w:t>in situ</w:t>
      </w:r>
      <w:r w:rsidRPr="00E53E01">
        <w:t xml:space="preserve"> monitoring by AERONET-OC to complement satellite observations in the monitoring of extreme weather events. We compare the continuous </w:t>
      </w:r>
      <w:r w:rsidRPr="00E53E01">
        <w:rPr>
          <w:iCs/>
        </w:rPr>
        <w:t>in situ</w:t>
      </w:r>
      <w:r w:rsidRPr="00E53E01">
        <w:t xml:space="preserve"> data provided by the AERONET-OC in the Chesapeake Bay with coincident satellite measurements of ocean color, including those derived from </w:t>
      </w:r>
      <w:r w:rsidR="00451531" w:rsidRPr="00E53E01">
        <w:t xml:space="preserve">government sensors: NASA </w:t>
      </w:r>
      <w:r w:rsidRPr="00E53E01">
        <w:t>MODIS</w:t>
      </w:r>
      <w:r w:rsidR="00451531" w:rsidRPr="00E53E01">
        <w:t xml:space="preserve"> onboard Aqua</w:t>
      </w:r>
      <w:r w:rsidRPr="00E53E01">
        <w:t xml:space="preserve">, </w:t>
      </w:r>
      <w:r w:rsidR="00451531" w:rsidRPr="00E53E01">
        <w:t xml:space="preserve">NASA/NOAA </w:t>
      </w:r>
      <w:r w:rsidRPr="00E53E01">
        <w:t xml:space="preserve">VIIRS </w:t>
      </w:r>
      <w:r w:rsidR="00FA5AD0" w:rsidRPr="00E53E01">
        <w:t>(</w:t>
      </w:r>
      <w:r w:rsidRPr="00E53E01">
        <w:t>Visible Infrared Imaging Radiometer Suite</w:t>
      </w:r>
      <w:r w:rsidR="00FA5AD0" w:rsidRPr="00E53E01">
        <w:t>)</w:t>
      </w:r>
      <w:r w:rsidR="00451531" w:rsidRPr="00E53E01">
        <w:t xml:space="preserve"> onboard Suomi NPP</w:t>
      </w:r>
      <w:r w:rsidRPr="00E53E01">
        <w:t xml:space="preserve">, </w:t>
      </w:r>
      <w:r w:rsidR="00451531" w:rsidRPr="00E53E01">
        <w:t xml:space="preserve">ESA </w:t>
      </w:r>
      <w:r w:rsidRPr="00E53E01">
        <w:t xml:space="preserve">OLCI-S3A/S3B </w:t>
      </w:r>
      <w:r w:rsidR="00FA5AD0" w:rsidRPr="00E53E01">
        <w:t>(</w:t>
      </w:r>
      <w:r w:rsidRPr="00E53E01">
        <w:t xml:space="preserve">Ocean and Land </w:t>
      </w:r>
      <w:r w:rsidR="00A15744" w:rsidRPr="00E53E01">
        <w:rPr>
          <w:u w:color="EEB1D5"/>
        </w:rPr>
        <w:t>Colour</w:t>
      </w:r>
      <w:r w:rsidRPr="00E53E01">
        <w:t xml:space="preserve"> Instrument, </w:t>
      </w:r>
      <w:r w:rsidR="00451531" w:rsidRPr="00E53E01">
        <w:t xml:space="preserve">onboard </w:t>
      </w:r>
      <w:r w:rsidRPr="00E53E01">
        <w:t>Sentinel-3A/B</w:t>
      </w:r>
      <w:r w:rsidR="00FA5AD0" w:rsidRPr="00E53E01">
        <w:t>)</w:t>
      </w:r>
      <w:r w:rsidRPr="00E53E01">
        <w:t xml:space="preserve">, and </w:t>
      </w:r>
      <w:r w:rsidR="00451531" w:rsidRPr="00E53E01">
        <w:t>NASA Ocea</w:t>
      </w:r>
      <w:r w:rsidR="00F76D78" w:rsidRPr="00E53E01">
        <w:t>n</w:t>
      </w:r>
      <w:r w:rsidR="00451531" w:rsidRPr="00E53E01">
        <w:t xml:space="preserve"> Color Instrument onboard </w:t>
      </w:r>
      <w:r w:rsidRPr="00E53E01">
        <w:t xml:space="preserve">PACE </w:t>
      </w:r>
      <w:r w:rsidR="00FA5AD0" w:rsidRPr="00E53E01">
        <w:t>(</w:t>
      </w:r>
      <w:r w:rsidRPr="00E53E01">
        <w:t>Plankton, Aerosol, Cloud, ocean Ecosystem</w:t>
      </w:r>
      <w:r w:rsidR="00FA5AD0" w:rsidRPr="00E53E01">
        <w:t>)</w:t>
      </w:r>
      <w:r w:rsidRPr="00E53E01">
        <w:t xml:space="preserve">. In particular, we focus on two plumes following extreme weather events: high turbidity following </w:t>
      </w:r>
      <w:r w:rsidRPr="00E53E01">
        <w:lastRenderedPageBreak/>
        <w:t>consecutive storm events and the spring freshet in 2024 for a case study of TSM variability</w:t>
      </w:r>
      <w:r w:rsidR="006F45B4" w:rsidRPr="00E53E01">
        <w:t>,</w:t>
      </w:r>
      <w:r w:rsidRPr="00E53E01">
        <w:t xml:space="preserve"> and high levels of atmospheric smoke from the 2023 Canadian </w:t>
      </w:r>
      <w:r w:rsidR="006F45B4" w:rsidRPr="00E53E01">
        <w:t>w</w:t>
      </w:r>
      <w:r w:rsidRPr="00E53E01">
        <w:t xml:space="preserve">ildfires for a case study of AOD variability. Continuous </w:t>
      </w:r>
      <w:r w:rsidRPr="00E53E01">
        <w:rPr>
          <w:iCs/>
        </w:rPr>
        <w:t>in situ</w:t>
      </w:r>
      <w:r w:rsidRPr="00E53E01">
        <w:t xml:space="preserve"> point</w:t>
      </w:r>
      <w:r w:rsidR="006F45B4" w:rsidRPr="00E53E01">
        <w:t>-</w:t>
      </w:r>
      <w:r w:rsidRPr="00E53E01">
        <w:t>source measurements from AERONET-OC help characterize atmospheric and aquatic features and ha</w:t>
      </w:r>
      <w:r w:rsidR="006F45B4" w:rsidRPr="00E53E01">
        <w:t>ve</w:t>
      </w:r>
      <w:r w:rsidRPr="00E53E01">
        <w:t xml:space="preserve"> the potential to fill observational gaps in the satellite record.</w:t>
      </w:r>
    </w:p>
    <w:p w14:paraId="0E8E3364" w14:textId="5E6101DF" w:rsidR="00176A80" w:rsidRPr="00E53E01" w:rsidRDefault="00466BC0" w:rsidP="00466BC0">
      <w:pPr>
        <w:pStyle w:val="MDPI21heading1"/>
      </w:pPr>
      <w:r w:rsidRPr="00E53E01">
        <w:rPr>
          <w:lang w:eastAsia="zh-CN"/>
        </w:rPr>
        <w:t xml:space="preserve">2. </w:t>
      </w:r>
      <w:r w:rsidR="00176A80" w:rsidRPr="00E53E01">
        <w:t>Materials and Methods</w:t>
      </w:r>
    </w:p>
    <w:p w14:paraId="005644AB" w14:textId="01F7EF1A" w:rsidR="00176A80" w:rsidRPr="00E53E01" w:rsidRDefault="00466BC0" w:rsidP="00466BC0">
      <w:pPr>
        <w:pStyle w:val="MDPI22heading2"/>
      </w:pPr>
      <w:r w:rsidRPr="00E53E01">
        <w:t xml:space="preserve">2.1. </w:t>
      </w:r>
      <w:r w:rsidR="00176A80" w:rsidRPr="00E53E01">
        <w:t>AERONET-OC Data</w:t>
      </w:r>
    </w:p>
    <w:p w14:paraId="08951696" w14:textId="604E2305" w:rsidR="00176A80" w:rsidRPr="00E53E01" w:rsidRDefault="00176A80" w:rsidP="00176853">
      <w:pPr>
        <w:pStyle w:val="MDPI31text"/>
        <w:rPr>
          <w:spacing w:val="-4"/>
        </w:rPr>
      </w:pPr>
      <w:r w:rsidRPr="00E53E01">
        <w:rPr>
          <w:spacing w:val="-4"/>
        </w:rPr>
        <w:t xml:space="preserve">Data from the AERONET-OC sensor at Tolchester Tower were obtained from the NASA Goddard Space Flight Center AERONET website </w:t>
      </w:r>
      <w:r w:rsidR="00FA5AD0" w:rsidRPr="00E53E01">
        <w:rPr>
          <w:spacing w:val="-4"/>
        </w:rPr>
        <w:t>(</w:t>
      </w:r>
      <w:r w:rsidRPr="00E53E01">
        <w:rPr>
          <w:spacing w:val="-4"/>
        </w:rPr>
        <w:t>https://aeronet.gsfc.nasa.gov/</w:t>
      </w:r>
      <w:r w:rsidR="00CD4B6B" w:rsidRPr="00E53E01">
        <w:rPr>
          <w:spacing w:val="-4"/>
        </w:rPr>
        <w:t xml:space="preserve"> </w:t>
      </w:r>
      <w:r w:rsidR="00CD4B6B" w:rsidRPr="00E53E01">
        <w:rPr>
          <w:rStyle w:val="normaltextrun"/>
          <w:rFonts w:cs="Segoe UI"/>
          <w:color w:val="auto"/>
          <w:spacing w:val="-4"/>
          <w:szCs w:val="18"/>
        </w:rPr>
        <w:t>(accessed on 18 May 2025)</w:t>
      </w:r>
      <w:r w:rsidR="00FA5AD0" w:rsidRPr="00E53E01">
        <w:rPr>
          <w:spacing w:val="-4"/>
        </w:rPr>
        <w:t>)</w:t>
      </w:r>
      <w:r w:rsidRPr="00E53E01">
        <w:rPr>
          <w:spacing w:val="-4"/>
        </w:rPr>
        <w:t>. The data were retrieved in Level</w:t>
      </w:r>
      <w:r w:rsidR="00164453" w:rsidRPr="00E53E01">
        <w:rPr>
          <w:spacing w:val="-4"/>
        </w:rPr>
        <w:t>-</w:t>
      </w:r>
      <w:r w:rsidRPr="00E53E01">
        <w:rPr>
          <w:spacing w:val="-4"/>
        </w:rPr>
        <w:t xml:space="preserve">1.5 format, which undergoes additional processing, including cloud screening and quality assurance [12]. These measurements provide aerosol microphysical and optical properties, as well as normalized water-leaving radiance </w:t>
      </w:r>
      <w:r w:rsidR="00FA5AD0" w:rsidRPr="00E53E01">
        <w:rPr>
          <w:spacing w:val="-4"/>
        </w:rPr>
        <w:t>(</w:t>
      </w:r>
      <w:proofErr w:type="spellStart"/>
      <w:r w:rsidRPr="00E53E01">
        <w:rPr>
          <w:spacing w:val="-4"/>
        </w:rPr>
        <w:t>nL</w:t>
      </w:r>
      <w:r w:rsidRPr="00E53E01">
        <w:rPr>
          <w:spacing w:val="-4"/>
          <w:vertAlign w:val="subscript"/>
        </w:rPr>
        <w:t>w</w:t>
      </w:r>
      <w:proofErr w:type="spellEnd"/>
      <w:r w:rsidR="00FA5AD0" w:rsidRPr="00E53E01">
        <w:rPr>
          <w:spacing w:val="-4"/>
        </w:rPr>
        <w:t>)</w:t>
      </w:r>
      <w:r w:rsidRPr="00E53E01">
        <w:rPr>
          <w:spacing w:val="-4"/>
        </w:rPr>
        <w:t xml:space="preserve"> data, collected at approximately five-minute intervals. Remote sensing reflectance </w:t>
      </w:r>
      <w:r w:rsidR="00FA5AD0" w:rsidRPr="00E53E01">
        <w:rPr>
          <w:spacing w:val="-4"/>
        </w:rPr>
        <w:t>(</w:t>
      </w:r>
      <w:r w:rsidRPr="00E53E01">
        <w:rPr>
          <w:spacing w:val="-4"/>
        </w:rPr>
        <w:t>R</w:t>
      </w:r>
      <w:r w:rsidRPr="00E53E01">
        <w:rPr>
          <w:spacing w:val="-4"/>
          <w:vertAlign w:val="subscript"/>
        </w:rPr>
        <w:t>rs</w:t>
      </w:r>
      <w:r w:rsidR="00FA5AD0" w:rsidRPr="00E53E01">
        <w:rPr>
          <w:spacing w:val="-4"/>
        </w:rPr>
        <w:t>)</w:t>
      </w:r>
      <w:r w:rsidRPr="00E53E01">
        <w:rPr>
          <w:spacing w:val="-4"/>
        </w:rPr>
        <w:t xml:space="preserve"> was calculated from</w:t>
      </w:r>
      <w:r w:rsidRPr="00E53E01">
        <w:rPr>
          <w:i/>
          <w:iCs/>
          <w:spacing w:val="-4"/>
        </w:rPr>
        <w:t xml:space="preserve"> </w:t>
      </w:r>
      <w:r w:rsidRPr="00E53E01">
        <w:rPr>
          <w:spacing w:val="-4"/>
        </w:rPr>
        <w:t>nL</w:t>
      </w:r>
      <w:r w:rsidRPr="00E53E01">
        <w:rPr>
          <w:spacing w:val="-4"/>
          <w:vertAlign w:val="subscript"/>
        </w:rPr>
        <w:t>w</w:t>
      </w:r>
      <w:r w:rsidRPr="00E53E01">
        <w:rPr>
          <w:spacing w:val="-4"/>
        </w:rPr>
        <w:t xml:space="preserve"> using spectrally convolved top-of-atmosphere irradiance </w:t>
      </w:r>
      <w:r w:rsidR="00FA5AD0" w:rsidRPr="00E53E01">
        <w:rPr>
          <w:spacing w:val="-4"/>
        </w:rPr>
        <w:t>(</w:t>
      </w:r>
      <w:r w:rsidRPr="00E53E01">
        <w:rPr>
          <w:spacing w:val="-4"/>
        </w:rPr>
        <w:t>F</w:t>
      </w:r>
      <w:r w:rsidRPr="00E53E01">
        <w:rPr>
          <w:spacing w:val="-4"/>
          <w:vertAlign w:val="subscript"/>
        </w:rPr>
        <w:t>0</w:t>
      </w:r>
      <w:r w:rsidR="00FA5AD0" w:rsidRPr="00E53E01">
        <w:rPr>
          <w:spacing w:val="-4"/>
        </w:rPr>
        <w:t>)</w:t>
      </w:r>
      <w:r w:rsidRPr="00E53E01">
        <w:rPr>
          <w:spacing w:val="-4"/>
        </w:rPr>
        <w:t xml:space="preserve"> </w:t>
      </w:r>
      <w:r w:rsidR="00FA5AD0" w:rsidRPr="00E53E01">
        <w:rPr>
          <w:spacing w:val="-4"/>
        </w:rPr>
        <w:t>(</w:t>
      </w:r>
      <w:r w:rsidRPr="00E53E01">
        <w:rPr>
          <w:spacing w:val="-4"/>
        </w:rPr>
        <w:t xml:space="preserve">Equation </w:t>
      </w:r>
      <w:r w:rsidR="00FA5AD0" w:rsidRPr="00E53E01">
        <w:rPr>
          <w:spacing w:val="-4"/>
        </w:rPr>
        <w:t>(</w:t>
      </w:r>
      <w:r w:rsidRPr="00E53E01">
        <w:rPr>
          <w:spacing w:val="-4"/>
        </w:rPr>
        <w:t>1</w:t>
      </w:r>
      <w:r w:rsidR="00FA5AD0" w:rsidRPr="00E53E01">
        <w:rPr>
          <w:spacing w:val="-4"/>
        </w:rPr>
        <w:t>))</w:t>
      </w:r>
      <w:r w:rsidRPr="00E53E01">
        <w:rPr>
          <w:spacing w:val="-4"/>
        </w:rPr>
        <w:t>:</w:t>
      </w:r>
    </w:p>
    <w:tbl>
      <w:tblPr>
        <w:tblStyle w:val="TableGrid"/>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176853" w:rsidRPr="00E53E01" w14:paraId="45BBEBFD" w14:textId="77777777" w:rsidTr="00176853">
        <w:trPr>
          <w:cantSplit/>
          <w:trHeight w:val="340"/>
        </w:trPr>
        <w:tc>
          <w:tcPr>
            <w:tcW w:w="7426" w:type="dxa"/>
            <w:shd w:val="clear" w:color="auto" w:fill="auto"/>
            <w:vAlign w:val="center"/>
          </w:tcPr>
          <w:p w14:paraId="29C2C797" w14:textId="1C8DC649" w:rsidR="00176853" w:rsidRPr="00E53E01" w:rsidRDefault="00176853" w:rsidP="00176853">
            <w:pPr>
              <w:pStyle w:val="MDPI31text"/>
              <w:spacing w:before="120" w:after="120" w:line="260" w:lineRule="atLeast"/>
              <w:ind w:left="706" w:firstLine="0"/>
              <w:jc w:val="center"/>
            </w:pPr>
            <w:r w:rsidRPr="00E53E01">
              <w:rPr>
                <w:i/>
                <w:iCs/>
              </w:rPr>
              <w:t>R</w:t>
            </w:r>
            <w:r w:rsidRPr="00E53E01">
              <w:rPr>
                <w:i/>
                <w:iCs/>
                <w:vertAlign w:val="subscript"/>
              </w:rPr>
              <w:t>rs</w:t>
            </w:r>
            <w:r w:rsidRPr="00E53E01">
              <w:rPr>
                <w:i/>
                <w:iCs/>
              </w:rPr>
              <w:t xml:space="preserve"> = nL</w:t>
            </w:r>
            <w:r w:rsidRPr="00E53E01">
              <w:rPr>
                <w:i/>
                <w:iCs/>
                <w:vertAlign w:val="subscript"/>
              </w:rPr>
              <w:t>w</w:t>
            </w:r>
            <w:r w:rsidRPr="00E53E01">
              <w:rPr>
                <w:i/>
                <w:iCs/>
              </w:rPr>
              <w:t>/F</w:t>
            </w:r>
            <w:r w:rsidRPr="00E53E01">
              <w:rPr>
                <w:vertAlign w:val="subscript"/>
              </w:rPr>
              <w:t>0</w:t>
            </w:r>
            <w:r w:rsidR="00AB179C" w:rsidRPr="00E53E01">
              <w:rPr>
                <w:szCs w:val="20"/>
              </w:rPr>
              <w:t>,</w:t>
            </w:r>
          </w:p>
        </w:tc>
        <w:tc>
          <w:tcPr>
            <w:tcW w:w="430" w:type="dxa"/>
            <w:shd w:val="clear" w:color="auto" w:fill="auto"/>
            <w:vAlign w:val="center"/>
          </w:tcPr>
          <w:p w14:paraId="306FA28E" w14:textId="51105301" w:rsidR="00176853" w:rsidRPr="00E53E01" w:rsidRDefault="00FA5AD0" w:rsidP="00176853">
            <w:pPr>
              <w:pStyle w:val="MDPI31text"/>
              <w:spacing w:before="120" w:after="120" w:line="260" w:lineRule="atLeast"/>
              <w:ind w:left="0" w:firstLine="0"/>
              <w:jc w:val="right"/>
            </w:pPr>
            <w:r w:rsidRPr="00E53E01">
              <w:t>(</w:t>
            </w:r>
            <w:fldSimple w:instr=" seq EquationSeq \* \Arabic ">
              <w:r w:rsidR="002954AB" w:rsidRPr="00E53E01">
                <w:rPr>
                  <w:noProof/>
                </w:rPr>
                <w:t>1</w:t>
              </w:r>
            </w:fldSimple>
            <w:r w:rsidRPr="00E53E01">
              <w:t>)</w:t>
            </w:r>
          </w:p>
        </w:tc>
      </w:tr>
    </w:tbl>
    <w:p w14:paraId="045BDD3B" w14:textId="53E6A1B3" w:rsidR="00176A80" w:rsidRPr="00E53E01" w:rsidRDefault="00176A80" w:rsidP="00176853">
      <w:pPr>
        <w:pStyle w:val="MDPI31text"/>
      </w:pPr>
      <w:r w:rsidRPr="00E53E01">
        <w:t xml:space="preserve">In this equation, </w:t>
      </w:r>
      <w:r w:rsidRPr="00E53E01">
        <w:rPr>
          <w:i/>
          <w:iCs/>
        </w:rPr>
        <w:t>F</w:t>
      </w:r>
      <w:r w:rsidRPr="00E53E01">
        <w:rPr>
          <w:vertAlign w:val="subscript"/>
        </w:rPr>
        <w:t>0</w:t>
      </w:r>
      <w:r w:rsidRPr="00E53E01">
        <w:t xml:space="preserve"> has been adjusted for the instrument’s specific spectral characteristics </w:t>
      </w:r>
      <w:r w:rsidR="00FA5AD0" w:rsidRPr="00E53E01">
        <w:t>(</w:t>
      </w:r>
      <w:r w:rsidRPr="00E53E01">
        <w:t xml:space="preserve">Equation </w:t>
      </w:r>
      <w:r w:rsidR="00FA5AD0" w:rsidRPr="00E53E01">
        <w:t>(</w:t>
      </w:r>
      <w:r w:rsidRPr="00E53E01">
        <w:t>2</w:t>
      </w:r>
      <w:r w:rsidR="00FA5AD0" w:rsidRPr="00E53E01">
        <w:t>))</w:t>
      </w:r>
      <w:r w:rsidRPr="00E53E01">
        <w:t xml:space="preserve">, as well as day-of-year adjustment </w:t>
      </w:r>
      <w:r w:rsidR="00FA5AD0" w:rsidRPr="00E53E01">
        <w:t>(</w:t>
      </w:r>
      <w:r w:rsidRPr="00E53E01">
        <w:t>dES</w:t>
      </w:r>
      <w:r w:rsidR="00FA5AD0" w:rsidRPr="00E53E01">
        <w:t>)</w:t>
      </w:r>
      <w:r w:rsidRPr="00E53E01">
        <w:t xml:space="preserve"> </w:t>
      </w:r>
      <w:r w:rsidR="00FA5AD0" w:rsidRPr="00E53E01">
        <w:t>(</w:t>
      </w:r>
      <w:r w:rsidRPr="00E53E01">
        <w:t xml:space="preserve">Equation </w:t>
      </w:r>
      <w:r w:rsidR="00FA5AD0" w:rsidRPr="00E53E01">
        <w:t>(</w:t>
      </w:r>
      <w:r w:rsidRPr="00E53E01">
        <w:t>3</w:t>
      </w:r>
      <w:r w:rsidR="00FA5AD0" w:rsidRPr="00E53E01">
        <w:t>))</w:t>
      </w:r>
      <w:r w:rsidRPr="00E53E01">
        <w:t>, which accounts for variations in Earth</w:t>
      </w:r>
      <w:r w:rsidR="003C19A5" w:rsidRPr="00E53E01">
        <w:t>’</w:t>
      </w:r>
      <w:r w:rsidRPr="00E53E01">
        <w:t>s orbit throughout the year:</w:t>
      </w:r>
    </w:p>
    <w:tbl>
      <w:tblPr>
        <w:tblStyle w:val="TableGrid"/>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176853" w:rsidRPr="00E53E01" w14:paraId="2B33462E" w14:textId="77777777" w:rsidTr="00176853">
        <w:trPr>
          <w:cantSplit/>
          <w:trHeight w:val="340"/>
        </w:trPr>
        <w:tc>
          <w:tcPr>
            <w:tcW w:w="7426" w:type="dxa"/>
            <w:shd w:val="clear" w:color="auto" w:fill="auto"/>
            <w:vAlign w:val="center"/>
          </w:tcPr>
          <w:p w14:paraId="6A055BA6" w14:textId="0E494729" w:rsidR="00176853" w:rsidRPr="00E53E01" w:rsidRDefault="00176853" w:rsidP="00176853">
            <w:pPr>
              <w:pStyle w:val="MDPI31text"/>
              <w:spacing w:before="120" w:after="120" w:line="260" w:lineRule="atLeast"/>
              <w:ind w:left="706" w:firstLine="0"/>
              <w:jc w:val="center"/>
            </w:pPr>
            <w:r w:rsidRPr="00E53E01">
              <w:rPr>
                <w:rFonts w:cstheme="minorHAnsi"/>
                <w:i/>
                <w:iCs/>
                <w:szCs w:val="20"/>
              </w:rPr>
              <w:t>F</w:t>
            </w:r>
            <w:r w:rsidRPr="00E53E01">
              <w:rPr>
                <w:rFonts w:cstheme="minorHAnsi"/>
                <w:szCs w:val="20"/>
                <w:vertAlign w:val="subscript"/>
              </w:rPr>
              <w:t>0</w:t>
            </w:r>
            <w:r w:rsidRPr="00E53E01">
              <w:rPr>
                <w:rFonts w:cstheme="minorHAnsi"/>
                <w:i/>
                <w:iCs/>
                <w:szCs w:val="20"/>
              </w:rPr>
              <w:t xml:space="preserve"> = f</w:t>
            </w:r>
            <w:r w:rsidRPr="00E53E01">
              <w:rPr>
                <w:rFonts w:cstheme="minorHAnsi"/>
                <w:szCs w:val="20"/>
                <w:vertAlign w:val="subscript"/>
              </w:rPr>
              <w:t>0</w:t>
            </w:r>
            <w:r w:rsidRPr="00E53E01">
              <w:rPr>
                <w:rFonts w:cstheme="minorHAnsi"/>
                <w:i/>
                <w:iCs/>
                <w:szCs w:val="20"/>
              </w:rPr>
              <w:t xml:space="preserve"> </w:t>
            </w:r>
            <w:r w:rsidRPr="00E53E01">
              <w:rPr>
                <w:rFonts w:cstheme="minorHAnsi"/>
                <w:szCs w:val="20"/>
              </w:rPr>
              <w:t xml:space="preserve">• </w:t>
            </w:r>
            <w:proofErr w:type="spellStart"/>
            <w:r w:rsidRPr="00E53E01">
              <w:rPr>
                <w:rFonts w:cstheme="minorHAnsi"/>
                <w:i/>
                <w:iCs/>
                <w:szCs w:val="20"/>
              </w:rPr>
              <w:t>dES</w:t>
            </w:r>
            <w:proofErr w:type="spellEnd"/>
            <w:r w:rsidR="00AB179C" w:rsidRPr="00E53E01">
              <w:rPr>
                <w:szCs w:val="20"/>
              </w:rPr>
              <w:t>,</w:t>
            </w:r>
          </w:p>
        </w:tc>
        <w:tc>
          <w:tcPr>
            <w:tcW w:w="430" w:type="dxa"/>
            <w:shd w:val="clear" w:color="auto" w:fill="auto"/>
            <w:vAlign w:val="center"/>
          </w:tcPr>
          <w:p w14:paraId="6A99D953" w14:textId="1E9325A1" w:rsidR="00176853" w:rsidRPr="00E53E01" w:rsidRDefault="00FA5AD0" w:rsidP="00176853">
            <w:pPr>
              <w:pStyle w:val="MDPI31text"/>
              <w:spacing w:before="120" w:after="120" w:line="260" w:lineRule="atLeast"/>
              <w:ind w:left="0" w:firstLine="0"/>
              <w:jc w:val="right"/>
            </w:pPr>
            <w:r w:rsidRPr="00E53E01">
              <w:t>(</w:t>
            </w:r>
            <w:fldSimple w:instr=" seq EquationSeq \* \Arabic ">
              <w:r w:rsidR="002954AB" w:rsidRPr="00E53E01">
                <w:rPr>
                  <w:noProof/>
                </w:rPr>
                <w:t>2</w:t>
              </w:r>
            </w:fldSimple>
            <w:r w:rsidRPr="00E53E01">
              <w:t>)</w:t>
            </w:r>
          </w:p>
        </w:tc>
      </w:tr>
      <w:tr w:rsidR="00176853" w:rsidRPr="00E53E01" w14:paraId="5675A45A" w14:textId="77777777" w:rsidTr="00176853">
        <w:trPr>
          <w:cantSplit/>
          <w:trHeight w:val="340"/>
        </w:trPr>
        <w:tc>
          <w:tcPr>
            <w:tcW w:w="7426" w:type="dxa"/>
            <w:shd w:val="clear" w:color="auto" w:fill="auto"/>
            <w:vAlign w:val="center"/>
          </w:tcPr>
          <w:p w14:paraId="3833D3FD" w14:textId="3F3B3EBC" w:rsidR="00176853" w:rsidRPr="00E53E01" w:rsidRDefault="00176853" w:rsidP="00176853">
            <w:pPr>
              <w:pStyle w:val="MDPI31text"/>
              <w:spacing w:before="120" w:after="120" w:line="260" w:lineRule="atLeast"/>
              <w:ind w:left="706" w:firstLine="0"/>
              <w:jc w:val="center"/>
            </w:pPr>
            <w:proofErr w:type="spellStart"/>
            <w:r w:rsidRPr="00E53E01">
              <w:rPr>
                <w:rFonts w:cstheme="minorHAnsi"/>
                <w:i/>
                <w:iCs/>
                <w:szCs w:val="20"/>
              </w:rPr>
              <w:t>dES</w:t>
            </w:r>
            <w:proofErr w:type="spellEnd"/>
            <w:r w:rsidRPr="00E53E01">
              <w:rPr>
                <w:rFonts w:cstheme="minorHAnsi"/>
                <w:i/>
                <w:iCs/>
                <w:szCs w:val="20"/>
              </w:rPr>
              <w:t xml:space="preserve"> = </w:t>
            </w:r>
            <w:r w:rsidRPr="00E53E01">
              <w:rPr>
                <w:rFonts w:cstheme="minorHAnsi"/>
                <w:szCs w:val="20"/>
              </w:rPr>
              <w:t>1</w:t>
            </w:r>
            <w:r w:rsidR="003C19A5" w:rsidRPr="00E53E01">
              <w:rPr>
                <w:rFonts w:cstheme="minorHAnsi"/>
                <w:szCs w:val="20"/>
              </w:rPr>
              <w:t xml:space="preserve"> − </w:t>
            </w:r>
            <w:proofErr w:type="spellStart"/>
            <w:r w:rsidRPr="00E53E01">
              <w:rPr>
                <w:rFonts w:cstheme="minorHAnsi"/>
                <w:i/>
                <w:iCs/>
                <w:szCs w:val="20"/>
              </w:rPr>
              <w:t>ecc</w:t>
            </w:r>
            <w:proofErr w:type="spellEnd"/>
            <w:r w:rsidRPr="00E53E01">
              <w:rPr>
                <w:rFonts w:cstheme="minorHAnsi"/>
                <w:i/>
                <w:iCs/>
                <w:szCs w:val="20"/>
              </w:rPr>
              <w:t xml:space="preserve"> </w:t>
            </w:r>
            <w:r w:rsidRPr="00E53E01">
              <w:rPr>
                <w:rFonts w:cstheme="minorHAnsi"/>
                <w:szCs w:val="20"/>
              </w:rPr>
              <w:t>• cos</w:t>
            </w:r>
            <w:r w:rsidR="00FA5AD0" w:rsidRPr="00E53E01">
              <w:rPr>
                <w:rFonts w:cstheme="minorHAnsi"/>
                <w:szCs w:val="20"/>
              </w:rPr>
              <w:t>(</w:t>
            </w:r>
            <w:proofErr w:type="spellStart"/>
            <w:r w:rsidRPr="00E53E01">
              <w:rPr>
                <w:rFonts w:cstheme="minorHAnsi"/>
                <w:i/>
                <w:iCs/>
                <w:szCs w:val="20"/>
              </w:rPr>
              <w:t>k</w:t>
            </w:r>
            <w:r w:rsidRPr="00E53E01">
              <w:rPr>
                <w:rFonts w:cstheme="minorHAnsi"/>
                <w:i/>
                <w:iCs/>
                <w:szCs w:val="20"/>
                <w:vertAlign w:val="subscript"/>
              </w:rPr>
              <w:t>day</w:t>
            </w:r>
            <w:proofErr w:type="spellEnd"/>
            <w:r w:rsidR="00944C45" w:rsidRPr="00E53E01">
              <w:rPr>
                <w:rFonts w:cstheme="minorHAnsi"/>
                <w:i/>
                <w:iCs/>
                <w:szCs w:val="20"/>
              </w:rPr>
              <w:t xml:space="preserve"> </w:t>
            </w:r>
            <w:r w:rsidRPr="00E53E01">
              <w:rPr>
                <w:rFonts w:cstheme="minorHAnsi"/>
                <w:szCs w:val="20"/>
              </w:rPr>
              <w:t>•</w:t>
            </w:r>
            <w:r w:rsidRPr="00E53E01">
              <w:rPr>
                <w:rFonts w:cstheme="minorHAnsi"/>
                <w:i/>
                <w:iCs/>
                <w:szCs w:val="20"/>
              </w:rPr>
              <w:t xml:space="preserve"> </w:t>
            </w:r>
            <w:r w:rsidR="00FA5AD0" w:rsidRPr="00E53E01">
              <w:rPr>
                <w:rFonts w:cstheme="minorHAnsi"/>
                <w:szCs w:val="20"/>
              </w:rPr>
              <w:t>(</w:t>
            </w:r>
            <w:r w:rsidRPr="00E53E01">
              <w:rPr>
                <w:rFonts w:cstheme="minorHAnsi"/>
                <w:i/>
                <w:iCs/>
                <w:szCs w:val="20"/>
              </w:rPr>
              <w:t>day</w:t>
            </w:r>
            <w:r w:rsidRPr="00E53E01">
              <w:rPr>
                <w:rFonts w:cstheme="minorHAnsi"/>
                <w:i/>
                <w:iCs/>
                <w:szCs w:val="20"/>
                <w:vertAlign w:val="subscript"/>
              </w:rPr>
              <w:t>of</w:t>
            </w:r>
            <w:r w:rsidR="00944C45" w:rsidRPr="00E53E01">
              <w:rPr>
                <w:rFonts w:cstheme="minorHAnsi"/>
                <w:i/>
                <w:iCs/>
                <w:szCs w:val="20"/>
              </w:rPr>
              <w:t xml:space="preserve"> </w:t>
            </w:r>
            <w:r w:rsidRPr="00E53E01">
              <w:rPr>
                <w:rFonts w:cstheme="minorHAnsi"/>
                <w:i/>
                <w:iCs/>
                <w:szCs w:val="20"/>
                <w:vertAlign w:val="subscript"/>
              </w:rPr>
              <w:t>year</w:t>
            </w:r>
            <w:r w:rsidR="003C19A5" w:rsidRPr="00E53E01">
              <w:rPr>
                <w:rFonts w:cstheme="minorHAnsi"/>
                <w:i/>
                <w:iCs/>
                <w:szCs w:val="20"/>
              </w:rPr>
              <w:t xml:space="preserve"> − </w:t>
            </w:r>
            <w:r w:rsidRPr="00E53E01">
              <w:rPr>
                <w:rFonts w:cstheme="minorHAnsi"/>
                <w:i/>
                <w:iCs/>
                <w:szCs w:val="20"/>
              </w:rPr>
              <w:t>day</w:t>
            </w:r>
            <w:r w:rsidRPr="00E53E01">
              <w:rPr>
                <w:rFonts w:cstheme="minorHAnsi"/>
                <w:i/>
                <w:iCs/>
                <w:szCs w:val="20"/>
                <w:vertAlign w:val="subscript"/>
              </w:rPr>
              <w:t>of</w:t>
            </w:r>
            <w:r w:rsidR="00944C45" w:rsidRPr="00E53E01">
              <w:rPr>
                <w:rFonts w:cstheme="minorHAnsi"/>
                <w:i/>
                <w:iCs/>
                <w:szCs w:val="20"/>
              </w:rPr>
              <w:t xml:space="preserve"> </w:t>
            </w:r>
            <w:r w:rsidRPr="00E53E01">
              <w:rPr>
                <w:rFonts w:cstheme="minorHAnsi"/>
                <w:i/>
                <w:iCs/>
                <w:szCs w:val="20"/>
                <w:vertAlign w:val="subscript"/>
              </w:rPr>
              <w:t>perihelion</w:t>
            </w:r>
            <w:r w:rsidR="00FA5AD0" w:rsidRPr="00E53E01">
              <w:rPr>
                <w:rFonts w:cstheme="minorHAnsi"/>
                <w:szCs w:val="20"/>
              </w:rPr>
              <w:t>))</w:t>
            </w:r>
            <w:r w:rsidR="00AB179C" w:rsidRPr="00E53E01">
              <w:rPr>
                <w:szCs w:val="20"/>
              </w:rPr>
              <w:t>,</w:t>
            </w:r>
          </w:p>
        </w:tc>
        <w:tc>
          <w:tcPr>
            <w:tcW w:w="430" w:type="dxa"/>
            <w:shd w:val="clear" w:color="auto" w:fill="auto"/>
            <w:vAlign w:val="center"/>
          </w:tcPr>
          <w:p w14:paraId="37586DB6" w14:textId="13B0C1EC" w:rsidR="00176853" w:rsidRPr="00E53E01" w:rsidRDefault="00FA5AD0" w:rsidP="00176853">
            <w:pPr>
              <w:pStyle w:val="MDPI31text"/>
              <w:spacing w:before="120" w:after="120" w:line="260" w:lineRule="atLeast"/>
              <w:ind w:left="0" w:firstLine="0"/>
              <w:jc w:val="right"/>
            </w:pPr>
            <w:r w:rsidRPr="00E53E01">
              <w:t>(</w:t>
            </w:r>
            <w:fldSimple w:instr=" seq EquationSeq \* \Arabic ">
              <w:r w:rsidR="002954AB" w:rsidRPr="00E53E01">
                <w:rPr>
                  <w:noProof/>
                </w:rPr>
                <w:t>3</w:t>
              </w:r>
            </w:fldSimple>
            <w:r w:rsidRPr="00E53E01">
              <w:t>)</w:t>
            </w:r>
          </w:p>
        </w:tc>
      </w:tr>
    </w:tbl>
    <w:p w14:paraId="49E70A9E" w14:textId="15182B7F" w:rsidR="00176A80" w:rsidRPr="00E53E01" w:rsidRDefault="00176A80" w:rsidP="00176853">
      <w:pPr>
        <w:pStyle w:val="MDPI31text"/>
      </w:pPr>
      <w:r w:rsidRPr="00E53E01">
        <w:t xml:space="preserve">Here, </w:t>
      </w:r>
      <w:r w:rsidRPr="00E53E01">
        <w:rPr>
          <w:i/>
          <w:iCs/>
        </w:rPr>
        <w:t>f</w:t>
      </w:r>
      <w:r w:rsidRPr="00E53E01">
        <w:rPr>
          <w:vertAlign w:val="subscript"/>
        </w:rPr>
        <w:t>0</w:t>
      </w:r>
      <w:r w:rsidRPr="00E53E01">
        <w:t xml:space="preserve"> refers to the nominal top-of-atmosphere irradiance, which has been spectrally convolved with the instrument’s </w:t>
      </w:r>
      <w:r w:rsidR="006F45B4" w:rsidRPr="00E53E01">
        <w:t>r</w:t>
      </w:r>
      <w:r w:rsidRPr="00E53E01">
        <w:t xml:space="preserve">elative </w:t>
      </w:r>
      <w:r w:rsidR="006F45B4" w:rsidRPr="00E53E01">
        <w:t>s</w:t>
      </w:r>
      <w:r w:rsidRPr="00E53E01">
        <w:t xml:space="preserve">pectral </w:t>
      </w:r>
      <w:r w:rsidR="006F45B4" w:rsidRPr="00E53E01">
        <w:t>r</w:t>
      </w:r>
      <w:r w:rsidRPr="00E53E01">
        <w:t xml:space="preserve">esponse </w:t>
      </w:r>
      <w:r w:rsidR="00FA5AD0" w:rsidRPr="00E53E01">
        <w:t>(</w:t>
      </w:r>
      <w:r w:rsidRPr="00E53E01">
        <w:t>RSR</w:t>
      </w:r>
      <w:r w:rsidR="00FA5AD0" w:rsidRPr="00E53E01">
        <w:t>)</w:t>
      </w:r>
      <w:r w:rsidRPr="00E53E01">
        <w:t xml:space="preserve">. This convolution ensures that the irradiance values match the sensitivity of the Tolchester Tower AERONET-OC instrument used to measure the data. The day-of-year adjustment </w:t>
      </w:r>
      <w:r w:rsidR="00FA5AD0" w:rsidRPr="00E53E01">
        <w:t>(</w:t>
      </w:r>
      <w:r w:rsidRPr="00E53E01">
        <w:t>dES</w:t>
      </w:r>
      <w:r w:rsidR="00FA5AD0" w:rsidRPr="00E53E01">
        <w:t>)</w:t>
      </w:r>
      <w:r w:rsidRPr="00E53E01">
        <w:t xml:space="preserve"> adjusts for the Earth</w:t>
      </w:r>
      <w:r w:rsidR="003C19A5" w:rsidRPr="00E53E01">
        <w:t>’</w:t>
      </w:r>
      <w:r w:rsidRPr="00E53E01">
        <w:t xml:space="preserve">s orbital eccentricity, allowing for a more accurate representation of the solar flux at any given point in the year. The term </w:t>
      </w:r>
      <w:r w:rsidRPr="00E53E01">
        <w:rPr>
          <w:i/>
          <w:iCs/>
        </w:rPr>
        <w:t>ecc</w:t>
      </w:r>
      <w:r w:rsidRPr="00E53E01">
        <w:t xml:space="preserve"> represents Earth’s orbital eccentricity, </w:t>
      </w:r>
      <w:r w:rsidRPr="00E53E01">
        <w:rPr>
          <w:i/>
          <w:iCs/>
        </w:rPr>
        <w:t>k</w:t>
      </w:r>
      <w:r w:rsidRPr="00E53E01">
        <w:rPr>
          <w:i/>
          <w:iCs/>
          <w:vertAlign w:val="subscript"/>
        </w:rPr>
        <w:t>day</w:t>
      </w:r>
      <w:r w:rsidRPr="00E53E01">
        <w:t xml:space="preserve"> is the day factor </w:t>
      </w:r>
      <w:r w:rsidR="00FA5AD0" w:rsidRPr="00E53E01">
        <w:t>(</w:t>
      </w:r>
      <w:r w:rsidRPr="00E53E01">
        <w:t>a constant that accounts for the variation in the solar year</w:t>
      </w:r>
      <w:r w:rsidR="00FA5AD0" w:rsidRPr="00E53E01">
        <w:t>)</w:t>
      </w:r>
      <w:r w:rsidRPr="00E53E01">
        <w:t xml:space="preserve">, </w:t>
      </w:r>
      <w:r w:rsidRPr="00E53E01">
        <w:rPr>
          <w:i/>
          <w:iCs/>
        </w:rPr>
        <w:t>day</w:t>
      </w:r>
      <w:r w:rsidRPr="00E53E01">
        <w:rPr>
          <w:i/>
          <w:iCs/>
          <w:vertAlign w:val="subscript"/>
        </w:rPr>
        <w:t>of</w:t>
      </w:r>
      <w:r w:rsidR="00944C45" w:rsidRPr="00E53E01">
        <w:rPr>
          <w:i/>
          <w:iCs/>
        </w:rPr>
        <w:t xml:space="preserve"> </w:t>
      </w:r>
      <w:r w:rsidRPr="00E53E01">
        <w:rPr>
          <w:i/>
          <w:iCs/>
          <w:vertAlign w:val="subscript"/>
        </w:rPr>
        <w:t>year</w:t>
      </w:r>
      <w:r w:rsidRPr="00E53E01">
        <w:t xml:space="preserve"> is the day of the year, and </w:t>
      </w:r>
      <w:r w:rsidRPr="00E53E01">
        <w:rPr>
          <w:i/>
          <w:iCs/>
        </w:rPr>
        <w:t>day</w:t>
      </w:r>
      <w:r w:rsidRPr="00E53E01">
        <w:rPr>
          <w:i/>
          <w:iCs/>
          <w:vertAlign w:val="subscript"/>
        </w:rPr>
        <w:t>of</w:t>
      </w:r>
      <w:r w:rsidR="00944C45" w:rsidRPr="00E53E01">
        <w:rPr>
          <w:i/>
          <w:iCs/>
        </w:rPr>
        <w:t xml:space="preserve"> </w:t>
      </w:r>
      <w:r w:rsidRPr="00E53E01">
        <w:rPr>
          <w:i/>
          <w:iCs/>
          <w:vertAlign w:val="subscript"/>
        </w:rPr>
        <w:t>perihelion</w:t>
      </w:r>
      <w:r w:rsidRPr="00E53E01">
        <w:t xml:space="preserve"> is the day of perihelion. Python </w:t>
      </w:r>
      <w:r w:rsidR="00955010" w:rsidRPr="00E53E01">
        <w:t xml:space="preserve">Version 3.8 </w:t>
      </w:r>
      <w:r w:rsidRPr="00E53E01">
        <w:t>scripts to calculate R</w:t>
      </w:r>
      <w:r w:rsidRPr="00E53E01">
        <w:rPr>
          <w:vertAlign w:val="subscript"/>
        </w:rPr>
        <w:t>rs</w:t>
      </w:r>
      <w:r w:rsidRPr="00E53E01">
        <w:t xml:space="preserve"> from AERONET-OC nL</w:t>
      </w:r>
      <w:r w:rsidRPr="00E53E01">
        <w:rPr>
          <w:vertAlign w:val="subscript"/>
        </w:rPr>
        <w:t>w</w:t>
      </w:r>
      <w:r w:rsidRPr="00E53E01">
        <w:t>, as well as all other code</w:t>
      </w:r>
      <w:r w:rsidR="006F45B4" w:rsidRPr="00E53E01">
        <w:t>s</w:t>
      </w:r>
      <w:r w:rsidRPr="00E53E01">
        <w:t xml:space="preserve"> used in the analysis for this paper, are available on the project </w:t>
      </w:r>
      <w:proofErr w:type="spellStart"/>
      <w:r w:rsidRPr="00E53E01">
        <w:t>github</w:t>
      </w:r>
      <w:proofErr w:type="spellEnd"/>
      <w:r w:rsidRPr="00E53E01">
        <w:t xml:space="preserve"> page </w:t>
      </w:r>
      <w:r w:rsidR="00FA5AD0" w:rsidRPr="00E53E01">
        <w:t>(</w:t>
      </w:r>
      <w:r w:rsidRPr="00E53E01">
        <w:t>https://github.com/ssmith8503/aeronet_CB</w:t>
      </w:r>
      <w:r w:rsidR="008F7B68" w:rsidRPr="00E53E01">
        <w:t xml:space="preserve"> </w:t>
      </w:r>
      <w:r w:rsidR="008F7B68" w:rsidRPr="00E53E01">
        <w:rPr>
          <w:rStyle w:val="normaltextrun"/>
          <w:rFonts w:cs="Segoe UI"/>
          <w:color w:val="auto"/>
          <w:spacing w:val="-4"/>
          <w:szCs w:val="18"/>
        </w:rPr>
        <w:t>(accessed on 18 May 2025)</w:t>
      </w:r>
      <w:r w:rsidR="00FA5AD0" w:rsidRPr="00E53E01">
        <w:t>)</w:t>
      </w:r>
      <w:r w:rsidRPr="00E53E01">
        <w:t>.</w:t>
      </w:r>
    </w:p>
    <w:p w14:paraId="3F8F2A36" w14:textId="4D3CD80C" w:rsidR="00176A80" w:rsidRPr="00E53E01" w:rsidRDefault="00176853" w:rsidP="00176853">
      <w:pPr>
        <w:pStyle w:val="MDPI22heading2"/>
        <w:spacing w:before="240"/>
      </w:pPr>
      <w:r w:rsidRPr="00E53E01">
        <w:t>2.</w:t>
      </w:r>
      <w:r w:rsidR="00536712" w:rsidRPr="00E53E01">
        <w:t>2</w:t>
      </w:r>
      <w:r w:rsidRPr="00E53E01">
        <w:t xml:space="preserve">. </w:t>
      </w:r>
      <w:r w:rsidR="00176A80" w:rsidRPr="00E53E01">
        <w:t>Satellite Data</w:t>
      </w:r>
    </w:p>
    <w:p w14:paraId="72533926" w14:textId="24D0FE31" w:rsidR="00176A80" w:rsidRPr="00E53E01" w:rsidRDefault="00176A80" w:rsidP="00176853">
      <w:pPr>
        <w:pStyle w:val="MDPI31text"/>
      </w:pPr>
      <w:r w:rsidRPr="00E53E01">
        <w:t xml:space="preserve">The satellite sensors used in this study include MODIS-Aqua, VIIRS-NPP, OLCI Sentinel-3 </w:t>
      </w:r>
      <w:r w:rsidR="00FA5AD0" w:rsidRPr="00E53E01">
        <w:t>(</w:t>
      </w:r>
      <w:r w:rsidRPr="00E53E01">
        <w:t>S3A/S3B</w:t>
      </w:r>
      <w:r w:rsidR="00FA5AD0" w:rsidRPr="00E53E01">
        <w:t>)</w:t>
      </w:r>
      <w:r w:rsidRPr="00E53E01">
        <w:t xml:space="preserve">, and PACE Ocean Color Instrument </w:t>
      </w:r>
      <w:r w:rsidR="00FA5AD0" w:rsidRPr="00E53E01">
        <w:t>(</w:t>
      </w:r>
      <w:r w:rsidRPr="00E53E01">
        <w:t>OCI</w:t>
      </w:r>
      <w:r w:rsidR="00FA5AD0" w:rsidRPr="00E53E01">
        <w:t>)</w:t>
      </w:r>
      <w:r w:rsidRPr="00E53E01">
        <w:t xml:space="preserve">. </w:t>
      </w:r>
      <w:proofErr w:type="gramStart"/>
      <w:r w:rsidRPr="00E53E01">
        <w:t>Level-2 ocean</w:t>
      </w:r>
      <w:proofErr w:type="gramEnd"/>
      <w:r w:rsidRPr="00E53E01">
        <w:t xml:space="preserve"> color products for MODIS-Aqua</w:t>
      </w:r>
      <w:r w:rsidR="003C5E29" w:rsidRPr="00E53E01">
        <w:t xml:space="preserve"> [</w:t>
      </w:r>
      <w:r w:rsidR="000B02C2" w:rsidRPr="00E53E01">
        <w:t>27</w:t>
      </w:r>
      <w:r w:rsidR="003C5E29" w:rsidRPr="00E53E01">
        <w:t>]</w:t>
      </w:r>
      <w:r w:rsidRPr="00E53E01">
        <w:t>, VIIRS-NPP</w:t>
      </w:r>
      <w:r w:rsidR="003C5E29" w:rsidRPr="00E53E01">
        <w:t xml:space="preserve"> [</w:t>
      </w:r>
      <w:r w:rsidR="000B02C2" w:rsidRPr="00E53E01">
        <w:t>28</w:t>
      </w:r>
      <w:r w:rsidR="003C5E29" w:rsidRPr="00E53E01">
        <w:t>]</w:t>
      </w:r>
      <w:r w:rsidRPr="00E53E01">
        <w:t>, and OLCI-S3A/S3B</w:t>
      </w:r>
      <w:r w:rsidR="003C5E29" w:rsidRPr="00E53E01">
        <w:t xml:space="preserve"> [</w:t>
      </w:r>
      <w:r w:rsidR="000B02C2" w:rsidRPr="00E53E01">
        <w:t>29</w:t>
      </w:r>
      <w:r w:rsidR="003C5E29" w:rsidRPr="00E53E01">
        <w:t>]</w:t>
      </w:r>
      <w:r w:rsidRPr="00E53E01">
        <w:t xml:space="preserve"> were obtained from NASA Goddard Space Flight Center, Ocean Ecology Laboratory, Ocean Biology Processing Group Distributed Active Archive Center </w:t>
      </w:r>
      <w:r w:rsidR="00FA5AD0" w:rsidRPr="00E53E01">
        <w:t>(</w:t>
      </w:r>
      <w:proofErr w:type="gramStart"/>
      <w:r w:rsidRPr="00E53E01">
        <w:t>OB.DAAC</w:t>
      </w:r>
      <w:proofErr w:type="gramEnd"/>
      <w:r w:rsidR="00FA5AD0" w:rsidRPr="00E53E01">
        <w:t>)</w:t>
      </w:r>
      <w:r w:rsidRPr="00E53E01">
        <w:t xml:space="preserve"> [</w:t>
      </w:r>
      <w:r w:rsidR="00B23BCB" w:rsidRPr="00E53E01">
        <w:t>30</w:t>
      </w:r>
      <w:r w:rsidRPr="00E53E01">
        <w:t>]. These products have been atmospherically corrected by OBPG with the l</w:t>
      </w:r>
      <w:r w:rsidR="00FA5AD0" w:rsidRPr="00E53E01">
        <w:t>2g</w:t>
      </w:r>
      <w:r w:rsidRPr="00E53E01">
        <w:t xml:space="preserve">en module of </w:t>
      </w:r>
      <w:proofErr w:type="gramStart"/>
      <w:r w:rsidRPr="00E53E01">
        <w:t>NASA’s ocean</w:t>
      </w:r>
      <w:proofErr w:type="gramEnd"/>
      <w:r w:rsidRPr="00E53E01">
        <w:t xml:space="preserve"> color imagery processing software, SeaDAS, and annotated with </w:t>
      </w:r>
      <w:proofErr w:type="gramStart"/>
      <w:r w:rsidRPr="00E53E01">
        <w:t>Level-2</w:t>
      </w:r>
      <w:proofErr w:type="gramEnd"/>
      <w:r w:rsidRPr="00E53E01">
        <w:t xml:space="preserve"> processing flags </w:t>
      </w:r>
      <w:r w:rsidR="00FA5AD0" w:rsidRPr="00E53E01">
        <w:t>(</w:t>
      </w:r>
      <w:r w:rsidRPr="00E53E01">
        <w:t>https://oceancolor.gsfc.nasa.gov/resources/docs/format/l2nc/</w:t>
      </w:r>
      <w:r w:rsidR="008F7B68" w:rsidRPr="00E53E01">
        <w:t xml:space="preserve"> </w:t>
      </w:r>
      <w:r w:rsidR="008F7B68" w:rsidRPr="00E53E01">
        <w:rPr>
          <w:rStyle w:val="normaltextrun"/>
          <w:rFonts w:cs="Segoe UI"/>
          <w:color w:val="auto"/>
          <w:spacing w:val="-4"/>
          <w:szCs w:val="18"/>
        </w:rPr>
        <w:t>(accessed on 18 May 2025)</w:t>
      </w:r>
      <w:r w:rsidR="00FA5AD0" w:rsidRPr="00E53E01">
        <w:t>)</w:t>
      </w:r>
      <w:r w:rsidRPr="00E53E01">
        <w:t xml:space="preserve">. Data were retrieved to cover the timespan of AERONET-OC data availability from October 2021 to February 2025. For all satellite datasets, </w:t>
      </w:r>
      <w:proofErr w:type="gramStart"/>
      <w:r w:rsidRPr="00E53E01">
        <w:t>OB.DAAC’s</w:t>
      </w:r>
      <w:proofErr w:type="gramEnd"/>
      <w:r w:rsidRPr="00E53E01">
        <w:t xml:space="preserve"> </w:t>
      </w:r>
      <w:proofErr w:type="gramStart"/>
      <w:r w:rsidRPr="00E53E01">
        <w:t>Level-2 ocean</w:t>
      </w:r>
      <w:proofErr w:type="gramEnd"/>
      <w:r w:rsidRPr="00E53E01">
        <w:t xml:space="preserve"> color product flagging criteria exclude observations with threshold-exceeding viewing and solar zenith angles </w:t>
      </w:r>
      <w:r w:rsidR="00FA5AD0" w:rsidRPr="00E53E01">
        <w:t>(</w:t>
      </w:r>
      <w:r w:rsidRPr="00E53E01">
        <w:t>https://oceancolor.gsfc.nasa.gov/resources/atbd/ocl2flags/</w:t>
      </w:r>
      <w:r w:rsidR="0085696E" w:rsidRPr="00E53E01">
        <w:t xml:space="preserve"> </w:t>
      </w:r>
      <w:r w:rsidR="0085696E" w:rsidRPr="00E53E01">
        <w:rPr>
          <w:rStyle w:val="normaltextrun"/>
          <w:rFonts w:cs="Segoe UI"/>
          <w:color w:val="auto"/>
          <w:spacing w:val="-4"/>
          <w:szCs w:val="18"/>
        </w:rPr>
        <w:t xml:space="preserve">(accessed on 18 </w:t>
      </w:r>
      <w:r w:rsidR="0085696E" w:rsidRPr="00E53E01">
        <w:rPr>
          <w:rStyle w:val="normaltextrun"/>
          <w:rFonts w:cs="Segoe UI"/>
          <w:color w:val="auto"/>
          <w:spacing w:val="-4"/>
          <w:szCs w:val="18"/>
        </w:rPr>
        <w:lastRenderedPageBreak/>
        <w:t>May 2025)</w:t>
      </w:r>
      <w:r w:rsidR="00FA5AD0" w:rsidRPr="00E53E01">
        <w:t>)</w:t>
      </w:r>
      <w:r w:rsidRPr="00E53E01">
        <w:t>. Additionally, we omitted pixels flagged for land, high light, stray light, moderate to high glint, or cloud ice from analysis.</w:t>
      </w:r>
    </w:p>
    <w:p w14:paraId="7DC45758" w14:textId="00B46D74" w:rsidR="00176A80" w:rsidRPr="00E53E01" w:rsidRDefault="00176A80" w:rsidP="00176853">
      <w:pPr>
        <w:pStyle w:val="MDPI31text"/>
      </w:pPr>
      <w:r w:rsidRPr="00E53E01">
        <w:t>Level-2 ocean color data from the PACE-OCI were retrieved from the PACE-OCI Level-2 Regional Apparent Optical Properties</w:t>
      </w:r>
      <w:r w:rsidR="00907DEE" w:rsidRPr="00E53E01">
        <w:t>—</w:t>
      </w:r>
      <w:r w:rsidRPr="00E53E01">
        <w:t xml:space="preserve">Near Real-time </w:t>
      </w:r>
      <w:r w:rsidR="00FA5AD0" w:rsidRPr="00E53E01">
        <w:t>(</w:t>
      </w:r>
      <w:r w:rsidRPr="00E53E01">
        <w:t>NRT</w:t>
      </w:r>
      <w:r w:rsidR="00FA5AD0" w:rsidRPr="00E53E01">
        <w:t>)</w:t>
      </w:r>
      <w:r w:rsidRPr="00E53E01">
        <w:t xml:space="preserve"> Data, version 2.0, produced by OB.DAAC. </w:t>
      </w:r>
      <w:proofErr w:type="gramStart"/>
      <w:r w:rsidRPr="00E53E01">
        <w:t>Version</w:t>
      </w:r>
      <w:proofErr w:type="gramEnd"/>
      <w:r w:rsidRPr="00E53E01">
        <w:t xml:space="preserve"> 2.0 and 3.0 PACE-OCI data have been calibrated and atmospherically corrected with the Multi-band Atmospheric Correction </w:t>
      </w:r>
      <w:r w:rsidR="00FA5AD0" w:rsidRPr="00E53E01">
        <w:t>(</w:t>
      </w:r>
      <w:r w:rsidRPr="00E53E01">
        <w:t>MBAC</w:t>
      </w:r>
      <w:r w:rsidR="00FA5AD0" w:rsidRPr="00E53E01">
        <w:t>)</w:t>
      </w:r>
      <w:r w:rsidRPr="00E53E01">
        <w:t xml:space="preserve"> algorithm [</w:t>
      </w:r>
      <w:r w:rsidR="000B02C2" w:rsidRPr="00E53E01">
        <w:t>31</w:t>
      </w:r>
      <w:r w:rsidR="003C5E29" w:rsidRPr="00E53E01">
        <w:t xml:space="preserve">, </w:t>
      </w:r>
      <w:r w:rsidR="00B23BCB" w:rsidRPr="00E53E01">
        <w:t>32</w:t>
      </w:r>
      <w:r w:rsidRPr="00E53E01">
        <w:t>]. Spectra of PACE-OCI were compared to the average AERONET-OC R</w:t>
      </w:r>
      <w:r w:rsidRPr="00E53E01">
        <w:rPr>
          <w:vertAlign w:val="subscript"/>
        </w:rPr>
        <w:t>rs</w:t>
      </w:r>
      <w:r w:rsidRPr="00E53E01">
        <w:t xml:space="preserve"> values during a </w:t>
      </w:r>
      <w:r w:rsidR="00A15744" w:rsidRPr="00E53E01">
        <w:rPr>
          <w:u w:color="8969CD"/>
        </w:rPr>
        <w:t>60 min</w:t>
      </w:r>
      <w:r w:rsidRPr="00E53E01">
        <w:t xml:space="preserve"> window overpass.</w:t>
      </w:r>
    </w:p>
    <w:p w14:paraId="7057C493" w14:textId="70085FAA" w:rsidR="00176A80" w:rsidRPr="00E53E01" w:rsidRDefault="00176853" w:rsidP="00176853">
      <w:pPr>
        <w:pStyle w:val="MDPI22heading2"/>
        <w:spacing w:before="240"/>
      </w:pPr>
      <w:r w:rsidRPr="00E53E01">
        <w:t xml:space="preserve">2.3. </w:t>
      </w:r>
      <w:r w:rsidR="00176A80" w:rsidRPr="00E53E01">
        <w:t>Comparisons of Satellite and AERONET-OC Rrs</w:t>
      </w:r>
    </w:p>
    <w:p w14:paraId="721D341C" w14:textId="24D7B1D7" w:rsidR="00176A80" w:rsidRPr="00E53E01" w:rsidRDefault="00176A80" w:rsidP="00176853">
      <w:pPr>
        <w:pStyle w:val="MDPI31text"/>
      </w:pPr>
      <w:r w:rsidRPr="00E53E01">
        <w:t>The calculated AERONET-OC R</w:t>
      </w:r>
      <w:r w:rsidRPr="00E53E01">
        <w:rPr>
          <w:vertAlign w:val="subscript"/>
        </w:rPr>
        <w:t>rs</w:t>
      </w:r>
      <w:r w:rsidRPr="00E53E01">
        <w:t xml:space="preserve"> values were used to validate the R</w:t>
      </w:r>
      <w:r w:rsidRPr="00E53E01">
        <w:rPr>
          <w:vertAlign w:val="subscript"/>
        </w:rPr>
        <w:t>rs</w:t>
      </w:r>
      <w:r w:rsidRPr="00E53E01">
        <w:t xml:space="preserve"> data from MODIS-Aqua, VIIRS-NPP, and OLCI-S3A/S3B. The calculated AERONET-OC R</w:t>
      </w:r>
      <w:r w:rsidRPr="00E53E01">
        <w:rPr>
          <w:vertAlign w:val="subscript"/>
        </w:rPr>
        <w:t>rs</w:t>
      </w:r>
      <w:r w:rsidRPr="00E53E01">
        <w:t xml:space="preserve"> measurements taken within 60 </w:t>
      </w:r>
      <w:r w:rsidR="002F34CC" w:rsidRPr="00E53E01">
        <w:t>min</w:t>
      </w:r>
      <w:r w:rsidRPr="00E53E01">
        <w:t xml:space="preserve"> of the satellite overpass were averaged for validation. These were compared to the average satellite R</w:t>
      </w:r>
      <w:r w:rsidRPr="00E53E01">
        <w:rPr>
          <w:vertAlign w:val="subscript"/>
        </w:rPr>
        <w:t>rs</w:t>
      </w:r>
      <w:r w:rsidRPr="00E53E01">
        <w:t xml:space="preserve"> over a spatial matchup window, approximating a resolution of 1 km</w:t>
      </w:r>
      <w:r w:rsidR="006A4550" w:rsidRPr="00E53E01">
        <w:rPr>
          <w:vertAlign w:val="superscript"/>
        </w:rPr>
        <w:t>2</w:t>
      </w:r>
      <w:r w:rsidRPr="00E53E01">
        <w:t xml:space="preserve">. Coarser-resolution satellite </w:t>
      </w:r>
      <w:r w:rsidR="00FA5AD0" w:rsidRPr="00E53E01">
        <w:t>(</w:t>
      </w:r>
      <w:r w:rsidRPr="00E53E01">
        <w:t>MODIS-Aqua at 1 km and VIIRS-NPP at 750 m</w:t>
      </w:r>
      <w:r w:rsidR="00FA5AD0" w:rsidRPr="00E53E01">
        <w:t>)</w:t>
      </w:r>
      <w:r w:rsidRPr="00E53E01">
        <w:t xml:space="preserve"> data were extracted from the satellite pixel nearest to the AERONET-OC location. For the higher-resolution OLCI Sentinel-3A/B </w:t>
      </w:r>
      <w:r w:rsidR="00FA5AD0" w:rsidRPr="00E53E01">
        <w:t>(</w:t>
      </w:r>
      <w:r w:rsidRPr="00E53E01">
        <w:t>300 m</w:t>
      </w:r>
      <w:r w:rsidR="00FA5AD0" w:rsidRPr="00E53E01">
        <w:t>)</w:t>
      </w:r>
      <w:r w:rsidRPr="00E53E01">
        <w:t>, R</w:t>
      </w:r>
      <w:r w:rsidRPr="00E53E01">
        <w:rPr>
          <w:vertAlign w:val="subscript"/>
        </w:rPr>
        <w:t>rs</w:t>
      </w:r>
      <w:r w:rsidRPr="00E53E01">
        <w:t xml:space="preserve"> values were extracted using a 3</w:t>
      </w:r>
      <w:r w:rsidR="00176853" w:rsidRPr="00E53E01">
        <w:t xml:space="preserve"> </w:t>
      </w:r>
      <w:r w:rsidRPr="00E53E01">
        <w:t>×</w:t>
      </w:r>
      <w:r w:rsidR="00176853" w:rsidRPr="00E53E01">
        <w:t xml:space="preserve"> </w:t>
      </w:r>
      <w:r w:rsidRPr="00E53E01">
        <w:t>3-pixel spatial matchup window, resulting in a resolution of 900 m</w:t>
      </w:r>
      <w:r w:rsidR="006A4550" w:rsidRPr="00E53E01">
        <w:rPr>
          <w:vertAlign w:val="superscript"/>
        </w:rPr>
        <w:t>2</w:t>
      </w:r>
      <w:r w:rsidRPr="00E53E01">
        <w:t xml:space="preserve">. A minimum of 5 valid, unflagged pixels </w:t>
      </w:r>
      <w:r w:rsidR="00FA5AD0" w:rsidRPr="00E53E01">
        <w:t>(</w:t>
      </w:r>
      <w:r w:rsidRPr="00E53E01">
        <w:t>&gt;50%</w:t>
      </w:r>
      <w:r w:rsidR="00FA5AD0" w:rsidRPr="00E53E01">
        <w:t>)</w:t>
      </w:r>
      <w:r w:rsidRPr="00E53E01">
        <w:t xml:space="preserve"> within the spatial window was required to ensure statistical reliability, following the ocean color satellite validation methodology outlined by Bailey and </w:t>
      </w:r>
      <w:proofErr w:type="spellStart"/>
      <w:r w:rsidRPr="00E53E01">
        <w:t>Werdell</w:t>
      </w:r>
      <w:proofErr w:type="spellEnd"/>
      <w:r w:rsidRPr="00E53E01">
        <w:t>, 2006 [</w:t>
      </w:r>
      <w:r w:rsidR="00B23BCB" w:rsidRPr="00E53E01">
        <w:t>33</w:t>
      </w:r>
      <w:r w:rsidRPr="00E53E01">
        <w:t>]. The average R</w:t>
      </w:r>
      <w:r w:rsidRPr="00E53E01">
        <w:rPr>
          <w:vertAlign w:val="subscript"/>
        </w:rPr>
        <w:t>rs</w:t>
      </w:r>
      <w:r w:rsidRPr="00E53E01">
        <w:t xml:space="preserve"> value and standard deviation from the spatial matchup window were recorded and used for validation.</w:t>
      </w:r>
    </w:p>
    <w:p w14:paraId="656507FC" w14:textId="01CE4F84" w:rsidR="00176A80" w:rsidRPr="00E53E01" w:rsidRDefault="00176A80" w:rsidP="00176853">
      <w:pPr>
        <w:pStyle w:val="MDPI31text"/>
      </w:pPr>
      <w:r w:rsidRPr="00E53E01">
        <w:t xml:space="preserve">Additional exclusion criteria were considered, such as pixels flagged for low </w:t>
      </w:r>
      <w:proofErr w:type="spellStart"/>
      <w:r w:rsidRPr="00E53E01">
        <w:t>nL</w:t>
      </w:r>
      <w:r w:rsidRPr="00E53E01">
        <w:rPr>
          <w:vertAlign w:val="subscript"/>
        </w:rPr>
        <w:t>w</w:t>
      </w:r>
      <w:proofErr w:type="spellEnd"/>
      <w:r w:rsidR="00176853" w:rsidRPr="00E53E01">
        <w:t xml:space="preserve"> </w:t>
      </w:r>
      <w:r w:rsidR="00FA5AD0" w:rsidRPr="00E53E01">
        <w:t>(</w:t>
      </w:r>
      <w:r w:rsidRPr="00E53E01">
        <w:t>555</w:t>
      </w:r>
      <w:r w:rsidR="00FA5AD0" w:rsidRPr="00E53E01">
        <w:t>)</w:t>
      </w:r>
      <w:r w:rsidRPr="00E53E01">
        <w:t xml:space="preserve"> and high top-of-atmosphere </w:t>
      </w:r>
      <w:r w:rsidR="00FA5AD0" w:rsidRPr="00E53E01">
        <w:t>(</w:t>
      </w:r>
      <w:r w:rsidRPr="00E53E01">
        <w:t>TOA</w:t>
      </w:r>
      <w:r w:rsidR="00FA5AD0" w:rsidRPr="00E53E01">
        <w:t>)</w:t>
      </w:r>
      <w:r w:rsidRPr="00E53E01">
        <w:t xml:space="preserve"> radiance</w:t>
      </w:r>
      <w:r w:rsidR="006F45B4" w:rsidRPr="00E53E01">
        <w:t>,</w:t>
      </w:r>
      <w:r w:rsidRPr="00E53E01">
        <w:t xml:space="preserve"> and a coefficient of variation threshold and RMSE-informed outlier exclusion for OLCI S3A/S3B</w:t>
      </w:r>
      <w:r w:rsidR="006F45B4" w:rsidRPr="00E53E01">
        <w:t xml:space="preserve"> were implemented</w:t>
      </w:r>
      <w:r w:rsidRPr="00E53E01">
        <w:t xml:space="preserve">. These exclusion criteria have been employed in previous validation studies </w:t>
      </w:r>
      <w:r w:rsidR="000A0132" w:rsidRPr="00E53E01">
        <w:t>[</w:t>
      </w:r>
      <w:r w:rsidR="00B23BCB" w:rsidRPr="00E53E01">
        <w:t>33, 34</w:t>
      </w:r>
      <w:r w:rsidRPr="00E53E01">
        <w:t>]. However, these studies focus on the open ocean, not optically complex coastal waters. We initially applied the exclusion criteria outlined in these studies but determined that the data loss outweighed the minimal improvement in performance for our specific dataset.</w:t>
      </w:r>
    </w:p>
    <w:p w14:paraId="6FF04B73" w14:textId="15B6BDF9" w:rsidR="00176A80" w:rsidRPr="00E53E01" w:rsidRDefault="00176853" w:rsidP="00176853">
      <w:pPr>
        <w:pStyle w:val="MDPI22heading2"/>
        <w:spacing w:before="240"/>
      </w:pPr>
      <w:r w:rsidRPr="00E53E01">
        <w:t xml:space="preserve">2.4. </w:t>
      </w:r>
      <w:r w:rsidR="00176A80" w:rsidRPr="00E53E01">
        <w:t>Susquehanna River USGS Stream Gauge TSM</w:t>
      </w:r>
    </w:p>
    <w:p w14:paraId="708B731C" w14:textId="46A931CF" w:rsidR="00176A80" w:rsidRPr="00E53E01" w:rsidRDefault="00176A80" w:rsidP="00176853">
      <w:pPr>
        <w:pStyle w:val="MDPI31text"/>
        <w:rPr>
          <w:spacing w:val="-2"/>
        </w:rPr>
      </w:pPr>
      <w:r w:rsidRPr="00E53E01">
        <w:rPr>
          <w:spacing w:val="-2"/>
        </w:rPr>
        <w:t>USGS stream gauge data from the Conowingo Dam station</w:t>
      </w:r>
      <w:r w:rsidR="006A4550" w:rsidRPr="00E53E01">
        <w:rPr>
          <w:spacing w:val="-2"/>
        </w:rPr>
        <w:t xml:space="preserve"> 01578310 </w:t>
      </w:r>
      <w:r w:rsidR="00FA5AD0" w:rsidRPr="00E53E01">
        <w:rPr>
          <w:spacing w:val="-2"/>
        </w:rPr>
        <w:t>(</w:t>
      </w:r>
      <w:r w:rsidRPr="00E53E01">
        <w:rPr>
          <w:spacing w:val="-2"/>
        </w:rPr>
        <w:t xml:space="preserve">39.65789, </w:t>
      </w:r>
      <w:r w:rsidR="00944C45" w:rsidRPr="00E53E01">
        <w:rPr>
          <w:spacing w:val="-2"/>
        </w:rPr>
        <w:t>−7</w:t>
      </w:r>
      <w:r w:rsidRPr="00E53E01">
        <w:rPr>
          <w:spacing w:val="-2"/>
        </w:rPr>
        <w:t>6.1744</w:t>
      </w:r>
      <w:r w:rsidR="00FA5AD0" w:rsidRPr="00E53E01">
        <w:rPr>
          <w:spacing w:val="-2"/>
        </w:rPr>
        <w:t>)</w:t>
      </w:r>
      <w:r w:rsidRPr="00E53E01">
        <w:rPr>
          <w:spacing w:val="-2"/>
        </w:rPr>
        <w:t xml:space="preserve"> w</w:t>
      </w:r>
      <w:r w:rsidR="006F45B4" w:rsidRPr="00E53E01">
        <w:rPr>
          <w:spacing w:val="-2"/>
        </w:rPr>
        <w:t>ere</w:t>
      </w:r>
      <w:r w:rsidRPr="00E53E01">
        <w:rPr>
          <w:spacing w:val="-2"/>
        </w:rPr>
        <w:t xml:space="preserve"> retrieved to monitor streamflow of the Susquehanna River.</w:t>
      </w:r>
      <w:r w:rsidR="006F45B4" w:rsidRPr="00E53E01">
        <w:rPr>
          <w:spacing w:val="-2"/>
        </w:rPr>
        <w:t xml:space="preserve"> A total of</w:t>
      </w:r>
      <w:r w:rsidRPr="00E53E01">
        <w:rPr>
          <w:spacing w:val="-2"/>
        </w:rPr>
        <w:t xml:space="preserve"> 59 paired observations of TSM concentration at CBP station 1.1 and daily mean river discharge </w:t>
      </w:r>
      <w:r w:rsidR="00FA5AD0" w:rsidRPr="00E53E01">
        <w:rPr>
          <w:spacing w:val="-2"/>
        </w:rPr>
        <w:t>(</w:t>
      </w:r>
      <w:r w:rsidRPr="00E53E01">
        <w:rPr>
          <w:spacing w:val="-2"/>
        </w:rPr>
        <w:t>m</w:t>
      </w:r>
      <w:r w:rsidRPr="00E53E01">
        <w:rPr>
          <w:spacing w:val="-2"/>
          <w:vertAlign w:val="superscript"/>
        </w:rPr>
        <w:t>3</w:t>
      </w:r>
      <w:r w:rsidRPr="00E53E01">
        <w:rPr>
          <w:spacing w:val="-2"/>
        </w:rPr>
        <w:t>/s</w:t>
      </w:r>
      <w:r w:rsidR="00FA5AD0" w:rsidRPr="00E53E01">
        <w:rPr>
          <w:spacing w:val="-2"/>
        </w:rPr>
        <w:t>)</w:t>
      </w:r>
      <w:r w:rsidRPr="00E53E01">
        <w:rPr>
          <w:spacing w:val="-2"/>
        </w:rPr>
        <w:t xml:space="preserve"> </w:t>
      </w:r>
      <w:r w:rsidR="00A15744" w:rsidRPr="00E53E01">
        <w:rPr>
          <w:spacing w:val="-2"/>
          <w:u w:color="8969CD"/>
        </w:rPr>
        <w:t>from 2020 to 2024 were</w:t>
      </w:r>
      <w:r w:rsidRPr="00E53E01">
        <w:rPr>
          <w:spacing w:val="-2"/>
        </w:rPr>
        <w:t xml:space="preserve"> used as input into the Load Estimator </w:t>
      </w:r>
      <w:r w:rsidR="00FA5AD0" w:rsidRPr="00E53E01">
        <w:rPr>
          <w:spacing w:val="-2"/>
        </w:rPr>
        <w:t>(</w:t>
      </w:r>
      <w:r w:rsidRPr="00E53E01">
        <w:rPr>
          <w:spacing w:val="-2"/>
        </w:rPr>
        <w:t>LOADEST</w:t>
      </w:r>
      <w:r w:rsidR="00FA5AD0" w:rsidRPr="00E53E01">
        <w:rPr>
          <w:spacing w:val="-2"/>
        </w:rPr>
        <w:t>)</w:t>
      </w:r>
      <w:r w:rsidRPr="00E53E01">
        <w:rPr>
          <w:spacing w:val="-2"/>
        </w:rPr>
        <w:t xml:space="preserve"> software to predict daily TSM river load </w:t>
      </w:r>
      <w:r w:rsidR="00FA5AD0" w:rsidRPr="00E53E01">
        <w:rPr>
          <w:spacing w:val="-2"/>
        </w:rPr>
        <w:t>(</w:t>
      </w:r>
      <w:r w:rsidRPr="00E53E01">
        <w:rPr>
          <w:spacing w:val="-2"/>
        </w:rPr>
        <w:t>kg/d</w:t>
      </w:r>
      <w:r w:rsidR="00FA5AD0" w:rsidRPr="00E53E01">
        <w:rPr>
          <w:spacing w:val="-2"/>
        </w:rPr>
        <w:t>)</w:t>
      </w:r>
      <w:r w:rsidRPr="00E53E01">
        <w:rPr>
          <w:spacing w:val="-2"/>
        </w:rPr>
        <w:t xml:space="preserve"> and concentration. LOADEST is a FORTRAN-based program developed by the United States Geological Survey </w:t>
      </w:r>
      <w:r w:rsidR="00FA5AD0" w:rsidRPr="00E53E01">
        <w:rPr>
          <w:spacing w:val="-2"/>
        </w:rPr>
        <w:t>(</w:t>
      </w:r>
      <w:r w:rsidRPr="00E53E01">
        <w:rPr>
          <w:spacing w:val="-2"/>
        </w:rPr>
        <w:t>USGS</w:t>
      </w:r>
      <w:r w:rsidR="00FA5AD0" w:rsidRPr="00E53E01">
        <w:rPr>
          <w:spacing w:val="-2"/>
        </w:rPr>
        <w:t>)</w:t>
      </w:r>
      <w:r w:rsidRPr="00E53E01">
        <w:rPr>
          <w:spacing w:val="-2"/>
        </w:rPr>
        <w:t xml:space="preserve"> that estimates constituent loads in rivers and streams by calibrating regression models based on streamflow data, time variables, and measured constituent concentrations [</w:t>
      </w:r>
      <w:r w:rsidR="008C51D5" w:rsidRPr="00E53E01">
        <w:rPr>
          <w:spacing w:val="-2"/>
        </w:rPr>
        <w:t>35</w:t>
      </w:r>
      <w:r w:rsidRPr="00E53E01">
        <w:rPr>
          <w:spacing w:val="-2"/>
        </w:rPr>
        <w:t>]. The USGS LOADEST model 6 was used</w:t>
      </w:r>
      <w:r w:rsidR="004C0A22" w:rsidRPr="00E53E01">
        <w:rPr>
          <w:spacing w:val="-2"/>
        </w:rPr>
        <w:t>,</w:t>
      </w:r>
      <w:r w:rsidRPr="00E53E01">
        <w:rPr>
          <w:spacing w:val="-2"/>
        </w:rPr>
        <w:t xml:space="preserve"> similar</w:t>
      </w:r>
      <w:r w:rsidR="004C0A22" w:rsidRPr="00E53E01">
        <w:rPr>
          <w:spacing w:val="-2"/>
        </w:rPr>
        <w:t>ly</w:t>
      </w:r>
      <w:r w:rsidRPr="00E53E01">
        <w:rPr>
          <w:spacing w:val="-2"/>
        </w:rPr>
        <w:t xml:space="preserve"> to previous work in Chesapeake Bay [</w:t>
      </w:r>
      <w:r w:rsidR="008C51D5" w:rsidRPr="00E53E01">
        <w:rPr>
          <w:spacing w:val="-2"/>
        </w:rPr>
        <w:t>36</w:t>
      </w:r>
      <w:r w:rsidRPr="00E53E01">
        <w:rPr>
          <w:spacing w:val="-2"/>
        </w:rPr>
        <w:t>].</w:t>
      </w:r>
    </w:p>
    <w:p w14:paraId="30CBEE96" w14:textId="4EBFBD25" w:rsidR="00176A80" w:rsidRPr="00E53E01" w:rsidRDefault="00176853" w:rsidP="00176853">
      <w:pPr>
        <w:pStyle w:val="MDPI22heading2"/>
        <w:spacing w:before="240"/>
      </w:pPr>
      <w:r w:rsidRPr="00E53E01">
        <w:t xml:space="preserve">2.5. </w:t>
      </w:r>
      <w:r w:rsidR="00A15744" w:rsidRPr="00E53E01">
        <w:rPr>
          <w:noProof w:val="0"/>
          <w:u w:color="8969CD"/>
        </w:rPr>
        <w:t xml:space="preserve">Satellite </w:t>
      </w:r>
      <w:r w:rsidR="004C0A22" w:rsidRPr="00E53E01">
        <w:rPr>
          <w:noProof w:val="0"/>
          <w:u w:color="8969CD"/>
        </w:rPr>
        <w:t>a</w:t>
      </w:r>
      <w:r w:rsidR="00A15744" w:rsidRPr="00E53E01">
        <w:rPr>
          <w:noProof w:val="0"/>
          <w:u w:color="8969CD"/>
        </w:rPr>
        <w:t>nd AERONET-OC</w:t>
      </w:r>
      <w:r w:rsidR="00176A80" w:rsidRPr="00E53E01">
        <w:t xml:space="preserve"> Sensor TSM</w:t>
      </w:r>
    </w:p>
    <w:p w14:paraId="1A8CBC3F" w14:textId="72223606" w:rsidR="00176A80" w:rsidRPr="00E53E01" w:rsidRDefault="00176A80" w:rsidP="00176853">
      <w:pPr>
        <w:pStyle w:val="MDPI31text"/>
      </w:pPr>
      <w:r w:rsidRPr="00E53E01">
        <w:t>To investigate sediment transport from a series of storm events in early 2024, we compared clear satellite scenes with measurements at the AERONET-OC site. TSM was calculated for AERONET-OC and OLCI-S3A/S3B following the method described by Ondrusek et al. [20] using normalized water-leaving radiance at 64</w:t>
      </w:r>
      <w:r w:rsidR="00FA5AD0" w:rsidRPr="00E53E01">
        <w:t>5 n</w:t>
      </w:r>
      <w:r w:rsidRPr="00E53E01">
        <w:t>m. Since direct measurements at 64</w:t>
      </w:r>
      <w:r w:rsidR="00FA5AD0" w:rsidRPr="00E53E01">
        <w:t>5 n</w:t>
      </w:r>
      <w:r w:rsidRPr="00E53E01">
        <w:t xml:space="preserve">m were not available for AERONET-OC and OLCI-S3A/S3B, the Level-2 </w:t>
      </w:r>
      <w:proofErr w:type="spellStart"/>
      <w:r w:rsidRPr="00E53E01">
        <w:t>nL</w:t>
      </w:r>
      <w:r w:rsidRPr="00E53E01">
        <w:rPr>
          <w:vertAlign w:val="subscript"/>
        </w:rPr>
        <w:t>w</w:t>
      </w:r>
      <w:proofErr w:type="spellEnd"/>
      <w:r w:rsidR="00176853" w:rsidRPr="00E53E01">
        <w:t xml:space="preserve"> </w:t>
      </w:r>
      <w:r w:rsidR="00FA5AD0" w:rsidRPr="00E53E01">
        <w:t>(</w:t>
      </w:r>
      <w:r w:rsidRPr="00E53E01">
        <w:t>645</w:t>
      </w:r>
      <w:r w:rsidR="00FA5AD0" w:rsidRPr="00E53E01">
        <w:t>)</w:t>
      </w:r>
      <w:r w:rsidRPr="00E53E01">
        <w:t xml:space="preserve"> value was linearly interpolated using the nearest two bands </w:t>
      </w:r>
      <w:r w:rsidR="00FA5AD0" w:rsidRPr="00E53E01">
        <w:t>(</w:t>
      </w:r>
      <w:r w:rsidRPr="00E53E01">
        <w:t>620, 66</w:t>
      </w:r>
      <w:r w:rsidR="00FA5AD0" w:rsidRPr="00E53E01">
        <w:t>7 n</w:t>
      </w:r>
      <w:r w:rsidRPr="00E53E01">
        <w:t>m for AERONET-OC; 620, 66</w:t>
      </w:r>
      <w:r w:rsidR="00FA5AD0" w:rsidRPr="00E53E01">
        <w:t>5 n</w:t>
      </w:r>
      <w:r w:rsidRPr="00E53E01">
        <w:t>m for OLCI-S3A/S3B</w:t>
      </w:r>
      <w:r w:rsidR="00FA5AD0" w:rsidRPr="00E53E01">
        <w:t>)</w:t>
      </w:r>
      <w:r w:rsidRPr="00E53E01">
        <w:t>. Linear interpolation was chosen as it has been used previously for spectral reconstruction with multispectral ocean color satellites [</w:t>
      </w:r>
      <w:r w:rsidR="008C51D5" w:rsidRPr="00E53E01">
        <w:t>37</w:t>
      </w:r>
      <w:r w:rsidRPr="00E53E01">
        <w:t>]. This linear interpolation introduces 5.3% +/</w:t>
      </w:r>
      <w:r w:rsidR="00944C45" w:rsidRPr="00E53E01">
        <w:t>−</w:t>
      </w:r>
      <w:r w:rsidRPr="00E53E01">
        <w:t xml:space="preserve"> 4.1% error and 5.9% +/</w:t>
      </w:r>
      <w:r w:rsidR="00944C45" w:rsidRPr="00E53E01">
        <w:t>−</w:t>
      </w:r>
      <w:r w:rsidRPr="00E53E01">
        <w:t xml:space="preserve"> 3.6% </w:t>
      </w:r>
      <w:r w:rsidRPr="00E53E01">
        <w:lastRenderedPageBreak/>
        <w:t xml:space="preserve">error for AERONET-OC and OLCI-S3A/S3B bands, respectively, in estimates of </w:t>
      </w:r>
      <w:proofErr w:type="spellStart"/>
      <w:r w:rsidRPr="00E53E01">
        <w:t>nL</w:t>
      </w:r>
      <w:r w:rsidRPr="00E53E01">
        <w:rPr>
          <w:vertAlign w:val="subscript"/>
        </w:rPr>
        <w:t>w</w:t>
      </w:r>
      <w:proofErr w:type="spellEnd"/>
      <w:r w:rsidR="00176853" w:rsidRPr="00E53E01">
        <w:t xml:space="preserve"> </w:t>
      </w:r>
      <w:r w:rsidR="00FA5AD0" w:rsidRPr="00E53E01">
        <w:t>(</w:t>
      </w:r>
      <w:r w:rsidRPr="00E53E01">
        <w:t>645</w:t>
      </w:r>
      <w:r w:rsidR="00FA5AD0" w:rsidRPr="00E53E01">
        <w:t>)</w:t>
      </w:r>
      <w:r w:rsidRPr="00E53E01">
        <w:t xml:space="preserve"> [</w:t>
      </w:r>
      <w:r w:rsidR="008C51D5" w:rsidRPr="00E53E01">
        <w:t>38</w:t>
      </w:r>
      <w:r w:rsidRPr="00E53E01">
        <w:t xml:space="preserve">]. The interpolated measurements at </w:t>
      </w:r>
      <w:proofErr w:type="spellStart"/>
      <w:r w:rsidRPr="00E53E01">
        <w:t>nL</w:t>
      </w:r>
      <w:r w:rsidRPr="00E53E01">
        <w:rPr>
          <w:vertAlign w:val="subscript"/>
        </w:rPr>
        <w:t>w</w:t>
      </w:r>
      <w:proofErr w:type="spellEnd"/>
      <w:r w:rsidR="00176853" w:rsidRPr="00E53E01">
        <w:t xml:space="preserve"> </w:t>
      </w:r>
      <w:r w:rsidR="00FA5AD0" w:rsidRPr="00E53E01">
        <w:t>(</w:t>
      </w:r>
      <w:r w:rsidRPr="00E53E01">
        <w:t>645</w:t>
      </w:r>
      <w:r w:rsidR="00FA5AD0" w:rsidRPr="00E53E01">
        <w:t>)</w:t>
      </w:r>
      <w:r w:rsidRPr="00E53E01">
        <w:rPr>
          <w:i/>
          <w:iCs/>
        </w:rPr>
        <w:t xml:space="preserve"> </w:t>
      </w:r>
      <w:r w:rsidRPr="00E53E01">
        <w:t>were used to calculate TSM according to the</w:t>
      </w:r>
      <w:r w:rsidR="004C0A22" w:rsidRPr="00E53E01">
        <w:t xml:space="preserve"> following</w:t>
      </w:r>
      <w:r w:rsidRPr="00E53E01">
        <w:t xml:space="preserve"> </w:t>
      </w:r>
      <w:r w:rsidR="004C0A22" w:rsidRPr="00E53E01">
        <w:t>third-</w:t>
      </w:r>
      <w:r w:rsidRPr="00E53E01">
        <w:t xml:space="preserve">order polynomial equation </w:t>
      </w:r>
      <w:r w:rsidR="00FA5AD0" w:rsidRPr="00E53E01">
        <w:t>(</w:t>
      </w:r>
      <w:r w:rsidRPr="00E53E01">
        <w:t xml:space="preserve">Equation </w:t>
      </w:r>
      <w:r w:rsidR="00FA5AD0" w:rsidRPr="00E53E01">
        <w:t>(</w:t>
      </w:r>
      <w:r w:rsidRPr="00E53E01">
        <w:t>4</w:t>
      </w:r>
      <w:r w:rsidR="00FA5AD0" w:rsidRPr="00E53E01">
        <w:t>))</w:t>
      </w:r>
      <w:r w:rsidRPr="00E53E01">
        <w:t>:</w:t>
      </w:r>
    </w:p>
    <w:tbl>
      <w:tblPr>
        <w:tblStyle w:val="TableGrid"/>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gridCol w:w="430"/>
      </w:tblGrid>
      <w:tr w:rsidR="00176853" w:rsidRPr="00E53E01" w14:paraId="058BB3C9" w14:textId="77777777" w:rsidTr="00176853">
        <w:trPr>
          <w:cantSplit/>
          <w:trHeight w:val="340"/>
        </w:trPr>
        <w:tc>
          <w:tcPr>
            <w:tcW w:w="7426" w:type="dxa"/>
            <w:shd w:val="clear" w:color="auto" w:fill="auto"/>
            <w:vAlign w:val="center"/>
          </w:tcPr>
          <w:p w14:paraId="3663158D" w14:textId="23786057" w:rsidR="00176853" w:rsidRPr="00E53E01" w:rsidRDefault="00176853" w:rsidP="00176853">
            <w:pPr>
              <w:pStyle w:val="MDPI31text"/>
              <w:spacing w:before="120" w:after="120" w:line="260" w:lineRule="atLeast"/>
              <w:ind w:left="706" w:firstLine="0"/>
              <w:jc w:val="center"/>
            </w:pPr>
            <w:r w:rsidRPr="00E53E01">
              <w:rPr>
                <w:rFonts w:cstheme="minorHAnsi"/>
                <w:i/>
                <w:iCs/>
                <w:szCs w:val="20"/>
              </w:rPr>
              <w:t>TSM</w:t>
            </w:r>
            <w:r w:rsidR="00FA5AD0" w:rsidRPr="00E53E01">
              <w:rPr>
                <w:rFonts w:cstheme="minorHAnsi"/>
                <w:szCs w:val="20"/>
              </w:rPr>
              <w:t>(</w:t>
            </w:r>
            <w:r w:rsidRPr="00E53E01">
              <w:rPr>
                <w:rFonts w:cstheme="minorHAnsi"/>
                <w:i/>
                <w:iCs/>
                <w:szCs w:val="20"/>
              </w:rPr>
              <w:t>mg/l</w:t>
            </w:r>
            <w:r w:rsidR="00FA5AD0" w:rsidRPr="00E53E01">
              <w:rPr>
                <w:rFonts w:cstheme="minorHAnsi"/>
                <w:szCs w:val="20"/>
              </w:rPr>
              <w:t>)</w:t>
            </w:r>
            <w:r w:rsidRPr="00E53E01">
              <w:rPr>
                <w:rFonts w:cstheme="minorHAnsi"/>
                <w:szCs w:val="20"/>
              </w:rPr>
              <w:t xml:space="preserve"> </w:t>
            </w:r>
            <w:r w:rsidRPr="00E53E01">
              <w:rPr>
                <w:rFonts w:cstheme="minorHAnsi"/>
                <w:i/>
                <w:iCs/>
                <w:szCs w:val="20"/>
              </w:rPr>
              <w:t>= 3.8813</w:t>
            </w:r>
            <w:r w:rsidR="00FA5AD0" w:rsidRPr="00E53E01">
              <w:rPr>
                <w:rFonts w:cstheme="minorHAnsi"/>
                <w:szCs w:val="20"/>
              </w:rPr>
              <w:t>(</w:t>
            </w:r>
            <w:proofErr w:type="spellStart"/>
            <w:r w:rsidRPr="00E53E01">
              <w:rPr>
                <w:rFonts w:cstheme="minorHAnsi"/>
                <w:i/>
                <w:iCs/>
                <w:szCs w:val="20"/>
              </w:rPr>
              <w:t>nL</w:t>
            </w:r>
            <w:r w:rsidRPr="00E53E01">
              <w:rPr>
                <w:rFonts w:cstheme="minorHAnsi"/>
                <w:i/>
                <w:iCs/>
                <w:szCs w:val="20"/>
                <w:vertAlign w:val="subscript"/>
              </w:rPr>
              <w:t>w</w:t>
            </w:r>
            <w:proofErr w:type="spellEnd"/>
            <w:r w:rsidRPr="00E53E01">
              <w:rPr>
                <w:rFonts w:cstheme="minorHAnsi"/>
                <w:szCs w:val="20"/>
              </w:rPr>
              <w:t xml:space="preserve"> </w:t>
            </w:r>
            <w:r w:rsidR="00FA5AD0" w:rsidRPr="00E53E01">
              <w:rPr>
                <w:rFonts w:cstheme="minorHAnsi"/>
                <w:szCs w:val="20"/>
              </w:rPr>
              <w:t>(</w:t>
            </w:r>
            <w:r w:rsidRPr="00E53E01">
              <w:rPr>
                <w:rFonts w:cstheme="minorHAnsi"/>
                <w:i/>
                <w:iCs/>
                <w:szCs w:val="20"/>
              </w:rPr>
              <w:t>645</w:t>
            </w:r>
            <w:r w:rsidR="00FA5AD0" w:rsidRPr="00E53E01">
              <w:rPr>
                <w:rFonts w:cstheme="minorHAnsi"/>
                <w:szCs w:val="20"/>
              </w:rPr>
              <w:t>))</w:t>
            </w:r>
            <w:r w:rsidRPr="00E53E01">
              <w:rPr>
                <w:rFonts w:cstheme="minorHAnsi"/>
                <w:i/>
                <w:iCs/>
                <w:szCs w:val="20"/>
                <w:vertAlign w:val="superscript"/>
              </w:rPr>
              <w:t>3</w:t>
            </w:r>
            <w:r w:rsidR="003C19A5" w:rsidRPr="00E53E01">
              <w:rPr>
                <w:rFonts w:cstheme="minorHAnsi"/>
                <w:i/>
                <w:iCs/>
                <w:szCs w:val="20"/>
              </w:rPr>
              <w:t xml:space="preserve"> − </w:t>
            </w:r>
            <w:r w:rsidRPr="00E53E01">
              <w:rPr>
                <w:rFonts w:cstheme="minorHAnsi"/>
                <w:i/>
                <w:iCs/>
                <w:szCs w:val="20"/>
              </w:rPr>
              <w:t>13.822</w:t>
            </w:r>
            <w:r w:rsidR="00FA5AD0" w:rsidRPr="00E53E01">
              <w:rPr>
                <w:rFonts w:cstheme="minorHAnsi"/>
                <w:szCs w:val="20"/>
              </w:rPr>
              <w:t>(</w:t>
            </w:r>
            <w:proofErr w:type="spellStart"/>
            <w:r w:rsidRPr="00E53E01">
              <w:rPr>
                <w:rFonts w:cstheme="minorHAnsi"/>
                <w:i/>
                <w:iCs/>
                <w:szCs w:val="20"/>
              </w:rPr>
              <w:t>nL</w:t>
            </w:r>
            <w:r w:rsidRPr="00E53E01">
              <w:rPr>
                <w:rFonts w:cstheme="minorHAnsi"/>
                <w:i/>
                <w:iCs/>
                <w:szCs w:val="20"/>
                <w:vertAlign w:val="subscript"/>
              </w:rPr>
              <w:t>w</w:t>
            </w:r>
            <w:proofErr w:type="spellEnd"/>
            <w:r w:rsidRPr="00E53E01">
              <w:rPr>
                <w:rFonts w:cstheme="minorHAnsi"/>
                <w:szCs w:val="20"/>
              </w:rPr>
              <w:t xml:space="preserve"> </w:t>
            </w:r>
            <w:r w:rsidR="00FA5AD0" w:rsidRPr="00E53E01">
              <w:rPr>
                <w:rFonts w:cstheme="minorHAnsi"/>
                <w:szCs w:val="20"/>
              </w:rPr>
              <w:t>(</w:t>
            </w:r>
            <w:r w:rsidRPr="00E53E01">
              <w:rPr>
                <w:rFonts w:cstheme="minorHAnsi"/>
                <w:i/>
                <w:iCs/>
                <w:szCs w:val="20"/>
              </w:rPr>
              <w:t>645</w:t>
            </w:r>
            <w:r w:rsidR="00FA5AD0" w:rsidRPr="00E53E01">
              <w:rPr>
                <w:rFonts w:cstheme="minorHAnsi"/>
                <w:szCs w:val="20"/>
              </w:rPr>
              <w:t>))</w:t>
            </w:r>
            <w:r w:rsidRPr="00E53E01">
              <w:rPr>
                <w:rFonts w:cstheme="minorHAnsi"/>
                <w:i/>
                <w:iCs/>
                <w:szCs w:val="20"/>
                <w:vertAlign w:val="superscript"/>
              </w:rPr>
              <w:t>2</w:t>
            </w:r>
            <w:r w:rsidRPr="00E53E01">
              <w:rPr>
                <w:rFonts w:cstheme="minorHAnsi"/>
                <w:i/>
                <w:iCs/>
                <w:szCs w:val="20"/>
              </w:rPr>
              <w:t xml:space="preserve"> + 19.61</w:t>
            </w:r>
            <w:r w:rsidR="00FA5AD0" w:rsidRPr="00E53E01">
              <w:rPr>
                <w:rFonts w:cstheme="minorHAnsi"/>
                <w:szCs w:val="20"/>
              </w:rPr>
              <w:t>(</w:t>
            </w:r>
            <w:r w:rsidRPr="00E53E01">
              <w:rPr>
                <w:rFonts w:cstheme="minorHAnsi"/>
                <w:i/>
                <w:iCs/>
                <w:szCs w:val="20"/>
              </w:rPr>
              <w:t>nL</w:t>
            </w:r>
            <w:r w:rsidRPr="00E53E01">
              <w:rPr>
                <w:rFonts w:cstheme="minorHAnsi"/>
                <w:i/>
                <w:iCs/>
                <w:szCs w:val="20"/>
                <w:vertAlign w:val="subscript"/>
              </w:rPr>
              <w:t>w</w:t>
            </w:r>
            <w:r w:rsidRPr="00E53E01">
              <w:rPr>
                <w:rFonts w:cstheme="minorHAnsi"/>
                <w:szCs w:val="20"/>
              </w:rPr>
              <w:t xml:space="preserve"> </w:t>
            </w:r>
            <w:r w:rsidR="00FA5AD0" w:rsidRPr="00E53E01">
              <w:rPr>
                <w:rFonts w:cstheme="minorHAnsi"/>
                <w:szCs w:val="20"/>
              </w:rPr>
              <w:t>(</w:t>
            </w:r>
            <w:r w:rsidRPr="00E53E01">
              <w:rPr>
                <w:rFonts w:cstheme="minorHAnsi"/>
                <w:i/>
                <w:iCs/>
                <w:szCs w:val="20"/>
              </w:rPr>
              <w:t>645</w:t>
            </w:r>
            <w:r w:rsidR="00FA5AD0" w:rsidRPr="00E53E01">
              <w:rPr>
                <w:rFonts w:cstheme="minorHAnsi"/>
                <w:szCs w:val="20"/>
              </w:rPr>
              <w:t>))</w:t>
            </w:r>
          </w:p>
        </w:tc>
        <w:tc>
          <w:tcPr>
            <w:tcW w:w="430" w:type="dxa"/>
            <w:shd w:val="clear" w:color="auto" w:fill="auto"/>
            <w:vAlign w:val="center"/>
          </w:tcPr>
          <w:p w14:paraId="123E92A0" w14:textId="4F1EA884" w:rsidR="00176853" w:rsidRPr="00E53E01" w:rsidRDefault="00FA5AD0" w:rsidP="00176853">
            <w:pPr>
              <w:pStyle w:val="MDPI31text"/>
              <w:spacing w:before="120" w:after="120" w:line="260" w:lineRule="atLeast"/>
              <w:ind w:left="0" w:firstLine="0"/>
              <w:jc w:val="right"/>
            </w:pPr>
            <w:r w:rsidRPr="00E53E01">
              <w:t>(</w:t>
            </w:r>
            <w:fldSimple w:instr=" seq EquationSeq \* \Arabic ">
              <w:r w:rsidR="002954AB" w:rsidRPr="00E53E01">
                <w:rPr>
                  <w:noProof/>
                </w:rPr>
                <w:t>4</w:t>
              </w:r>
            </w:fldSimple>
            <w:r w:rsidRPr="00E53E01">
              <w:t>)</w:t>
            </w:r>
          </w:p>
        </w:tc>
      </w:tr>
    </w:tbl>
    <w:p w14:paraId="01AF87BA" w14:textId="77777777" w:rsidR="00176A80" w:rsidRPr="00E53E01" w:rsidRDefault="00176A80" w:rsidP="006769EC">
      <w:pPr>
        <w:pStyle w:val="MDPI31text"/>
      </w:pPr>
      <w:r w:rsidRPr="00E53E01">
        <w:t>The calculated OLCI-S3A/S3B TSM concentrations were used to generate two-day composites of dates surrounding a storm event in early 2024. We found that two-day composites captured the events better than single scenes due to the presence of missing and flagged data. By generating two-day composites, we were able to observe a synoptic view of changes throughout the storm events.</w:t>
      </w:r>
    </w:p>
    <w:p w14:paraId="45F68F49" w14:textId="46507538" w:rsidR="00176A80" w:rsidRPr="00E53E01" w:rsidRDefault="006769EC" w:rsidP="006769EC">
      <w:pPr>
        <w:pStyle w:val="MDPI22heading2"/>
        <w:spacing w:before="240"/>
      </w:pPr>
      <w:r w:rsidRPr="00E53E01">
        <w:t xml:space="preserve">2.6. </w:t>
      </w:r>
      <w:r w:rsidR="00176A80" w:rsidRPr="00E53E01">
        <w:t>Air</w:t>
      </w:r>
      <w:r w:rsidR="00164453" w:rsidRPr="00E53E01">
        <w:t>-</w:t>
      </w:r>
      <w:r w:rsidR="00176A80" w:rsidRPr="00E53E01">
        <w:t>Quality Observations</w:t>
      </w:r>
    </w:p>
    <w:p w14:paraId="1EE3BD83" w14:textId="2606CC5F" w:rsidR="00176A80" w:rsidRPr="00E53E01" w:rsidRDefault="00176A80" w:rsidP="00CC26F7">
      <w:pPr>
        <w:pStyle w:val="MDPI31text"/>
        <w:rPr>
          <w:spacing w:val="-2"/>
        </w:rPr>
      </w:pPr>
      <w:r w:rsidRPr="00E53E01">
        <w:rPr>
          <w:spacing w:val="-2"/>
        </w:rPr>
        <w:t xml:space="preserve">Satellite-derived aerosol optical depth </w:t>
      </w:r>
      <w:r w:rsidR="00FA5AD0" w:rsidRPr="00E53E01">
        <w:rPr>
          <w:spacing w:val="-2"/>
        </w:rPr>
        <w:t>(</w:t>
      </w:r>
      <w:r w:rsidRPr="00E53E01">
        <w:rPr>
          <w:spacing w:val="-2"/>
        </w:rPr>
        <w:t>AOD</w:t>
      </w:r>
      <w:r w:rsidR="00FA5AD0" w:rsidRPr="00E53E01">
        <w:rPr>
          <w:spacing w:val="-2"/>
        </w:rPr>
        <w:t>)</w:t>
      </w:r>
      <w:r w:rsidRPr="00E53E01">
        <w:rPr>
          <w:spacing w:val="-2"/>
        </w:rPr>
        <w:t xml:space="preserve"> was retrieved during the summer of 2023, when smoke from the 2023 Canadian </w:t>
      </w:r>
      <w:r w:rsidR="006F45B4" w:rsidRPr="00E53E01">
        <w:rPr>
          <w:spacing w:val="-2"/>
        </w:rPr>
        <w:t>w</w:t>
      </w:r>
      <w:r w:rsidRPr="00E53E01">
        <w:rPr>
          <w:spacing w:val="-2"/>
        </w:rPr>
        <w:t>ildfires was visible over the AERONET-OC site. We used the MODIS-A/T Multi-</w:t>
      </w:r>
      <w:r w:rsidR="006F45B4" w:rsidRPr="00E53E01">
        <w:rPr>
          <w:spacing w:val="-2"/>
        </w:rPr>
        <w:t>A</w:t>
      </w:r>
      <w:r w:rsidRPr="00E53E01">
        <w:rPr>
          <w:spacing w:val="-2"/>
        </w:rPr>
        <w:t xml:space="preserve">ngle Implementation of Atmospheric Correction </w:t>
      </w:r>
      <w:r w:rsidR="00FA5AD0" w:rsidRPr="00E53E01">
        <w:rPr>
          <w:spacing w:val="-2"/>
        </w:rPr>
        <w:t>(</w:t>
      </w:r>
      <w:r w:rsidRPr="00E53E01">
        <w:rPr>
          <w:spacing w:val="-2"/>
        </w:rPr>
        <w:t>MAIAC</w:t>
      </w:r>
      <w:r w:rsidR="00FA5AD0" w:rsidRPr="00E53E01">
        <w:rPr>
          <w:spacing w:val="-2"/>
        </w:rPr>
        <w:t>)</w:t>
      </w:r>
      <w:r w:rsidRPr="00E53E01">
        <w:rPr>
          <w:spacing w:val="-2"/>
        </w:rPr>
        <w:t xml:space="preserve"> AOD product from LP.DAAC [</w:t>
      </w:r>
      <w:r w:rsidR="008C51D5" w:rsidRPr="00E53E01">
        <w:rPr>
          <w:spacing w:val="-2"/>
        </w:rPr>
        <w:t>39</w:t>
      </w:r>
      <w:r w:rsidRPr="00E53E01">
        <w:rPr>
          <w:spacing w:val="-2"/>
        </w:rPr>
        <w:t xml:space="preserve">] and extracted AOD values at the nearest pixel to the AERONET-OC site. We compared these to </w:t>
      </w:r>
      <w:r w:rsidR="004C0A22" w:rsidRPr="00E53E01">
        <w:rPr>
          <w:spacing w:val="-2"/>
        </w:rPr>
        <w:t xml:space="preserve">the </w:t>
      </w:r>
      <w:r w:rsidRPr="00E53E01">
        <w:rPr>
          <w:spacing w:val="-2"/>
        </w:rPr>
        <w:t>AERONET-derived AOD product in Level-2 format, which undergoes additional processing, including cloud screening, quality assurance, and pre- and post-field calibration [</w:t>
      </w:r>
      <w:r w:rsidR="008C51D5" w:rsidRPr="00E53E01">
        <w:rPr>
          <w:spacing w:val="-2"/>
        </w:rPr>
        <w:t>40</w:t>
      </w:r>
      <w:r w:rsidRPr="00E53E01">
        <w:rPr>
          <w:spacing w:val="-2"/>
        </w:rPr>
        <w:t>]. The PM2.5 air</w:t>
      </w:r>
      <w:r w:rsidR="00164453" w:rsidRPr="00E53E01">
        <w:rPr>
          <w:spacing w:val="-2"/>
        </w:rPr>
        <w:t>-</w:t>
      </w:r>
      <w:r w:rsidRPr="00E53E01">
        <w:rPr>
          <w:spacing w:val="-2"/>
        </w:rPr>
        <w:t xml:space="preserve">quality index </w:t>
      </w:r>
      <w:r w:rsidR="00FA5AD0" w:rsidRPr="00E53E01">
        <w:rPr>
          <w:spacing w:val="-2"/>
        </w:rPr>
        <w:t>(</w:t>
      </w:r>
      <w:r w:rsidRPr="00E53E01">
        <w:rPr>
          <w:spacing w:val="-2"/>
        </w:rPr>
        <w:t>AQI</w:t>
      </w:r>
      <w:r w:rsidR="00FA5AD0" w:rsidRPr="00E53E01">
        <w:rPr>
          <w:spacing w:val="-2"/>
        </w:rPr>
        <w:t>)</w:t>
      </w:r>
      <w:r w:rsidRPr="00E53E01">
        <w:rPr>
          <w:spacing w:val="-2"/>
        </w:rPr>
        <w:t xml:space="preserve"> </w:t>
      </w:r>
      <w:r w:rsidR="00A15744" w:rsidRPr="00E53E01">
        <w:rPr>
          <w:spacing w:val="-2"/>
          <w:u w:color="8969CD"/>
        </w:rPr>
        <w:t>data were</w:t>
      </w:r>
      <w:r w:rsidRPr="00E53E01">
        <w:rPr>
          <w:spacing w:val="-2"/>
        </w:rPr>
        <w:t xml:space="preserve"> used for comparison with the AOD patterns during the wildfires. PM2.5 AQI </w:t>
      </w:r>
      <w:r w:rsidR="00A15744" w:rsidRPr="00E53E01">
        <w:rPr>
          <w:spacing w:val="-2"/>
          <w:u w:color="8969CD"/>
        </w:rPr>
        <w:t>data were</w:t>
      </w:r>
      <w:r w:rsidRPr="00E53E01">
        <w:rPr>
          <w:spacing w:val="-2"/>
        </w:rPr>
        <w:t xml:space="preserve"> retrieved from EPA from nearby Columbia, Towson, and Baltimore sensors.</w:t>
      </w:r>
    </w:p>
    <w:p w14:paraId="21EA1AD7" w14:textId="35700977" w:rsidR="00176A80" w:rsidRPr="00E53E01" w:rsidRDefault="00CC26F7" w:rsidP="00CC26F7">
      <w:pPr>
        <w:pStyle w:val="MDPI21heading1"/>
      </w:pPr>
      <w:r w:rsidRPr="00E53E01">
        <w:t xml:space="preserve">3. </w:t>
      </w:r>
      <w:r w:rsidR="00176A80" w:rsidRPr="00E53E01">
        <w:t>Results and Discussion</w:t>
      </w:r>
    </w:p>
    <w:p w14:paraId="2D147230" w14:textId="0C706CE4" w:rsidR="00176A80" w:rsidRPr="00E53E01" w:rsidRDefault="00CC26F7" w:rsidP="00CC26F7">
      <w:pPr>
        <w:pStyle w:val="MDPI22heading2"/>
      </w:pPr>
      <w:r w:rsidRPr="00E53E01">
        <w:t xml:space="preserve">3.1. </w:t>
      </w:r>
      <w:r w:rsidR="00176A80" w:rsidRPr="00E53E01">
        <w:t>Multispectral Comparisons</w:t>
      </w:r>
    </w:p>
    <w:p w14:paraId="046D6B3D" w14:textId="1160EE8A" w:rsidR="00176A80" w:rsidRPr="00E53E01" w:rsidRDefault="00176A80" w:rsidP="00CC26F7">
      <w:pPr>
        <w:pStyle w:val="MDPI31text"/>
      </w:pPr>
      <w:r w:rsidRPr="00E53E01">
        <w:t>We used AERONET-OC R</w:t>
      </w:r>
      <w:r w:rsidRPr="00E53E01">
        <w:rPr>
          <w:vertAlign w:val="subscript"/>
        </w:rPr>
        <w:t>rs</w:t>
      </w:r>
      <w:r w:rsidRPr="00E53E01">
        <w:t xml:space="preserve"> measurements collected over 653 days between 2022 and 2025 to compare with multispectral sensors. After applying exclusion criteria, 174 matchups with MODIS-Aqua, 253 with OLCI-S3A/S3B, and 210 with VIIRS-NPP were used for comparison. Scatterplots illustrating the comparisons between satellite-derived and AERONET-OC R</w:t>
      </w:r>
      <w:r w:rsidRPr="00E53E01">
        <w:rPr>
          <w:vertAlign w:val="subscript"/>
        </w:rPr>
        <w:t>rs</w:t>
      </w:r>
      <w:r w:rsidRPr="00E53E01">
        <w:t xml:space="preserve"> measurements were created </w:t>
      </w:r>
      <w:r w:rsidR="00FA5AD0" w:rsidRPr="00E53E01">
        <w:t>(</w:t>
      </w:r>
      <w:r w:rsidRPr="00E53E01">
        <w:t>Figure 2</w:t>
      </w:r>
      <w:r w:rsidR="00FA5AD0" w:rsidRPr="00E53E01">
        <w:t>)</w:t>
      </w:r>
      <w:r w:rsidRPr="00E53E01">
        <w:t>.</w:t>
      </w:r>
    </w:p>
    <w:p w14:paraId="74B7C7CB" w14:textId="6DDB1726" w:rsidR="00176A80" w:rsidRPr="00E53E01" w:rsidRDefault="00441C6E" w:rsidP="000C205A">
      <w:pPr>
        <w:pStyle w:val="MDPI52figure"/>
        <w:ind w:left="2608"/>
        <w:jc w:val="left"/>
      </w:pPr>
      <w:r w:rsidRPr="00E53E01">
        <w:rPr>
          <w:noProof/>
          <w:snapToGrid/>
          <w14:ligatures w14:val="none"/>
        </w:rPr>
        <w:drawing>
          <wp:inline distT="0" distB="0" distL="0" distR="0" wp14:anchorId="76C26162" wp14:editId="796D2911">
            <wp:extent cx="5090703" cy="3764280"/>
            <wp:effectExtent l="0" t="0" r="0" b="7620"/>
            <wp:docPr id="1971564120" name="Picture 1" descr="Chart, scatt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64120" name="Picture 1" descr="Chart, scatter chart&#10;&#10;AI-generated content may be incorrect."/>
                    <pic:cNvPicPr/>
                  </pic:nvPicPr>
                  <pic:blipFill>
                    <a:blip r:embed="rId8"/>
                    <a:stretch>
                      <a:fillRect/>
                    </a:stretch>
                  </pic:blipFill>
                  <pic:spPr>
                    <a:xfrm>
                      <a:off x="0" y="0"/>
                      <a:ext cx="5115826" cy="3782857"/>
                    </a:xfrm>
                    <a:prstGeom prst="rect">
                      <a:avLst/>
                    </a:prstGeom>
                  </pic:spPr>
                </pic:pic>
              </a:graphicData>
            </a:graphic>
          </wp:inline>
        </w:drawing>
      </w:r>
    </w:p>
    <w:p w14:paraId="49789F45" w14:textId="2E8CE95B" w:rsidR="00176A80" w:rsidRPr="00E53E01" w:rsidRDefault="00176A80" w:rsidP="00CC26F7">
      <w:pPr>
        <w:pStyle w:val="MDPI51figurecaption"/>
        <w:jc w:val="both"/>
        <w:rPr>
          <w:spacing w:val="-4"/>
        </w:rPr>
      </w:pPr>
      <w:r w:rsidRPr="00E53E01">
        <w:rPr>
          <w:b/>
          <w:bCs/>
          <w:spacing w:val="-4"/>
        </w:rPr>
        <w:lastRenderedPageBreak/>
        <w:t xml:space="preserve">Figure 2. </w:t>
      </w:r>
      <w:r w:rsidRPr="00E53E01">
        <w:rPr>
          <w:spacing w:val="-4"/>
        </w:rPr>
        <w:t xml:space="preserve">Comparison of </w:t>
      </w:r>
      <w:r w:rsidRPr="00E53E01">
        <w:rPr>
          <w:iCs/>
          <w:spacing w:val="-4"/>
          <w:sz w:val="20"/>
        </w:rPr>
        <w:t>in situ</w:t>
      </w:r>
      <w:r w:rsidRPr="00E53E01">
        <w:rPr>
          <w:spacing w:val="-4"/>
        </w:rPr>
        <w:t xml:space="preserve"> AERONET-OC R</w:t>
      </w:r>
      <w:r w:rsidRPr="00E53E01">
        <w:rPr>
          <w:spacing w:val="-4"/>
          <w:vertAlign w:val="subscript"/>
        </w:rPr>
        <w:t>rs</w:t>
      </w:r>
      <w:r w:rsidRPr="00E53E01">
        <w:rPr>
          <w:spacing w:val="-4"/>
        </w:rPr>
        <w:t xml:space="preserve"> against coincident satellite R</w:t>
      </w:r>
      <w:r w:rsidRPr="00E53E01">
        <w:rPr>
          <w:spacing w:val="-4"/>
          <w:vertAlign w:val="subscript"/>
        </w:rPr>
        <w:t>rs</w:t>
      </w:r>
      <w:r w:rsidRPr="00E53E01">
        <w:rPr>
          <w:spacing w:val="-4"/>
        </w:rPr>
        <w:t xml:space="preserve"> measurements at 3 wavelengths. The dotted line is the ideal trendline </w:t>
      </w:r>
      <w:r w:rsidR="00FA5AD0" w:rsidRPr="00E53E01">
        <w:rPr>
          <w:spacing w:val="-4"/>
        </w:rPr>
        <w:t>(</w:t>
      </w:r>
      <w:r w:rsidRPr="00E53E01">
        <w:rPr>
          <w:spacing w:val="-4"/>
        </w:rPr>
        <w:t>y</w:t>
      </w:r>
      <w:r w:rsidR="00CC26F7" w:rsidRPr="00E53E01">
        <w:rPr>
          <w:spacing w:val="-4"/>
        </w:rPr>
        <w:t xml:space="preserve"> </w:t>
      </w:r>
      <w:r w:rsidRPr="00E53E01">
        <w:rPr>
          <w:spacing w:val="-4"/>
        </w:rPr>
        <w:t>=</w:t>
      </w:r>
      <w:r w:rsidR="00CC26F7" w:rsidRPr="00E53E01">
        <w:rPr>
          <w:spacing w:val="-4"/>
        </w:rPr>
        <w:t xml:space="preserve"> </w:t>
      </w:r>
      <w:r w:rsidRPr="00E53E01">
        <w:rPr>
          <w:spacing w:val="-4"/>
        </w:rPr>
        <w:t>x</w:t>
      </w:r>
      <w:r w:rsidR="00FA5AD0" w:rsidRPr="00E53E01">
        <w:rPr>
          <w:spacing w:val="-4"/>
        </w:rPr>
        <w:t>)</w:t>
      </w:r>
      <w:r w:rsidRPr="00E53E01">
        <w:rPr>
          <w:spacing w:val="-4"/>
        </w:rPr>
        <w:t>, and the solid line is the actual regression line.</w:t>
      </w:r>
    </w:p>
    <w:p w14:paraId="338302E4" w14:textId="09140751" w:rsidR="00176A80" w:rsidRPr="00E53E01" w:rsidRDefault="00176A80" w:rsidP="00DA6BB2">
      <w:pPr>
        <w:pStyle w:val="MDPI31text"/>
      </w:pPr>
      <w:r w:rsidRPr="00E53E01">
        <w:t xml:space="preserve">The sensor comparisons with AERONET-OC found lower correlation </w:t>
      </w:r>
      <w:r w:rsidR="00FA5AD0" w:rsidRPr="00E53E01">
        <w:t>(</w:t>
      </w:r>
      <w:r w:rsidRPr="00E53E01">
        <w:t>r = 0.61</w:t>
      </w:r>
      <w:r w:rsidR="00FA5AD0" w:rsidRPr="00E53E01">
        <w:t>1–0</w:t>
      </w:r>
      <w:r w:rsidRPr="00E53E01">
        <w:t>.776</w:t>
      </w:r>
      <w:r w:rsidR="00FA5AD0" w:rsidRPr="00E53E01">
        <w:t>)</w:t>
      </w:r>
      <w:r w:rsidRPr="00E53E01">
        <w:t xml:space="preserve"> for the blue band </w:t>
      </w:r>
      <w:r w:rsidR="00FA5AD0" w:rsidRPr="00E53E01">
        <w:t>(</w:t>
      </w:r>
      <w:r w:rsidRPr="00E53E01">
        <w:t>44</w:t>
      </w:r>
      <w:r w:rsidR="00FA5AD0" w:rsidRPr="00E53E01">
        <w:t>3 n</w:t>
      </w:r>
      <w:r w:rsidRPr="00E53E01">
        <w:t>m</w:t>
      </w:r>
      <w:r w:rsidR="00FA5AD0" w:rsidRPr="00E53E01">
        <w:t>)</w:t>
      </w:r>
      <w:r w:rsidRPr="00E53E01">
        <w:t xml:space="preserve"> compared to strong correlations observed in the red and green wavelengths </w:t>
      </w:r>
      <w:r w:rsidR="00FA5AD0" w:rsidRPr="00E53E01">
        <w:t>(</w:t>
      </w:r>
      <w:r w:rsidRPr="00E53E01">
        <w:t>55</w:t>
      </w:r>
      <w:r w:rsidR="00FA5AD0" w:rsidRPr="00E53E01">
        <w:t>5 n</w:t>
      </w:r>
      <w:r w:rsidRPr="00E53E01">
        <w:t>m and 66</w:t>
      </w:r>
      <w:r w:rsidR="00FA5AD0" w:rsidRPr="00E53E01">
        <w:t>7 n</w:t>
      </w:r>
      <w:r w:rsidRPr="00E53E01">
        <w:t>m</w:t>
      </w:r>
      <w:r w:rsidR="00FA5AD0" w:rsidRPr="00E53E01">
        <w:t>)</w:t>
      </w:r>
      <w:r w:rsidRPr="00E53E01">
        <w:t>, where regression R-values exceeded 0.91 for all sensors. This discrepancy is consistent with known challenges in remote sensing of blue bands in coastal and inland waters [</w:t>
      </w:r>
      <w:r w:rsidR="008C51D5" w:rsidRPr="00E53E01">
        <w:t>41</w:t>
      </w:r>
      <w:r w:rsidRPr="00E53E01">
        <w:t>].</w:t>
      </w:r>
    </w:p>
    <w:p w14:paraId="4412C317" w14:textId="67ABCB2F" w:rsidR="00176A80" w:rsidRPr="00E53E01" w:rsidRDefault="00176A80" w:rsidP="00DA6BB2">
      <w:pPr>
        <w:pStyle w:val="MDPI31text"/>
      </w:pPr>
      <w:r w:rsidRPr="00E53E01">
        <w:t xml:space="preserve">The multispectral sensors used in this comparison were largely consistent in their performance, though slight differences were observed in their biases and error metrics </w:t>
      </w:r>
      <w:r w:rsidR="00FA5AD0" w:rsidRPr="00E53E01">
        <w:t>(</w:t>
      </w:r>
      <w:r w:rsidRPr="00E53E01">
        <w:t>Table 1</w:t>
      </w:r>
      <w:r w:rsidR="00FA5AD0" w:rsidRPr="00E53E01">
        <w:t>)</w:t>
      </w:r>
      <w:r w:rsidRPr="00E53E01">
        <w:t>. MODIS-Aqua and VIIRS-NPP generally underestimated AERONET-OC R</w:t>
      </w:r>
      <w:r w:rsidRPr="00E53E01">
        <w:rPr>
          <w:vertAlign w:val="subscript"/>
        </w:rPr>
        <w:t>rs</w:t>
      </w:r>
      <w:r w:rsidRPr="00E53E01">
        <w:t xml:space="preserve"> values, with negative biases observed across all wavelengths. These biases were most pronounced at 555 nm for MODIS-Aqua </w:t>
      </w:r>
      <w:r w:rsidR="00FA5AD0" w:rsidRPr="00E53E01">
        <w:t>(</w:t>
      </w:r>
      <w:r w:rsidR="00944C45" w:rsidRPr="00E53E01">
        <w:t>−0</w:t>
      </w:r>
      <w:r w:rsidRPr="00E53E01">
        <w:t>.00168 sr</w:t>
      </w:r>
      <w:r w:rsidR="006A4550" w:rsidRPr="00E53E01">
        <w:rPr>
          <w:vertAlign w:val="superscript"/>
        </w:rPr>
        <w:t>−1</w:t>
      </w:r>
      <w:r w:rsidR="00FA5AD0" w:rsidRPr="00E53E01">
        <w:t>)</w:t>
      </w:r>
      <w:r w:rsidRPr="00E53E01">
        <w:t xml:space="preserve"> and 551 nm for VIIRS-NPP </w:t>
      </w:r>
      <w:r w:rsidR="00FA5AD0" w:rsidRPr="00E53E01">
        <w:t>(</w:t>
      </w:r>
      <w:r w:rsidR="00944C45" w:rsidRPr="00E53E01">
        <w:t>−0</w:t>
      </w:r>
      <w:r w:rsidRPr="00E53E01">
        <w:t>.00168 sr</w:t>
      </w:r>
      <w:r w:rsidR="006A4550" w:rsidRPr="00E53E01">
        <w:rPr>
          <w:vertAlign w:val="superscript"/>
        </w:rPr>
        <w:t>−1</w:t>
      </w:r>
      <w:r w:rsidR="00FA5AD0" w:rsidRPr="00E53E01">
        <w:t>)</w:t>
      </w:r>
      <w:r w:rsidRPr="00E53E01">
        <w:t>. Conversely, OLCI-S3A/S3B demonstrated positive biases at all wavelengths, with the most pronounced bias at 44</w:t>
      </w:r>
      <w:r w:rsidR="00FA5AD0" w:rsidRPr="00E53E01">
        <w:t>3 n</w:t>
      </w:r>
      <w:r w:rsidRPr="00E53E01">
        <w:t xml:space="preserve">m </w:t>
      </w:r>
      <w:r w:rsidR="00FA5AD0" w:rsidRPr="00E53E01">
        <w:t>(</w:t>
      </w:r>
      <w:r w:rsidRPr="00E53E01">
        <w:t>0.00108 sr</w:t>
      </w:r>
      <w:r w:rsidR="006A4550" w:rsidRPr="00E53E01">
        <w:rPr>
          <w:vertAlign w:val="superscript"/>
        </w:rPr>
        <w:t>−1</w:t>
      </w:r>
      <w:r w:rsidR="00FA5AD0" w:rsidRPr="00E53E01">
        <w:t>)</w:t>
      </w:r>
      <w:r w:rsidRPr="00E53E01">
        <w:t>.</w:t>
      </w:r>
    </w:p>
    <w:p w14:paraId="221FE7B0" w14:textId="63930283" w:rsidR="00176A80" w:rsidRPr="00E53E01" w:rsidRDefault="00176A80" w:rsidP="00DA6BB2">
      <w:pPr>
        <w:pStyle w:val="MDPI41tablecaption"/>
        <w:jc w:val="both"/>
      </w:pPr>
      <w:r w:rsidRPr="00E53E01">
        <w:rPr>
          <w:b/>
        </w:rPr>
        <w:t xml:space="preserve">Table 1. </w:t>
      </w:r>
      <w:r w:rsidRPr="00E53E01">
        <w:t>R</w:t>
      </w:r>
      <w:r w:rsidRPr="00E53E01">
        <w:rPr>
          <w:vertAlign w:val="subscript"/>
        </w:rPr>
        <w:t>rs</w:t>
      </w:r>
      <w:r w:rsidRPr="00E53E01">
        <w:t xml:space="preserve"> comparisons of MODIS-Aqua, OLCI-S3A/S3B, and VIIRS-NPP with R</w:t>
      </w:r>
      <w:r w:rsidRPr="00E53E01">
        <w:rPr>
          <w:vertAlign w:val="subscript"/>
        </w:rPr>
        <w:t>rs</w:t>
      </w:r>
      <w:r w:rsidRPr="00E53E01">
        <w:t xml:space="preserve"> derived from AERONET-OC.</w:t>
      </w:r>
    </w:p>
    <w:tbl>
      <w:tblPr>
        <w:tblW w:w="10465"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2032"/>
        <w:gridCol w:w="1219"/>
        <w:gridCol w:w="1118"/>
        <w:gridCol w:w="1626"/>
        <w:gridCol w:w="1219"/>
        <w:gridCol w:w="1829"/>
        <w:gridCol w:w="1422"/>
      </w:tblGrid>
      <w:tr w:rsidR="00176A80" w:rsidRPr="00E53E01" w14:paraId="154E2AB5" w14:textId="77777777" w:rsidTr="00BC6FE8">
        <w:trPr>
          <w:jc w:val="center"/>
        </w:trPr>
        <w:tc>
          <w:tcPr>
            <w:tcW w:w="2032" w:type="dxa"/>
            <w:tcBorders>
              <w:top w:val="single" w:sz="8" w:space="0" w:color="auto"/>
              <w:bottom w:val="single" w:sz="4" w:space="0" w:color="auto"/>
            </w:tcBorders>
            <w:shd w:val="clear" w:color="auto" w:fill="auto"/>
            <w:vAlign w:val="center"/>
          </w:tcPr>
          <w:p w14:paraId="3D0808E7" w14:textId="6E4A35C6" w:rsidR="00176A80" w:rsidRPr="00E53E01" w:rsidRDefault="00176A80" w:rsidP="00DA6BB2">
            <w:pPr>
              <w:pStyle w:val="MDPI42tablebody"/>
              <w:autoSpaceDE w:val="0"/>
              <w:autoSpaceDN w:val="0"/>
              <w:rPr>
                <w:b/>
                <w:bCs/>
              </w:rPr>
            </w:pPr>
            <w:r w:rsidRPr="00E53E01">
              <w:rPr>
                <w:rStyle w:val="normaltextrun"/>
                <w:b/>
              </w:rPr>
              <w:t>Sensor</w:t>
            </w:r>
          </w:p>
        </w:tc>
        <w:tc>
          <w:tcPr>
            <w:tcW w:w="1219" w:type="dxa"/>
            <w:tcBorders>
              <w:top w:val="single" w:sz="8" w:space="0" w:color="auto"/>
              <w:bottom w:val="single" w:sz="4" w:space="0" w:color="auto"/>
            </w:tcBorders>
            <w:shd w:val="clear" w:color="auto" w:fill="auto"/>
            <w:vAlign w:val="center"/>
          </w:tcPr>
          <w:p w14:paraId="784A6812" w14:textId="77D00D87" w:rsidR="00176A80" w:rsidRPr="00E53E01" w:rsidRDefault="00176A80" w:rsidP="00DA6BB2">
            <w:pPr>
              <w:pStyle w:val="MDPI42tablebody"/>
              <w:autoSpaceDE w:val="0"/>
              <w:autoSpaceDN w:val="0"/>
              <w:rPr>
                <w:b/>
                <w:bCs/>
              </w:rPr>
            </w:pPr>
            <w:r w:rsidRPr="00E53E01">
              <w:rPr>
                <w:rStyle w:val="normaltextrun"/>
                <w:b/>
              </w:rPr>
              <w:t xml:space="preserve">λ </w:t>
            </w:r>
            <w:r w:rsidR="00FA5AD0" w:rsidRPr="00E53E01">
              <w:rPr>
                <w:rStyle w:val="normaltextrun"/>
                <w:b/>
              </w:rPr>
              <w:t>(</w:t>
            </w:r>
            <w:r w:rsidRPr="00E53E01">
              <w:rPr>
                <w:rStyle w:val="normaltextrun"/>
                <w:b/>
              </w:rPr>
              <w:t>nm</w:t>
            </w:r>
            <w:r w:rsidR="00FA5AD0" w:rsidRPr="00E53E01">
              <w:rPr>
                <w:rStyle w:val="normaltextrun"/>
                <w:b/>
              </w:rPr>
              <w:t>)</w:t>
            </w:r>
          </w:p>
        </w:tc>
        <w:tc>
          <w:tcPr>
            <w:tcW w:w="1118" w:type="dxa"/>
            <w:tcBorders>
              <w:top w:val="single" w:sz="8" w:space="0" w:color="auto"/>
              <w:bottom w:val="single" w:sz="4" w:space="0" w:color="auto"/>
            </w:tcBorders>
            <w:shd w:val="clear" w:color="auto" w:fill="auto"/>
            <w:vAlign w:val="center"/>
            <w:hideMark/>
          </w:tcPr>
          <w:p w14:paraId="598778CB" w14:textId="723B6FBB" w:rsidR="00176A80" w:rsidRPr="00E53E01" w:rsidRDefault="00176A80" w:rsidP="00DA6BB2">
            <w:pPr>
              <w:pStyle w:val="MDPI42tablebody"/>
              <w:autoSpaceDE w:val="0"/>
              <w:autoSpaceDN w:val="0"/>
              <w:rPr>
                <w:b/>
                <w:bCs/>
              </w:rPr>
            </w:pPr>
            <w:r w:rsidRPr="00E53E01">
              <w:rPr>
                <w:rStyle w:val="normaltextrun"/>
                <w:b/>
              </w:rPr>
              <w:t>N</w:t>
            </w:r>
          </w:p>
        </w:tc>
        <w:tc>
          <w:tcPr>
            <w:tcW w:w="1626" w:type="dxa"/>
            <w:tcBorders>
              <w:top w:val="single" w:sz="8" w:space="0" w:color="auto"/>
              <w:bottom w:val="single" w:sz="4" w:space="0" w:color="auto"/>
            </w:tcBorders>
            <w:shd w:val="clear" w:color="auto" w:fill="auto"/>
            <w:vAlign w:val="center"/>
          </w:tcPr>
          <w:p w14:paraId="3D31E022" w14:textId="6470DAF3" w:rsidR="00176A80" w:rsidRPr="00E53E01" w:rsidRDefault="00176A80" w:rsidP="00DA6BB2">
            <w:pPr>
              <w:pStyle w:val="MDPI42tablebody"/>
              <w:autoSpaceDE w:val="0"/>
              <w:autoSpaceDN w:val="0"/>
              <w:rPr>
                <w:b/>
                <w:bCs/>
              </w:rPr>
            </w:pPr>
            <w:r w:rsidRPr="00E53E01">
              <w:rPr>
                <w:rStyle w:val="normaltextrun"/>
                <w:b/>
              </w:rPr>
              <w:t xml:space="preserve">Bias </w:t>
            </w:r>
            <w:r w:rsidR="00FA5AD0" w:rsidRPr="00E53E01">
              <w:rPr>
                <w:rStyle w:val="normaltextrun"/>
                <w:b/>
              </w:rPr>
              <w:t>(</w:t>
            </w:r>
            <w:r w:rsidRPr="00E53E01">
              <w:rPr>
                <w:rStyle w:val="normaltextrun"/>
                <w:b/>
              </w:rPr>
              <w:t>sr</w:t>
            </w:r>
            <w:r w:rsidR="006A4550" w:rsidRPr="00E53E01">
              <w:rPr>
                <w:rStyle w:val="normaltextrun"/>
                <w:b/>
                <w:szCs w:val="19"/>
                <w:vertAlign w:val="superscript"/>
              </w:rPr>
              <w:t>−1</w:t>
            </w:r>
            <w:r w:rsidR="00FA5AD0" w:rsidRPr="00E53E01">
              <w:rPr>
                <w:rStyle w:val="normaltextrun"/>
                <w:b/>
              </w:rPr>
              <w:t>)</w:t>
            </w:r>
          </w:p>
        </w:tc>
        <w:tc>
          <w:tcPr>
            <w:tcW w:w="1219" w:type="dxa"/>
            <w:tcBorders>
              <w:top w:val="single" w:sz="8" w:space="0" w:color="auto"/>
              <w:bottom w:val="single" w:sz="4" w:space="0" w:color="auto"/>
            </w:tcBorders>
            <w:shd w:val="clear" w:color="auto" w:fill="auto"/>
            <w:vAlign w:val="center"/>
          </w:tcPr>
          <w:p w14:paraId="3D7050C4" w14:textId="004AEE1D" w:rsidR="00176A80" w:rsidRPr="00E53E01" w:rsidRDefault="00176A80" w:rsidP="00DA6BB2">
            <w:pPr>
              <w:pStyle w:val="MDPI42tablebody"/>
              <w:autoSpaceDE w:val="0"/>
              <w:autoSpaceDN w:val="0"/>
              <w:rPr>
                <w:b/>
                <w:bCs/>
              </w:rPr>
            </w:pPr>
            <w:r w:rsidRPr="00E53E01">
              <w:rPr>
                <w:rStyle w:val="normaltextrun"/>
                <w:b/>
              </w:rPr>
              <w:t xml:space="preserve">MAE </w:t>
            </w:r>
            <w:r w:rsidR="00FA5AD0" w:rsidRPr="00E53E01">
              <w:rPr>
                <w:rStyle w:val="normaltextrun"/>
                <w:b/>
              </w:rPr>
              <w:t>(</w:t>
            </w:r>
            <w:r w:rsidRPr="00E53E01">
              <w:rPr>
                <w:rStyle w:val="normaltextrun"/>
                <w:b/>
              </w:rPr>
              <w:t>sr</w:t>
            </w:r>
            <w:r w:rsidR="006A4550" w:rsidRPr="00E53E01">
              <w:rPr>
                <w:rStyle w:val="normaltextrun"/>
                <w:b/>
                <w:szCs w:val="19"/>
                <w:vertAlign w:val="superscript"/>
              </w:rPr>
              <w:t>−1</w:t>
            </w:r>
            <w:r w:rsidR="00FA5AD0" w:rsidRPr="00E53E01">
              <w:rPr>
                <w:rStyle w:val="normaltextrun"/>
                <w:b/>
              </w:rPr>
              <w:t>)</w:t>
            </w:r>
          </w:p>
        </w:tc>
        <w:tc>
          <w:tcPr>
            <w:tcW w:w="1829" w:type="dxa"/>
            <w:tcBorders>
              <w:top w:val="single" w:sz="8" w:space="0" w:color="auto"/>
              <w:bottom w:val="single" w:sz="4" w:space="0" w:color="auto"/>
            </w:tcBorders>
            <w:shd w:val="clear" w:color="auto" w:fill="auto"/>
            <w:vAlign w:val="center"/>
          </w:tcPr>
          <w:p w14:paraId="18D755EF" w14:textId="173C3AB0" w:rsidR="00176A80" w:rsidRPr="00E53E01" w:rsidRDefault="00176A80" w:rsidP="00DA6BB2">
            <w:pPr>
              <w:pStyle w:val="MDPI42tablebody"/>
              <w:autoSpaceDE w:val="0"/>
              <w:autoSpaceDN w:val="0"/>
              <w:rPr>
                <w:b/>
                <w:bCs/>
              </w:rPr>
            </w:pPr>
            <w:r w:rsidRPr="00E53E01">
              <w:rPr>
                <w:rStyle w:val="normaltextrun"/>
                <w:b/>
              </w:rPr>
              <w:t xml:space="preserve">RMSE </w:t>
            </w:r>
            <w:r w:rsidR="00FA5AD0" w:rsidRPr="00E53E01">
              <w:rPr>
                <w:rStyle w:val="normaltextrun"/>
                <w:b/>
              </w:rPr>
              <w:t>(</w:t>
            </w:r>
            <w:r w:rsidRPr="00E53E01">
              <w:rPr>
                <w:rStyle w:val="normaltextrun"/>
                <w:b/>
              </w:rPr>
              <w:t>sr</w:t>
            </w:r>
            <w:r w:rsidR="006A4550" w:rsidRPr="00E53E01">
              <w:rPr>
                <w:rStyle w:val="normaltextrun"/>
                <w:b/>
                <w:szCs w:val="19"/>
                <w:vertAlign w:val="superscript"/>
              </w:rPr>
              <w:t>−1</w:t>
            </w:r>
            <w:r w:rsidR="00FA5AD0" w:rsidRPr="00E53E01">
              <w:rPr>
                <w:rStyle w:val="normaltextrun"/>
                <w:b/>
              </w:rPr>
              <w:t>)</w:t>
            </w:r>
          </w:p>
        </w:tc>
        <w:tc>
          <w:tcPr>
            <w:tcW w:w="1422" w:type="dxa"/>
            <w:tcBorders>
              <w:top w:val="single" w:sz="8" w:space="0" w:color="auto"/>
              <w:bottom w:val="single" w:sz="4" w:space="0" w:color="auto"/>
            </w:tcBorders>
            <w:shd w:val="clear" w:color="auto" w:fill="auto"/>
            <w:vAlign w:val="center"/>
          </w:tcPr>
          <w:p w14:paraId="1808666D" w14:textId="19D44A1D" w:rsidR="00176A80" w:rsidRPr="00E53E01" w:rsidRDefault="00176A80" w:rsidP="00DA6BB2">
            <w:pPr>
              <w:pStyle w:val="MDPI42tablebody"/>
              <w:autoSpaceDE w:val="0"/>
              <w:autoSpaceDN w:val="0"/>
              <w:rPr>
                <w:b/>
                <w:bCs/>
              </w:rPr>
            </w:pPr>
            <w:r w:rsidRPr="00E53E01">
              <w:rPr>
                <w:rStyle w:val="normaltextrun"/>
                <w:b/>
              </w:rPr>
              <w:t>R</w:t>
            </w:r>
          </w:p>
        </w:tc>
      </w:tr>
      <w:tr w:rsidR="00176A80" w:rsidRPr="00E53E01" w14:paraId="7563B6BB" w14:textId="77777777" w:rsidTr="00BC6FE8">
        <w:trPr>
          <w:jc w:val="center"/>
        </w:trPr>
        <w:tc>
          <w:tcPr>
            <w:tcW w:w="2032" w:type="dxa"/>
            <w:vMerge w:val="restart"/>
            <w:tcBorders>
              <w:top w:val="single" w:sz="4" w:space="0" w:color="auto"/>
            </w:tcBorders>
            <w:shd w:val="clear" w:color="auto" w:fill="auto"/>
            <w:vAlign w:val="center"/>
            <w:hideMark/>
          </w:tcPr>
          <w:p w14:paraId="62308D03" w14:textId="77777777" w:rsidR="00196437" w:rsidRPr="00E53E01" w:rsidRDefault="00176A80" w:rsidP="00DA6BB2">
            <w:pPr>
              <w:pStyle w:val="MDPI42tablebody"/>
              <w:autoSpaceDE w:val="0"/>
              <w:autoSpaceDN w:val="0"/>
            </w:pPr>
            <w:r w:rsidRPr="00E53E01">
              <w:rPr>
                <w:rStyle w:val="normaltextrun"/>
              </w:rPr>
              <w:t>MODIS-Aqua</w:t>
            </w:r>
          </w:p>
          <w:p w14:paraId="5A10146E" w14:textId="130AC0C1" w:rsidR="00196437" w:rsidRPr="00E53E01" w:rsidRDefault="00196437" w:rsidP="00DA6BB2">
            <w:pPr>
              <w:pStyle w:val="MDPI42tablebody"/>
              <w:autoSpaceDE w:val="0"/>
              <w:autoSpaceDN w:val="0"/>
            </w:pPr>
          </w:p>
          <w:p w14:paraId="0B7D9C2D" w14:textId="1E91776B" w:rsidR="00176A80" w:rsidRPr="00E53E01" w:rsidRDefault="00176A80" w:rsidP="00DA6BB2">
            <w:pPr>
              <w:pStyle w:val="MDPI42tablebody"/>
              <w:autoSpaceDE w:val="0"/>
              <w:autoSpaceDN w:val="0"/>
            </w:pPr>
          </w:p>
        </w:tc>
        <w:tc>
          <w:tcPr>
            <w:tcW w:w="1219" w:type="dxa"/>
            <w:tcBorders>
              <w:top w:val="single" w:sz="4" w:space="0" w:color="auto"/>
              <w:bottom w:val="nil"/>
            </w:tcBorders>
            <w:shd w:val="clear" w:color="auto" w:fill="auto"/>
            <w:vAlign w:val="center"/>
            <w:hideMark/>
          </w:tcPr>
          <w:p w14:paraId="6CDD14C1" w14:textId="328032B0" w:rsidR="00176A80" w:rsidRPr="00E53E01" w:rsidRDefault="00176A80" w:rsidP="00DA6BB2">
            <w:pPr>
              <w:pStyle w:val="MDPI42tablebody"/>
              <w:autoSpaceDE w:val="0"/>
              <w:autoSpaceDN w:val="0"/>
            </w:pPr>
            <w:r w:rsidRPr="00E53E01">
              <w:t>6</w:t>
            </w:r>
            <w:r w:rsidRPr="00E53E01">
              <w:rPr>
                <w:rStyle w:val="normaltextrun"/>
              </w:rPr>
              <w:t>67</w:t>
            </w:r>
          </w:p>
        </w:tc>
        <w:tc>
          <w:tcPr>
            <w:tcW w:w="1118" w:type="dxa"/>
            <w:tcBorders>
              <w:top w:val="single" w:sz="4" w:space="0" w:color="auto"/>
              <w:bottom w:val="nil"/>
            </w:tcBorders>
            <w:shd w:val="clear" w:color="auto" w:fill="auto"/>
            <w:vAlign w:val="center"/>
          </w:tcPr>
          <w:p w14:paraId="787228F8" w14:textId="7A101E06" w:rsidR="00176A80" w:rsidRPr="00E53E01" w:rsidRDefault="00176A80" w:rsidP="00DA6BB2">
            <w:pPr>
              <w:pStyle w:val="MDPI42tablebody"/>
              <w:autoSpaceDE w:val="0"/>
              <w:autoSpaceDN w:val="0"/>
            </w:pPr>
            <w:r w:rsidRPr="00E53E01">
              <w:t>1</w:t>
            </w:r>
            <w:r w:rsidRPr="00E53E01">
              <w:rPr>
                <w:rStyle w:val="normaltextrun"/>
              </w:rPr>
              <w:t>74</w:t>
            </w:r>
          </w:p>
        </w:tc>
        <w:tc>
          <w:tcPr>
            <w:tcW w:w="1626" w:type="dxa"/>
            <w:tcBorders>
              <w:top w:val="single" w:sz="4" w:space="0" w:color="auto"/>
              <w:bottom w:val="nil"/>
            </w:tcBorders>
            <w:shd w:val="clear" w:color="auto" w:fill="auto"/>
            <w:vAlign w:val="center"/>
          </w:tcPr>
          <w:p w14:paraId="4E9AB1D9" w14:textId="07C77992" w:rsidR="00176A80" w:rsidRPr="00E53E01" w:rsidRDefault="00944C45" w:rsidP="00DA6BB2">
            <w:pPr>
              <w:pStyle w:val="MDPI42tablebody"/>
              <w:autoSpaceDE w:val="0"/>
              <w:autoSpaceDN w:val="0"/>
            </w:pPr>
            <w:r w:rsidRPr="00E53E01">
              <w:rPr>
                <w:rStyle w:val="normaltextrun"/>
              </w:rPr>
              <w:t>−0</w:t>
            </w:r>
            <w:r w:rsidR="00176A80" w:rsidRPr="00E53E01">
              <w:rPr>
                <w:rStyle w:val="normaltextrun"/>
              </w:rPr>
              <w:t>.00</w:t>
            </w:r>
            <w:r w:rsidR="00176A80" w:rsidRPr="00E53E01">
              <w:t>0</w:t>
            </w:r>
            <w:r w:rsidR="00176A80" w:rsidRPr="00E53E01">
              <w:rPr>
                <w:rStyle w:val="normaltextrun"/>
              </w:rPr>
              <w:t>48</w:t>
            </w:r>
          </w:p>
        </w:tc>
        <w:tc>
          <w:tcPr>
            <w:tcW w:w="1219" w:type="dxa"/>
            <w:tcBorders>
              <w:top w:val="single" w:sz="4" w:space="0" w:color="auto"/>
              <w:bottom w:val="nil"/>
            </w:tcBorders>
            <w:shd w:val="clear" w:color="auto" w:fill="auto"/>
            <w:vAlign w:val="center"/>
          </w:tcPr>
          <w:p w14:paraId="1FA5A022" w14:textId="38B5D9CC" w:rsidR="00176A80" w:rsidRPr="00E53E01" w:rsidRDefault="00176A80" w:rsidP="00DA6BB2">
            <w:pPr>
              <w:pStyle w:val="MDPI42tablebody"/>
              <w:autoSpaceDE w:val="0"/>
              <w:autoSpaceDN w:val="0"/>
            </w:pPr>
            <w:r w:rsidRPr="00E53E01">
              <w:rPr>
                <w:rStyle w:val="normaltextrun"/>
              </w:rPr>
              <w:t>0.00</w:t>
            </w:r>
            <w:r w:rsidRPr="00E53E01">
              <w:t>0</w:t>
            </w:r>
            <w:r w:rsidRPr="00E53E01">
              <w:rPr>
                <w:rStyle w:val="normaltextrun"/>
              </w:rPr>
              <w:t>77</w:t>
            </w:r>
          </w:p>
        </w:tc>
        <w:tc>
          <w:tcPr>
            <w:tcW w:w="1829" w:type="dxa"/>
            <w:tcBorders>
              <w:top w:val="single" w:sz="4" w:space="0" w:color="auto"/>
              <w:bottom w:val="nil"/>
            </w:tcBorders>
            <w:shd w:val="clear" w:color="auto" w:fill="auto"/>
            <w:vAlign w:val="center"/>
          </w:tcPr>
          <w:p w14:paraId="2FFD0B13" w14:textId="337132CA" w:rsidR="00176A80" w:rsidRPr="00E53E01" w:rsidRDefault="00176A80" w:rsidP="00DA6BB2">
            <w:pPr>
              <w:pStyle w:val="MDPI42tablebody"/>
              <w:autoSpaceDE w:val="0"/>
              <w:autoSpaceDN w:val="0"/>
            </w:pPr>
            <w:r w:rsidRPr="00E53E01">
              <w:rPr>
                <w:rStyle w:val="normaltextrun"/>
              </w:rPr>
              <w:t>0.00</w:t>
            </w:r>
            <w:r w:rsidRPr="00E53E01">
              <w:t>1</w:t>
            </w:r>
            <w:r w:rsidRPr="00E53E01">
              <w:rPr>
                <w:rStyle w:val="normaltextrun"/>
              </w:rPr>
              <w:t>05</w:t>
            </w:r>
          </w:p>
        </w:tc>
        <w:tc>
          <w:tcPr>
            <w:tcW w:w="1422" w:type="dxa"/>
            <w:tcBorders>
              <w:top w:val="single" w:sz="4" w:space="0" w:color="auto"/>
              <w:bottom w:val="nil"/>
            </w:tcBorders>
            <w:shd w:val="clear" w:color="auto" w:fill="auto"/>
            <w:vAlign w:val="center"/>
          </w:tcPr>
          <w:p w14:paraId="199E9FC3" w14:textId="12E8F51E" w:rsidR="00176A80" w:rsidRPr="00E53E01" w:rsidRDefault="00176A80" w:rsidP="00DA6BB2">
            <w:pPr>
              <w:pStyle w:val="MDPI42tablebody"/>
              <w:autoSpaceDE w:val="0"/>
              <w:autoSpaceDN w:val="0"/>
            </w:pPr>
            <w:r w:rsidRPr="00E53E01">
              <w:rPr>
                <w:rStyle w:val="normaltextrun"/>
              </w:rPr>
              <w:t>0.95</w:t>
            </w:r>
            <w:r w:rsidRPr="00E53E01">
              <w:t>718</w:t>
            </w:r>
          </w:p>
        </w:tc>
      </w:tr>
      <w:tr w:rsidR="00176A80" w:rsidRPr="00E53E01" w14:paraId="06D5DC61" w14:textId="77777777" w:rsidTr="00BC6FE8">
        <w:trPr>
          <w:jc w:val="center"/>
        </w:trPr>
        <w:tc>
          <w:tcPr>
            <w:tcW w:w="2032" w:type="dxa"/>
            <w:vMerge/>
            <w:shd w:val="clear" w:color="auto" w:fill="auto"/>
            <w:vAlign w:val="center"/>
            <w:hideMark/>
          </w:tcPr>
          <w:p w14:paraId="0D661B4C" w14:textId="77777777" w:rsidR="00176A80" w:rsidRPr="00E53E01" w:rsidRDefault="00176A80" w:rsidP="00DA6BB2">
            <w:pPr>
              <w:pStyle w:val="MDPI42tablebody"/>
              <w:autoSpaceDE w:val="0"/>
              <w:autoSpaceDN w:val="0"/>
            </w:pPr>
          </w:p>
        </w:tc>
        <w:tc>
          <w:tcPr>
            <w:tcW w:w="1219" w:type="dxa"/>
            <w:tcBorders>
              <w:top w:val="nil"/>
              <w:bottom w:val="nil"/>
            </w:tcBorders>
            <w:shd w:val="clear" w:color="auto" w:fill="auto"/>
            <w:vAlign w:val="center"/>
            <w:hideMark/>
          </w:tcPr>
          <w:p w14:paraId="2131F3B9" w14:textId="7B2556BC" w:rsidR="00176A80" w:rsidRPr="00E53E01" w:rsidRDefault="00176A80" w:rsidP="00DA6BB2">
            <w:pPr>
              <w:pStyle w:val="MDPI42tablebody"/>
              <w:autoSpaceDE w:val="0"/>
              <w:autoSpaceDN w:val="0"/>
            </w:pPr>
            <w:r w:rsidRPr="00E53E01">
              <w:rPr>
                <w:rStyle w:val="normaltextrun"/>
              </w:rPr>
              <w:t>555</w:t>
            </w:r>
          </w:p>
        </w:tc>
        <w:tc>
          <w:tcPr>
            <w:tcW w:w="1118" w:type="dxa"/>
            <w:tcBorders>
              <w:top w:val="nil"/>
              <w:bottom w:val="nil"/>
            </w:tcBorders>
            <w:shd w:val="clear" w:color="auto" w:fill="auto"/>
            <w:vAlign w:val="center"/>
          </w:tcPr>
          <w:p w14:paraId="145FD421" w14:textId="70CCC0DF" w:rsidR="00176A80" w:rsidRPr="00E53E01" w:rsidRDefault="00176A80" w:rsidP="00DA6BB2">
            <w:pPr>
              <w:pStyle w:val="MDPI42tablebody"/>
              <w:autoSpaceDE w:val="0"/>
              <w:autoSpaceDN w:val="0"/>
            </w:pPr>
            <w:r w:rsidRPr="00E53E01">
              <w:rPr>
                <w:rStyle w:val="normaltextrun"/>
              </w:rPr>
              <w:t>1</w:t>
            </w:r>
            <w:r w:rsidRPr="00E53E01">
              <w:t>7</w:t>
            </w:r>
            <w:r w:rsidRPr="00E53E01">
              <w:rPr>
                <w:rStyle w:val="normaltextrun"/>
              </w:rPr>
              <w:t>4</w:t>
            </w:r>
          </w:p>
        </w:tc>
        <w:tc>
          <w:tcPr>
            <w:tcW w:w="1626" w:type="dxa"/>
            <w:tcBorders>
              <w:top w:val="nil"/>
              <w:bottom w:val="nil"/>
            </w:tcBorders>
            <w:shd w:val="clear" w:color="auto" w:fill="auto"/>
            <w:vAlign w:val="center"/>
          </w:tcPr>
          <w:p w14:paraId="3B59BA40" w14:textId="716BE051" w:rsidR="00176A80" w:rsidRPr="00E53E01" w:rsidRDefault="00944C45" w:rsidP="00DA6BB2">
            <w:pPr>
              <w:pStyle w:val="MDPI42tablebody"/>
              <w:autoSpaceDE w:val="0"/>
              <w:autoSpaceDN w:val="0"/>
            </w:pPr>
            <w:r w:rsidRPr="00E53E01">
              <w:rPr>
                <w:rStyle w:val="normaltextrun"/>
              </w:rPr>
              <w:t>−0</w:t>
            </w:r>
            <w:r w:rsidR="00176A80" w:rsidRPr="00E53E01">
              <w:rPr>
                <w:rStyle w:val="normaltextrun"/>
              </w:rPr>
              <w:t>.00</w:t>
            </w:r>
            <w:r w:rsidR="00176A80" w:rsidRPr="00E53E01">
              <w:t>1</w:t>
            </w:r>
            <w:r w:rsidR="00176A80" w:rsidRPr="00E53E01">
              <w:rPr>
                <w:rStyle w:val="normaltextrun"/>
              </w:rPr>
              <w:t>68</w:t>
            </w:r>
          </w:p>
        </w:tc>
        <w:tc>
          <w:tcPr>
            <w:tcW w:w="1219" w:type="dxa"/>
            <w:tcBorders>
              <w:top w:val="nil"/>
              <w:bottom w:val="nil"/>
            </w:tcBorders>
            <w:shd w:val="clear" w:color="auto" w:fill="auto"/>
            <w:vAlign w:val="center"/>
          </w:tcPr>
          <w:p w14:paraId="7C4AEEEE" w14:textId="2FED2BCB" w:rsidR="00176A80" w:rsidRPr="00E53E01" w:rsidRDefault="00176A80" w:rsidP="00DA6BB2">
            <w:pPr>
              <w:pStyle w:val="MDPI42tablebody"/>
              <w:autoSpaceDE w:val="0"/>
              <w:autoSpaceDN w:val="0"/>
            </w:pPr>
            <w:r w:rsidRPr="00E53E01">
              <w:rPr>
                <w:rStyle w:val="normaltextrun"/>
              </w:rPr>
              <w:t>0.00</w:t>
            </w:r>
            <w:r w:rsidRPr="00E53E01">
              <w:t>1</w:t>
            </w:r>
            <w:r w:rsidRPr="00E53E01">
              <w:rPr>
                <w:rStyle w:val="normaltextrun"/>
              </w:rPr>
              <w:t>75</w:t>
            </w:r>
          </w:p>
        </w:tc>
        <w:tc>
          <w:tcPr>
            <w:tcW w:w="1829" w:type="dxa"/>
            <w:tcBorders>
              <w:top w:val="nil"/>
              <w:bottom w:val="nil"/>
            </w:tcBorders>
            <w:shd w:val="clear" w:color="auto" w:fill="auto"/>
            <w:vAlign w:val="center"/>
          </w:tcPr>
          <w:p w14:paraId="61BD1DD0" w14:textId="18B63465" w:rsidR="00176A80" w:rsidRPr="00E53E01" w:rsidRDefault="00176A80" w:rsidP="00DA6BB2">
            <w:pPr>
              <w:pStyle w:val="MDPI42tablebody"/>
              <w:autoSpaceDE w:val="0"/>
              <w:autoSpaceDN w:val="0"/>
            </w:pPr>
            <w:r w:rsidRPr="00E53E01">
              <w:rPr>
                <w:rStyle w:val="normaltextrun"/>
              </w:rPr>
              <w:t>0.00</w:t>
            </w:r>
            <w:r w:rsidRPr="00E53E01">
              <w:t>209</w:t>
            </w:r>
          </w:p>
        </w:tc>
        <w:tc>
          <w:tcPr>
            <w:tcW w:w="1422" w:type="dxa"/>
            <w:tcBorders>
              <w:top w:val="nil"/>
              <w:bottom w:val="nil"/>
            </w:tcBorders>
            <w:shd w:val="clear" w:color="auto" w:fill="auto"/>
            <w:vAlign w:val="center"/>
          </w:tcPr>
          <w:p w14:paraId="2F2DB06C" w14:textId="76F793AB" w:rsidR="00176A80" w:rsidRPr="00E53E01" w:rsidRDefault="00176A80" w:rsidP="00DA6BB2">
            <w:pPr>
              <w:pStyle w:val="MDPI42tablebody"/>
              <w:autoSpaceDE w:val="0"/>
              <w:autoSpaceDN w:val="0"/>
            </w:pPr>
            <w:r w:rsidRPr="00E53E01">
              <w:t>0</w:t>
            </w:r>
            <w:r w:rsidRPr="00E53E01">
              <w:rPr>
                <w:rStyle w:val="normaltextrun"/>
              </w:rPr>
              <w:t>.921</w:t>
            </w:r>
            <w:r w:rsidRPr="00E53E01">
              <w:t>6</w:t>
            </w:r>
            <w:r w:rsidRPr="00E53E01">
              <w:rPr>
                <w:rStyle w:val="normaltextrun"/>
              </w:rPr>
              <w:t>6</w:t>
            </w:r>
          </w:p>
        </w:tc>
      </w:tr>
      <w:tr w:rsidR="00176A80" w:rsidRPr="00E53E01" w14:paraId="3663A4CE" w14:textId="77777777" w:rsidTr="00BC6FE8">
        <w:trPr>
          <w:jc w:val="center"/>
        </w:trPr>
        <w:tc>
          <w:tcPr>
            <w:tcW w:w="2032" w:type="dxa"/>
            <w:vMerge/>
            <w:tcBorders>
              <w:bottom w:val="single" w:sz="4" w:space="0" w:color="auto"/>
            </w:tcBorders>
            <w:shd w:val="clear" w:color="auto" w:fill="auto"/>
            <w:vAlign w:val="center"/>
          </w:tcPr>
          <w:p w14:paraId="5574311B" w14:textId="77777777" w:rsidR="00176A80" w:rsidRPr="00E53E01" w:rsidRDefault="00176A80" w:rsidP="00DA6BB2">
            <w:pPr>
              <w:pStyle w:val="MDPI42tablebody"/>
              <w:autoSpaceDE w:val="0"/>
              <w:autoSpaceDN w:val="0"/>
            </w:pPr>
          </w:p>
        </w:tc>
        <w:tc>
          <w:tcPr>
            <w:tcW w:w="1219" w:type="dxa"/>
            <w:tcBorders>
              <w:top w:val="nil"/>
              <w:bottom w:val="single" w:sz="4" w:space="0" w:color="auto"/>
            </w:tcBorders>
            <w:shd w:val="clear" w:color="auto" w:fill="auto"/>
            <w:vAlign w:val="center"/>
          </w:tcPr>
          <w:p w14:paraId="658CB7AA" w14:textId="627D7177" w:rsidR="00176A80" w:rsidRPr="00E53E01" w:rsidRDefault="00176A80" w:rsidP="00DA6BB2">
            <w:pPr>
              <w:pStyle w:val="MDPI42tablebody"/>
              <w:autoSpaceDE w:val="0"/>
              <w:autoSpaceDN w:val="0"/>
            </w:pPr>
            <w:r w:rsidRPr="00E53E01">
              <w:rPr>
                <w:rStyle w:val="normaltextrun"/>
              </w:rPr>
              <w:t>443</w:t>
            </w:r>
          </w:p>
        </w:tc>
        <w:tc>
          <w:tcPr>
            <w:tcW w:w="1118" w:type="dxa"/>
            <w:tcBorders>
              <w:top w:val="nil"/>
              <w:bottom w:val="single" w:sz="4" w:space="0" w:color="auto"/>
            </w:tcBorders>
            <w:shd w:val="clear" w:color="auto" w:fill="auto"/>
            <w:vAlign w:val="center"/>
          </w:tcPr>
          <w:p w14:paraId="626EF34F" w14:textId="0109D213" w:rsidR="00176A80" w:rsidRPr="00E53E01" w:rsidRDefault="00176A80" w:rsidP="00DA6BB2">
            <w:pPr>
              <w:pStyle w:val="MDPI42tablebody"/>
              <w:autoSpaceDE w:val="0"/>
              <w:autoSpaceDN w:val="0"/>
            </w:pPr>
            <w:r w:rsidRPr="00E53E01">
              <w:rPr>
                <w:rStyle w:val="normaltextrun"/>
              </w:rPr>
              <w:t>17</w:t>
            </w:r>
            <w:r w:rsidRPr="00E53E01">
              <w:t>4</w:t>
            </w:r>
          </w:p>
        </w:tc>
        <w:tc>
          <w:tcPr>
            <w:tcW w:w="1626" w:type="dxa"/>
            <w:tcBorders>
              <w:top w:val="nil"/>
              <w:bottom w:val="single" w:sz="4" w:space="0" w:color="auto"/>
            </w:tcBorders>
            <w:shd w:val="clear" w:color="auto" w:fill="auto"/>
            <w:vAlign w:val="center"/>
          </w:tcPr>
          <w:p w14:paraId="557915E2" w14:textId="62C065C2" w:rsidR="00176A80" w:rsidRPr="00E53E01" w:rsidRDefault="00944C45" w:rsidP="00DA6BB2">
            <w:pPr>
              <w:pStyle w:val="MDPI42tablebody"/>
              <w:autoSpaceDE w:val="0"/>
              <w:autoSpaceDN w:val="0"/>
            </w:pPr>
            <w:r w:rsidRPr="00E53E01">
              <w:rPr>
                <w:rStyle w:val="normaltextrun"/>
              </w:rPr>
              <w:t>−0</w:t>
            </w:r>
            <w:r w:rsidR="00176A80" w:rsidRPr="00E53E01">
              <w:rPr>
                <w:rStyle w:val="normaltextrun"/>
              </w:rPr>
              <w:t>.000</w:t>
            </w:r>
            <w:r w:rsidR="00176A80" w:rsidRPr="00E53E01">
              <w:t>5</w:t>
            </w:r>
            <w:r w:rsidR="00176A80" w:rsidRPr="00E53E01">
              <w:rPr>
                <w:rStyle w:val="normaltextrun"/>
              </w:rPr>
              <w:t>4</w:t>
            </w:r>
          </w:p>
        </w:tc>
        <w:tc>
          <w:tcPr>
            <w:tcW w:w="1219" w:type="dxa"/>
            <w:tcBorders>
              <w:top w:val="nil"/>
              <w:bottom w:val="single" w:sz="4" w:space="0" w:color="auto"/>
            </w:tcBorders>
            <w:shd w:val="clear" w:color="auto" w:fill="auto"/>
            <w:vAlign w:val="center"/>
          </w:tcPr>
          <w:p w14:paraId="2149666E" w14:textId="762621D7" w:rsidR="00176A80" w:rsidRPr="00E53E01" w:rsidRDefault="00176A80" w:rsidP="00DA6BB2">
            <w:pPr>
              <w:pStyle w:val="MDPI42tablebody"/>
              <w:autoSpaceDE w:val="0"/>
              <w:autoSpaceDN w:val="0"/>
            </w:pPr>
            <w:r w:rsidRPr="00E53E01">
              <w:rPr>
                <w:rStyle w:val="normaltextrun"/>
              </w:rPr>
              <w:t>0.001</w:t>
            </w:r>
            <w:r w:rsidRPr="00E53E01">
              <w:t>2</w:t>
            </w:r>
            <w:r w:rsidRPr="00E53E01">
              <w:rPr>
                <w:rStyle w:val="normaltextrun"/>
              </w:rPr>
              <w:t>1</w:t>
            </w:r>
          </w:p>
        </w:tc>
        <w:tc>
          <w:tcPr>
            <w:tcW w:w="1829" w:type="dxa"/>
            <w:tcBorders>
              <w:top w:val="nil"/>
              <w:bottom w:val="single" w:sz="4" w:space="0" w:color="auto"/>
            </w:tcBorders>
            <w:shd w:val="clear" w:color="auto" w:fill="auto"/>
            <w:vAlign w:val="center"/>
          </w:tcPr>
          <w:p w14:paraId="17EB4FF2" w14:textId="2104C555" w:rsidR="00176A80" w:rsidRPr="00E53E01" w:rsidRDefault="00176A80" w:rsidP="00DA6BB2">
            <w:pPr>
              <w:pStyle w:val="MDPI42tablebody"/>
              <w:autoSpaceDE w:val="0"/>
              <w:autoSpaceDN w:val="0"/>
            </w:pPr>
            <w:r w:rsidRPr="00E53E01">
              <w:rPr>
                <w:rStyle w:val="normaltextrun"/>
              </w:rPr>
              <w:t>0.001</w:t>
            </w:r>
            <w:r w:rsidRPr="00E53E01">
              <w:t>62</w:t>
            </w:r>
          </w:p>
        </w:tc>
        <w:tc>
          <w:tcPr>
            <w:tcW w:w="1422" w:type="dxa"/>
            <w:tcBorders>
              <w:top w:val="nil"/>
              <w:bottom w:val="single" w:sz="4" w:space="0" w:color="auto"/>
            </w:tcBorders>
            <w:shd w:val="clear" w:color="auto" w:fill="auto"/>
            <w:vAlign w:val="center"/>
          </w:tcPr>
          <w:p w14:paraId="3966C36B" w14:textId="4C872086" w:rsidR="00176A80" w:rsidRPr="00E53E01" w:rsidRDefault="00176A80" w:rsidP="00DA6BB2">
            <w:pPr>
              <w:pStyle w:val="MDPI42tablebody"/>
              <w:autoSpaceDE w:val="0"/>
              <w:autoSpaceDN w:val="0"/>
            </w:pPr>
            <w:r w:rsidRPr="00E53E01">
              <w:rPr>
                <w:rStyle w:val="normaltextrun"/>
              </w:rPr>
              <w:t>0.68267</w:t>
            </w:r>
          </w:p>
        </w:tc>
      </w:tr>
      <w:tr w:rsidR="00176A80" w:rsidRPr="00E53E01" w14:paraId="04670DB0" w14:textId="77777777" w:rsidTr="00BC6FE8">
        <w:trPr>
          <w:jc w:val="center"/>
        </w:trPr>
        <w:tc>
          <w:tcPr>
            <w:tcW w:w="2032" w:type="dxa"/>
            <w:vMerge w:val="restart"/>
            <w:tcBorders>
              <w:top w:val="single" w:sz="4" w:space="0" w:color="auto"/>
              <w:bottom w:val="nil"/>
            </w:tcBorders>
            <w:shd w:val="clear" w:color="auto" w:fill="auto"/>
            <w:vAlign w:val="center"/>
            <w:hideMark/>
          </w:tcPr>
          <w:p w14:paraId="23D26BBF" w14:textId="77777777" w:rsidR="00196437" w:rsidRPr="00E53E01" w:rsidRDefault="00176A80" w:rsidP="00DA6BB2">
            <w:pPr>
              <w:pStyle w:val="MDPI42tablebody"/>
              <w:autoSpaceDE w:val="0"/>
              <w:autoSpaceDN w:val="0"/>
            </w:pPr>
            <w:r w:rsidRPr="00E53E01">
              <w:t>O</w:t>
            </w:r>
            <w:r w:rsidRPr="00E53E01">
              <w:rPr>
                <w:rStyle w:val="normaltextrun"/>
              </w:rPr>
              <w:t>LCI-</w:t>
            </w:r>
            <w:r w:rsidRPr="00E53E01">
              <w:t>S</w:t>
            </w:r>
            <w:r w:rsidRPr="00E53E01">
              <w:rPr>
                <w:rStyle w:val="normaltextrun"/>
              </w:rPr>
              <w:t>3A/S</w:t>
            </w:r>
            <w:r w:rsidRPr="00E53E01">
              <w:t>3</w:t>
            </w:r>
            <w:r w:rsidRPr="00E53E01">
              <w:rPr>
                <w:rStyle w:val="normaltextrun"/>
              </w:rPr>
              <w:t>B</w:t>
            </w:r>
          </w:p>
          <w:p w14:paraId="18495348" w14:textId="4D9F0C67" w:rsidR="00176A80" w:rsidRPr="00E53E01" w:rsidRDefault="00176A80" w:rsidP="00DA6BB2">
            <w:pPr>
              <w:pStyle w:val="MDPI42tablebody"/>
              <w:autoSpaceDE w:val="0"/>
              <w:autoSpaceDN w:val="0"/>
            </w:pPr>
          </w:p>
        </w:tc>
        <w:tc>
          <w:tcPr>
            <w:tcW w:w="1219" w:type="dxa"/>
            <w:tcBorders>
              <w:top w:val="single" w:sz="4" w:space="0" w:color="auto"/>
              <w:bottom w:val="nil"/>
            </w:tcBorders>
            <w:shd w:val="clear" w:color="auto" w:fill="auto"/>
            <w:vAlign w:val="center"/>
            <w:hideMark/>
          </w:tcPr>
          <w:p w14:paraId="500CA395" w14:textId="0176D626" w:rsidR="00176A80" w:rsidRPr="00E53E01" w:rsidRDefault="00176A80" w:rsidP="00DA6BB2">
            <w:pPr>
              <w:pStyle w:val="MDPI42tablebody"/>
              <w:autoSpaceDE w:val="0"/>
              <w:autoSpaceDN w:val="0"/>
            </w:pPr>
            <w:r w:rsidRPr="00E53E01">
              <w:rPr>
                <w:rStyle w:val="normaltextrun"/>
              </w:rPr>
              <w:t>665</w:t>
            </w:r>
          </w:p>
        </w:tc>
        <w:tc>
          <w:tcPr>
            <w:tcW w:w="1118" w:type="dxa"/>
            <w:tcBorders>
              <w:top w:val="single" w:sz="4" w:space="0" w:color="auto"/>
              <w:bottom w:val="nil"/>
            </w:tcBorders>
            <w:shd w:val="clear" w:color="auto" w:fill="auto"/>
            <w:vAlign w:val="center"/>
            <w:hideMark/>
          </w:tcPr>
          <w:p w14:paraId="0FEC6E56" w14:textId="5715F94D" w:rsidR="00176A80" w:rsidRPr="00E53E01" w:rsidRDefault="00176A80" w:rsidP="00DA6BB2">
            <w:pPr>
              <w:pStyle w:val="MDPI42tablebody"/>
              <w:autoSpaceDE w:val="0"/>
              <w:autoSpaceDN w:val="0"/>
            </w:pPr>
            <w:r w:rsidRPr="00E53E01">
              <w:rPr>
                <w:rStyle w:val="normaltextrun"/>
              </w:rPr>
              <w:t>253</w:t>
            </w:r>
          </w:p>
        </w:tc>
        <w:tc>
          <w:tcPr>
            <w:tcW w:w="1626" w:type="dxa"/>
            <w:tcBorders>
              <w:top w:val="single" w:sz="4" w:space="0" w:color="auto"/>
              <w:bottom w:val="nil"/>
            </w:tcBorders>
            <w:shd w:val="clear" w:color="auto" w:fill="auto"/>
            <w:vAlign w:val="center"/>
          </w:tcPr>
          <w:p w14:paraId="7C519F99" w14:textId="52319FFA" w:rsidR="00176A80" w:rsidRPr="00E53E01" w:rsidRDefault="00176A80" w:rsidP="00DA6BB2">
            <w:pPr>
              <w:pStyle w:val="MDPI42tablebody"/>
              <w:autoSpaceDE w:val="0"/>
              <w:autoSpaceDN w:val="0"/>
            </w:pPr>
            <w:r w:rsidRPr="00E53E01">
              <w:rPr>
                <w:rStyle w:val="normaltextrun"/>
              </w:rPr>
              <w:t>0.</w:t>
            </w:r>
            <w:r w:rsidRPr="00E53E01">
              <w:t>0</w:t>
            </w:r>
            <w:r w:rsidRPr="00E53E01">
              <w:rPr>
                <w:rStyle w:val="normaltextrun"/>
              </w:rPr>
              <w:t>0001</w:t>
            </w:r>
          </w:p>
        </w:tc>
        <w:tc>
          <w:tcPr>
            <w:tcW w:w="1219" w:type="dxa"/>
            <w:tcBorders>
              <w:top w:val="single" w:sz="4" w:space="0" w:color="auto"/>
              <w:bottom w:val="nil"/>
            </w:tcBorders>
            <w:shd w:val="clear" w:color="auto" w:fill="auto"/>
            <w:vAlign w:val="center"/>
          </w:tcPr>
          <w:p w14:paraId="62649FEC" w14:textId="2548D528" w:rsidR="00176A80" w:rsidRPr="00E53E01" w:rsidRDefault="00176A80" w:rsidP="00DA6BB2">
            <w:pPr>
              <w:pStyle w:val="MDPI42tablebody"/>
              <w:autoSpaceDE w:val="0"/>
              <w:autoSpaceDN w:val="0"/>
            </w:pPr>
            <w:r w:rsidRPr="00E53E01">
              <w:rPr>
                <w:rStyle w:val="normaltextrun"/>
              </w:rPr>
              <w:t>0.</w:t>
            </w:r>
            <w:r w:rsidRPr="00E53E01">
              <w:t>0</w:t>
            </w:r>
            <w:r w:rsidRPr="00E53E01">
              <w:rPr>
                <w:rStyle w:val="normaltextrun"/>
              </w:rPr>
              <w:t>0060</w:t>
            </w:r>
          </w:p>
        </w:tc>
        <w:tc>
          <w:tcPr>
            <w:tcW w:w="1829" w:type="dxa"/>
            <w:tcBorders>
              <w:top w:val="single" w:sz="4" w:space="0" w:color="auto"/>
              <w:bottom w:val="nil"/>
            </w:tcBorders>
            <w:shd w:val="clear" w:color="auto" w:fill="auto"/>
            <w:vAlign w:val="center"/>
          </w:tcPr>
          <w:p w14:paraId="49581DF0" w14:textId="4F132206" w:rsidR="00176A80" w:rsidRPr="00E53E01" w:rsidRDefault="00176A80" w:rsidP="00DA6BB2">
            <w:pPr>
              <w:pStyle w:val="MDPI42tablebody"/>
              <w:autoSpaceDE w:val="0"/>
              <w:autoSpaceDN w:val="0"/>
            </w:pPr>
            <w:r w:rsidRPr="00E53E01">
              <w:rPr>
                <w:rStyle w:val="normaltextrun"/>
              </w:rPr>
              <w:t>0.</w:t>
            </w:r>
            <w:r w:rsidRPr="00E53E01">
              <w:t>00095</w:t>
            </w:r>
          </w:p>
        </w:tc>
        <w:tc>
          <w:tcPr>
            <w:tcW w:w="1422" w:type="dxa"/>
            <w:tcBorders>
              <w:top w:val="single" w:sz="4" w:space="0" w:color="auto"/>
              <w:bottom w:val="nil"/>
            </w:tcBorders>
            <w:shd w:val="clear" w:color="auto" w:fill="auto"/>
            <w:vAlign w:val="center"/>
          </w:tcPr>
          <w:p w14:paraId="54816E08" w14:textId="13AC1AA6" w:rsidR="00176A80" w:rsidRPr="00E53E01" w:rsidRDefault="00176A80" w:rsidP="00DA6BB2">
            <w:pPr>
              <w:pStyle w:val="MDPI42tablebody"/>
              <w:autoSpaceDE w:val="0"/>
              <w:autoSpaceDN w:val="0"/>
            </w:pPr>
            <w:r w:rsidRPr="00E53E01">
              <w:rPr>
                <w:rStyle w:val="normaltextrun"/>
              </w:rPr>
              <w:t>0.9</w:t>
            </w:r>
            <w:r w:rsidRPr="00E53E01">
              <w:t>6</w:t>
            </w:r>
            <w:r w:rsidRPr="00E53E01">
              <w:rPr>
                <w:rStyle w:val="normaltextrun"/>
              </w:rPr>
              <w:t>968</w:t>
            </w:r>
          </w:p>
        </w:tc>
      </w:tr>
      <w:tr w:rsidR="00176A80" w:rsidRPr="00E53E01" w14:paraId="6CE1F3F9" w14:textId="77777777" w:rsidTr="00E53E01">
        <w:trPr>
          <w:jc w:val="center"/>
        </w:trPr>
        <w:tc>
          <w:tcPr>
            <w:tcW w:w="2032" w:type="dxa"/>
            <w:vMerge/>
            <w:tcBorders>
              <w:top w:val="nil"/>
              <w:bottom w:val="nil"/>
            </w:tcBorders>
            <w:shd w:val="clear" w:color="auto" w:fill="auto"/>
            <w:vAlign w:val="center"/>
            <w:hideMark/>
          </w:tcPr>
          <w:p w14:paraId="0084D82E" w14:textId="77777777" w:rsidR="00176A80" w:rsidRPr="00E53E01" w:rsidRDefault="00176A80" w:rsidP="00DA6BB2">
            <w:pPr>
              <w:pStyle w:val="MDPI42tablebody"/>
              <w:autoSpaceDE w:val="0"/>
              <w:autoSpaceDN w:val="0"/>
            </w:pPr>
          </w:p>
        </w:tc>
        <w:tc>
          <w:tcPr>
            <w:tcW w:w="1219" w:type="dxa"/>
            <w:tcBorders>
              <w:top w:val="nil"/>
              <w:bottom w:val="nil"/>
            </w:tcBorders>
            <w:shd w:val="clear" w:color="auto" w:fill="auto"/>
            <w:vAlign w:val="center"/>
            <w:hideMark/>
          </w:tcPr>
          <w:p w14:paraId="03661BE1" w14:textId="47022335" w:rsidR="00176A80" w:rsidRPr="00E53E01" w:rsidRDefault="00176A80" w:rsidP="00DA6BB2">
            <w:pPr>
              <w:pStyle w:val="MDPI42tablebody"/>
              <w:autoSpaceDE w:val="0"/>
              <w:autoSpaceDN w:val="0"/>
            </w:pPr>
            <w:r w:rsidRPr="00E53E01">
              <w:rPr>
                <w:rStyle w:val="normaltextrun"/>
              </w:rPr>
              <w:t>5</w:t>
            </w:r>
            <w:r w:rsidRPr="00E53E01">
              <w:t>6</w:t>
            </w:r>
            <w:r w:rsidRPr="00E53E01">
              <w:rPr>
                <w:rStyle w:val="normaltextrun"/>
              </w:rPr>
              <w:t>0</w:t>
            </w:r>
          </w:p>
        </w:tc>
        <w:tc>
          <w:tcPr>
            <w:tcW w:w="1118" w:type="dxa"/>
            <w:tcBorders>
              <w:top w:val="nil"/>
              <w:bottom w:val="nil"/>
            </w:tcBorders>
            <w:shd w:val="clear" w:color="auto" w:fill="auto"/>
            <w:vAlign w:val="center"/>
            <w:hideMark/>
          </w:tcPr>
          <w:p w14:paraId="7F483EEF" w14:textId="59B6DBAA" w:rsidR="00176A80" w:rsidRPr="00E53E01" w:rsidRDefault="00176A80" w:rsidP="00DA6BB2">
            <w:pPr>
              <w:pStyle w:val="MDPI42tablebody"/>
              <w:autoSpaceDE w:val="0"/>
              <w:autoSpaceDN w:val="0"/>
            </w:pPr>
            <w:r w:rsidRPr="00E53E01">
              <w:rPr>
                <w:rStyle w:val="normaltextrun"/>
              </w:rPr>
              <w:t>253</w:t>
            </w:r>
          </w:p>
        </w:tc>
        <w:tc>
          <w:tcPr>
            <w:tcW w:w="1626" w:type="dxa"/>
            <w:tcBorders>
              <w:top w:val="nil"/>
              <w:bottom w:val="nil"/>
            </w:tcBorders>
            <w:shd w:val="clear" w:color="auto" w:fill="auto"/>
            <w:vAlign w:val="center"/>
          </w:tcPr>
          <w:p w14:paraId="11A34501" w14:textId="54D311C9" w:rsidR="00176A80" w:rsidRPr="00E53E01" w:rsidRDefault="00176A80" w:rsidP="00DA6BB2">
            <w:pPr>
              <w:pStyle w:val="MDPI42tablebody"/>
              <w:autoSpaceDE w:val="0"/>
              <w:autoSpaceDN w:val="0"/>
            </w:pPr>
            <w:r w:rsidRPr="00E53E01">
              <w:t>0</w:t>
            </w:r>
            <w:r w:rsidRPr="00E53E01">
              <w:rPr>
                <w:rStyle w:val="normaltextrun"/>
              </w:rPr>
              <w:t>.00010</w:t>
            </w:r>
          </w:p>
        </w:tc>
        <w:tc>
          <w:tcPr>
            <w:tcW w:w="1219" w:type="dxa"/>
            <w:tcBorders>
              <w:top w:val="nil"/>
              <w:bottom w:val="nil"/>
            </w:tcBorders>
            <w:shd w:val="clear" w:color="auto" w:fill="auto"/>
            <w:vAlign w:val="center"/>
          </w:tcPr>
          <w:p w14:paraId="3F9AFA6D" w14:textId="6CCD9137" w:rsidR="00176A80" w:rsidRPr="00E53E01" w:rsidRDefault="00176A80" w:rsidP="00DA6BB2">
            <w:pPr>
              <w:pStyle w:val="MDPI42tablebody"/>
              <w:autoSpaceDE w:val="0"/>
              <w:autoSpaceDN w:val="0"/>
            </w:pPr>
            <w:r w:rsidRPr="00E53E01">
              <w:t>0.0</w:t>
            </w:r>
            <w:r w:rsidRPr="00E53E01">
              <w:rPr>
                <w:rStyle w:val="normaltextrun"/>
              </w:rPr>
              <w:t>0</w:t>
            </w:r>
            <w:r w:rsidRPr="00E53E01">
              <w:t>0</w:t>
            </w:r>
            <w:r w:rsidRPr="00E53E01">
              <w:rPr>
                <w:rStyle w:val="normaltextrun"/>
              </w:rPr>
              <w:t>68</w:t>
            </w:r>
          </w:p>
        </w:tc>
        <w:tc>
          <w:tcPr>
            <w:tcW w:w="1829" w:type="dxa"/>
            <w:tcBorders>
              <w:top w:val="nil"/>
              <w:bottom w:val="nil"/>
            </w:tcBorders>
            <w:shd w:val="clear" w:color="auto" w:fill="auto"/>
            <w:vAlign w:val="center"/>
          </w:tcPr>
          <w:p w14:paraId="3785F0E1" w14:textId="2C0D1959" w:rsidR="00176A80" w:rsidRPr="00E53E01" w:rsidRDefault="00176A80" w:rsidP="00DA6BB2">
            <w:pPr>
              <w:pStyle w:val="MDPI42tablebody"/>
              <w:autoSpaceDE w:val="0"/>
              <w:autoSpaceDN w:val="0"/>
            </w:pPr>
            <w:r w:rsidRPr="00E53E01">
              <w:rPr>
                <w:rStyle w:val="normaltextrun"/>
              </w:rPr>
              <w:t>0.00099</w:t>
            </w:r>
          </w:p>
        </w:tc>
        <w:tc>
          <w:tcPr>
            <w:tcW w:w="1422" w:type="dxa"/>
            <w:tcBorders>
              <w:top w:val="nil"/>
              <w:bottom w:val="nil"/>
            </w:tcBorders>
            <w:shd w:val="clear" w:color="auto" w:fill="auto"/>
            <w:vAlign w:val="center"/>
          </w:tcPr>
          <w:p w14:paraId="2876B3F1" w14:textId="01757F95" w:rsidR="00176A80" w:rsidRPr="00E53E01" w:rsidRDefault="00176A80" w:rsidP="00DA6BB2">
            <w:pPr>
              <w:pStyle w:val="MDPI42tablebody"/>
              <w:autoSpaceDE w:val="0"/>
              <w:autoSpaceDN w:val="0"/>
            </w:pPr>
            <w:r w:rsidRPr="00E53E01">
              <w:rPr>
                <w:rStyle w:val="normaltextrun"/>
              </w:rPr>
              <w:t>0.962</w:t>
            </w:r>
            <w:r w:rsidRPr="00E53E01">
              <w:t>4</w:t>
            </w:r>
            <w:r w:rsidRPr="00E53E01">
              <w:rPr>
                <w:rStyle w:val="normaltextrun"/>
              </w:rPr>
              <w:t>4</w:t>
            </w:r>
          </w:p>
        </w:tc>
      </w:tr>
      <w:tr w:rsidR="00BC6FE8" w:rsidRPr="00E53E01" w14:paraId="2BE8DB55" w14:textId="77777777" w:rsidTr="00E53E01">
        <w:trPr>
          <w:jc w:val="center"/>
        </w:trPr>
        <w:tc>
          <w:tcPr>
            <w:tcW w:w="2032" w:type="dxa"/>
            <w:tcBorders>
              <w:top w:val="nil"/>
              <w:bottom w:val="single" w:sz="4" w:space="0" w:color="auto"/>
            </w:tcBorders>
            <w:shd w:val="clear" w:color="auto" w:fill="auto"/>
            <w:vAlign w:val="center"/>
          </w:tcPr>
          <w:p w14:paraId="38219588" w14:textId="77777777" w:rsidR="00BC6FE8" w:rsidRPr="00E53E01" w:rsidRDefault="00BC6FE8" w:rsidP="00BC6FE8">
            <w:pPr>
              <w:pStyle w:val="MDPI42tablebody"/>
              <w:autoSpaceDE w:val="0"/>
              <w:autoSpaceDN w:val="0"/>
            </w:pPr>
          </w:p>
        </w:tc>
        <w:tc>
          <w:tcPr>
            <w:tcW w:w="1219" w:type="dxa"/>
            <w:tcBorders>
              <w:top w:val="nil"/>
              <w:bottom w:val="single" w:sz="4" w:space="0" w:color="auto"/>
            </w:tcBorders>
            <w:shd w:val="clear" w:color="auto" w:fill="auto"/>
            <w:vAlign w:val="center"/>
          </w:tcPr>
          <w:p w14:paraId="7B72647C" w14:textId="005902A4" w:rsidR="00BC6FE8" w:rsidRPr="00E53E01" w:rsidRDefault="00BC6FE8" w:rsidP="00BC6FE8">
            <w:pPr>
              <w:pStyle w:val="MDPI42tablebody"/>
              <w:autoSpaceDE w:val="0"/>
              <w:autoSpaceDN w:val="0"/>
              <w:rPr>
                <w:rStyle w:val="normaltextrun"/>
              </w:rPr>
            </w:pPr>
            <w:r w:rsidRPr="00E53E01">
              <w:rPr>
                <w:rStyle w:val="normaltextrun"/>
              </w:rPr>
              <w:t>443</w:t>
            </w:r>
          </w:p>
        </w:tc>
        <w:tc>
          <w:tcPr>
            <w:tcW w:w="1118" w:type="dxa"/>
            <w:tcBorders>
              <w:top w:val="nil"/>
              <w:bottom w:val="single" w:sz="4" w:space="0" w:color="auto"/>
            </w:tcBorders>
            <w:shd w:val="clear" w:color="auto" w:fill="auto"/>
            <w:vAlign w:val="center"/>
          </w:tcPr>
          <w:p w14:paraId="6E85E055" w14:textId="71C7004D" w:rsidR="00BC6FE8" w:rsidRPr="00E53E01" w:rsidRDefault="00BC6FE8" w:rsidP="00BC6FE8">
            <w:pPr>
              <w:pStyle w:val="MDPI42tablebody"/>
              <w:autoSpaceDE w:val="0"/>
              <w:autoSpaceDN w:val="0"/>
              <w:rPr>
                <w:rStyle w:val="normaltextrun"/>
              </w:rPr>
            </w:pPr>
            <w:r w:rsidRPr="00E53E01">
              <w:t>253</w:t>
            </w:r>
          </w:p>
        </w:tc>
        <w:tc>
          <w:tcPr>
            <w:tcW w:w="1626" w:type="dxa"/>
            <w:tcBorders>
              <w:top w:val="nil"/>
              <w:bottom w:val="single" w:sz="4" w:space="0" w:color="auto"/>
            </w:tcBorders>
            <w:shd w:val="clear" w:color="auto" w:fill="auto"/>
            <w:vAlign w:val="center"/>
          </w:tcPr>
          <w:p w14:paraId="20FBFD50" w14:textId="7A63890D" w:rsidR="00BC6FE8" w:rsidRPr="00E53E01" w:rsidRDefault="00BC6FE8" w:rsidP="00BC6FE8">
            <w:pPr>
              <w:pStyle w:val="MDPI42tablebody"/>
              <w:autoSpaceDE w:val="0"/>
              <w:autoSpaceDN w:val="0"/>
            </w:pPr>
            <w:r w:rsidRPr="00E53E01">
              <w:t>0.00108</w:t>
            </w:r>
          </w:p>
        </w:tc>
        <w:tc>
          <w:tcPr>
            <w:tcW w:w="1219" w:type="dxa"/>
            <w:tcBorders>
              <w:top w:val="nil"/>
              <w:bottom w:val="single" w:sz="4" w:space="0" w:color="auto"/>
            </w:tcBorders>
            <w:shd w:val="clear" w:color="auto" w:fill="auto"/>
            <w:vAlign w:val="center"/>
          </w:tcPr>
          <w:p w14:paraId="7E31B735" w14:textId="578DA258" w:rsidR="00BC6FE8" w:rsidRPr="00E53E01" w:rsidRDefault="00BC6FE8" w:rsidP="00BC6FE8">
            <w:pPr>
              <w:pStyle w:val="MDPI42tablebody"/>
              <w:autoSpaceDE w:val="0"/>
              <w:autoSpaceDN w:val="0"/>
            </w:pPr>
            <w:r w:rsidRPr="00E53E01">
              <w:rPr>
                <w:rStyle w:val="normaltextrun"/>
              </w:rPr>
              <w:t>0.0</w:t>
            </w:r>
            <w:r w:rsidRPr="00E53E01">
              <w:t>0</w:t>
            </w:r>
            <w:r w:rsidRPr="00E53E01">
              <w:rPr>
                <w:rStyle w:val="normaltextrun"/>
              </w:rPr>
              <w:t>127</w:t>
            </w:r>
          </w:p>
        </w:tc>
        <w:tc>
          <w:tcPr>
            <w:tcW w:w="1829" w:type="dxa"/>
            <w:tcBorders>
              <w:top w:val="nil"/>
              <w:bottom w:val="single" w:sz="4" w:space="0" w:color="auto"/>
            </w:tcBorders>
            <w:shd w:val="clear" w:color="auto" w:fill="auto"/>
            <w:vAlign w:val="center"/>
          </w:tcPr>
          <w:p w14:paraId="544E6197" w14:textId="6F99F616" w:rsidR="00BC6FE8" w:rsidRPr="00E53E01" w:rsidRDefault="00BC6FE8" w:rsidP="00BC6FE8">
            <w:pPr>
              <w:pStyle w:val="MDPI42tablebody"/>
              <w:autoSpaceDE w:val="0"/>
              <w:autoSpaceDN w:val="0"/>
              <w:rPr>
                <w:rStyle w:val="normaltextrun"/>
              </w:rPr>
            </w:pPr>
            <w:r w:rsidRPr="00E53E01">
              <w:rPr>
                <w:rStyle w:val="normaltextrun"/>
              </w:rPr>
              <w:t>0.00168</w:t>
            </w:r>
          </w:p>
        </w:tc>
        <w:tc>
          <w:tcPr>
            <w:tcW w:w="1422" w:type="dxa"/>
            <w:tcBorders>
              <w:top w:val="nil"/>
              <w:bottom w:val="single" w:sz="4" w:space="0" w:color="auto"/>
            </w:tcBorders>
            <w:shd w:val="clear" w:color="auto" w:fill="auto"/>
            <w:vAlign w:val="center"/>
          </w:tcPr>
          <w:p w14:paraId="5E02C914" w14:textId="0082AE52" w:rsidR="00BC6FE8" w:rsidRPr="00E53E01" w:rsidRDefault="00BC6FE8" w:rsidP="00BC6FE8">
            <w:pPr>
              <w:pStyle w:val="MDPI42tablebody"/>
              <w:autoSpaceDE w:val="0"/>
              <w:autoSpaceDN w:val="0"/>
              <w:rPr>
                <w:rStyle w:val="normaltextrun"/>
              </w:rPr>
            </w:pPr>
            <w:r w:rsidRPr="00E53E01">
              <w:t>0</w:t>
            </w:r>
            <w:r w:rsidRPr="00E53E01">
              <w:rPr>
                <w:rStyle w:val="normaltextrun"/>
              </w:rPr>
              <w:t>.77561</w:t>
            </w:r>
          </w:p>
        </w:tc>
      </w:tr>
      <w:tr w:rsidR="00BC6FE8" w:rsidRPr="00E53E01" w14:paraId="59CE4995" w14:textId="77777777" w:rsidTr="00BC6FE8">
        <w:trPr>
          <w:jc w:val="center"/>
        </w:trPr>
        <w:tc>
          <w:tcPr>
            <w:tcW w:w="2032" w:type="dxa"/>
            <w:vMerge w:val="restart"/>
            <w:tcBorders>
              <w:top w:val="single" w:sz="4" w:space="0" w:color="auto"/>
              <w:bottom w:val="nil"/>
            </w:tcBorders>
            <w:shd w:val="clear" w:color="auto" w:fill="auto"/>
            <w:vAlign w:val="center"/>
            <w:hideMark/>
          </w:tcPr>
          <w:p w14:paraId="335985FA" w14:textId="754D98E4" w:rsidR="00BC6FE8" w:rsidRPr="00E53E01" w:rsidRDefault="00BC6FE8" w:rsidP="00BC6FE8">
            <w:pPr>
              <w:pStyle w:val="MDPI42tablebody"/>
              <w:autoSpaceDE w:val="0"/>
              <w:autoSpaceDN w:val="0"/>
            </w:pPr>
            <w:r w:rsidRPr="00E53E01">
              <w:rPr>
                <w:rStyle w:val="eop"/>
              </w:rPr>
              <w:t xml:space="preserve"> </w:t>
            </w:r>
          </w:p>
          <w:p w14:paraId="38EB8F2B" w14:textId="77777777" w:rsidR="00BC6FE8" w:rsidRPr="00E53E01" w:rsidRDefault="00BC6FE8" w:rsidP="00BC6FE8">
            <w:pPr>
              <w:pStyle w:val="MDPI42tablebody"/>
              <w:autoSpaceDE w:val="0"/>
              <w:autoSpaceDN w:val="0"/>
            </w:pPr>
            <w:r w:rsidRPr="00E53E01">
              <w:t>V</w:t>
            </w:r>
            <w:r w:rsidRPr="00E53E01">
              <w:rPr>
                <w:rStyle w:val="normaltextrun"/>
              </w:rPr>
              <w:t>IIRS-NPP</w:t>
            </w:r>
          </w:p>
          <w:p w14:paraId="62506549" w14:textId="69AB9EA9" w:rsidR="00BC6FE8" w:rsidRPr="00E53E01" w:rsidRDefault="00BC6FE8" w:rsidP="00BC6FE8">
            <w:pPr>
              <w:pStyle w:val="MDPI42tablebody"/>
              <w:autoSpaceDE w:val="0"/>
              <w:autoSpaceDN w:val="0"/>
            </w:pPr>
          </w:p>
          <w:p w14:paraId="25A0B3F1" w14:textId="77F2B207" w:rsidR="00BC6FE8" w:rsidRPr="00E53E01" w:rsidRDefault="00BC6FE8" w:rsidP="00BC6FE8">
            <w:pPr>
              <w:pStyle w:val="MDPI42tablebody"/>
              <w:autoSpaceDE w:val="0"/>
              <w:autoSpaceDN w:val="0"/>
            </w:pPr>
          </w:p>
        </w:tc>
        <w:tc>
          <w:tcPr>
            <w:tcW w:w="1219" w:type="dxa"/>
            <w:tcBorders>
              <w:top w:val="single" w:sz="4" w:space="0" w:color="auto"/>
              <w:bottom w:val="nil"/>
            </w:tcBorders>
            <w:shd w:val="clear" w:color="auto" w:fill="auto"/>
            <w:vAlign w:val="center"/>
            <w:hideMark/>
          </w:tcPr>
          <w:p w14:paraId="2123E3CB" w14:textId="6069614D" w:rsidR="00BC6FE8" w:rsidRPr="00E53E01" w:rsidRDefault="00BC6FE8" w:rsidP="00BC6FE8">
            <w:pPr>
              <w:pStyle w:val="MDPI42tablebody"/>
              <w:autoSpaceDE w:val="0"/>
              <w:autoSpaceDN w:val="0"/>
            </w:pPr>
            <w:r w:rsidRPr="00E53E01">
              <w:rPr>
                <w:rStyle w:val="normaltextrun"/>
              </w:rPr>
              <w:t>671</w:t>
            </w:r>
          </w:p>
        </w:tc>
        <w:tc>
          <w:tcPr>
            <w:tcW w:w="1118" w:type="dxa"/>
            <w:tcBorders>
              <w:top w:val="single" w:sz="4" w:space="0" w:color="auto"/>
              <w:bottom w:val="nil"/>
            </w:tcBorders>
            <w:shd w:val="clear" w:color="auto" w:fill="auto"/>
            <w:vAlign w:val="center"/>
            <w:hideMark/>
          </w:tcPr>
          <w:p w14:paraId="78E6A1E8" w14:textId="45C6ADA0" w:rsidR="00BC6FE8" w:rsidRPr="00E53E01" w:rsidRDefault="00BC6FE8" w:rsidP="00BC6FE8">
            <w:pPr>
              <w:pStyle w:val="MDPI42tablebody"/>
              <w:autoSpaceDE w:val="0"/>
              <w:autoSpaceDN w:val="0"/>
            </w:pPr>
            <w:r w:rsidRPr="00E53E01">
              <w:t>2</w:t>
            </w:r>
            <w:r w:rsidRPr="00E53E01">
              <w:rPr>
                <w:rStyle w:val="normaltextrun"/>
              </w:rPr>
              <w:t>10</w:t>
            </w:r>
          </w:p>
        </w:tc>
        <w:tc>
          <w:tcPr>
            <w:tcW w:w="1626" w:type="dxa"/>
            <w:tcBorders>
              <w:top w:val="single" w:sz="4" w:space="0" w:color="auto"/>
              <w:bottom w:val="nil"/>
            </w:tcBorders>
            <w:shd w:val="clear" w:color="auto" w:fill="auto"/>
            <w:vAlign w:val="center"/>
          </w:tcPr>
          <w:p w14:paraId="42DE4634" w14:textId="71FFA71E" w:rsidR="00BC6FE8" w:rsidRPr="00E53E01" w:rsidRDefault="00BC6FE8" w:rsidP="00BC6FE8">
            <w:pPr>
              <w:pStyle w:val="MDPI42tablebody"/>
              <w:autoSpaceDE w:val="0"/>
              <w:autoSpaceDN w:val="0"/>
            </w:pPr>
            <w:r w:rsidRPr="00E53E01">
              <w:rPr>
                <w:rStyle w:val="normaltextrun"/>
              </w:rPr>
              <w:t>−0.0</w:t>
            </w:r>
            <w:r w:rsidRPr="00E53E01">
              <w:t>0069</w:t>
            </w:r>
          </w:p>
        </w:tc>
        <w:tc>
          <w:tcPr>
            <w:tcW w:w="1219" w:type="dxa"/>
            <w:tcBorders>
              <w:top w:val="single" w:sz="4" w:space="0" w:color="auto"/>
              <w:bottom w:val="nil"/>
            </w:tcBorders>
            <w:shd w:val="clear" w:color="auto" w:fill="auto"/>
            <w:vAlign w:val="center"/>
          </w:tcPr>
          <w:p w14:paraId="64381BB8" w14:textId="71A124AE" w:rsidR="00BC6FE8" w:rsidRPr="00E53E01" w:rsidRDefault="00BC6FE8" w:rsidP="00BC6FE8">
            <w:pPr>
              <w:pStyle w:val="MDPI42tablebody"/>
              <w:autoSpaceDE w:val="0"/>
              <w:autoSpaceDN w:val="0"/>
            </w:pPr>
            <w:r w:rsidRPr="00E53E01">
              <w:rPr>
                <w:rStyle w:val="normaltextrun"/>
              </w:rPr>
              <w:t>0.00</w:t>
            </w:r>
            <w:r w:rsidRPr="00E53E01">
              <w:t>0</w:t>
            </w:r>
            <w:r w:rsidRPr="00E53E01">
              <w:rPr>
                <w:rStyle w:val="normaltextrun"/>
              </w:rPr>
              <w:t>81</w:t>
            </w:r>
          </w:p>
        </w:tc>
        <w:tc>
          <w:tcPr>
            <w:tcW w:w="1829" w:type="dxa"/>
            <w:tcBorders>
              <w:top w:val="single" w:sz="4" w:space="0" w:color="auto"/>
              <w:bottom w:val="nil"/>
            </w:tcBorders>
            <w:shd w:val="clear" w:color="auto" w:fill="auto"/>
            <w:vAlign w:val="center"/>
          </w:tcPr>
          <w:p w14:paraId="578C5216" w14:textId="4E092670" w:rsidR="00BC6FE8" w:rsidRPr="00E53E01" w:rsidRDefault="00BC6FE8" w:rsidP="00BC6FE8">
            <w:pPr>
              <w:pStyle w:val="MDPI42tablebody"/>
              <w:autoSpaceDE w:val="0"/>
              <w:autoSpaceDN w:val="0"/>
            </w:pPr>
            <w:r w:rsidRPr="00E53E01">
              <w:t>0</w:t>
            </w:r>
            <w:r w:rsidRPr="00E53E01">
              <w:rPr>
                <w:rStyle w:val="normaltextrun"/>
              </w:rPr>
              <w:t>.00109</w:t>
            </w:r>
          </w:p>
        </w:tc>
        <w:tc>
          <w:tcPr>
            <w:tcW w:w="1422" w:type="dxa"/>
            <w:tcBorders>
              <w:top w:val="single" w:sz="4" w:space="0" w:color="auto"/>
              <w:bottom w:val="nil"/>
            </w:tcBorders>
            <w:shd w:val="clear" w:color="auto" w:fill="auto"/>
            <w:vAlign w:val="center"/>
          </w:tcPr>
          <w:p w14:paraId="3D35F394" w14:textId="3DA62043" w:rsidR="00BC6FE8" w:rsidRPr="00E53E01" w:rsidRDefault="00BC6FE8" w:rsidP="00BC6FE8">
            <w:pPr>
              <w:pStyle w:val="MDPI42tablebody"/>
              <w:autoSpaceDE w:val="0"/>
              <w:autoSpaceDN w:val="0"/>
            </w:pPr>
            <w:r w:rsidRPr="00E53E01">
              <w:rPr>
                <w:rStyle w:val="normaltextrun"/>
              </w:rPr>
              <w:t>0</w:t>
            </w:r>
            <w:r w:rsidRPr="00E53E01">
              <w:t>.</w:t>
            </w:r>
            <w:r w:rsidRPr="00E53E01">
              <w:rPr>
                <w:rStyle w:val="normaltextrun"/>
              </w:rPr>
              <w:t>96113</w:t>
            </w:r>
          </w:p>
        </w:tc>
      </w:tr>
      <w:tr w:rsidR="00BC6FE8" w:rsidRPr="00E53E01" w14:paraId="3D9CFF06" w14:textId="77777777" w:rsidTr="00BC6FE8">
        <w:trPr>
          <w:jc w:val="center"/>
        </w:trPr>
        <w:tc>
          <w:tcPr>
            <w:tcW w:w="2032" w:type="dxa"/>
            <w:vMerge/>
            <w:tcBorders>
              <w:top w:val="nil"/>
              <w:bottom w:val="nil"/>
            </w:tcBorders>
            <w:shd w:val="clear" w:color="auto" w:fill="auto"/>
            <w:vAlign w:val="center"/>
            <w:hideMark/>
          </w:tcPr>
          <w:p w14:paraId="59E9CAA5" w14:textId="77777777" w:rsidR="00BC6FE8" w:rsidRPr="00E53E01" w:rsidRDefault="00BC6FE8" w:rsidP="00BC6FE8">
            <w:pPr>
              <w:pStyle w:val="MDPI42tablebody"/>
              <w:autoSpaceDE w:val="0"/>
              <w:autoSpaceDN w:val="0"/>
            </w:pPr>
          </w:p>
        </w:tc>
        <w:tc>
          <w:tcPr>
            <w:tcW w:w="1219" w:type="dxa"/>
            <w:tcBorders>
              <w:top w:val="nil"/>
              <w:bottom w:val="nil"/>
            </w:tcBorders>
            <w:shd w:val="clear" w:color="auto" w:fill="auto"/>
            <w:vAlign w:val="center"/>
            <w:hideMark/>
          </w:tcPr>
          <w:p w14:paraId="790FFCE5" w14:textId="293091D1" w:rsidR="00BC6FE8" w:rsidRPr="00E53E01" w:rsidRDefault="00BC6FE8" w:rsidP="00BC6FE8">
            <w:pPr>
              <w:pStyle w:val="MDPI42tablebody"/>
              <w:autoSpaceDE w:val="0"/>
              <w:autoSpaceDN w:val="0"/>
            </w:pPr>
            <w:r w:rsidRPr="00E53E01">
              <w:rPr>
                <w:rStyle w:val="normaltextrun"/>
              </w:rPr>
              <w:t>551</w:t>
            </w:r>
          </w:p>
        </w:tc>
        <w:tc>
          <w:tcPr>
            <w:tcW w:w="1118" w:type="dxa"/>
            <w:tcBorders>
              <w:top w:val="nil"/>
              <w:bottom w:val="nil"/>
            </w:tcBorders>
            <w:shd w:val="clear" w:color="auto" w:fill="auto"/>
            <w:vAlign w:val="center"/>
            <w:hideMark/>
          </w:tcPr>
          <w:p w14:paraId="7565DF0A" w14:textId="68E39317" w:rsidR="00BC6FE8" w:rsidRPr="00E53E01" w:rsidRDefault="00BC6FE8" w:rsidP="00BC6FE8">
            <w:pPr>
              <w:pStyle w:val="MDPI42tablebody"/>
              <w:autoSpaceDE w:val="0"/>
              <w:autoSpaceDN w:val="0"/>
            </w:pPr>
            <w:r w:rsidRPr="00E53E01">
              <w:rPr>
                <w:rStyle w:val="normaltextrun"/>
              </w:rPr>
              <w:t>2</w:t>
            </w:r>
            <w:r w:rsidRPr="00E53E01">
              <w:t>10</w:t>
            </w:r>
          </w:p>
        </w:tc>
        <w:tc>
          <w:tcPr>
            <w:tcW w:w="1626" w:type="dxa"/>
            <w:tcBorders>
              <w:top w:val="nil"/>
              <w:bottom w:val="nil"/>
            </w:tcBorders>
            <w:shd w:val="clear" w:color="auto" w:fill="auto"/>
            <w:vAlign w:val="center"/>
          </w:tcPr>
          <w:p w14:paraId="602A7A97" w14:textId="6937D768" w:rsidR="00BC6FE8" w:rsidRPr="00E53E01" w:rsidRDefault="00BC6FE8" w:rsidP="00BC6FE8">
            <w:pPr>
              <w:pStyle w:val="MDPI42tablebody"/>
              <w:autoSpaceDE w:val="0"/>
              <w:autoSpaceDN w:val="0"/>
            </w:pPr>
            <w:r w:rsidRPr="00E53E01">
              <w:t>−0</w:t>
            </w:r>
            <w:r w:rsidRPr="00E53E01">
              <w:rPr>
                <w:rStyle w:val="normaltextrun"/>
              </w:rPr>
              <w:t>.001</w:t>
            </w:r>
            <w:r w:rsidRPr="00E53E01">
              <w:t>6</w:t>
            </w:r>
            <w:r w:rsidRPr="00E53E01">
              <w:rPr>
                <w:rStyle w:val="normaltextrun"/>
              </w:rPr>
              <w:t>8</w:t>
            </w:r>
          </w:p>
        </w:tc>
        <w:tc>
          <w:tcPr>
            <w:tcW w:w="1219" w:type="dxa"/>
            <w:tcBorders>
              <w:top w:val="nil"/>
              <w:bottom w:val="nil"/>
            </w:tcBorders>
            <w:shd w:val="clear" w:color="auto" w:fill="auto"/>
            <w:vAlign w:val="center"/>
          </w:tcPr>
          <w:p w14:paraId="58ADEBB7" w14:textId="74209112" w:rsidR="00BC6FE8" w:rsidRPr="00E53E01" w:rsidRDefault="00BC6FE8" w:rsidP="00BC6FE8">
            <w:pPr>
              <w:pStyle w:val="MDPI42tablebody"/>
              <w:autoSpaceDE w:val="0"/>
              <w:autoSpaceDN w:val="0"/>
            </w:pPr>
            <w:r w:rsidRPr="00E53E01">
              <w:rPr>
                <w:rStyle w:val="normaltextrun"/>
              </w:rPr>
              <w:t>0</w:t>
            </w:r>
            <w:r w:rsidRPr="00E53E01">
              <w:t>.</w:t>
            </w:r>
            <w:r w:rsidRPr="00E53E01">
              <w:rPr>
                <w:rStyle w:val="normaltextrun"/>
              </w:rPr>
              <w:t>00170</w:t>
            </w:r>
          </w:p>
        </w:tc>
        <w:tc>
          <w:tcPr>
            <w:tcW w:w="1829" w:type="dxa"/>
            <w:tcBorders>
              <w:top w:val="nil"/>
              <w:bottom w:val="nil"/>
            </w:tcBorders>
            <w:shd w:val="clear" w:color="auto" w:fill="auto"/>
            <w:vAlign w:val="center"/>
          </w:tcPr>
          <w:p w14:paraId="2338A4CC" w14:textId="2CAB44FA" w:rsidR="00BC6FE8" w:rsidRPr="00E53E01" w:rsidRDefault="00BC6FE8" w:rsidP="00BC6FE8">
            <w:pPr>
              <w:pStyle w:val="MDPI42tablebody"/>
              <w:autoSpaceDE w:val="0"/>
              <w:autoSpaceDN w:val="0"/>
            </w:pPr>
            <w:r w:rsidRPr="00E53E01">
              <w:rPr>
                <w:rStyle w:val="normaltextrun"/>
              </w:rPr>
              <w:t>0.</w:t>
            </w:r>
            <w:r w:rsidRPr="00E53E01">
              <w:t>0</w:t>
            </w:r>
            <w:r w:rsidRPr="00E53E01">
              <w:rPr>
                <w:rStyle w:val="normaltextrun"/>
              </w:rPr>
              <w:t>0202</w:t>
            </w:r>
          </w:p>
        </w:tc>
        <w:tc>
          <w:tcPr>
            <w:tcW w:w="1422" w:type="dxa"/>
            <w:tcBorders>
              <w:top w:val="nil"/>
              <w:bottom w:val="nil"/>
            </w:tcBorders>
            <w:shd w:val="clear" w:color="auto" w:fill="auto"/>
            <w:vAlign w:val="center"/>
          </w:tcPr>
          <w:p w14:paraId="4F16ED5E" w14:textId="5077701C" w:rsidR="00BC6FE8" w:rsidRPr="00E53E01" w:rsidRDefault="00BC6FE8" w:rsidP="00BC6FE8">
            <w:pPr>
              <w:pStyle w:val="MDPI42tablebody"/>
              <w:autoSpaceDE w:val="0"/>
              <w:autoSpaceDN w:val="0"/>
            </w:pPr>
            <w:r w:rsidRPr="00E53E01">
              <w:rPr>
                <w:rStyle w:val="normaltextrun"/>
              </w:rPr>
              <w:t>0.</w:t>
            </w:r>
            <w:r w:rsidRPr="00E53E01">
              <w:t>9</w:t>
            </w:r>
            <w:r w:rsidRPr="00E53E01">
              <w:rPr>
                <w:rStyle w:val="normaltextrun"/>
              </w:rPr>
              <w:t>4928</w:t>
            </w:r>
          </w:p>
        </w:tc>
      </w:tr>
      <w:tr w:rsidR="00BC6FE8" w:rsidRPr="00E53E01" w14:paraId="426DFB67" w14:textId="77777777" w:rsidTr="00E53E01">
        <w:trPr>
          <w:jc w:val="center"/>
        </w:trPr>
        <w:tc>
          <w:tcPr>
            <w:tcW w:w="2032" w:type="dxa"/>
            <w:vMerge/>
            <w:tcBorders>
              <w:top w:val="nil"/>
              <w:bottom w:val="single" w:sz="4" w:space="0" w:color="auto"/>
            </w:tcBorders>
            <w:shd w:val="clear" w:color="auto" w:fill="auto"/>
            <w:vAlign w:val="center"/>
            <w:hideMark/>
          </w:tcPr>
          <w:p w14:paraId="4AF054C8" w14:textId="77777777" w:rsidR="00BC6FE8" w:rsidRPr="00E53E01" w:rsidRDefault="00BC6FE8" w:rsidP="00BC6FE8">
            <w:pPr>
              <w:pStyle w:val="MDPI42tablebody"/>
              <w:autoSpaceDE w:val="0"/>
              <w:autoSpaceDN w:val="0"/>
            </w:pPr>
          </w:p>
        </w:tc>
        <w:tc>
          <w:tcPr>
            <w:tcW w:w="1219" w:type="dxa"/>
            <w:tcBorders>
              <w:top w:val="nil"/>
              <w:bottom w:val="single" w:sz="4" w:space="0" w:color="auto"/>
            </w:tcBorders>
            <w:shd w:val="clear" w:color="auto" w:fill="auto"/>
            <w:vAlign w:val="center"/>
            <w:hideMark/>
          </w:tcPr>
          <w:p w14:paraId="00F16110" w14:textId="1114BCEA" w:rsidR="00BC6FE8" w:rsidRPr="00E53E01" w:rsidRDefault="00BC6FE8" w:rsidP="00BC6FE8">
            <w:pPr>
              <w:pStyle w:val="MDPI42tablebody"/>
              <w:autoSpaceDE w:val="0"/>
              <w:autoSpaceDN w:val="0"/>
            </w:pPr>
            <w:r w:rsidRPr="00E53E01">
              <w:rPr>
                <w:rStyle w:val="normaltextrun"/>
              </w:rPr>
              <w:t>443</w:t>
            </w:r>
          </w:p>
        </w:tc>
        <w:tc>
          <w:tcPr>
            <w:tcW w:w="1118" w:type="dxa"/>
            <w:tcBorders>
              <w:top w:val="nil"/>
              <w:bottom w:val="single" w:sz="4" w:space="0" w:color="auto"/>
            </w:tcBorders>
            <w:shd w:val="clear" w:color="auto" w:fill="auto"/>
            <w:vAlign w:val="center"/>
            <w:hideMark/>
          </w:tcPr>
          <w:p w14:paraId="47256593" w14:textId="0E7458EC" w:rsidR="00BC6FE8" w:rsidRPr="00E53E01" w:rsidRDefault="00BC6FE8" w:rsidP="00BC6FE8">
            <w:pPr>
              <w:pStyle w:val="MDPI42tablebody"/>
              <w:autoSpaceDE w:val="0"/>
              <w:autoSpaceDN w:val="0"/>
            </w:pPr>
            <w:r w:rsidRPr="00E53E01">
              <w:rPr>
                <w:rStyle w:val="normaltextrun"/>
              </w:rPr>
              <w:t>21</w:t>
            </w:r>
            <w:r w:rsidRPr="00E53E01">
              <w:t>0</w:t>
            </w:r>
          </w:p>
        </w:tc>
        <w:tc>
          <w:tcPr>
            <w:tcW w:w="1626" w:type="dxa"/>
            <w:tcBorders>
              <w:top w:val="nil"/>
              <w:bottom w:val="single" w:sz="4" w:space="0" w:color="auto"/>
            </w:tcBorders>
            <w:shd w:val="clear" w:color="auto" w:fill="auto"/>
            <w:vAlign w:val="center"/>
          </w:tcPr>
          <w:p w14:paraId="00B68C2D" w14:textId="0623D666" w:rsidR="00BC6FE8" w:rsidRPr="00E53E01" w:rsidRDefault="00BC6FE8" w:rsidP="00BC6FE8">
            <w:pPr>
              <w:pStyle w:val="MDPI42tablebody"/>
              <w:autoSpaceDE w:val="0"/>
              <w:autoSpaceDN w:val="0"/>
            </w:pPr>
            <w:r w:rsidRPr="00E53E01">
              <w:rPr>
                <w:rStyle w:val="normaltextrun"/>
              </w:rPr>
              <w:t>−0.0007</w:t>
            </w:r>
            <w:r w:rsidRPr="00E53E01">
              <w:t>9</w:t>
            </w:r>
          </w:p>
        </w:tc>
        <w:tc>
          <w:tcPr>
            <w:tcW w:w="1219" w:type="dxa"/>
            <w:tcBorders>
              <w:top w:val="nil"/>
              <w:bottom w:val="single" w:sz="4" w:space="0" w:color="auto"/>
            </w:tcBorders>
            <w:shd w:val="clear" w:color="auto" w:fill="auto"/>
            <w:vAlign w:val="center"/>
          </w:tcPr>
          <w:p w14:paraId="762C5C22" w14:textId="02FF7C49" w:rsidR="00BC6FE8" w:rsidRPr="00E53E01" w:rsidRDefault="00BC6FE8" w:rsidP="00BC6FE8">
            <w:pPr>
              <w:pStyle w:val="MDPI42tablebody"/>
              <w:autoSpaceDE w:val="0"/>
              <w:autoSpaceDN w:val="0"/>
            </w:pPr>
            <w:r w:rsidRPr="00E53E01">
              <w:rPr>
                <w:rStyle w:val="normaltextrun"/>
              </w:rPr>
              <w:t>0.00122</w:t>
            </w:r>
          </w:p>
        </w:tc>
        <w:tc>
          <w:tcPr>
            <w:tcW w:w="1829" w:type="dxa"/>
            <w:tcBorders>
              <w:top w:val="nil"/>
              <w:bottom w:val="single" w:sz="4" w:space="0" w:color="auto"/>
            </w:tcBorders>
            <w:shd w:val="clear" w:color="auto" w:fill="auto"/>
            <w:vAlign w:val="center"/>
          </w:tcPr>
          <w:p w14:paraId="1ED770A0" w14:textId="4BF25629" w:rsidR="00BC6FE8" w:rsidRPr="00E53E01" w:rsidRDefault="00BC6FE8" w:rsidP="00BC6FE8">
            <w:pPr>
              <w:pStyle w:val="MDPI42tablebody"/>
              <w:autoSpaceDE w:val="0"/>
              <w:autoSpaceDN w:val="0"/>
            </w:pPr>
            <w:r w:rsidRPr="00E53E01">
              <w:rPr>
                <w:rStyle w:val="normaltextrun"/>
              </w:rPr>
              <w:t>0.00171</w:t>
            </w:r>
          </w:p>
        </w:tc>
        <w:tc>
          <w:tcPr>
            <w:tcW w:w="1422" w:type="dxa"/>
            <w:tcBorders>
              <w:top w:val="nil"/>
              <w:bottom w:val="single" w:sz="4" w:space="0" w:color="auto"/>
            </w:tcBorders>
            <w:shd w:val="clear" w:color="auto" w:fill="auto"/>
            <w:vAlign w:val="center"/>
          </w:tcPr>
          <w:p w14:paraId="4A087B46" w14:textId="6DA3E0F2" w:rsidR="00BC6FE8" w:rsidRPr="00E53E01" w:rsidRDefault="00BC6FE8" w:rsidP="00BC6FE8">
            <w:pPr>
              <w:pStyle w:val="MDPI42tablebody"/>
              <w:autoSpaceDE w:val="0"/>
              <w:autoSpaceDN w:val="0"/>
            </w:pPr>
            <w:r w:rsidRPr="00E53E01">
              <w:rPr>
                <w:rStyle w:val="normaltextrun"/>
              </w:rPr>
              <w:t>0.6</w:t>
            </w:r>
            <w:r w:rsidRPr="00E53E01">
              <w:t>1</w:t>
            </w:r>
            <w:r w:rsidRPr="00E53E01">
              <w:rPr>
                <w:rStyle w:val="normaltextrun"/>
              </w:rPr>
              <w:t>145</w:t>
            </w:r>
          </w:p>
        </w:tc>
      </w:tr>
    </w:tbl>
    <w:p w14:paraId="77C88B94" w14:textId="15A318D4" w:rsidR="00176A80" w:rsidRPr="00E53E01" w:rsidRDefault="006B79D0" w:rsidP="006B79D0">
      <w:pPr>
        <w:pStyle w:val="MDPI22heading2"/>
        <w:spacing w:before="240"/>
      </w:pPr>
      <w:r w:rsidRPr="00E53E01">
        <w:t xml:space="preserve">3.2. </w:t>
      </w:r>
      <w:r w:rsidR="00176A80" w:rsidRPr="00E53E01">
        <w:t>Hyperspectral Comparisons</w:t>
      </w:r>
    </w:p>
    <w:p w14:paraId="639FB1FC" w14:textId="42F9943B" w:rsidR="00176A80" w:rsidRPr="00E53E01" w:rsidRDefault="00176A80" w:rsidP="006B79D0">
      <w:pPr>
        <w:pStyle w:val="MDPI31text"/>
      </w:pPr>
      <w:r w:rsidRPr="00E53E01">
        <w:t>In addition to AERONET-OC R</w:t>
      </w:r>
      <w:r w:rsidRPr="00E53E01">
        <w:rPr>
          <w:vertAlign w:val="subscript"/>
        </w:rPr>
        <w:t>rs</w:t>
      </w:r>
      <w:r w:rsidRPr="00E53E01">
        <w:t xml:space="preserve"> comparisons with multispectral sensors, we conducted case study R</w:t>
      </w:r>
      <w:r w:rsidRPr="00E53E01">
        <w:rPr>
          <w:vertAlign w:val="subscript"/>
        </w:rPr>
        <w:t>rs</w:t>
      </w:r>
      <w:r w:rsidRPr="00E53E01">
        <w:t xml:space="preserve"> comparisons of PACE-OCI and AERONET-OC </w:t>
      </w:r>
      <w:r w:rsidR="00FA5AD0" w:rsidRPr="00E53E01">
        <w:t>(</w:t>
      </w:r>
      <w:r w:rsidRPr="00E53E01">
        <w:t>Figure 3</w:t>
      </w:r>
      <w:r w:rsidR="00FA5AD0" w:rsidRPr="00E53E01">
        <w:t>)</w:t>
      </w:r>
      <w:r w:rsidRPr="00E53E01">
        <w:t>. To assess the performance of PACE, we compared scenes during three conditions: an algal bloom, after a storm event, and a clear day. In the scenes studied, PACE-OCI V2.0 underestimates R</w:t>
      </w:r>
      <w:r w:rsidRPr="00E53E01">
        <w:rPr>
          <w:vertAlign w:val="subscript"/>
        </w:rPr>
        <w:t>rs</w:t>
      </w:r>
      <w:r w:rsidRPr="00E53E01">
        <w:t xml:space="preserve"> in the blue wavelengths and often contains negative readings below 500 nm, though it should be noted that PACE-OCI V2.0 R</w:t>
      </w:r>
      <w:r w:rsidRPr="00E53E01">
        <w:rPr>
          <w:vertAlign w:val="subscript"/>
        </w:rPr>
        <w:t>rs</w:t>
      </w:r>
      <w:r w:rsidRPr="00E53E01">
        <w:t xml:space="preserve"> is a provisional product distributed prior to the application of post-launch system vicarious calibration gains and containing other known issues [</w:t>
      </w:r>
      <w:r w:rsidR="008C51D5" w:rsidRPr="00E53E01">
        <w:t>42</w:t>
      </w:r>
      <w:r w:rsidRPr="00E53E01">
        <w:t>]. We analyzed reprocessed PACE-OCI V3.0 R</w:t>
      </w:r>
      <w:r w:rsidRPr="00E53E01">
        <w:rPr>
          <w:vertAlign w:val="subscript"/>
        </w:rPr>
        <w:t>rs</w:t>
      </w:r>
      <w:r w:rsidRPr="00E53E01">
        <w:t xml:space="preserve"> for the targeted dates, but the spectra were similar to V2.0, and the additional flagging criteria of V3.0 removed critical pixels used in our target scenes.</w:t>
      </w:r>
    </w:p>
    <w:p w14:paraId="007C0F41" w14:textId="7BB8800F" w:rsidR="00176A80" w:rsidRPr="00E53E01" w:rsidRDefault="00441C6E" w:rsidP="006B79D0">
      <w:pPr>
        <w:pStyle w:val="MDPI52figure"/>
        <w:ind w:left="2608"/>
        <w:jc w:val="left"/>
      </w:pPr>
      <w:r w:rsidRPr="00E53E01">
        <w:rPr>
          <w:noProof/>
          <w:snapToGrid/>
          <w14:ligatures w14:val="none"/>
        </w:rPr>
        <w:lastRenderedPageBreak/>
        <w:drawing>
          <wp:inline distT="0" distB="0" distL="0" distR="0" wp14:anchorId="78BCA3BD" wp14:editId="6255F779">
            <wp:extent cx="4374810" cy="5875020"/>
            <wp:effectExtent l="0" t="0" r="6985" b="0"/>
            <wp:docPr id="607024797" name="Picture 2" descr="Chart, scatt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024797" name="Picture 2" descr="Chart, scatter chart&#10;&#10;AI-generated content may be incorrect."/>
                    <pic:cNvPicPr/>
                  </pic:nvPicPr>
                  <pic:blipFill>
                    <a:blip r:embed="rId9"/>
                    <a:stretch>
                      <a:fillRect/>
                    </a:stretch>
                  </pic:blipFill>
                  <pic:spPr>
                    <a:xfrm>
                      <a:off x="0" y="0"/>
                      <a:ext cx="4384205" cy="5887636"/>
                    </a:xfrm>
                    <a:prstGeom prst="rect">
                      <a:avLst/>
                    </a:prstGeom>
                  </pic:spPr>
                </pic:pic>
              </a:graphicData>
            </a:graphic>
          </wp:inline>
        </w:drawing>
      </w:r>
    </w:p>
    <w:p w14:paraId="3261EA02" w14:textId="1B52195C" w:rsidR="00176A80" w:rsidRPr="00E53E01" w:rsidRDefault="00176A80" w:rsidP="006B79D0">
      <w:pPr>
        <w:pStyle w:val="MDPI51figurecaption"/>
        <w:jc w:val="both"/>
      </w:pPr>
      <w:r w:rsidRPr="00E53E01">
        <w:rPr>
          <w:b/>
          <w:bCs/>
        </w:rPr>
        <w:t xml:space="preserve">Figure 3. </w:t>
      </w:r>
      <w:r w:rsidRPr="00E53E01">
        <w:t xml:space="preserve">Three case study scenes comparing the spectra of PACE-OCI and AERONET-OC, representing an algal bloom, post-storm turbidity, and a clear day. </w:t>
      </w:r>
      <w:r w:rsidR="001A6042" w:rsidRPr="00E53E01">
        <w:t xml:space="preserve">The AERONET-OC site is indicated with a red circle. </w:t>
      </w:r>
      <w:r w:rsidRPr="00E53E01">
        <w:t>Spectra of coincident VIIRS-NPP and OLCI S3A/B data are also included on the right.</w:t>
      </w:r>
    </w:p>
    <w:p w14:paraId="715B2DCF" w14:textId="204A4D05" w:rsidR="00176A80" w:rsidRPr="00E53E01" w:rsidRDefault="00DF0787" w:rsidP="00DF0787">
      <w:pPr>
        <w:pStyle w:val="MDPI22heading2"/>
        <w:spacing w:before="240"/>
      </w:pPr>
      <w:r w:rsidRPr="00E53E01">
        <w:t xml:space="preserve">3.3. </w:t>
      </w:r>
      <w:r w:rsidR="00176A80" w:rsidRPr="00E53E01">
        <w:t>Sediment Plume Monitoring</w:t>
      </w:r>
    </w:p>
    <w:p w14:paraId="51F956CC" w14:textId="2CA82A28" w:rsidR="00176A80" w:rsidRPr="00E53E01" w:rsidRDefault="00176A80" w:rsidP="00DF0787">
      <w:pPr>
        <w:pStyle w:val="MDPI31text"/>
      </w:pPr>
      <w:r w:rsidRPr="00E53E01">
        <w:t>A map of shallow</w:t>
      </w:r>
      <w:r w:rsidR="004C0A22" w:rsidRPr="00E53E01">
        <w:t>-</w:t>
      </w:r>
      <w:r w:rsidRPr="00E53E01">
        <w:t xml:space="preserve">depth </w:t>
      </w:r>
      <w:r w:rsidR="00FA5AD0" w:rsidRPr="00E53E01">
        <w:t>(</w:t>
      </w:r>
      <w:r w:rsidRPr="00E53E01">
        <w:t>0.</w:t>
      </w:r>
      <w:r w:rsidR="00FA5AD0" w:rsidRPr="00E53E01">
        <w:t>5 m)</w:t>
      </w:r>
      <w:r w:rsidRPr="00E53E01">
        <w:t xml:space="preserve"> TSM measured along the upper Chesapeake Bay taken prior to the storm event studied demonstrates peak TSM concentration at the observed estuarine turbidity maximum south of the Susquehanna </w:t>
      </w:r>
      <w:r w:rsidR="006F45B4" w:rsidRPr="00E53E01">
        <w:t>F</w:t>
      </w:r>
      <w:r w:rsidRPr="00E53E01">
        <w:t xml:space="preserve">lats </w:t>
      </w:r>
      <w:r w:rsidR="00FA5AD0" w:rsidRPr="00E53E01">
        <w:t>(</w:t>
      </w:r>
      <w:r w:rsidRPr="00E53E01">
        <w:t>Figure 4b</w:t>
      </w:r>
      <w:r w:rsidR="00FA5AD0" w:rsidRPr="00E53E01">
        <w:t>)</w:t>
      </w:r>
      <w:r w:rsidRPr="00E53E01">
        <w:t xml:space="preserve">. While the satellite data provide a spatially resolved map of TSM distribution and </w:t>
      </w:r>
      <w:r w:rsidRPr="00E53E01">
        <w:rPr>
          <w:iCs/>
        </w:rPr>
        <w:t>in situ</w:t>
      </w:r>
      <w:r w:rsidRPr="00E53E01">
        <w:t xml:space="preserve"> measurements help verify its accuracy, the limited temporal resolution of both measurements decrease the ability to monitor the evolution of the sediment plume derived from the storm. Thus, measurements derived from AERONET-OC reflectance were used to more continuously monitor sediment concentration during and following the storm.</w:t>
      </w:r>
    </w:p>
    <w:tbl>
      <w:tblPr>
        <w:tblStyle w:val="TableGrid"/>
        <w:tblW w:w="104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140"/>
        <w:gridCol w:w="6300"/>
      </w:tblGrid>
      <w:tr w:rsidR="00114107" w:rsidRPr="00E53E01" w14:paraId="0F4DF9A3" w14:textId="77777777" w:rsidTr="00114107">
        <w:trPr>
          <w:jc w:val="center"/>
        </w:trPr>
        <w:tc>
          <w:tcPr>
            <w:tcW w:w="4140" w:type="dxa"/>
            <w:shd w:val="clear" w:color="auto" w:fill="auto"/>
            <w:vAlign w:val="center"/>
          </w:tcPr>
          <w:p w14:paraId="0FBDADBE" w14:textId="017B61C1" w:rsidR="00114107" w:rsidRPr="00E53E01" w:rsidRDefault="00114107" w:rsidP="00114107">
            <w:pPr>
              <w:pStyle w:val="MDPI52figure"/>
              <w:spacing w:before="0" w:after="0" w:line="240" w:lineRule="auto"/>
            </w:pPr>
            <w:r w:rsidRPr="00E53E01">
              <w:rPr>
                <w:noProof/>
                <w:snapToGrid/>
              </w:rPr>
              <w:lastRenderedPageBreak/>
              <w:drawing>
                <wp:inline distT="0" distB="0" distL="0" distR="0" wp14:anchorId="7561EC65" wp14:editId="48B6E33E">
                  <wp:extent cx="2628666" cy="2720340"/>
                  <wp:effectExtent l="0" t="0" r="635" b="3810"/>
                  <wp:docPr id="47963036" name="Picture 17"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3036" name="Picture 17" descr="A picture containing diagram&#10;&#10;AI-generated content may be incorrect."/>
                          <pic:cNvPicPr/>
                        </pic:nvPicPr>
                        <pic:blipFill>
                          <a:blip r:embed="rId10"/>
                          <a:stretch>
                            <a:fillRect/>
                          </a:stretch>
                        </pic:blipFill>
                        <pic:spPr>
                          <a:xfrm>
                            <a:off x="0" y="0"/>
                            <a:ext cx="2644762" cy="2736998"/>
                          </a:xfrm>
                          <a:prstGeom prst="rect">
                            <a:avLst/>
                          </a:prstGeom>
                        </pic:spPr>
                      </pic:pic>
                    </a:graphicData>
                  </a:graphic>
                </wp:inline>
              </w:drawing>
            </w:r>
          </w:p>
        </w:tc>
        <w:tc>
          <w:tcPr>
            <w:tcW w:w="6300" w:type="dxa"/>
            <w:shd w:val="clear" w:color="auto" w:fill="auto"/>
            <w:vAlign w:val="center"/>
          </w:tcPr>
          <w:p w14:paraId="7ABF1322" w14:textId="2544EDCD" w:rsidR="00114107" w:rsidRPr="00E53E01" w:rsidRDefault="00114107" w:rsidP="00114107">
            <w:pPr>
              <w:pStyle w:val="MDPI31text"/>
              <w:spacing w:line="240" w:lineRule="auto"/>
              <w:ind w:left="0" w:firstLine="0"/>
              <w:jc w:val="center"/>
            </w:pPr>
            <w:r w:rsidRPr="00E53E01">
              <w:rPr>
                <w:noProof/>
                <w:snapToGrid/>
              </w:rPr>
              <w:drawing>
                <wp:inline distT="0" distB="0" distL="0" distR="0" wp14:anchorId="606398BA" wp14:editId="67E70DCE">
                  <wp:extent cx="4000500" cy="2799508"/>
                  <wp:effectExtent l="0" t="0" r="0" b="1270"/>
                  <wp:docPr id="1670623477" name="Picture 11" descr="Chart, scatt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23477" name="Picture 11" descr="Chart, scatter chart&#10;&#10;AI-generated content may be incorrect."/>
                          <pic:cNvPicPr/>
                        </pic:nvPicPr>
                        <pic:blipFill>
                          <a:blip r:embed="rId11"/>
                          <a:stretch>
                            <a:fillRect/>
                          </a:stretch>
                        </pic:blipFill>
                        <pic:spPr>
                          <a:xfrm>
                            <a:off x="0" y="0"/>
                            <a:ext cx="4000500" cy="2799508"/>
                          </a:xfrm>
                          <a:prstGeom prst="rect">
                            <a:avLst/>
                          </a:prstGeom>
                        </pic:spPr>
                      </pic:pic>
                    </a:graphicData>
                  </a:graphic>
                </wp:inline>
              </w:drawing>
            </w:r>
          </w:p>
        </w:tc>
      </w:tr>
    </w:tbl>
    <w:p w14:paraId="0D12F3FB" w14:textId="34D6D4C3" w:rsidR="00176A80" w:rsidRPr="00E53E01" w:rsidRDefault="00176A80" w:rsidP="00DF0787">
      <w:pPr>
        <w:pStyle w:val="MDPI51figurecaption"/>
        <w:jc w:val="both"/>
      </w:pPr>
      <w:r w:rsidRPr="00E53E01">
        <w:rPr>
          <w:b/>
          <w:bCs/>
        </w:rPr>
        <w:t xml:space="preserve">Figure 4. </w:t>
      </w:r>
      <w:r w:rsidR="00FA5AD0" w:rsidRPr="00E53E01">
        <w:t>(</w:t>
      </w:r>
      <w:r w:rsidRPr="00E53E01">
        <w:rPr>
          <w:b/>
          <w:bCs/>
        </w:rPr>
        <w:t>a</w:t>
      </w:r>
      <w:r w:rsidR="00FA5AD0" w:rsidRPr="00E53E01">
        <w:t>)</w:t>
      </w:r>
      <w:r w:rsidRPr="00E53E01">
        <w:t xml:space="preserve"> CBP measurements taken </w:t>
      </w:r>
      <w:r w:rsidR="001A6042" w:rsidRPr="00E53E01">
        <w:t xml:space="preserve">at numbered stations </w:t>
      </w:r>
      <w:r w:rsidRPr="00E53E01">
        <w:t xml:space="preserve">between two TSM peaks in late January. The CB1.1 station used for LOADEST estimations is circled in black. </w:t>
      </w:r>
      <w:r w:rsidR="00FA5AD0" w:rsidRPr="00E53E01">
        <w:t>(</w:t>
      </w:r>
      <w:r w:rsidRPr="00E53E01">
        <w:rPr>
          <w:b/>
          <w:bCs/>
        </w:rPr>
        <w:t>b</w:t>
      </w:r>
      <w:r w:rsidR="00FA5AD0" w:rsidRPr="00E53E01">
        <w:t>)</w:t>
      </w:r>
      <w:r w:rsidRPr="00E53E01">
        <w:t xml:space="preserve"> OLCI-S3A/B 2-day composite TSM maps during a February 2024 storm in the Chesapeake Bay.</w:t>
      </w:r>
    </w:p>
    <w:p w14:paraId="2B2695F0" w14:textId="7015BD7A" w:rsidR="00176A80" w:rsidRPr="00E53E01" w:rsidRDefault="00176A80" w:rsidP="006425E3">
      <w:pPr>
        <w:pStyle w:val="MDPI31text"/>
      </w:pPr>
      <w:r w:rsidRPr="00E53E01">
        <w:t>To examine the lag in sediment transport, we estimated TSM measurements upstream of the AERONET-OC site at the Conowingo Dam with LOADEST. The LOADEST estimated TSM concentration was predicted with a bias percentage of –0.55% and a Nash</w:t>
      </w:r>
      <w:r w:rsidR="004C0A22" w:rsidRPr="00E53E01">
        <w:t>–</w:t>
      </w:r>
      <w:r w:rsidRPr="00E53E01">
        <w:t>Sutcliffe efficiency score of 0.68, which indicates satisfactory model performance [</w:t>
      </w:r>
      <w:r w:rsidR="008C51D5" w:rsidRPr="00E53E01">
        <w:t>43</w:t>
      </w:r>
      <w:r w:rsidRPr="00E53E01">
        <w:t>].</w:t>
      </w:r>
      <w:r w:rsidR="00196437" w:rsidRPr="00E53E01">
        <w:t xml:space="preserve"> </w:t>
      </w:r>
      <w:r w:rsidRPr="00E53E01">
        <w:t xml:space="preserve">Cross-correlation analysis demonstrated a three-day lag with a correlation coefficient of 0.814 for the TSM peaks at the upstream </w:t>
      </w:r>
      <w:r w:rsidR="00FA5AD0" w:rsidRPr="00E53E01">
        <w:t>(</w:t>
      </w:r>
      <w:r w:rsidRPr="00E53E01">
        <w:t>Conowingo Dam</w:t>
      </w:r>
      <w:r w:rsidR="00FA5AD0" w:rsidRPr="00E53E01">
        <w:t>)</w:t>
      </w:r>
      <w:r w:rsidRPr="00E53E01">
        <w:t xml:space="preserve"> and downstream </w:t>
      </w:r>
      <w:r w:rsidR="00FA5AD0" w:rsidRPr="00E53E01">
        <w:t>(</w:t>
      </w:r>
      <w:r w:rsidRPr="00E53E01">
        <w:t>AERONET-OC</w:t>
      </w:r>
      <w:r w:rsidR="00FA5AD0" w:rsidRPr="00E53E01">
        <w:t>)</w:t>
      </w:r>
      <w:r w:rsidRPr="00E53E01">
        <w:t xml:space="preserve"> locations </w:t>
      </w:r>
      <w:r w:rsidR="00FA5AD0" w:rsidRPr="00E53E01">
        <w:t>(</w:t>
      </w:r>
      <w:r w:rsidRPr="00E53E01">
        <w:t>Figure 5</w:t>
      </w:r>
      <w:r w:rsidR="00FA5AD0" w:rsidRPr="00E53E01">
        <w:t>)</w:t>
      </w:r>
      <w:r w:rsidRPr="00E53E01">
        <w:t>.</w:t>
      </w:r>
    </w:p>
    <w:p w14:paraId="40DCE215" w14:textId="0D12DF3E" w:rsidR="00176A80" w:rsidRPr="00E53E01" w:rsidRDefault="00441C6E" w:rsidP="00E53E01">
      <w:pPr>
        <w:pStyle w:val="MDPI52figure"/>
        <w:ind w:left="1020" w:firstLine="510"/>
      </w:pPr>
      <w:r w:rsidRPr="00E53E01">
        <w:rPr>
          <w:noProof/>
          <w:snapToGrid/>
          <w14:ligatures w14:val="none"/>
        </w:rPr>
        <w:drawing>
          <wp:inline distT="0" distB="0" distL="0" distR="0" wp14:anchorId="469D5AD4" wp14:editId="1545753F">
            <wp:extent cx="5844540" cy="3773877"/>
            <wp:effectExtent l="0" t="0" r="3810" b="0"/>
            <wp:docPr id="589687103" name="Picture 3"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87103" name="Picture 3" descr="Chart&#10;&#10;AI-generated content may be incorrect."/>
                    <pic:cNvPicPr/>
                  </pic:nvPicPr>
                  <pic:blipFill>
                    <a:blip r:embed="rId12"/>
                    <a:stretch>
                      <a:fillRect/>
                    </a:stretch>
                  </pic:blipFill>
                  <pic:spPr>
                    <a:xfrm>
                      <a:off x="0" y="0"/>
                      <a:ext cx="5848201" cy="3776241"/>
                    </a:xfrm>
                    <a:prstGeom prst="rect">
                      <a:avLst/>
                    </a:prstGeom>
                  </pic:spPr>
                </pic:pic>
              </a:graphicData>
            </a:graphic>
          </wp:inline>
        </w:drawing>
      </w:r>
    </w:p>
    <w:p w14:paraId="74DA053D" w14:textId="4BE40FA2" w:rsidR="00176A80" w:rsidRPr="00E53E01" w:rsidRDefault="00176A80" w:rsidP="006425E3">
      <w:pPr>
        <w:pStyle w:val="MDPI51figurecaption"/>
        <w:jc w:val="both"/>
      </w:pPr>
      <w:r w:rsidRPr="00E53E01">
        <w:rPr>
          <w:b/>
          <w:bCs/>
        </w:rPr>
        <w:t xml:space="preserve">Figure 5. </w:t>
      </w:r>
      <w:r w:rsidR="00FA5AD0" w:rsidRPr="00E53E01">
        <w:t>(</w:t>
      </w:r>
      <w:r w:rsidRPr="00E53E01">
        <w:rPr>
          <w:b/>
          <w:bCs/>
        </w:rPr>
        <w:t>a</w:t>
      </w:r>
      <w:r w:rsidR="00FA5AD0" w:rsidRPr="00E53E01">
        <w:t>)</w:t>
      </w:r>
      <w:r w:rsidRPr="00E53E01">
        <w:t xml:space="preserve"> Time</w:t>
      </w:r>
      <w:r w:rsidR="00164453" w:rsidRPr="00E53E01">
        <w:t xml:space="preserve"> </w:t>
      </w:r>
      <w:r w:rsidRPr="00E53E01">
        <w:t>series of the LOADEST-derived TSM at the Conowingo Dam stream gauge</w:t>
      </w:r>
      <w:r w:rsidR="00441C6E" w:rsidRPr="00E53E01">
        <w:t xml:space="preserve"> (outlined with a black box)</w:t>
      </w:r>
      <w:r w:rsidRPr="00E53E01">
        <w:t xml:space="preserve"> </w:t>
      </w:r>
      <w:r w:rsidR="00D150B1" w:rsidRPr="00E53E01">
        <w:t xml:space="preserve">and </w:t>
      </w:r>
      <w:r w:rsidRPr="00E53E01">
        <w:t>the daily maximum AERONET-OC TSM and OLCI-S3A/B TSM</w:t>
      </w:r>
      <w:r w:rsidR="00D150B1" w:rsidRPr="00E53E01">
        <w:t xml:space="preserve"> at the </w:t>
      </w:r>
      <w:r w:rsidR="00D150B1" w:rsidRPr="00E53E01">
        <w:lastRenderedPageBreak/>
        <w:t>AERONET-OC site (outlined with a red box)</w:t>
      </w:r>
      <w:r w:rsidRPr="00E53E01">
        <w:t xml:space="preserve">. </w:t>
      </w:r>
      <w:r w:rsidR="00FA5AD0" w:rsidRPr="00E53E01">
        <w:t>(</w:t>
      </w:r>
      <w:r w:rsidRPr="00E53E01">
        <w:rPr>
          <w:b/>
          <w:bCs/>
        </w:rPr>
        <w:t>b</w:t>
      </w:r>
      <w:r w:rsidR="00FA5AD0" w:rsidRPr="00E53E01">
        <w:t>)</w:t>
      </w:r>
      <w:r w:rsidRPr="00E53E01">
        <w:t xml:space="preserve"> Sentinel-2 TSM calculated during the case study period </w:t>
      </w:r>
      <w:r w:rsidR="00FA5AD0" w:rsidRPr="00E53E01">
        <w:t>(</w:t>
      </w:r>
      <w:r w:rsidR="000145F4" w:rsidRPr="00E53E01">
        <w:t xml:space="preserve">4 February </w:t>
      </w:r>
      <w:r w:rsidRPr="00E53E01">
        <w:t>2025</w:t>
      </w:r>
      <w:r w:rsidR="00FA5AD0" w:rsidRPr="00E53E01">
        <w:t>)</w:t>
      </w:r>
      <w:r w:rsidRPr="00E53E01">
        <w:t xml:space="preserve">. </w:t>
      </w:r>
      <w:r w:rsidR="00FA5AD0" w:rsidRPr="00E53E01">
        <w:t>(</w:t>
      </w:r>
      <w:r w:rsidRPr="00E53E01">
        <w:rPr>
          <w:b/>
          <w:bCs/>
        </w:rPr>
        <w:t>c</w:t>
      </w:r>
      <w:r w:rsidR="00FA5AD0" w:rsidRPr="00E53E01">
        <w:t>)</w:t>
      </w:r>
      <w:r w:rsidRPr="00E53E01">
        <w:t xml:space="preserve"> Correlation coefficient results from time lag analysis between TSM peaks observed </w:t>
      </w:r>
      <w:r w:rsidR="004C0A22" w:rsidRPr="00E53E01">
        <w:t xml:space="preserve">at </w:t>
      </w:r>
      <w:r w:rsidRPr="00E53E01">
        <w:t>the Conowingo Dam and AERONET-OC site</w:t>
      </w:r>
      <w:r w:rsidR="004C0A22" w:rsidRPr="00E53E01">
        <w:t>s</w:t>
      </w:r>
      <w:r w:rsidRPr="00E53E01">
        <w:t>.</w:t>
      </w:r>
    </w:p>
    <w:p w14:paraId="6B07DC2F" w14:textId="1A81BEA6" w:rsidR="00176A80" w:rsidRPr="00E53E01" w:rsidRDefault="00176A80" w:rsidP="008E1179">
      <w:pPr>
        <w:pStyle w:val="MDPI31text"/>
        <w:spacing w:after="240"/>
      </w:pPr>
      <w:r w:rsidRPr="00E53E01">
        <w:t xml:space="preserve">Continuously monitored data from the AERONET-OC site provide multiple observations throughout the day </w:t>
      </w:r>
      <w:r w:rsidR="00FA5AD0" w:rsidRPr="00E53E01">
        <w:t>(</w:t>
      </w:r>
      <w:r w:rsidRPr="00E53E01">
        <w:t>~13:00 to 21:00 UTC</w:t>
      </w:r>
      <w:r w:rsidR="00FA5AD0" w:rsidRPr="00E53E01">
        <w:t>)</w:t>
      </w:r>
      <w:r w:rsidRPr="00E53E01">
        <w:t xml:space="preserve">, when minimal sun glint and atmospheric conditions allow for clear measurements. Figure 6 shows all AERONET-OC measurements taken on days with the largest TSM peaks to investigate diurnal variability in the upper </w:t>
      </w:r>
      <w:r w:rsidR="004C0A22" w:rsidRPr="00E53E01">
        <w:t>b</w:t>
      </w:r>
      <w:r w:rsidRPr="00E53E01">
        <w:t xml:space="preserve">ay. During the TSM peak on </w:t>
      </w:r>
      <w:r w:rsidR="000145F4" w:rsidRPr="00E53E01">
        <w:t>3 February 2024</w:t>
      </w:r>
      <w:r w:rsidRPr="00E53E01">
        <w:t xml:space="preserve">, the TSM maximum peaked at 18:00 and returned to normal levels within 3 </w:t>
      </w:r>
      <w:r w:rsidR="002F34CC" w:rsidRPr="00E53E01">
        <w:t>h</w:t>
      </w:r>
      <w:r w:rsidRPr="00E53E01">
        <w:t xml:space="preserve">. A TSM peak two days later, on </w:t>
      </w:r>
      <w:r w:rsidR="000145F4" w:rsidRPr="00E53E01">
        <w:t xml:space="preserve">5 February </w:t>
      </w:r>
      <w:r w:rsidRPr="00E53E01">
        <w:t xml:space="preserve">2024, had a lower maximum, peaking at 16:00, and took a further 5 </w:t>
      </w:r>
      <w:r w:rsidR="002F34CC" w:rsidRPr="00E53E01">
        <w:t>h</w:t>
      </w:r>
      <w:r w:rsidRPr="00E53E01">
        <w:t xml:space="preserve"> to pass the AERONET-OC site.</w:t>
      </w:r>
    </w:p>
    <w:tbl>
      <w:tblPr>
        <w:tblStyle w:val="TableGrid"/>
        <w:tblW w:w="91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367"/>
        <w:gridCol w:w="4783"/>
      </w:tblGrid>
      <w:tr w:rsidR="006D1EF7" w:rsidRPr="00E53E01" w14:paraId="7C1D643D" w14:textId="77777777" w:rsidTr="008E1179">
        <w:trPr>
          <w:jc w:val="center"/>
        </w:trPr>
        <w:tc>
          <w:tcPr>
            <w:tcW w:w="9150" w:type="dxa"/>
            <w:gridSpan w:val="2"/>
            <w:shd w:val="clear" w:color="auto" w:fill="auto"/>
            <w:vAlign w:val="center"/>
          </w:tcPr>
          <w:p w14:paraId="2238E7B2" w14:textId="07839D65" w:rsidR="006D1EF7" w:rsidRPr="00E53E01" w:rsidRDefault="006D1EF7" w:rsidP="008E1179">
            <w:pPr>
              <w:pStyle w:val="MDPI52figure"/>
              <w:spacing w:before="0" w:after="0" w:line="240" w:lineRule="auto"/>
            </w:pPr>
            <w:r w:rsidRPr="00E53E01">
              <w:rPr>
                <w:noProof/>
                <w:snapToGrid/>
                <w:shd w:val="clear" w:color="auto" w:fill="E6E6E6"/>
              </w:rPr>
              <w:drawing>
                <wp:inline distT="0" distB="0" distL="0" distR="0" wp14:anchorId="5F39DA99" wp14:editId="4984052D">
                  <wp:extent cx="5808980" cy="2316480"/>
                  <wp:effectExtent l="0" t="0" r="1270" b="7620"/>
                  <wp:docPr id="1764780457" name="Picture 19" descr="Chart, box and whiske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80457" name="Picture 19" descr="Chart, box and whisker chart&#10;&#10;AI-generated content may be incorrect."/>
                          <pic:cNvPicPr/>
                        </pic:nvPicPr>
                        <pic:blipFill rotWithShape="1">
                          <a:blip r:embed="rId13"/>
                          <a:srcRect t="-1" b="1613"/>
                          <a:stretch/>
                        </pic:blipFill>
                        <pic:spPr bwMode="auto">
                          <a:xfrm>
                            <a:off x="0" y="0"/>
                            <a:ext cx="5869137" cy="2340469"/>
                          </a:xfrm>
                          <a:prstGeom prst="rect">
                            <a:avLst/>
                          </a:prstGeom>
                          <a:ln>
                            <a:noFill/>
                          </a:ln>
                          <a:extLst>
                            <a:ext uri="{53640926-AAD7-44D8-BBD7-CCE9431645EC}">
                              <a14:shadowObscured xmlns:a14="http://schemas.microsoft.com/office/drawing/2010/main"/>
                            </a:ext>
                          </a:extLst>
                        </pic:spPr>
                      </pic:pic>
                    </a:graphicData>
                  </a:graphic>
                </wp:inline>
              </w:drawing>
            </w:r>
          </w:p>
        </w:tc>
      </w:tr>
      <w:tr w:rsidR="006D1EF7" w:rsidRPr="00E53E01" w14:paraId="14FFA71B" w14:textId="77777777" w:rsidTr="008E1179">
        <w:trPr>
          <w:jc w:val="center"/>
        </w:trPr>
        <w:tc>
          <w:tcPr>
            <w:tcW w:w="4367" w:type="dxa"/>
            <w:shd w:val="clear" w:color="auto" w:fill="auto"/>
            <w:vAlign w:val="center"/>
          </w:tcPr>
          <w:p w14:paraId="0E9B6A6E" w14:textId="41E15C04" w:rsidR="006D1EF7" w:rsidRPr="00E53E01" w:rsidRDefault="006D1EF7" w:rsidP="008E1179">
            <w:pPr>
              <w:pStyle w:val="MDPI31text"/>
              <w:spacing w:line="240" w:lineRule="auto"/>
              <w:ind w:left="0" w:firstLine="0"/>
              <w:jc w:val="center"/>
              <w:rPr>
                <w:sz w:val="18"/>
              </w:rPr>
            </w:pPr>
            <w:r w:rsidRPr="00E53E01">
              <w:rPr>
                <w:sz w:val="18"/>
              </w:rPr>
              <w:t>(</w:t>
            </w:r>
            <w:r w:rsidRPr="00E53E01">
              <w:rPr>
                <w:b/>
                <w:noProof/>
                <w:sz w:val="18"/>
              </w:rPr>
              <w:t>a</w:t>
            </w:r>
            <w:r w:rsidRPr="00E53E01">
              <w:rPr>
                <w:sz w:val="18"/>
              </w:rPr>
              <w:t>)</w:t>
            </w:r>
          </w:p>
        </w:tc>
        <w:tc>
          <w:tcPr>
            <w:tcW w:w="4783" w:type="dxa"/>
            <w:shd w:val="clear" w:color="auto" w:fill="auto"/>
            <w:vAlign w:val="center"/>
          </w:tcPr>
          <w:p w14:paraId="7B4EB195" w14:textId="02489C4A" w:rsidR="006D1EF7" w:rsidRPr="00E53E01" w:rsidRDefault="006D1EF7" w:rsidP="008E1179">
            <w:pPr>
              <w:pStyle w:val="MDPI31text"/>
              <w:spacing w:line="240" w:lineRule="auto"/>
              <w:ind w:left="0" w:firstLine="0"/>
              <w:jc w:val="center"/>
              <w:rPr>
                <w:sz w:val="18"/>
              </w:rPr>
            </w:pPr>
            <w:r w:rsidRPr="00E53E01">
              <w:rPr>
                <w:sz w:val="18"/>
              </w:rPr>
              <w:t>(</w:t>
            </w:r>
            <w:r w:rsidRPr="00E53E01">
              <w:rPr>
                <w:b/>
                <w:noProof/>
                <w:sz w:val="18"/>
              </w:rPr>
              <w:t>b</w:t>
            </w:r>
            <w:r w:rsidRPr="00E53E01">
              <w:rPr>
                <w:sz w:val="18"/>
              </w:rPr>
              <w:t>)</w:t>
            </w:r>
          </w:p>
        </w:tc>
      </w:tr>
    </w:tbl>
    <w:p w14:paraId="56CCB40C" w14:textId="7E7B93C8" w:rsidR="00176A80" w:rsidRPr="00E53E01" w:rsidRDefault="00176A80" w:rsidP="00F14654">
      <w:pPr>
        <w:pStyle w:val="MDPI51figurecaption"/>
        <w:jc w:val="both"/>
      </w:pPr>
      <w:r w:rsidRPr="00E53E01">
        <w:rPr>
          <w:b/>
          <w:bCs/>
        </w:rPr>
        <w:t xml:space="preserve">Figure 6. </w:t>
      </w:r>
      <w:r w:rsidRPr="00E53E01">
        <w:t xml:space="preserve">TSM derived from all AEROENT-OC measurements on </w:t>
      </w:r>
      <w:r w:rsidR="00FA5AD0" w:rsidRPr="00E53E01">
        <w:t>(</w:t>
      </w:r>
      <w:r w:rsidRPr="00E53E01">
        <w:rPr>
          <w:b/>
          <w:bCs/>
        </w:rPr>
        <w:t>a</w:t>
      </w:r>
      <w:r w:rsidR="00FA5AD0" w:rsidRPr="00E53E01">
        <w:t>)</w:t>
      </w:r>
      <w:r w:rsidRPr="00E53E01">
        <w:t xml:space="preserve"> </w:t>
      </w:r>
      <w:r w:rsidR="000145F4" w:rsidRPr="00E53E01">
        <w:t>3 February</w:t>
      </w:r>
      <w:r w:rsidR="00C41EFA" w:rsidRPr="00E53E01">
        <w:t xml:space="preserve"> </w:t>
      </w:r>
      <w:r w:rsidRPr="00E53E01">
        <w:t xml:space="preserve">2024 and </w:t>
      </w:r>
      <w:r w:rsidR="00FA5AD0" w:rsidRPr="00E53E01">
        <w:t>(</w:t>
      </w:r>
      <w:r w:rsidRPr="00E53E01">
        <w:rPr>
          <w:b/>
          <w:bCs/>
        </w:rPr>
        <w:t>b</w:t>
      </w:r>
      <w:r w:rsidR="00FA5AD0" w:rsidRPr="00E53E01">
        <w:t>)</w:t>
      </w:r>
      <w:r w:rsidRPr="00E53E01">
        <w:t xml:space="preserve"> </w:t>
      </w:r>
      <w:r w:rsidR="000145F4" w:rsidRPr="00E53E01">
        <w:t>5 February</w:t>
      </w:r>
      <w:r w:rsidR="00C41EFA" w:rsidRPr="00E53E01">
        <w:t xml:space="preserve"> </w:t>
      </w:r>
      <w:r w:rsidRPr="00E53E01">
        <w:t>2025</w:t>
      </w:r>
      <w:r w:rsidR="004C0A22" w:rsidRPr="00E53E01">
        <w:t>;</w:t>
      </w:r>
      <w:r w:rsidRPr="00E53E01">
        <w:t xml:space="preserve"> two TSM peaks </w:t>
      </w:r>
      <w:r w:rsidR="004C0A22" w:rsidRPr="00E53E01">
        <w:t xml:space="preserve">occurred </w:t>
      </w:r>
      <w:r w:rsidRPr="00E53E01">
        <w:t>during the targeted storm events. Coincident TSM measurements from OLCI-S3A/S3B have been overlayed on the plots where available.</w:t>
      </w:r>
    </w:p>
    <w:p w14:paraId="062418BD" w14:textId="517CBED9" w:rsidR="00176A80" w:rsidRPr="00E53E01" w:rsidRDefault="007F2A9F" w:rsidP="007F2A9F">
      <w:pPr>
        <w:pStyle w:val="MDPI22heading2"/>
        <w:spacing w:before="240"/>
      </w:pPr>
      <w:r w:rsidRPr="00E53E01">
        <w:t xml:space="preserve">3.4. </w:t>
      </w:r>
      <w:r w:rsidR="00176A80" w:rsidRPr="00E53E01">
        <w:t>Smoke Plume Monitoring</w:t>
      </w:r>
    </w:p>
    <w:p w14:paraId="31D5BF1C" w14:textId="76C02C06" w:rsidR="00176A80" w:rsidRPr="00E53E01" w:rsidRDefault="00176A80" w:rsidP="007F2A9F">
      <w:pPr>
        <w:pStyle w:val="MDPI31text"/>
      </w:pPr>
      <w:r w:rsidRPr="00E53E01">
        <w:t xml:space="preserve">We compared </w:t>
      </w:r>
      <w:r w:rsidRPr="00E53E01">
        <w:rPr>
          <w:iCs/>
        </w:rPr>
        <w:t>in situ</w:t>
      </w:r>
      <w:r w:rsidRPr="00E53E01">
        <w:t xml:space="preserve"> and satellite</w:t>
      </w:r>
      <w:r w:rsidR="004C0A22" w:rsidRPr="00E53E01">
        <w:t>-</w:t>
      </w:r>
      <w:r w:rsidRPr="00E53E01">
        <w:t xml:space="preserve">derived AOD retrievals throughout the 2023 Canadian </w:t>
      </w:r>
      <w:r w:rsidR="004C0A22" w:rsidRPr="00E53E01">
        <w:t>w</w:t>
      </w:r>
      <w:r w:rsidRPr="00E53E01">
        <w:t xml:space="preserve">ildfire smoke movement over the Chesapeake Bay </w:t>
      </w:r>
      <w:r w:rsidR="00FA5AD0" w:rsidRPr="00E53E01">
        <w:t>(</w:t>
      </w:r>
      <w:r w:rsidRPr="00E53E01">
        <w:t>Figure 7</w:t>
      </w:r>
      <w:r w:rsidR="00FA5AD0" w:rsidRPr="00E53E01">
        <w:t>)</w:t>
      </w:r>
      <w:r w:rsidRPr="00E53E01">
        <w:t>. Air</w:t>
      </w:r>
      <w:r w:rsidR="004C0A22" w:rsidRPr="00E53E01">
        <w:t>-</w:t>
      </w:r>
      <w:r w:rsidRPr="00E53E01">
        <w:t>quality patterns are consistent between the AOD and AQI measurements for this period.</w:t>
      </w:r>
    </w:p>
    <w:p w14:paraId="701174B4" w14:textId="4D7F3DFF" w:rsidR="00176A80" w:rsidRPr="00E53E01" w:rsidRDefault="00176A80" w:rsidP="000012AC">
      <w:pPr>
        <w:pStyle w:val="MDPI52figure"/>
        <w:ind w:left="2608"/>
        <w:jc w:val="left"/>
      </w:pPr>
      <w:r w:rsidRPr="00E53E01">
        <w:rPr>
          <w:noProof/>
          <w:snapToGrid/>
          <w:shd w:val="clear" w:color="auto" w:fill="E6E6E6"/>
        </w:rPr>
        <w:drawing>
          <wp:inline distT="0" distB="0" distL="0" distR="0" wp14:anchorId="3E1E41EC" wp14:editId="45A64F98">
            <wp:extent cx="4541702" cy="2242645"/>
            <wp:effectExtent l="0" t="0" r="0" b="5715"/>
            <wp:docPr id="2102430441" name="Picture 8"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430441" name="Picture 8" descr="Chart&#10;&#10;AI-generated content may be incorrect."/>
                    <pic:cNvPicPr/>
                  </pic:nvPicPr>
                  <pic:blipFill>
                    <a:blip r:embed="rId14"/>
                    <a:stretch>
                      <a:fillRect/>
                    </a:stretch>
                  </pic:blipFill>
                  <pic:spPr>
                    <a:xfrm>
                      <a:off x="0" y="0"/>
                      <a:ext cx="4561721" cy="2252530"/>
                    </a:xfrm>
                    <a:prstGeom prst="rect">
                      <a:avLst/>
                    </a:prstGeom>
                  </pic:spPr>
                </pic:pic>
              </a:graphicData>
            </a:graphic>
          </wp:inline>
        </w:drawing>
      </w:r>
    </w:p>
    <w:p w14:paraId="68B70DEE" w14:textId="38A0D1FF" w:rsidR="00176A80" w:rsidRPr="00E53E01" w:rsidRDefault="00176A80" w:rsidP="007F2A9F">
      <w:pPr>
        <w:pStyle w:val="MDPI51figurecaption"/>
        <w:jc w:val="both"/>
      </w:pPr>
      <w:r w:rsidRPr="00E53E01">
        <w:rPr>
          <w:b/>
        </w:rPr>
        <w:lastRenderedPageBreak/>
        <w:t xml:space="preserve">Figure 7. </w:t>
      </w:r>
      <w:r w:rsidRPr="00E53E01">
        <w:t xml:space="preserve">Time series of AERONET AOD measurements and MODIS-A/T AOD at Tolchester Tower. Data are overlayed on PM2.5 AQI data </w:t>
      </w:r>
      <w:r w:rsidR="00FA5AD0" w:rsidRPr="00E53E01">
        <w:t>(</w:t>
      </w:r>
      <w:r w:rsidR="00115C14" w:rsidRPr="00E53E01">
        <w:t xml:space="preserve">dashed and </w:t>
      </w:r>
      <w:r w:rsidRPr="00E53E01">
        <w:t>shaded gray</w:t>
      </w:r>
      <w:r w:rsidR="00115C14" w:rsidRPr="00E53E01">
        <w:t xml:space="preserve"> line</w:t>
      </w:r>
      <w:r w:rsidR="00FA5AD0" w:rsidRPr="00E53E01">
        <w:t>)</w:t>
      </w:r>
      <w:r w:rsidRPr="00E53E01">
        <w:t xml:space="preserve"> retrieved from EPA from combined Columbia/Towson/Baltimore observations.</w:t>
      </w:r>
    </w:p>
    <w:p w14:paraId="519E5D12" w14:textId="254A6B87" w:rsidR="00176A80" w:rsidRPr="00E53E01" w:rsidRDefault="00176A80" w:rsidP="00203425">
      <w:pPr>
        <w:pStyle w:val="MDPI31text"/>
      </w:pPr>
      <w:r w:rsidRPr="00E53E01">
        <w:t>AERONET-OC provides us with data that can be used to investigate diurnal variability of aerosol optical depth for a location over the Chesapeake Bay. Figure 8 shows a time</w:t>
      </w:r>
      <w:r w:rsidR="004C0A22" w:rsidRPr="00E53E01">
        <w:t xml:space="preserve"> </w:t>
      </w:r>
      <w:r w:rsidRPr="00E53E01">
        <w:t>series of AERONET-OC AOD data taken during the two largest AOD and AQI peaks of the studied time period, as well as a time</w:t>
      </w:r>
      <w:r w:rsidR="004C0A22" w:rsidRPr="00E53E01">
        <w:t xml:space="preserve"> </w:t>
      </w:r>
      <w:r w:rsidRPr="00E53E01">
        <w:t>series of clear days with low AOD prior to and between these peaks.</w:t>
      </w:r>
    </w:p>
    <w:p w14:paraId="2066E8F9" w14:textId="77777777" w:rsidR="00176A80" w:rsidRPr="00E53E01" w:rsidRDefault="00176A80" w:rsidP="003E0401">
      <w:pPr>
        <w:pStyle w:val="MDPI52figure"/>
      </w:pPr>
      <w:r w:rsidRPr="00E53E01">
        <w:rPr>
          <w:noProof/>
          <w:snapToGrid/>
        </w:rPr>
        <w:drawing>
          <wp:inline distT="0" distB="0" distL="0" distR="0" wp14:anchorId="3D7249E1" wp14:editId="7114FE80">
            <wp:extent cx="5002149" cy="4168140"/>
            <wp:effectExtent l="0" t="0" r="8255" b="3810"/>
            <wp:docPr id="779479910" name="Picture 9" descr="Chart, lin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79910" name="Picture 9" descr="Chart, line chart&#10;&#10;AI-generated content may be incorrect."/>
                    <pic:cNvPicPr/>
                  </pic:nvPicPr>
                  <pic:blipFill>
                    <a:blip r:embed="rId15"/>
                    <a:stretch>
                      <a:fillRect/>
                    </a:stretch>
                  </pic:blipFill>
                  <pic:spPr>
                    <a:xfrm>
                      <a:off x="0" y="0"/>
                      <a:ext cx="5016972" cy="4180491"/>
                    </a:xfrm>
                    <a:prstGeom prst="rect">
                      <a:avLst/>
                    </a:prstGeom>
                  </pic:spPr>
                </pic:pic>
              </a:graphicData>
            </a:graphic>
          </wp:inline>
        </w:drawing>
      </w:r>
    </w:p>
    <w:p w14:paraId="27046C14" w14:textId="6F4BEB20" w:rsidR="00176A80" w:rsidRPr="00E53E01" w:rsidRDefault="00176A80" w:rsidP="00203425">
      <w:pPr>
        <w:pStyle w:val="MDPI51figurecaption"/>
        <w:jc w:val="both"/>
      </w:pPr>
      <w:r w:rsidRPr="00E53E01">
        <w:rPr>
          <w:b/>
          <w:bCs/>
        </w:rPr>
        <w:t xml:space="preserve">Figure 8. </w:t>
      </w:r>
      <w:r w:rsidRPr="00E53E01">
        <w:t xml:space="preserve">AOD derived from all AEROENT-OC measurements on clear days </w:t>
      </w:r>
      <w:r w:rsidR="00FA5AD0" w:rsidRPr="00E53E01">
        <w:t>(</w:t>
      </w:r>
      <w:r w:rsidRPr="00E53E01">
        <w:rPr>
          <w:b/>
          <w:bCs/>
        </w:rPr>
        <w:t>a</w:t>
      </w:r>
      <w:r w:rsidR="00FA5AD0" w:rsidRPr="00E53E01">
        <w:t>)</w:t>
      </w:r>
      <w:r w:rsidRPr="00E53E01">
        <w:rPr>
          <w:color w:val="auto"/>
        </w:rPr>
        <w:t xml:space="preserve"> </w:t>
      </w:r>
      <w:r w:rsidRPr="00E53E01">
        <w:t xml:space="preserve">before the smoke peaks </w:t>
      </w:r>
      <w:r w:rsidR="00FA5AD0" w:rsidRPr="00E53E01">
        <w:t>(</w:t>
      </w:r>
      <w:r w:rsidRPr="00E53E01">
        <w:t>22</w:t>
      </w:r>
      <w:r w:rsidR="00203425" w:rsidRPr="00E53E01">
        <w:t xml:space="preserve"> May </w:t>
      </w:r>
      <w:r w:rsidRPr="00E53E01">
        <w:t>2023</w:t>
      </w:r>
      <w:r w:rsidR="00FA5AD0" w:rsidRPr="00E53E01">
        <w:t>)</w:t>
      </w:r>
      <w:r w:rsidR="004C0A22" w:rsidRPr="00E53E01">
        <w:t>;</w:t>
      </w:r>
      <w:r w:rsidRPr="00E53E01">
        <w:t xml:space="preserve"> </w:t>
      </w:r>
      <w:r w:rsidR="00FA5AD0" w:rsidRPr="00E53E01">
        <w:t>(</w:t>
      </w:r>
      <w:r w:rsidRPr="00E53E01">
        <w:rPr>
          <w:b/>
          <w:bCs/>
        </w:rPr>
        <w:t>b</w:t>
      </w:r>
      <w:r w:rsidR="00FA5AD0" w:rsidRPr="00E53E01">
        <w:t>)</w:t>
      </w:r>
      <w:r w:rsidRPr="00E53E01">
        <w:t xml:space="preserve"> between the smoke peaks </w:t>
      </w:r>
      <w:r w:rsidR="00FA5AD0" w:rsidRPr="00E53E01">
        <w:t>(</w:t>
      </w:r>
      <w:r w:rsidRPr="00E53E01">
        <w:t>17</w:t>
      </w:r>
      <w:r w:rsidR="00203425" w:rsidRPr="00E53E01">
        <w:t xml:space="preserve"> June </w:t>
      </w:r>
      <w:r w:rsidRPr="00E53E01">
        <w:t>2023</w:t>
      </w:r>
      <w:r w:rsidR="00FA5AD0" w:rsidRPr="00E53E01">
        <w:t>)</w:t>
      </w:r>
      <w:r w:rsidRPr="00E53E01">
        <w:t>; and during two observed AOD and AQI peaks during the targeted air</w:t>
      </w:r>
      <w:r w:rsidR="004C0A22" w:rsidRPr="00E53E01">
        <w:t>-</w:t>
      </w:r>
      <w:r w:rsidRPr="00E53E01">
        <w:t>quality event</w:t>
      </w:r>
      <w:r w:rsidR="004C0A22" w:rsidRPr="00E53E01">
        <w:t xml:space="preserve"> on</w:t>
      </w:r>
      <w:r w:rsidRPr="00E53E01">
        <w:t xml:space="preserve"> </w:t>
      </w:r>
      <w:r w:rsidR="00FA5AD0" w:rsidRPr="00E53E01">
        <w:t>(</w:t>
      </w:r>
      <w:r w:rsidRPr="00E53E01">
        <w:rPr>
          <w:b/>
          <w:bCs/>
        </w:rPr>
        <w:t>c</w:t>
      </w:r>
      <w:r w:rsidR="00FA5AD0" w:rsidRPr="00E53E01">
        <w:t>)</w:t>
      </w:r>
      <w:r w:rsidRPr="00E53E01">
        <w:t xml:space="preserve"> 6</w:t>
      </w:r>
      <w:r w:rsidR="00203425" w:rsidRPr="00E53E01">
        <w:t xml:space="preserve"> June </w:t>
      </w:r>
      <w:r w:rsidRPr="00E53E01">
        <w:t xml:space="preserve">2023 and </w:t>
      </w:r>
      <w:r w:rsidR="00FA5AD0" w:rsidRPr="00E53E01">
        <w:t>(</w:t>
      </w:r>
      <w:r w:rsidRPr="00E53E01">
        <w:rPr>
          <w:b/>
          <w:bCs/>
        </w:rPr>
        <w:t>d</w:t>
      </w:r>
      <w:r w:rsidR="00FA5AD0" w:rsidRPr="00E53E01">
        <w:t>)</w:t>
      </w:r>
      <w:r w:rsidRPr="00E53E01">
        <w:t xml:space="preserve"> 29</w:t>
      </w:r>
      <w:r w:rsidR="00203425" w:rsidRPr="00E53E01">
        <w:t xml:space="preserve"> June </w:t>
      </w:r>
      <w:r w:rsidRPr="00E53E01">
        <w:t>2023. For all days, MODIS-MAIAC AOD estimates have been overlayed where valid retrievals are available.</w:t>
      </w:r>
    </w:p>
    <w:p w14:paraId="6FB30A03" w14:textId="6CD960E8" w:rsidR="00176A80" w:rsidRPr="00E53E01" w:rsidRDefault="00203425" w:rsidP="00203425">
      <w:pPr>
        <w:pStyle w:val="MDPI21heading1"/>
      </w:pPr>
      <w:bookmarkStart w:id="1" w:name="page3"/>
      <w:bookmarkEnd w:id="1"/>
      <w:r w:rsidRPr="00E53E01">
        <w:t xml:space="preserve">4. </w:t>
      </w:r>
      <w:r w:rsidR="00176A80" w:rsidRPr="00E53E01">
        <w:t>Discussion</w:t>
      </w:r>
    </w:p>
    <w:p w14:paraId="4294119F" w14:textId="0302886B" w:rsidR="00176A80" w:rsidRPr="00E53E01" w:rsidRDefault="00D94504" w:rsidP="00D94504">
      <w:pPr>
        <w:pStyle w:val="MDPI22heading2"/>
      </w:pPr>
      <w:r w:rsidRPr="00E53E01">
        <w:t xml:space="preserve">4.1. </w:t>
      </w:r>
      <w:r w:rsidR="00176A80" w:rsidRPr="00E53E01">
        <w:t>Multi- and Hyperspectral Comparisons</w:t>
      </w:r>
    </w:p>
    <w:p w14:paraId="4574D668" w14:textId="21B77144" w:rsidR="00176A80" w:rsidRPr="00E53E01" w:rsidRDefault="00176A80" w:rsidP="00203425">
      <w:pPr>
        <w:pStyle w:val="MDPI31text"/>
      </w:pPr>
      <w:r w:rsidRPr="00E53E01">
        <w:t>We compared AERONET-OC R</w:t>
      </w:r>
      <w:r w:rsidRPr="00E53E01">
        <w:rPr>
          <w:vertAlign w:val="subscript"/>
        </w:rPr>
        <w:t>rs</w:t>
      </w:r>
      <w:r w:rsidRPr="00E53E01">
        <w:t xml:space="preserve"> with coincident multispectral satellite sensors and found significant agreement </w:t>
      </w:r>
      <w:r w:rsidR="00FA5AD0" w:rsidRPr="00E53E01">
        <w:t>(</w:t>
      </w:r>
      <w:r w:rsidRPr="00E53E01">
        <w:t>r</w:t>
      </w:r>
      <w:r w:rsidR="00203425" w:rsidRPr="00E53E01">
        <w:t xml:space="preserve"> </w:t>
      </w:r>
      <w:r w:rsidRPr="00E53E01">
        <w:t>= 0.61</w:t>
      </w:r>
      <w:r w:rsidR="00FA5AD0" w:rsidRPr="00E53E01">
        <w:t>1–0</w:t>
      </w:r>
      <w:r w:rsidRPr="00E53E01">
        <w:t>.970</w:t>
      </w:r>
      <w:r w:rsidR="00FA5AD0" w:rsidRPr="00E53E01">
        <w:t>)</w:t>
      </w:r>
      <w:r w:rsidRPr="00E53E01">
        <w:t xml:space="preserve"> between satellite</w:t>
      </w:r>
      <w:r w:rsidR="004C0A22" w:rsidRPr="00E53E01">
        <w:t>-</w:t>
      </w:r>
      <w:r w:rsidRPr="00E53E01">
        <w:t>derived and AERONET-OC R</w:t>
      </w:r>
      <w:r w:rsidRPr="00E53E01">
        <w:rPr>
          <w:vertAlign w:val="subscript"/>
        </w:rPr>
        <w:t>rs</w:t>
      </w:r>
      <w:r w:rsidRPr="00E53E01">
        <w:t xml:space="preserve"> measurements. </w:t>
      </w:r>
      <w:r w:rsidR="004C0A22" w:rsidRPr="00E53E01">
        <w:t>The c</w:t>
      </w:r>
      <w:r w:rsidRPr="00E53E01">
        <w:t xml:space="preserve">orrelation was strongest for longer wavelengths </w:t>
      </w:r>
      <w:r w:rsidR="00FA5AD0" w:rsidRPr="00E53E01">
        <w:t>(</w:t>
      </w:r>
      <w:r w:rsidRPr="00E53E01">
        <w:t>55</w:t>
      </w:r>
      <w:r w:rsidR="00FA5AD0" w:rsidRPr="00E53E01">
        <w:t>5 n</w:t>
      </w:r>
      <w:r w:rsidRPr="00E53E01">
        <w:t>m and 66</w:t>
      </w:r>
      <w:r w:rsidR="00FA5AD0" w:rsidRPr="00E53E01">
        <w:t>7 n</w:t>
      </w:r>
      <w:r w:rsidRPr="00E53E01">
        <w:t>m</w:t>
      </w:r>
      <w:r w:rsidR="00FA5AD0" w:rsidRPr="00E53E01">
        <w:t>)</w:t>
      </w:r>
      <w:r w:rsidRPr="00E53E01">
        <w:t xml:space="preserve"> where regression R-values exceeded 0.91 for all sensors. Performance in the blue spectral range was weaker </w:t>
      </w:r>
      <w:r w:rsidR="00FA5AD0" w:rsidRPr="00E53E01">
        <w:t>(</w:t>
      </w:r>
      <w:r w:rsidRPr="00E53E01">
        <w:t>r = 0.61</w:t>
      </w:r>
      <w:r w:rsidR="00FA5AD0" w:rsidRPr="00E53E01">
        <w:t>1–0</w:t>
      </w:r>
      <w:r w:rsidRPr="00E53E01">
        <w:t>.776</w:t>
      </w:r>
      <w:r w:rsidR="00FA5AD0" w:rsidRPr="00E53E01">
        <w:t>)</w:t>
      </w:r>
      <w:r w:rsidRPr="00E53E01">
        <w:t>, which is consistent with known challenges in remote sensing of shorter wavelengths. Limitations of atmospheric correction algorithms for correcting absorbing aerosols have been cited to negatively affect R</w:t>
      </w:r>
      <w:r w:rsidRPr="00E53E01">
        <w:rPr>
          <w:vertAlign w:val="subscript"/>
        </w:rPr>
        <w:t>rs</w:t>
      </w:r>
      <w:r w:rsidRPr="00E53E01">
        <w:t xml:space="preserve"> observations at shorter wavelengths [</w:t>
      </w:r>
      <w:r w:rsidR="008C51D5" w:rsidRPr="00E53E01">
        <w:t>33</w:t>
      </w:r>
      <w:r w:rsidRPr="00E53E01">
        <w:t>]. Shorter wavelengths are also disproportionately impacted by Rayleigh scattering, which can reduce signal and introduce uncertainty into R</w:t>
      </w:r>
      <w:r w:rsidRPr="00E53E01">
        <w:rPr>
          <w:vertAlign w:val="subscript"/>
        </w:rPr>
        <w:t>rs</w:t>
      </w:r>
      <w:r w:rsidRPr="00E53E01">
        <w:t xml:space="preserve"> observations in the blue spectral range [</w:t>
      </w:r>
      <w:r w:rsidR="008C51D5" w:rsidRPr="00E53E01">
        <w:t>44</w:t>
      </w:r>
      <w:r w:rsidRPr="00E53E01">
        <w:t xml:space="preserve">]. Additionally, the high absorption of blue light by </w:t>
      </w:r>
      <w:r w:rsidRPr="00E53E01">
        <w:rPr>
          <w:bCs/>
        </w:rPr>
        <w:lastRenderedPageBreak/>
        <w:t xml:space="preserve">colored dissolved organic matter </w:t>
      </w:r>
      <w:r w:rsidR="00FA5AD0" w:rsidRPr="00E53E01">
        <w:rPr>
          <w:bCs/>
        </w:rPr>
        <w:t>(</w:t>
      </w:r>
      <w:r w:rsidRPr="00E53E01">
        <w:t>CDOM</w:t>
      </w:r>
      <w:r w:rsidR="00FA5AD0" w:rsidRPr="00E53E01">
        <w:rPr>
          <w:bCs/>
        </w:rPr>
        <w:t>)</w:t>
      </w:r>
      <w:r w:rsidRPr="00E53E01">
        <w:rPr>
          <w:bCs/>
        </w:rPr>
        <w:t xml:space="preserve"> </w:t>
      </w:r>
      <w:r w:rsidRPr="00E53E01">
        <w:t>and other particulates in coastal waters increases variability in R</w:t>
      </w:r>
      <w:r w:rsidRPr="00E53E01">
        <w:rPr>
          <w:vertAlign w:val="subscript"/>
        </w:rPr>
        <w:t>rs</w:t>
      </w:r>
      <w:r w:rsidRPr="00E53E01">
        <w:t xml:space="preserve"> measurements, making accurate R</w:t>
      </w:r>
      <w:r w:rsidRPr="00E53E01">
        <w:rPr>
          <w:vertAlign w:val="subscript"/>
        </w:rPr>
        <w:t>rs</w:t>
      </w:r>
      <w:r w:rsidRPr="00E53E01">
        <w:t xml:space="preserve"> retrievals of shorter wavelengths exceptionally challenging in coastal environments such as the Chesapeake Bay.</w:t>
      </w:r>
    </w:p>
    <w:p w14:paraId="2E521EDC" w14:textId="15810842" w:rsidR="00176A80" w:rsidRPr="00E53E01" w:rsidRDefault="00176A80" w:rsidP="00203425">
      <w:pPr>
        <w:pStyle w:val="MDPI31text"/>
      </w:pPr>
      <w:r w:rsidRPr="00E53E01">
        <w:t>Comparisons of hyperspectral PACE also demonstrated general agreement with the coincident AERONET-OC, VIIRS-NPP, and OLCI S3A/S3B data. In the selected scenes, the hyperspectral resolution of PACE-OCI provides critical optical data for monitoring aquatic conditions. For example, during a March 2024 algal bloom identified through NOAA cyanobacteria maps in the Chesapeake Bay, the coincident PACE-OCI visible spectrum illustrates a peak between 680 and 72</w:t>
      </w:r>
      <w:r w:rsidR="00FA5AD0" w:rsidRPr="00E53E01">
        <w:t>0 n</w:t>
      </w:r>
      <w:r w:rsidRPr="00E53E01">
        <w:t>m, characteristic of a chlorophyll</w:t>
      </w:r>
      <w:r w:rsidR="004C0A22" w:rsidRPr="00E53E01">
        <w:t>-</w:t>
      </w:r>
      <w:r w:rsidRPr="00E53E01">
        <w:t xml:space="preserve">a fluorescence peak in algae </w:t>
      </w:r>
      <w:r w:rsidR="000A0132" w:rsidRPr="00E53E01">
        <w:t>[</w:t>
      </w:r>
      <w:r w:rsidR="0092101E" w:rsidRPr="00E53E01">
        <w:t>45, 46</w:t>
      </w:r>
      <w:r w:rsidRPr="00E53E01">
        <w:t>]. While this feature is captured by OLCI-S3A</w:t>
      </w:r>
      <w:r w:rsidR="003C19A5" w:rsidRPr="00E53E01">
        <w:t>’</w:t>
      </w:r>
      <w:r w:rsidRPr="00E53E01">
        <w:t>s 709 nm band, it is not observed by VIIRS-NPP or AERONET-OC, which lack measurements at or near the chlorophyll peak’s spectral signature.</w:t>
      </w:r>
    </w:p>
    <w:p w14:paraId="1F76B7EA" w14:textId="12269B8E" w:rsidR="00176A80" w:rsidRPr="00E53E01" w:rsidRDefault="00176A80" w:rsidP="00203425">
      <w:pPr>
        <w:pStyle w:val="MDPI31text"/>
      </w:pPr>
      <w:r w:rsidRPr="00E53E01">
        <w:t>Other events with broader spectral signatures are detectable without hyperspectral reflectance data</w:t>
      </w:r>
      <w:r w:rsidR="003C19A5" w:rsidRPr="00E53E01">
        <w:t>—</w:t>
      </w:r>
      <w:r w:rsidRPr="00E53E01">
        <w:t xml:space="preserve">for example, the coincident PACE-OCI spectrum during a spring 2024 storm event in the </w:t>
      </w:r>
      <w:r w:rsidR="004C0A22" w:rsidRPr="00E53E01">
        <w:t>b</w:t>
      </w:r>
      <w:r w:rsidRPr="00E53E01">
        <w:t xml:space="preserve">ay </w:t>
      </w:r>
      <w:r w:rsidR="00FA5AD0" w:rsidRPr="00E53E01">
        <w:t>(</w:t>
      </w:r>
      <w:r w:rsidRPr="00E53E01">
        <w:t>Figure 3</w:t>
      </w:r>
      <w:r w:rsidR="00FA5AD0" w:rsidRPr="00E53E01">
        <w:t>)</w:t>
      </w:r>
      <w:r w:rsidRPr="00E53E01">
        <w:t xml:space="preserve"> illustrates a broad peak in the red range </w:t>
      </w:r>
      <w:r w:rsidR="00FA5AD0" w:rsidRPr="00E53E01">
        <w:t>(</w:t>
      </w:r>
      <w:r w:rsidRPr="00E53E01">
        <w:t>60</w:t>
      </w:r>
      <w:r w:rsidR="00FA5AD0" w:rsidRPr="00E53E01">
        <w:t>0–700 n</w:t>
      </w:r>
      <w:r w:rsidRPr="00E53E01">
        <w:t>m</w:t>
      </w:r>
      <w:r w:rsidR="00FA5AD0" w:rsidRPr="00E53E01">
        <w:t>)</w:t>
      </w:r>
      <w:r w:rsidRPr="00E53E01">
        <w:t>. This spectral signature, which can be detected through multispectral VIIRS and OLCI-S3A/S3B, is indicative of suspended sediments from increased turbidity, which are known to enhance red light reflectance [</w:t>
      </w:r>
      <w:r w:rsidR="009E7FF6" w:rsidRPr="00E53E01">
        <w:t>47</w:t>
      </w:r>
      <w:r w:rsidRPr="00E53E01">
        <w:t>]. This phenomenon is particularly evident in coastal and estuarine environments such as the Chesapeake Bay, which has diverse terrestrial and industrial particulate inputs that are resuspended by the high</w:t>
      </w:r>
      <w:r w:rsidR="00164453" w:rsidRPr="00E53E01">
        <w:t>-</w:t>
      </w:r>
      <w:r w:rsidRPr="00E53E01">
        <w:t xml:space="preserve">precipitation events. Thus, while certain optical events in the </w:t>
      </w:r>
      <w:r w:rsidR="004C0A22" w:rsidRPr="00E53E01">
        <w:t>b</w:t>
      </w:r>
      <w:r w:rsidRPr="00E53E01">
        <w:t>ay necessitate the enhanced resolution of PACE-OCI, multispectral monitoring can be adequate for events with broad spectral signatures, such as sediment plumes. Overall, the multi- and hyperspectral R</w:t>
      </w:r>
      <w:r w:rsidRPr="00E53E01">
        <w:rPr>
          <w:vertAlign w:val="subscript"/>
        </w:rPr>
        <w:t>rs</w:t>
      </w:r>
      <w:r w:rsidRPr="00E53E01">
        <w:t xml:space="preserve"> comparisons in this study demonstrate the traditional and fundamental role of AERONET-OC as a tool for assessing the accuracy of satellite-derived color products in the </w:t>
      </w:r>
      <w:r w:rsidR="004C0A22" w:rsidRPr="00E53E01">
        <w:t>b</w:t>
      </w:r>
      <w:r w:rsidRPr="00E53E01">
        <w:t>ay.</w:t>
      </w:r>
    </w:p>
    <w:p w14:paraId="287A4541" w14:textId="24C5198C" w:rsidR="00176A80" w:rsidRPr="00E53E01" w:rsidRDefault="00203425" w:rsidP="00203425">
      <w:pPr>
        <w:pStyle w:val="MDPI22heading2"/>
        <w:spacing w:before="240"/>
      </w:pPr>
      <w:r w:rsidRPr="00E53E01">
        <w:t xml:space="preserve">4.2. </w:t>
      </w:r>
      <w:r w:rsidR="00176A80" w:rsidRPr="00E53E01">
        <w:t>Plume Monitoring</w:t>
      </w:r>
    </w:p>
    <w:p w14:paraId="75BF9FC2" w14:textId="6E2A4650" w:rsidR="00176A80" w:rsidRPr="00E53E01" w:rsidRDefault="00176A80" w:rsidP="00203425">
      <w:pPr>
        <w:pStyle w:val="MDPI31text"/>
      </w:pPr>
      <w:r w:rsidRPr="00E53E01">
        <w:t>Composite OLCI S3A/S3B imagery exhibited lower TSM concentration in the Susquehanna Flats during the early 2024 storm events, which may be influenced by the submerged aquatic vegetation present in this region. SAV has been cited to increase water clarity through sediment resuspension [</w:t>
      </w:r>
      <w:r w:rsidR="009E7FF6" w:rsidRPr="00E53E01">
        <w:t>4</w:t>
      </w:r>
      <w:r w:rsidR="00CB5759" w:rsidRPr="00E53E01">
        <w:t>8</w:t>
      </w:r>
      <w:r w:rsidRPr="00E53E01">
        <w:t xml:space="preserve">], and as the Susquehanna Flats </w:t>
      </w:r>
      <w:r w:rsidR="004C0A22" w:rsidRPr="00E53E01">
        <w:t xml:space="preserve">are </w:t>
      </w:r>
      <w:r w:rsidRPr="00E53E01">
        <w:t>home to approximately 11,000 acres of underwater grasses, this may explain the improved water clarity observed in the area compared to downstream areas [26].</w:t>
      </w:r>
    </w:p>
    <w:p w14:paraId="5360CAD0" w14:textId="5649F960" w:rsidR="00176A80" w:rsidRPr="00E53E01" w:rsidRDefault="00176A80" w:rsidP="00203425">
      <w:pPr>
        <w:pStyle w:val="MDPI31text"/>
        <w:rPr>
          <w:spacing w:val="-4"/>
        </w:rPr>
      </w:pPr>
      <w:r w:rsidRPr="00E53E01">
        <w:rPr>
          <w:spacing w:val="-4"/>
        </w:rPr>
        <w:t>During the storms, AERONET-OC</w:t>
      </w:r>
      <w:r w:rsidR="004C0A22" w:rsidRPr="00E53E01">
        <w:rPr>
          <w:spacing w:val="-4"/>
        </w:rPr>
        <w:t>-</w:t>
      </w:r>
      <w:r w:rsidRPr="00E53E01">
        <w:rPr>
          <w:spacing w:val="-4"/>
        </w:rPr>
        <w:t xml:space="preserve">derived TSM measurements show multiple TSM peaks. To track the upstream movement of these TSM peaks, we used LOADEST TSM estimates at the Conowingo Dam. TSM peaks observed during this time from </w:t>
      </w:r>
      <w:r w:rsidR="004C0A22" w:rsidRPr="00E53E01">
        <w:rPr>
          <w:spacing w:val="-4"/>
        </w:rPr>
        <w:t xml:space="preserve">the </w:t>
      </w:r>
      <w:r w:rsidRPr="00E53E01">
        <w:rPr>
          <w:spacing w:val="-4"/>
        </w:rPr>
        <w:t>Conowingo Dam LOADEST tended to precede peaks of similar intensity in the AERONET-OC measurements. Cross</w:t>
      </w:r>
      <w:r w:rsidR="004C0A22" w:rsidRPr="00E53E01">
        <w:rPr>
          <w:spacing w:val="-4"/>
        </w:rPr>
        <w:t>-</w:t>
      </w:r>
      <w:r w:rsidRPr="00E53E01">
        <w:rPr>
          <w:spacing w:val="-4"/>
        </w:rPr>
        <w:t>correlation analysis of the TSM peaks at the upstream Conowingo Dam and downstream AERONET-OC site and Conowingo Dam found a three-day lag. This lag is consistent with patterns in the OLCI composite imagery, where sediment plumes can be seen progressing downstream over consecutive scenes. The time lag in sediment plumes is variable</w:t>
      </w:r>
      <w:r w:rsidRPr="00E53E01">
        <w:rPr>
          <w:spacing w:val="-4"/>
          <w:u w:color="8969CD"/>
        </w:rPr>
        <w:t>, however,</w:t>
      </w:r>
      <w:r w:rsidRPr="00E53E01">
        <w:rPr>
          <w:spacing w:val="-4"/>
        </w:rPr>
        <w:t xml:space="preserve"> with the latter two TSM peaks of the spring freshet event </w:t>
      </w:r>
      <w:r w:rsidR="00FA5AD0" w:rsidRPr="00E53E01">
        <w:rPr>
          <w:spacing w:val="-4"/>
        </w:rPr>
        <w:t>(</w:t>
      </w:r>
      <w:r w:rsidRPr="00E53E01">
        <w:rPr>
          <w:spacing w:val="-4"/>
        </w:rPr>
        <w:t>3/3, 3/11</w:t>
      </w:r>
      <w:r w:rsidR="00FA5AD0" w:rsidRPr="00E53E01">
        <w:rPr>
          <w:spacing w:val="-4"/>
        </w:rPr>
        <w:t>)</w:t>
      </w:r>
      <w:r w:rsidRPr="00E53E01">
        <w:rPr>
          <w:spacing w:val="-4"/>
        </w:rPr>
        <w:t xml:space="preserve"> appearing to traverse the Susquehanna Flats and estuarine turbidity maximum over a 4-day time period. While the average lag time observed in this study is 3 days, TSM events may move through the bay at different rates depending on conditions and the nature of the TSM influx. In addition, not all TSM passing through the AERONET-OC site originates at the Conowingo Dam; there are also TSM inputs from the eastern and western shores, Baltimore, and northern rivers. Continuous monitoring helps track the flow of TSM through the bay in the context of informing the safety of fisheries and public health.</w:t>
      </w:r>
    </w:p>
    <w:p w14:paraId="435178C9" w14:textId="1A840E4D" w:rsidR="00176A80" w:rsidRPr="00E53E01" w:rsidRDefault="00176A80" w:rsidP="00203425">
      <w:pPr>
        <w:pStyle w:val="MDPI31text"/>
        <w:rPr>
          <w:spacing w:val="-4"/>
        </w:rPr>
      </w:pPr>
      <w:r w:rsidRPr="00E53E01">
        <w:rPr>
          <w:spacing w:val="-4"/>
        </w:rPr>
        <w:t xml:space="preserve">The presence of an </w:t>
      </w:r>
      <w:r w:rsidRPr="00E53E01">
        <w:rPr>
          <w:iCs/>
          <w:spacing w:val="-4"/>
        </w:rPr>
        <w:t>in situ</w:t>
      </w:r>
      <w:r w:rsidRPr="00E53E01">
        <w:rPr>
          <w:spacing w:val="-4"/>
        </w:rPr>
        <w:t xml:space="preserve"> monitoring station at the AERONET-OC site provides data that can fill gaps in the temporal coverage of sediment loading events. We utilized AERONET-</w:t>
      </w:r>
      <w:r w:rsidRPr="00E53E01">
        <w:rPr>
          <w:spacing w:val="-4"/>
        </w:rPr>
        <w:lastRenderedPageBreak/>
        <w:t xml:space="preserve">OC to investigate </w:t>
      </w:r>
      <w:r w:rsidR="00164453" w:rsidRPr="00E53E01">
        <w:rPr>
          <w:spacing w:val="-4"/>
        </w:rPr>
        <w:t xml:space="preserve">the </w:t>
      </w:r>
      <w:r w:rsidRPr="00E53E01">
        <w:rPr>
          <w:spacing w:val="-4"/>
        </w:rPr>
        <w:t>diurnal variability of TSM during the early 2024 storms. While OLCI’s spatial resolution is well</w:t>
      </w:r>
      <w:r w:rsidR="00164453" w:rsidRPr="00E53E01">
        <w:rPr>
          <w:spacing w:val="-4"/>
        </w:rPr>
        <w:t xml:space="preserve"> </w:t>
      </w:r>
      <w:r w:rsidRPr="00E53E01">
        <w:rPr>
          <w:spacing w:val="-4"/>
        </w:rPr>
        <w:t xml:space="preserve">suited for identifying large-scale aquatic patterns, its temporal resolution is limited by its daily revisit and the availability of cloud-free scenes. The continuous measurements from AERONET-OC provide a high-frequency dataset capable of capturing rapid changes in TSM concentrations, enabling a quantitative analysis of sediment plumes transported past that site. The high-frequency AERONET-OC observations reveal diurnal variability not captured by daily satellite revisit. For example, on </w:t>
      </w:r>
      <w:r w:rsidR="00203425" w:rsidRPr="00E53E01">
        <w:rPr>
          <w:spacing w:val="-4"/>
        </w:rPr>
        <w:t xml:space="preserve">3 </w:t>
      </w:r>
      <w:r w:rsidRPr="00E53E01">
        <w:rPr>
          <w:spacing w:val="-4"/>
        </w:rPr>
        <w:t xml:space="preserve">February 2024, TSM concentrations quintupled over a </w:t>
      </w:r>
      <w:r w:rsidR="00A15744" w:rsidRPr="00E53E01">
        <w:rPr>
          <w:spacing w:val="-4"/>
          <w:u w:color="8969CD"/>
        </w:rPr>
        <w:t>5 h</w:t>
      </w:r>
      <w:r w:rsidRPr="00E53E01">
        <w:rPr>
          <w:spacing w:val="-4"/>
        </w:rPr>
        <w:t xml:space="preserve"> period from ~20 mg/L at 13:00 UTC to ~110 mg/L at 18:00 UTC. The single OLCI measurement on this day is taken prior to the TSM peak, therefore missing the brief but intense sediment loading event. Satellite observations alone can underestimate or miss critical water quality events in the </w:t>
      </w:r>
      <w:r w:rsidR="00164453" w:rsidRPr="00E53E01">
        <w:rPr>
          <w:spacing w:val="-4"/>
        </w:rPr>
        <w:t>b</w:t>
      </w:r>
      <w:r w:rsidRPr="00E53E01">
        <w:rPr>
          <w:spacing w:val="-4"/>
        </w:rPr>
        <w:t>ay.</w:t>
      </w:r>
    </w:p>
    <w:p w14:paraId="27938E17" w14:textId="3CCC38BC" w:rsidR="00176A80" w:rsidRPr="00E53E01" w:rsidRDefault="00176A80" w:rsidP="00203425">
      <w:pPr>
        <w:pStyle w:val="MDPI31text"/>
      </w:pPr>
      <w:r w:rsidRPr="00E53E01">
        <w:t xml:space="preserve">Similarly, analysis of AERONET-OC AOD monitoring during the 2023 Canadian </w:t>
      </w:r>
      <w:r w:rsidR="00164453" w:rsidRPr="00E53E01">
        <w:t>w</w:t>
      </w:r>
      <w:r w:rsidRPr="00E53E01">
        <w:t>ildfires reveal diurnal variability of air</w:t>
      </w:r>
      <w:r w:rsidR="00164453" w:rsidRPr="00E53E01">
        <w:t>-</w:t>
      </w:r>
      <w:r w:rsidRPr="00E53E01">
        <w:t xml:space="preserve">quality events that daily satellite observations cannot capture. On peak wildfire smoke plume days </w:t>
      </w:r>
      <w:r w:rsidR="00FA5AD0" w:rsidRPr="00E53E01">
        <w:t>(</w:t>
      </w:r>
      <w:r w:rsidR="00361D0F" w:rsidRPr="00E53E01">
        <w:t xml:space="preserve">6 </w:t>
      </w:r>
      <w:r w:rsidRPr="00E53E01">
        <w:t xml:space="preserve">June and </w:t>
      </w:r>
      <w:r w:rsidR="00361D0F" w:rsidRPr="00E53E01">
        <w:t xml:space="preserve">29 </w:t>
      </w:r>
      <w:r w:rsidRPr="00E53E01">
        <w:t>June</w:t>
      </w:r>
      <w:r w:rsidR="00FA5AD0" w:rsidRPr="00E53E01">
        <w:t>)</w:t>
      </w:r>
      <w:r w:rsidRPr="00E53E01">
        <w:t>, AOD values var</w:t>
      </w:r>
      <w:r w:rsidR="00164453" w:rsidRPr="00E53E01">
        <w:t>ied</w:t>
      </w:r>
      <w:r w:rsidRPr="00E53E01">
        <w:t xml:space="preserve"> by 100% throughout </w:t>
      </w:r>
      <w:r w:rsidR="00164453" w:rsidRPr="00E53E01">
        <w:t>the</w:t>
      </w:r>
      <w:r w:rsidRPr="00E53E01">
        <w:t xml:space="preserve"> single day, ranging from 1.0 to 2.0. This variability underscores </w:t>
      </w:r>
      <w:r w:rsidR="00164453" w:rsidRPr="00E53E01">
        <w:t xml:space="preserve">the </w:t>
      </w:r>
      <w:r w:rsidRPr="00E53E01">
        <w:t xml:space="preserve">dynamic nature of atmospheric aerosol loading during extreme events. While both days demonstrate peak AOD measurements during the morning </w:t>
      </w:r>
      <w:r w:rsidR="00FA5AD0" w:rsidRPr="00E53E01">
        <w:t>(</w:t>
      </w:r>
      <w:r w:rsidRPr="00E53E01">
        <w:t>12:0</w:t>
      </w:r>
      <w:r w:rsidR="00FA5AD0" w:rsidRPr="00E53E01">
        <w:t>0–13</w:t>
      </w:r>
      <w:r w:rsidRPr="00E53E01">
        <w:t>:00</w:t>
      </w:r>
      <w:r w:rsidR="00DA6363" w:rsidRPr="00E53E01">
        <w:t xml:space="preserve"> </w:t>
      </w:r>
      <w:r w:rsidRPr="00E53E01">
        <w:t>UTC; 9:0</w:t>
      </w:r>
      <w:r w:rsidR="00FA5AD0" w:rsidRPr="00E53E01">
        <w:t>0–10</w:t>
      </w:r>
      <w:r w:rsidRPr="00E53E01">
        <w:t>:00 EST</w:t>
      </w:r>
      <w:r w:rsidR="00FA5AD0" w:rsidRPr="00E53E01">
        <w:t>)</w:t>
      </w:r>
      <w:r w:rsidRPr="00E53E01">
        <w:t xml:space="preserve"> and a decline through the day, this decline is not uniform and showcases smaller AOD peaks and oscillations throughout the afternoon. These observations contrast with the diurnal pattern of clear, low</w:t>
      </w:r>
      <w:r w:rsidR="00164453" w:rsidRPr="00E53E01">
        <w:t>-</w:t>
      </w:r>
      <w:r w:rsidRPr="00E53E01">
        <w:t xml:space="preserve">AOD days preceding the peaks </w:t>
      </w:r>
      <w:r w:rsidR="00FA5AD0" w:rsidRPr="00E53E01">
        <w:t>(</w:t>
      </w:r>
      <w:r w:rsidR="00361D0F" w:rsidRPr="00E53E01">
        <w:t xml:space="preserve">22 </w:t>
      </w:r>
      <w:r w:rsidRPr="00E53E01">
        <w:t>May</w:t>
      </w:r>
      <w:r w:rsidR="00FA5AD0" w:rsidRPr="00E53E01">
        <w:t>)</w:t>
      </w:r>
      <w:r w:rsidRPr="00E53E01">
        <w:t xml:space="preserve"> and between peaks </w:t>
      </w:r>
      <w:r w:rsidR="00FA5AD0" w:rsidRPr="00E53E01">
        <w:t>(</w:t>
      </w:r>
      <w:r w:rsidR="00361D0F" w:rsidRPr="00E53E01">
        <w:t xml:space="preserve">17 </w:t>
      </w:r>
      <w:r w:rsidRPr="00E53E01">
        <w:t>June</w:t>
      </w:r>
      <w:r w:rsidR="00FA5AD0" w:rsidRPr="00E53E01">
        <w:t>)</w:t>
      </w:r>
      <w:r w:rsidRPr="00E53E01">
        <w:t>, which demonstrate mild increases in AOD at varied times of the day but overall stable measurements throughout the day. Satellite</w:t>
      </w:r>
      <w:r w:rsidR="00164453" w:rsidRPr="00E53E01">
        <w:t>-</w:t>
      </w:r>
      <w:r w:rsidRPr="00E53E01">
        <w:t>derived AOD measurements provide essential spatial context, but the regular observations by AERONET-OC can add information about diurnal variability at its location.</w:t>
      </w:r>
    </w:p>
    <w:p w14:paraId="62BEBE61" w14:textId="134B5F7E" w:rsidR="00176A80" w:rsidRPr="00E53E01" w:rsidRDefault="00176A80" w:rsidP="00203425">
      <w:pPr>
        <w:pStyle w:val="MDPI31text"/>
      </w:pPr>
      <w:r w:rsidRPr="00E53E01">
        <w:t>Despite its value in satellite validation and event monitoring, AERONET-OC has inherent limitations that must be considered. While AERONET-OC provides high</w:t>
      </w:r>
      <w:r w:rsidR="00164453" w:rsidRPr="00E53E01">
        <w:t>-</w:t>
      </w:r>
      <w:r w:rsidRPr="00E53E01">
        <w:t>temporal</w:t>
      </w:r>
      <w:r w:rsidR="00164453" w:rsidRPr="00E53E01">
        <w:t>-</w:t>
      </w:r>
      <w:r w:rsidRPr="00E53E01">
        <w:t xml:space="preserve">resolution data that can fill gaps in satellite remote sensing, the instrument is fundamentally limited to a fixed location and is only capable of capturing localized water quality and aerosol conditions at this site. The Chesapeake Bay AERONET-OC instrument cannot represent the spatial heterogeneity of the </w:t>
      </w:r>
      <w:r w:rsidR="00164453" w:rsidRPr="00E53E01">
        <w:t>b</w:t>
      </w:r>
      <w:r w:rsidRPr="00E53E01">
        <w:t xml:space="preserve">ay and is therefore most valuable when used complementarily with satellite or additional </w:t>
      </w:r>
      <w:r w:rsidRPr="00E53E01">
        <w:rPr>
          <w:iCs/>
        </w:rPr>
        <w:t>in situ</w:t>
      </w:r>
      <w:r w:rsidRPr="00E53E01">
        <w:t xml:space="preserve"> observations. The combination of AERONET-OC’s high</w:t>
      </w:r>
      <w:r w:rsidR="00164453" w:rsidRPr="00E53E01">
        <w:t>-</w:t>
      </w:r>
      <w:r w:rsidRPr="00E53E01">
        <w:t xml:space="preserve">frequency temporal data with the spatial coverage of satellite sensors creates a more comprehensive monitoring system that can be used to monitor dynamic events in the </w:t>
      </w:r>
      <w:r w:rsidR="00164453" w:rsidRPr="00E53E01">
        <w:t>b</w:t>
      </w:r>
      <w:r w:rsidRPr="00E53E01">
        <w:t>ay.</w:t>
      </w:r>
    </w:p>
    <w:p w14:paraId="4A9A67A7" w14:textId="4D908A02" w:rsidR="00176A80" w:rsidRPr="00E53E01" w:rsidRDefault="00203425" w:rsidP="00203425">
      <w:pPr>
        <w:pStyle w:val="MDPI21heading1"/>
      </w:pPr>
      <w:r w:rsidRPr="00E53E01">
        <w:t xml:space="preserve">5. </w:t>
      </w:r>
      <w:r w:rsidR="00176A80" w:rsidRPr="00E53E01">
        <w:t>Conclusions</w:t>
      </w:r>
    </w:p>
    <w:p w14:paraId="20875866" w14:textId="425DAD31" w:rsidR="00176A80" w:rsidRPr="00E53E01" w:rsidRDefault="00176A80" w:rsidP="00203425">
      <w:pPr>
        <w:pStyle w:val="MDPI31text"/>
        <w:rPr>
          <w:spacing w:val="-4"/>
        </w:rPr>
      </w:pPr>
      <w:r w:rsidRPr="00E53E01">
        <w:rPr>
          <w:spacing w:val="-4"/>
        </w:rPr>
        <w:t xml:space="preserve">Since 2022, AERONET-OC </w:t>
      </w:r>
      <w:r w:rsidR="00164453" w:rsidRPr="00E53E01">
        <w:rPr>
          <w:spacing w:val="-4"/>
        </w:rPr>
        <w:t xml:space="preserve">has </w:t>
      </w:r>
      <w:r w:rsidRPr="00E53E01">
        <w:rPr>
          <w:spacing w:val="-4"/>
        </w:rPr>
        <w:t>provide</w:t>
      </w:r>
      <w:r w:rsidR="00164453" w:rsidRPr="00E53E01">
        <w:rPr>
          <w:spacing w:val="-4"/>
        </w:rPr>
        <w:t>d</w:t>
      </w:r>
      <w:r w:rsidRPr="00E53E01">
        <w:rPr>
          <w:spacing w:val="-4"/>
        </w:rPr>
        <w:t xml:space="preserve"> continuous point-source ocean color and aerosol measurements at a tower situated in the upper Chesapeake Bay. These demonstrate</w:t>
      </w:r>
      <w:r w:rsidR="00164453" w:rsidRPr="00E53E01">
        <w:rPr>
          <w:spacing w:val="-4"/>
        </w:rPr>
        <w:t>d</w:t>
      </w:r>
      <w:r w:rsidRPr="00E53E01">
        <w:rPr>
          <w:spacing w:val="-4"/>
        </w:rPr>
        <w:t xml:space="preserve"> reasonable radiometric agreement with coincident MODIS-Aqua, VIIRS-NPP, </w:t>
      </w:r>
      <w:r w:rsidR="00164453" w:rsidRPr="00E53E01">
        <w:rPr>
          <w:spacing w:val="-4"/>
        </w:rPr>
        <w:t xml:space="preserve">and </w:t>
      </w:r>
      <w:r w:rsidRPr="00E53E01">
        <w:rPr>
          <w:spacing w:val="-4"/>
        </w:rPr>
        <w:t>OLCI-S3A/S3B satellite scenes and a few PACE scenes in 2024, particularly at green</w:t>
      </w:r>
      <w:r w:rsidR="00164453" w:rsidRPr="00E53E01">
        <w:rPr>
          <w:spacing w:val="-4"/>
        </w:rPr>
        <w:t>-</w:t>
      </w:r>
      <w:r w:rsidRPr="00E53E01">
        <w:rPr>
          <w:spacing w:val="-4"/>
        </w:rPr>
        <w:t>to</w:t>
      </w:r>
      <w:r w:rsidR="00164453" w:rsidRPr="00E53E01">
        <w:rPr>
          <w:spacing w:val="-4"/>
        </w:rPr>
        <w:t>-</w:t>
      </w:r>
      <w:r w:rsidRPr="00E53E01">
        <w:rPr>
          <w:spacing w:val="-4"/>
        </w:rPr>
        <w:t xml:space="preserve">red wavelengths </w:t>
      </w:r>
      <w:r w:rsidR="00FA5AD0" w:rsidRPr="00E53E01">
        <w:rPr>
          <w:spacing w:val="-4"/>
        </w:rPr>
        <w:t>(</w:t>
      </w:r>
      <w:r w:rsidRPr="00E53E01">
        <w:rPr>
          <w:spacing w:val="-4"/>
        </w:rPr>
        <w:t>55</w:t>
      </w:r>
      <w:r w:rsidR="00FA5AD0" w:rsidRPr="00E53E01">
        <w:rPr>
          <w:spacing w:val="-4"/>
        </w:rPr>
        <w:t>5 n</w:t>
      </w:r>
      <w:r w:rsidRPr="00E53E01">
        <w:rPr>
          <w:spacing w:val="-4"/>
        </w:rPr>
        <w:t>m and 66</w:t>
      </w:r>
      <w:r w:rsidR="00FA5AD0" w:rsidRPr="00E53E01">
        <w:rPr>
          <w:spacing w:val="-4"/>
        </w:rPr>
        <w:t>7 n</w:t>
      </w:r>
      <w:r w:rsidRPr="00E53E01">
        <w:rPr>
          <w:spacing w:val="-4"/>
        </w:rPr>
        <w:t>m</w:t>
      </w:r>
      <w:r w:rsidR="00FA5AD0" w:rsidRPr="00E53E01">
        <w:rPr>
          <w:spacing w:val="-4"/>
        </w:rPr>
        <w:t>)</w:t>
      </w:r>
      <w:r w:rsidRPr="00E53E01">
        <w:rPr>
          <w:spacing w:val="-4"/>
        </w:rPr>
        <w:t xml:space="preserve">. Performance in the blue spectral range is weaker where atmospheric correction algorithms are known to be challenged by absorbing aerosols and Rayleigh scattering. A case study of TSM during an early 2024 storm event highlights the complementary strengths of satellite and </w:t>
      </w:r>
      <w:r w:rsidRPr="00E53E01">
        <w:rPr>
          <w:iCs/>
          <w:spacing w:val="-4"/>
        </w:rPr>
        <w:t>in situ</w:t>
      </w:r>
      <w:r w:rsidRPr="00E53E01">
        <w:rPr>
          <w:spacing w:val="-4"/>
        </w:rPr>
        <w:t xml:space="preserve"> observations in monitoring sediment transport. Satellite imagery and CBP </w:t>
      </w:r>
      <w:r w:rsidRPr="00E53E01">
        <w:rPr>
          <w:iCs/>
          <w:spacing w:val="-4"/>
        </w:rPr>
        <w:t>in situ</w:t>
      </w:r>
      <w:r w:rsidRPr="00E53E01">
        <w:rPr>
          <w:spacing w:val="-4"/>
        </w:rPr>
        <w:t xml:space="preserve"> data identified a TSM peak indicative of the estuarine turbidity maximum, and AERONET-OC and stream gauge TSM measurements demonstrate</w:t>
      </w:r>
      <w:r w:rsidR="00164453" w:rsidRPr="00E53E01">
        <w:rPr>
          <w:spacing w:val="-4"/>
        </w:rPr>
        <w:t>d</w:t>
      </w:r>
      <w:r w:rsidRPr="00E53E01">
        <w:rPr>
          <w:spacing w:val="-4"/>
        </w:rPr>
        <w:t xml:space="preserve"> a 3-day lag on average in TSM peak from the Conowingo Dam to the AEROENT-OC site. AERONET-OC TSM estimates demonstrate the diurnal variability of sediments.</w:t>
      </w:r>
    </w:p>
    <w:p w14:paraId="0356F5A9" w14:textId="66D85FF3" w:rsidR="00176A80" w:rsidRPr="00E53E01" w:rsidRDefault="00176A80" w:rsidP="00203425">
      <w:pPr>
        <w:pStyle w:val="MDPI31text"/>
      </w:pPr>
      <w:r w:rsidRPr="00E53E01">
        <w:t xml:space="preserve">AERONET-OC AOD measurements during the 2023 Canadian </w:t>
      </w:r>
      <w:r w:rsidR="00164453" w:rsidRPr="00E53E01">
        <w:t>w</w:t>
      </w:r>
      <w:r w:rsidRPr="00E53E01">
        <w:t xml:space="preserve">ildfires agreed with MODIS-MAIAC AOD estimates and patterns from EPA AQI measurements. The continuous measurements of AERONET-OC provide insight into the diurnal variability of AOD </w:t>
      </w:r>
      <w:r w:rsidRPr="00E53E01">
        <w:lastRenderedPageBreak/>
        <w:t>during extreme air</w:t>
      </w:r>
      <w:r w:rsidR="00164453" w:rsidRPr="00E53E01">
        <w:t>-</w:t>
      </w:r>
      <w:r w:rsidRPr="00E53E01">
        <w:t>quality events. These findings, in combination with results from the TSM example, demonstrate the potential of continuous monitoring to provide additional information about the temporal variability in TSM and AOD distributions. Beyond sensor and algorithm validation, these demonstrate additional applications of AERONET-OC continuous measurements. This study contributes to a larger project that integrates observations from field measurements and satellite remote sensing into machine learning for coastal water quality [</w:t>
      </w:r>
      <w:r w:rsidR="00616840" w:rsidRPr="00E53E01">
        <w:t>49</w:t>
      </w:r>
      <w:r w:rsidRPr="00E53E01">
        <w:t>].</w:t>
      </w:r>
    </w:p>
    <w:p w14:paraId="373B2804" w14:textId="2BF5D101" w:rsidR="00176A80" w:rsidRPr="00E53E01" w:rsidRDefault="00203425" w:rsidP="00203425">
      <w:pPr>
        <w:pStyle w:val="MDPI62backmatter"/>
        <w:spacing w:before="240"/>
      </w:pPr>
      <w:bookmarkStart w:id="2" w:name="_Hlk181004646"/>
      <w:r w:rsidRPr="00E53E01">
        <w:rPr>
          <w:b/>
          <w:bCs/>
        </w:rPr>
        <w:t>Author Contribution</w:t>
      </w:r>
      <w:r w:rsidR="00176A80" w:rsidRPr="00E53E01">
        <w:rPr>
          <w:b/>
          <w:bCs/>
        </w:rPr>
        <w:t>s:</w:t>
      </w:r>
      <w:r w:rsidR="00176A80" w:rsidRPr="00E53E01">
        <w:rPr>
          <w:b/>
        </w:rPr>
        <w:t xml:space="preserve"> </w:t>
      </w:r>
      <w:r w:rsidR="00176A80" w:rsidRPr="00E53E01">
        <w:t xml:space="preserve">Conceptualization, S.S.U. and S.S.; methodology, S.S.U., D.A., J.B.C., </w:t>
      </w:r>
      <w:r w:rsidR="00164453" w:rsidRPr="00E53E01">
        <w:t xml:space="preserve">and </w:t>
      </w:r>
      <w:r w:rsidR="00176A80" w:rsidRPr="00E53E01">
        <w:t>S.S.; software, S.S.; formal analysis, S.S., S.S.U.</w:t>
      </w:r>
      <w:r w:rsidR="00164453" w:rsidRPr="00E53E01">
        <w:t>,</w:t>
      </w:r>
      <w:r w:rsidR="00176A80" w:rsidRPr="00E53E01">
        <w:t xml:space="preserve"> and J.B.C.; data curation, S.S. and D.A.; writing—original draft preparation, S.S., S.S.U.</w:t>
      </w:r>
      <w:r w:rsidR="00164453" w:rsidRPr="00E53E01">
        <w:t>,</w:t>
      </w:r>
      <w:r w:rsidR="00176A80" w:rsidRPr="00E53E01">
        <w:t xml:space="preserve"> and J.B.C.; writing—review and editing, S.S.U., J.B.C., </w:t>
      </w:r>
      <w:r w:rsidR="00164453" w:rsidRPr="00E53E01">
        <w:t xml:space="preserve">and </w:t>
      </w:r>
      <w:r w:rsidR="00176A80" w:rsidRPr="00E53E01">
        <w:t>D.A.; supervision, S.S.U.; project administration, S.S.U.; funding acquisition, S.S.U. All authors have read and agreed to the published version of the manuscript.</w:t>
      </w:r>
    </w:p>
    <w:p w14:paraId="737AF54C" w14:textId="77777777" w:rsidR="00176A80" w:rsidRPr="00E53E01" w:rsidRDefault="00176A80" w:rsidP="00203425">
      <w:pPr>
        <w:pStyle w:val="MDPI62backmatter"/>
      </w:pPr>
      <w:r w:rsidRPr="00E53E01">
        <w:rPr>
          <w:b/>
          <w:bCs/>
        </w:rPr>
        <w:t>Funding:</w:t>
      </w:r>
      <w:r w:rsidRPr="00E53E01">
        <w:t xml:space="preserve"> This research was funded by the National Aeronautics and Space Administration Earth Science Technology Office Intelligent Systems Technologies Program, grant number NNH21ZDA1N-AIST.</w:t>
      </w:r>
    </w:p>
    <w:p w14:paraId="4F214843" w14:textId="3C6332BD" w:rsidR="00176A80" w:rsidRPr="00E53E01" w:rsidRDefault="00176A80" w:rsidP="00203425">
      <w:pPr>
        <w:pStyle w:val="MDPI62backmatter"/>
      </w:pPr>
      <w:r w:rsidRPr="00E53E01">
        <w:rPr>
          <w:b/>
          <w:bCs/>
        </w:rPr>
        <w:t>Data Availability Statement:</w:t>
      </w:r>
      <w:r w:rsidRPr="00E53E01">
        <w:rPr>
          <w:b/>
        </w:rPr>
        <w:t xml:space="preserve"> </w:t>
      </w:r>
      <w:r w:rsidRPr="00E53E01">
        <w:t xml:space="preserve">All data used in the study are openly available online. The Python code used for analysis in this study </w:t>
      </w:r>
      <w:r w:rsidR="00164453" w:rsidRPr="00E53E01">
        <w:t xml:space="preserve">is </w:t>
      </w:r>
      <w:r w:rsidRPr="00E53E01">
        <w:t>available at https://github.com/ssmith8503/aeronet_CB</w:t>
      </w:r>
      <w:r w:rsidR="00CD4B6B" w:rsidRPr="00E53E01">
        <w:t xml:space="preserve"> (accessed 18 May 2025)</w:t>
      </w:r>
      <w:r w:rsidRPr="00E53E01">
        <w:t>.</w:t>
      </w:r>
    </w:p>
    <w:p w14:paraId="4ADE22A8" w14:textId="15E5D4E8" w:rsidR="00176A80" w:rsidRPr="00E53E01" w:rsidRDefault="00176A80" w:rsidP="00203425">
      <w:pPr>
        <w:pStyle w:val="MDPI62backmatter"/>
      </w:pPr>
      <w:r w:rsidRPr="00E53E01">
        <w:rPr>
          <w:b/>
          <w:bCs/>
        </w:rPr>
        <w:t>Acknowledgments:</w:t>
      </w:r>
      <w:r w:rsidRPr="00E53E01">
        <w:t xml:space="preserve"> We gratefully acknowledge support by the NASA Earth Science Technology Office Advanced Information Systems Technology Program and data support from the NASA Goddard Ocean Biology Processing Group Distributed Active Archive Center.</w:t>
      </w:r>
    </w:p>
    <w:p w14:paraId="46E46B96" w14:textId="3105320D" w:rsidR="00357C49" w:rsidRPr="00E53E01" w:rsidRDefault="00176A80" w:rsidP="00203425">
      <w:pPr>
        <w:pStyle w:val="MDPI62backmatter"/>
      </w:pPr>
      <w:r w:rsidRPr="00E53E01">
        <w:rPr>
          <w:b/>
          <w:bCs/>
        </w:rPr>
        <w:t>Conflicts of Interest:</w:t>
      </w:r>
      <w:r w:rsidRPr="00E53E01">
        <w:rPr>
          <w:b/>
        </w:rPr>
        <w:t xml:space="preserve"> </w:t>
      </w:r>
      <w:r w:rsidRPr="00E53E01">
        <w:t>The authors declare no conflicts of interest.</w:t>
      </w:r>
    </w:p>
    <w:p w14:paraId="44002A31" w14:textId="603337DB" w:rsidR="00176A80" w:rsidRPr="00E53E01" w:rsidRDefault="00176A80" w:rsidP="00203425">
      <w:pPr>
        <w:pStyle w:val="MDPI21heading1"/>
      </w:pPr>
      <w:r w:rsidRPr="00E53E01">
        <w:t>Abbreviations</w:t>
      </w:r>
    </w:p>
    <w:p w14:paraId="555F6554" w14:textId="77777777" w:rsidR="00176A80" w:rsidRPr="00E53E01" w:rsidRDefault="00176A80" w:rsidP="007477F4">
      <w:pPr>
        <w:pStyle w:val="MDPI32textnoindent"/>
        <w:spacing w:after="240"/>
        <w:rPr>
          <w:sz w:val="18"/>
          <w:szCs w:val="18"/>
        </w:rPr>
      </w:pPr>
      <w:r w:rsidRPr="00E53E01">
        <w:rPr>
          <w:sz w:val="18"/>
          <w:szCs w:val="18"/>
        </w:rPr>
        <w:t>The following abbreviations are used in this manuscript:</w:t>
      </w:r>
    </w:p>
    <w:tbl>
      <w:tblPr>
        <w:tblStyle w:val="TableGrid"/>
        <w:tblW w:w="7857"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352"/>
        <w:gridCol w:w="6505"/>
      </w:tblGrid>
      <w:tr w:rsidR="00176A80" w:rsidRPr="00E53E01" w14:paraId="1D9EC714" w14:textId="77777777" w:rsidTr="00203425">
        <w:tc>
          <w:tcPr>
            <w:tcW w:w="1352" w:type="dxa"/>
            <w:shd w:val="clear" w:color="auto" w:fill="auto"/>
            <w:vAlign w:val="center"/>
          </w:tcPr>
          <w:p w14:paraId="47BF24F3"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AERONET</w:t>
            </w:r>
          </w:p>
        </w:tc>
        <w:tc>
          <w:tcPr>
            <w:tcW w:w="6505" w:type="dxa"/>
            <w:shd w:val="clear" w:color="auto" w:fill="auto"/>
            <w:vAlign w:val="center"/>
          </w:tcPr>
          <w:p w14:paraId="0AF96B87"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Aerosol Robotic Network</w:t>
            </w:r>
          </w:p>
        </w:tc>
      </w:tr>
      <w:tr w:rsidR="00176A80" w:rsidRPr="00E53E01" w14:paraId="7FD335D5" w14:textId="77777777" w:rsidTr="00203425">
        <w:tc>
          <w:tcPr>
            <w:tcW w:w="1352" w:type="dxa"/>
            <w:shd w:val="clear" w:color="auto" w:fill="auto"/>
            <w:vAlign w:val="center"/>
          </w:tcPr>
          <w:p w14:paraId="6F48041C"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AERONET-OC</w:t>
            </w:r>
          </w:p>
        </w:tc>
        <w:tc>
          <w:tcPr>
            <w:tcW w:w="6505" w:type="dxa"/>
            <w:shd w:val="clear" w:color="auto" w:fill="auto"/>
            <w:vAlign w:val="center"/>
          </w:tcPr>
          <w:p w14:paraId="38D288B4"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Ocean Color component of AERONET</w:t>
            </w:r>
          </w:p>
        </w:tc>
      </w:tr>
      <w:tr w:rsidR="00176A80" w:rsidRPr="00E53E01" w14:paraId="03C3ACE6" w14:textId="77777777" w:rsidTr="00203425">
        <w:tc>
          <w:tcPr>
            <w:tcW w:w="1352" w:type="dxa"/>
            <w:shd w:val="clear" w:color="auto" w:fill="auto"/>
            <w:vAlign w:val="center"/>
          </w:tcPr>
          <w:p w14:paraId="64C5216A"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NASA</w:t>
            </w:r>
          </w:p>
        </w:tc>
        <w:tc>
          <w:tcPr>
            <w:tcW w:w="6505" w:type="dxa"/>
            <w:shd w:val="clear" w:color="auto" w:fill="auto"/>
            <w:vAlign w:val="center"/>
          </w:tcPr>
          <w:p w14:paraId="799FD538"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National Aeronautics and Space Administration</w:t>
            </w:r>
          </w:p>
        </w:tc>
      </w:tr>
      <w:tr w:rsidR="00176A80" w:rsidRPr="00E53E01" w14:paraId="5D333867" w14:textId="77777777" w:rsidTr="00203425">
        <w:tc>
          <w:tcPr>
            <w:tcW w:w="1352" w:type="dxa"/>
            <w:shd w:val="clear" w:color="auto" w:fill="auto"/>
            <w:vAlign w:val="center"/>
          </w:tcPr>
          <w:p w14:paraId="04CCA83C"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NOAA</w:t>
            </w:r>
          </w:p>
        </w:tc>
        <w:tc>
          <w:tcPr>
            <w:tcW w:w="6505" w:type="dxa"/>
            <w:shd w:val="clear" w:color="auto" w:fill="auto"/>
            <w:vAlign w:val="center"/>
          </w:tcPr>
          <w:p w14:paraId="3A5EAD82"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National Oceanic and Atmospheric Administration</w:t>
            </w:r>
          </w:p>
        </w:tc>
      </w:tr>
      <w:tr w:rsidR="00176A80" w:rsidRPr="00E53E01" w14:paraId="2F50A5EA" w14:textId="77777777" w:rsidTr="00203425">
        <w:tc>
          <w:tcPr>
            <w:tcW w:w="1352" w:type="dxa"/>
            <w:shd w:val="clear" w:color="auto" w:fill="auto"/>
            <w:vAlign w:val="center"/>
          </w:tcPr>
          <w:p w14:paraId="1107C201"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USGS</w:t>
            </w:r>
          </w:p>
        </w:tc>
        <w:tc>
          <w:tcPr>
            <w:tcW w:w="6505" w:type="dxa"/>
            <w:shd w:val="clear" w:color="auto" w:fill="auto"/>
            <w:vAlign w:val="center"/>
          </w:tcPr>
          <w:p w14:paraId="71AA5A21"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United States Geological Survey</w:t>
            </w:r>
          </w:p>
        </w:tc>
      </w:tr>
      <w:tr w:rsidR="00176A80" w:rsidRPr="00E53E01" w14:paraId="0BD1C101" w14:textId="77777777" w:rsidTr="00203425">
        <w:tc>
          <w:tcPr>
            <w:tcW w:w="1352" w:type="dxa"/>
            <w:shd w:val="clear" w:color="auto" w:fill="auto"/>
            <w:vAlign w:val="center"/>
          </w:tcPr>
          <w:p w14:paraId="43F9DAA6"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EPA</w:t>
            </w:r>
          </w:p>
        </w:tc>
        <w:tc>
          <w:tcPr>
            <w:tcW w:w="6505" w:type="dxa"/>
            <w:shd w:val="clear" w:color="auto" w:fill="auto"/>
            <w:vAlign w:val="center"/>
          </w:tcPr>
          <w:p w14:paraId="6345E792"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Environmental Protection Agency</w:t>
            </w:r>
          </w:p>
        </w:tc>
      </w:tr>
      <w:tr w:rsidR="00176A80" w:rsidRPr="00E53E01" w14:paraId="4939AA65" w14:textId="77777777" w:rsidTr="00203425">
        <w:tc>
          <w:tcPr>
            <w:tcW w:w="1352" w:type="dxa"/>
            <w:shd w:val="clear" w:color="auto" w:fill="auto"/>
            <w:vAlign w:val="center"/>
          </w:tcPr>
          <w:p w14:paraId="08E60B99"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TSM</w:t>
            </w:r>
          </w:p>
        </w:tc>
        <w:tc>
          <w:tcPr>
            <w:tcW w:w="6505" w:type="dxa"/>
            <w:shd w:val="clear" w:color="auto" w:fill="auto"/>
            <w:vAlign w:val="center"/>
          </w:tcPr>
          <w:p w14:paraId="7C57A3F3" w14:textId="0A2FB20C"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 xml:space="preserve">Total </w:t>
            </w:r>
            <w:r w:rsidR="00164453" w:rsidRPr="00E53E01">
              <w:rPr>
                <w:sz w:val="18"/>
                <w:szCs w:val="18"/>
              </w:rPr>
              <w:t>s</w:t>
            </w:r>
            <w:r w:rsidRPr="00E53E01">
              <w:rPr>
                <w:sz w:val="18"/>
                <w:szCs w:val="18"/>
              </w:rPr>
              <w:t xml:space="preserve">uspended </w:t>
            </w:r>
            <w:r w:rsidR="00164453" w:rsidRPr="00E53E01">
              <w:rPr>
                <w:sz w:val="18"/>
                <w:szCs w:val="18"/>
              </w:rPr>
              <w:t>m</w:t>
            </w:r>
            <w:r w:rsidRPr="00E53E01">
              <w:rPr>
                <w:sz w:val="18"/>
                <w:szCs w:val="18"/>
              </w:rPr>
              <w:t>atter</w:t>
            </w:r>
          </w:p>
        </w:tc>
      </w:tr>
      <w:tr w:rsidR="00176A80" w:rsidRPr="00E53E01" w14:paraId="0BDC96EB" w14:textId="77777777" w:rsidTr="00203425">
        <w:tc>
          <w:tcPr>
            <w:tcW w:w="1352" w:type="dxa"/>
            <w:shd w:val="clear" w:color="auto" w:fill="auto"/>
            <w:vAlign w:val="center"/>
          </w:tcPr>
          <w:p w14:paraId="444ACE1E"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NCCOS</w:t>
            </w:r>
          </w:p>
        </w:tc>
        <w:tc>
          <w:tcPr>
            <w:tcW w:w="6505" w:type="dxa"/>
            <w:shd w:val="clear" w:color="auto" w:fill="auto"/>
            <w:vAlign w:val="center"/>
          </w:tcPr>
          <w:p w14:paraId="04D21E2F"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NOAA CoastWatch National Centers for Coastal Ocean Science</w:t>
            </w:r>
          </w:p>
        </w:tc>
      </w:tr>
      <w:tr w:rsidR="00176A80" w:rsidRPr="00E53E01" w14:paraId="56009573" w14:textId="77777777" w:rsidTr="00203425">
        <w:tc>
          <w:tcPr>
            <w:tcW w:w="1352" w:type="dxa"/>
            <w:shd w:val="clear" w:color="auto" w:fill="auto"/>
            <w:vAlign w:val="center"/>
          </w:tcPr>
          <w:p w14:paraId="28965E6F"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AOD</w:t>
            </w:r>
          </w:p>
        </w:tc>
        <w:tc>
          <w:tcPr>
            <w:tcW w:w="6505" w:type="dxa"/>
            <w:shd w:val="clear" w:color="auto" w:fill="auto"/>
            <w:vAlign w:val="center"/>
          </w:tcPr>
          <w:p w14:paraId="2BB1907B" w14:textId="1CCE29E5"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 xml:space="preserve">Aerosol </w:t>
            </w:r>
            <w:r w:rsidR="00164453" w:rsidRPr="00E53E01">
              <w:rPr>
                <w:sz w:val="18"/>
                <w:szCs w:val="18"/>
              </w:rPr>
              <w:t>o</w:t>
            </w:r>
            <w:r w:rsidRPr="00E53E01">
              <w:rPr>
                <w:sz w:val="18"/>
                <w:szCs w:val="18"/>
              </w:rPr>
              <w:t xml:space="preserve">ptical </w:t>
            </w:r>
            <w:r w:rsidR="00164453" w:rsidRPr="00E53E01">
              <w:rPr>
                <w:sz w:val="18"/>
                <w:szCs w:val="18"/>
              </w:rPr>
              <w:t>d</w:t>
            </w:r>
            <w:r w:rsidRPr="00E53E01">
              <w:rPr>
                <w:sz w:val="18"/>
                <w:szCs w:val="18"/>
              </w:rPr>
              <w:t>epth</w:t>
            </w:r>
          </w:p>
        </w:tc>
      </w:tr>
      <w:tr w:rsidR="00176A80" w:rsidRPr="00E53E01" w14:paraId="72920DE7" w14:textId="77777777" w:rsidTr="00203425">
        <w:tc>
          <w:tcPr>
            <w:tcW w:w="1352" w:type="dxa"/>
            <w:shd w:val="clear" w:color="auto" w:fill="auto"/>
            <w:vAlign w:val="center"/>
          </w:tcPr>
          <w:p w14:paraId="6F7243A7"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AQI</w:t>
            </w:r>
          </w:p>
        </w:tc>
        <w:tc>
          <w:tcPr>
            <w:tcW w:w="6505" w:type="dxa"/>
            <w:shd w:val="clear" w:color="auto" w:fill="auto"/>
            <w:vAlign w:val="center"/>
          </w:tcPr>
          <w:p w14:paraId="0D9A4692" w14:textId="0F801B7F"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Air</w:t>
            </w:r>
            <w:r w:rsidR="00164453" w:rsidRPr="00E53E01">
              <w:rPr>
                <w:sz w:val="18"/>
                <w:szCs w:val="18"/>
              </w:rPr>
              <w:t>-q</w:t>
            </w:r>
            <w:r w:rsidRPr="00E53E01">
              <w:rPr>
                <w:sz w:val="18"/>
                <w:szCs w:val="18"/>
              </w:rPr>
              <w:t xml:space="preserve">uality </w:t>
            </w:r>
            <w:r w:rsidR="00164453" w:rsidRPr="00E53E01">
              <w:rPr>
                <w:sz w:val="18"/>
                <w:szCs w:val="18"/>
              </w:rPr>
              <w:t>i</w:t>
            </w:r>
            <w:r w:rsidRPr="00E53E01">
              <w:rPr>
                <w:sz w:val="18"/>
                <w:szCs w:val="18"/>
              </w:rPr>
              <w:t>ndex</w:t>
            </w:r>
          </w:p>
        </w:tc>
      </w:tr>
      <w:tr w:rsidR="00176A80" w:rsidRPr="00E53E01" w14:paraId="5D1FC6BD" w14:textId="77777777" w:rsidTr="00203425">
        <w:tc>
          <w:tcPr>
            <w:tcW w:w="1352" w:type="dxa"/>
            <w:shd w:val="clear" w:color="auto" w:fill="auto"/>
            <w:vAlign w:val="center"/>
          </w:tcPr>
          <w:p w14:paraId="682C3FF7"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MAIAC</w:t>
            </w:r>
          </w:p>
        </w:tc>
        <w:tc>
          <w:tcPr>
            <w:tcW w:w="6505" w:type="dxa"/>
            <w:shd w:val="clear" w:color="auto" w:fill="auto"/>
            <w:vAlign w:val="center"/>
          </w:tcPr>
          <w:p w14:paraId="049EDA0D"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Multi-Angle Implementation of Atmospheric Correction</w:t>
            </w:r>
          </w:p>
        </w:tc>
      </w:tr>
      <w:tr w:rsidR="00176A80" w:rsidRPr="00E53E01" w14:paraId="1E484D5B" w14:textId="77777777" w:rsidTr="00203425">
        <w:tc>
          <w:tcPr>
            <w:tcW w:w="1352" w:type="dxa"/>
            <w:shd w:val="clear" w:color="auto" w:fill="auto"/>
            <w:vAlign w:val="center"/>
          </w:tcPr>
          <w:p w14:paraId="27182C55"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MODIS</w:t>
            </w:r>
          </w:p>
        </w:tc>
        <w:tc>
          <w:tcPr>
            <w:tcW w:w="6505" w:type="dxa"/>
            <w:shd w:val="clear" w:color="auto" w:fill="auto"/>
            <w:vAlign w:val="center"/>
          </w:tcPr>
          <w:p w14:paraId="65699364"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Moderate Resolution Imaging Spectroradiometer</w:t>
            </w:r>
          </w:p>
        </w:tc>
      </w:tr>
      <w:tr w:rsidR="00176A80" w:rsidRPr="00E53E01" w14:paraId="1434B13E" w14:textId="77777777" w:rsidTr="00203425">
        <w:tc>
          <w:tcPr>
            <w:tcW w:w="1352" w:type="dxa"/>
            <w:shd w:val="clear" w:color="auto" w:fill="auto"/>
            <w:vAlign w:val="center"/>
          </w:tcPr>
          <w:p w14:paraId="56CC505C"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VIIRS</w:t>
            </w:r>
          </w:p>
        </w:tc>
        <w:tc>
          <w:tcPr>
            <w:tcW w:w="6505" w:type="dxa"/>
            <w:shd w:val="clear" w:color="auto" w:fill="auto"/>
            <w:vAlign w:val="center"/>
          </w:tcPr>
          <w:p w14:paraId="7733AB04"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Visible Infrared Imaging Radiometer Suite</w:t>
            </w:r>
          </w:p>
        </w:tc>
      </w:tr>
      <w:tr w:rsidR="00176A80" w:rsidRPr="00E53E01" w14:paraId="376D12CF" w14:textId="77777777" w:rsidTr="00203425">
        <w:tc>
          <w:tcPr>
            <w:tcW w:w="1352" w:type="dxa"/>
            <w:shd w:val="clear" w:color="auto" w:fill="auto"/>
            <w:vAlign w:val="center"/>
          </w:tcPr>
          <w:p w14:paraId="44804382"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OLCI-S3A/B</w:t>
            </w:r>
          </w:p>
        </w:tc>
        <w:tc>
          <w:tcPr>
            <w:tcW w:w="6505" w:type="dxa"/>
            <w:shd w:val="clear" w:color="auto" w:fill="auto"/>
            <w:vAlign w:val="center"/>
          </w:tcPr>
          <w:p w14:paraId="07AA9D9C" w14:textId="5F98E73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 xml:space="preserve">Ocean and Land </w:t>
            </w:r>
            <w:r w:rsidR="00A15744" w:rsidRPr="00E53E01">
              <w:rPr>
                <w:sz w:val="18"/>
                <w:szCs w:val="18"/>
                <w:u w:color="EEB1D5"/>
              </w:rPr>
              <w:t>Colour</w:t>
            </w:r>
            <w:r w:rsidRPr="00E53E01">
              <w:rPr>
                <w:sz w:val="18"/>
                <w:szCs w:val="18"/>
              </w:rPr>
              <w:t xml:space="preserve"> Instrument, Sentinel-3A/B</w:t>
            </w:r>
          </w:p>
        </w:tc>
      </w:tr>
      <w:tr w:rsidR="00176A80" w:rsidRPr="00E53E01" w14:paraId="31434170" w14:textId="77777777" w:rsidTr="00203425">
        <w:tc>
          <w:tcPr>
            <w:tcW w:w="1352" w:type="dxa"/>
            <w:shd w:val="clear" w:color="auto" w:fill="auto"/>
            <w:vAlign w:val="center"/>
          </w:tcPr>
          <w:p w14:paraId="6E775E52"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PACE-OCI</w:t>
            </w:r>
          </w:p>
        </w:tc>
        <w:tc>
          <w:tcPr>
            <w:tcW w:w="6505" w:type="dxa"/>
            <w:shd w:val="clear" w:color="auto" w:fill="auto"/>
            <w:vAlign w:val="center"/>
          </w:tcPr>
          <w:p w14:paraId="746A68CC" w14:textId="3B029064"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Plankton, Aerosol, Cloud, ocean Ecosystem</w:t>
            </w:r>
            <w:r w:rsidR="003C19A5" w:rsidRPr="00E53E01">
              <w:rPr>
                <w:sz w:val="18"/>
                <w:szCs w:val="18"/>
              </w:rPr>
              <w:t>—</w:t>
            </w:r>
            <w:r w:rsidRPr="00E53E01">
              <w:rPr>
                <w:sz w:val="18"/>
                <w:szCs w:val="18"/>
              </w:rPr>
              <w:t>Ocean Color Instrument</w:t>
            </w:r>
          </w:p>
        </w:tc>
      </w:tr>
      <w:tr w:rsidR="00176A80" w:rsidRPr="00E53E01" w14:paraId="424AE5E3" w14:textId="77777777" w:rsidTr="00203425">
        <w:tc>
          <w:tcPr>
            <w:tcW w:w="1352" w:type="dxa"/>
            <w:shd w:val="clear" w:color="auto" w:fill="auto"/>
            <w:vAlign w:val="center"/>
          </w:tcPr>
          <w:p w14:paraId="7C322BBE" w14:textId="77777777" w:rsidR="00176A80" w:rsidRPr="00E53E01" w:rsidRDefault="00176A80" w:rsidP="00203425">
            <w:pPr>
              <w:pStyle w:val="MDPI42tablebody"/>
              <w:autoSpaceDE w:val="0"/>
              <w:autoSpaceDN w:val="0"/>
              <w:spacing w:line="240" w:lineRule="auto"/>
              <w:jc w:val="left"/>
              <w:rPr>
                <w:sz w:val="18"/>
                <w:szCs w:val="18"/>
              </w:rPr>
            </w:pPr>
            <w:r w:rsidRPr="00E53E01">
              <w:rPr>
                <w:i/>
                <w:iCs/>
                <w:sz w:val="18"/>
                <w:szCs w:val="18"/>
              </w:rPr>
              <w:t>nL</w:t>
            </w:r>
            <w:r w:rsidRPr="00E53E01">
              <w:rPr>
                <w:i/>
                <w:iCs/>
                <w:sz w:val="18"/>
                <w:szCs w:val="18"/>
                <w:vertAlign w:val="subscript"/>
              </w:rPr>
              <w:t>w</w:t>
            </w:r>
          </w:p>
        </w:tc>
        <w:tc>
          <w:tcPr>
            <w:tcW w:w="6505" w:type="dxa"/>
            <w:shd w:val="clear" w:color="auto" w:fill="auto"/>
            <w:vAlign w:val="center"/>
          </w:tcPr>
          <w:p w14:paraId="2BC511DC" w14:textId="0F422299"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 xml:space="preserve">Normalized </w:t>
            </w:r>
            <w:r w:rsidR="00164453" w:rsidRPr="00E53E01">
              <w:rPr>
                <w:sz w:val="18"/>
                <w:szCs w:val="18"/>
              </w:rPr>
              <w:t>w</w:t>
            </w:r>
            <w:r w:rsidRPr="00E53E01">
              <w:rPr>
                <w:sz w:val="18"/>
                <w:szCs w:val="18"/>
              </w:rPr>
              <w:t xml:space="preserve">ater-leaving </w:t>
            </w:r>
            <w:r w:rsidR="00164453" w:rsidRPr="00E53E01">
              <w:rPr>
                <w:sz w:val="18"/>
                <w:szCs w:val="18"/>
              </w:rPr>
              <w:t>r</w:t>
            </w:r>
            <w:r w:rsidRPr="00E53E01">
              <w:rPr>
                <w:sz w:val="18"/>
                <w:szCs w:val="18"/>
              </w:rPr>
              <w:t>adiance</w:t>
            </w:r>
          </w:p>
        </w:tc>
      </w:tr>
      <w:tr w:rsidR="00176A80" w:rsidRPr="00E53E01" w14:paraId="106D8A18" w14:textId="77777777" w:rsidTr="00203425">
        <w:tc>
          <w:tcPr>
            <w:tcW w:w="1352" w:type="dxa"/>
            <w:shd w:val="clear" w:color="auto" w:fill="auto"/>
            <w:vAlign w:val="center"/>
          </w:tcPr>
          <w:p w14:paraId="4E61FB73" w14:textId="77777777" w:rsidR="00176A80" w:rsidRPr="00E53E01" w:rsidRDefault="00176A80" w:rsidP="00203425">
            <w:pPr>
              <w:pStyle w:val="MDPI42tablebody"/>
              <w:autoSpaceDE w:val="0"/>
              <w:autoSpaceDN w:val="0"/>
              <w:spacing w:line="240" w:lineRule="auto"/>
              <w:jc w:val="left"/>
              <w:rPr>
                <w:i/>
                <w:iCs/>
                <w:sz w:val="18"/>
                <w:szCs w:val="18"/>
              </w:rPr>
            </w:pPr>
            <w:r w:rsidRPr="00E53E01">
              <w:rPr>
                <w:i/>
                <w:iCs/>
                <w:sz w:val="18"/>
                <w:szCs w:val="18"/>
              </w:rPr>
              <w:t>R</w:t>
            </w:r>
            <w:r w:rsidRPr="00E53E01">
              <w:rPr>
                <w:i/>
                <w:iCs/>
                <w:sz w:val="18"/>
                <w:szCs w:val="18"/>
                <w:vertAlign w:val="subscript"/>
              </w:rPr>
              <w:t>rs</w:t>
            </w:r>
          </w:p>
        </w:tc>
        <w:tc>
          <w:tcPr>
            <w:tcW w:w="6505" w:type="dxa"/>
            <w:shd w:val="clear" w:color="auto" w:fill="auto"/>
            <w:vAlign w:val="center"/>
          </w:tcPr>
          <w:p w14:paraId="1FF83748" w14:textId="70097C4C"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 xml:space="preserve">Remote </w:t>
            </w:r>
            <w:r w:rsidR="00164453" w:rsidRPr="00E53E01">
              <w:rPr>
                <w:sz w:val="18"/>
                <w:szCs w:val="18"/>
              </w:rPr>
              <w:t>s</w:t>
            </w:r>
            <w:r w:rsidRPr="00E53E01">
              <w:rPr>
                <w:sz w:val="18"/>
                <w:szCs w:val="18"/>
              </w:rPr>
              <w:t xml:space="preserve">ensing </w:t>
            </w:r>
            <w:r w:rsidR="00164453" w:rsidRPr="00E53E01">
              <w:rPr>
                <w:sz w:val="18"/>
                <w:szCs w:val="18"/>
              </w:rPr>
              <w:t>r</w:t>
            </w:r>
            <w:r w:rsidRPr="00E53E01">
              <w:rPr>
                <w:sz w:val="18"/>
                <w:szCs w:val="18"/>
              </w:rPr>
              <w:t>eflectance</w:t>
            </w:r>
          </w:p>
        </w:tc>
      </w:tr>
      <w:tr w:rsidR="00176A80" w:rsidRPr="00E53E01" w14:paraId="348A2603" w14:textId="77777777" w:rsidTr="00203425">
        <w:tc>
          <w:tcPr>
            <w:tcW w:w="1352" w:type="dxa"/>
            <w:shd w:val="clear" w:color="auto" w:fill="auto"/>
            <w:vAlign w:val="center"/>
          </w:tcPr>
          <w:p w14:paraId="55577264" w14:textId="77777777" w:rsidR="00176A80" w:rsidRPr="00E53E01" w:rsidRDefault="00176A80" w:rsidP="00203425">
            <w:pPr>
              <w:pStyle w:val="MDPI42tablebody"/>
              <w:autoSpaceDE w:val="0"/>
              <w:autoSpaceDN w:val="0"/>
              <w:spacing w:line="240" w:lineRule="auto"/>
              <w:jc w:val="left"/>
              <w:rPr>
                <w:i/>
                <w:iCs/>
                <w:sz w:val="18"/>
                <w:szCs w:val="18"/>
              </w:rPr>
            </w:pPr>
            <w:r w:rsidRPr="00E53E01">
              <w:rPr>
                <w:sz w:val="18"/>
                <w:szCs w:val="18"/>
              </w:rPr>
              <w:t>OB.DAAC</w:t>
            </w:r>
          </w:p>
        </w:tc>
        <w:tc>
          <w:tcPr>
            <w:tcW w:w="6505" w:type="dxa"/>
            <w:shd w:val="clear" w:color="auto" w:fill="auto"/>
            <w:vAlign w:val="center"/>
          </w:tcPr>
          <w:p w14:paraId="16CC3E99" w14:textId="77777777" w:rsidR="00176A80" w:rsidRPr="00E53E01" w:rsidRDefault="00176A80" w:rsidP="00203425">
            <w:pPr>
              <w:pStyle w:val="MDPI42tablebody"/>
              <w:autoSpaceDE w:val="0"/>
              <w:autoSpaceDN w:val="0"/>
              <w:spacing w:line="240" w:lineRule="auto"/>
              <w:jc w:val="left"/>
              <w:rPr>
                <w:sz w:val="18"/>
                <w:szCs w:val="18"/>
              </w:rPr>
            </w:pPr>
            <w:r w:rsidRPr="00E53E01">
              <w:rPr>
                <w:sz w:val="18"/>
                <w:szCs w:val="18"/>
              </w:rPr>
              <w:t>Ocean Biology Processing Group Distributed Active Archive Center</w:t>
            </w:r>
          </w:p>
        </w:tc>
      </w:tr>
    </w:tbl>
    <w:p w14:paraId="5B9138F2" w14:textId="77777777" w:rsidR="00176A80" w:rsidRPr="00E53E01" w:rsidRDefault="00176A80" w:rsidP="007477F4">
      <w:pPr>
        <w:pStyle w:val="MDPI21heading1"/>
        <w:ind w:left="0"/>
      </w:pPr>
      <w:bookmarkStart w:id="3" w:name="RefSection"/>
      <w:bookmarkEnd w:id="2"/>
      <w:r w:rsidRPr="00E53E01">
        <w:t>Reference</w:t>
      </w:r>
      <w:bookmarkEnd w:id="3"/>
      <w:r w:rsidRPr="00E53E01">
        <w:t>s</w:t>
      </w:r>
    </w:p>
    <w:p w14:paraId="3E4C7765" w14:textId="77777777" w:rsidR="00F53CC5" w:rsidRPr="00E53E01" w:rsidRDefault="00F53CC5" w:rsidP="00F53CC5">
      <w:pPr>
        <w:pStyle w:val="MDPI81references"/>
        <w:numPr>
          <w:ilvl w:val="0"/>
          <w:numId w:val="35"/>
        </w:numPr>
        <w:rPr>
          <w:rStyle w:val="normaltextrun"/>
          <w:rFonts w:cs="Segoe UI"/>
          <w:color w:val="auto"/>
          <w:spacing w:val="-4"/>
          <w:szCs w:val="18"/>
        </w:rPr>
      </w:pPr>
      <w:r w:rsidRPr="00E53E01">
        <w:rPr>
          <w:rStyle w:val="normaltextrun"/>
          <w:rFonts w:cs="Segoe UI"/>
          <w:color w:val="auto"/>
          <w:spacing w:val="-4"/>
          <w:szCs w:val="18"/>
        </w:rPr>
        <w:t xml:space="preserve">Maryland State Archives: Maryland at a Glance, Chesapeake Bay. Available online: </w:t>
      </w:r>
      <w:r w:rsidRPr="00E53E01">
        <w:rPr>
          <w:rFonts w:cs="Segoe UI"/>
          <w:spacing w:val="-4"/>
          <w:szCs w:val="18"/>
        </w:rPr>
        <w:t>https://msa.maryland.gov/msa/mdmanual/01glance/html/ches.html</w:t>
      </w:r>
      <w:r w:rsidRPr="00E53E01">
        <w:rPr>
          <w:rStyle w:val="normaltextrun"/>
          <w:rFonts w:cs="Segoe UI"/>
          <w:color w:val="auto"/>
          <w:spacing w:val="-4"/>
          <w:szCs w:val="18"/>
        </w:rPr>
        <w:t xml:space="preserve"> (accessed on 29 April 2025).</w:t>
      </w:r>
    </w:p>
    <w:p w14:paraId="168D41F3" w14:textId="77777777" w:rsidR="00F53CC5" w:rsidRPr="00E53E01" w:rsidRDefault="00F53CC5" w:rsidP="00F53CC5">
      <w:pPr>
        <w:pStyle w:val="MDPI81references"/>
        <w:numPr>
          <w:ilvl w:val="0"/>
          <w:numId w:val="35"/>
        </w:numPr>
        <w:rPr>
          <w:rStyle w:val="normaltextrun"/>
          <w:rFonts w:cs="Segoe UI"/>
          <w:color w:val="auto"/>
          <w:spacing w:val="-4"/>
          <w:szCs w:val="18"/>
        </w:rPr>
      </w:pPr>
      <w:r w:rsidRPr="00E53E01">
        <w:rPr>
          <w:rStyle w:val="normaltextrun"/>
          <w:rFonts w:cs="Segoe UI"/>
          <w:color w:val="auto"/>
          <w:spacing w:val="-4"/>
          <w:szCs w:val="18"/>
        </w:rPr>
        <w:t xml:space="preserve">Wolny, J.L.; Tomlinson, M.C.; Schollaert Uz, S.; Egerton, T.A.; McKay, J.R.; Murasko, S.; Wickes, L.; Scott, G.P.; Place, A.R. Current and Future Remote Sensing of Harmful Algal Blooms in the Chesapeake Bay to Support the Shellfish Industry. </w:t>
      </w:r>
      <w:r w:rsidRPr="00E53E01">
        <w:rPr>
          <w:rStyle w:val="normaltextrun"/>
          <w:rFonts w:cs="Segoe UI"/>
          <w:i/>
          <w:iCs/>
          <w:color w:val="auto"/>
          <w:spacing w:val="-4"/>
          <w:szCs w:val="18"/>
        </w:rPr>
        <w:t>Front. Mar. Sci.</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2020</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7</w:t>
      </w:r>
      <w:r w:rsidRPr="00E53E01">
        <w:rPr>
          <w:rStyle w:val="normaltextrun"/>
          <w:rFonts w:cs="Segoe UI"/>
          <w:bCs/>
          <w:color w:val="auto"/>
          <w:spacing w:val="-4"/>
          <w:szCs w:val="18"/>
        </w:rPr>
        <w:t>, 337</w:t>
      </w:r>
      <w:r w:rsidRPr="00E53E01">
        <w:rPr>
          <w:rStyle w:val="normaltextrun"/>
          <w:rFonts w:cs="Segoe UI"/>
          <w:color w:val="auto"/>
          <w:spacing w:val="-4"/>
          <w:szCs w:val="18"/>
        </w:rPr>
        <w:t xml:space="preserve">. </w:t>
      </w:r>
      <w:r w:rsidRPr="00E53E01">
        <w:rPr>
          <w:rFonts w:cs="Segoe UI"/>
          <w:spacing w:val="-4"/>
          <w:szCs w:val="18"/>
        </w:rPr>
        <w:t>https://doi.org/10.3389/fmars.2020.00337</w:t>
      </w:r>
      <w:r w:rsidRPr="00E53E01">
        <w:rPr>
          <w:rStyle w:val="normaltextrun"/>
          <w:rFonts w:cs="Segoe UI"/>
          <w:color w:val="auto"/>
          <w:spacing w:val="-4"/>
          <w:szCs w:val="18"/>
        </w:rPr>
        <w:t>.</w:t>
      </w:r>
    </w:p>
    <w:p w14:paraId="4427BC1A"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lastRenderedPageBreak/>
        <w:t>National Oceanic and Atmospheric Administration (NOAA) CoastWatch: National Centers for Coastal Ocean Science (NCCOS). Available online: https://coastwatch.noaa.gov/cw_html/NCCOS.html (accessed on 25 February 2025).</w:t>
      </w:r>
    </w:p>
    <w:p w14:paraId="43680D75" w14:textId="77777777" w:rsidR="00F53CC5" w:rsidRPr="00E53E01" w:rsidRDefault="00F53CC5" w:rsidP="00F53CC5">
      <w:pPr>
        <w:pStyle w:val="MDPI81references"/>
        <w:numPr>
          <w:ilvl w:val="0"/>
          <w:numId w:val="35"/>
        </w:numPr>
        <w:rPr>
          <w:rStyle w:val="eop"/>
          <w:rFonts w:cs="Segoe UI"/>
          <w:color w:val="auto"/>
          <w:spacing w:val="-4"/>
          <w:szCs w:val="18"/>
        </w:rPr>
      </w:pPr>
      <w:r w:rsidRPr="00E53E01">
        <w:rPr>
          <w:rStyle w:val="normaltextrun"/>
          <w:rFonts w:cs="Segoe UI"/>
          <w:color w:val="auto"/>
          <w:spacing w:val="-4"/>
          <w:szCs w:val="18"/>
        </w:rPr>
        <w:t>Chesapeake Bay Program: Monitoring programs. Available online: https://www.chesapeakebay.net/what/programs/monitoring (accessed on 4 February 2025).</w:t>
      </w:r>
    </w:p>
    <w:p w14:paraId="09D91D72"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Turner, J.; Carl, F.; Friedrichs, M. Long-Term Trends in Chesapeake Bay Remote Sensing Reflectance: Implications for Water Clarity. </w:t>
      </w:r>
      <w:r w:rsidRPr="00E53E01">
        <w:rPr>
          <w:rStyle w:val="normaltextrun"/>
          <w:rFonts w:cs="Segoe UI"/>
          <w:i/>
          <w:iCs/>
          <w:color w:val="auto"/>
          <w:spacing w:val="-4"/>
          <w:szCs w:val="18"/>
        </w:rPr>
        <w:t xml:space="preserve">J. Geophys. Res. Ocean. </w:t>
      </w:r>
      <w:r w:rsidRPr="00E53E01">
        <w:rPr>
          <w:rStyle w:val="normaltextrun"/>
          <w:rFonts w:cs="Segoe UI"/>
          <w:b/>
          <w:bCs/>
          <w:color w:val="auto"/>
          <w:spacing w:val="-4"/>
          <w:szCs w:val="18"/>
        </w:rPr>
        <w:t>2021</w:t>
      </w:r>
      <w:r w:rsidRPr="00E53E01">
        <w:rPr>
          <w:rStyle w:val="normaltextrun"/>
          <w:rFonts w:cs="Segoe UI"/>
          <w:color w:val="auto"/>
          <w:spacing w:val="-4"/>
          <w:szCs w:val="18"/>
        </w:rPr>
        <w:t>,</w:t>
      </w:r>
      <w:r w:rsidRPr="00E53E01">
        <w:rPr>
          <w:rStyle w:val="normaltextrun"/>
          <w:rFonts w:cs="Segoe UI"/>
          <w:b/>
          <w:bCs/>
          <w:color w:val="auto"/>
          <w:spacing w:val="-4"/>
          <w:szCs w:val="18"/>
        </w:rPr>
        <w:t xml:space="preserve"> </w:t>
      </w:r>
      <w:r w:rsidRPr="00E53E01">
        <w:rPr>
          <w:rStyle w:val="normaltextrun"/>
          <w:rFonts w:cs="Segoe UI"/>
          <w:i/>
          <w:iCs/>
          <w:color w:val="auto"/>
          <w:spacing w:val="-4"/>
          <w:szCs w:val="18"/>
        </w:rPr>
        <w:t>126</w:t>
      </w:r>
      <w:r w:rsidRPr="00E53E01">
        <w:rPr>
          <w:rStyle w:val="normaltextrun"/>
          <w:rFonts w:cs="Segoe UI"/>
          <w:color w:val="auto"/>
          <w:spacing w:val="-4"/>
          <w:szCs w:val="18"/>
        </w:rPr>
        <w:t xml:space="preserve">, </w:t>
      </w:r>
      <w:r w:rsidRPr="00E53E01">
        <w:rPr>
          <w:rFonts w:cs="Segoe UI"/>
          <w:color w:val="auto"/>
          <w:spacing w:val="-4"/>
          <w:szCs w:val="18"/>
        </w:rPr>
        <w:t>e2021JC017959.</w:t>
      </w:r>
      <w:r w:rsidRPr="00E53E01">
        <w:rPr>
          <w:rStyle w:val="normaltextrun"/>
          <w:rFonts w:cs="Segoe UI"/>
          <w:color w:val="auto"/>
          <w:spacing w:val="-4"/>
          <w:szCs w:val="18"/>
        </w:rPr>
        <w:t xml:space="preserve"> https://doi.org/10.1029/2021JC017959.</w:t>
      </w:r>
    </w:p>
    <w:p w14:paraId="694B4D04" w14:textId="77777777" w:rsidR="00F53CC5" w:rsidRPr="00E53E01" w:rsidRDefault="00F53CC5" w:rsidP="00F53CC5">
      <w:pPr>
        <w:pStyle w:val="MDPI81references"/>
        <w:numPr>
          <w:ilvl w:val="0"/>
          <w:numId w:val="35"/>
        </w:numPr>
        <w:rPr>
          <w:spacing w:val="-4"/>
        </w:rPr>
      </w:pPr>
      <w:r w:rsidRPr="00E53E01">
        <w:rPr>
          <w:spacing w:val="-4"/>
        </w:rPr>
        <w:t xml:space="preserve">D’Sa, E.J.; Tzortziou, M.; Liu, B. Extreme events and impacts on organic carbon cycles from ocean color remote sensing: Review with case study, challenges, and future directions. </w:t>
      </w:r>
      <w:r w:rsidRPr="00E53E01">
        <w:rPr>
          <w:i/>
          <w:iCs/>
          <w:spacing w:val="-4"/>
        </w:rPr>
        <w:t>Earth-Sci. Rev.</w:t>
      </w:r>
      <w:r w:rsidRPr="00E53E01">
        <w:rPr>
          <w:spacing w:val="-4"/>
        </w:rPr>
        <w:t xml:space="preserve"> </w:t>
      </w:r>
      <w:r w:rsidRPr="00E53E01">
        <w:rPr>
          <w:b/>
          <w:bCs/>
          <w:spacing w:val="-4"/>
        </w:rPr>
        <w:t>2023</w:t>
      </w:r>
      <w:r w:rsidRPr="00E53E01">
        <w:rPr>
          <w:spacing w:val="-4"/>
        </w:rPr>
        <w:t xml:space="preserve">, </w:t>
      </w:r>
      <w:r w:rsidRPr="00E53E01">
        <w:rPr>
          <w:i/>
          <w:iCs/>
          <w:spacing w:val="-4"/>
        </w:rPr>
        <w:t>243</w:t>
      </w:r>
      <w:r w:rsidRPr="00E53E01">
        <w:rPr>
          <w:spacing w:val="-4"/>
        </w:rPr>
        <w:t xml:space="preserve">, 104503. </w:t>
      </w:r>
      <w:r w:rsidRPr="00E53E01">
        <w:rPr>
          <w:rFonts w:cs="Segoe UI"/>
          <w:spacing w:val="-4"/>
          <w:szCs w:val="18"/>
        </w:rPr>
        <w:t>https://doi.org/10.1016/j.earscirev.2023.104503</w:t>
      </w:r>
      <w:r w:rsidRPr="00E53E01">
        <w:rPr>
          <w:spacing w:val="-4"/>
        </w:rPr>
        <w:t>.</w:t>
      </w:r>
    </w:p>
    <w:p w14:paraId="08D691E9" w14:textId="77777777" w:rsidR="00F53CC5" w:rsidRPr="00E53E01" w:rsidRDefault="00F53CC5" w:rsidP="00F53CC5">
      <w:pPr>
        <w:pStyle w:val="MDPI81references"/>
        <w:numPr>
          <w:ilvl w:val="0"/>
          <w:numId w:val="35"/>
        </w:numPr>
        <w:rPr>
          <w:spacing w:val="-4"/>
        </w:rPr>
      </w:pPr>
      <w:r w:rsidRPr="00E53E01">
        <w:rPr>
          <w:spacing w:val="-4"/>
        </w:rPr>
        <w:t xml:space="preserve">St. Laurent, K.A.; Coles, V.J.; Hood, R.R. Climate Extremes and Variability Surrounding Chesapeake Bay: Past, Present, and Future. </w:t>
      </w:r>
      <w:r w:rsidRPr="00E53E01">
        <w:rPr>
          <w:i/>
          <w:iCs/>
          <w:spacing w:val="-4"/>
        </w:rPr>
        <w:t>J. Am. Water Resour. Assoc.</w:t>
      </w:r>
      <w:r w:rsidRPr="00E53E01">
        <w:rPr>
          <w:spacing w:val="-4"/>
        </w:rPr>
        <w:t xml:space="preserve"> </w:t>
      </w:r>
      <w:r w:rsidRPr="00E53E01">
        <w:rPr>
          <w:b/>
          <w:bCs/>
          <w:spacing w:val="-4"/>
        </w:rPr>
        <w:t>2022</w:t>
      </w:r>
      <w:r w:rsidRPr="00E53E01">
        <w:rPr>
          <w:bCs/>
          <w:spacing w:val="-4"/>
        </w:rPr>
        <w:t xml:space="preserve">, </w:t>
      </w:r>
      <w:r w:rsidRPr="00E53E01">
        <w:rPr>
          <w:bCs/>
          <w:i/>
          <w:spacing w:val="-4"/>
        </w:rPr>
        <w:t>58</w:t>
      </w:r>
      <w:r w:rsidRPr="00E53E01">
        <w:rPr>
          <w:bCs/>
          <w:spacing w:val="-4"/>
        </w:rPr>
        <w:t>, 826–854</w:t>
      </w:r>
      <w:r w:rsidRPr="00E53E01">
        <w:rPr>
          <w:spacing w:val="-4"/>
        </w:rPr>
        <w:t xml:space="preserve">. </w:t>
      </w:r>
      <w:r w:rsidRPr="00E53E01">
        <w:rPr>
          <w:rFonts w:cs="Segoe UI"/>
          <w:spacing w:val="-4"/>
          <w:szCs w:val="18"/>
        </w:rPr>
        <w:t>https://doi.org/10.1111/1752-1688.12945</w:t>
      </w:r>
      <w:r w:rsidRPr="00E53E01">
        <w:rPr>
          <w:spacing w:val="-4"/>
        </w:rPr>
        <w:t>.</w:t>
      </w:r>
    </w:p>
    <w:p w14:paraId="2AA849FF" w14:textId="77777777" w:rsidR="00F53CC5" w:rsidRPr="00E53E01" w:rsidRDefault="00F53CC5" w:rsidP="00F53CC5">
      <w:pPr>
        <w:pStyle w:val="MDPI81references"/>
        <w:numPr>
          <w:ilvl w:val="0"/>
          <w:numId w:val="35"/>
        </w:numPr>
        <w:rPr>
          <w:spacing w:val="-4"/>
        </w:rPr>
      </w:pPr>
      <w:r w:rsidRPr="00E53E01">
        <w:rPr>
          <w:spacing w:val="-4"/>
        </w:rPr>
        <w:t>Ding, H.; Elmore, A.J. Spatio-temporal patterns in water surface temperature from Landsat time series data in the Chesapeake Bay, U.S.A</w:t>
      </w:r>
      <w:r w:rsidRPr="00E53E01">
        <w:rPr>
          <w:i/>
          <w:iCs/>
          <w:spacing w:val="-4"/>
        </w:rPr>
        <w:t xml:space="preserve">. Remote Sens. Environ. </w:t>
      </w:r>
      <w:r w:rsidRPr="00E53E01">
        <w:rPr>
          <w:b/>
          <w:bCs/>
          <w:spacing w:val="-4"/>
        </w:rPr>
        <w:t>2015</w:t>
      </w:r>
      <w:r w:rsidRPr="00E53E01">
        <w:rPr>
          <w:bCs/>
          <w:spacing w:val="-4"/>
        </w:rPr>
        <w:t xml:space="preserve">, </w:t>
      </w:r>
      <w:r w:rsidRPr="00E53E01">
        <w:rPr>
          <w:bCs/>
          <w:i/>
          <w:spacing w:val="-4"/>
        </w:rPr>
        <w:t>168</w:t>
      </w:r>
      <w:r w:rsidRPr="00E53E01">
        <w:rPr>
          <w:bCs/>
          <w:spacing w:val="-4"/>
        </w:rPr>
        <w:t>, 335–348</w:t>
      </w:r>
      <w:r w:rsidRPr="00E53E01">
        <w:rPr>
          <w:spacing w:val="-4"/>
        </w:rPr>
        <w:t xml:space="preserve">. </w:t>
      </w:r>
      <w:r w:rsidRPr="00E53E01">
        <w:rPr>
          <w:rFonts w:cs="Segoe UI"/>
          <w:spacing w:val="-4"/>
          <w:szCs w:val="18"/>
        </w:rPr>
        <w:t>https://doi.org/10.1016/j.rse.2015.07.009</w:t>
      </w:r>
      <w:r w:rsidRPr="00E53E01">
        <w:rPr>
          <w:spacing w:val="-4"/>
        </w:rPr>
        <w:t>.</w:t>
      </w:r>
    </w:p>
    <w:p w14:paraId="152B97E0"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Zibordi, G.; Holben, B.; Hooker, S.; Mélin, F.; Berthon, J.F.; Slutsker, I.; Giles, D.; Vandemark, D.; Feng, H.; Rutledge, K.; et al. A network for standardized ocean color validation measurements. </w:t>
      </w:r>
      <w:r w:rsidRPr="00E53E01">
        <w:rPr>
          <w:rStyle w:val="normaltextrun"/>
          <w:rFonts w:cs="Segoe UI"/>
          <w:i/>
          <w:iCs/>
          <w:color w:val="auto"/>
          <w:spacing w:val="-4"/>
          <w:szCs w:val="18"/>
        </w:rPr>
        <w:t>EOS Trans. Am. Geophys. Union</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2006</w:t>
      </w:r>
      <w:r w:rsidRPr="00E53E01">
        <w:rPr>
          <w:rStyle w:val="normaltextrun"/>
          <w:rFonts w:cs="Segoe UI"/>
          <w:color w:val="auto"/>
          <w:spacing w:val="-4"/>
          <w:szCs w:val="18"/>
        </w:rPr>
        <w:t xml:space="preserve">, </w:t>
      </w:r>
      <w:r w:rsidRPr="00E53E01">
        <w:rPr>
          <w:rStyle w:val="normaltextrun"/>
          <w:rFonts w:cs="Segoe UI"/>
          <w:i/>
          <w:iCs/>
          <w:color w:val="auto"/>
          <w:spacing w:val="-4"/>
          <w:szCs w:val="18"/>
        </w:rPr>
        <w:t>87</w:t>
      </w:r>
      <w:r w:rsidRPr="00E53E01">
        <w:rPr>
          <w:rStyle w:val="normaltextrun"/>
          <w:rFonts w:cs="Segoe UI"/>
          <w:color w:val="auto"/>
          <w:spacing w:val="-4"/>
          <w:szCs w:val="18"/>
        </w:rPr>
        <w:t>,</w:t>
      </w:r>
      <w:r w:rsidRPr="00E53E01">
        <w:rPr>
          <w:rStyle w:val="normaltextrun"/>
          <w:rFonts w:cs="Segoe UI"/>
          <w:i/>
          <w:iCs/>
          <w:color w:val="auto"/>
          <w:spacing w:val="-4"/>
          <w:szCs w:val="18"/>
        </w:rPr>
        <w:t xml:space="preserve"> </w:t>
      </w:r>
      <w:r w:rsidRPr="00E53E01">
        <w:rPr>
          <w:rStyle w:val="normaltextrun"/>
          <w:rFonts w:cs="Segoe UI"/>
          <w:color w:val="auto"/>
          <w:spacing w:val="-4"/>
          <w:szCs w:val="18"/>
        </w:rPr>
        <w:t>293–297. https://doi.org/10.1029/2006EO300001.</w:t>
      </w:r>
    </w:p>
    <w:p w14:paraId="446E36DB"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Ishizaka, J.; Yang, M.; Fujii, N.; Katano, T.; Hori, M.; Mine, T.; Saitoh, K.; Murakami, H. Use of AERONET-OC for validation of SGLI/GCOM-C products in Ariake Sea, Japan. </w:t>
      </w:r>
      <w:r w:rsidRPr="00E53E01">
        <w:rPr>
          <w:rStyle w:val="normaltextrun"/>
          <w:rFonts w:cs="Segoe UI"/>
          <w:i/>
          <w:iCs/>
          <w:color w:val="auto"/>
          <w:spacing w:val="-4"/>
          <w:szCs w:val="18"/>
        </w:rPr>
        <w:t>J. Oceanogr</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2022</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78</w:t>
      </w:r>
      <w:r w:rsidRPr="00E53E01">
        <w:rPr>
          <w:rStyle w:val="normaltextrun"/>
          <w:rFonts w:cs="Segoe UI"/>
          <w:bCs/>
          <w:color w:val="auto"/>
          <w:spacing w:val="-4"/>
          <w:szCs w:val="18"/>
        </w:rPr>
        <w:t>, 291–309</w:t>
      </w:r>
      <w:r w:rsidRPr="00E53E01">
        <w:rPr>
          <w:rStyle w:val="normaltextrun"/>
          <w:rFonts w:cs="Segoe UI"/>
          <w:color w:val="auto"/>
          <w:spacing w:val="-4"/>
          <w:szCs w:val="18"/>
        </w:rPr>
        <w:t>. https://doi.org/10.1007/s10872-022-00642-9.</w:t>
      </w:r>
    </w:p>
    <w:p w14:paraId="533B382A"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Melin, F. Validation of ocean color remote sensing reflectance data: Analysis of results at European coastal sites. </w:t>
      </w:r>
      <w:r w:rsidRPr="00E53E01">
        <w:rPr>
          <w:rStyle w:val="normaltextrun"/>
          <w:rFonts w:cs="Segoe UI"/>
          <w:i/>
          <w:iCs/>
          <w:color w:val="auto"/>
          <w:spacing w:val="-4"/>
          <w:szCs w:val="18"/>
        </w:rPr>
        <w:t>Remote Sens. Environ</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2022,</w:t>
      </w:r>
      <w:r w:rsidRPr="00E53E01">
        <w:rPr>
          <w:rStyle w:val="normaltextrun"/>
          <w:rFonts w:cs="Segoe UI"/>
          <w:color w:val="auto"/>
          <w:spacing w:val="-4"/>
          <w:szCs w:val="18"/>
        </w:rPr>
        <w:t xml:space="preserve"> </w:t>
      </w:r>
      <w:r w:rsidRPr="00E53E01">
        <w:rPr>
          <w:rStyle w:val="normaltextrun"/>
          <w:rFonts w:cs="Segoe UI"/>
          <w:i/>
          <w:iCs/>
          <w:color w:val="auto"/>
          <w:spacing w:val="-4"/>
          <w:szCs w:val="18"/>
        </w:rPr>
        <w:t>280</w:t>
      </w:r>
      <w:r w:rsidRPr="00E53E01">
        <w:rPr>
          <w:rStyle w:val="normaltextrun"/>
          <w:rFonts w:cs="Segoe UI"/>
          <w:color w:val="auto"/>
          <w:spacing w:val="-4"/>
          <w:szCs w:val="18"/>
        </w:rPr>
        <w:t xml:space="preserve">, </w:t>
      </w:r>
      <w:r w:rsidRPr="00E53E01">
        <w:rPr>
          <w:rFonts w:cs="Segoe UI"/>
          <w:color w:val="auto"/>
          <w:spacing w:val="-4"/>
          <w:szCs w:val="18"/>
        </w:rPr>
        <w:t>113153.</w:t>
      </w:r>
      <w:r w:rsidRPr="00E53E01">
        <w:rPr>
          <w:rStyle w:val="normaltextrun"/>
          <w:rFonts w:cs="Segoe UI"/>
          <w:color w:val="auto"/>
          <w:spacing w:val="-4"/>
          <w:szCs w:val="18"/>
        </w:rPr>
        <w:t xml:space="preserve"> https://doi.org/10.1016/j.rse.2022.113153.</w:t>
      </w:r>
    </w:p>
    <w:p w14:paraId="21E67D79"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Zibordi, G.; Holben, B.N.; Talone, M.; D’Alimonte, D.; Slutsker, I.; Giles, D.M.; Sorokin, M.G. Advances in the ocean color component of the aerosol robotic network (AERONET-OC). </w:t>
      </w:r>
      <w:r w:rsidRPr="00E53E01">
        <w:rPr>
          <w:rStyle w:val="normaltextrun"/>
          <w:rFonts w:cs="Segoe UI"/>
          <w:i/>
          <w:iCs/>
          <w:color w:val="auto"/>
          <w:spacing w:val="-4"/>
          <w:szCs w:val="18"/>
        </w:rPr>
        <w:t>J. Atmos. Ocean. Technol.</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2021</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38</w:t>
      </w:r>
      <w:r w:rsidRPr="00E53E01">
        <w:rPr>
          <w:rStyle w:val="normaltextrun"/>
          <w:rFonts w:cs="Segoe UI"/>
          <w:bCs/>
          <w:color w:val="auto"/>
          <w:spacing w:val="-4"/>
          <w:szCs w:val="18"/>
        </w:rPr>
        <w:t>, 725–746</w:t>
      </w:r>
      <w:r w:rsidRPr="00E53E01">
        <w:rPr>
          <w:rStyle w:val="normaltextrun"/>
          <w:rFonts w:cs="Segoe UI"/>
          <w:color w:val="auto"/>
          <w:spacing w:val="-4"/>
          <w:szCs w:val="18"/>
        </w:rPr>
        <w:t>. https://doi.org/10.1175/JTECH-D-20-0085.1.</w:t>
      </w:r>
    </w:p>
    <w:p w14:paraId="2268591C"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Jamet, C.; Loisel, H.; Kuchinke, C.; Ruddick, K.; Zibordi, G.; Feng, H. Comparison of three SeaWiFS Atmospheric Correction Algorithms for Turbid Waters using AERONET-OC Measurements. </w:t>
      </w:r>
      <w:r w:rsidRPr="00E53E01">
        <w:rPr>
          <w:rStyle w:val="normaltextrun"/>
          <w:rFonts w:cs="Segoe UI"/>
          <w:i/>
          <w:iCs/>
          <w:color w:val="auto"/>
          <w:spacing w:val="-4"/>
          <w:szCs w:val="18"/>
        </w:rPr>
        <w:t>Remote Sens. Environ.</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2011</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115</w:t>
      </w:r>
      <w:r w:rsidRPr="00E53E01">
        <w:rPr>
          <w:rStyle w:val="normaltextrun"/>
          <w:rFonts w:cs="Segoe UI"/>
          <w:bCs/>
          <w:color w:val="auto"/>
          <w:spacing w:val="-4"/>
          <w:szCs w:val="18"/>
        </w:rPr>
        <w:t>, 1955–1965</w:t>
      </w:r>
      <w:r w:rsidRPr="00E53E01">
        <w:rPr>
          <w:rStyle w:val="normaltextrun"/>
          <w:rFonts w:cs="Segoe UI"/>
          <w:color w:val="auto"/>
          <w:spacing w:val="-4"/>
          <w:szCs w:val="18"/>
        </w:rPr>
        <w:t xml:space="preserve">. </w:t>
      </w:r>
      <w:r w:rsidRPr="00E53E01">
        <w:rPr>
          <w:rFonts w:cs="Segoe UI"/>
          <w:color w:val="auto"/>
          <w:spacing w:val="-4"/>
          <w:szCs w:val="18"/>
        </w:rPr>
        <w:t>https://doi.org/</w:t>
      </w:r>
      <w:r w:rsidRPr="00E53E01">
        <w:rPr>
          <w:rStyle w:val="normaltextrun"/>
          <w:rFonts w:cs="Segoe UI"/>
          <w:color w:val="auto"/>
          <w:spacing w:val="-4"/>
          <w:szCs w:val="18"/>
        </w:rPr>
        <w:t>10.1016/j.rse.2011.03.018.</w:t>
      </w:r>
    </w:p>
    <w:p w14:paraId="182F4BF5"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Maryland Department of the Environment: Air Quality Forecast. Available online: https://mde.maryland.gov/programs/Air/AirQualityMonitoring/Pages/AQForecast.aspx (accessed on 2 April 2025).</w:t>
      </w:r>
    </w:p>
    <w:p w14:paraId="6981C61A"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Maryland Department of the Environment. 2023 Seasonal Air Quality Report: Fine Particulate Matter (PM</w:t>
      </w:r>
      <w:r w:rsidRPr="00E53E01">
        <w:rPr>
          <w:rStyle w:val="normaltextrun"/>
          <w:rFonts w:cs="Segoe UI"/>
          <w:color w:val="auto"/>
          <w:spacing w:val="-4"/>
          <w:szCs w:val="18"/>
          <w:vertAlign w:val="subscript"/>
        </w:rPr>
        <w:t>2.5</w:t>
      </w:r>
      <w:r w:rsidRPr="00E53E01">
        <w:rPr>
          <w:rStyle w:val="normaltextrun"/>
          <w:rFonts w:cs="Segoe UI"/>
          <w:color w:val="auto"/>
          <w:spacing w:val="-4"/>
          <w:szCs w:val="18"/>
        </w:rPr>
        <w:t>). 2023</w:t>
      </w:r>
      <w:r w:rsidRPr="00E53E01">
        <w:rPr>
          <w:rStyle w:val="normaltextrun"/>
          <w:rFonts w:cs="Segoe UI"/>
          <w:b/>
          <w:bCs/>
          <w:color w:val="auto"/>
          <w:spacing w:val="-4"/>
          <w:szCs w:val="18"/>
        </w:rPr>
        <w:t>.</w:t>
      </w:r>
      <w:r w:rsidRPr="00E53E01">
        <w:rPr>
          <w:rStyle w:val="normaltextrun"/>
          <w:rFonts w:cs="Segoe UI"/>
          <w:color w:val="auto"/>
          <w:spacing w:val="-4"/>
          <w:szCs w:val="18"/>
        </w:rPr>
        <w:t xml:space="preserve"> Available online: https://mde.maryland.gov/programs/air/AirQualityMonitoring/Documents/SeasonalReports/SeasonalReport_2023PM.pdf (accessed on 17 January 2025).</w:t>
      </w:r>
    </w:p>
    <w:p w14:paraId="3299B3F4"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Holben, B.N.; Eck, T.F.; Slutsker, I.; Tanré, D.; Buis, J.P.; Setzer, A.; Vermote, E.; Reagan, J.A.; Kaufman, Y.J.; Nakajima, T.; et al. AERONET—A Federated Instrument Network and Data Archive for Aerosol Characterization. </w:t>
      </w:r>
      <w:r w:rsidRPr="00E53E01">
        <w:rPr>
          <w:rStyle w:val="normaltextrun"/>
          <w:rFonts w:cs="Segoe UI"/>
          <w:i/>
          <w:iCs/>
          <w:color w:val="auto"/>
          <w:spacing w:val="-4"/>
          <w:szCs w:val="18"/>
        </w:rPr>
        <w:t>Remote Sens. Environ.</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1998</w:t>
      </w:r>
      <w:r w:rsidRPr="00E53E01">
        <w:rPr>
          <w:rStyle w:val="normaltextrun"/>
          <w:rFonts w:cs="Segoe UI"/>
          <w:color w:val="auto"/>
          <w:spacing w:val="-4"/>
          <w:szCs w:val="18"/>
        </w:rPr>
        <w:t xml:space="preserve">, </w:t>
      </w:r>
      <w:r w:rsidRPr="00E53E01">
        <w:rPr>
          <w:rStyle w:val="normaltextrun"/>
          <w:rFonts w:cs="Segoe UI"/>
          <w:i/>
          <w:iCs/>
          <w:color w:val="auto"/>
          <w:spacing w:val="-4"/>
          <w:szCs w:val="18"/>
        </w:rPr>
        <w:t>66</w:t>
      </w:r>
      <w:r w:rsidRPr="00E53E01">
        <w:rPr>
          <w:rStyle w:val="normaltextrun"/>
          <w:rFonts w:cs="Segoe UI"/>
          <w:color w:val="auto"/>
          <w:spacing w:val="-4"/>
          <w:szCs w:val="18"/>
        </w:rPr>
        <w:t xml:space="preserve">, </w:t>
      </w:r>
      <w:r w:rsidRPr="00E53E01">
        <w:rPr>
          <w:rFonts w:cs="Segoe UI"/>
          <w:color w:val="auto"/>
          <w:spacing w:val="-4"/>
          <w:szCs w:val="18"/>
        </w:rPr>
        <w:t>1–16</w:t>
      </w:r>
      <w:r w:rsidRPr="00E53E01">
        <w:rPr>
          <w:rStyle w:val="normaltextrun"/>
          <w:rFonts w:cs="Segoe UI"/>
          <w:color w:val="auto"/>
          <w:spacing w:val="-4"/>
          <w:szCs w:val="18"/>
        </w:rPr>
        <w:t>. https://doi.org/10.1016/S0034-4257(98)00031-5.</w:t>
      </w:r>
    </w:p>
    <w:p w14:paraId="4D996FAE"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Chesapeake Bay Foundation, State of the Bay Report: About the Indicators. Available online: https://www.cbf.org/about-the-bay/state-of-the-bay-report/sotb-about-the-indicators.html (accessed on 25 February 2025).</w:t>
      </w:r>
    </w:p>
    <w:p w14:paraId="125E5076"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Chesapeake Progress: Water Quality Standards Attainment and Monitoring. Available online: https://www.chesapeakeprogress.com/clean-water/water-quality (accessed on 30 January 2025).</w:t>
      </w:r>
    </w:p>
    <w:p w14:paraId="47418812"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Chesapeake Bay Program: The Impact of Susquehanna Sediments on the Chesapeake Bay. 2000</w:t>
      </w:r>
      <w:r w:rsidRPr="00E53E01">
        <w:rPr>
          <w:rStyle w:val="normaltextrun"/>
          <w:rFonts w:cs="Segoe UI"/>
          <w:b/>
          <w:bCs/>
          <w:color w:val="auto"/>
          <w:spacing w:val="-4"/>
          <w:szCs w:val="18"/>
        </w:rPr>
        <w:t xml:space="preserve">. </w:t>
      </w:r>
      <w:r w:rsidRPr="00E53E01">
        <w:rPr>
          <w:rStyle w:val="normaltextrun"/>
          <w:rFonts w:cs="Segoe UI"/>
          <w:color w:val="auto"/>
          <w:spacing w:val="-4"/>
          <w:szCs w:val="18"/>
        </w:rPr>
        <w:t>Available online: https://www.chesapeake.org/stac/Pubs/Sediment_Report.pdf (accessed on 4 April 2025).</w:t>
      </w:r>
    </w:p>
    <w:p w14:paraId="380E0623"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Ondrusek, M.; Stengel, E.; Kinkade, C.S.; Vogel, R.L.; Keegstra, P.; Hunter, C.; Kim, C. The development of a new optical total suspended matter algorithm for the Chesapeake Bay. </w:t>
      </w:r>
      <w:r w:rsidRPr="00E53E01">
        <w:rPr>
          <w:rStyle w:val="normaltextrun"/>
          <w:rFonts w:cs="Segoe UI"/>
          <w:i/>
          <w:iCs/>
          <w:color w:val="auto"/>
          <w:spacing w:val="-4"/>
          <w:szCs w:val="18"/>
        </w:rPr>
        <w:t>Remote Sens. Environ</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2012</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119</w:t>
      </w:r>
      <w:r w:rsidRPr="00E53E01">
        <w:rPr>
          <w:rStyle w:val="normaltextrun"/>
          <w:rFonts w:cs="Segoe UI"/>
          <w:bCs/>
          <w:color w:val="auto"/>
          <w:spacing w:val="-4"/>
          <w:szCs w:val="18"/>
        </w:rPr>
        <w:t>, 243–254</w:t>
      </w:r>
      <w:r w:rsidRPr="00E53E01">
        <w:rPr>
          <w:rStyle w:val="normaltextrun"/>
          <w:rFonts w:cs="Segoe UI"/>
          <w:color w:val="auto"/>
          <w:spacing w:val="-4"/>
          <w:szCs w:val="18"/>
        </w:rPr>
        <w:t>. https://doi.org/10.1016/j.rse.2011.12.018.</w:t>
      </w:r>
    </w:p>
    <w:p w14:paraId="0D0E4043"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Ma, Z.; Zhao, Y.; Zhao, W.; Feng, J.; Liu, Y.; Tsou, J.Y.; Zhang, Y. Estimating Total Suspended Matter and Analyzing Influencing Factors in the Pearl River Estuary (China). </w:t>
      </w:r>
      <w:r w:rsidRPr="00E53E01">
        <w:rPr>
          <w:rStyle w:val="normaltextrun"/>
          <w:rFonts w:cs="Segoe UI"/>
          <w:i/>
          <w:iCs/>
          <w:color w:val="auto"/>
          <w:spacing w:val="-4"/>
          <w:szCs w:val="18"/>
        </w:rPr>
        <w:t>J. Marine Sci. Eng</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2024</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12</w:t>
      </w:r>
      <w:r w:rsidRPr="00E53E01">
        <w:rPr>
          <w:rStyle w:val="normaltextrun"/>
          <w:rFonts w:cs="Segoe UI"/>
          <w:bCs/>
          <w:color w:val="auto"/>
          <w:spacing w:val="-4"/>
          <w:szCs w:val="18"/>
        </w:rPr>
        <w:t>, 167</w:t>
      </w:r>
      <w:r w:rsidRPr="00E53E01">
        <w:rPr>
          <w:rStyle w:val="normaltextrun"/>
          <w:rFonts w:cs="Segoe UI"/>
          <w:color w:val="auto"/>
          <w:spacing w:val="-4"/>
          <w:szCs w:val="18"/>
        </w:rPr>
        <w:t>. https://doi.org/10.3390/jmse12010167.</w:t>
      </w:r>
    </w:p>
    <w:p w14:paraId="76C4121E"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Özşeker, K.; Seyhan, K.; Dürrani, Ö.; Atasaral, Ş.; Şahin, A. Investigating the seasonal and spatial dynamics of total suspended matter composition in major fishing ports across the southeastern Black Sea. </w:t>
      </w:r>
      <w:r w:rsidRPr="00E53E01">
        <w:rPr>
          <w:rStyle w:val="normaltextrun"/>
          <w:rFonts w:cs="Segoe UI"/>
          <w:i/>
          <w:iCs/>
          <w:color w:val="auto"/>
          <w:spacing w:val="-4"/>
          <w:szCs w:val="18"/>
        </w:rPr>
        <w:t>Regional Studies Marine Sci.</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2024</w:t>
      </w:r>
      <w:r w:rsidRPr="00E53E01">
        <w:rPr>
          <w:rStyle w:val="normaltextrun"/>
          <w:rFonts w:cs="Segoe UI"/>
          <w:color w:val="auto"/>
          <w:spacing w:val="-4"/>
          <w:szCs w:val="18"/>
        </w:rPr>
        <w:t xml:space="preserve">, </w:t>
      </w:r>
      <w:r w:rsidRPr="00E53E01">
        <w:rPr>
          <w:rStyle w:val="normaltextrun"/>
          <w:rFonts w:cs="Segoe UI"/>
          <w:i/>
          <w:iCs/>
          <w:color w:val="auto"/>
          <w:spacing w:val="-4"/>
          <w:szCs w:val="18"/>
        </w:rPr>
        <w:t>77</w:t>
      </w:r>
      <w:r w:rsidRPr="00E53E01">
        <w:rPr>
          <w:rStyle w:val="normaltextrun"/>
          <w:rFonts w:cs="Segoe UI"/>
          <w:color w:val="auto"/>
          <w:spacing w:val="-4"/>
          <w:szCs w:val="18"/>
        </w:rPr>
        <w:t xml:space="preserve">, </w:t>
      </w:r>
      <w:r w:rsidRPr="00E53E01">
        <w:rPr>
          <w:rFonts w:cs="Segoe UI"/>
          <w:color w:val="auto"/>
          <w:spacing w:val="-4"/>
          <w:szCs w:val="18"/>
        </w:rPr>
        <w:t>103610.</w:t>
      </w:r>
      <w:r w:rsidRPr="00E53E01">
        <w:rPr>
          <w:rStyle w:val="normaltextrun"/>
          <w:rFonts w:cs="Segoe UI"/>
          <w:color w:val="auto"/>
          <w:spacing w:val="-4"/>
          <w:szCs w:val="18"/>
        </w:rPr>
        <w:t xml:space="preserve"> https://doi.org/10.1016/j.rsma.2024.103610.</w:t>
      </w:r>
    </w:p>
    <w:p w14:paraId="5AF8098D"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Jay, D.A.; Talke, S.A.; Hudson, A.; Twardowski, M. Estuarine turbidity maxima revisited: Instrumental approaches, remote sensing, modeling studies, and new directions. </w:t>
      </w:r>
      <w:r w:rsidRPr="00E53E01">
        <w:rPr>
          <w:rStyle w:val="normaltextrun"/>
          <w:rFonts w:cs="Segoe UI"/>
          <w:i/>
          <w:iCs/>
          <w:color w:val="auto"/>
          <w:spacing w:val="-4"/>
          <w:szCs w:val="18"/>
        </w:rPr>
        <w:t>Dev. Sedimentol</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2015</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68</w:t>
      </w:r>
      <w:r w:rsidRPr="00E53E01">
        <w:rPr>
          <w:rStyle w:val="normaltextrun"/>
          <w:rFonts w:cs="Segoe UI"/>
          <w:bCs/>
          <w:color w:val="auto"/>
          <w:spacing w:val="-4"/>
          <w:szCs w:val="18"/>
        </w:rPr>
        <w:t>, 49–109</w:t>
      </w:r>
      <w:r w:rsidRPr="00E53E01">
        <w:rPr>
          <w:rStyle w:val="normaltextrun"/>
          <w:rFonts w:cs="Segoe UI"/>
          <w:color w:val="auto"/>
          <w:spacing w:val="-4"/>
          <w:szCs w:val="18"/>
        </w:rPr>
        <w:t>. https://doi.org/10.1016/B978-0-444-63529-7.00004-3.</w:t>
      </w:r>
    </w:p>
    <w:p w14:paraId="78933B6A"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Botrel, M.; Maranger, R. Global historical trends and drivers of submerged aquatic vegetation quantities in lakes. </w:t>
      </w:r>
      <w:r w:rsidRPr="00E53E01">
        <w:rPr>
          <w:rStyle w:val="normaltextrun"/>
          <w:rFonts w:cs="Segoe UI"/>
          <w:i/>
          <w:iCs/>
          <w:color w:val="auto"/>
          <w:spacing w:val="-4"/>
          <w:szCs w:val="18"/>
        </w:rPr>
        <w:t xml:space="preserve">Water Res. </w:t>
      </w:r>
      <w:r w:rsidRPr="00E53E01">
        <w:rPr>
          <w:rStyle w:val="normaltextrun"/>
          <w:rFonts w:cs="Segoe UI"/>
          <w:b/>
          <w:bCs/>
          <w:color w:val="auto"/>
          <w:spacing w:val="-4"/>
          <w:szCs w:val="18"/>
        </w:rPr>
        <w:t>2023</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29</w:t>
      </w:r>
      <w:r w:rsidRPr="00E53E01">
        <w:rPr>
          <w:rStyle w:val="normaltextrun"/>
          <w:rFonts w:cs="Segoe UI"/>
          <w:bCs/>
          <w:color w:val="auto"/>
          <w:spacing w:val="-4"/>
          <w:szCs w:val="18"/>
        </w:rPr>
        <w:t>, 242</w:t>
      </w:r>
      <w:r w:rsidRPr="00E53E01">
        <w:rPr>
          <w:rStyle w:val="normaltextrun"/>
          <w:rFonts w:cs="Segoe UI"/>
          <w:i/>
          <w:iCs/>
          <w:color w:val="auto"/>
          <w:spacing w:val="-4"/>
          <w:szCs w:val="18"/>
        </w:rPr>
        <w:t>.</w:t>
      </w:r>
      <w:r w:rsidRPr="00E53E01">
        <w:rPr>
          <w:rStyle w:val="normaltextrun"/>
          <w:rFonts w:cs="Segoe UI"/>
          <w:color w:val="auto"/>
          <w:spacing w:val="-4"/>
          <w:szCs w:val="18"/>
        </w:rPr>
        <w:t xml:space="preserve"> https://doi.org/10.1111/gcb.16619.</w:t>
      </w:r>
    </w:p>
    <w:p w14:paraId="435B3F81"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Lee, D.Y.; Keller, D.; Crump, B.; Hood, R. Community metabolism and energy transfer in the Chesapeake Bay estuarine turbidity maximum. </w:t>
      </w:r>
      <w:r w:rsidRPr="00E53E01">
        <w:rPr>
          <w:rStyle w:val="normaltextrun"/>
          <w:rFonts w:cs="Segoe UI"/>
          <w:i/>
          <w:iCs/>
          <w:color w:val="auto"/>
          <w:spacing w:val="-4"/>
          <w:szCs w:val="18"/>
        </w:rPr>
        <w:t>Marine Ecol. Prog. Ser</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2012</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449</w:t>
      </w:r>
      <w:r w:rsidRPr="00E53E01">
        <w:rPr>
          <w:rStyle w:val="normaltextrun"/>
          <w:rFonts w:cs="Segoe UI"/>
          <w:bCs/>
          <w:color w:val="auto"/>
          <w:spacing w:val="-4"/>
          <w:szCs w:val="18"/>
        </w:rPr>
        <w:t>, 65–82</w:t>
      </w:r>
      <w:r w:rsidRPr="00E53E01">
        <w:rPr>
          <w:rStyle w:val="normaltextrun"/>
          <w:rFonts w:cs="Segoe UI"/>
          <w:i/>
          <w:iCs/>
          <w:color w:val="auto"/>
          <w:spacing w:val="-4"/>
          <w:szCs w:val="18"/>
        </w:rPr>
        <w:t>.</w:t>
      </w:r>
      <w:r w:rsidRPr="00E53E01">
        <w:rPr>
          <w:rStyle w:val="normaltextrun"/>
          <w:rFonts w:cs="Segoe UI"/>
          <w:color w:val="auto"/>
          <w:spacing w:val="-4"/>
          <w:szCs w:val="18"/>
        </w:rPr>
        <w:t xml:space="preserve"> https://doi.org/10.3354/meps09543.</w:t>
      </w:r>
    </w:p>
    <w:p w14:paraId="798B095E" w14:textId="2BCD347F" w:rsidR="006F6ECD" w:rsidRPr="00E53E01" w:rsidRDefault="00F53CC5" w:rsidP="00E53E01">
      <w:pPr>
        <w:pStyle w:val="MDPI81references"/>
        <w:numPr>
          <w:ilvl w:val="0"/>
          <w:numId w:val="35"/>
        </w:numPr>
        <w:rPr>
          <w:rStyle w:val="normaltextrun"/>
          <w:spacing w:val="-4"/>
        </w:rPr>
      </w:pPr>
      <w:r w:rsidRPr="00E53E01">
        <w:rPr>
          <w:rStyle w:val="normaltextrun"/>
          <w:rFonts w:cs="Segoe UI"/>
          <w:color w:val="auto"/>
          <w:spacing w:val="-4"/>
          <w:szCs w:val="18"/>
        </w:rPr>
        <w:lastRenderedPageBreak/>
        <w:t>Chesapeake Bay Program: Underwater Grasses in the Chesapeake Bay Continue Upward Climb. 2024. Available online: https://www.chesapeakebay.net/news/pressrelease/underwater-grasses-in-the-chesapeake-bay-continue-upward-climb (accessed on 30 January 2025).</w:t>
      </w:r>
      <w:bookmarkStart w:id="4" w:name="_Hlk198507365"/>
      <w:r w:rsidR="006F6ECD" w:rsidRPr="00E53E01">
        <w:rPr>
          <w:rStyle w:val="normaltextrun"/>
          <w:rFonts w:cs="Segoe UI"/>
          <w:color w:val="auto"/>
          <w:spacing w:val="-4"/>
          <w:szCs w:val="18"/>
        </w:rPr>
        <w:t xml:space="preserve">NASA Goddard Space Flight Center, Ocean Ecology Laboratory, Ocean Biology Processing Group; Moderate-resolution Imaging Spectroradiometer (MODIS) Aqua Level-2 Ocean Color (OC), Version 2022. Available online: </w:t>
      </w:r>
      <w:hyperlink r:id="rId16" w:history="1">
        <w:r w:rsidR="006F6ECD" w:rsidRPr="00E53E01">
          <w:rPr>
            <w:rStyle w:val="Hyperlink"/>
            <w:rFonts w:cs="Segoe UI"/>
            <w:spacing w:val="-4"/>
            <w:szCs w:val="18"/>
          </w:rPr>
          <w:t>https://doi.org/10.5067/AQUA/MODIS/L2/OC/2022</w:t>
        </w:r>
      </w:hyperlink>
      <w:r w:rsidR="006F6ECD" w:rsidRPr="00E53E01">
        <w:rPr>
          <w:rStyle w:val="normaltextrun"/>
          <w:rFonts w:cs="Segoe UI"/>
          <w:color w:val="auto"/>
          <w:spacing w:val="-4"/>
          <w:szCs w:val="18"/>
        </w:rPr>
        <w:t xml:space="preserve"> (accessed on 18 May 2025).</w:t>
      </w:r>
    </w:p>
    <w:p w14:paraId="47F43AC9" w14:textId="5D540E94" w:rsidR="006F6ECD" w:rsidRPr="00E53E01" w:rsidRDefault="006F6ECD" w:rsidP="006F6ECD">
      <w:pPr>
        <w:pStyle w:val="MDPI81references"/>
        <w:numPr>
          <w:ilvl w:val="0"/>
          <w:numId w:val="35"/>
        </w:numPr>
        <w:rPr>
          <w:rStyle w:val="normaltextrun"/>
          <w:spacing w:val="-4"/>
        </w:rPr>
      </w:pPr>
      <w:r w:rsidRPr="00E53E01">
        <w:rPr>
          <w:rStyle w:val="normaltextrun"/>
          <w:rFonts w:cs="Segoe UI"/>
          <w:color w:val="auto"/>
          <w:spacing w:val="-4"/>
          <w:szCs w:val="18"/>
        </w:rPr>
        <w:t xml:space="preserve">NASA Goddard Space Flight Center, Ocean Ecology Laboratory, Ocean Biology Processing Group; Visible and Infrared Imager/Radiometer Suite (VIIRS) Level-2 Regional Ocean Color (OC) Data, version 2022.0. Available online: </w:t>
      </w:r>
      <w:hyperlink r:id="rId17" w:history="1">
        <w:r w:rsidRPr="00E53E01">
          <w:rPr>
            <w:rStyle w:val="Hyperlink"/>
            <w:rFonts w:cs="Segoe UI"/>
            <w:spacing w:val="-4"/>
            <w:szCs w:val="18"/>
          </w:rPr>
          <w:t>https://</w:t>
        </w:r>
      </w:hyperlink>
      <w:r w:rsidRPr="00E53E01">
        <w:rPr>
          <w:rStyle w:val="normaltextrun"/>
          <w:rFonts w:cs="Segoe UI"/>
          <w:color w:val="auto"/>
          <w:spacing w:val="-4"/>
          <w:szCs w:val="18"/>
        </w:rPr>
        <w:t>doi.org/10.5067/SUOMI-NPP/VIIRS/L2/OC/2022.0 (accessed on 18 May 2025).</w:t>
      </w:r>
    </w:p>
    <w:p w14:paraId="4E379486" w14:textId="56AFD9F2" w:rsidR="0012473E" w:rsidRPr="00E53E01" w:rsidRDefault="0012473E" w:rsidP="0012473E">
      <w:pPr>
        <w:pStyle w:val="MDPI81references"/>
        <w:numPr>
          <w:ilvl w:val="0"/>
          <w:numId w:val="35"/>
        </w:numPr>
        <w:rPr>
          <w:spacing w:val="-4"/>
        </w:rPr>
      </w:pPr>
      <w:r w:rsidRPr="00E53E01">
        <w:rPr>
          <w:rStyle w:val="normaltextrun"/>
          <w:rFonts w:cs="Segoe UI"/>
          <w:color w:val="auto"/>
          <w:spacing w:val="-4"/>
          <w:szCs w:val="18"/>
        </w:rPr>
        <w:t>NASA Goddard Space Flight Center, Ocean Ecology Laboratory, Ocean Biology Processing Group; Ocean and Land Colour Imager (OLCI) Level-2 Earth Observation Full Resolution Ocean Color, Version 2022. Available online: https://doi.org/10.5067/SENTINEL-3A/OLCI/L2/EFR/OC/2022 (accessed on 18 May 2025).</w:t>
      </w:r>
    </w:p>
    <w:p w14:paraId="7BCE8F56" w14:textId="77777777" w:rsidR="00F53CC5" w:rsidRPr="00E53E01" w:rsidRDefault="00F53CC5" w:rsidP="00F53CC5">
      <w:pPr>
        <w:pStyle w:val="MDPI81references"/>
        <w:numPr>
          <w:ilvl w:val="0"/>
          <w:numId w:val="35"/>
        </w:numPr>
        <w:rPr>
          <w:rStyle w:val="normaltextrun"/>
          <w:spacing w:val="-4"/>
        </w:rPr>
      </w:pPr>
      <w:r w:rsidRPr="00E53E01">
        <w:rPr>
          <w:rStyle w:val="normaltextrun"/>
          <w:rFonts w:cs="Segoe UI"/>
          <w:color w:val="auto"/>
          <w:spacing w:val="-4"/>
          <w:szCs w:val="18"/>
        </w:rPr>
        <w:t>NASA Goddard Space Flight Center, Ocean Ecology Laboratory, Ocean Biology Processing Group Distributed Active Archive Center. Available online: https://oceancolor.gsfc.nasa.gov/data/overview/ (accessed on 2 April 2025).</w:t>
      </w:r>
    </w:p>
    <w:p w14:paraId="11C00D3E" w14:textId="5CDAED91" w:rsidR="003A4005" w:rsidRPr="00E53E01" w:rsidRDefault="003C2A5F" w:rsidP="003C2A5F">
      <w:pPr>
        <w:pStyle w:val="MDPI81references"/>
        <w:numPr>
          <w:ilvl w:val="0"/>
          <w:numId w:val="35"/>
        </w:numPr>
        <w:rPr>
          <w:spacing w:val="-4"/>
        </w:rPr>
      </w:pPr>
      <w:r w:rsidRPr="00E53E01">
        <w:rPr>
          <w:rStyle w:val="normaltextrun"/>
          <w:rFonts w:cs="Segoe UI"/>
          <w:color w:val="auto"/>
          <w:spacing w:val="-4"/>
          <w:szCs w:val="18"/>
        </w:rPr>
        <w:t xml:space="preserve">NASA Goddard Space Flight Center, Ocean Ecology Laboratory, Ocean Biology Processing Group; Ocean Color Instrument Level-2 Ocean Color Apparent Optical Properties (OC_AOP), Version 3.0. Available online: </w:t>
      </w:r>
      <w:hyperlink r:id="rId18" w:history="1">
        <w:r w:rsidR="00B344BC" w:rsidRPr="00E53E01">
          <w:rPr>
            <w:rStyle w:val="Hyperlink"/>
            <w:rFonts w:cs="Segoe UI"/>
            <w:spacing w:val="-4"/>
            <w:szCs w:val="18"/>
          </w:rPr>
          <w:t>https://doi.org/10.5067/PACE/OCI/L2/OC_AOP/3.0</w:t>
        </w:r>
      </w:hyperlink>
      <w:r w:rsidRPr="00E53E01">
        <w:rPr>
          <w:rStyle w:val="normaltextrun"/>
          <w:rFonts w:cs="Segoe UI"/>
          <w:color w:val="auto"/>
          <w:spacing w:val="-4"/>
          <w:szCs w:val="18"/>
        </w:rPr>
        <w:t xml:space="preserve"> (accessed on 18 May 2025).</w:t>
      </w:r>
    </w:p>
    <w:p w14:paraId="3E5DE2E2" w14:textId="2865AC41"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Ibrahim, A.; Franz, B.; Bailey, S.; Werdell, J.; Ahmad, Z.; Mobley, C. </w:t>
      </w:r>
      <w:r w:rsidRPr="00E53E01">
        <w:rPr>
          <w:rStyle w:val="normaltextrun"/>
          <w:rFonts w:cs="Segoe UI"/>
          <w:i/>
          <w:iCs/>
          <w:color w:val="auto"/>
          <w:spacing w:val="-4"/>
          <w:szCs w:val="18"/>
        </w:rPr>
        <w:t>NASA Earthdata Algorithm Publication Tool (APT)</w:t>
      </w:r>
      <w:r w:rsidRPr="00E53E01">
        <w:rPr>
          <w:rStyle w:val="normaltextrun"/>
          <w:rFonts w:cs="Segoe UI"/>
          <w:color w:val="auto"/>
          <w:spacing w:val="-4"/>
          <w:szCs w:val="18"/>
        </w:rPr>
        <w:t xml:space="preserve">, version 1.2; </w:t>
      </w:r>
      <w:r w:rsidRPr="00E53E01">
        <w:rPr>
          <w:rFonts w:cs="Segoe UI"/>
          <w:color w:val="auto"/>
          <w:spacing w:val="-4"/>
          <w:szCs w:val="18"/>
        </w:rPr>
        <w:t>Remote Sensing Reflectance</w:t>
      </w:r>
      <w:r w:rsidRPr="00E53E01">
        <w:rPr>
          <w:rStyle w:val="normaltextrun"/>
          <w:rFonts w:cs="Segoe UI"/>
          <w:color w:val="auto"/>
          <w:spacing w:val="-4"/>
          <w:szCs w:val="18"/>
        </w:rPr>
        <w:t>;</w:t>
      </w:r>
      <w:r w:rsidR="0041426C">
        <w:rPr>
          <w:rStyle w:val="normaltextrun"/>
          <w:rFonts w:cs="Segoe UI"/>
          <w:color w:val="auto"/>
          <w:spacing w:val="-4"/>
          <w:szCs w:val="18"/>
        </w:rPr>
        <w:t xml:space="preserve"> NASA: Washington, DC, USA,</w:t>
      </w:r>
      <w:r w:rsidRPr="00E53E01">
        <w:rPr>
          <w:rFonts w:cs="Segoe UI"/>
          <w:color w:val="auto"/>
          <w:spacing w:val="-4"/>
          <w:szCs w:val="18"/>
        </w:rPr>
        <w:t xml:space="preserve"> </w:t>
      </w:r>
      <w:r w:rsidRPr="00E53E01">
        <w:rPr>
          <w:rStyle w:val="normaltextrun"/>
          <w:rFonts w:cs="Segoe UI"/>
          <w:color w:val="auto"/>
          <w:spacing w:val="-4"/>
          <w:szCs w:val="18"/>
        </w:rPr>
        <w:t>2024. https://doi.org/10.5067/FQBB0C1K43OJ.</w:t>
      </w:r>
    </w:p>
    <w:p w14:paraId="32D5CFB2"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Bailey, S.W.; Werdell, P.J. A multi-sensor approach for the on-orbit validation of ocean color satellite data products. </w:t>
      </w:r>
      <w:r w:rsidRPr="00E53E01">
        <w:rPr>
          <w:rStyle w:val="normaltextrun"/>
          <w:rFonts w:cs="Segoe UI"/>
          <w:i/>
          <w:iCs/>
          <w:color w:val="auto"/>
          <w:spacing w:val="-4"/>
          <w:szCs w:val="18"/>
        </w:rPr>
        <w:t xml:space="preserve">Remote Sens. Environ. </w:t>
      </w:r>
      <w:r w:rsidRPr="00E53E01">
        <w:rPr>
          <w:rStyle w:val="normaltextrun"/>
          <w:rFonts w:cs="Segoe UI"/>
          <w:b/>
          <w:bCs/>
          <w:color w:val="auto"/>
          <w:spacing w:val="-4"/>
          <w:szCs w:val="18"/>
        </w:rPr>
        <w:t>2006</w:t>
      </w:r>
      <w:r w:rsidRPr="00E53E01">
        <w:rPr>
          <w:rStyle w:val="normaltextrun"/>
          <w:rFonts w:cs="Segoe UI"/>
          <w:color w:val="auto"/>
          <w:spacing w:val="-4"/>
          <w:szCs w:val="18"/>
        </w:rPr>
        <w:t>,</w:t>
      </w:r>
      <w:r w:rsidRPr="00E53E01">
        <w:rPr>
          <w:rStyle w:val="normaltextrun"/>
          <w:rFonts w:cs="Segoe UI"/>
          <w:i/>
          <w:iCs/>
          <w:color w:val="auto"/>
          <w:spacing w:val="-4"/>
          <w:szCs w:val="18"/>
        </w:rPr>
        <w:t xml:space="preserve"> 102</w:t>
      </w:r>
      <w:r w:rsidRPr="00E53E01">
        <w:rPr>
          <w:rStyle w:val="normaltextrun"/>
          <w:rFonts w:cs="Segoe UI"/>
          <w:color w:val="auto"/>
          <w:spacing w:val="-4"/>
          <w:szCs w:val="18"/>
        </w:rPr>
        <w:t>, 12–23. https://doi.org/10.1016/j.rse.2006.01.015.</w:t>
      </w:r>
    </w:p>
    <w:p w14:paraId="4F8DA01A"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Qin, P.; Simis, S.G.H.; Tilstone, G.H. Radiometric validation of atmospheric correction for MERIS in the Baltic Sea based on continuous observations from ships and AERONET-OC. </w:t>
      </w:r>
      <w:r w:rsidRPr="00E53E01">
        <w:rPr>
          <w:rStyle w:val="normaltextrun"/>
          <w:rFonts w:cs="Segoe UI"/>
          <w:i/>
          <w:iCs/>
          <w:color w:val="auto"/>
          <w:spacing w:val="-4"/>
          <w:szCs w:val="18"/>
        </w:rPr>
        <w:t xml:space="preserve">Remote Sens. Environ. </w:t>
      </w:r>
      <w:r w:rsidRPr="00E53E01">
        <w:rPr>
          <w:rStyle w:val="normaltextrun"/>
          <w:rFonts w:cs="Segoe UI"/>
          <w:b/>
          <w:bCs/>
          <w:color w:val="auto"/>
          <w:spacing w:val="-4"/>
          <w:szCs w:val="18"/>
        </w:rPr>
        <w:t>2017</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200</w:t>
      </w:r>
      <w:r w:rsidRPr="00E53E01">
        <w:rPr>
          <w:rStyle w:val="normaltextrun"/>
          <w:rFonts w:cs="Segoe UI"/>
          <w:bCs/>
          <w:color w:val="auto"/>
          <w:spacing w:val="-4"/>
          <w:szCs w:val="18"/>
        </w:rPr>
        <w:t>, 263–280</w:t>
      </w:r>
      <w:r w:rsidRPr="00E53E01">
        <w:rPr>
          <w:rStyle w:val="normaltextrun"/>
          <w:rFonts w:cs="Segoe UI"/>
          <w:i/>
          <w:iCs/>
          <w:color w:val="auto"/>
          <w:spacing w:val="-4"/>
          <w:szCs w:val="18"/>
        </w:rPr>
        <w:t>. https://doi.org/10.1016/j.rse.2017.08.024</w:t>
      </w:r>
      <w:r w:rsidRPr="00E53E01">
        <w:rPr>
          <w:rStyle w:val="normaltextrun"/>
          <w:rFonts w:cs="Segoe UI"/>
          <w:color w:val="auto"/>
          <w:spacing w:val="-4"/>
          <w:szCs w:val="18"/>
        </w:rPr>
        <w:t>.</w:t>
      </w:r>
    </w:p>
    <w:p w14:paraId="0743E761" w14:textId="0FFF6326"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Runkel, R.L.; Crawford, C.G.; Cohn, T.A. Load Estimator (LOADEST): A FORTRAN program for estimating constituent loads in streams and rivers. In </w:t>
      </w:r>
      <w:r w:rsidRPr="00E53E01">
        <w:rPr>
          <w:rStyle w:val="normaltextrun"/>
          <w:rFonts w:cs="Segoe UI"/>
          <w:i/>
          <w:iCs/>
          <w:color w:val="auto"/>
          <w:spacing w:val="-4"/>
          <w:szCs w:val="18"/>
        </w:rPr>
        <w:t>USGS Techniques and Methods Book 4</w:t>
      </w:r>
      <w:r w:rsidRPr="00E53E01">
        <w:rPr>
          <w:rStyle w:val="normaltextrun"/>
          <w:rFonts w:cs="Segoe UI"/>
          <w:color w:val="auto"/>
          <w:spacing w:val="-4"/>
          <w:szCs w:val="18"/>
        </w:rPr>
        <w:t>;</w:t>
      </w:r>
      <w:r w:rsidR="0041426C">
        <w:rPr>
          <w:rStyle w:val="normaltextrun"/>
          <w:rFonts w:cs="Segoe UI"/>
          <w:color w:val="auto"/>
          <w:spacing w:val="-4"/>
          <w:szCs w:val="18"/>
        </w:rPr>
        <w:t xml:space="preserve"> USGS (United States Geological Survey): Reston, VA, USA,</w:t>
      </w:r>
      <w:r w:rsidRPr="00E53E01">
        <w:rPr>
          <w:rStyle w:val="normaltextrun"/>
          <w:rFonts w:cs="Segoe UI"/>
          <w:color w:val="auto"/>
          <w:spacing w:val="-4"/>
          <w:szCs w:val="18"/>
        </w:rPr>
        <w:t xml:space="preserve"> 2004. https://doi.org/10.3133/tm4A5.</w:t>
      </w:r>
    </w:p>
    <w:p w14:paraId="53103739" w14:textId="77777777" w:rsidR="00F53CC5" w:rsidRPr="00E53E01" w:rsidRDefault="00F53CC5" w:rsidP="00F53CC5">
      <w:pPr>
        <w:pStyle w:val="MDPI81references"/>
        <w:numPr>
          <w:ilvl w:val="0"/>
          <w:numId w:val="35"/>
        </w:numPr>
        <w:rPr>
          <w:rStyle w:val="eop"/>
          <w:rFonts w:cs="Segoe UI"/>
          <w:color w:val="auto"/>
          <w:spacing w:val="-4"/>
          <w:szCs w:val="18"/>
        </w:rPr>
      </w:pPr>
      <w:r w:rsidRPr="00E53E01">
        <w:rPr>
          <w:rStyle w:val="normaltextrun"/>
          <w:rFonts w:cs="Segoe UI"/>
          <w:color w:val="auto"/>
          <w:spacing w:val="-4"/>
          <w:szCs w:val="18"/>
        </w:rPr>
        <w:t>Clark, J.B.; Schollaert Uz, S. Toward the future integration of land-to-ocean observing systems to characterize organic carbon fluxes from storms</w:t>
      </w:r>
      <w:r w:rsidRPr="00E53E01">
        <w:rPr>
          <w:rStyle w:val="normaltextrun"/>
          <w:rFonts w:cs="Segoe UI"/>
          <w:i/>
          <w:iCs/>
          <w:color w:val="auto"/>
          <w:spacing w:val="-4"/>
          <w:szCs w:val="18"/>
        </w:rPr>
        <w:t>. Estuar. Coast. Shelf Sci</w:t>
      </w:r>
      <w:r w:rsidRPr="00E53E01">
        <w:rPr>
          <w:rStyle w:val="normaltextrun"/>
          <w:rFonts w:cs="Segoe UI"/>
          <w:i/>
          <w:color w:val="auto"/>
          <w:spacing w:val="-4"/>
          <w:szCs w:val="18"/>
        </w:rPr>
        <w:t>.</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2024</w:t>
      </w:r>
      <w:r w:rsidRPr="00E53E01">
        <w:rPr>
          <w:rStyle w:val="normaltextrun"/>
          <w:rFonts w:cs="Segoe UI"/>
          <w:color w:val="auto"/>
          <w:spacing w:val="-4"/>
          <w:szCs w:val="18"/>
        </w:rPr>
        <w:t xml:space="preserve">, </w:t>
      </w:r>
      <w:r w:rsidRPr="00E53E01">
        <w:rPr>
          <w:rStyle w:val="normaltextrun"/>
          <w:rFonts w:cs="Segoe UI"/>
          <w:i/>
          <w:iCs/>
          <w:color w:val="auto"/>
          <w:spacing w:val="-4"/>
          <w:szCs w:val="18"/>
        </w:rPr>
        <w:t>302</w:t>
      </w:r>
      <w:r w:rsidRPr="00E53E01">
        <w:rPr>
          <w:rStyle w:val="normaltextrun"/>
          <w:rFonts w:cs="Segoe UI"/>
          <w:color w:val="auto"/>
          <w:spacing w:val="-4"/>
          <w:szCs w:val="18"/>
        </w:rPr>
        <w:t xml:space="preserve">, </w:t>
      </w:r>
      <w:r w:rsidRPr="00E53E01">
        <w:rPr>
          <w:rFonts w:cs="Segoe UI"/>
          <w:color w:val="auto"/>
          <w:spacing w:val="-4"/>
          <w:szCs w:val="18"/>
        </w:rPr>
        <w:t>108694.</w:t>
      </w:r>
      <w:r w:rsidRPr="00E53E01">
        <w:rPr>
          <w:rStyle w:val="normaltextrun"/>
          <w:rFonts w:cs="Segoe UI"/>
          <w:color w:val="auto"/>
          <w:spacing w:val="-4"/>
          <w:szCs w:val="18"/>
        </w:rPr>
        <w:t xml:space="preserve"> https://doi.org/10.1016/j.ecss.2024.108694.</w:t>
      </w:r>
    </w:p>
    <w:p w14:paraId="30236E62" w14:textId="77777777" w:rsidR="00F53CC5" w:rsidRPr="00E53E01" w:rsidRDefault="00F53CC5" w:rsidP="00F53CC5">
      <w:pPr>
        <w:pStyle w:val="MDPI81references"/>
        <w:numPr>
          <w:ilvl w:val="0"/>
          <w:numId w:val="35"/>
        </w:numPr>
        <w:rPr>
          <w:spacing w:val="-4"/>
        </w:rPr>
      </w:pPr>
      <w:r w:rsidRPr="00E53E01">
        <w:rPr>
          <w:spacing w:val="-4"/>
        </w:rPr>
        <w:t xml:space="preserve">van der Woerd, H.J.; Wernand, M.R. True Colour Classification of Natural Waters with Medium-Spectral Resolution Satellites: SeaWiFS, MODIS, MERIS and OLCI. </w:t>
      </w:r>
      <w:r w:rsidRPr="00E53E01">
        <w:rPr>
          <w:i/>
          <w:iCs/>
          <w:spacing w:val="-4"/>
        </w:rPr>
        <w:t>Sensors</w:t>
      </w:r>
      <w:r w:rsidRPr="00E53E01">
        <w:rPr>
          <w:spacing w:val="-4"/>
        </w:rPr>
        <w:t xml:space="preserve"> </w:t>
      </w:r>
      <w:r w:rsidRPr="00E53E01">
        <w:rPr>
          <w:b/>
          <w:bCs/>
          <w:spacing w:val="-4"/>
        </w:rPr>
        <w:t>2015</w:t>
      </w:r>
      <w:r w:rsidRPr="00E53E01">
        <w:rPr>
          <w:bCs/>
          <w:spacing w:val="-4"/>
        </w:rPr>
        <w:t xml:space="preserve">, </w:t>
      </w:r>
      <w:r w:rsidRPr="00E53E01">
        <w:rPr>
          <w:bCs/>
          <w:i/>
          <w:spacing w:val="-4"/>
        </w:rPr>
        <w:t>15</w:t>
      </w:r>
      <w:r w:rsidRPr="00E53E01">
        <w:rPr>
          <w:bCs/>
          <w:spacing w:val="-4"/>
        </w:rPr>
        <w:t>, 25663–25680</w:t>
      </w:r>
      <w:r w:rsidRPr="00E53E01">
        <w:rPr>
          <w:spacing w:val="-4"/>
        </w:rPr>
        <w:t xml:space="preserve">. </w:t>
      </w:r>
      <w:r w:rsidRPr="00E53E01">
        <w:rPr>
          <w:rFonts w:cs="Segoe UI"/>
          <w:spacing w:val="-4"/>
          <w:szCs w:val="18"/>
        </w:rPr>
        <w:t>https://doi.org/10.3390/s151025663</w:t>
      </w:r>
      <w:r w:rsidRPr="00E53E01">
        <w:rPr>
          <w:spacing w:val="-4"/>
        </w:rPr>
        <w:t>.</w:t>
      </w:r>
    </w:p>
    <w:p w14:paraId="5A4E75EC" w14:textId="77777777" w:rsidR="00F53CC5" w:rsidRPr="00E53E01" w:rsidRDefault="00F53CC5" w:rsidP="00F53CC5">
      <w:pPr>
        <w:pStyle w:val="MDPI81references"/>
        <w:numPr>
          <w:ilvl w:val="0"/>
          <w:numId w:val="35"/>
        </w:numPr>
        <w:rPr>
          <w:rStyle w:val="normaltextrun"/>
          <w:rFonts w:cs="Segoe UI"/>
          <w:color w:val="auto"/>
          <w:spacing w:val="-4"/>
          <w:szCs w:val="18"/>
        </w:rPr>
      </w:pPr>
      <w:r w:rsidRPr="00E53E01">
        <w:rPr>
          <w:spacing w:val="-4"/>
        </w:rPr>
        <w:t xml:space="preserve">IOCCG. </w:t>
      </w:r>
      <w:r w:rsidRPr="00E53E01">
        <w:rPr>
          <w:i/>
          <w:iCs/>
          <w:spacing w:val="-4"/>
        </w:rPr>
        <w:t>Remote Sensing of Inherent Optical Properties: Fundamentals, Tests of Algorithms, and Applications</w:t>
      </w:r>
      <w:r w:rsidRPr="00E53E01">
        <w:rPr>
          <w:spacing w:val="-4"/>
        </w:rPr>
        <w:t>; Lee, Z.-P., Ed.; Reports of the International Ocean-Colour Coordinating Group; IOCCG: Dartmouth, NS, Canada, 2006.</w:t>
      </w:r>
    </w:p>
    <w:p w14:paraId="0F0ED426"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Lyapustin, A.; Wang, Y.; Korkin, S.; Huang, D. MODIS Collection 6 MAIAC algorithm. </w:t>
      </w:r>
      <w:r w:rsidRPr="00E53E01">
        <w:rPr>
          <w:rStyle w:val="normaltextrun"/>
          <w:rFonts w:cs="Segoe UI"/>
          <w:i/>
          <w:iCs/>
          <w:color w:val="auto"/>
          <w:spacing w:val="-4"/>
          <w:szCs w:val="18"/>
        </w:rPr>
        <w:t xml:space="preserve">Atmos. Meas. Tech. </w:t>
      </w:r>
      <w:r w:rsidRPr="00E53E01">
        <w:rPr>
          <w:rStyle w:val="normaltextrun"/>
          <w:rFonts w:cs="Segoe UI"/>
          <w:b/>
          <w:bCs/>
          <w:color w:val="auto"/>
          <w:spacing w:val="-4"/>
          <w:szCs w:val="18"/>
        </w:rPr>
        <w:t>2018</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11</w:t>
      </w:r>
      <w:r w:rsidRPr="00E53E01">
        <w:rPr>
          <w:rStyle w:val="normaltextrun"/>
          <w:rFonts w:cs="Segoe UI"/>
          <w:bCs/>
          <w:color w:val="auto"/>
          <w:spacing w:val="-4"/>
          <w:szCs w:val="18"/>
        </w:rPr>
        <w:t>, 5741–5765</w:t>
      </w:r>
      <w:r w:rsidRPr="00E53E01">
        <w:rPr>
          <w:rStyle w:val="normaltextrun"/>
          <w:rFonts w:cs="Segoe UI"/>
          <w:i/>
          <w:iCs/>
          <w:color w:val="auto"/>
          <w:spacing w:val="-4"/>
          <w:szCs w:val="18"/>
        </w:rPr>
        <w:t xml:space="preserve">. </w:t>
      </w:r>
      <w:r w:rsidRPr="00E53E01">
        <w:rPr>
          <w:rStyle w:val="normaltextrun"/>
          <w:rFonts w:cs="Segoe UI"/>
          <w:color w:val="auto"/>
          <w:spacing w:val="-4"/>
          <w:szCs w:val="18"/>
        </w:rPr>
        <w:t>https://doi.org/10.5194/amt-11-5741-2018.</w:t>
      </w:r>
    </w:p>
    <w:p w14:paraId="46ED817B" w14:textId="77777777" w:rsidR="00F53CC5" w:rsidRPr="00E53E01" w:rsidRDefault="00F53CC5" w:rsidP="00F53CC5">
      <w:pPr>
        <w:pStyle w:val="MDPI81references"/>
        <w:numPr>
          <w:ilvl w:val="0"/>
          <w:numId w:val="35"/>
        </w:numPr>
        <w:rPr>
          <w:rStyle w:val="eop"/>
          <w:rFonts w:cs="Segoe UI"/>
          <w:color w:val="auto"/>
          <w:spacing w:val="-4"/>
          <w:szCs w:val="18"/>
        </w:rPr>
      </w:pPr>
      <w:r w:rsidRPr="00E53E01">
        <w:rPr>
          <w:rStyle w:val="normaltextrun"/>
          <w:rFonts w:cs="Segoe UI"/>
          <w:color w:val="auto"/>
          <w:spacing w:val="-4"/>
          <w:szCs w:val="18"/>
        </w:rPr>
        <w:t>AERONET’s Version 2.0 Quality Assurance Criteria. Available online: https://aeronet.gsfc.nasa.gov/new_web/PDF/AERONETcriteria_final1.pdf (accessed on 2 April 2025).</w:t>
      </w:r>
    </w:p>
    <w:p w14:paraId="208D370F" w14:textId="77777777" w:rsidR="00F53CC5" w:rsidRPr="00E53E01" w:rsidRDefault="00F53CC5" w:rsidP="00F53CC5">
      <w:pPr>
        <w:pStyle w:val="MDPI81references"/>
        <w:numPr>
          <w:ilvl w:val="0"/>
          <w:numId w:val="35"/>
        </w:numPr>
        <w:rPr>
          <w:spacing w:val="-4"/>
        </w:rPr>
      </w:pPr>
      <w:r w:rsidRPr="00E53E01">
        <w:rPr>
          <w:spacing w:val="-4"/>
        </w:rPr>
        <w:t xml:space="preserve">Wei, J.; Yu, X.; Lee, Z.; Wang, M.; Jiang, L. Improving low-quality satellite remote sensing reflectance at blue bands over coastal and inland waters. </w:t>
      </w:r>
      <w:r w:rsidRPr="00E53E01">
        <w:rPr>
          <w:i/>
          <w:iCs/>
          <w:spacing w:val="-4"/>
        </w:rPr>
        <w:t xml:space="preserve">Remote Sens. Environ. </w:t>
      </w:r>
      <w:r w:rsidRPr="00E53E01">
        <w:rPr>
          <w:b/>
          <w:bCs/>
          <w:spacing w:val="-4"/>
        </w:rPr>
        <w:t>2020</w:t>
      </w:r>
      <w:r w:rsidRPr="00E53E01">
        <w:rPr>
          <w:bCs/>
          <w:spacing w:val="-4"/>
        </w:rPr>
        <w:t xml:space="preserve">, </w:t>
      </w:r>
      <w:r w:rsidRPr="00E53E01">
        <w:rPr>
          <w:bCs/>
          <w:i/>
          <w:spacing w:val="-4"/>
        </w:rPr>
        <w:t>250</w:t>
      </w:r>
      <w:r w:rsidRPr="00E53E01">
        <w:rPr>
          <w:bCs/>
          <w:spacing w:val="-4"/>
        </w:rPr>
        <w:t>, 112029</w:t>
      </w:r>
      <w:r w:rsidRPr="00E53E01">
        <w:rPr>
          <w:spacing w:val="-4"/>
        </w:rPr>
        <w:t xml:space="preserve">. </w:t>
      </w:r>
      <w:r w:rsidRPr="00E53E01">
        <w:rPr>
          <w:rFonts w:cs="Segoe UI"/>
          <w:spacing w:val="-4"/>
          <w:szCs w:val="18"/>
        </w:rPr>
        <w:t>https://doi.org/10.1016/j.rse.2020.112029</w:t>
      </w:r>
      <w:r w:rsidRPr="00E53E01">
        <w:rPr>
          <w:spacing w:val="-4"/>
        </w:rPr>
        <w:t>.</w:t>
      </w:r>
    </w:p>
    <w:p w14:paraId="6485F916"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Werdell, P.J.; Franz, B.; Poulin, C.; Allen, J.; Cairns, B.; Caplan, S.; Cetinić, I.; Craig, S.; Gao, M.; Hasekamp, O.; et al. Life After Launch: A Snapshot of the First 6 Months of NASA’s Plankton, Aerosol, Cloud, Ocean Ecosystem (PACE) Mission. 2024. Available online: https://ntrs.nasa.gov/api/citations/20240011486/downloads/werdell_SPIE2024_final2.pdf (accessed 2 April 2025).</w:t>
      </w:r>
    </w:p>
    <w:p w14:paraId="02B1BB81"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Nash, J.E.; Sutcliffe, J.V. River flow forecasting through conceptual models part I—A discussion of principles. </w:t>
      </w:r>
      <w:r w:rsidRPr="00E53E01">
        <w:rPr>
          <w:rStyle w:val="normaltextrun"/>
          <w:rFonts w:cs="Segoe UI"/>
          <w:i/>
          <w:iCs/>
          <w:color w:val="auto"/>
          <w:spacing w:val="-4"/>
          <w:szCs w:val="18"/>
        </w:rPr>
        <w:t>J. Hydrol</w:t>
      </w:r>
      <w:r w:rsidRPr="00E53E01">
        <w:rPr>
          <w:rStyle w:val="normaltextrun"/>
          <w:rFonts w:cs="Segoe UI"/>
          <w:i/>
          <w:color w:val="auto"/>
          <w:spacing w:val="-4"/>
          <w:szCs w:val="18"/>
        </w:rPr>
        <w:t>.</w:t>
      </w:r>
      <w:r w:rsidRPr="00E53E01">
        <w:rPr>
          <w:rStyle w:val="normaltextrun"/>
          <w:rFonts w:cs="Segoe UI"/>
          <w:color w:val="auto"/>
          <w:spacing w:val="-4"/>
          <w:szCs w:val="18"/>
        </w:rPr>
        <w:t xml:space="preserve"> </w:t>
      </w:r>
      <w:r w:rsidRPr="00E53E01">
        <w:rPr>
          <w:rStyle w:val="normaltextrun"/>
          <w:rFonts w:cs="Segoe UI"/>
          <w:b/>
          <w:bCs/>
          <w:color w:val="auto"/>
          <w:spacing w:val="-4"/>
          <w:szCs w:val="18"/>
        </w:rPr>
        <w:t>1970</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10</w:t>
      </w:r>
      <w:r w:rsidRPr="00E53E01">
        <w:rPr>
          <w:rStyle w:val="normaltextrun"/>
          <w:rFonts w:cs="Segoe UI"/>
          <w:bCs/>
          <w:color w:val="auto"/>
          <w:spacing w:val="-4"/>
          <w:szCs w:val="18"/>
        </w:rPr>
        <w:t>, 282–290</w:t>
      </w:r>
      <w:r w:rsidRPr="00E53E01">
        <w:rPr>
          <w:rStyle w:val="normaltextrun"/>
          <w:rFonts w:cs="Segoe UI"/>
          <w:color w:val="auto"/>
          <w:spacing w:val="-4"/>
          <w:szCs w:val="18"/>
        </w:rPr>
        <w:t>. https://doi.org/10.1016/0022-1694(70)90255-6.</w:t>
      </w:r>
    </w:p>
    <w:p w14:paraId="7772F6A9"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Natural Resources Canada: Interactions with the Atmosphere. Available online: https://natural-resources.canada.ca/maps-tools-publications/satellite-elevation-air-photos/interactions-atmosphere (accessed on 3 March 2025).</w:t>
      </w:r>
    </w:p>
    <w:p w14:paraId="106DB772"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Lefevre, F.; Chalifour, A.; Yu, L.; Chodavarapu, V.; Juneau, P.; Izquierdo, R. Algal fluorescence sensor integrated into a microfluidic chip for water pollutant detection. </w:t>
      </w:r>
      <w:r w:rsidRPr="00E53E01">
        <w:rPr>
          <w:rStyle w:val="normaltextrun"/>
          <w:rFonts w:cs="Segoe UI"/>
          <w:i/>
          <w:iCs/>
          <w:color w:val="auto"/>
          <w:spacing w:val="-4"/>
          <w:szCs w:val="18"/>
        </w:rPr>
        <w:t xml:space="preserve">Lab Chip </w:t>
      </w:r>
      <w:r w:rsidRPr="00E53E01">
        <w:rPr>
          <w:rStyle w:val="normaltextrun"/>
          <w:rFonts w:cs="Segoe UI"/>
          <w:b/>
          <w:bCs/>
          <w:color w:val="auto"/>
          <w:spacing w:val="-4"/>
          <w:szCs w:val="18"/>
        </w:rPr>
        <w:t>2011</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12</w:t>
      </w:r>
      <w:r w:rsidRPr="00E53E01">
        <w:rPr>
          <w:rStyle w:val="normaltextrun"/>
          <w:rFonts w:cs="Segoe UI"/>
          <w:bCs/>
          <w:color w:val="auto"/>
          <w:spacing w:val="-4"/>
          <w:szCs w:val="18"/>
        </w:rPr>
        <w:t>, 787–793</w:t>
      </w:r>
      <w:r w:rsidRPr="00E53E01">
        <w:rPr>
          <w:rStyle w:val="normaltextrun"/>
          <w:rFonts w:cs="Segoe UI"/>
          <w:color w:val="auto"/>
          <w:spacing w:val="-4"/>
          <w:szCs w:val="18"/>
        </w:rPr>
        <w:t>. https://doi.org/10.1039/c2lc20998e.</w:t>
      </w:r>
    </w:p>
    <w:p w14:paraId="5C23592B"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Vos, W.; Donze, M.; Buiteveld, H. On the reflectance spectrum of algae in water: The nature of the peak at 700 nm and its shift with varying concentration. In </w:t>
      </w:r>
      <w:r w:rsidRPr="00E53E01">
        <w:rPr>
          <w:rStyle w:val="normaltextrun"/>
          <w:rFonts w:cs="Segoe UI"/>
          <w:i/>
          <w:iCs/>
          <w:color w:val="auto"/>
          <w:spacing w:val="-4"/>
          <w:szCs w:val="18"/>
        </w:rPr>
        <w:t>Communications on Sanitary Engineering Water Management</w:t>
      </w:r>
      <w:r w:rsidRPr="00E53E01">
        <w:rPr>
          <w:rStyle w:val="normaltextrun"/>
          <w:rFonts w:cs="Segoe UI"/>
          <w:color w:val="auto"/>
          <w:spacing w:val="-4"/>
          <w:szCs w:val="18"/>
        </w:rPr>
        <w:t>; Delft University of Technology: Delft, The Netherlands,</w:t>
      </w:r>
      <w:r w:rsidRPr="00E53E01">
        <w:rPr>
          <w:rStyle w:val="normaltextrun"/>
          <w:rFonts w:cs="Segoe UI"/>
          <w:i/>
          <w:iCs/>
          <w:color w:val="auto"/>
          <w:spacing w:val="-4"/>
          <w:szCs w:val="18"/>
        </w:rPr>
        <w:t xml:space="preserve"> </w:t>
      </w:r>
      <w:r w:rsidRPr="00E53E01">
        <w:rPr>
          <w:rStyle w:val="normaltextrun"/>
          <w:rFonts w:cs="Segoe UI"/>
          <w:color w:val="auto"/>
          <w:spacing w:val="-4"/>
          <w:szCs w:val="18"/>
        </w:rPr>
        <w:t>1986; pp.</w:t>
      </w:r>
      <w:r w:rsidRPr="00E53E01">
        <w:rPr>
          <w:rStyle w:val="normaltextrun"/>
          <w:rFonts w:cs="Segoe UI"/>
          <w:i/>
          <w:iCs/>
          <w:color w:val="auto"/>
          <w:spacing w:val="-4"/>
          <w:szCs w:val="18"/>
        </w:rPr>
        <w:t xml:space="preserve"> </w:t>
      </w:r>
      <w:r w:rsidRPr="00E53E01">
        <w:rPr>
          <w:rStyle w:val="normaltextrun"/>
          <w:rFonts w:cs="Segoe UI"/>
          <w:color w:val="auto"/>
          <w:spacing w:val="-4"/>
          <w:szCs w:val="18"/>
        </w:rPr>
        <w:t>86–122.</w:t>
      </w:r>
    </w:p>
    <w:p w14:paraId="5320AEC5"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t xml:space="preserve">Dorji, P.; Fearns, P.; Broomhall, M. A Semi-Analytic Model for Estimating Total Suspended Sediment Concentration in Turbid Coastal Waters of Northern Western Australia Using MODIS-Aqua 250 m Data. </w:t>
      </w:r>
      <w:r w:rsidRPr="00E53E01">
        <w:rPr>
          <w:rStyle w:val="normaltextrun"/>
          <w:rFonts w:cs="Segoe UI"/>
          <w:i/>
          <w:iCs/>
          <w:color w:val="auto"/>
          <w:spacing w:val="-4"/>
          <w:szCs w:val="18"/>
        </w:rPr>
        <w:t xml:space="preserve">Remote Sens. </w:t>
      </w:r>
      <w:r w:rsidRPr="00E53E01">
        <w:rPr>
          <w:rStyle w:val="normaltextrun"/>
          <w:rFonts w:cs="Segoe UI"/>
          <w:b/>
          <w:bCs/>
          <w:color w:val="auto"/>
          <w:spacing w:val="-4"/>
          <w:szCs w:val="18"/>
        </w:rPr>
        <w:t>2016</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8</w:t>
      </w:r>
      <w:r w:rsidRPr="00E53E01">
        <w:rPr>
          <w:rStyle w:val="normaltextrun"/>
          <w:rFonts w:cs="Segoe UI"/>
          <w:bCs/>
          <w:color w:val="auto"/>
          <w:spacing w:val="-4"/>
          <w:szCs w:val="18"/>
        </w:rPr>
        <w:t>, 556</w:t>
      </w:r>
      <w:r w:rsidRPr="00E53E01">
        <w:rPr>
          <w:rStyle w:val="normaltextrun"/>
          <w:rFonts w:cs="Segoe UI"/>
          <w:i/>
          <w:iCs/>
          <w:color w:val="auto"/>
          <w:spacing w:val="-4"/>
          <w:szCs w:val="18"/>
        </w:rPr>
        <w:t xml:space="preserve">. </w:t>
      </w:r>
      <w:r w:rsidRPr="00E53E01">
        <w:rPr>
          <w:rStyle w:val="normaltextrun"/>
          <w:rFonts w:cs="Segoe UI"/>
          <w:color w:val="auto"/>
          <w:spacing w:val="-4"/>
          <w:szCs w:val="18"/>
        </w:rPr>
        <w:t>https://doi.org/10.3390/rs8070556.</w:t>
      </w:r>
    </w:p>
    <w:p w14:paraId="27DDA7D7" w14:textId="77777777" w:rsidR="00F53CC5" w:rsidRPr="00E53E01" w:rsidRDefault="00F53CC5" w:rsidP="00F53CC5">
      <w:pPr>
        <w:pStyle w:val="MDPI81references"/>
        <w:numPr>
          <w:ilvl w:val="0"/>
          <w:numId w:val="35"/>
        </w:numPr>
        <w:rPr>
          <w:spacing w:val="-4"/>
        </w:rPr>
      </w:pPr>
      <w:r w:rsidRPr="00E53E01">
        <w:rPr>
          <w:rStyle w:val="normaltextrun"/>
          <w:rFonts w:cs="Segoe UI"/>
          <w:color w:val="auto"/>
          <w:spacing w:val="-4"/>
          <w:szCs w:val="18"/>
        </w:rPr>
        <w:lastRenderedPageBreak/>
        <w:t xml:space="preserve">Gurbisz, C.; Kemp, W.M.; Sanford, L.P.; Orth, R.J. Mechanisms of storm-related loss and resilience in a large submersed plant bed. </w:t>
      </w:r>
      <w:r w:rsidRPr="00E53E01">
        <w:rPr>
          <w:rStyle w:val="normaltextrun"/>
          <w:rFonts w:cs="Segoe UI"/>
          <w:i/>
          <w:iCs/>
          <w:color w:val="auto"/>
          <w:spacing w:val="-4"/>
          <w:szCs w:val="18"/>
        </w:rPr>
        <w:t xml:space="preserve">Estuar. Coast. </w:t>
      </w:r>
      <w:r w:rsidRPr="00E53E01">
        <w:rPr>
          <w:rStyle w:val="normaltextrun"/>
          <w:rFonts w:cs="Segoe UI"/>
          <w:b/>
          <w:bCs/>
          <w:color w:val="auto"/>
          <w:spacing w:val="-4"/>
          <w:szCs w:val="18"/>
        </w:rPr>
        <w:t>2016</w:t>
      </w:r>
      <w:r w:rsidRPr="00E53E01">
        <w:rPr>
          <w:rStyle w:val="normaltextrun"/>
          <w:rFonts w:cs="Segoe UI"/>
          <w:bCs/>
          <w:color w:val="auto"/>
          <w:spacing w:val="-4"/>
          <w:szCs w:val="18"/>
        </w:rPr>
        <w:t xml:space="preserve">, </w:t>
      </w:r>
      <w:r w:rsidRPr="00E53E01">
        <w:rPr>
          <w:rStyle w:val="normaltextrun"/>
          <w:rFonts w:cs="Segoe UI"/>
          <w:bCs/>
          <w:i/>
          <w:color w:val="auto"/>
          <w:spacing w:val="-4"/>
          <w:szCs w:val="18"/>
        </w:rPr>
        <w:t>39</w:t>
      </w:r>
      <w:r w:rsidRPr="00E53E01">
        <w:rPr>
          <w:rStyle w:val="normaltextrun"/>
          <w:rFonts w:cs="Segoe UI"/>
          <w:bCs/>
          <w:color w:val="auto"/>
          <w:spacing w:val="-4"/>
          <w:szCs w:val="18"/>
        </w:rPr>
        <w:t>, 951–966</w:t>
      </w:r>
      <w:r w:rsidRPr="00E53E01">
        <w:rPr>
          <w:rStyle w:val="normaltextrun"/>
          <w:rFonts w:cs="Segoe UI"/>
          <w:color w:val="auto"/>
          <w:spacing w:val="-4"/>
          <w:szCs w:val="18"/>
        </w:rPr>
        <w:t>. https://doi.org/10.1007/s12237-016-0074-4.</w:t>
      </w:r>
    </w:p>
    <w:p w14:paraId="7D7CA8A3" w14:textId="77777777" w:rsidR="00F53CC5" w:rsidRPr="00E53E01" w:rsidRDefault="00F53CC5" w:rsidP="00F53CC5">
      <w:pPr>
        <w:pStyle w:val="MDPI81references"/>
        <w:numPr>
          <w:ilvl w:val="0"/>
          <w:numId w:val="35"/>
        </w:numPr>
        <w:rPr>
          <w:rStyle w:val="normaltextrun"/>
          <w:rFonts w:cs="Segoe UI"/>
          <w:color w:val="auto"/>
          <w:spacing w:val="-4"/>
          <w:szCs w:val="18"/>
        </w:rPr>
      </w:pPr>
      <w:r w:rsidRPr="00E53E01">
        <w:rPr>
          <w:rStyle w:val="normaltextrun"/>
          <w:rFonts w:cs="Segoe UI"/>
          <w:color w:val="auto"/>
          <w:spacing w:val="-4"/>
          <w:szCs w:val="18"/>
        </w:rPr>
        <w:t xml:space="preserve">Schollaert Uz, S.; Amez, T.J.; Clark, J.B.; Smith, S.L. DEEP-VIEW Integration of Coastal Observations and Models to Inform Water Quality Resource Managers and Decisions. In Proceedings of the IGARSS 2024—2024 IEEE International Geoscience and Remote Sensing Symposium, </w:t>
      </w:r>
      <w:r w:rsidRPr="00E53E01">
        <w:rPr>
          <w:rFonts w:cs="Segoe UI"/>
          <w:color w:val="auto"/>
          <w:spacing w:val="-4"/>
          <w:szCs w:val="18"/>
        </w:rPr>
        <w:t>Athens, Greece, 7–12 July</w:t>
      </w:r>
      <w:r w:rsidRPr="00E53E01">
        <w:rPr>
          <w:rStyle w:val="normaltextrun"/>
          <w:rFonts w:cs="Segoe UI"/>
          <w:color w:val="auto"/>
          <w:spacing w:val="-4"/>
          <w:szCs w:val="18"/>
        </w:rPr>
        <w:t xml:space="preserve"> 2024. https://doi.org/10.1109/IGARSS53475.2024.10642274.</w:t>
      </w:r>
    </w:p>
    <w:bookmarkEnd w:id="0"/>
    <w:bookmarkEnd w:id="4"/>
    <w:p w14:paraId="4CBC6D2A" w14:textId="40CC23CB" w:rsidR="007F761C" w:rsidRPr="00A15744" w:rsidRDefault="007F761C" w:rsidP="006A4550">
      <w:pPr>
        <w:adjustRightInd w:val="0"/>
        <w:snapToGrid w:val="0"/>
        <w:rPr>
          <w:noProof w:val="0"/>
        </w:rPr>
      </w:pPr>
    </w:p>
    <w:sectPr w:rsidR="007F761C" w:rsidRPr="00A15744" w:rsidSect="00D97977">
      <w:headerReference w:type="even" r:id="rId19"/>
      <w:headerReference w:type="default" r:id="rId20"/>
      <w:footerReference w:type="even" r:id="rId21"/>
      <w:footerReference w:type="default" r:id="rId22"/>
      <w:headerReference w:type="first" r:id="rId23"/>
      <w:footerReference w:type="first" r:id="rId24"/>
      <w:type w:val="continuous"/>
      <w:pgSz w:w="11906" w:h="16838" w:code="9"/>
      <w:pgMar w:top="1417" w:right="720" w:bottom="907" w:left="720" w:header="720" w:footer="612" w:gutter="0"/>
      <w:pgNumType w:start="1"/>
      <w:cols w:space="425"/>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6A54FC" w14:textId="77777777" w:rsidR="00CB458D" w:rsidRDefault="00CB458D">
      <w:pPr>
        <w:spacing w:line="240" w:lineRule="auto"/>
      </w:pPr>
      <w:r>
        <w:separator/>
      </w:r>
    </w:p>
  </w:endnote>
  <w:endnote w:type="continuationSeparator" w:id="0">
    <w:p w14:paraId="62243AEF" w14:textId="77777777" w:rsidR="00CB458D" w:rsidRDefault="00CB458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altName w:val="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rdia New">
    <w:panose1 w:val="020B0304020202020204"/>
    <w:charset w:val="DE"/>
    <w:family w:val="swiss"/>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53472399"/>
      <w:docPartObj>
        <w:docPartGallery w:val="Page Numbers (Bottom of Page)"/>
        <w:docPartUnique/>
      </w:docPartObj>
    </w:sdtPr>
    <w:sdtContent>
      <w:p w14:paraId="665EC866" w14:textId="36D39ED8" w:rsidR="006461AC" w:rsidRDefault="006461AC" w:rsidP="00AE0E2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34100A10" w14:textId="77777777" w:rsidR="006461AC" w:rsidRDefault="006461AC" w:rsidP="006461A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1318905"/>
      <w:docPartObj>
        <w:docPartGallery w:val="Page Numbers (Bottom of Page)"/>
        <w:docPartUnique/>
      </w:docPartObj>
    </w:sdtPr>
    <w:sdtContent>
      <w:p w14:paraId="48CD6D4A" w14:textId="3C1BB827" w:rsidR="006461AC" w:rsidRDefault="006461AC" w:rsidP="00AE0E2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31338C1D" w14:textId="77777777" w:rsidR="00AF4EF0" w:rsidRPr="009409DB" w:rsidRDefault="00AF4EF0" w:rsidP="006461AC">
    <w:pPr>
      <w:pStyle w:val="Footer"/>
      <w:spacing w:line="240" w:lineRule="auto"/>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A1A20" w14:textId="629E1BF4" w:rsidR="00AF4EF0" w:rsidRPr="00272F9B" w:rsidRDefault="00AF4EF0" w:rsidP="00C17A75">
    <w:pPr>
      <w:tabs>
        <w:tab w:val="right" w:pos="10466"/>
      </w:tabs>
      <w:spacing w:line="240" w:lineRule="auto"/>
      <w:rPr>
        <w:sz w:val="16"/>
        <w:szCs w:val="16"/>
        <w:lang w:val="fr-CH"/>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690B44" w14:textId="77777777" w:rsidR="00CB458D" w:rsidRDefault="00CB458D">
      <w:pPr>
        <w:spacing w:line="240" w:lineRule="auto"/>
      </w:pPr>
      <w:r>
        <w:separator/>
      </w:r>
    </w:p>
  </w:footnote>
  <w:footnote w:type="continuationSeparator" w:id="0">
    <w:p w14:paraId="778E7D75" w14:textId="77777777" w:rsidR="00CB458D" w:rsidRDefault="00CB458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54354973"/>
      <w:docPartObj>
        <w:docPartGallery w:val="Page Numbers (Top of Page)"/>
        <w:docPartUnique/>
      </w:docPartObj>
    </w:sdtPr>
    <w:sdtContent>
      <w:p w14:paraId="2F02345C" w14:textId="3A1289AC" w:rsidR="00D97977" w:rsidRDefault="00D97977" w:rsidP="00AE0E2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063B724E" w14:textId="77777777" w:rsidR="00AF4EF0" w:rsidRDefault="00AF4EF0" w:rsidP="00D97977">
    <w:pPr>
      <w:pStyle w:val="Header"/>
      <w:pBdr>
        <w:bottom w:val="none" w:sz="0" w:space="0" w:color="auto"/>
      </w:pBd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FFF04" w14:textId="77777777" w:rsidR="00AF4EF0" w:rsidRPr="002A1F0E" w:rsidRDefault="00AF4EF0" w:rsidP="000A1E3D">
    <w:pPr>
      <w:pBdr>
        <w:bottom w:val="single" w:sz="4" w:space="0" w:color="000000"/>
      </w:pBdr>
      <w:adjustRightInd w:val="0"/>
      <w:snapToGrid w:val="0"/>
      <w:spacing w:before="120"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A36F1"/>
    <w:multiLevelType w:val="hybridMultilevel"/>
    <w:tmpl w:val="1FD6DADA"/>
    <w:lvl w:ilvl="0" w:tplc="FF30643E">
      <w:start w:val="1"/>
      <w:numFmt w:val="decimal"/>
      <w:lvlRestart w:val="0"/>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5F6105"/>
    <w:multiLevelType w:val="hybridMultilevel"/>
    <w:tmpl w:val="8E9EA7B4"/>
    <w:lvl w:ilvl="0" w:tplc="E1CA7EEE">
      <w:start w:val="1"/>
      <w:numFmt w:val="decimal"/>
      <w:lvlRestart w:val="0"/>
      <w:pStyle w:val="MDPI71footnotes"/>
      <w:lvlText w:val="%1."/>
      <w:lvlJc w:val="left"/>
      <w:pPr>
        <w:ind w:left="425" w:hanging="425"/>
      </w:pPr>
      <w:rPr>
        <w:rFonts w:hint="default"/>
        <w:b w:val="0"/>
        <w:i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D6BA3E5C"/>
    <w:lvl w:ilvl="0" w:tplc="E6AE3650">
      <w:start w:val="1"/>
      <w:numFmt w:val="decimal"/>
      <w:lvlRestart w:val="0"/>
      <w:pStyle w:val="MDPI81references"/>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522572"/>
    <w:multiLevelType w:val="hybridMultilevel"/>
    <w:tmpl w:val="6B88D54C"/>
    <w:lvl w:ilvl="0" w:tplc="0409000F">
      <w:start w:val="1"/>
      <w:numFmt w:val="decimal"/>
      <w:lvlText w:val="%1."/>
      <w:lvlJc w:val="left"/>
      <w:pPr>
        <w:ind w:left="425" w:hanging="425"/>
      </w:pPr>
      <w:rPr>
        <w:b w:val="0"/>
        <w:i w:val="0"/>
        <w:sz w:val="18"/>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E0C6F5D"/>
    <w:multiLevelType w:val="hybridMultilevel"/>
    <w:tmpl w:val="F9C0E8BE"/>
    <w:lvl w:ilvl="0" w:tplc="4958342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5" w15:restartNumberingAfterBreak="0">
    <w:nsid w:val="1F38526D"/>
    <w:multiLevelType w:val="hybridMultilevel"/>
    <w:tmpl w:val="7BC6EDCE"/>
    <w:lvl w:ilvl="0" w:tplc="1D76BE00">
      <w:start w:val="1"/>
      <w:numFmt w:val="lowerLetter"/>
      <w:lvlText w:val="(%1)"/>
      <w:lvlJc w:val="left"/>
      <w:pPr>
        <w:ind w:left="6114" w:hanging="504"/>
      </w:pPr>
      <w:rPr>
        <w:rFonts w:hint="default"/>
      </w:rPr>
    </w:lvl>
    <w:lvl w:ilvl="1" w:tplc="04090019" w:tentative="1">
      <w:start w:val="1"/>
      <w:numFmt w:val="lowerLetter"/>
      <w:lvlText w:val="%2."/>
      <w:lvlJc w:val="left"/>
      <w:pPr>
        <w:ind w:left="6690" w:hanging="360"/>
      </w:pPr>
    </w:lvl>
    <w:lvl w:ilvl="2" w:tplc="0409001B" w:tentative="1">
      <w:start w:val="1"/>
      <w:numFmt w:val="lowerRoman"/>
      <w:lvlText w:val="%3."/>
      <w:lvlJc w:val="right"/>
      <w:pPr>
        <w:ind w:left="7410" w:hanging="180"/>
      </w:pPr>
    </w:lvl>
    <w:lvl w:ilvl="3" w:tplc="0409000F" w:tentative="1">
      <w:start w:val="1"/>
      <w:numFmt w:val="decimal"/>
      <w:lvlText w:val="%4."/>
      <w:lvlJc w:val="left"/>
      <w:pPr>
        <w:ind w:left="8130" w:hanging="360"/>
      </w:pPr>
    </w:lvl>
    <w:lvl w:ilvl="4" w:tplc="04090019" w:tentative="1">
      <w:start w:val="1"/>
      <w:numFmt w:val="lowerLetter"/>
      <w:lvlText w:val="%5."/>
      <w:lvlJc w:val="left"/>
      <w:pPr>
        <w:ind w:left="8850" w:hanging="360"/>
      </w:pPr>
    </w:lvl>
    <w:lvl w:ilvl="5" w:tplc="0409001B" w:tentative="1">
      <w:start w:val="1"/>
      <w:numFmt w:val="lowerRoman"/>
      <w:lvlText w:val="%6."/>
      <w:lvlJc w:val="right"/>
      <w:pPr>
        <w:ind w:left="9570" w:hanging="180"/>
      </w:pPr>
    </w:lvl>
    <w:lvl w:ilvl="6" w:tplc="0409000F" w:tentative="1">
      <w:start w:val="1"/>
      <w:numFmt w:val="decimal"/>
      <w:lvlText w:val="%7."/>
      <w:lvlJc w:val="left"/>
      <w:pPr>
        <w:ind w:left="10290" w:hanging="360"/>
      </w:pPr>
    </w:lvl>
    <w:lvl w:ilvl="7" w:tplc="04090019" w:tentative="1">
      <w:start w:val="1"/>
      <w:numFmt w:val="lowerLetter"/>
      <w:lvlText w:val="%8."/>
      <w:lvlJc w:val="left"/>
      <w:pPr>
        <w:ind w:left="11010" w:hanging="360"/>
      </w:pPr>
    </w:lvl>
    <w:lvl w:ilvl="8" w:tplc="0409001B" w:tentative="1">
      <w:start w:val="1"/>
      <w:numFmt w:val="lowerRoman"/>
      <w:lvlText w:val="%9."/>
      <w:lvlJc w:val="right"/>
      <w:pPr>
        <w:ind w:left="11730" w:hanging="180"/>
      </w:pPr>
    </w:lvl>
  </w:abstractNum>
  <w:abstractNum w:abstractNumId="6"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8"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0" w15:restartNumberingAfterBreak="0">
    <w:nsid w:val="378C3EEA"/>
    <w:multiLevelType w:val="hybridMultilevel"/>
    <w:tmpl w:val="205E0EF0"/>
    <w:lvl w:ilvl="0" w:tplc="4A1EE61A">
      <w:start w:val="1"/>
      <w:numFmt w:val="decimal"/>
      <w:lvlRestart w:val="0"/>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92B54D3"/>
    <w:multiLevelType w:val="hybridMultilevel"/>
    <w:tmpl w:val="F10C18C6"/>
    <w:lvl w:ilvl="0" w:tplc="A9722A02">
      <w:start w:val="1"/>
      <w:numFmt w:val="decimal"/>
      <w:lvlRestart w:val="0"/>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2" w15:restartNumberingAfterBreak="0">
    <w:nsid w:val="49BE44D9"/>
    <w:multiLevelType w:val="hybridMultilevel"/>
    <w:tmpl w:val="393C2C68"/>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075B53"/>
    <w:multiLevelType w:val="hybridMultilevel"/>
    <w:tmpl w:val="58BA58B2"/>
    <w:lvl w:ilvl="0" w:tplc="D31A2D72">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5"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5A168D9"/>
    <w:multiLevelType w:val="hybridMultilevel"/>
    <w:tmpl w:val="0F54505C"/>
    <w:lvl w:ilvl="0" w:tplc="8CDA2064">
      <w:start w:val="3"/>
      <w:numFmt w:val="bullet"/>
      <w:lvlText w:val="-"/>
      <w:lvlJc w:val="left"/>
      <w:pPr>
        <w:ind w:left="720" w:hanging="360"/>
      </w:pPr>
      <w:rPr>
        <w:rFonts w:ascii="Palatino Linotype" w:eastAsia="Times New Roman" w:hAnsi="Palatino Linotyp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48275525">
    <w:abstractNumId w:val="7"/>
  </w:num>
  <w:num w:numId="2" w16cid:durableId="1670595124">
    <w:abstractNumId w:val="9"/>
  </w:num>
  <w:num w:numId="3" w16cid:durableId="1535190659">
    <w:abstractNumId w:val="6"/>
  </w:num>
  <w:num w:numId="4" w16cid:durableId="33017838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855267436">
    <w:abstractNumId w:val="8"/>
  </w:num>
  <w:num w:numId="6" w16cid:durableId="797379449">
    <w:abstractNumId w:val="14"/>
  </w:num>
  <w:num w:numId="7" w16cid:durableId="1192261641">
    <w:abstractNumId w:val="4"/>
  </w:num>
  <w:num w:numId="8" w16cid:durableId="529226562">
    <w:abstractNumId w:val="14"/>
  </w:num>
  <w:num w:numId="9" w16cid:durableId="1247812294">
    <w:abstractNumId w:val="4"/>
  </w:num>
  <w:num w:numId="10" w16cid:durableId="2073460730">
    <w:abstractNumId w:val="14"/>
  </w:num>
  <w:num w:numId="11" w16cid:durableId="240024021">
    <w:abstractNumId w:val="4"/>
  </w:num>
  <w:num w:numId="12" w16cid:durableId="1588151504">
    <w:abstractNumId w:val="15"/>
  </w:num>
  <w:num w:numId="13" w16cid:durableId="838353796">
    <w:abstractNumId w:val="14"/>
  </w:num>
  <w:num w:numId="14" w16cid:durableId="213928227">
    <w:abstractNumId w:val="4"/>
  </w:num>
  <w:num w:numId="15" w16cid:durableId="1350713169">
    <w:abstractNumId w:val="2"/>
  </w:num>
  <w:num w:numId="16" w16cid:durableId="895236768">
    <w:abstractNumId w:val="13"/>
  </w:num>
  <w:num w:numId="17" w16cid:durableId="2005695180">
    <w:abstractNumId w:val="0"/>
  </w:num>
  <w:num w:numId="18" w16cid:durableId="650213150">
    <w:abstractNumId w:val="14"/>
  </w:num>
  <w:num w:numId="19" w16cid:durableId="822501434">
    <w:abstractNumId w:val="4"/>
  </w:num>
  <w:num w:numId="20" w16cid:durableId="1822036292">
    <w:abstractNumId w:val="2"/>
  </w:num>
  <w:num w:numId="21" w16cid:durableId="1033194166">
    <w:abstractNumId w:val="0"/>
  </w:num>
  <w:num w:numId="22" w16cid:durableId="108014982">
    <w:abstractNumId w:val="11"/>
  </w:num>
  <w:num w:numId="23" w16cid:durableId="1310816887">
    <w:abstractNumId w:val="10"/>
  </w:num>
  <w:num w:numId="24" w16cid:durableId="575212292">
    <w:abstractNumId w:val="5"/>
  </w:num>
  <w:num w:numId="25" w16cid:durableId="691879795">
    <w:abstractNumId w:val="16"/>
  </w:num>
  <w:num w:numId="26" w16cid:durableId="702750432">
    <w:abstractNumId w:val="12"/>
  </w:num>
  <w:num w:numId="27" w16cid:durableId="719135974">
    <w:abstractNumId w:val="14"/>
  </w:num>
  <w:num w:numId="28" w16cid:durableId="838157054">
    <w:abstractNumId w:val="4"/>
  </w:num>
  <w:num w:numId="29" w16cid:durableId="443695201">
    <w:abstractNumId w:val="1"/>
  </w:num>
  <w:num w:numId="30" w16cid:durableId="349380640">
    <w:abstractNumId w:val="2"/>
  </w:num>
  <w:num w:numId="31" w16cid:durableId="916211743">
    <w:abstractNumId w:val="14"/>
  </w:num>
  <w:num w:numId="32" w16cid:durableId="260649916">
    <w:abstractNumId w:val="4"/>
  </w:num>
  <w:num w:numId="33" w16cid:durableId="169150212">
    <w:abstractNumId w:val="1"/>
  </w:num>
  <w:num w:numId="34" w16cid:durableId="267549584">
    <w:abstractNumId w:val="2"/>
  </w:num>
  <w:num w:numId="35" w16cid:durableId="136120665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6A80"/>
    <w:rsid w:val="0000116C"/>
    <w:rsid w:val="000012AC"/>
    <w:rsid w:val="00011790"/>
    <w:rsid w:val="00011DEF"/>
    <w:rsid w:val="000145F4"/>
    <w:rsid w:val="0001568A"/>
    <w:rsid w:val="00030723"/>
    <w:rsid w:val="00046F7B"/>
    <w:rsid w:val="00054553"/>
    <w:rsid w:val="000576D6"/>
    <w:rsid w:val="00057C6C"/>
    <w:rsid w:val="000748CA"/>
    <w:rsid w:val="00082B6F"/>
    <w:rsid w:val="00091C0A"/>
    <w:rsid w:val="000920CF"/>
    <w:rsid w:val="0009228B"/>
    <w:rsid w:val="000A0132"/>
    <w:rsid w:val="000A1E3D"/>
    <w:rsid w:val="000A45D0"/>
    <w:rsid w:val="000B00EB"/>
    <w:rsid w:val="000B02C2"/>
    <w:rsid w:val="000C205A"/>
    <w:rsid w:val="000C326E"/>
    <w:rsid w:val="000C3591"/>
    <w:rsid w:val="000D66EC"/>
    <w:rsid w:val="000E4232"/>
    <w:rsid w:val="000F6A97"/>
    <w:rsid w:val="00104BAB"/>
    <w:rsid w:val="00106007"/>
    <w:rsid w:val="00114107"/>
    <w:rsid w:val="00114184"/>
    <w:rsid w:val="00115C14"/>
    <w:rsid w:val="00115D53"/>
    <w:rsid w:val="0012473E"/>
    <w:rsid w:val="00126029"/>
    <w:rsid w:val="00131C6E"/>
    <w:rsid w:val="0014356F"/>
    <w:rsid w:val="00144A9D"/>
    <w:rsid w:val="00144FF8"/>
    <w:rsid w:val="00150228"/>
    <w:rsid w:val="00164453"/>
    <w:rsid w:val="0017098F"/>
    <w:rsid w:val="0017416E"/>
    <w:rsid w:val="00176853"/>
    <w:rsid w:val="00176A80"/>
    <w:rsid w:val="00185E1B"/>
    <w:rsid w:val="0019088E"/>
    <w:rsid w:val="00190B90"/>
    <w:rsid w:val="00193755"/>
    <w:rsid w:val="0019492E"/>
    <w:rsid w:val="00196437"/>
    <w:rsid w:val="001A4E10"/>
    <w:rsid w:val="001A4F98"/>
    <w:rsid w:val="001A6042"/>
    <w:rsid w:val="001B51E8"/>
    <w:rsid w:val="001B77D7"/>
    <w:rsid w:val="001E1CE8"/>
    <w:rsid w:val="001E2AEB"/>
    <w:rsid w:val="001F18FB"/>
    <w:rsid w:val="00203272"/>
    <w:rsid w:val="00203425"/>
    <w:rsid w:val="00204A6E"/>
    <w:rsid w:val="00205AEE"/>
    <w:rsid w:val="0022012B"/>
    <w:rsid w:val="002213BB"/>
    <w:rsid w:val="00225D63"/>
    <w:rsid w:val="002324A6"/>
    <w:rsid w:val="00245FFF"/>
    <w:rsid w:val="002500E5"/>
    <w:rsid w:val="00251049"/>
    <w:rsid w:val="002574D9"/>
    <w:rsid w:val="002576D0"/>
    <w:rsid w:val="00272F9B"/>
    <w:rsid w:val="0027415F"/>
    <w:rsid w:val="00274CA1"/>
    <w:rsid w:val="002777FC"/>
    <w:rsid w:val="0029360E"/>
    <w:rsid w:val="002954AB"/>
    <w:rsid w:val="002A0273"/>
    <w:rsid w:val="002A1F0E"/>
    <w:rsid w:val="002B3D35"/>
    <w:rsid w:val="002B6F87"/>
    <w:rsid w:val="002C1B88"/>
    <w:rsid w:val="002C52F7"/>
    <w:rsid w:val="002D2733"/>
    <w:rsid w:val="002E19E0"/>
    <w:rsid w:val="002F34CC"/>
    <w:rsid w:val="00326108"/>
    <w:rsid w:val="00326141"/>
    <w:rsid w:val="00335D85"/>
    <w:rsid w:val="003456BF"/>
    <w:rsid w:val="00352796"/>
    <w:rsid w:val="0035397E"/>
    <w:rsid w:val="00357C49"/>
    <w:rsid w:val="00360E44"/>
    <w:rsid w:val="00361D0F"/>
    <w:rsid w:val="00367CC6"/>
    <w:rsid w:val="0037159F"/>
    <w:rsid w:val="003820BD"/>
    <w:rsid w:val="003A4005"/>
    <w:rsid w:val="003A4C39"/>
    <w:rsid w:val="003B6177"/>
    <w:rsid w:val="003C19A5"/>
    <w:rsid w:val="003C2A5F"/>
    <w:rsid w:val="003C5E29"/>
    <w:rsid w:val="003D0EFA"/>
    <w:rsid w:val="003D1623"/>
    <w:rsid w:val="003D49C9"/>
    <w:rsid w:val="003E0401"/>
    <w:rsid w:val="00401D30"/>
    <w:rsid w:val="0040267F"/>
    <w:rsid w:val="0041426C"/>
    <w:rsid w:val="00417F1B"/>
    <w:rsid w:val="00426F7A"/>
    <w:rsid w:val="00441C6E"/>
    <w:rsid w:val="00450032"/>
    <w:rsid w:val="00451531"/>
    <w:rsid w:val="00466BC0"/>
    <w:rsid w:val="00497B90"/>
    <w:rsid w:val="004B636E"/>
    <w:rsid w:val="004C0A22"/>
    <w:rsid w:val="004C10C4"/>
    <w:rsid w:val="004C4E50"/>
    <w:rsid w:val="004D43DE"/>
    <w:rsid w:val="004E204E"/>
    <w:rsid w:val="004E2229"/>
    <w:rsid w:val="004F781C"/>
    <w:rsid w:val="00512204"/>
    <w:rsid w:val="005131B8"/>
    <w:rsid w:val="005167FA"/>
    <w:rsid w:val="00524B85"/>
    <w:rsid w:val="00536712"/>
    <w:rsid w:val="00545EBD"/>
    <w:rsid w:val="00553331"/>
    <w:rsid w:val="005572A2"/>
    <w:rsid w:val="00574F2C"/>
    <w:rsid w:val="005759DD"/>
    <w:rsid w:val="005763BA"/>
    <w:rsid w:val="005820D8"/>
    <w:rsid w:val="00594EC0"/>
    <w:rsid w:val="005A741E"/>
    <w:rsid w:val="005B3225"/>
    <w:rsid w:val="005C2E60"/>
    <w:rsid w:val="005D2774"/>
    <w:rsid w:val="005E2668"/>
    <w:rsid w:val="005E2F89"/>
    <w:rsid w:val="005E2FB0"/>
    <w:rsid w:val="00616840"/>
    <w:rsid w:val="0063205C"/>
    <w:rsid w:val="00635F43"/>
    <w:rsid w:val="00637345"/>
    <w:rsid w:val="00637D70"/>
    <w:rsid w:val="006425E3"/>
    <w:rsid w:val="006461AC"/>
    <w:rsid w:val="006622E9"/>
    <w:rsid w:val="0066745C"/>
    <w:rsid w:val="006769EC"/>
    <w:rsid w:val="00692393"/>
    <w:rsid w:val="006A4550"/>
    <w:rsid w:val="006A6CCB"/>
    <w:rsid w:val="006B420C"/>
    <w:rsid w:val="006B79D0"/>
    <w:rsid w:val="006D1EF7"/>
    <w:rsid w:val="006E1E0E"/>
    <w:rsid w:val="006E28DF"/>
    <w:rsid w:val="006E7890"/>
    <w:rsid w:val="006F45B4"/>
    <w:rsid w:val="006F5CE9"/>
    <w:rsid w:val="006F6ECD"/>
    <w:rsid w:val="0070545A"/>
    <w:rsid w:val="00705EDB"/>
    <w:rsid w:val="00715658"/>
    <w:rsid w:val="007201C0"/>
    <w:rsid w:val="00727C32"/>
    <w:rsid w:val="007366C9"/>
    <w:rsid w:val="0074229F"/>
    <w:rsid w:val="007474B9"/>
    <w:rsid w:val="007477F4"/>
    <w:rsid w:val="00751CC9"/>
    <w:rsid w:val="007616DD"/>
    <w:rsid w:val="00764606"/>
    <w:rsid w:val="00770466"/>
    <w:rsid w:val="00777B91"/>
    <w:rsid w:val="00781074"/>
    <w:rsid w:val="00782E7E"/>
    <w:rsid w:val="007831BB"/>
    <w:rsid w:val="007A33C8"/>
    <w:rsid w:val="007B0F9E"/>
    <w:rsid w:val="007B2023"/>
    <w:rsid w:val="007B3B55"/>
    <w:rsid w:val="007D063F"/>
    <w:rsid w:val="007E4391"/>
    <w:rsid w:val="007E4F3E"/>
    <w:rsid w:val="007F2A9F"/>
    <w:rsid w:val="007F408F"/>
    <w:rsid w:val="007F761C"/>
    <w:rsid w:val="0085696E"/>
    <w:rsid w:val="00873BC9"/>
    <w:rsid w:val="00876CFD"/>
    <w:rsid w:val="008900C5"/>
    <w:rsid w:val="00890D3E"/>
    <w:rsid w:val="00891E47"/>
    <w:rsid w:val="008A0212"/>
    <w:rsid w:val="008A69EF"/>
    <w:rsid w:val="008B0C7D"/>
    <w:rsid w:val="008C25EE"/>
    <w:rsid w:val="008C2B22"/>
    <w:rsid w:val="008C51D5"/>
    <w:rsid w:val="008C5543"/>
    <w:rsid w:val="008C57C8"/>
    <w:rsid w:val="008C5CDC"/>
    <w:rsid w:val="008D7FE1"/>
    <w:rsid w:val="008E1179"/>
    <w:rsid w:val="008F35AE"/>
    <w:rsid w:val="008F78E5"/>
    <w:rsid w:val="008F7B68"/>
    <w:rsid w:val="00907DEE"/>
    <w:rsid w:val="00920B66"/>
    <w:rsid w:val="0092101E"/>
    <w:rsid w:val="00924EFD"/>
    <w:rsid w:val="009363D5"/>
    <w:rsid w:val="00943AD4"/>
    <w:rsid w:val="00944C45"/>
    <w:rsid w:val="00955010"/>
    <w:rsid w:val="00955546"/>
    <w:rsid w:val="00963D06"/>
    <w:rsid w:val="00975027"/>
    <w:rsid w:val="00977B78"/>
    <w:rsid w:val="00987B63"/>
    <w:rsid w:val="0099337D"/>
    <w:rsid w:val="009B7215"/>
    <w:rsid w:val="009C70C1"/>
    <w:rsid w:val="009D4373"/>
    <w:rsid w:val="009E2650"/>
    <w:rsid w:val="009E7FF6"/>
    <w:rsid w:val="009F2B1C"/>
    <w:rsid w:val="009F62A8"/>
    <w:rsid w:val="009F70E6"/>
    <w:rsid w:val="00A02A38"/>
    <w:rsid w:val="00A04347"/>
    <w:rsid w:val="00A15744"/>
    <w:rsid w:val="00A16679"/>
    <w:rsid w:val="00A20A2F"/>
    <w:rsid w:val="00A21473"/>
    <w:rsid w:val="00A23A79"/>
    <w:rsid w:val="00A33E3C"/>
    <w:rsid w:val="00A360A1"/>
    <w:rsid w:val="00A4187D"/>
    <w:rsid w:val="00A51C24"/>
    <w:rsid w:val="00A540A8"/>
    <w:rsid w:val="00A74CFC"/>
    <w:rsid w:val="00A845AF"/>
    <w:rsid w:val="00A900CE"/>
    <w:rsid w:val="00AA0B13"/>
    <w:rsid w:val="00AA1D73"/>
    <w:rsid w:val="00AA5317"/>
    <w:rsid w:val="00AA6E73"/>
    <w:rsid w:val="00AB1222"/>
    <w:rsid w:val="00AB179C"/>
    <w:rsid w:val="00AF4EF0"/>
    <w:rsid w:val="00AF5913"/>
    <w:rsid w:val="00AF5F08"/>
    <w:rsid w:val="00AF671C"/>
    <w:rsid w:val="00B0026D"/>
    <w:rsid w:val="00B022CC"/>
    <w:rsid w:val="00B145AC"/>
    <w:rsid w:val="00B23BCB"/>
    <w:rsid w:val="00B30285"/>
    <w:rsid w:val="00B30785"/>
    <w:rsid w:val="00B33A56"/>
    <w:rsid w:val="00B344BC"/>
    <w:rsid w:val="00B364D8"/>
    <w:rsid w:val="00B438D1"/>
    <w:rsid w:val="00B5188B"/>
    <w:rsid w:val="00B57424"/>
    <w:rsid w:val="00B63CC6"/>
    <w:rsid w:val="00B83869"/>
    <w:rsid w:val="00B9092A"/>
    <w:rsid w:val="00B910B8"/>
    <w:rsid w:val="00B93938"/>
    <w:rsid w:val="00B96970"/>
    <w:rsid w:val="00B9789B"/>
    <w:rsid w:val="00BA7024"/>
    <w:rsid w:val="00BB401A"/>
    <w:rsid w:val="00BC17A1"/>
    <w:rsid w:val="00BC20AA"/>
    <w:rsid w:val="00BC6FE8"/>
    <w:rsid w:val="00BC78B1"/>
    <w:rsid w:val="00BD22A7"/>
    <w:rsid w:val="00BE611E"/>
    <w:rsid w:val="00BE6753"/>
    <w:rsid w:val="00BF3432"/>
    <w:rsid w:val="00C0546C"/>
    <w:rsid w:val="00C104A8"/>
    <w:rsid w:val="00C17A75"/>
    <w:rsid w:val="00C41EFA"/>
    <w:rsid w:val="00C5060F"/>
    <w:rsid w:val="00C52865"/>
    <w:rsid w:val="00C5334B"/>
    <w:rsid w:val="00C56DF6"/>
    <w:rsid w:val="00C62805"/>
    <w:rsid w:val="00C8725B"/>
    <w:rsid w:val="00CA4EF8"/>
    <w:rsid w:val="00CB03BE"/>
    <w:rsid w:val="00CB0BDA"/>
    <w:rsid w:val="00CB458D"/>
    <w:rsid w:val="00CB4AD1"/>
    <w:rsid w:val="00CB5759"/>
    <w:rsid w:val="00CB7830"/>
    <w:rsid w:val="00CC26F7"/>
    <w:rsid w:val="00CD08AF"/>
    <w:rsid w:val="00CD1F36"/>
    <w:rsid w:val="00CD4B6B"/>
    <w:rsid w:val="00CF23B5"/>
    <w:rsid w:val="00D150B1"/>
    <w:rsid w:val="00D15C58"/>
    <w:rsid w:val="00D217C3"/>
    <w:rsid w:val="00D2224C"/>
    <w:rsid w:val="00D267EE"/>
    <w:rsid w:val="00D27A92"/>
    <w:rsid w:val="00D3185E"/>
    <w:rsid w:val="00D357AF"/>
    <w:rsid w:val="00D37AF3"/>
    <w:rsid w:val="00D532D0"/>
    <w:rsid w:val="00D54A14"/>
    <w:rsid w:val="00D56DF4"/>
    <w:rsid w:val="00D643D8"/>
    <w:rsid w:val="00D86070"/>
    <w:rsid w:val="00D86DC5"/>
    <w:rsid w:val="00D94504"/>
    <w:rsid w:val="00D97977"/>
    <w:rsid w:val="00DA4F3B"/>
    <w:rsid w:val="00DA6363"/>
    <w:rsid w:val="00DA6BB2"/>
    <w:rsid w:val="00DB07D2"/>
    <w:rsid w:val="00DC5A48"/>
    <w:rsid w:val="00DE78E6"/>
    <w:rsid w:val="00DF0787"/>
    <w:rsid w:val="00DF0A67"/>
    <w:rsid w:val="00DF7C97"/>
    <w:rsid w:val="00E201A5"/>
    <w:rsid w:val="00E2195C"/>
    <w:rsid w:val="00E458A0"/>
    <w:rsid w:val="00E474B3"/>
    <w:rsid w:val="00E47599"/>
    <w:rsid w:val="00E50968"/>
    <w:rsid w:val="00E53E01"/>
    <w:rsid w:val="00E60054"/>
    <w:rsid w:val="00E82845"/>
    <w:rsid w:val="00EC2BB7"/>
    <w:rsid w:val="00EC6134"/>
    <w:rsid w:val="00EC71EF"/>
    <w:rsid w:val="00ED3765"/>
    <w:rsid w:val="00EE6C9D"/>
    <w:rsid w:val="00EE7190"/>
    <w:rsid w:val="00EE79BB"/>
    <w:rsid w:val="00EF30F2"/>
    <w:rsid w:val="00EF73EA"/>
    <w:rsid w:val="00F03F55"/>
    <w:rsid w:val="00F14654"/>
    <w:rsid w:val="00F21D5D"/>
    <w:rsid w:val="00F24F5F"/>
    <w:rsid w:val="00F350EB"/>
    <w:rsid w:val="00F37401"/>
    <w:rsid w:val="00F40E40"/>
    <w:rsid w:val="00F53CC5"/>
    <w:rsid w:val="00F6007A"/>
    <w:rsid w:val="00F652E2"/>
    <w:rsid w:val="00F65EF7"/>
    <w:rsid w:val="00F72B92"/>
    <w:rsid w:val="00F76D78"/>
    <w:rsid w:val="00F76E11"/>
    <w:rsid w:val="00F80150"/>
    <w:rsid w:val="00F87EDF"/>
    <w:rsid w:val="00F94D43"/>
    <w:rsid w:val="00FA5AD0"/>
    <w:rsid w:val="00FA6ED5"/>
    <w:rsid w:val="00FB2396"/>
    <w:rsid w:val="00FB2944"/>
    <w:rsid w:val="00FC43AA"/>
    <w:rsid w:val="00FC6B15"/>
    <w:rsid w:val="00FC6BDC"/>
    <w:rsid w:val="00FE7F02"/>
    <w:rsid w:val="00FF68C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6AD7E6"/>
  <w15:chartTrackingRefBased/>
  <w15:docId w15:val="{1F020589-646B-4B3A-9D1F-4C77AD83C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761C"/>
    <w:pPr>
      <w:spacing w:line="28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6A4550"/>
    <w:pPr>
      <w:adjustRightInd w:val="0"/>
      <w:snapToGrid w:val="0"/>
      <w:spacing w:before="240"/>
    </w:pPr>
    <w:rPr>
      <w:rFonts w:ascii="Palatino Linotype" w:eastAsia="Times New Roman" w:hAnsi="Palatino Linotype"/>
      <w:i/>
      <w:snapToGrid w:val="0"/>
      <w:color w:val="000000"/>
      <w:szCs w:val="22"/>
      <w:lang w:eastAsia="de-DE" w:bidi="en-US"/>
      <w14:ligatures w14:val="standardContextual"/>
    </w:rPr>
  </w:style>
  <w:style w:type="paragraph" w:customStyle="1" w:styleId="MDPI12title">
    <w:name w:val="MDPI_1.2_title"/>
    <w:next w:val="Normal"/>
    <w:qFormat/>
    <w:rsid w:val="006A4550"/>
    <w:pPr>
      <w:adjustRightInd w:val="0"/>
      <w:snapToGrid w:val="0"/>
      <w:spacing w:after="240" w:line="240" w:lineRule="atLeast"/>
    </w:pPr>
    <w:rPr>
      <w:rFonts w:ascii="Palatino Linotype" w:eastAsia="Times New Roman" w:hAnsi="Palatino Linotype"/>
      <w:b/>
      <w:snapToGrid w:val="0"/>
      <w:color w:val="000000"/>
      <w:sz w:val="36"/>
      <w:lang w:eastAsia="de-DE" w:bidi="en-US"/>
      <w14:ligatures w14:val="standardContextual"/>
    </w:rPr>
  </w:style>
  <w:style w:type="paragraph" w:customStyle="1" w:styleId="MDPI13authornames">
    <w:name w:val="MDPI_1.3_authornames"/>
    <w:next w:val="Normal"/>
    <w:qFormat/>
    <w:rsid w:val="006A4550"/>
    <w:pPr>
      <w:adjustRightInd w:val="0"/>
      <w:snapToGrid w:val="0"/>
      <w:spacing w:after="360" w:line="260" w:lineRule="atLeast"/>
    </w:pPr>
    <w:rPr>
      <w:rFonts w:ascii="Palatino Linotype" w:eastAsia="Times New Roman" w:hAnsi="Palatino Linotype"/>
      <w:b/>
      <w:color w:val="000000"/>
      <w:szCs w:val="22"/>
      <w:lang w:eastAsia="de-DE" w:bidi="en-US"/>
      <w14:ligatures w14:val="standardContextual"/>
    </w:rPr>
  </w:style>
  <w:style w:type="paragraph" w:customStyle="1" w:styleId="MDPI14history">
    <w:name w:val="MDPI_1.4_history"/>
    <w:basedOn w:val="Normal"/>
    <w:next w:val="Normal"/>
    <w:qFormat/>
    <w:rsid w:val="006A4550"/>
    <w:pPr>
      <w:adjustRightInd w:val="0"/>
      <w:snapToGrid w:val="0"/>
      <w:spacing w:line="240" w:lineRule="atLeast"/>
      <w:ind w:right="113"/>
      <w:jc w:val="left"/>
    </w:pPr>
    <w:rPr>
      <w:rFonts w:eastAsia="Times New Roman"/>
      <w:noProof w:val="0"/>
      <w:sz w:val="14"/>
      <w:lang w:eastAsia="de-DE" w:bidi="en-US"/>
      <w14:ligatures w14:val="standardContextual"/>
    </w:rPr>
  </w:style>
  <w:style w:type="paragraph" w:customStyle="1" w:styleId="MDPI16affiliation">
    <w:name w:val="MDPI_1.6_affiliation"/>
    <w:qFormat/>
    <w:rsid w:val="006A4550"/>
    <w:pPr>
      <w:adjustRightInd w:val="0"/>
      <w:snapToGrid w:val="0"/>
      <w:spacing w:line="200" w:lineRule="atLeast"/>
      <w:ind w:left="2806" w:hanging="198"/>
    </w:pPr>
    <w:rPr>
      <w:rFonts w:ascii="Palatino Linotype" w:eastAsia="Times New Roman" w:hAnsi="Palatino Linotype"/>
      <w:color w:val="000000"/>
      <w:sz w:val="16"/>
      <w:szCs w:val="18"/>
      <w:lang w:eastAsia="de-DE" w:bidi="en-US"/>
      <w14:ligatures w14:val="standardContextual"/>
    </w:rPr>
  </w:style>
  <w:style w:type="paragraph" w:customStyle="1" w:styleId="MDPI17abstract">
    <w:name w:val="MDPI_1.7_abstract"/>
    <w:next w:val="Normal"/>
    <w:qFormat/>
    <w:rsid w:val="006A4550"/>
    <w:pPr>
      <w:adjustRightInd w:val="0"/>
      <w:snapToGrid w:val="0"/>
      <w:spacing w:before="240" w:line="280" w:lineRule="atLeast"/>
      <w:ind w:left="2608"/>
      <w:jc w:val="both"/>
    </w:pPr>
    <w:rPr>
      <w:rFonts w:ascii="Palatino Linotype" w:eastAsia="Times New Roman" w:hAnsi="Palatino Linotype"/>
      <w:color w:val="000000"/>
      <w:szCs w:val="22"/>
      <w:lang w:eastAsia="de-DE" w:bidi="en-US"/>
      <w14:ligatures w14:val="standardContextual"/>
    </w:rPr>
  </w:style>
  <w:style w:type="paragraph" w:customStyle="1" w:styleId="MDPI18keywords">
    <w:name w:val="MDPI_1.8_keywords"/>
    <w:next w:val="Normal"/>
    <w:qFormat/>
    <w:rsid w:val="006A4550"/>
    <w:pPr>
      <w:adjustRightInd w:val="0"/>
      <w:snapToGrid w:val="0"/>
      <w:spacing w:before="240" w:line="280" w:lineRule="atLeast"/>
      <w:ind w:left="2608"/>
      <w:jc w:val="both"/>
    </w:pPr>
    <w:rPr>
      <w:rFonts w:ascii="Palatino Linotype" w:eastAsia="Times New Roman" w:hAnsi="Palatino Linotype"/>
      <w:snapToGrid w:val="0"/>
      <w:color w:val="000000"/>
      <w:szCs w:val="22"/>
      <w:lang w:eastAsia="de-DE" w:bidi="en-US"/>
    </w:rPr>
  </w:style>
  <w:style w:type="paragraph" w:customStyle="1" w:styleId="MDPI19line">
    <w:name w:val="MDPI_1.9_line"/>
    <w:qFormat/>
    <w:rsid w:val="006A4550"/>
    <w:pPr>
      <w:pBdr>
        <w:bottom w:val="single" w:sz="4" w:space="1" w:color="auto"/>
      </w:pBdr>
      <w:adjustRightInd w:val="0"/>
      <w:snapToGrid w:val="0"/>
      <w:spacing w:after="480" w:line="280" w:lineRule="atLeast"/>
      <w:ind w:left="2608"/>
      <w:jc w:val="both"/>
    </w:pPr>
    <w:rPr>
      <w:rFonts w:ascii="Palatino Linotype" w:eastAsia="Times New Roman" w:hAnsi="Palatino Linotype" w:cs="Cordia New"/>
      <w:color w:val="000000"/>
      <w:szCs w:val="24"/>
      <w:lang w:eastAsia="de-DE" w:bidi="en-US"/>
      <w14:ligatures w14:val="standardContextual"/>
    </w:rPr>
  </w:style>
  <w:style w:type="table" w:customStyle="1" w:styleId="Mdeck5tablebodythreelines">
    <w:name w:val="M_deck_5_table_body_three_lines"/>
    <w:basedOn w:val="TableNormal"/>
    <w:uiPriority w:val="99"/>
    <w:rsid w:val="0014356F"/>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7F761C"/>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7F761C"/>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7F761C"/>
    <w:rPr>
      <w:rFonts w:ascii="Palatino Linotype" w:hAnsi="Palatino Linotype"/>
      <w:noProof/>
      <w:color w:val="000000"/>
      <w:szCs w:val="18"/>
    </w:rPr>
  </w:style>
  <w:style w:type="paragraph" w:styleId="Header">
    <w:name w:val="header"/>
    <w:basedOn w:val="Normal"/>
    <w:link w:val="HeaderChar"/>
    <w:uiPriority w:val="99"/>
    <w:rsid w:val="007F761C"/>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7F761C"/>
    <w:rPr>
      <w:rFonts w:ascii="Palatino Linotype" w:hAnsi="Palatino Linotype"/>
      <w:noProof/>
      <w:color w:val="000000"/>
      <w:szCs w:val="18"/>
    </w:rPr>
  </w:style>
  <w:style w:type="paragraph" w:customStyle="1" w:styleId="MDPI32textnoindent">
    <w:name w:val="MDPI_3.2_text_no_indent"/>
    <w:basedOn w:val="MDPI31text"/>
    <w:qFormat/>
    <w:rsid w:val="006A4550"/>
    <w:pPr>
      <w:ind w:firstLine="0"/>
    </w:pPr>
  </w:style>
  <w:style w:type="paragraph" w:customStyle="1" w:styleId="MDPI31text">
    <w:name w:val="MDPI_3.1_text"/>
    <w:qFormat/>
    <w:rsid w:val="006A4550"/>
    <w:pPr>
      <w:adjustRightInd w:val="0"/>
      <w:snapToGrid w:val="0"/>
      <w:spacing w:line="280" w:lineRule="atLeast"/>
      <w:ind w:left="2608" w:firstLine="425"/>
      <w:jc w:val="both"/>
    </w:pPr>
    <w:rPr>
      <w:rFonts w:ascii="Palatino Linotype" w:eastAsia="Times New Roman" w:hAnsi="Palatino Linotype"/>
      <w:snapToGrid w:val="0"/>
      <w:color w:val="000000"/>
      <w:szCs w:val="22"/>
      <w:lang w:eastAsia="de-DE" w:bidi="en-US"/>
      <w14:ligatures w14:val="standardContextual"/>
    </w:rPr>
  </w:style>
  <w:style w:type="paragraph" w:customStyle="1" w:styleId="MDPI33textspaceafter">
    <w:name w:val="MDPI_3.3_text_space_after"/>
    <w:qFormat/>
    <w:rsid w:val="006A4550"/>
    <w:pPr>
      <w:adjustRightInd w:val="0"/>
      <w:snapToGrid w:val="0"/>
      <w:spacing w:after="240" w:line="280" w:lineRule="atLeast"/>
      <w:ind w:left="2608"/>
      <w:jc w:val="both"/>
    </w:pPr>
    <w:rPr>
      <w:rFonts w:ascii="Palatino Linotype" w:eastAsia="Times New Roman" w:hAnsi="Palatino Linotype"/>
      <w:snapToGrid w:val="0"/>
      <w:color w:val="000000"/>
      <w:szCs w:val="22"/>
      <w:lang w:eastAsia="de-DE" w:bidi="en-US"/>
      <w14:ligatures w14:val="standardContextual"/>
    </w:rPr>
  </w:style>
  <w:style w:type="paragraph" w:customStyle="1" w:styleId="MDPI35textbeforelist">
    <w:name w:val="MDPI_3.5_text_before_list"/>
    <w:qFormat/>
    <w:rsid w:val="006A4550"/>
    <w:pPr>
      <w:adjustRightInd w:val="0"/>
      <w:snapToGrid w:val="0"/>
      <w:spacing w:line="280" w:lineRule="atLeast"/>
      <w:ind w:left="2608" w:firstLine="425"/>
      <w:jc w:val="both"/>
    </w:pPr>
    <w:rPr>
      <w:rFonts w:ascii="Palatino Linotype" w:eastAsia="Times New Roman" w:hAnsi="Palatino Linotype"/>
      <w:snapToGrid w:val="0"/>
      <w:color w:val="000000"/>
      <w:szCs w:val="22"/>
      <w:lang w:eastAsia="de-DE" w:bidi="en-US"/>
      <w14:ligatures w14:val="standardContextual"/>
    </w:rPr>
  </w:style>
  <w:style w:type="paragraph" w:customStyle="1" w:styleId="MDPI36textafterlist">
    <w:name w:val="MDPI_3.6_text_after_list"/>
    <w:qFormat/>
    <w:rsid w:val="006A4550"/>
    <w:pPr>
      <w:adjustRightInd w:val="0"/>
      <w:snapToGrid w:val="0"/>
      <w:spacing w:before="120" w:line="280" w:lineRule="atLeast"/>
      <w:ind w:left="2608"/>
      <w:jc w:val="both"/>
    </w:pPr>
    <w:rPr>
      <w:rFonts w:ascii="Palatino Linotype" w:eastAsia="Times New Roman" w:hAnsi="Palatino Linotype"/>
      <w:snapToGrid w:val="0"/>
      <w:color w:val="000000"/>
      <w:szCs w:val="22"/>
      <w:lang w:eastAsia="de-DE" w:bidi="en-US"/>
      <w14:ligatures w14:val="standardContextual"/>
    </w:rPr>
  </w:style>
  <w:style w:type="paragraph" w:customStyle="1" w:styleId="MDPI37itemize">
    <w:name w:val="MDPI_3.7_itemize"/>
    <w:qFormat/>
    <w:rsid w:val="006A4550"/>
    <w:pPr>
      <w:numPr>
        <w:numId w:val="31"/>
      </w:numPr>
      <w:adjustRightInd w:val="0"/>
      <w:snapToGrid w:val="0"/>
      <w:spacing w:line="280" w:lineRule="atLeast"/>
      <w:jc w:val="both"/>
    </w:pPr>
    <w:rPr>
      <w:rFonts w:ascii="Palatino Linotype" w:eastAsia="Times New Roman" w:hAnsi="Palatino Linotype"/>
      <w:color w:val="000000"/>
      <w:szCs w:val="22"/>
      <w:lang w:eastAsia="de-DE" w:bidi="en-US"/>
      <w14:ligatures w14:val="standardContextual"/>
    </w:rPr>
  </w:style>
  <w:style w:type="paragraph" w:customStyle="1" w:styleId="MDPI38bullet">
    <w:name w:val="MDPI_3.8_bullet"/>
    <w:qFormat/>
    <w:rsid w:val="006A4550"/>
    <w:pPr>
      <w:numPr>
        <w:numId w:val="32"/>
      </w:numPr>
      <w:adjustRightInd w:val="0"/>
      <w:snapToGrid w:val="0"/>
      <w:spacing w:line="280" w:lineRule="atLeast"/>
      <w:jc w:val="both"/>
    </w:pPr>
    <w:rPr>
      <w:rFonts w:ascii="Palatino Linotype" w:eastAsia="Times New Roman" w:hAnsi="Palatino Linotype"/>
      <w:color w:val="000000"/>
      <w:szCs w:val="22"/>
      <w:lang w:eastAsia="de-DE" w:bidi="en-US"/>
      <w14:ligatures w14:val="standardContextual"/>
    </w:rPr>
  </w:style>
  <w:style w:type="paragraph" w:customStyle="1" w:styleId="MDPI39equation">
    <w:name w:val="MDPI_3.9_equation"/>
    <w:qFormat/>
    <w:rsid w:val="006A4550"/>
    <w:pPr>
      <w:adjustRightInd w:val="0"/>
      <w:snapToGrid w:val="0"/>
      <w:spacing w:before="120" w:after="120" w:line="28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6A4550"/>
    <w:pPr>
      <w:spacing w:before="120" w:after="120" w:line="280" w:lineRule="atLeast"/>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6A4550"/>
    <w:pPr>
      <w:adjustRightInd w:val="0"/>
      <w:snapToGrid w:val="0"/>
      <w:spacing w:before="240" w:after="120" w:line="280" w:lineRule="atLeast"/>
      <w:ind w:left="2608"/>
    </w:pPr>
    <w:rPr>
      <w:rFonts w:ascii="Palatino Linotype" w:eastAsia="Times New Roman" w:hAnsi="Palatino Linotype" w:cstheme="minorBidi"/>
      <w:color w:val="000000"/>
      <w:sz w:val="18"/>
      <w:szCs w:val="22"/>
      <w:lang w:eastAsia="de-DE" w:bidi="en-US"/>
      <w14:ligatures w14:val="standardContextual"/>
    </w:rPr>
  </w:style>
  <w:style w:type="paragraph" w:customStyle="1" w:styleId="MDPI42tablebody">
    <w:name w:val="MDPI_4.2_table_body"/>
    <w:qFormat/>
    <w:rsid w:val="006A4550"/>
    <w:pPr>
      <w:adjustRightInd w:val="0"/>
      <w:snapToGrid w:val="0"/>
      <w:jc w:val="center"/>
    </w:pPr>
    <w:rPr>
      <w:rFonts w:ascii="Palatino Linotype" w:eastAsia="Times New Roman" w:hAnsi="Palatino Linotype"/>
      <w:snapToGrid w:val="0"/>
      <w:color w:val="000000"/>
      <w:lang w:eastAsia="de-DE" w:bidi="en-US"/>
      <w14:ligatures w14:val="standardContextual"/>
    </w:rPr>
  </w:style>
  <w:style w:type="paragraph" w:customStyle="1" w:styleId="MDPI43tablefooter">
    <w:name w:val="MDPI_4.3_table_footer"/>
    <w:next w:val="MDPI31text"/>
    <w:qFormat/>
    <w:rsid w:val="006A4550"/>
    <w:pPr>
      <w:adjustRightInd w:val="0"/>
      <w:snapToGrid w:val="0"/>
      <w:spacing w:line="280" w:lineRule="atLeast"/>
      <w:ind w:left="2608"/>
    </w:pPr>
    <w:rPr>
      <w:rFonts w:ascii="Palatino Linotype" w:eastAsia="Times New Roman" w:hAnsi="Palatino Linotype" w:cs="Cordia New"/>
      <w:color w:val="000000"/>
      <w:sz w:val="18"/>
      <w:szCs w:val="22"/>
      <w:lang w:eastAsia="de-DE" w:bidi="en-US"/>
      <w14:ligatures w14:val="standardContextual"/>
    </w:rPr>
  </w:style>
  <w:style w:type="paragraph" w:customStyle="1" w:styleId="MDPI51figurecaption">
    <w:name w:val="MDPI_5.1_figure_caption"/>
    <w:qFormat/>
    <w:rsid w:val="006A4550"/>
    <w:pPr>
      <w:adjustRightInd w:val="0"/>
      <w:snapToGrid w:val="0"/>
      <w:spacing w:before="120" w:after="240" w:line="280" w:lineRule="atLeast"/>
      <w:ind w:left="2608"/>
    </w:pPr>
    <w:rPr>
      <w:rFonts w:ascii="Palatino Linotype" w:eastAsia="Times New Roman" w:hAnsi="Palatino Linotype"/>
      <w:color w:val="000000"/>
      <w:sz w:val="18"/>
      <w:lang w:eastAsia="de-DE" w:bidi="en-US"/>
      <w14:ligatures w14:val="standardContextual"/>
    </w:rPr>
  </w:style>
  <w:style w:type="paragraph" w:customStyle="1" w:styleId="MDPI52figure">
    <w:name w:val="MDPI_5.2_figure"/>
    <w:qFormat/>
    <w:rsid w:val="006A4550"/>
    <w:pPr>
      <w:adjustRightInd w:val="0"/>
      <w:snapToGrid w:val="0"/>
      <w:spacing w:before="240" w:after="120"/>
      <w:jc w:val="center"/>
    </w:pPr>
    <w:rPr>
      <w:rFonts w:ascii="Palatino Linotype" w:eastAsia="Times New Roman" w:hAnsi="Palatino Linotype"/>
      <w:snapToGrid w:val="0"/>
      <w:color w:val="000000"/>
      <w:lang w:eastAsia="de-DE" w:bidi="en-US"/>
      <w14:ligatures w14:val="standardContextual"/>
    </w:rPr>
  </w:style>
  <w:style w:type="paragraph" w:customStyle="1" w:styleId="MDPI23heading3">
    <w:name w:val="MDPI_2.3_heading3"/>
    <w:qFormat/>
    <w:rsid w:val="006A4550"/>
    <w:pPr>
      <w:adjustRightInd w:val="0"/>
      <w:snapToGrid w:val="0"/>
      <w:spacing w:before="60" w:after="60" w:line="280" w:lineRule="atLeast"/>
      <w:ind w:left="2608"/>
      <w:outlineLvl w:val="2"/>
    </w:pPr>
    <w:rPr>
      <w:rFonts w:ascii="Palatino Linotype" w:eastAsia="Times New Roman" w:hAnsi="Palatino Linotype"/>
      <w:snapToGrid w:val="0"/>
      <w:color w:val="000000"/>
      <w:szCs w:val="22"/>
      <w:lang w:eastAsia="de-DE" w:bidi="en-US"/>
      <w14:ligatures w14:val="standardContextual"/>
    </w:rPr>
  </w:style>
  <w:style w:type="paragraph" w:customStyle="1" w:styleId="MDPI21heading1">
    <w:name w:val="MDPI_2.1_heading1"/>
    <w:qFormat/>
    <w:rsid w:val="006A4550"/>
    <w:pPr>
      <w:adjustRightInd w:val="0"/>
      <w:snapToGrid w:val="0"/>
      <w:spacing w:before="240" w:after="60" w:line="280" w:lineRule="atLeast"/>
      <w:ind w:left="2608"/>
      <w:outlineLvl w:val="0"/>
    </w:pPr>
    <w:rPr>
      <w:rFonts w:ascii="Palatino Linotype" w:eastAsia="Times New Roman" w:hAnsi="Palatino Linotype"/>
      <w:b/>
      <w:snapToGrid w:val="0"/>
      <w:color w:val="000000"/>
      <w:sz w:val="24"/>
      <w:szCs w:val="22"/>
      <w:lang w:eastAsia="de-DE" w:bidi="en-US"/>
      <w14:ligatures w14:val="standardContextual"/>
    </w:rPr>
  </w:style>
  <w:style w:type="paragraph" w:customStyle="1" w:styleId="MDPI22heading2">
    <w:name w:val="MDPI_2.2_heading2"/>
    <w:qFormat/>
    <w:rsid w:val="006A4550"/>
    <w:pPr>
      <w:adjustRightInd w:val="0"/>
      <w:snapToGrid w:val="0"/>
      <w:spacing w:before="60" w:after="60" w:line="280" w:lineRule="atLeast"/>
      <w:ind w:left="2608"/>
      <w:outlineLvl w:val="1"/>
    </w:pPr>
    <w:rPr>
      <w:rFonts w:ascii="Palatino Linotype" w:eastAsia="Times New Roman" w:hAnsi="Palatino Linotype"/>
      <w:i/>
      <w:noProof/>
      <w:snapToGrid w:val="0"/>
      <w:color w:val="000000"/>
      <w:szCs w:val="22"/>
      <w:lang w:eastAsia="de-DE" w:bidi="en-US"/>
      <w14:ligatures w14:val="standardContextual"/>
    </w:rPr>
  </w:style>
  <w:style w:type="paragraph" w:customStyle="1" w:styleId="MDPI81references">
    <w:name w:val="MDPI_8.1_references"/>
    <w:qFormat/>
    <w:rsid w:val="006A4550"/>
    <w:pPr>
      <w:numPr>
        <w:numId w:val="34"/>
      </w:numPr>
      <w:adjustRightInd w:val="0"/>
      <w:snapToGrid w:val="0"/>
      <w:spacing w:line="280" w:lineRule="atLeast"/>
      <w:jc w:val="both"/>
    </w:pPr>
    <w:rPr>
      <w:rFonts w:ascii="Palatino Linotype" w:eastAsia="Times New Roman" w:hAnsi="Palatino Linotype"/>
      <w:color w:val="000000"/>
      <w:sz w:val="18"/>
      <w:lang w:eastAsia="de-DE" w:bidi="en-US"/>
      <w14:ligatures w14:val="standardContextual"/>
    </w:rPr>
  </w:style>
  <w:style w:type="paragraph" w:styleId="BalloonText">
    <w:name w:val="Balloon Text"/>
    <w:basedOn w:val="Normal"/>
    <w:link w:val="BalloonTextChar"/>
    <w:uiPriority w:val="99"/>
    <w:rsid w:val="007F761C"/>
    <w:rPr>
      <w:rFonts w:cs="Tahoma"/>
      <w:szCs w:val="18"/>
    </w:rPr>
  </w:style>
  <w:style w:type="character" w:customStyle="1" w:styleId="BalloonTextChar">
    <w:name w:val="Balloon Text Char"/>
    <w:link w:val="BalloonText"/>
    <w:uiPriority w:val="99"/>
    <w:rsid w:val="007F761C"/>
    <w:rPr>
      <w:rFonts w:ascii="Palatino Linotype" w:hAnsi="Palatino Linotype" w:cs="Tahoma"/>
      <w:noProof/>
      <w:color w:val="000000"/>
      <w:szCs w:val="18"/>
    </w:rPr>
  </w:style>
  <w:style w:type="character" w:styleId="LineNumber">
    <w:name w:val="line number"/>
    <w:uiPriority w:val="99"/>
    <w:rsid w:val="006A4550"/>
    <w:rPr>
      <w:rFonts w:ascii="Palatino Linotype" w:hAnsi="Palatino Linotype"/>
      <w:sz w:val="16"/>
    </w:rPr>
  </w:style>
  <w:style w:type="table" w:customStyle="1" w:styleId="MDPI41threelinetable">
    <w:name w:val="MDPI_4.1_three_line_table"/>
    <w:basedOn w:val="TableNormal"/>
    <w:uiPriority w:val="99"/>
    <w:rsid w:val="006A4550"/>
    <w:pPr>
      <w:adjustRightInd w:val="0"/>
      <w:snapToGrid w:val="0"/>
      <w:spacing w:line="280" w:lineRule="atLeast"/>
      <w:jc w:val="center"/>
    </w:pPr>
    <w:rPr>
      <w:rFonts w:ascii="Palatino Linotype" w:eastAsiaTheme="minorEastAsia" w:hAnsi="Palatino Linotype"/>
      <w:color w:val="000000"/>
      <w14:ligatures w14:val="standardContextual"/>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7F761C"/>
    <w:rPr>
      <w:color w:val="0000FF"/>
      <w:u w:val="single"/>
    </w:rPr>
  </w:style>
  <w:style w:type="character" w:styleId="UnresolvedMention">
    <w:name w:val="Unresolved Mention"/>
    <w:uiPriority w:val="99"/>
    <w:semiHidden/>
    <w:unhideWhenUsed/>
    <w:rsid w:val="009F2B1C"/>
    <w:rPr>
      <w:color w:val="605E5C"/>
      <w:shd w:val="clear" w:color="auto" w:fill="E1DFDD"/>
    </w:rPr>
  </w:style>
  <w:style w:type="table" w:styleId="PlainTable4">
    <w:name w:val="Plain Table 4"/>
    <w:basedOn w:val="TableNormal"/>
    <w:uiPriority w:val="44"/>
    <w:rsid w:val="00046F7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6A4550"/>
    <w:pPr>
      <w:adjustRightInd w:val="0"/>
      <w:snapToGrid w:val="0"/>
      <w:spacing w:before="240" w:line="280" w:lineRule="atLeast"/>
      <w:ind w:left="2608"/>
      <w:jc w:val="both"/>
    </w:pPr>
    <w:rPr>
      <w:rFonts w:ascii="Palatino Linotype" w:eastAsia="Times New Roman" w:hAnsi="Palatino Linotype"/>
      <w:snapToGrid w:val="0"/>
      <w:color w:val="000000"/>
      <w:szCs w:val="22"/>
      <w:lang w:eastAsia="de-DE" w:bidi="en-US"/>
      <w14:ligatures w14:val="standardContextual"/>
    </w:rPr>
  </w:style>
  <w:style w:type="paragraph" w:customStyle="1" w:styleId="MDPI82theorem">
    <w:name w:val="MDPI_8.2_theorem"/>
    <w:qFormat/>
    <w:rsid w:val="006A4550"/>
    <w:pPr>
      <w:adjustRightInd w:val="0"/>
      <w:snapToGrid w:val="0"/>
      <w:spacing w:line="280" w:lineRule="atLeast"/>
      <w:ind w:left="2608"/>
      <w:jc w:val="both"/>
    </w:pPr>
    <w:rPr>
      <w:rFonts w:ascii="Palatino Linotype" w:eastAsia="Times New Roman" w:hAnsi="Palatino Linotype"/>
      <w:i/>
      <w:snapToGrid w:val="0"/>
      <w:color w:val="000000"/>
      <w:szCs w:val="22"/>
      <w:lang w:eastAsia="de-DE" w:bidi="en-US"/>
      <w14:ligatures w14:val="standardContextual"/>
    </w:rPr>
  </w:style>
  <w:style w:type="paragraph" w:customStyle="1" w:styleId="MDPI83proof">
    <w:name w:val="MDPI_8.3_proof"/>
    <w:qFormat/>
    <w:rsid w:val="006A4550"/>
    <w:pPr>
      <w:adjustRightInd w:val="0"/>
      <w:snapToGrid w:val="0"/>
      <w:spacing w:line="280" w:lineRule="atLeast"/>
      <w:ind w:left="2608"/>
      <w:jc w:val="both"/>
    </w:pPr>
    <w:rPr>
      <w:rFonts w:ascii="Palatino Linotype" w:eastAsia="Times New Roman" w:hAnsi="Palatino Linotype"/>
      <w:snapToGrid w:val="0"/>
      <w:color w:val="000000"/>
      <w:szCs w:val="22"/>
      <w:lang w:eastAsia="de-DE" w:bidi="en-US"/>
      <w14:ligatures w14:val="standardContextual"/>
    </w:rPr>
  </w:style>
  <w:style w:type="paragraph" w:customStyle="1" w:styleId="MDPI61citation">
    <w:name w:val="MDPI_6.1_citation"/>
    <w:qFormat/>
    <w:rsid w:val="006A4550"/>
    <w:pPr>
      <w:adjustRightInd w:val="0"/>
      <w:snapToGrid w:val="0"/>
      <w:spacing w:after="120" w:line="240" w:lineRule="atLeast"/>
      <w:ind w:right="113"/>
    </w:pPr>
    <w:rPr>
      <w:rFonts w:ascii="Palatino Linotype" w:hAnsi="Palatino Linotype" w:cs="Cordia New"/>
      <w:sz w:val="14"/>
      <w:szCs w:val="22"/>
      <w14:ligatures w14:val="standardContextual"/>
    </w:rPr>
  </w:style>
  <w:style w:type="paragraph" w:customStyle="1" w:styleId="MDPI62backmatter">
    <w:name w:val="MDPI_6.2_back_matter"/>
    <w:qFormat/>
    <w:rsid w:val="006A4550"/>
    <w:pPr>
      <w:adjustRightInd w:val="0"/>
      <w:snapToGrid w:val="0"/>
      <w:spacing w:after="120" w:line="280" w:lineRule="atLeast"/>
      <w:ind w:left="2608"/>
      <w:jc w:val="both"/>
    </w:pPr>
    <w:rPr>
      <w:rFonts w:ascii="Palatino Linotype" w:eastAsia="Times New Roman" w:hAnsi="Palatino Linotype"/>
      <w:snapToGrid w:val="0"/>
      <w:color w:val="000000"/>
      <w:sz w:val="18"/>
      <w:lang w:bidi="en-US"/>
      <w14:ligatures w14:val="standardContextual"/>
    </w:rPr>
  </w:style>
  <w:style w:type="paragraph" w:customStyle="1" w:styleId="MDPI63notes">
    <w:name w:val="MDPI_6.3_notes"/>
    <w:qFormat/>
    <w:rsid w:val="006A4550"/>
    <w:pPr>
      <w:adjustRightInd w:val="0"/>
      <w:snapToGrid w:val="0"/>
      <w:spacing w:before="240" w:line="280" w:lineRule="atLeast"/>
      <w:jc w:val="both"/>
    </w:pPr>
    <w:rPr>
      <w:rFonts w:ascii="Palatino Linotype" w:hAnsi="Palatino Linotype"/>
      <w:snapToGrid w:val="0"/>
      <w:color w:val="000000"/>
      <w:sz w:val="18"/>
      <w:lang w:bidi="en-US"/>
      <w14:ligatures w14:val="standardContextual"/>
    </w:rPr>
  </w:style>
  <w:style w:type="paragraph" w:customStyle="1" w:styleId="MDPI15academiceditor">
    <w:name w:val="MDPI_1.5_academic_editor"/>
    <w:qFormat/>
    <w:rsid w:val="006A4550"/>
    <w:pPr>
      <w:adjustRightInd w:val="0"/>
      <w:snapToGrid w:val="0"/>
      <w:spacing w:before="120" w:line="240" w:lineRule="atLeast"/>
      <w:ind w:right="113"/>
    </w:pPr>
    <w:rPr>
      <w:rFonts w:ascii="Palatino Linotype" w:eastAsia="Times New Roman" w:hAnsi="Palatino Linotype"/>
      <w:color w:val="000000"/>
      <w:sz w:val="14"/>
      <w:szCs w:val="22"/>
      <w:lang w:eastAsia="de-DE" w:bidi="en-US"/>
      <w14:ligatures w14:val="standardContextual"/>
    </w:rPr>
  </w:style>
  <w:style w:type="paragraph" w:customStyle="1" w:styleId="MDPI411onetablecaption">
    <w:name w:val="MDPI_4.1.1_one_table_caption"/>
    <w:qFormat/>
    <w:rsid w:val="006A4550"/>
    <w:pPr>
      <w:adjustRightInd w:val="0"/>
      <w:snapToGrid w:val="0"/>
      <w:spacing w:before="240" w:after="120" w:line="280" w:lineRule="atLeast"/>
      <w:jc w:val="center"/>
    </w:pPr>
    <w:rPr>
      <w:rFonts w:ascii="Palatino Linotype" w:eastAsiaTheme="minorEastAsia" w:hAnsi="Palatino Linotype" w:cstheme="minorBidi"/>
      <w:noProof/>
      <w:color w:val="000000"/>
      <w:sz w:val="18"/>
      <w:szCs w:val="22"/>
      <w:lang w:bidi="en-US"/>
      <w14:ligatures w14:val="standardContextual"/>
    </w:rPr>
  </w:style>
  <w:style w:type="paragraph" w:customStyle="1" w:styleId="MDPI511onefigurecaption">
    <w:name w:val="MDPI_5.1.1_one_figure_caption"/>
    <w:qFormat/>
    <w:rsid w:val="006A4550"/>
    <w:pPr>
      <w:adjustRightInd w:val="0"/>
      <w:snapToGrid w:val="0"/>
      <w:spacing w:before="240" w:after="120" w:line="280" w:lineRule="atLeast"/>
      <w:jc w:val="center"/>
    </w:pPr>
    <w:rPr>
      <w:rFonts w:ascii="Palatino Linotype" w:eastAsiaTheme="minorEastAsia" w:hAnsi="Palatino Linotype"/>
      <w:noProof/>
      <w:color w:val="000000"/>
      <w:sz w:val="18"/>
      <w:lang w:bidi="en-US"/>
      <w14:ligatures w14:val="standardContextual"/>
    </w:rPr>
  </w:style>
  <w:style w:type="paragraph" w:customStyle="1" w:styleId="MDPI72copyright">
    <w:name w:val="MDPI_7.2_copyright"/>
    <w:qFormat/>
    <w:rsid w:val="006A4550"/>
    <w:pPr>
      <w:adjustRightInd w:val="0"/>
      <w:snapToGrid w:val="0"/>
      <w:spacing w:before="120" w:line="240" w:lineRule="atLeast"/>
      <w:ind w:right="113"/>
    </w:pPr>
    <w:rPr>
      <w:rFonts w:ascii="Palatino Linotype" w:eastAsia="Times New Roman" w:hAnsi="Palatino Linotype"/>
      <w:noProof/>
      <w:snapToGrid w:val="0"/>
      <w:color w:val="000000"/>
      <w:sz w:val="14"/>
      <w:lang w:val="en-GB" w:eastAsia="en-GB"/>
    </w:rPr>
  </w:style>
  <w:style w:type="table" w:customStyle="1" w:styleId="MDPItable">
    <w:name w:val="MDPI_table"/>
    <w:basedOn w:val="TableNormal"/>
    <w:uiPriority w:val="99"/>
    <w:rsid w:val="006A4550"/>
    <w:rPr>
      <w:rFonts w:ascii="Palatino Linotype" w:hAnsi="Palatino Linotype"/>
      <w:color w:val="000000" w:themeColor="text1"/>
      <w:lang w:val="en-CA"/>
      <w14:ligatures w14:val="standardContextual"/>
    </w:rPr>
    <w:tblPr>
      <w:tblCellMar>
        <w:left w:w="0" w:type="dxa"/>
        <w:right w:w="0" w:type="dxa"/>
      </w:tblCellMar>
    </w:tblPr>
  </w:style>
  <w:style w:type="character" w:customStyle="1" w:styleId="apple-converted-space">
    <w:name w:val="apple-converted-space"/>
    <w:rsid w:val="007F761C"/>
  </w:style>
  <w:style w:type="paragraph" w:styleId="Bibliography">
    <w:name w:val="Bibliography"/>
    <w:basedOn w:val="Normal"/>
    <w:next w:val="Normal"/>
    <w:uiPriority w:val="37"/>
    <w:semiHidden/>
    <w:unhideWhenUsed/>
    <w:rsid w:val="007F761C"/>
  </w:style>
  <w:style w:type="paragraph" w:styleId="BodyText">
    <w:name w:val="Body Text"/>
    <w:link w:val="BodyTextChar"/>
    <w:rsid w:val="007F761C"/>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7F761C"/>
    <w:rPr>
      <w:rFonts w:ascii="Palatino Linotype" w:hAnsi="Palatino Linotype"/>
      <w:color w:val="000000"/>
      <w:sz w:val="24"/>
      <w:lang w:eastAsia="de-DE"/>
    </w:rPr>
  </w:style>
  <w:style w:type="character" w:styleId="CommentReference">
    <w:name w:val="annotation reference"/>
    <w:rsid w:val="007F761C"/>
    <w:rPr>
      <w:sz w:val="21"/>
      <w:szCs w:val="21"/>
    </w:rPr>
  </w:style>
  <w:style w:type="paragraph" w:styleId="CommentText">
    <w:name w:val="annotation text"/>
    <w:basedOn w:val="Normal"/>
    <w:link w:val="CommentTextChar"/>
    <w:rsid w:val="007F761C"/>
  </w:style>
  <w:style w:type="character" w:customStyle="1" w:styleId="CommentTextChar">
    <w:name w:val="Comment Text Char"/>
    <w:link w:val="CommentText"/>
    <w:rsid w:val="007F761C"/>
    <w:rPr>
      <w:rFonts w:ascii="Palatino Linotype" w:hAnsi="Palatino Linotype"/>
      <w:noProof/>
      <w:color w:val="000000"/>
    </w:rPr>
  </w:style>
  <w:style w:type="paragraph" w:styleId="CommentSubject">
    <w:name w:val="annotation subject"/>
    <w:basedOn w:val="CommentText"/>
    <w:next w:val="CommentText"/>
    <w:link w:val="CommentSubjectChar"/>
    <w:rsid w:val="007F761C"/>
    <w:rPr>
      <w:b/>
      <w:bCs/>
    </w:rPr>
  </w:style>
  <w:style w:type="character" w:customStyle="1" w:styleId="CommentSubjectChar">
    <w:name w:val="Comment Subject Char"/>
    <w:link w:val="CommentSubject"/>
    <w:rsid w:val="007F761C"/>
    <w:rPr>
      <w:rFonts w:ascii="Palatino Linotype" w:hAnsi="Palatino Linotype"/>
      <w:b/>
      <w:bCs/>
      <w:noProof/>
      <w:color w:val="000000"/>
    </w:rPr>
  </w:style>
  <w:style w:type="character" w:styleId="EndnoteReference">
    <w:name w:val="endnote reference"/>
    <w:rsid w:val="007F761C"/>
    <w:rPr>
      <w:vertAlign w:val="superscript"/>
    </w:rPr>
  </w:style>
  <w:style w:type="paragraph" w:styleId="EndnoteText">
    <w:name w:val="endnote text"/>
    <w:basedOn w:val="Normal"/>
    <w:link w:val="EndnoteTextChar"/>
    <w:semiHidden/>
    <w:unhideWhenUsed/>
    <w:rsid w:val="007F761C"/>
    <w:pPr>
      <w:spacing w:line="240" w:lineRule="auto"/>
    </w:pPr>
  </w:style>
  <w:style w:type="character" w:customStyle="1" w:styleId="EndnoteTextChar">
    <w:name w:val="Endnote Text Char"/>
    <w:link w:val="EndnoteText"/>
    <w:semiHidden/>
    <w:rsid w:val="007F761C"/>
    <w:rPr>
      <w:rFonts w:ascii="Palatino Linotype" w:hAnsi="Palatino Linotype"/>
      <w:noProof/>
      <w:color w:val="000000"/>
    </w:rPr>
  </w:style>
  <w:style w:type="character" w:styleId="FollowedHyperlink">
    <w:name w:val="FollowedHyperlink"/>
    <w:rsid w:val="007F761C"/>
    <w:rPr>
      <w:color w:val="954F72"/>
      <w:u w:val="single"/>
    </w:rPr>
  </w:style>
  <w:style w:type="paragraph" w:styleId="FootnoteText">
    <w:name w:val="footnote text"/>
    <w:basedOn w:val="Normal"/>
    <w:link w:val="FootnoteTextChar"/>
    <w:uiPriority w:val="99"/>
    <w:semiHidden/>
    <w:unhideWhenUsed/>
    <w:rsid w:val="007F761C"/>
    <w:pPr>
      <w:spacing w:line="240" w:lineRule="auto"/>
    </w:pPr>
  </w:style>
  <w:style w:type="character" w:customStyle="1" w:styleId="FootnoteTextChar">
    <w:name w:val="Footnote Text Char"/>
    <w:link w:val="FootnoteText"/>
    <w:uiPriority w:val="99"/>
    <w:semiHidden/>
    <w:rsid w:val="007F761C"/>
    <w:rPr>
      <w:rFonts w:ascii="Palatino Linotype" w:hAnsi="Palatino Linotype"/>
      <w:noProof/>
      <w:color w:val="000000"/>
    </w:rPr>
  </w:style>
  <w:style w:type="paragraph" w:styleId="NormalWeb">
    <w:name w:val="Normal (Web)"/>
    <w:basedOn w:val="Normal"/>
    <w:uiPriority w:val="99"/>
    <w:rsid w:val="007F761C"/>
    <w:rPr>
      <w:szCs w:val="24"/>
    </w:rPr>
  </w:style>
  <w:style w:type="paragraph" w:customStyle="1" w:styleId="MsoFootnoteText0">
    <w:name w:val="MsoFootnoteText"/>
    <w:basedOn w:val="NormalWeb"/>
    <w:qFormat/>
    <w:rsid w:val="007F761C"/>
    <w:rPr>
      <w:rFonts w:ascii="Times New Roman" w:hAnsi="Times New Roman"/>
    </w:rPr>
  </w:style>
  <w:style w:type="character" w:styleId="PageNumber">
    <w:name w:val="page number"/>
    <w:rsid w:val="007F761C"/>
  </w:style>
  <w:style w:type="character" w:styleId="PlaceholderText">
    <w:name w:val="Placeholder Text"/>
    <w:uiPriority w:val="99"/>
    <w:semiHidden/>
    <w:rsid w:val="007F761C"/>
    <w:rPr>
      <w:color w:val="808080"/>
    </w:rPr>
  </w:style>
  <w:style w:type="paragraph" w:customStyle="1" w:styleId="MDPI71footnotes">
    <w:name w:val="MDPI_7.1_footnotes"/>
    <w:qFormat/>
    <w:rsid w:val="006A4550"/>
    <w:pPr>
      <w:numPr>
        <w:numId w:val="33"/>
      </w:numPr>
      <w:adjustRightInd w:val="0"/>
      <w:snapToGrid w:val="0"/>
      <w:spacing w:line="280" w:lineRule="atLeast"/>
      <w:jc w:val="both"/>
    </w:pPr>
    <w:rPr>
      <w:rFonts w:ascii="Palatino Linotype" w:eastAsiaTheme="minorEastAsia" w:hAnsi="Palatino Linotype"/>
      <w:noProof/>
      <w:color w:val="000000"/>
      <w:sz w:val="18"/>
      <w14:ligatures w14:val="standardContextual"/>
    </w:rPr>
  </w:style>
  <w:style w:type="character" w:styleId="FootnoteReference">
    <w:name w:val="footnote reference"/>
    <w:basedOn w:val="DefaultParagraphFont"/>
    <w:uiPriority w:val="99"/>
    <w:semiHidden/>
    <w:unhideWhenUsed/>
    <w:rsid w:val="00176A80"/>
    <w:rPr>
      <w:vertAlign w:val="superscript"/>
    </w:rPr>
  </w:style>
  <w:style w:type="character" w:customStyle="1" w:styleId="normaltextrun">
    <w:name w:val="normaltextrun"/>
    <w:basedOn w:val="DefaultParagraphFont"/>
    <w:rsid w:val="00176A80"/>
  </w:style>
  <w:style w:type="character" w:customStyle="1" w:styleId="eop">
    <w:name w:val="eop"/>
    <w:basedOn w:val="DefaultParagraphFont"/>
    <w:rsid w:val="00176A80"/>
  </w:style>
  <w:style w:type="paragraph" w:customStyle="1" w:styleId="mdpi62backmatter0">
    <w:name w:val="mdpi62backmatter"/>
    <w:basedOn w:val="Normal"/>
    <w:rsid w:val="00176A80"/>
    <w:pPr>
      <w:snapToGrid w:val="0"/>
      <w:spacing w:after="120"/>
      <w:ind w:left="2608"/>
    </w:pPr>
    <w:rPr>
      <w:rFonts w:eastAsiaTheme="minorHAnsi" w:cs="Calibri"/>
      <w:noProof w:val="0"/>
      <w:sz w:val="18"/>
      <w:szCs w:val="18"/>
      <w:lang w:eastAsia="en-US"/>
    </w:rPr>
  </w:style>
  <w:style w:type="paragraph" w:customStyle="1" w:styleId="paragraph">
    <w:name w:val="paragraph"/>
    <w:basedOn w:val="Normal"/>
    <w:rsid w:val="00176A80"/>
    <w:pPr>
      <w:spacing w:before="100" w:beforeAutospacing="1" w:after="100" w:afterAutospacing="1" w:line="240" w:lineRule="auto"/>
      <w:jc w:val="left"/>
    </w:pPr>
    <w:rPr>
      <w:rFonts w:ascii="Times New Roman" w:eastAsia="Times New Roman" w:hAnsi="Times New Roman"/>
      <w:noProof w:val="0"/>
      <w:color w:val="auto"/>
      <w:sz w:val="24"/>
      <w:szCs w:val="24"/>
      <w:lang w:eastAsia="en-US"/>
    </w:rPr>
  </w:style>
  <w:style w:type="character" w:styleId="Mention">
    <w:name w:val="Mention"/>
    <w:basedOn w:val="DefaultParagraphFont"/>
    <w:uiPriority w:val="99"/>
    <w:unhideWhenUsed/>
    <w:rsid w:val="00176A80"/>
    <w:rPr>
      <w:color w:val="2B579A"/>
      <w:shd w:val="clear" w:color="auto" w:fill="E6E6E6"/>
    </w:rPr>
  </w:style>
  <w:style w:type="paragraph" w:styleId="Revision">
    <w:name w:val="Revision"/>
    <w:hidden/>
    <w:uiPriority w:val="99"/>
    <w:semiHidden/>
    <w:rsid w:val="00196437"/>
    <w:rPr>
      <w:rFonts w:ascii="Palatino Linotype" w:hAnsi="Palatino Linotype"/>
      <w:noProof/>
      <w:color w:val="000000"/>
    </w:rPr>
  </w:style>
  <w:style w:type="paragraph" w:styleId="ListParagraph">
    <w:name w:val="List Paragraph"/>
    <w:basedOn w:val="Normal"/>
    <w:uiPriority w:val="34"/>
    <w:qFormat/>
    <w:rsid w:val="008C57C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doi.org/10.5067/PACE/OCI/L2/OC_AOP/3.0"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10.5067/PACE/OCI/L2/OC_AOP/3.0"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doi.org/10.5067/AQUA/MODIS/L2/OC/2022" TargetMode="Externa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PI\Desktop\Word%20templates\remotesensing-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C:\Users\MDPI\Desktop\Word templates\remotesensing-template.dot</Template>
  <TotalTime>46</TotalTime>
  <Pages>17</Pages>
  <Words>7520</Words>
  <Characters>42865</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A</vt:lpstr>
    </vt:vector>
  </TitlesOfParts>
  <Company/>
  <LinksUpToDate>false</LinksUpToDate>
  <CharactersWithSpaces>50285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subject/>
  <dc:creator>MDPI</dc:creator>
  <cp:keywords/>
  <dc:description/>
  <cp:lastModifiedBy>Uz, Stephanie Schollaert (GSFC-6100)</cp:lastModifiedBy>
  <cp:revision>16</cp:revision>
  <cp:lastPrinted>2025-05-14T12:11:00Z</cp:lastPrinted>
  <dcterms:created xsi:type="dcterms:W3CDTF">2025-05-19T15:19:00Z</dcterms:created>
  <dcterms:modified xsi:type="dcterms:W3CDTF">2025-05-19T16:22:00Z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pertyWordCount">
    <vt:i4>5374</vt:i4>
  </property>
  <property fmtid="{D5CDD505-2E9C-101B-9397-08002B2CF9AE}" pid="3" name="propertyVariant">
    <vt:lpwstr>English (US)</vt:lpwstr>
  </property>
  <property fmtid="{D5CDD505-2E9C-101B-9397-08002B2CF9AE}" pid="4" name="propertyStatus">
    <vt:lpwstr>Standard</vt:lpwstr>
  </property>
</Properties>
</file>